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737A4" w14:textId="5EEA9980" w:rsidR="00066B8B" w:rsidRPr="00815142" w:rsidRDefault="00880A58" w:rsidP="00815142">
      <w:pPr>
        <w:spacing w:line="480" w:lineRule="auto"/>
        <w:jc w:val="center"/>
        <w:rPr>
          <w:rFonts w:ascii="Arial" w:hAnsi="Arial" w:cs="Arial"/>
          <w:b/>
        </w:rPr>
      </w:pPr>
      <w:bookmarkStart w:id="0" w:name="_GoBack"/>
      <w:bookmarkEnd w:id="0"/>
      <w:r w:rsidRPr="00815142">
        <w:rPr>
          <w:rFonts w:ascii="Arial" w:hAnsi="Arial" w:cs="Arial"/>
          <w:b/>
        </w:rPr>
        <w:t xml:space="preserve"> </w:t>
      </w:r>
      <w:r w:rsidR="00DE33A7" w:rsidRPr="00815142">
        <w:rPr>
          <w:rFonts w:ascii="Arial" w:hAnsi="Arial" w:cs="Arial"/>
          <w:b/>
        </w:rPr>
        <w:t>E</w:t>
      </w:r>
      <w:r w:rsidR="008D576F" w:rsidRPr="00815142">
        <w:rPr>
          <w:rFonts w:ascii="Arial" w:hAnsi="Arial" w:cs="Arial"/>
          <w:b/>
        </w:rPr>
        <w:t xml:space="preserve">conomic evaluation of </w:t>
      </w:r>
      <w:r w:rsidRPr="00815142">
        <w:rPr>
          <w:rFonts w:ascii="Arial" w:hAnsi="Arial" w:cs="Arial"/>
          <w:b/>
        </w:rPr>
        <w:t xml:space="preserve">a </w:t>
      </w:r>
      <w:r w:rsidR="00A904FC" w:rsidRPr="00815142">
        <w:rPr>
          <w:rFonts w:ascii="Arial" w:hAnsi="Arial" w:cs="Arial"/>
          <w:b/>
        </w:rPr>
        <w:t>short-standardised</w:t>
      </w:r>
      <w:r w:rsidRPr="00815142">
        <w:rPr>
          <w:rFonts w:ascii="Arial" w:hAnsi="Arial" w:cs="Arial"/>
          <w:b/>
        </w:rPr>
        <w:t xml:space="preserve"> regimen for the treatment of rifampicin-resistant </w:t>
      </w:r>
      <w:r w:rsidR="00DE33A7" w:rsidRPr="00815142">
        <w:rPr>
          <w:rFonts w:ascii="Arial" w:hAnsi="Arial" w:cs="Arial"/>
          <w:b/>
        </w:rPr>
        <w:t>tuberculosis</w:t>
      </w:r>
      <w:r w:rsidR="004A1DDE">
        <w:rPr>
          <w:rFonts w:ascii="Arial" w:hAnsi="Arial" w:cs="Arial"/>
          <w:b/>
        </w:rPr>
        <w:t xml:space="preserve"> from the STREAM trial</w:t>
      </w:r>
    </w:p>
    <w:p w14:paraId="590F6E57" w14:textId="091F91F9" w:rsidR="00867ED7" w:rsidRDefault="00867ED7" w:rsidP="00DE33A7">
      <w:pPr>
        <w:spacing w:line="360" w:lineRule="auto"/>
        <w:rPr>
          <w:rFonts w:ascii="Arial" w:hAnsi="Arial" w:cs="Arial"/>
        </w:rPr>
      </w:pPr>
      <w:bookmarkStart w:id="1" w:name="_Hlk535509184"/>
      <w:r>
        <w:rPr>
          <w:rFonts w:ascii="Arial" w:hAnsi="Arial" w:cs="Arial"/>
        </w:rPr>
        <w:t xml:space="preserve">Jason </w:t>
      </w:r>
      <w:r w:rsidR="00372E09">
        <w:rPr>
          <w:rFonts w:ascii="Arial" w:hAnsi="Arial" w:cs="Arial"/>
        </w:rPr>
        <w:t xml:space="preserve">J </w:t>
      </w:r>
      <w:r>
        <w:rPr>
          <w:rFonts w:ascii="Arial" w:hAnsi="Arial" w:cs="Arial"/>
        </w:rPr>
        <w:t>Madan PhD</w:t>
      </w:r>
      <w:r w:rsidR="00BE0D5F" w:rsidRPr="00791A6F">
        <w:rPr>
          <w:rFonts w:ascii="Arial" w:hAnsi="Arial" w:cs="Arial"/>
          <w:vertAlign w:val="superscript"/>
        </w:rPr>
        <w:t>+</w:t>
      </w:r>
      <w:r>
        <w:rPr>
          <w:rFonts w:ascii="Arial" w:hAnsi="Arial" w:cs="Arial"/>
        </w:rPr>
        <w:t>, Laura Rosu MSc</w:t>
      </w:r>
      <w:r w:rsidR="00BE0D5F" w:rsidRPr="00791A6F">
        <w:rPr>
          <w:rFonts w:ascii="Arial" w:hAnsi="Arial" w:cs="Arial"/>
          <w:vertAlign w:val="superscript"/>
        </w:rPr>
        <w:t>+</w:t>
      </w:r>
      <w:r>
        <w:rPr>
          <w:rFonts w:ascii="Arial" w:hAnsi="Arial" w:cs="Arial"/>
        </w:rPr>
        <w:t>, Mamo Girma Te</w:t>
      </w:r>
      <w:r w:rsidR="00412652">
        <w:rPr>
          <w:rFonts w:ascii="Arial" w:hAnsi="Arial" w:cs="Arial"/>
        </w:rPr>
        <w:t xml:space="preserve">fera MSc, Craig van Rensburg </w:t>
      </w:r>
      <w:proofErr w:type="spellStart"/>
      <w:r w:rsidR="00412652">
        <w:rPr>
          <w:rFonts w:ascii="Arial" w:hAnsi="Arial" w:cs="Arial"/>
        </w:rPr>
        <w:t>MCom</w:t>
      </w:r>
      <w:proofErr w:type="spellEnd"/>
      <w:r>
        <w:rPr>
          <w:rFonts w:ascii="Arial" w:hAnsi="Arial" w:cs="Arial"/>
        </w:rPr>
        <w:t>, Denis</w:t>
      </w:r>
      <w:r w:rsidR="00A07A6E">
        <w:rPr>
          <w:rFonts w:ascii="Arial" w:hAnsi="Arial" w:cs="Arial"/>
        </w:rPr>
        <w:t>e</w:t>
      </w:r>
      <w:r>
        <w:rPr>
          <w:rFonts w:ascii="Arial" w:hAnsi="Arial" w:cs="Arial"/>
        </w:rPr>
        <w:t xml:space="preserve"> Evans PhD, Ivor Langley PhD, </w:t>
      </w:r>
      <w:r w:rsidR="00077E3B">
        <w:rPr>
          <w:rFonts w:ascii="Arial" w:hAnsi="Arial" w:cs="Arial"/>
        </w:rPr>
        <w:t>Ewan M</w:t>
      </w:r>
      <w:r w:rsidR="0011495D">
        <w:rPr>
          <w:rFonts w:ascii="Arial" w:hAnsi="Arial" w:cs="Arial"/>
        </w:rPr>
        <w:t xml:space="preserve">. </w:t>
      </w:r>
      <w:r w:rsidR="00077E3B">
        <w:rPr>
          <w:rFonts w:ascii="Arial" w:hAnsi="Arial" w:cs="Arial"/>
        </w:rPr>
        <w:t xml:space="preserve">Tomeny MSc, </w:t>
      </w:r>
      <w:r>
        <w:rPr>
          <w:rFonts w:ascii="Arial" w:hAnsi="Arial" w:cs="Arial"/>
        </w:rPr>
        <w:t>Andrew Nunn MSc,</w:t>
      </w:r>
      <w:r w:rsidR="00665121">
        <w:rPr>
          <w:rFonts w:ascii="Arial" w:hAnsi="Arial" w:cs="Arial"/>
        </w:rPr>
        <w:t xml:space="preserve"> </w:t>
      </w:r>
      <w:r w:rsidR="00665121" w:rsidRPr="006D240C">
        <w:rPr>
          <w:rFonts w:ascii="Arial" w:hAnsi="Arial" w:cs="Arial"/>
        </w:rPr>
        <w:t>Patrick PJ Phillips PhD</w:t>
      </w:r>
      <w:r w:rsidR="00665121">
        <w:rPr>
          <w:rFonts w:ascii="Arial" w:hAnsi="Arial" w:cs="Arial"/>
        </w:rPr>
        <w:t>,</w:t>
      </w:r>
      <w:r>
        <w:rPr>
          <w:rFonts w:ascii="Arial" w:hAnsi="Arial" w:cs="Arial"/>
        </w:rPr>
        <w:t xml:space="preserve"> </w:t>
      </w:r>
      <w:proofErr w:type="spellStart"/>
      <w:r>
        <w:rPr>
          <w:rFonts w:ascii="Arial" w:hAnsi="Arial" w:cs="Arial"/>
        </w:rPr>
        <w:t>I.</w:t>
      </w:r>
      <w:proofErr w:type="gramStart"/>
      <w:r>
        <w:rPr>
          <w:rFonts w:ascii="Arial" w:hAnsi="Arial" w:cs="Arial"/>
        </w:rPr>
        <w:t>D.Rusen</w:t>
      </w:r>
      <w:proofErr w:type="spellEnd"/>
      <w:proofErr w:type="gramEnd"/>
      <w:r>
        <w:rPr>
          <w:rFonts w:ascii="Arial" w:hAnsi="Arial" w:cs="Arial"/>
        </w:rPr>
        <w:t xml:space="preserve"> MD, S Bertel Squire PhD and the STREAM Study Health E</w:t>
      </w:r>
      <w:r w:rsidR="009A68BB">
        <w:rPr>
          <w:rFonts w:ascii="Arial" w:hAnsi="Arial" w:cs="Arial"/>
        </w:rPr>
        <w:t xml:space="preserve">conomic Evaluation </w:t>
      </w:r>
      <w:r w:rsidR="00D33DC1">
        <w:rPr>
          <w:rFonts w:ascii="Arial" w:hAnsi="Arial" w:cs="Arial"/>
        </w:rPr>
        <w:t>Collaborators*</w:t>
      </w:r>
    </w:p>
    <w:p w14:paraId="4F8A4EAC" w14:textId="60374177" w:rsidR="00867ED7" w:rsidRDefault="00372E09" w:rsidP="00DE33A7">
      <w:pPr>
        <w:spacing w:line="360" w:lineRule="auto"/>
        <w:rPr>
          <w:rFonts w:ascii="Arial" w:eastAsia="Times New Roman" w:hAnsi="Arial" w:cs="Arial"/>
          <w:color w:val="000000"/>
          <w:lang w:eastAsia="en-GB"/>
        </w:rPr>
      </w:pPr>
      <w:r w:rsidRPr="00372E09">
        <w:rPr>
          <w:rFonts w:ascii="Arial" w:hAnsi="Arial" w:cs="Arial"/>
        </w:rPr>
        <w:t xml:space="preserve">From </w:t>
      </w:r>
      <w:bookmarkStart w:id="2" w:name="_Hlk16248684"/>
      <w:r w:rsidRPr="00372E09">
        <w:rPr>
          <w:rFonts w:ascii="Arial" w:hAnsi="Arial" w:cs="Arial"/>
        </w:rPr>
        <w:t>Warwick Medical School, Univer</w:t>
      </w:r>
      <w:r w:rsidR="00412652">
        <w:rPr>
          <w:rFonts w:ascii="Arial" w:hAnsi="Arial" w:cs="Arial"/>
        </w:rPr>
        <w:t xml:space="preserve">sity of Warwick, Coventry </w:t>
      </w:r>
      <w:bookmarkEnd w:id="2"/>
      <w:r w:rsidR="00412652">
        <w:rPr>
          <w:rFonts w:ascii="Arial" w:hAnsi="Arial" w:cs="Arial"/>
        </w:rPr>
        <w:t>(JJM);</w:t>
      </w:r>
      <w:r w:rsidRPr="00372E09">
        <w:rPr>
          <w:rFonts w:ascii="Arial" w:hAnsi="Arial" w:cs="Arial"/>
        </w:rPr>
        <w:t xml:space="preserve"> </w:t>
      </w:r>
      <w:bookmarkStart w:id="3" w:name="_Hlk16248558"/>
      <w:r w:rsidRPr="00372E09">
        <w:rPr>
          <w:rFonts w:ascii="Arial" w:hAnsi="Arial" w:cs="Arial"/>
        </w:rPr>
        <w:t>Centre for Applied Health Research and Delivery, Liverpool School of Tropical Medicine, Liv</w:t>
      </w:r>
      <w:r w:rsidR="00412652">
        <w:rPr>
          <w:rFonts w:ascii="Arial" w:hAnsi="Arial" w:cs="Arial"/>
        </w:rPr>
        <w:t>erpool, UK</w:t>
      </w:r>
      <w:bookmarkEnd w:id="3"/>
      <w:r w:rsidR="00412652">
        <w:rPr>
          <w:rFonts w:ascii="Arial" w:hAnsi="Arial" w:cs="Arial"/>
        </w:rPr>
        <w:t xml:space="preserve"> (LR, IL,</w:t>
      </w:r>
      <w:r w:rsidR="00077E3B">
        <w:rPr>
          <w:rFonts w:ascii="Arial" w:hAnsi="Arial" w:cs="Arial"/>
        </w:rPr>
        <w:t xml:space="preserve"> EMT,</w:t>
      </w:r>
      <w:r w:rsidR="00412652">
        <w:rPr>
          <w:rFonts w:ascii="Arial" w:hAnsi="Arial" w:cs="Arial"/>
        </w:rPr>
        <w:t xml:space="preserve"> SBS); </w:t>
      </w:r>
      <w:r w:rsidR="001B34B9">
        <w:rPr>
          <w:rFonts w:ascii="Arial" w:hAnsi="Arial" w:cs="Arial"/>
        </w:rPr>
        <w:t>Addis Ababa Science</w:t>
      </w:r>
      <w:r w:rsidR="009D5636">
        <w:rPr>
          <w:rFonts w:ascii="Arial" w:hAnsi="Arial" w:cs="Arial"/>
        </w:rPr>
        <w:t xml:space="preserve">&amp; Technology University (MGT); </w:t>
      </w:r>
      <w:r w:rsidRPr="00372E09">
        <w:rPr>
          <w:rFonts w:ascii="Arial" w:hAnsi="Arial" w:cs="Arial"/>
        </w:rPr>
        <w:t xml:space="preserve">Health Economics and Epidemiology Research Office </w:t>
      </w:r>
      <w:r w:rsidRPr="00372E09">
        <w:rPr>
          <w:rFonts w:ascii="Arial" w:eastAsia="Times New Roman" w:hAnsi="Arial" w:cs="Arial"/>
          <w:color w:val="000000"/>
          <w:lang w:eastAsia="en-GB"/>
        </w:rPr>
        <w:t>(HE2RO), Department of Internal Medicine, School of Medicine, Faculty of Health Sciences, University of Witwatersrand, Johan</w:t>
      </w:r>
      <w:r w:rsidR="00412652">
        <w:rPr>
          <w:rFonts w:ascii="Arial" w:eastAsia="Times New Roman" w:hAnsi="Arial" w:cs="Arial"/>
          <w:color w:val="000000"/>
          <w:lang w:eastAsia="en-GB"/>
        </w:rPr>
        <w:t>nesburg, South Africa (</w:t>
      </w:r>
      <w:proofErr w:type="spellStart"/>
      <w:r w:rsidR="00412652">
        <w:rPr>
          <w:rFonts w:ascii="Arial" w:eastAsia="Times New Roman" w:hAnsi="Arial" w:cs="Arial"/>
          <w:color w:val="000000"/>
          <w:lang w:eastAsia="en-GB"/>
        </w:rPr>
        <w:t>CvR</w:t>
      </w:r>
      <w:proofErr w:type="spellEnd"/>
      <w:r w:rsidR="00412652">
        <w:rPr>
          <w:rFonts w:ascii="Arial" w:eastAsia="Times New Roman" w:hAnsi="Arial" w:cs="Arial"/>
          <w:color w:val="000000"/>
          <w:lang w:eastAsia="en-GB"/>
        </w:rPr>
        <w:t xml:space="preserve">, DE); </w:t>
      </w:r>
      <w:r w:rsidRPr="00372E09">
        <w:rPr>
          <w:rFonts w:ascii="Arial" w:eastAsia="Times New Roman" w:hAnsi="Arial" w:cs="Arial"/>
          <w:color w:val="000000"/>
          <w:lang w:eastAsia="en-GB"/>
        </w:rPr>
        <w:t xml:space="preserve"> Medical Research Council Clinical Trials Unit at University College London, Institute of Cli</w:t>
      </w:r>
      <w:r w:rsidR="00412652">
        <w:rPr>
          <w:rFonts w:ascii="Arial" w:eastAsia="Times New Roman" w:hAnsi="Arial" w:cs="Arial"/>
          <w:color w:val="000000"/>
          <w:lang w:eastAsia="en-GB"/>
        </w:rPr>
        <w:t>nical Trials &amp; Methodology (AN</w:t>
      </w:r>
      <w:r w:rsidR="00A74C1D">
        <w:rPr>
          <w:rFonts w:ascii="Arial" w:eastAsia="Times New Roman" w:hAnsi="Arial" w:cs="Arial"/>
          <w:color w:val="000000"/>
          <w:lang w:eastAsia="en-GB"/>
        </w:rPr>
        <w:t>, PPJP</w:t>
      </w:r>
      <w:r w:rsidR="00412652">
        <w:rPr>
          <w:rFonts w:ascii="Arial" w:eastAsia="Times New Roman" w:hAnsi="Arial" w:cs="Arial"/>
          <w:color w:val="000000"/>
          <w:lang w:eastAsia="en-GB"/>
        </w:rPr>
        <w:t>);</w:t>
      </w:r>
      <w:r w:rsidR="00A74C1D">
        <w:rPr>
          <w:rFonts w:ascii="Arial" w:eastAsia="Times New Roman" w:hAnsi="Arial" w:cs="Arial"/>
          <w:color w:val="000000"/>
          <w:lang w:eastAsia="en-GB"/>
        </w:rPr>
        <w:t xml:space="preserve"> Department of Medicine, University of California San Francisco, San Francisco, USA (PPJP);</w:t>
      </w:r>
      <w:r w:rsidRPr="00372E09">
        <w:rPr>
          <w:rFonts w:ascii="Arial" w:eastAsia="Times New Roman" w:hAnsi="Arial" w:cs="Arial"/>
          <w:color w:val="000000"/>
          <w:lang w:eastAsia="en-GB"/>
        </w:rPr>
        <w:t xml:space="preserve"> </w:t>
      </w:r>
      <w:r w:rsidR="00412652" w:rsidRPr="00412652">
        <w:rPr>
          <w:rFonts w:ascii="Arial" w:eastAsia="Times New Roman" w:hAnsi="Arial" w:cs="Arial"/>
          <w:color w:val="000000"/>
          <w:lang w:eastAsia="en-GB"/>
        </w:rPr>
        <w:t xml:space="preserve">The Union, France, Division of Research and Development, Vital Strategies, New York, USA, and Dalla Lana School of Public Health, University of Toronto, Canada, </w:t>
      </w:r>
      <w:r w:rsidRPr="00372E09">
        <w:rPr>
          <w:rFonts w:ascii="Arial" w:eastAsia="Times New Roman" w:hAnsi="Arial" w:cs="Arial"/>
          <w:color w:val="000000"/>
          <w:lang w:eastAsia="en-GB"/>
        </w:rPr>
        <w:t>(IDR)</w:t>
      </w:r>
      <w:r w:rsidR="00412652">
        <w:rPr>
          <w:rFonts w:ascii="Arial" w:eastAsia="Times New Roman" w:hAnsi="Arial" w:cs="Arial"/>
          <w:color w:val="000000"/>
          <w:lang w:eastAsia="en-GB"/>
        </w:rPr>
        <w:t>.</w:t>
      </w:r>
    </w:p>
    <w:p w14:paraId="2E0D7A6D" w14:textId="354BE613" w:rsidR="00D33DC1" w:rsidRDefault="00D33DC1" w:rsidP="00DE33A7">
      <w:pPr>
        <w:spacing w:line="360" w:lineRule="auto"/>
        <w:rPr>
          <w:rFonts w:ascii="Arial" w:eastAsia="Times New Roman" w:hAnsi="Arial" w:cs="Arial"/>
          <w:color w:val="000000"/>
          <w:lang w:eastAsia="en-GB"/>
        </w:rPr>
      </w:pPr>
      <w:r>
        <w:rPr>
          <w:rFonts w:ascii="Arial" w:eastAsia="Times New Roman" w:hAnsi="Arial" w:cs="Arial"/>
          <w:color w:val="000000"/>
          <w:lang w:eastAsia="en-GB"/>
        </w:rPr>
        <w:t>*A complete list of the STREAM Study Health Economic Evaluation Collaborators is given in the Supplementary Appendix</w:t>
      </w:r>
    </w:p>
    <w:p w14:paraId="3BC6276B" w14:textId="2F4CC384" w:rsidR="00A74C1D" w:rsidRPr="00A74C1D" w:rsidRDefault="00A74C1D" w:rsidP="00DE33A7">
      <w:pPr>
        <w:spacing w:line="360" w:lineRule="auto"/>
        <w:rPr>
          <w:rFonts w:ascii="Arial" w:eastAsia="Times New Roman" w:hAnsi="Arial" w:cs="Arial"/>
          <w:color w:val="000000"/>
          <w:lang w:eastAsia="en-GB"/>
        </w:rPr>
      </w:pPr>
      <w:r w:rsidRPr="00BF1FD8">
        <w:rPr>
          <w:rFonts w:ascii="Arial" w:eastAsia="Times New Roman" w:hAnsi="Arial" w:cs="Arial"/>
          <w:color w:val="000000"/>
          <w:vertAlign w:val="superscript"/>
          <w:lang w:eastAsia="en-GB"/>
        </w:rPr>
        <w:t>+</w:t>
      </w:r>
      <w:r>
        <w:rPr>
          <w:rFonts w:ascii="Arial" w:eastAsia="Times New Roman" w:hAnsi="Arial" w:cs="Arial"/>
          <w:color w:val="000000"/>
          <w:lang w:eastAsia="en-GB"/>
        </w:rPr>
        <w:t>Contributed equally</w:t>
      </w:r>
    </w:p>
    <w:bookmarkEnd w:id="1"/>
    <w:p w14:paraId="6DB8DB43" w14:textId="54D97F54" w:rsidR="00372E09" w:rsidRDefault="00D33DC1" w:rsidP="00DE33A7">
      <w:pPr>
        <w:spacing w:line="360" w:lineRule="auto"/>
        <w:rPr>
          <w:rFonts w:ascii="Arial" w:hAnsi="Arial" w:cs="Arial"/>
        </w:rPr>
      </w:pPr>
      <w:r>
        <w:rPr>
          <w:rFonts w:ascii="Arial" w:eastAsia="Times New Roman" w:hAnsi="Arial" w:cs="Arial"/>
          <w:color w:val="000000"/>
          <w:lang w:eastAsia="en-GB"/>
        </w:rPr>
        <w:t xml:space="preserve">Corresponding Author: Prof S Bertel Squire, </w:t>
      </w:r>
      <w:r w:rsidRPr="00372E09">
        <w:rPr>
          <w:rFonts w:ascii="Arial" w:hAnsi="Arial" w:cs="Arial"/>
        </w:rPr>
        <w:t>Centre for Applied Health Research and Delivery, Liverpool School of Tropical Medicine</w:t>
      </w:r>
      <w:r>
        <w:rPr>
          <w:rFonts w:ascii="Arial" w:hAnsi="Arial" w:cs="Arial"/>
        </w:rPr>
        <w:t>, Pembroke Place</w:t>
      </w:r>
      <w:r w:rsidRPr="00372E09">
        <w:rPr>
          <w:rFonts w:ascii="Arial" w:hAnsi="Arial" w:cs="Arial"/>
        </w:rPr>
        <w:t xml:space="preserve">, Liverpool, </w:t>
      </w:r>
      <w:r>
        <w:rPr>
          <w:rFonts w:ascii="Arial" w:hAnsi="Arial" w:cs="Arial"/>
        </w:rPr>
        <w:t xml:space="preserve">L3 5QA </w:t>
      </w:r>
      <w:r w:rsidRPr="00372E09">
        <w:rPr>
          <w:rFonts w:ascii="Arial" w:hAnsi="Arial" w:cs="Arial"/>
        </w:rPr>
        <w:t>UK</w:t>
      </w:r>
      <w:r>
        <w:rPr>
          <w:rFonts w:ascii="Arial" w:hAnsi="Arial" w:cs="Arial"/>
        </w:rPr>
        <w:t xml:space="preserve">, email: </w:t>
      </w:r>
      <w:hyperlink r:id="rId8" w:history="1">
        <w:r w:rsidR="00DB7BF5" w:rsidRPr="00AE0C3A">
          <w:rPr>
            <w:rStyle w:val="Hyperlink"/>
            <w:rFonts w:ascii="Arial" w:hAnsi="Arial" w:cs="Arial"/>
          </w:rPr>
          <w:t>bertie.squire@lstmed.ac.uk</w:t>
        </w:r>
      </w:hyperlink>
    </w:p>
    <w:p w14:paraId="126350AF" w14:textId="77777777" w:rsidR="00DB7BF5" w:rsidRPr="00D33DC1" w:rsidRDefault="00DB7BF5" w:rsidP="00DE33A7">
      <w:pPr>
        <w:spacing w:line="360" w:lineRule="auto"/>
        <w:rPr>
          <w:rFonts w:ascii="Arial" w:eastAsia="Times New Roman" w:hAnsi="Arial" w:cs="Arial"/>
          <w:color w:val="000000"/>
          <w:lang w:eastAsia="en-GB"/>
        </w:rPr>
      </w:pPr>
    </w:p>
    <w:p w14:paraId="5CE34A53" w14:textId="69376A0F" w:rsidR="00D7640D" w:rsidRPr="00815142" w:rsidRDefault="00D7640D" w:rsidP="00815142">
      <w:pPr>
        <w:spacing w:line="480" w:lineRule="auto"/>
        <w:rPr>
          <w:rFonts w:eastAsia="Times New Roman" w:cs="Times New Roman"/>
          <w:caps/>
          <w:sz w:val="24"/>
          <w:szCs w:val="24"/>
        </w:rPr>
      </w:pPr>
      <w:r w:rsidRPr="00815142">
        <w:rPr>
          <w:rFonts w:eastAsia="Times New Roman" w:cs="Times New Roman"/>
          <w:caps/>
          <w:sz w:val="24"/>
          <w:szCs w:val="24"/>
        </w:rPr>
        <w:t>Acknowledgements</w:t>
      </w:r>
      <w:r w:rsidR="00B047C5">
        <w:rPr>
          <w:rFonts w:eastAsia="Times New Roman" w:cs="Times New Roman"/>
          <w:caps/>
          <w:sz w:val="24"/>
          <w:szCs w:val="24"/>
        </w:rPr>
        <w:t xml:space="preserve"> and conflict of interest statement</w:t>
      </w:r>
    </w:p>
    <w:p w14:paraId="400B7FB3" w14:textId="38130BA9" w:rsidR="0027241D" w:rsidRPr="0027241D" w:rsidRDefault="00372E09" w:rsidP="00815142">
      <w:pPr>
        <w:spacing w:line="480" w:lineRule="auto"/>
        <w:rPr>
          <w:rFonts w:ascii="Arial" w:eastAsia="Times New Roman" w:hAnsi="Arial" w:cs="Arial"/>
          <w:sz w:val="20"/>
          <w:szCs w:val="20"/>
        </w:rPr>
      </w:pPr>
      <w:r w:rsidRPr="0027241D">
        <w:rPr>
          <w:rFonts w:ascii="Arial" w:hAnsi="Arial" w:cs="Arial"/>
          <w:sz w:val="20"/>
          <w:szCs w:val="20"/>
        </w:rPr>
        <w:t xml:space="preserve">We wish to thank the independent members of the Trial Steering Committee (TSC): Professor Robert Horsburgh (Chair), Ms Thandie Balfour, Dr Frank </w:t>
      </w:r>
      <w:proofErr w:type="spellStart"/>
      <w:r w:rsidRPr="0027241D">
        <w:rPr>
          <w:rFonts w:ascii="Arial" w:hAnsi="Arial" w:cs="Arial"/>
          <w:sz w:val="20"/>
          <w:szCs w:val="20"/>
        </w:rPr>
        <w:t>Cobelens</w:t>
      </w:r>
      <w:proofErr w:type="spellEnd"/>
      <w:r w:rsidRPr="0027241D">
        <w:rPr>
          <w:rFonts w:ascii="Arial" w:hAnsi="Arial" w:cs="Arial"/>
          <w:sz w:val="20"/>
          <w:szCs w:val="20"/>
        </w:rPr>
        <w:t xml:space="preserve">, Dr Alwyn </w:t>
      </w:r>
      <w:proofErr w:type="spellStart"/>
      <w:r w:rsidRPr="0027241D">
        <w:rPr>
          <w:rFonts w:ascii="Arial" w:hAnsi="Arial" w:cs="Arial"/>
          <w:sz w:val="20"/>
          <w:szCs w:val="20"/>
        </w:rPr>
        <w:t>Mwinga</w:t>
      </w:r>
      <w:proofErr w:type="spellEnd"/>
      <w:r w:rsidRPr="0027241D">
        <w:rPr>
          <w:rFonts w:ascii="Arial" w:hAnsi="Arial" w:cs="Arial"/>
          <w:sz w:val="20"/>
          <w:szCs w:val="20"/>
        </w:rPr>
        <w:t xml:space="preserve">, Professor Jae-Joon </w:t>
      </w:r>
      <w:proofErr w:type="spellStart"/>
      <w:r w:rsidRPr="0027241D">
        <w:rPr>
          <w:rFonts w:ascii="Arial" w:hAnsi="Arial" w:cs="Arial"/>
          <w:sz w:val="20"/>
          <w:szCs w:val="20"/>
        </w:rPr>
        <w:t>Yim</w:t>
      </w:r>
      <w:proofErr w:type="spellEnd"/>
      <w:r w:rsidRPr="0027241D">
        <w:rPr>
          <w:rFonts w:ascii="Arial" w:hAnsi="Arial" w:cs="Arial"/>
          <w:sz w:val="20"/>
          <w:szCs w:val="20"/>
        </w:rPr>
        <w:t xml:space="preserve">. We would also like to thank </w:t>
      </w:r>
      <w:proofErr w:type="spellStart"/>
      <w:r w:rsidRPr="0027241D">
        <w:rPr>
          <w:rFonts w:ascii="Arial" w:hAnsi="Arial" w:cs="Arial"/>
          <w:sz w:val="20"/>
          <w:szCs w:val="20"/>
        </w:rPr>
        <w:t>YaDiul</w:t>
      </w:r>
      <w:proofErr w:type="spellEnd"/>
      <w:r w:rsidRPr="0027241D">
        <w:rPr>
          <w:rFonts w:ascii="Arial" w:hAnsi="Arial" w:cs="Arial"/>
          <w:sz w:val="20"/>
          <w:szCs w:val="20"/>
        </w:rPr>
        <w:t xml:space="preserve"> </w:t>
      </w:r>
      <w:proofErr w:type="spellStart"/>
      <w:r w:rsidRPr="0027241D">
        <w:rPr>
          <w:rFonts w:ascii="Arial" w:hAnsi="Arial" w:cs="Arial"/>
          <w:sz w:val="20"/>
          <w:szCs w:val="20"/>
        </w:rPr>
        <w:t>Mukadi</w:t>
      </w:r>
      <w:proofErr w:type="spellEnd"/>
      <w:r w:rsidRPr="0027241D">
        <w:rPr>
          <w:rFonts w:ascii="Arial" w:hAnsi="Arial" w:cs="Arial"/>
          <w:sz w:val="20"/>
          <w:szCs w:val="20"/>
        </w:rPr>
        <w:t xml:space="preserve"> of USAID for his support and advice throughout the STREAM trial and the many members of the partner organisations listed in the supplement</w:t>
      </w:r>
      <w:r w:rsidR="009D2A13">
        <w:rPr>
          <w:rFonts w:ascii="Arial" w:hAnsi="Arial" w:cs="Arial"/>
          <w:sz w:val="20"/>
          <w:szCs w:val="20"/>
        </w:rPr>
        <w:t>ary appendix</w:t>
      </w:r>
      <w:r w:rsidRPr="0027241D">
        <w:rPr>
          <w:rFonts w:ascii="Arial" w:hAnsi="Arial" w:cs="Arial"/>
          <w:sz w:val="20"/>
          <w:szCs w:val="20"/>
        </w:rPr>
        <w:t xml:space="preserve"> who were critical to the conduct of the study</w:t>
      </w:r>
      <w:r w:rsidR="0027241D" w:rsidRPr="0027241D">
        <w:rPr>
          <w:rFonts w:ascii="Arial" w:hAnsi="Arial" w:cs="Arial"/>
          <w:sz w:val="20"/>
          <w:szCs w:val="20"/>
        </w:rPr>
        <w:t xml:space="preserve">.  </w:t>
      </w:r>
      <w:r w:rsidR="0027241D" w:rsidRPr="0027241D">
        <w:rPr>
          <w:rFonts w:ascii="Arial" w:eastAsia="Times New Roman" w:hAnsi="Arial" w:cs="Arial"/>
          <w:sz w:val="20"/>
          <w:szCs w:val="20"/>
        </w:rPr>
        <w:t>We are grateful</w:t>
      </w:r>
      <w:r w:rsidR="00EE51F1" w:rsidRPr="0027241D">
        <w:rPr>
          <w:rFonts w:ascii="Arial" w:eastAsia="Times New Roman" w:hAnsi="Arial" w:cs="Arial"/>
          <w:sz w:val="20"/>
          <w:szCs w:val="20"/>
        </w:rPr>
        <w:t xml:space="preserve"> to</w:t>
      </w:r>
      <w:r w:rsidR="0027241D" w:rsidRPr="0027241D">
        <w:rPr>
          <w:rFonts w:ascii="Arial" w:eastAsia="Times New Roman" w:hAnsi="Arial" w:cs="Arial"/>
          <w:sz w:val="20"/>
          <w:szCs w:val="20"/>
        </w:rPr>
        <w:t xml:space="preserve"> Dr</w:t>
      </w:r>
      <w:r w:rsidR="00EE51F1" w:rsidRPr="0027241D">
        <w:rPr>
          <w:rFonts w:ascii="Arial" w:eastAsia="Times New Roman" w:hAnsi="Arial" w:cs="Arial"/>
          <w:sz w:val="20"/>
          <w:szCs w:val="20"/>
        </w:rPr>
        <w:t xml:space="preserve"> Gillian Mann for her contributions to early stages in designing </w:t>
      </w:r>
      <w:r w:rsidR="0027241D" w:rsidRPr="0027241D">
        <w:rPr>
          <w:rFonts w:ascii="Arial" w:eastAsia="Times New Roman" w:hAnsi="Arial" w:cs="Arial"/>
          <w:sz w:val="20"/>
          <w:szCs w:val="20"/>
        </w:rPr>
        <w:t>this economic evaluation</w:t>
      </w:r>
      <w:r w:rsidR="00EE51F1" w:rsidRPr="0027241D">
        <w:rPr>
          <w:rFonts w:ascii="Arial" w:eastAsia="Times New Roman" w:hAnsi="Arial" w:cs="Arial"/>
          <w:sz w:val="20"/>
          <w:szCs w:val="20"/>
        </w:rPr>
        <w:t>.</w:t>
      </w:r>
    </w:p>
    <w:p w14:paraId="21CEEB7E" w14:textId="559E96C9" w:rsidR="00EE51F1" w:rsidRPr="0027241D" w:rsidRDefault="00B047C5" w:rsidP="00815142">
      <w:pPr>
        <w:spacing w:line="480" w:lineRule="auto"/>
        <w:rPr>
          <w:rFonts w:ascii="Arial" w:eastAsia="Times New Roman" w:hAnsi="Arial" w:cs="Arial"/>
          <w:sz w:val="20"/>
          <w:szCs w:val="20"/>
        </w:rPr>
      </w:pPr>
      <w:r w:rsidRPr="0027241D">
        <w:rPr>
          <w:rFonts w:ascii="Arial" w:eastAsia="Times New Roman" w:hAnsi="Arial" w:cs="Arial"/>
          <w:sz w:val="20"/>
          <w:szCs w:val="20"/>
        </w:rPr>
        <w:lastRenderedPageBreak/>
        <w:t>The authors and collaborating authors have no conflicts of interest to declare.</w:t>
      </w:r>
    </w:p>
    <w:p w14:paraId="5611C902" w14:textId="03594259" w:rsidR="00F80742" w:rsidRDefault="00F80742" w:rsidP="00815142">
      <w:pPr>
        <w:spacing w:line="480" w:lineRule="auto"/>
        <w:rPr>
          <w:rFonts w:eastAsia="Times New Roman" w:cs="Times New Roman"/>
          <w:sz w:val="24"/>
          <w:szCs w:val="24"/>
        </w:rPr>
      </w:pPr>
    </w:p>
    <w:p w14:paraId="12530409" w14:textId="2C780DB7" w:rsidR="00F80742" w:rsidRDefault="00F80742" w:rsidP="00815142">
      <w:pPr>
        <w:spacing w:line="480" w:lineRule="auto"/>
        <w:rPr>
          <w:rFonts w:eastAsia="Times New Roman" w:cs="Times New Roman"/>
          <w:sz w:val="24"/>
          <w:szCs w:val="24"/>
        </w:rPr>
      </w:pPr>
    </w:p>
    <w:p w14:paraId="14B2DE0E" w14:textId="2CFD77E2" w:rsidR="00592B31" w:rsidRDefault="00592B31" w:rsidP="00815142">
      <w:pPr>
        <w:spacing w:line="480" w:lineRule="auto"/>
        <w:rPr>
          <w:rFonts w:eastAsia="Times New Roman" w:cs="Times New Roman"/>
          <w:sz w:val="24"/>
          <w:szCs w:val="24"/>
        </w:rPr>
      </w:pPr>
    </w:p>
    <w:p w14:paraId="12ECE6CE" w14:textId="77777777" w:rsidR="00592B31" w:rsidRDefault="00592B31" w:rsidP="00815142">
      <w:pPr>
        <w:spacing w:line="480" w:lineRule="auto"/>
        <w:rPr>
          <w:rFonts w:eastAsia="Times New Roman" w:cs="Times New Roman"/>
          <w:sz w:val="24"/>
          <w:szCs w:val="24"/>
        </w:rPr>
      </w:pPr>
    </w:p>
    <w:p w14:paraId="2D40F2BF" w14:textId="77777777" w:rsidR="004D0D05" w:rsidRPr="00C41C6F" w:rsidRDefault="004D0D05" w:rsidP="00815142">
      <w:pPr>
        <w:spacing w:line="480" w:lineRule="auto"/>
        <w:rPr>
          <w:rFonts w:eastAsia="Times New Roman" w:cs="Times New Roman"/>
          <w:sz w:val="24"/>
          <w:szCs w:val="24"/>
        </w:rPr>
      </w:pPr>
    </w:p>
    <w:p w14:paraId="264681F7" w14:textId="77777777" w:rsidR="004D0D05" w:rsidRPr="00815142" w:rsidRDefault="004D0D05" w:rsidP="00815142">
      <w:pPr>
        <w:spacing w:line="480" w:lineRule="auto"/>
        <w:rPr>
          <w:rFonts w:eastAsia="Times New Roman" w:cs="Times New Roman"/>
          <w:caps/>
          <w:sz w:val="24"/>
          <w:szCs w:val="24"/>
        </w:rPr>
      </w:pPr>
      <w:r w:rsidRPr="00815142">
        <w:rPr>
          <w:rFonts w:eastAsia="Times New Roman" w:cs="Times New Roman"/>
          <w:caps/>
          <w:sz w:val="24"/>
          <w:szCs w:val="24"/>
        </w:rPr>
        <w:t>Ethical approval statement</w:t>
      </w:r>
    </w:p>
    <w:p w14:paraId="79F4A36A" w14:textId="2ADCDCEE" w:rsidR="004D0D05" w:rsidRPr="00C41C6F" w:rsidRDefault="004D0D05" w:rsidP="00815142">
      <w:pPr>
        <w:spacing w:line="480" w:lineRule="auto"/>
        <w:rPr>
          <w:rFonts w:eastAsia="Times New Roman" w:cs="Times New Roman"/>
          <w:sz w:val="24"/>
          <w:szCs w:val="24"/>
        </w:rPr>
      </w:pPr>
      <w:r w:rsidRPr="00C41C6F">
        <w:rPr>
          <w:rFonts w:eastAsia="Times New Roman" w:cs="Times New Roman"/>
          <w:sz w:val="24"/>
          <w:szCs w:val="24"/>
        </w:rPr>
        <w:t>The study has been evaluated and approved by the Ethics Advisory Group of the International Union Against Tuberculosis and Lung Disease; South African Medical Research Ethics Committee; Wits Health Consortium Protocol Review Committee; University of the Witwatersrand Human Research Ethics Committee; University of Kwazulu-Natal Biomedical Research Ethics Committee; St Peter TB Specialized Hospital Ethical Review Committee; AHRI-ALERT Ethical Review Committee, and all participants provide</w:t>
      </w:r>
      <w:r w:rsidR="00191888">
        <w:rPr>
          <w:rFonts w:eastAsia="Times New Roman" w:cs="Times New Roman"/>
          <w:sz w:val="24"/>
          <w:szCs w:val="24"/>
        </w:rPr>
        <w:t>d</w:t>
      </w:r>
      <w:r w:rsidRPr="00C41C6F">
        <w:rPr>
          <w:rFonts w:eastAsia="Times New Roman" w:cs="Times New Roman"/>
          <w:sz w:val="24"/>
          <w:szCs w:val="24"/>
        </w:rPr>
        <w:t xml:space="preserve"> written informed consent. Trial registration number: ISRCTN78372190.</w:t>
      </w:r>
    </w:p>
    <w:p w14:paraId="2FAD4BED" w14:textId="77777777" w:rsidR="004D0D05" w:rsidRPr="00C41C6F" w:rsidRDefault="004D0D05" w:rsidP="00815142">
      <w:pPr>
        <w:spacing w:line="480" w:lineRule="auto"/>
        <w:rPr>
          <w:rFonts w:eastAsia="Times New Roman" w:cs="Times New Roman"/>
          <w:sz w:val="24"/>
          <w:szCs w:val="24"/>
        </w:rPr>
      </w:pPr>
    </w:p>
    <w:p w14:paraId="5E392A1E" w14:textId="77777777" w:rsidR="008F3538" w:rsidRDefault="008F3538" w:rsidP="00815142">
      <w:pPr>
        <w:spacing w:line="480" w:lineRule="auto"/>
        <w:rPr>
          <w:rFonts w:eastAsia="Times New Roman" w:cs="Times New Roman"/>
          <w:sz w:val="24"/>
          <w:szCs w:val="24"/>
        </w:rPr>
      </w:pPr>
    </w:p>
    <w:p w14:paraId="75206D3B" w14:textId="77777777" w:rsidR="008F3538" w:rsidRDefault="008F3538" w:rsidP="00815142">
      <w:pPr>
        <w:spacing w:line="480" w:lineRule="auto"/>
        <w:rPr>
          <w:rFonts w:eastAsia="Times New Roman" w:cs="Times New Roman"/>
          <w:sz w:val="24"/>
          <w:szCs w:val="24"/>
        </w:rPr>
      </w:pPr>
    </w:p>
    <w:p w14:paraId="22FB888E" w14:textId="77777777" w:rsidR="008F3538" w:rsidRDefault="008F3538" w:rsidP="00815142">
      <w:pPr>
        <w:spacing w:line="480" w:lineRule="auto"/>
        <w:rPr>
          <w:rFonts w:eastAsia="Times New Roman" w:cs="Times New Roman"/>
          <w:sz w:val="24"/>
          <w:szCs w:val="24"/>
        </w:rPr>
      </w:pPr>
    </w:p>
    <w:p w14:paraId="3F172FF7" w14:textId="77777777" w:rsidR="008F3538" w:rsidRDefault="008F3538" w:rsidP="00815142">
      <w:pPr>
        <w:spacing w:line="480" w:lineRule="auto"/>
        <w:rPr>
          <w:rFonts w:eastAsia="Times New Roman" w:cs="Times New Roman"/>
          <w:sz w:val="24"/>
          <w:szCs w:val="24"/>
        </w:rPr>
      </w:pPr>
    </w:p>
    <w:p w14:paraId="7D29BAAB" w14:textId="77777777" w:rsidR="008F3538" w:rsidRDefault="008F3538" w:rsidP="00815142">
      <w:pPr>
        <w:spacing w:line="480" w:lineRule="auto"/>
        <w:rPr>
          <w:rFonts w:eastAsia="Times New Roman" w:cs="Times New Roman"/>
          <w:sz w:val="24"/>
          <w:szCs w:val="24"/>
        </w:rPr>
      </w:pPr>
    </w:p>
    <w:p w14:paraId="754344EC" w14:textId="77777777" w:rsidR="008F3538" w:rsidRDefault="008F3538" w:rsidP="008F3538">
      <w:pPr>
        <w:rPr>
          <w:rFonts w:cs="Shaker 2 Lancet Regular"/>
          <w:b/>
          <w:color w:val="000000"/>
        </w:rPr>
      </w:pPr>
      <w:r w:rsidRPr="00445D42">
        <w:rPr>
          <w:rFonts w:cs="Shaker 2 Lancet Regular"/>
          <w:b/>
          <w:color w:val="000000"/>
        </w:rPr>
        <w:lastRenderedPageBreak/>
        <w:t>Evidence before this study</w:t>
      </w:r>
    </w:p>
    <w:p w14:paraId="30B809C5" w14:textId="5823AC9A" w:rsidR="008F3538" w:rsidRPr="005D5132" w:rsidRDefault="008F3538" w:rsidP="008F3538">
      <w:r>
        <w:t>While the World Health Organization (WHO) declared tuberculosis (TB) a global emergency 25 years ago, it is still among the top 10 causes of death worldwide and exacerbated by the rise of multidrug-resistant tuberculosis (MDR-TB).  MDR-TB</w:t>
      </w:r>
      <w:r w:rsidRPr="005D5132">
        <w:t xml:space="preserve"> affects almost half a million new </w:t>
      </w:r>
      <w:r>
        <w:t>people</w:t>
      </w:r>
      <w:r w:rsidRPr="005D5132">
        <w:t xml:space="preserve"> each year</w:t>
      </w:r>
      <w:r>
        <w:t xml:space="preserve"> and is estimated to account for one third of deaths attributable to antimicrobial resistance globally.  From 2011 until recently</w:t>
      </w:r>
      <w:r w:rsidR="00710FB4">
        <w:t>,</w:t>
      </w:r>
      <w:r>
        <w:t xml:space="preserve"> WHO recommended multi-drug treatment regimens lasting 20-24 months, including eight months of daily injections in the intensive phase. Previous economic analyses have showed that these long regimens carry prohibitive costs for both TB programmes and patients so that only 25 percent of the estimated number of MDR-TB cases were diagnosed and notified in 2016 and only just over 50 percent of patients enrolled in treatment are successfully treated.  A shorter regimen might, therefore, be crucial in improving both enrolment and treatment success and, thereby, achieving the End TB Strategy targets. </w:t>
      </w:r>
    </w:p>
    <w:p w14:paraId="1F5BA41C" w14:textId="77777777" w:rsidR="008F3538" w:rsidRDefault="008F3538" w:rsidP="008F3538">
      <w:r>
        <w:t>O</w:t>
      </w:r>
      <w:r w:rsidRPr="005D5132">
        <w:t>bservational cohort studies</w:t>
      </w:r>
      <w:r>
        <w:t xml:space="preserve"> conducted</w:t>
      </w:r>
      <w:r w:rsidRPr="005D5132">
        <w:t xml:space="preserve"> in Bangladesh </w:t>
      </w:r>
      <w:r>
        <w:t xml:space="preserve">identified a </w:t>
      </w:r>
      <w:r w:rsidRPr="005D5132">
        <w:t xml:space="preserve">9-11-month </w:t>
      </w:r>
      <w:r>
        <w:t xml:space="preserve">“Short </w:t>
      </w:r>
      <w:r w:rsidRPr="005D5132">
        <w:t>regimen</w:t>
      </w:r>
      <w:r>
        <w:t>”</w:t>
      </w:r>
      <w:r w:rsidRPr="005D5132">
        <w:t xml:space="preserve"> </w:t>
      </w:r>
      <w:r>
        <w:t>which yielded</w:t>
      </w:r>
      <w:r w:rsidRPr="005D5132">
        <w:t xml:space="preserve"> encouraging results. This </w:t>
      </w:r>
      <w:r>
        <w:t xml:space="preserve">shorter MDR-TB </w:t>
      </w:r>
      <w:r w:rsidRPr="005D5132">
        <w:t>treatment was subsequently implemented in several countries in West Africa</w:t>
      </w:r>
      <w:r>
        <w:t xml:space="preserve"> and WHO updated its guidance and recommended use of the Short month regimen under certain conditions.  However, this guidance was based on ‘very low quality’ evidence because there were </w:t>
      </w:r>
      <w:r w:rsidRPr="005D5132">
        <w:t>no</w:t>
      </w:r>
      <w:r>
        <w:t xml:space="preserve"> published</w:t>
      </w:r>
      <w:r w:rsidRPr="005D5132">
        <w:t xml:space="preserve"> phase </w:t>
      </w:r>
      <w:r>
        <w:t>III</w:t>
      </w:r>
      <w:r w:rsidRPr="005D5132">
        <w:t xml:space="preserve"> randomised </w:t>
      </w:r>
      <w:r>
        <w:t xml:space="preserve">controlled </w:t>
      </w:r>
      <w:r w:rsidRPr="005D5132">
        <w:t xml:space="preserve">trials </w:t>
      </w:r>
      <w:r>
        <w:t>of any</w:t>
      </w:r>
      <w:r w:rsidRPr="005D5132">
        <w:t xml:space="preserve"> regimens for MDR-TB</w:t>
      </w:r>
      <w:r>
        <w:t>.  Furthermore, given the</w:t>
      </w:r>
      <w:r w:rsidRPr="005D5132">
        <w:t xml:space="preserve"> evidence on the economic impact of MDR-TB</w:t>
      </w:r>
      <w:r>
        <w:t xml:space="preserve">, the </w:t>
      </w:r>
      <w:r w:rsidRPr="005D5132">
        <w:t>global policy goals of financial protection and elimination of catastrophic costs for patients, and the resource constraints facing health system</w:t>
      </w:r>
      <w:r>
        <w:t>s</w:t>
      </w:r>
      <w:r w:rsidRPr="005D5132">
        <w:t xml:space="preserve"> in countries where MDR-TB is a significant issue, there was a clear need for </w:t>
      </w:r>
      <w:r>
        <w:t>a within-trial</w:t>
      </w:r>
      <w:r w:rsidRPr="005D5132">
        <w:t xml:space="preserve"> economic evaluation</w:t>
      </w:r>
      <w:r>
        <w:t xml:space="preserve"> of any phase III randomised controlled trial of a shortened MDR-TB regimen.</w:t>
      </w:r>
    </w:p>
    <w:p w14:paraId="19B37BF9" w14:textId="77777777" w:rsidR="008F3538" w:rsidRDefault="008F3538" w:rsidP="008F3538">
      <w:pPr>
        <w:rPr>
          <w:rFonts w:cs="Shaker 2 Lancet Regular"/>
          <w:b/>
          <w:color w:val="000000"/>
        </w:rPr>
      </w:pPr>
    </w:p>
    <w:p w14:paraId="15A7C2F8" w14:textId="77777777" w:rsidR="008F3538" w:rsidRDefault="008F3538" w:rsidP="008F3538">
      <w:pPr>
        <w:rPr>
          <w:rFonts w:cs="Shaker 2 Lancet Regular"/>
          <w:b/>
          <w:color w:val="000000"/>
        </w:rPr>
      </w:pPr>
      <w:r w:rsidRPr="00445D42">
        <w:rPr>
          <w:rFonts w:cs="Shaker 2 Lancet Regular"/>
          <w:b/>
          <w:color w:val="000000"/>
        </w:rPr>
        <w:t>Added value of this study</w:t>
      </w:r>
    </w:p>
    <w:p w14:paraId="5FEF70D2" w14:textId="686C8562" w:rsidR="008F3538" w:rsidRDefault="008F3538" w:rsidP="008F3538">
      <w:r w:rsidRPr="005D5132">
        <w:t xml:space="preserve">STREAM </w:t>
      </w:r>
      <w:r>
        <w:t>was</w:t>
      </w:r>
      <w:r w:rsidRPr="005D5132">
        <w:t xml:space="preserve"> the first</w:t>
      </w:r>
      <w:r>
        <w:t xml:space="preserve"> randomised, non-inferiority phase III trial to compare a Short regimen </w:t>
      </w:r>
      <w:proofErr w:type="gramStart"/>
      <w:r>
        <w:t>similar to</w:t>
      </w:r>
      <w:proofErr w:type="gramEnd"/>
      <w:r>
        <w:t xml:space="preserve"> that given in Bangladesh with the locally used MDR-TB regimen that followed the 2011 WHO guidelines and is the first</w:t>
      </w:r>
      <w:r w:rsidRPr="005D5132">
        <w:t xml:space="preserve"> study to </w:t>
      </w:r>
      <w:r>
        <w:t xml:space="preserve">include a prospective assessment of the </w:t>
      </w:r>
      <w:r w:rsidRPr="005D5132">
        <w:t>MDR-TB treatment</w:t>
      </w:r>
      <w:r>
        <w:t xml:space="preserve"> costs</w:t>
      </w:r>
      <w:r w:rsidRPr="005D5132">
        <w:t xml:space="preserve"> to participants and </w:t>
      </w:r>
      <w:r>
        <w:t>health systems within the clinical trial</w:t>
      </w:r>
      <w:r w:rsidRPr="005D5132">
        <w:t xml:space="preserve">. </w:t>
      </w:r>
      <w:r>
        <w:t>Using cost data and efficacy outcomes from a total of four STREAM trial sites in Ethiopia and South Africa, the cost-effectiveness analysis reported in this paper shows that the probability that the Short regimen is cost-effective is above 95% if the willingness to pay for each additional favourable outcome is less than US$19,000 in Ethiopia and US$14,500 in South Africa. This study</w:t>
      </w:r>
      <w:r w:rsidRPr="005D5132">
        <w:t xml:space="preserve"> provides evidence on the nature, magnitude and timing of changes in costs to participants and health systems that would result from switching to the Short regimen.</w:t>
      </w:r>
      <w:r>
        <w:t xml:space="preserve"> As the trial demonstrated that the Short regimen is non-inferior to the 20-24-month regimen, the economic evidence presented in this paper will be crucial for health policy and practice decisions about uptake and implementation of the Short regimen</w:t>
      </w:r>
      <w:bookmarkStart w:id="4" w:name="_Hlk18081037"/>
      <w:r>
        <w:t>.</w:t>
      </w:r>
      <w:r w:rsidR="00710FB4">
        <w:t xml:space="preserve"> T</w:t>
      </w:r>
      <w:r w:rsidR="00710FB4">
        <w:rPr>
          <w:rFonts w:ascii="Calibri" w:eastAsia="Calibri" w:hAnsi="Calibri" w:cs="Times New Roman"/>
          <w:iCs/>
          <w:lang w:eastAsia="en-GB"/>
        </w:rPr>
        <w:t>he field of MDR-TB management is advancing rapidly to include all-oral regimens and regimens of varying durations.  While these have not been directly assessed within this trial, the comparative data on the nature and magnitude of costs of different regimens and models of care presented here are useful to all who are implementing and investigating improved therapy for MDR-TB.</w:t>
      </w:r>
      <w:bookmarkEnd w:id="4"/>
    </w:p>
    <w:p w14:paraId="426B3996" w14:textId="73E6ED47" w:rsidR="00432FE9" w:rsidRDefault="00D7640D" w:rsidP="00815142">
      <w:pPr>
        <w:spacing w:line="480" w:lineRule="auto"/>
        <w:rPr>
          <w:rFonts w:eastAsia="Times New Roman" w:cs="Times New Roman"/>
          <w:sz w:val="24"/>
          <w:szCs w:val="24"/>
        </w:rPr>
      </w:pPr>
      <w:r w:rsidRPr="00C41C6F">
        <w:rPr>
          <w:rFonts w:eastAsia="Times New Roman" w:cs="Times New Roman"/>
          <w:sz w:val="24"/>
          <w:szCs w:val="24"/>
        </w:rPr>
        <w:br w:type="page"/>
      </w:r>
    </w:p>
    <w:p w14:paraId="25F52615" w14:textId="5E58E2DA" w:rsidR="00D7640D" w:rsidRPr="00815142" w:rsidRDefault="00432FE9" w:rsidP="00815142">
      <w:pPr>
        <w:spacing w:line="480" w:lineRule="auto"/>
        <w:jc w:val="center"/>
        <w:rPr>
          <w:rFonts w:eastAsia="Times New Roman" w:cs="Times New Roman"/>
          <w:sz w:val="28"/>
          <w:szCs w:val="28"/>
        </w:rPr>
      </w:pPr>
      <w:r w:rsidRPr="00815142">
        <w:rPr>
          <w:rFonts w:eastAsia="Times New Roman" w:cs="Times New Roman"/>
          <w:sz w:val="28"/>
          <w:szCs w:val="28"/>
        </w:rPr>
        <w:lastRenderedPageBreak/>
        <w:t>ABSTRACT</w:t>
      </w:r>
      <w:r w:rsidR="00DE5FB3" w:rsidRPr="00815142">
        <w:rPr>
          <w:rFonts w:eastAsia="Times New Roman" w:cs="Times New Roman"/>
          <w:sz w:val="28"/>
          <w:szCs w:val="28"/>
        </w:rPr>
        <w:t xml:space="preserve"> (</w:t>
      </w:r>
      <w:r w:rsidR="003E0130">
        <w:rPr>
          <w:rFonts w:eastAsia="Times New Roman" w:cs="Times New Roman"/>
          <w:sz w:val="28"/>
          <w:szCs w:val="28"/>
        </w:rPr>
        <w:t>2</w:t>
      </w:r>
      <w:r w:rsidR="00B22B0E">
        <w:rPr>
          <w:rFonts w:eastAsia="Times New Roman" w:cs="Times New Roman"/>
          <w:sz w:val="28"/>
          <w:szCs w:val="28"/>
        </w:rPr>
        <w:t>4</w:t>
      </w:r>
      <w:r w:rsidR="00DD4D02">
        <w:rPr>
          <w:rFonts w:eastAsia="Times New Roman" w:cs="Times New Roman"/>
          <w:sz w:val="28"/>
          <w:szCs w:val="28"/>
        </w:rPr>
        <w:t>6</w:t>
      </w:r>
      <w:r w:rsidR="009B6C11">
        <w:rPr>
          <w:rFonts w:eastAsia="Times New Roman" w:cs="Times New Roman"/>
          <w:sz w:val="28"/>
          <w:szCs w:val="28"/>
        </w:rPr>
        <w:t xml:space="preserve"> </w:t>
      </w:r>
      <w:r w:rsidR="009C2E4C" w:rsidRPr="00815142">
        <w:rPr>
          <w:rFonts w:eastAsia="Times New Roman" w:cs="Times New Roman"/>
          <w:sz w:val="28"/>
          <w:szCs w:val="28"/>
        </w:rPr>
        <w:t>words)</w:t>
      </w:r>
    </w:p>
    <w:p w14:paraId="48C2B903" w14:textId="77777777" w:rsidR="00432FE9" w:rsidRDefault="00432FE9" w:rsidP="00815142">
      <w:pPr>
        <w:spacing w:line="480" w:lineRule="auto"/>
        <w:rPr>
          <w:rFonts w:eastAsia="Times New Roman" w:cs="Times New Roman"/>
          <w:sz w:val="24"/>
          <w:szCs w:val="24"/>
        </w:rPr>
      </w:pPr>
    </w:p>
    <w:p w14:paraId="53EA8BF1" w14:textId="36CC28E1" w:rsidR="00432FE9" w:rsidRPr="0052530D" w:rsidRDefault="00D2299B" w:rsidP="00815142">
      <w:pPr>
        <w:spacing w:line="480" w:lineRule="auto"/>
        <w:rPr>
          <w:rFonts w:eastAsia="Times New Roman" w:cs="Times New Roman"/>
          <w:sz w:val="24"/>
          <w:szCs w:val="24"/>
        </w:rPr>
      </w:pPr>
      <w:r>
        <w:rPr>
          <w:rFonts w:eastAsia="Times New Roman" w:cs="Times New Roman"/>
          <w:sz w:val="24"/>
          <w:szCs w:val="24"/>
        </w:rPr>
        <w:t>OBJECTIVE</w:t>
      </w:r>
    </w:p>
    <w:p w14:paraId="06FC78AF" w14:textId="2C702C6D" w:rsidR="00432FE9" w:rsidRDefault="000A252A" w:rsidP="00815142">
      <w:pPr>
        <w:spacing w:after="0" w:line="480" w:lineRule="auto"/>
        <w:rPr>
          <w:rFonts w:eastAsia="Times New Roman" w:cs="Times New Roman"/>
          <w:sz w:val="24"/>
          <w:szCs w:val="24"/>
        </w:rPr>
      </w:pPr>
      <w:r>
        <w:rPr>
          <w:rFonts w:eastAsia="Times New Roman" w:cs="Times New Roman"/>
          <w:sz w:val="24"/>
          <w:szCs w:val="24"/>
        </w:rPr>
        <w:t>STREAM</w:t>
      </w:r>
      <w:r w:rsidR="00596A18">
        <w:rPr>
          <w:rFonts w:eastAsia="Times New Roman" w:cs="Times New Roman"/>
          <w:sz w:val="24"/>
          <w:szCs w:val="24"/>
        </w:rPr>
        <w:t xml:space="preserve"> was a phase</w:t>
      </w:r>
      <w:r w:rsidR="00E37006">
        <w:rPr>
          <w:rFonts w:eastAsia="Times New Roman" w:cs="Times New Roman"/>
          <w:sz w:val="24"/>
          <w:szCs w:val="24"/>
        </w:rPr>
        <w:t>-</w:t>
      </w:r>
      <w:r w:rsidR="00596A18">
        <w:rPr>
          <w:rFonts w:eastAsia="Times New Roman" w:cs="Times New Roman"/>
          <w:sz w:val="24"/>
          <w:szCs w:val="24"/>
        </w:rPr>
        <w:t>III non-inferiority randomised controlled</w:t>
      </w:r>
      <w:r>
        <w:rPr>
          <w:rFonts w:eastAsia="Times New Roman" w:cs="Times New Roman"/>
          <w:sz w:val="24"/>
          <w:szCs w:val="24"/>
        </w:rPr>
        <w:t xml:space="preserve"> trial</w:t>
      </w:r>
      <w:r w:rsidR="007735F5">
        <w:rPr>
          <w:rFonts w:eastAsia="Times New Roman" w:cs="Times New Roman"/>
          <w:sz w:val="24"/>
          <w:szCs w:val="24"/>
        </w:rPr>
        <w:t xml:space="preserve"> (RCT)</w:t>
      </w:r>
      <w:r w:rsidR="00596A18">
        <w:rPr>
          <w:rFonts w:eastAsia="Times New Roman" w:cs="Times New Roman"/>
          <w:sz w:val="24"/>
          <w:szCs w:val="24"/>
        </w:rPr>
        <w:t xml:space="preserve"> to</w:t>
      </w:r>
      <w:r>
        <w:rPr>
          <w:rFonts w:eastAsia="Times New Roman" w:cs="Times New Roman"/>
          <w:sz w:val="24"/>
          <w:szCs w:val="24"/>
        </w:rPr>
        <w:t xml:space="preserve"> </w:t>
      </w:r>
      <w:r w:rsidR="006B117A">
        <w:rPr>
          <w:rFonts w:eastAsia="Times New Roman" w:cs="Times New Roman"/>
          <w:sz w:val="24"/>
          <w:szCs w:val="24"/>
        </w:rPr>
        <w:t xml:space="preserve">evaluate a </w:t>
      </w:r>
      <w:r w:rsidR="00432FE9" w:rsidRPr="00A9627D">
        <w:rPr>
          <w:rFonts w:eastAsia="Times New Roman" w:cs="Times New Roman"/>
          <w:sz w:val="24"/>
          <w:szCs w:val="24"/>
        </w:rPr>
        <w:t xml:space="preserve">shortened regimen for </w:t>
      </w:r>
      <w:r w:rsidR="001A094A">
        <w:rPr>
          <w:rFonts w:eastAsia="Times New Roman" w:cs="Times New Roman"/>
          <w:sz w:val="24"/>
          <w:szCs w:val="24"/>
        </w:rPr>
        <w:t>multi-drug resistant tuberculosis (</w:t>
      </w:r>
      <w:r w:rsidR="00432FE9" w:rsidRPr="00A9627D">
        <w:rPr>
          <w:rFonts w:eastAsia="Times New Roman" w:cs="Times New Roman"/>
          <w:sz w:val="24"/>
          <w:szCs w:val="24"/>
        </w:rPr>
        <w:t>MDR-TB</w:t>
      </w:r>
      <w:proofErr w:type="gramStart"/>
      <w:r w:rsidR="00E37006">
        <w:rPr>
          <w:rFonts w:eastAsia="Times New Roman" w:cs="Times New Roman"/>
          <w:sz w:val="24"/>
          <w:szCs w:val="24"/>
        </w:rPr>
        <w:t>), and</w:t>
      </w:r>
      <w:proofErr w:type="gramEnd"/>
      <w:r w:rsidR="00104C72">
        <w:rPr>
          <w:rFonts w:eastAsia="Times New Roman" w:cs="Times New Roman"/>
          <w:sz w:val="24"/>
          <w:szCs w:val="24"/>
        </w:rPr>
        <w:t xml:space="preserve"> included the first-ever</w:t>
      </w:r>
      <w:r w:rsidR="00261BF9">
        <w:rPr>
          <w:rFonts w:eastAsia="Times New Roman" w:cs="Times New Roman"/>
          <w:sz w:val="24"/>
          <w:szCs w:val="24"/>
        </w:rPr>
        <w:t xml:space="preserve"> within-trial economic evaluation </w:t>
      </w:r>
      <w:r w:rsidR="006B117A">
        <w:rPr>
          <w:rFonts w:eastAsia="Times New Roman" w:cs="Times New Roman"/>
          <w:sz w:val="24"/>
          <w:szCs w:val="24"/>
        </w:rPr>
        <w:t>of such regimens,</w:t>
      </w:r>
      <w:r w:rsidR="00C418DD">
        <w:rPr>
          <w:rFonts w:eastAsia="Times New Roman" w:cs="Times New Roman"/>
          <w:sz w:val="24"/>
          <w:szCs w:val="24"/>
        </w:rPr>
        <w:t xml:space="preserve"> reported here. </w:t>
      </w:r>
    </w:p>
    <w:p w14:paraId="0EADC2B5" w14:textId="77777777" w:rsidR="004E654C" w:rsidRPr="00A9627D" w:rsidRDefault="004E654C" w:rsidP="00815142">
      <w:pPr>
        <w:spacing w:after="0" w:line="480" w:lineRule="auto"/>
        <w:rPr>
          <w:rFonts w:eastAsia="Times New Roman" w:cs="Times New Roman"/>
          <w:sz w:val="24"/>
          <w:szCs w:val="24"/>
        </w:rPr>
      </w:pPr>
    </w:p>
    <w:p w14:paraId="2797DC61" w14:textId="2D64B39A" w:rsidR="00432FE9" w:rsidRPr="0052530D" w:rsidRDefault="00432FE9" w:rsidP="00815142">
      <w:pPr>
        <w:spacing w:line="480" w:lineRule="auto"/>
        <w:rPr>
          <w:rFonts w:eastAsia="Times New Roman" w:cs="Times New Roman"/>
          <w:sz w:val="24"/>
          <w:szCs w:val="24"/>
        </w:rPr>
      </w:pPr>
      <w:r w:rsidRPr="0052530D">
        <w:rPr>
          <w:rFonts w:eastAsia="Times New Roman" w:cs="Times New Roman"/>
          <w:sz w:val="24"/>
          <w:szCs w:val="24"/>
        </w:rPr>
        <w:t>M</w:t>
      </w:r>
      <w:r w:rsidR="004E654C">
        <w:rPr>
          <w:rFonts w:eastAsia="Times New Roman" w:cs="Times New Roman"/>
          <w:sz w:val="24"/>
          <w:szCs w:val="24"/>
        </w:rPr>
        <w:t>ETHODS</w:t>
      </w:r>
    </w:p>
    <w:p w14:paraId="79A87C07" w14:textId="66651B1A" w:rsidR="00346B45" w:rsidRDefault="00201475" w:rsidP="00815142">
      <w:pPr>
        <w:spacing w:line="480" w:lineRule="auto"/>
        <w:rPr>
          <w:rFonts w:eastAsia="Times New Roman" w:cs="Times New Roman"/>
          <w:sz w:val="24"/>
          <w:szCs w:val="24"/>
        </w:rPr>
      </w:pPr>
      <w:r w:rsidRPr="00967CA7">
        <w:rPr>
          <w:rFonts w:eastAsia="Times New Roman" w:cs="Times New Roman"/>
          <w:sz w:val="24"/>
          <w:szCs w:val="24"/>
        </w:rPr>
        <w:t xml:space="preserve">We compared </w:t>
      </w:r>
      <w:r w:rsidR="000A252A">
        <w:rPr>
          <w:rFonts w:eastAsia="Times New Roman" w:cs="Times New Roman"/>
          <w:sz w:val="24"/>
          <w:szCs w:val="24"/>
        </w:rPr>
        <w:t>the costs</w:t>
      </w:r>
      <w:r w:rsidRPr="00967CA7">
        <w:rPr>
          <w:rFonts w:eastAsia="Times New Roman" w:cs="Times New Roman"/>
          <w:sz w:val="24"/>
          <w:szCs w:val="24"/>
        </w:rPr>
        <w:t xml:space="preserve"> </w:t>
      </w:r>
      <w:r w:rsidR="00C4672F">
        <w:rPr>
          <w:rFonts w:eastAsia="Times New Roman" w:cs="Times New Roman"/>
          <w:sz w:val="24"/>
          <w:szCs w:val="24"/>
        </w:rPr>
        <w:t>of</w:t>
      </w:r>
      <w:r w:rsidR="00C4672F" w:rsidRPr="00967CA7">
        <w:rPr>
          <w:rFonts w:eastAsia="Times New Roman" w:cs="Times New Roman"/>
          <w:sz w:val="24"/>
          <w:szCs w:val="24"/>
        </w:rPr>
        <w:t xml:space="preserve"> </w:t>
      </w:r>
      <w:r w:rsidR="001310DC">
        <w:rPr>
          <w:rFonts w:eastAsia="Times New Roman" w:cs="Times New Roman"/>
          <w:sz w:val="24"/>
          <w:szCs w:val="24"/>
        </w:rPr>
        <w:t>‘</w:t>
      </w:r>
      <w:r w:rsidR="00C4672F" w:rsidRPr="00967CA7">
        <w:rPr>
          <w:rFonts w:eastAsia="Times New Roman" w:cs="Times New Roman"/>
          <w:sz w:val="24"/>
          <w:szCs w:val="24"/>
        </w:rPr>
        <w:t>Long</w:t>
      </w:r>
      <w:r w:rsidR="001310DC">
        <w:rPr>
          <w:rFonts w:eastAsia="Times New Roman" w:cs="Times New Roman"/>
          <w:sz w:val="24"/>
          <w:szCs w:val="24"/>
        </w:rPr>
        <w:t>’</w:t>
      </w:r>
      <w:r w:rsidR="00C4672F" w:rsidRPr="00967CA7">
        <w:rPr>
          <w:rFonts w:eastAsia="Times New Roman" w:cs="Times New Roman"/>
          <w:sz w:val="24"/>
          <w:szCs w:val="24"/>
        </w:rPr>
        <w:t xml:space="preserve"> (</w:t>
      </w:r>
      <w:r w:rsidRPr="00967CA7">
        <w:rPr>
          <w:rFonts w:eastAsia="Times New Roman" w:cs="Times New Roman"/>
          <w:sz w:val="24"/>
          <w:szCs w:val="24"/>
        </w:rPr>
        <w:t>20</w:t>
      </w:r>
      <w:r w:rsidR="00B67ABD">
        <w:rPr>
          <w:rFonts w:eastAsia="Times New Roman" w:cs="Times New Roman"/>
          <w:sz w:val="24"/>
          <w:szCs w:val="24"/>
        </w:rPr>
        <w:t>-22</w:t>
      </w:r>
      <w:r w:rsidRPr="00967CA7">
        <w:rPr>
          <w:rFonts w:eastAsia="Times New Roman" w:cs="Times New Roman"/>
          <w:sz w:val="24"/>
          <w:szCs w:val="24"/>
        </w:rPr>
        <w:t xml:space="preserve"> months) </w:t>
      </w:r>
      <w:r w:rsidR="006B117A">
        <w:rPr>
          <w:rFonts w:eastAsia="Times New Roman" w:cs="Times New Roman"/>
          <w:sz w:val="24"/>
          <w:szCs w:val="24"/>
        </w:rPr>
        <w:t>and</w:t>
      </w:r>
      <w:r w:rsidRPr="00967CA7">
        <w:rPr>
          <w:rFonts w:eastAsia="Times New Roman" w:cs="Times New Roman"/>
          <w:sz w:val="24"/>
          <w:szCs w:val="24"/>
        </w:rPr>
        <w:t xml:space="preserve"> </w:t>
      </w:r>
      <w:r w:rsidR="001310DC">
        <w:rPr>
          <w:rFonts w:eastAsia="Times New Roman" w:cs="Times New Roman"/>
          <w:sz w:val="24"/>
          <w:szCs w:val="24"/>
        </w:rPr>
        <w:t>‘</w:t>
      </w:r>
      <w:r w:rsidRPr="00967CA7">
        <w:rPr>
          <w:rFonts w:eastAsia="Times New Roman" w:cs="Times New Roman"/>
          <w:sz w:val="24"/>
          <w:szCs w:val="24"/>
        </w:rPr>
        <w:t>Short</w:t>
      </w:r>
      <w:r w:rsidR="001310DC">
        <w:rPr>
          <w:rFonts w:eastAsia="Times New Roman" w:cs="Times New Roman"/>
          <w:sz w:val="24"/>
          <w:szCs w:val="24"/>
        </w:rPr>
        <w:t>’</w:t>
      </w:r>
      <w:r w:rsidRPr="00967CA7">
        <w:rPr>
          <w:rFonts w:eastAsia="Times New Roman" w:cs="Times New Roman"/>
          <w:sz w:val="24"/>
          <w:szCs w:val="24"/>
        </w:rPr>
        <w:t xml:space="preserve"> </w:t>
      </w:r>
      <w:r w:rsidR="000A252A">
        <w:rPr>
          <w:rFonts w:eastAsia="Times New Roman" w:cs="Times New Roman"/>
          <w:sz w:val="24"/>
          <w:szCs w:val="24"/>
        </w:rPr>
        <w:t>(9-11 months)</w:t>
      </w:r>
      <w:r w:rsidR="006B117A">
        <w:rPr>
          <w:rFonts w:eastAsia="Times New Roman" w:cs="Times New Roman"/>
          <w:sz w:val="24"/>
          <w:szCs w:val="24"/>
        </w:rPr>
        <w:t xml:space="preserve"> </w:t>
      </w:r>
      <w:r w:rsidR="006B117A" w:rsidRPr="00967CA7">
        <w:rPr>
          <w:rFonts w:eastAsia="Times New Roman" w:cs="Times New Roman"/>
          <w:sz w:val="24"/>
          <w:szCs w:val="24"/>
        </w:rPr>
        <w:t>regimen</w:t>
      </w:r>
      <w:r w:rsidR="006B117A">
        <w:rPr>
          <w:rFonts w:eastAsia="Times New Roman" w:cs="Times New Roman"/>
          <w:sz w:val="24"/>
          <w:szCs w:val="24"/>
        </w:rPr>
        <w:t>s</w:t>
      </w:r>
      <w:r w:rsidR="00EC0977">
        <w:rPr>
          <w:rFonts w:eastAsia="Times New Roman" w:cs="Times New Roman"/>
          <w:sz w:val="24"/>
          <w:szCs w:val="24"/>
        </w:rPr>
        <w:t xml:space="preserve"> in Ethiopia and</w:t>
      </w:r>
      <w:r w:rsidR="00EC0977" w:rsidRPr="0052530D">
        <w:rPr>
          <w:rFonts w:eastAsia="Times New Roman" w:cs="Times New Roman"/>
          <w:sz w:val="24"/>
          <w:szCs w:val="24"/>
        </w:rPr>
        <w:t xml:space="preserve"> South Africa</w:t>
      </w:r>
      <w:r w:rsidR="00AE0C78">
        <w:rPr>
          <w:rFonts w:eastAsia="Times New Roman" w:cs="Times New Roman"/>
          <w:sz w:val="24"/>
          <w:szCs w:val="24"/>
        </w:rPr>
        <w:t xml:space="preserve">. </w:t>
      </w:r>
      <w:r w:rsidR="00346B45" w:rsidRPr="0052530D">
        <w:rPr>
          <w:rFonts w:eastAsia="Times New Roman" w:cs="Times New Roman"/>
          <w:sz w:val="24"/>
          <w:szCs w:val="24"/>
        </w:rPr>
        <w:t xml:space="preserve"> </w:t>
      </w:r>
      <w:r w:rsidR="0096205D">
        <w:rPr>
          <w:rFonts w:eastAsia="Times New Roman" w:cs="Times New Roman"/>
          <w:sz w:val="24"/>
          <w:szCs w:val="24"/>
        </w:rPr>
        <w:t>C</w:t>
      </w:r>
      <w:r w:rsidR="00346B45" w:rsidRPr="0052530D">
        <w:rPr>
          <w:rFonts w:eastAsia="Times New Roman" w:cs="Times New Roman"/>
          <w:sz w:val="24"/>
          <w:szCs w:val="24"/>
        </w:rPr>
        <w:t>ost data were collected from</w:t>
      </w:r>
      <w:r w:rsidR="00A14E0A">
        <w:rPr>
          <w:rFonts w:eastAsia="Times New Roman" w:cs="Times New Roman"/>
          <w:sz w:val="24"/>
          <w:szCs w:val="24"/>
        </w:rPr>
        <w:t xml:space="preserve"> trial</w:t>
      </w:r>
      <w:r w:rsidR="00346B45" w:rsidRPr="0052530D">
        <w:rPr>
          <w:rFonts w:eastAsia="Times New Roman" w:cs="Times New Roman"/>
          <w:sz w:val="24"/>
          <w:szCs w:val="24"/>
        </w:rPr>
        <w:t xml:space="preserve"> participants</w:t>
      </w:r>
      <w:r w:rsidR="00EC0977">
        <w:rPr>
          <w:rFonts w:eastAsia="Times New Roman" w:cs="Times New Roman"/>
          <w:sz w:val="24"/>
          <w:szCs w:val="24"/>
        </w:rPr>
        <w:t xml:space="preserve">, and health system </w:t>
      </w:r>
      <w:r w:rsidR="006B117A">
        <w:rPr>
          <w:rFonts w:eastAsia="Times New Roman" w:cs="Times New Roman"/>
          <w:sz w:val="24"/>
          <w:szCs w:val="24"/>
        </w:rPr>
        <w:t>costs</w:t>
      </w:r>
      <w:r w:rsidR="00EC0977">
        <w:rPr>
          <w:rFonts w:eastAsia="Times New Roman" w:cs="Times New Roman"/>
          <w:sz w:val="24"/>
          <w:szCs w:val="24"/>
        </w:rPr>
        <w:t xml:space="preserve"> estimated using</w:t>
      </w:r>
      <w:r w:rsidR="00CB4B83">
        <w:rPr>
          <w:rFonts w:eastAsia="Times New Roman" w:cs="Times New Roman"/>
          <w:sz w:val="24"/>
          <w:szCs w:val="24"/>
        </w:rPr>
        <w:t xml:space="preserve"> </w:t>
      </w:r>
      <w:r w:rsidR="001310DC">
        <w:rPr>
          <w:rFonts w:eastAsia="Times New Roman" w:cs="Times New Roman"/>
          <w:sz w:val="24"/>
          <w:szCs w:val="24"/>
        </w:rPr>
        <w:t>‘</w:t>
      </w:r>
      <w:r w:rsidR="00EC0977">
        <w:rPr>
          <w:rFonts w:eastAsia="Times New Roman" w:cs="Times New Roman"/>
          <w:sz w:val="24"/>
          <w:szCs w:val="24"/>
        </w:rPr>
        <w:t>bottom-up</w:t>
      </w:r>
      <w:r w:rsidR="001310DC">
        <w:rPr>
          <w:rFonts w:eastAsia="Times New Roman" w:cs="Times New Roman"/>
          <w:sz w:val="24"/>
          <w:szCs w:val="24"/>
        </w:rPr>
        <w:t>’</w:t>
      </w:r>
      <w:r w:rsidR="00EC0977">
        <w:rPr>
          <w:rFonts w:eastAsia="Times New Roman" w:cs="Times New Roman"/>
          <w:sz w:val="24"/>
          <w:szCs w:val="24"/>
        </w:rPr>
        <w:t xml:space="preserve"> </w:t>
      </w:r>
      <w:r w:rsidR="002967FD">
        <w:rPr>
          <w:rFonts w:eastAsia="Times New Roman" w:cs="Times New Roman"/>
          <w:sz w:val="24"/>
          <w:szCs w:val="24"/>
        </w:rPr>
        <w:t xml:space="preserve">and ‘top-down’ </w:t>
      </w:r>
      <w:r w:rsidR="00EC0977">
        <w:rPr>
          <w:rFonts w:eastAsia="Times New Roman" w:cs="Times New Roman"/>
          <w:sz w:val="24"/>
          <w:szCs w:val="24"/>
        </w:rPr>
        <w:t>costing approach</w:t>
      </w:r>
      <w:r w:rsidR="002967FD">
        <w:rPr>
          <w:rFonts w:eastAsia="Times New Roman" w:cs="Times New Roman"/>
          <w:sz w:val="24"/>
          <w:szCs w:val="24"/>
        </w:rPr>
        <w:t>es</w:t>
      </w:r>
      <w:r w:rsidR="00F6073D">
        <w:rPr>
          <w:rFonts w:eastAsia="Times New Roman" w:cs="Times New Roman"/>
          <w:sz w:val="24"/>
          <w:szCs w:val="24"/>
        </w:rPr>
        <w:t>.</w:t>
      </w:r>
      <w:r w:rsidR="0092232C">
        <w:rPr>
          <w:rFonts w:eastAsia="Times New Roman" w:cs="Times New Roman"/>
          <w:sz w:val="24"/>
          <w:szCs w:val="24"/>
        </w:rPr>
        <w:t xml:space="preserve"> A cost-effectiveness analysis was conducted </w:t>
      </w:r>
      <w:r w:rsidR="0096205D">
        <w:rPr>
          <w:rFonts w:eastAsia="Times New Roman" w:cs="Times New Roman"/>
          <w:sz w:val="24"/>
          <w:szCs w:val="24"/>
        </w:rPr>
        <w:t>with the trial primary outcome as the measure of effectiveness, including a probabilistic sensitivity analysis (PSA) to illustrate decision uncertainty.</w:t>
      </w:r>
    </w:p>
    <w:p w14:paraId="09AEBDF7" w14:textId="77777777" w:rsidR="00346B45" w:rsidRDefault="00346B45" w:rsidP="00815142">
      <w:pPr>
        <w:spacing w:line="480" w:lineRule="auto"/>
        <w:rPr>
          <w:rFonts w:eastAsia="Times New Roman" w:cs="Times New Roman"/>
          <w:sz w:val="24"/>
          <w:szCs w:val="24"/>
        </w:rPr>
      </w:pPr>
    </w:p>
    <w:p w14:paraId="7E038C29" w14:textId="676896E7" w:rsidR="00346B45" w:rsidRDefault="00261BF9" w:rsidP="00815142">
      <w:pPr>
        <w:spacing w:line="480" w:lineRule="auto"/>
        <w:rPr>
          <w:rFonts w:eastAsia="Times New Roman" w:cs="Times New Roman"/>
          <w:sz w:val="24"/>
          <w:szCs w:val="24"/>
        </w:rPr>
      </w:pPr>
      <w:r>
        <w:rPr>
          <w:rFonts w:eastAsia="Times New Roman" w:cs="Times New Roman"/>
          <w:sz w:val="24"/>
          <w:szCs w:val="24"/>
        </w:rPr>
        <w:t>FINDINGS</w:t>
      </w:r>
    </w:p>
    <w:p w14:paraId="7346FE88" w14:textId="1C1F1497" w:rsidR="009C2E4C" w:rsidRDefault="00346B45" w:rsidP="00815142">
      <w:pPr>
        <w:spacing w:line="480" w:lineRule="auto"/>
        <w:rPr>
          <w:rFonts w:eastAsia="Times New Roman" w:cs="Times New Roman"/>
          <w:sz w:val="24"/>
          <w:szCs w:val="24"/>
        </w:rPr>
      </w:pPr>
      <w:r>
        <w:rPr>
          <w:rFonts w:eastAsia="Times New Roman" w:cs="Times New Roman"/>
          <w:sz w:val="24"/>
          <w:szCs w:val="24"/>
        </w:rPr>
        <w:t>The Short</w:t>
      </w:r>
      <w:r w:rsidR="00007EA7">
        <w:rPr>
          <w:rFonts w:eastAsia="Times New Roman" w:cs="Times New Roman"/>
          <w:sz w:val="24"/>
          <w:szCs w:val="24"/>
        </w:rPr>
        <w:t>-</w:t>
      </w:r>
      <w:r>
        <w:rPr>
          <w:rFonts w:eastAsia="Times New Roman" w:cs="Times New Roman"/>
          <w:sz w:val="24"/>
          <w:szCs w:val="24"/>
        </w:rPr>
        <w:t xml:space="preserve">regimen </w:t>
      </w:r>
      <w:r w:rsidR="00AE0C78">
        <w:rPr>
          <w:rFonts w:eastAsia="Times New Roman" w:cs="Times New Roman"/>
          <w:sz w:val="24"/>
          <w:szCs w:val="24"/>
        </w:rPr>
        <w:t>reduced</w:t>
      </w:r>
      <w:r w:rsidR="00994877">
        <w:rPr>
          <w:rFonts w:eastAsia="Times New Roman" w:cs="Times New Roman"/>
          <w:sz w:val="24"/>
          <w:szCs w:val="24"/>
        </w:rPr>
        <w:t xml:space="preserve"> health</w:t>
      </w:r>
      <w:r w:rsidR="00161834">
        <w:rPr>
          <w:rFonts w:eastAsia="Times New Roman" w:cs="Times New Roman"/>
          <w:sz w:val="24"/>
          <w:szCs w:val="24"/>
        </w:rPr>
        <w:t>care</w:t>
      </w:r>
      <w:r w:rsidR="00994877">
        <w:rPr>
          <w:rFonts w:eastAsia="Times New Roman" w:cs="Times New Roman"/>
          <w:sz w:val="24"/>
          <w:szCs w:val="24"/>
        </w:rPr>
        <w:t xml:space="preserve"> costs </w:t>
      </w:r>
      <w:r w:rsidR="001901EA">
        <w:rPr>
          <w:rFonts w:eastAsia="Times New Roman" w:cs="Times New Roman"/>
          <w:sz w:val="24"/>
          <w:szCs w:val="24"/>
        </w:rPr>
        <w:t xml:space="preserve">per case </w:t>
      </w:r>
      <w:r w:rsidR="00AE0C78">
        <w:rPr>
          <w:rFonts w:eastAsia="Times New Roman" w:cs="Times New Roman"/>
          <w:sz w:val="24"/>
          <w:szCs w:val="24"/>
        </w:rPr>
        <w:t>by</w:t>
      </w:r>
      <w:r w:rsidR="00994877">
        <w:rPr>
          <w:rFonts w:eastAsia="Times New Roman" w:cs="Times New Roman"/>
          <w:sz w:val="24"/>
          <w:szCs w:val="24"/>
        </w:rPr>
        <w:t xml:space="preserve"> </w:t>
      </w:r>
      <w:r w:rsidR="00035C0A">
        <w:rPr>
          <w:rFonts w:eastAsia="Times New Roman" w:cs="Times New Roman"/>
          <w:sz w:val="24"/>
          <w:szCs w:val="24"/>
        </w:rPr>
        <w:t>2</w:t>
      </w:r>
      <w:r w:rsidR="00853D5E">
        <w:rPr>
          <w:rFonts w:eastAsia="Times New Roman" w:cs="Times New Roman"/>
          <w:sz w:val="24"/>
          <w:szCs w:val="24"/>
        </w:rPr>
        <w:t>1</w:t>
      </w:r>
      <w:r w:rsidR="00994877" w:rsidRPr="00C41C6F">
        <w:rPr>
          <w:rFonts w:eastAsia="Times New Roman" w:cs="Times New Roman"/>
          <w:sz w:val="24"/>
          <w:szCs w:val="24"/>
        </w:rPr>
        <w:t xml:space="preserve">% </w:t>
      </w:r>
      <w:r w:rsidR="001901EA" w:rsidRPr="00C41C6F">
        <w:rPr>
          <w:rFonts w:eastAsia="Times New Roman" w:cs="Times New Roman"/>
          <w:sz w:val="24"/>
          <w:szCs w:val="24"/>
        </w:rPr>
        <w:t xml:space="preserve">in </w:t>
      </w:r>
      <w:r w:rsidR="001901EA">
        <w:rPr>
          <w:rFonts w:eastAsia="Times New Roman" w:cs="Times New Roman"/>
          <w:sz w:val="24"/>
          <w:szCs w:val="24"/>
        </w:rPr>
        <w:t>South Africa (US$</w:t>
      </w:r>
      <w:r w:rsidR="00035C0A">
        <w:rPr>
          <w:rFonts w:eastAsia="Times New Roman" w:cs="Times New Roman"/>
          <w:sz w:val="24"/>
          <w:szCs w:val="24"/>
        </w:rPr>
        <w:t>8,</w:t>
      </w:r>
      <w:r w:rsidR="002C4D1F">
        <w:rPr>
          <w:rFonts w:eastAsia="Times New Roman" w:cs="Times New Roman"/>
          <w:sz w:val="24"/>
          <w:szCs w:val="24"/>
        </w:rPr>
        <w:t>341</w:t>
      </w:r>
      <w:r w:rsidR="00E37006">
        <w:rPr>
          <w:rFonts w:eastAsia="Times New Roman" w:cs="Times New Roman"/>
          <w:sz w:val="24"/>
          <w:szCs w:val="24"/>
        </w:rPr>
        <w:t xml:space="preserve"> </w:t>
      </w:r>
      <w:r w:rsidR="001901EA">
        <w:rPr>
          <w:rFonts w:eastAsia="Times New Roman" w:cs="Times New Roman"/>
          <w:sz w:val="24"/>
          <w:szCs w:val="24"/>
        </w:rPr>
        <w:t xml:space="preserve">Long </w:t>
      </w:r>
      <w:r w:rsidR="001901EA" w:rsidRPr="00B25397">
        <w:rPr>
          <w:rFonts w:eastAsia="Times New Roman" w:cs="Times New Roman"/>
          <w:i/>
          <w:sz w:val="24"/>
          <w:szCs w:val="24"/>
        </w:rPr>
        <w:t>vs</w:t>
      </w:r>
      <w:r w:rsidR="001901EA">
        <w:rPr>
          <w:rFonts w:eastAsia="Times New Roman" w:cs="Times New Roman"/>
          <w:sz w:val="24"/>
          <w:szCs w:val="24"/>
        </w:rPr>
        <w:t xml:space="preserve"> US$</w:t>
      </w:r>
      <w:r w:rsidR="00035C0A">
        <w:rPr>
          <w:rFonts w:eastAsia="Times New Roman" w:cs="Times New Roman"/>
          <w:sz w:val="24"/>
          <w:szCs w:val="24"/>
        </w:rPr>
        <w:t>6,</w:t>
      </w:r>
      <w:r w:rsidR="002C4D1F">
        <w:rPr>
          <w:rFonts w:eastAsia="Times New Roman" w:cs="Times New Roman"/>
          <w:sz w:val="24"/>
          <w:szCs w:val="24"/>
        </w:rPr>
        <w:t>619</w:t>
      </w:r>
      <w:r w:rsidR="001901EA">
        <w:rPr>
          <w:rFonts w:eastAsia="Times New Roman" w:cs="Times New Roman"/>
          <w:sz w:val="24"/>
          <w:szCs w:val="24"/>
        </w:rPr>
        <w:t xml:space="preserve"> Short) and 2</w:t>
      </w:r>
      <w:r w:rsidR="00035C0A">
        <w:rPr>
          <w:rFonts w:eastAsia="Times New Roman" w:cs="Times New Roman"/>
          <w:sz w:val="24"/>
          <w:szCs w:val="24"/>
        </w:rPr>
        <w:t>5</w:t>
      </w:r>
      <w:r w:rsidR="001901EA">
        <w:rPr>
          <w:rFonts w:eastAsia="Times New Roman" w:cs="Times New Roman"/>
          <w:sz w:val="24"/>
          <w:szCs w:val="24"/>
        </w:rPr>
        <w:t>% in Ethiopia (US$</w:t>
      </w:r>
      <w:r w:rsidR="00035C0A">
        <w:rPr>
          <w:rFonts w:eastAsia="Times New Roman" w:cs="Times New Roman"/>
          <w:sz w:val="24"/>
          <w:szCs w:val="24"/>
        </w:rPr>
        <w:t>6</w:t>
      </w:r>
      <w:r w:rsidR="001901EA">
        <w:rPr>
          <w:rFonts w:eastAsia="Times New Roman" w:cs="Times New Roman"/>
          <w:sz w:val="24"/>
          <w:szCs w:val="24"/>
        </w:rPr>
        <w:t>,</w:t>
      </w:r>
      <w:r w:rsidR="00260A8F">
        <w:rPr>
          <w:rFonts w:eastAsia="Times New Roman" w:cs="Times New Roman"/>
          <w:sz w:val="24"/>
          <w:szCs w:val="24"/>
        </w:rPr>
        <w:t>0</w:t>
      </w:r>
      <w:r w:rsidR="00035C0A">
        <w:rPr>
          <w:rFonts w:eastAsia="Times New Roman" w:cs="Times New Roman"/>
          <w:sz w:val="24"/>
          <w:szCs w:val="24"/>
        </w:rPr>
        <w:t>9</w:t>
      </w:r>
      <w:r w:rsidR="002C4D1F">
        <w:rPr>
          <w:rFonts w:eastAsia="Times New Roman" w:cs="Times New Roman"/>
          <w:sz w:val="24"/>
          <w:szCs w:val="24"/>
        </w:rPr>
        <w:t>7</w:t>
      </w:r>
      <w:r w:rsidR="001901EA">
        <w:rPr>
          <w:rFonts w:eastAsia="Times New Roman" w:cs="Times New Roman"/>
          <w:sz w:val="24"/>
          <w:szCs w:val="24"/>
        </w:rPr>
        <w:t xml:space="preserve"> Long </w:t>
      </w:r>
      <w:r w:rsidR="001901EA" w:rsidRPr="00B25397">
        <w:rPr>
          <w:rFonts w:eastAsia="Times New Roman" w:cs="Times New Roman"/>
          <w:i/>
          <w:sz w:val="24"/>
          <w:szCs w:val="24"/>
        </w:rPr>
        <w:t>vs</w:t>
      </w:r>
      <w:r w:rsidR="001901EA">
        <w:rPr>
          <w:rFonts w:eastAsia="Times New Roman" w:cs="Times New Roman"/>
          <w:sz w:val="24"/>
          <w:szCs w:val="24"/>
        </w:rPr>
        <w:t xml:space="preserve"> US$4,</w:t>
      </w:r>
      <w:r w:rsidR="00035C0A">
        <w:rPr>
          <w:rFonts w:eastAsia="Times New Roman" w:cs="Times New Roman"/>
          <w:sz w:val="24"/>
          <w:szCs w:val="24"/>
        </w:rPr>
        <w:t>5</w:t>
      </w:r>
      <w:r w:rsidR="002C4D1F">
        <w:rPr>
          <w:rFonts w:eastAsia="Times New Roman" w:cs="Times New Roman"/>
          <w:sz w:val="24"/>
          <w:szCs w:val="24"/>
        </w:rPr>
        <w:t>52</w:t>
      </w:r>
      <w:r w:rsidR="001901EA">
        <w:rPr>
          <w:rFonts w:eastAsia="Times New Roman" w:cs="Times New Roman"/>
          <w:sz w:val="24"/>
          <w:szCs w:val="24"/>
        </w:rPr>
        <w:t xml:space="preserve"> Short)</w:t>
      </w:r>
      <w:r w:rsidR="0035687D">
        <w:rPr>
          <w:rFonts w:eastAsia="Times New Roman" w:cs="Times New Roman"/>
          <w:sz w:val="24"/>
          <w:szCs w:val="24"/>
        </w:rPr>
        <w:t xml:space="preserve">. </w:t>
      </w:r>
      <w:r w:rsidR="00F33FFD">
        <w:rPr>
          <w:rFonts w:eastAsia="Times New Roman" w:cs="Times New Roman"/>
          <w:sz w:val="24"/>
          <w:szCs w:val="24"/>
        </w:rPr>
        <w:t xml:space="preserve">The largest component of this saving was medication </w:t>
      </w:r>
      <w:r w:rsidR="00630A78">
        <w:rPr>
          <w:rFonts w:eastAsia="Times New Roman" w:cs="Times New Roman"/>
          <w:sz w:val="24"/>
          <w:szCs w:val="24"/>
        </w:rPr>
        <w:t>i</w:t>
      </w:r>
      <w:r w:rsidR="001310DC">
        <w:rPr>
          <w:rFonts w:eastAsia="Times New Roman" w:cs="Times New Roman"/>
          <w:sz w:val="24"/>
          <w:szCs w:val="24"/>
        </w:rPr>
        <w:t>n South Africa</w:t>
      </w:r>
      <w:r w:rsidR="00F33FFD">
        <w:rPr>
          <w:rFonts w:eastAsia="Times New Roman" w:cs="Times New Roman"/>
          <w:sz w:val="24"/>
          <w:szCs w:val="24"/>
        </w:rPr>
        <w:t xml:space="preserve"> (67</w:t>
      </w:r>
      <w:proofErr w:type="gramStart"/>
      <w:r w:rsidR="00F33FFD">
        <w:rPr>
          <w:rFonts w:eastAsia="Times New Roman" w:cs="Times New Roman"/>
          <w:sz w:val="24"/>
          <w:szCs w:val="24"/>
        </w:rPr>
        <w:t>%)  and</w:t>
      </w:r>
      <w:proofErr w:type="gramEnd"/>
      <w:r w:rsidR="00F33FFD">
        <w:rPr>
          <w:rFonts w:eastAsia="Times New Roman" w:cs="Times New Roman"/>
          <w:sz w:val="24"/>
          <w:szCs w:val="24"/>
        </w:rPr>
        <w:t xml:space="preserve"> </w:t>
      </w:r>
      <w:r w:rsidR="001310DC">
        <w:rPr>
          <w:rFonts w:eastAsia="Times New Roman" w:cs="Times New Roman"/>
          <w:sz w:val="24"/>
          <w:szCs w:val="24"/>
        </w:rPr>
        <w:t>social support</w:t>
      </w:r>
      <w:r w:rsidR="00975D97">
        <w:rPr>
          <w:rFonts w:eastAsia="Times New Roman" w:cs="Times New Roman"/>
          <w:sz w:val="24"/>
          <w:szCs w:val="24"/>
        </w:rPr>
        <w:t xml:space="preserve"> </w:t>
      </w:r>
      <w:r w:rsidR="00F33FFD">
        <w:rPr>
          <w:rFonts w:eastAsia="Times New Roman" w:cs="Times New Roman"/>
          <w:sz w:val="24"/>
          <w:szCs w:val="24"/>
        </w:rPr>
        <w:t xml:space="preserve">in Ethiopia </w:t>
      </w:r>
      <w:r w:rsidR="001310DC">
        <w:rPr>
          <w:rFonts w:eastAsia="Times New Roman" w:cs="Times New Roman"/>
          <w:sz w:val="24"/>
          <w:szCs w:val="24"/>
        </w:rPr>
        <w:t>(35%)</w:t>
      </w:r>
      <w:r w:rsidR="0035687D">
        <w:rPr>
          <w:rFonts w:eastAsia="Times New Roman" w:cs="Times New Roman"/>
          <w:sz w:val="24"/>
          <w:szCs w:val="24"/>
        </w:rPr>
        <w:t xml:space="preserve">. </w:t>
      </w:r>
      <w:r w:rsidR="009C2E4C">
        <w:rPr>
          <w:rFonts w:eastAsia="Times New Roman" w:cs="Times New Roman"/>
          <w:sz w:val="24"/>
          <w:szCs w:val="24"/>
        </w:rPr>
        <w:t xml:space="preserve">In Ethiopia, </w:t>
      </w:r>
      <w:r w:rsidR="00851F35">
        <w:rPr>
          <w:rFonts w:eastAsia="Times New Roman" w:cs="Times New Roman"/>
          <w:sz w:val="24"/>
          <w:szCs w:val="24"/>
        </w:rPr>
        <w:t>participants</w:t>
      </w:r>
      <w:r w:rsidR="009C2E4C">
        <w:rPr>
          <w:rFonts w:eastAsia="Times New Roman" w:cs="Times New Roman"/>
          <w:sz w:val="24"/>
          <w:szCs w:val="24"/>
        </w:rPr>
        <w:t xml:space="preserve"> on the </w:t>
      </w:r>
      <w:r w:rsidR="001A094A">
        <w:rPr>
          <w:rFonts w:eastAsia="Times New Roman" w:cs="Times New Roman"/>
          <w:sz w:val="24"/>
          <w:szCs w:val="24"/>
        </w:rPr>
        <w:t>S</w:t>
      </w:r>
      <w:r w:rsidR="009C2E4C">
        <w:rPr>
          <w:rFonts w:eastAsia="Times New Roman" w:cs="Times New Roman"/>
          <w:sz w:val="24"/>
          <w:szCs w:val="24"/>
        </w:rPr>
        <w:t>hort</w:t>
      </w:r>
      <w:r w:rsidR="00007EA7">
        <w:rPr>
          <w:rFonts w:eastAsia="Times New Roman" w:cs="Times New Roman"/>
          <w:sz w:val="24"/>
          <w:szCs w:val="24"/>
        </w:rPr>
        <w:t>-</w:t>
      </w:r>
      <w:r w:rsidR="009C2E4C">
        <w:rPr>
          <w:rFonts w:eastAsia="Times New Roman" w:cs="Times New Roman"/>
          <w:sz w:val="24"/>
          <w:szCs w:val="24"/>
        </w:rPr>
        <w:t xml:space="preserve">regimen reported reductions in dietary supplementation expenditure </w:t>
      </w:r>
      <w:r w:rsidR="00F33FFD">
        <w:rPr>
          <w:rFonts w:eastAsia="Times New Roman" w:cs="Times New Roman"/>
          <w:sz w:val="24"/>
          <w:szCs w:val="24"/>
        </w:rPr>
        <w:t>(</w:t>
      </w:r>
      <w:r w:rsidR="00405BF4">
        <w:rPr>
          <w:rFonts w:eastAsia="Times New Roman" w:cs="Times New Roman"/>
          <w:sz w:val="24"/>
          <w:szCs w:val="24"/>
        </w:rPr>
        <w:t>US</w:t>
      </w:r>
      <w:r w:rsidR="009C2E4C">
        <w:rPr>
          <w:rFonts w:eastAsia="Times New Roman" w:cs="Times New Roman"/>
          <w:sz w:val="24"/>
          <w:szCs w:val="24"/>
        </w:rPr>
        <w:t>$2</w:t>
      </w:r>
      <w:r w:rsidR="002967FD">
        <w:rPr>
          <w:rFonts w:eastAsia="Times New Roman" w:cs="Times New Roman"/>
          <w:sz w:val="24"/>
          <w:szCs w:val="24"/>
        </w:rPr>
        <w:t>25</w:t>
      </w:r>
      <w:r w:rsidR="00E0625B">
        <w:rPr>
          <w:rFonts w:eastAsia="Times New Roman" w:cs="Times New Roman"/>
          <w:sz w:val="24"/>
          <w:szCs w:val="24"/>
        </w:rPr>
        <w:t xml:space="preserve"> per case</w:t>
      </w:r>
      <w:r w:rsidR="005D6538">
        <w:rPr>
          <w:rFonts w:eastAsia="Times New Roman" w:cs="Times New Roman"/>
          <w:sz w:val="24"/>
          <w:szCs w:val="24"/>
        </w:rPr>
        <w:t xml:space="preserve"> (</w:t>
      </w:r>
      <w:r w:rsidR="00AE0C78">
        <w:rPr>
          <w:rFonts w:eastAsia="Times New Roman" w:cs="Times New Roman"/>
          <w:sz w:val="24"/>
          <w:szCs w:val="24"/>
        </w:rPr>
        <w:t>95%CI 13</w:t>
      </w:r>
      <w:r w:rsidR="002967FD">
        <w:rPr>
          <w:rFonts w:eastAsia="Times New Roman" w:cs="Times New Roman"/>
          <w:sz w:val="24"/>
          <w:szCs w:val="24"/>
        </w:rPr>
        <w:t>3</w:t>
      </w:r>
      <w:r w:rsidR="00AE0C78">
        <w:rPr>
          <w:rFonts w:eastAsia="Times New Roman" w:cs="Times New Roman"/>
          <w:sz w:val="24"/>
          <w:szCs w:val="24"/>
        </w:rPr>
        <w:t>-29</w:t>
      </w:r>
      <w:r w:rsidR="002967FD">
        <w:rPr>
          <w:rFonts w:eastAsia="Times New Roman" w:cs="Times New Roman"/>
          <w:sz w:val="24"/>
          <w:szCs w:val="24"/>
        </w:rPr>
        <w:t>7</w:t>
      </w:r>
      <w:r w:rsidR="005D6538">
        <w:rPr>
          <w:rFonts w:eastAsia="Times New Roman" w:cs="Times New Roman"/>
          <w:sz w:val="24"/>
          <w:szCs w:val="24"/>
        </w:rPr>
        <w:t>)</w:t>
      </w:r>
      <w:r w:rsidR="00F33FFD">
        <w:rPr>
          <w:rFonts w:eastAsia="Times New Roman" w:cs="Times New Roman"/>
          <w:sz w:val="24"/>
          <w:szCs w:val="24"/>
        </w:rPr>
        <w:t>)</w:t>
      </w:r>
      <w:r w:rsidR="009C2E4C">
        <w:rPr>
          <w:rFonts w:eastAsia="Times New Roman" w:cs="Times New Roman"/>
          <w:sz w:val="24"/>
          <w:szCs w:val="24"/>
        </w:rPr>
        <w:t>, and greater productivity (66</w:t>
      </w:r>
      <w:r w:rsidR="00292DB1">
        <w:rPr>
          <w:rFonts w:eastAsia="Times New Roman" w:cs="Times New Roman"/>
          <w:sz w:val="24"/>
          <w:szCs w:val="24"/>
        </w:rPr>
        <w:t>7</w:t>
      </w:r>
      <w:r w:rsidR="005D6538">
        <w:rPr>
          <w:rFonts w:eastAsia="Times New Roman" w:cs="Times New Roman"/>
          <w:sz w:val="24"/>
          <w:szCs w:val="24"/>
        </w:rPr>
        <w:t xml:space="preserve"> </w:t>
      </w:r>
      <w:r w:rsidR="009C2E4C">
        <w:rPr>
          <w:rFonts w:eastAsia="Times New Roman" w:cs="Times New Roman"/>
          <w:sz w:val="24"/>
          <w:szCs w:val="24"/>
        </w:rPr>
        <w:t>addit</w:t>
      </w:r>
      <w:r w:rsidR="00AE0C78">
        <w:rPr>
          <w:rFonts w:eastAsia="Times New Roman" w:cs="Times New Roman"/>
          <w:sz w:val="24"/>
          <w:szCs w:val="24"/>
        </w:rPr>
        <w:t>ional hours worked</w:t>
      </w:r>
      <w:r w:rsidR="006B117A">
        <w:rPr>
          <w:rFonts w:eastAsia="Times New Roman" w:cs="Times New Roman"/>
          <w:sz w:val="24"/>
          <w:szCs w:val="24"/>
        </w:rPr>
        <w:t>, 95%CI 193– 1127</w:t>
      </w:r>
      <w:r w:rsidR="00AE0C78">
        <w:rPr>
          <w:rFonts w:eastAsia="Times New Roman" w:cs="Times New Roman"/>
          <w:sz w:val="24"/>
          <w:szCs w:val="24"/>
        </w:rPr>
        <w:t>)</w:t>
      </w:r>
      <w:r w:rsidR="009C2E4C">
        <w:rPr>
          <w:rFonts w:eastAsia="Times New Roman" w:cs="Times New Roman"/>
          <w:sz w:val="24"/>
          <w:szCs w:val="24"/>
        </w:rPr>
        <w:t xml:space="preserve">. </w:t>
      </w:r>
      <w:r w:rsidR="006B117A">
        <w:rPr>
          <w:rFonts w:eastAsia="Times New Roman" w:cs="Times New Roman"/>
          <w:sz w:val="24"/>
          <w:szCs w:val="24"/>
        </w:rPr>
        <w:t>P</w:t>
      </w:r>
      <w:r w:rsidR="009C2E4C">
        <w:rPr>
          <w:rFonts w:eastAsia="Times New Roman" w:cs="Times New Roman"/>
          <w:sz w:val="24"/>
          <w:szCs w:val="24"/>
        </w:rPr>
        <w:t xml:space="preserve">atient cost savings </w:t>
      </w:r>
      <w:r w:rsidR="006B117A">
        <w:rPr>
          <w:rFonts w:eastAsia="Times New Roman" w:cs="Times New Roman"/>
          <w:sz w:val="24"/>
          <w:szCs w:val="24"/>
        </w:rPr>
        <w:t xml:space="preserve">also arose </w:t>
      </w:r>
      <w:r w:rsidR="00A14E0A">
        <w:rPr>
          <w:rFonts w:eastAsia="Times New Roman" w:cs="Times New Roman"/>
          <w:sz w:val="24"/>
          <w:szCs w:val="24"/>
        </w:rPr>
        <w:t>from</w:t>
      </w:r>
      <w:r w:rsidR="009C2E4C">
        <w:rPr>
          <w:rFonts w:eastAsia="Times New Roman" w:cs="Times New Roman"/>
          <w:sz w:val="24"/>
          <w:szCs w:val="24"/>
        </w:rPr>
        <w:t xml:space="preserve"> </w:t>
      </w:r>
      <w:r w:rsidR="007609DC">
        <w:rPr>
          <w:rFonts w:eastAsia="Times New Roman" w:cs="Times New Roman"/>
          <w:sz w:val="24"/>
          <w:szCs w:val="24"/>
        </w:rPr>
        <w:t xml:space="preserve">fewer </w:t>
      </w:r>
      <w:r w:rsidR="009C2E4C">
        <w:rPr>
          <w:rFonts w:eastAsia="Times New Roman" w:cs="Times New Roman"/>
          <w:sz w:val="24"/>
          <w:szCs w:val="24"/>
        </w:rPr>
        <w:lastRenderedPageBreak/>
        <w:t xml:space="preserve">visits to health facilities (Ethiopia </w:t>
      </w:r>
      <w:r w:rsidR="00405BF4">
        <w:rPr>
          <w:rFonts w:eastAsia="Times New Roman" w:cs="Times New Roman"/>
          <w:sz w:val="24"/>
          <w:szCs w:val="24"/>
        </w:rPr>
        <w:t>US</w:t>
      </w:r>
      <w:r w:rsidR="009C2E4C">
        <w:rPr>
          <w:rFonts w:eastAsia="Times New Roman" w:cs="Times New Roman"/>
          <w:sz w:val="24"/>
          <w:szCs w:val="24"/>
        </w:rPr>
        <w:t>$1</w:t>
      </w:r>
      <w:r w:rsidR="00E0625B">
        <w:rPr>
          <w:rFonts w:eastAsia="Times New Roman" w:cs="Times New Roman"/>
          <w:sz w:val="24"/>
          <w:szCs w:val="24"/>
        </w:rPr>
        <w:t>3</w:t>
      </w:r>
      <w:r w:rsidR="00D55091">
        <w:rPr>
          <w:rFonts w:eastAsia="Times New Roman" w:cs="Times New Roman"/>
          <w:sz w:val="24"/>
          <w:szCs w:val="24"/>
        </w:rPr>
        <w:t xml:space="preserve"> (</w:t>
      </w:r>
      <w:r w:rsidR="00FC03D5">
        <w:rPr>
          <w:rFonts w:eastAsia="Times New Roman" w:cs="Times New Roman"/>
          <w:sz w:val="24"/>
          <w:szCs w:val="24"/>
        </w:rPr>
        <w:t>95%CI 11-14)</w:t>
      </w:r>
      <w:r w:rsidR="009C2E4C">
        <w:rPr>
          <w:rFonts w:eastAsia="Times New Roman" w:cs="Times New Roman"/>
          <w:sz w:val="24"/>
          <w:szCs w:val="24"/>
        </w:rPr>
        <w:t xml:space="preserve">, South Africa </w:t>
      </w:r>
      <w:r w:rsidR="00405BF4">
        <w:rPr>
          <w:rFonts w:eastAsia="Times New Roman" w:cs="Times New Roman"/>
          <w:sz w:val="24"/>
          <w:szCs w:val="24"/>
        </w:rPr>
        <w:t>US</w:t>
      </w:r>
      <w:r w:rsidR="009C2E4C">
        <w:rPr>
          <w:rFonts w:eastAsia="Times New Roman" w:cs="Times New Roman"/>
          <w:sz w:val="24"/>
          <w:szCs w:val="24"/>
        </w:rPr>
        <w:t>$6</w:t>
      </w:r>
      <w:r w:rsidR="00E0625B">
        <w:rPr>
          <w:rFonts w:eastAsia="Times New Roman" w:cs="Times New Roman"/>
          <w:sz w:val="24"/>
          <w:szCs w:val="24"/>
        </w:rPr>
        <w:t>4</w:t>
      </w:r>
      <w:r w:rsidR="00D55091">
        <w:rPr>
          <w:rFonts w:eastAsia="Times New Roman" w:cs="Times New Roman"/>
          <w:sz w:val="24"/>
          <w:szCs w:val="24"/>
        </w:rPr>
        <w:t xml:space="preserve"> (95%CI 50-77)</w:t>
      </w:r>
      <w:r w:rsidR="00A14E0A">
        <w:rPr>
          <w:rFonts w:eastAsia="Times New Roman" w:cs="Times New Roman"/>
          <w:sz w:val="24"/>
          <w:szCs w:val="24"/>
        </w:rPr>
        <w:t xml:space="preserve"> per case</w:t>
      </w:r>
      <w:r w:rsidR="009C2E4C">
        <w:rPr>
          <w:rFonts w:eastAsia="Times New Roman" w:cs="Times New Roman"/>
          <w:sz w:val="24"/>
          <w:szCs w:val="24"/>
        </w:rPr>
        <w:t>)</w:t>
      </w:r>
      <w:r w:rsidR="00BC7602">
        <w:rPr>
          <w:rFonts w:eastAsia="Times New Roman" w:cs="Times New Roman"/>
          <w:sz w:val="24"/>
          <w:szCs w:val="24"/>
        </w:rPr>
        <w:t>.</w:t>
      </w:r>
      <w:r w:rsidR="0096205D">
        <w:rPr>
          <w:rFonts w:eastAsia="Times New Roman" w:cs="Times New Roman"/>
          <w:sz w:val="24"/>
          <w:szCs w:val="24"/>
        </w:rPr>
        <w:t xml:space="preserve"> </w:t>
      </w:r>
      <w:r w:rsidR="00F33FFD">
        <w:rPr>
          <w:rFonts w:eastAsia="Times New Roman" w:cs="Times New Roman"/>
          <w:sz w:val="24"/>
          <w:szCs w:val="24"/>
        </w:rPr>
        <w:t xml:space="preserve">The </w:t>
      </w:r>
      <w:r w:rsidR="0096205D">
        <w:rPr>
          <w:rFonts w:eastAsia="Times New Roman" w:cs="Times New Roman"/>
          <w:sz w:val="24"/>
          <w:szCs w:val="24"/>
        </w:rPr>
        <w:t>probability of cost-effectiveness</w:t>
      </w:r>
      <w:r w:rsidR="00F33FFD">
        <w:rPr>
          <w:rFonts w:eastAsia="Times New Roman" w:cs="Times New Roman"/>
          <w:sz w:val="24"/>
          <w:szCs w:val="24"/>
        </w:rPr>
        <w:t xml:space="preserve"> was &gt;95</w:t>
      </w:r>
      <w:r w:rsidR="00F33FFD" w:rsidRPr="0092233A">
        <w:rPr>
          <w:rFonts w:eastAsia="Times New Roman" w:cs="Times New Roman"/>
          <w:sz w:val="24"/>
          <w:szCs w:val="24"/>
        </w:rPr>
        <w:t>% when</w:t>
      </w:r>
      <w:r w:rsidR="0096205D" w:rsidRPr="0092233A">
        <w:rPr>
          <w:rFonts w:eastAsia="Times New Roman" w:cs="Times New Roman"/>
          <w:sz w:val="24"/>
          <w:szCs w:val="24"/>
        </w:rPr>
        <w:t xml:space="preserve"> </w:t>
      </w:r>
      <w:r w:rsidR="0096205D" w:rsidRPr="001C7415">
        <w:rPr>
          <w:sz w:val="24"/>
          <w:szCs w:val="24"/>
        </w:rPr>
        <w:t>favourable outcome</w:t>
      </w:r>
      <w:r w:rsidR="00F33FFD" w:rsidRPr="001C7415">
        <w:rPr>
          <w:sz w:val="24"/>
          <w:szCs w:val="24"/>
        </w:rPr>
        <w:t>s were valued at &lt;US$19,000</w:t>
      </w:r>
      <w:r w:rsidR="0096205D" w:rsidRPr="001C7415">
        <w:rPr>
          <w:sz w:val="24"/>
          <w:szCs w:val="24"/>
        </w:rPr>
        <w:t xml:space="preserve"> </w:t>
      </w:r>
      <w:r w:rsidR="00F33FFD" w:rsidRPr="001C7415">
        <w:rPr>
          <w:sz w:val="24"/>
          <w:szCs w:val="24"/>
        </w:rPr>
        <w:t>(</w:t>
      </w:r>
      <w:r w:rsidR="0096205D" w:rsidRPr="001C7415">
        <w:rPr>
          <w:sz w:val="24"/>
          <w:szCs w:val="24"/>
        </w:rPr>
        <w:t>Ethiopia</w:t>
      </w:r>
      <w:r w:rsidR="00F33FFD" w:rsidRPr="001C7415">
        <w:rPr>
          <w:sz w:val="24"/>
          <w:szCs w:val="24"/>
        </w:rPr>
        <w:t xml:space="preserve">) </w:t>
      </w:r>
      <w:r w:rsidR="005265D7" w:rsidRPr="001C7415">
        <w:rPr>
          <w:sz w:val="24"/>
          <w:szCs w:val="24"/>
        </w:rPr>
        <w:t xml:space="preserve">or </w:t>
      </w:r>
      <w:r w:rsidR="00454FEF" w:rsidRPr="001C7415">
        <w:rPr>
          <w:sz w:val="24"/>
          <w:szCs w:val="24"/>
        </w:rPr>
        <w:t>&lt;</w:t>
      </w:r>
      <w:r w:rsidR="00F33FFD" w:rsidRPr="001C7415">
        <w:rPr>
          <w:sz w:val="24"/>
          <w:szCs w:val="24"/>
        </w:rPr>
        <w:t>US$14,500</w:t>
      </w:r>
      <w:r w:rsidR="0096205D" w:rsidRPr="001C7415">
        <w:rPr>
          <w:sz w:val="24"/>
          <w:szCs w:val="24"/>
        </w:rPr>
        <w:t xml:space="preserve"> </w:t>
      </w:r>
      <w:r w:rsidR="00F33FFD" w:rsidRPr="001C7415">
        <w:rPr>
          <w:sz w:val="24"/>
          <w:szCs w:val="24"/>
        </w:rPr>
        <w:t>(</w:t>
      </w:r>
      <w:r w:rsidR="0096205D" w:rsidRPr="001C7415">
        <w:rPr>
          <w:sz w:val="24"/>
          <w:szCs w:val="24"/>
        </w:rPr>
        <w:t>South Africa</w:t>
      </w:r>
      <w:r w:rsidR="00F33FFD" w:rsidRPr="001C7415">
        <w:rPr>
          <w:sz w:val="24"/>
          <w:szCs w:val="24"/>
        </w:rPr>
        <w:t>)</w:t>
      </w:r>
      <w:r w:rsidR="00454FEF" w:rsidRPr="001C7415">
        <w:rPr>
          <w:sz w:val="24"/>
          <w:szCs w:val="24"/>
        </w:rPr>
        <w:t>.</w:t>
      </w:r>
    </w:p>
    <w:p w14:paraId="281E2A83" w14:textId="77777777" w:rsidR="009C2E4C" w:rsidRDefault="009C2E4C" w:rsidP="00815142">
      <w:pPr>
        <w:spacing w:line="480" w:lineRule="auto"/>
        <w:rPr>
          <w:rFonts w:eastAsia="Times New Roman" w:cs="Times New Roman"/>
          <w:sz w:val="24"/>
          <w:szCs w:val="24"/>
        </w:rPr>
      </w:pPr>
    </w:p>
    <w:p w14:paraId="5EDDA4AC" w14:textId="6DD9AF67" w:rsidR="009C2E4C" w:rsidRDefault="00D2299B" w:rsidP="00815142">
      <w:pPr>
        <w:spacing w:line="480" w:lineRule="auto"/>
        <w:rPr>
          <w:rFonts w:eastAsia="Times New Roman" w:cs="Times New Roman"/>
          <w:sz w:val="24"/>
          <w:szCs w:val="24"/>
        </w:rPr>
      </w:pPr>
      <w:r>
        <w:rPr>
          <w:rFonts w:eastAsia="Times New Roman" w:cs="Times New Roman"/>
          <w:sz w:val="24"/>
          <w:szCs w:val="24"/>
        </w:rPr>
        <w:t>CONCLUSION</w:t>
      </w:r>
    </w:p>
    <w:p w14:paraId="1FF6436C" w14:textId="746F0FD2" w:rsidR="008D2AC2" w:rsidRDefault="009C2E4C" w:rsidP="008D2AC2">
      <w:pPr>
        <w:spacing w:after="0" w:line="480" w:lineRule="auto"/>
        <w:rPr>
          <w:rFonts w:eastAsia="Times New Roman" w:cs="Times New Roman"/>
          <w:sz w:val="24"/>
          <w:szCs w:val="24"/>
        </w:rPr>
      </w:pPr>
      <w:r>
        <w:rPr>
          <w:rFonts w:eastAsia="Times New Roman" w:cs="Times New Roman"/>
          <w:sz w:val="24"/>
          <w:szCs w:val="24"/>
        </w:rPr>
        <w:t>The Short</w:t>
      </w:r>
      <w:r w:rsidR="00007EA7">
        <w:rPr>
          <w:rFonts w:eastAsia="Times New Roman" w:cs="Times New Roman"/>
          <w:sz w:val="24"/>
          <w:szCs w:val="24"/>
        </w:rPr>
        <w:t>-</w:t>
      </w:r>
      <w:r>
        <w:rPr>
          <w:rFonts w:eastAsia="Times New Roman" w:cs="Times New Roman"/>
          <w:sz w:val="24"/>
          <w:szCs w:val="24"/>
        </w:rPr>
        <w:t>regimen provided substantial health system cost savings</w:t>
      </w:r>
      <w:r w:rsidR="00161834">
        <w:rPr>
          <w:rFonts w:eastAsia="Times New Roman" w:cs="Times New Roman"/>
          <w:sz w:val="24"/>
          <w:szCs w:val="24"/>
        </w:rPr>
        <w:t xml:space="preserve"> </w:t>
      </w:r>
      <w:r w:rsidR="001A094A">
        <w:rPr>
          <w:rFonts w:eastAsia="Times New Roman" w:cs="Times New Roman"/>
          <w:sz w:val="24"/>
          <w:szCs w:val="24"/>
        </w:rPr>
        <w:t xml:space="preserve">and </w:t>
      </w:r>
      <w:r w:rsidR="0096205D">
        <w:rPr>
          <w:rFonts w:eastAsia="Times New Roman" w:cs="Times New Roman"/>
          <w:sz w:val="24"/>
          <w:szCs w:val="24"/>
        </w:rPr>
        <w:t xml:space="preserve">reduced </w:t>
      </w:r>
      <w:r w:rsidR="001A094A">
        <w:rPr>
          <w:rFonts w:eastAsia="Times New Roman" w:cs="Times New Roman"/>
          <w:sz w:val="24"/>
          <w:szCs w:val="24"/>
        </w:rPr>
        <w:t>f</w:t>
      </w:r>
      <w:r>
        <w:rPr>
          <w:rFonts w:eastAsia="Times New Roman" w:cs="Times New Roman"/>
          <w:sz w:val="24"/>
          <w:szCs w:val="24"/>
        </w:rPr>
        <w:t xml:space="preserve">inancial burden on </w:t>
      </w:r>
      <w:r w:rsidR="00851F35">
        <w:rPr>
          <w:rFonts w:eastAsia="Times New Roman" w:cs="Times New Roman"/>
          <w:sz w:val="24"/>
          <w:szCs w:val="24"/>
        </w:rPr>
        <w:t>participants</w:t>
      </w:r>
      <w:r>
        <w:rPr>
          <w:rFonts w:eastAsia="Times New Roman" w:cs="Times New Roman"/>
          <w:sz w:val="24"/>
          <w:szCs w:val="24"/>
        </w:rPr>
        <w:t xml:space="preserve">. </w:t>
      </w:r>
      <w:r w:rsidR="0092233A">
        <w:rPr>
          <w:rFonts w:eastAsia="Times New Roman" w:cs="Times New Roman"/>
          <w:sz w:val="24"/>
          <w:szCs w:val="24"/>
        </w:rPr>
        <w:t>Shorter regimens are</w:t>
      </w:r>
      <w:r>
        <w:rPr>
          <w:rFonts w:eastAsia="Times New Roman" w:cs="Times New Roman"/>
          <w:sz w:val="24"/>
          <w:szCs w:val="24"/>
        </w:rPr>
        <w:t xml:space="preserve"> likely to be cost-effective in most settings, and an effective</w:t>
      </w:r>
      <w:r w:rsidR="0098309C">
        <w:rPr>
          <w:rFonts w:eastAsia="Times New Roman" w:cs="Times New Roman"/>
          <w:sz w:val="24"/>
          <w:szCs w:val="24"/>
        </w:rPr>
        <w:t xml:space="preserve"> </w:t>
      </w:r>
      <w:r>
        <w:rPr>
          <w:rFonts w:eastAsia="Times New Roman" w:cs="Times New Roman"/>
          <w:sz w:val="24"/>
          <w:szCs w:val="24"/>
        </w:rPr>
        <w:t xml:space="preserve">strategy to support </w:t>
      </w:r>
      <w:r w:rsidR="00A14E0A">
        <w:rPr>
          <w:rFonts w:eastAsia="Times New Roman" w:cs="Times New Roman"/>
          <w:sz w:val="24"/>
          <w:szCs w:val="24"/>
        </w:rPr>
        <w:t>the WHO goal of</w:t>
      </w:r>
      <w:r>
        <w:rPr>
          <w:rFonts w:eastAsia="Times New Roman" w:cs="Times New Roman"/>
          <w:sz w:val="24"/>
          <w:szCs w:val="24"/>
        </w:rPr>
        <w:t xml:space="preserve"> </w:t>
      </w:r>
      <w:r w:rsidR="002B1384">
        <w:rPr>
          <w:rFonts w:eastAsia="Times New Roman" w:cs="Times New Roman"/>
          <w:sz w:val="24"/>
          <w:szCs w:val="24"/>
        </w:rPr>
        <w:t xml:space="preserve">eliminating </w:t>
      </w:r>
      <w:r>
        <w:rPr>
          <w:rFonts w:eastAsia="Times New Roman" w:cs="Times New Roman"/>
          <w:sz w:val="24"/>
          <w:szCs w:val="24"/>
        </w:rPr>
        <w:t>catastrophic costs</w:t>
      </w:r>
      <w:r w:rsidR="00666F0E">
        <w:rPr>
          <w:rFonts w:eastAsia="Times New Roman" w:cs="Times New Roman"/>
          <w:sz w:val="24"/>
          <w:szCs w:val="24"/>
        </w:rPr>
        <w:t xml:space="preserve"> in TB</w:t>
      </w:r>
      <w:r w:rsidR="00A2241D">
        <w:rPr>
          <w:rFonts w:eastAsia="Times New Roman" w:cs="Times New Roman"/>
          <w:sz w:val="24"/>
          <w:szCs w:val="24"/>
        </w:rPr>
        <w:t xml:space="preserve">. </w:t>
      </w:r>
    </w:p>
    <w:p w14:paraId="06256F07" w14:textId="4CCFA458" w:rsidR="008D2AC2" w:rsidRDefault="008D2AC2" w:rsidP="008D2AC2">
      <w:pPr>
        <w:spacing w:after="0" w:line="480" w:lineRule="auto"/>
        <w:rPr>
          <w:rFonts w:eastAsia="Times New Roman" w:cs="Times New Roman"/>
          <w:sz w:val="24"/>
          <w:szCs w:val="24"/>
        </w:rPr>
      </w:pPr>
    </w:p>
    <w:p w14:paraId="54E0AAFF" w14:textId="5D4022AE" w:rsidR="008D2AC2" w:rsidRDefault="008D2AC2" w:rsidP="008D2AC2">
      <w:pPr>
        <w:spacing w:after="0" w:line="480" w:lineRule="auto"/>
        <w:rPr>
          <w:rFonts w:eastAsia="Times New Roman" w:cs="Times New Roman"/>
          <w:sz w:val="24"/>
          <w:szCs w:val="24"/>
        </w:rPr>
      </w:pPr>
    </w:p>
    <w:p w14:paraId="007F5CEF" w14:textId="192E587A" w:rsidR="008D2AC2" w:rsidRDefault="008D2AC2" w:rsidP="008D2AC2">
      <w:pPr>
        <w:spacing w:after="0" w:line="480" w:lineRule="auto"/>
        <w:rPr>
          <w:rFonts w:eastAsia="Times New Roman" w:cs="Times New Roman"/>
          <w:sz w:val="24"/>
          <w:szCs w:val="24"/>
        </w:rPr>
      </w:pPr>
    </w:p>
    <w:p w14:paraId="2204FE83" w14:textId="27F5F069" w:rsidR="008D2AC2" w:rsidRDefault="008D2AC2" w:rsidP="008D2AC2">
      <w:pPr>
        <w:spacing w:after="0" w:line="480" w:lineRule="auto"/>
        <w:rPr>
          <w:rFonts w:eastAsia="Times New Roman" w:cs="Times New Roman"/>
          <w:sz w:val="24"/>
          <w:szCs w:val="24"/>
        </w:rPr>
      </w:pPr>
    </w:p>
    <w:p w14:paraId="2114BFFE" w14:textId="17AAE2DB" w:rsidR="008D2AC2" w:rsidRDefault="008D2AC2" w:rsidP="008D2AC2">
      <w:pPr>
        <w:spacing w:after="0" w:line="480" w:lineRule="auto"/>
        <w:rPr>
          <w:rFonts w:eastAsia="Times New Roman" w:cs="Times New Roman"/>
          <w:sz w:val="24"/>
          <w:szCs w:val="24"/>
        </w:rPr>
      </w:pPr>
    </w:p>
    <w:p w14:paraId="11CDBB23" w14:textId="7D182AA0" w:rsidR="008D2AC2" w:rsidRDefault="008D2AC2" w:rsidP="008D2AC2">
      <w:pPr>
        <w:spacing w:after="0" w:line="480" w:lineRule="auto"/>
        <w:rPr>
          <w:rFonts w:eastAsia="Times New Roman" w:cs="Times New Roman"/>
          <w:sz w:val="24"/>
          <w:szCs w:val="24"/>
        </w:rPr>
      </w:pPr>
    </w:p>
    <w:p w14:paraId="2328301E" w14:textId="343C2720" w:rsidR="008D2AC2" w:rsidRDefault="008D2AC2" w:rsidP="008D2AC2">
      <w:pPr>
        <w:spacing w:after="0" w:line="480" w:lineRule="auto"/>
        <w:rPr>
          <w:rFonts w:eastAsia="Times New Roman" w:cs="Times New Roman"/>
          <w:sz w:val="24"/>
          <w:szCs w:val="24"/>
        </w:rPr>
      </w:pPr>
    </w:p>
    <w:p w14:paraId="02B5D33E" w14:textId="46B763A2" w:rsidR="008D2AC2" w:rsidRDefault="008D2AC2" w:rsidP="008D2AC2">
      <w:pPr>
        <w:spacing w:after="0" w:line="480" w:lineRule="auto"/>
        <w:rPr>
          <w:rFonts w:eastAsia="Times New Roman" w:cs="Times New Roman"/>
          <w:sz w:val="24"/>
          <w:szCs w:val="24"/>
        </w:rPr>
      </w:pPr>
    </w:p>
    <w:p w14:paraId="047628EE" w14:textId="5B78A315" w:rsidR="008D2AC2" w:rsidRDefault="008D2AC2" w:rsidP="008D2AC2">
      <w:pPr>
        <w:spacing w:after="0" w:line="480" w:lineRule="auto"/>
        <w:rPr>
          <w:rFonts w:eastAsia="Times New Roman" w:cs="Times New Roman"/>
          <w:sz w:val="24"/>
          <w:szCs w:val="24"/>
        </w:rPr>
      </w:pPr>
    </w:p>
    <w:p w14:paraId="3E15465A" w14:textId="0BD03F5C" w:rsidR="008D2AC2" w:rsidRDefault="008D2AC2" w:rsidP="008D2AC2">
      <w:pPr>
        <w:spacing w:after="0" w:line="480" w:lineRule="auto"/>
        <w:rPr>
          <w:rFonts w:eastAsia="Times New Roman" w:cs="Times New Roman"/>
          <w:sz w:val="24"/>
          <w:szCs w:val="24"/>
        </w:rPr>
      </w:pPr>
    </w:p>
    <w:p w14:paraId="4F1B71F4" w14:textId="7BC5FD24" w:rsidR="008D2AC2" w:rsidRDefault="008D2AC2" w:rsidP="008D2AC2">
      <w:pPr>
        <w:spacing w:after="0" w:line="480" w:lineRule="auto"/>
        <w:rPr>
          <w:rFonts w:eastAsia="Times New Roman" w:cs="Times New Roman"/>
          <w:sz w:val="24"/>
          <w:szCs w:val="24"/>
        </w:rPr>
      </w:pPr>
    </w:p>
    <w:p w14:paraId="758D52C6" w14:textId="00EAE887" w:rsidR="008D2AC2" w:rsidRDefault="008D2AC2" w:rsidP="008D2AC2">
      <w:pPr>
        <w:spacing w:after="0" w:line="480" w:lineRule="auto"/>
        <w:rPr>
          <w:rFonts w:eastAsia="Times New Roman" w:cs="Times New Roman"/>
          <w:sz w:val="24"/>
          <w:szCs w:val="24"/>
        </w:rPr>
      </w:pPr>
    </w:p>
    <w:p w14:paraId="4EE736F8" w14:textId="6469A39D" w:rsidR="008D2AC2" w:rsidRDefault="008D2AC2" w:rsidP="008D2AC2">
      <w:pPr>
        <w:spacing w:after="0" w:line="480" w:lineRule="auto"/>
        <w:rPr>
          <w:rFonts w:eastAsia="Times New Roman" w:cs="Times New Roman"/>
          <w:sz w:val="24"/>
          <w:szCs w:val="24"/>
        </w:rPr>
      </w:pPr>
    </w:p>
    <w:p w14:paraId="43B6BB8A" w14:textId="660326A4" w:rsidR="008D2AC2" w:rsidRDefault="008D2AC2" w:rsidP="008D2AC2">
      <w:pPr>
        <w:spacing w:after="0" w:line="480" w:lineRule="auto"/>
        <w:rPr>
          <w:rFonts w:eastAsia="Times New Roman" w:cs="Times New Roman"/>
          <w:sz w:val="24"/>
          <w:szCs w:val="24"/>
        </w:rPr>
      </w:pPr>
    </w:p>
    <w:p w14:paraId="21EE4A2E" w14:textId="77777777" w:rsidR="008D2AC2" w:rsidRPr="006C457B" w:rsidRDefault="008D2AC2" w:rsidP="007735F5">
      <w:pPr>
        <w:spacing w:after="0" w:line="480" w:lineRule="auto"/>
        <w:rPr>
          <w:rFonts w:eastAsia="Times New Roman" w:cs="Times New Roman"/>
          <w:sz w:val="24"/>
          <w:szCs w:val="24"/>
        </w:rPr>
      </w:pPr>
    </w:p>
    <w:p w14:paraId="063F5F1E" w14:textId="01214889" w:rsidR="001971AF" w:rsidRPr="00815142" w:rsidRDefault="009A2CBC" w:rsidP="00B25397">
      <w:pPr>
        <w:spacing w:after="0" w:line="480" w:lineRule="auto"/>
        <w:jc w:val="center"/>
        <w:rPr>
          <w:rFonts w:eastAsia="Times New Roman" w:cs="Times New Roman"/>
          <w:sz w:val="28"/>
          <w:szCs w:val="28"/>
        </w:rPr>
      </w:pPr>
      <w:r w:rsidRPr="00815142">
        <w:rPr>
          <w:rFonts w:eastAsia="Times New Roman" w:cs="Times New Roman"/>
          <w:sz w:val="28"/>
          <w:szCs w:val="28"/>
        </w:rPr>
        <w:lastRenderedPageBreak/>
        <w:t>BACKGROUND</w:t>
      </w:r>
    </w:p>
    <w:p w14:paraId="3BBD7B7C" w14:textId="47B934B2" w:rsidR="00B9306A" w:rsidRDefault="007D3B45" w:rsidP="00B9306A">
      <w:pPr>
        <w:spacing w:line="480" w:lineRule="auto"/>
        <w:rPr>
          <w:rFonts w:eastAsia="Times New Roman" w:cs="Times New Roman"/>
          <w:sz w:val="24"/>
          <w:szCs w:val="24"/>
        </w:rPr>
      </w:pPr>
      <w:r>
        <w:rPr>
          <w:rFonts w:eastAsia="Times New Roman" w:cs="Times New Roman"/>
          <w:sz w:val="24"/>
          <w:szCs w:val="24"/>
        </w:rPr>
        <w:t>U</w:t>
      </w:r>
      <w:r w:rsidRPr="00C41C6F">
        <w:rPr>
          <w:rFonts w:eastAsia="Times New Roman" w:cs="Times New Roman"/>
          <w:sz w:val="24"/>
          <w:szCs w:val="24"/>
        </w:rPr>
        <w:t>ntil recently</w:t>
      </w:r>
      <w:r>
        <w:rPr>
          <w:rFonts w:eastAsia="Times New Roman" w:cs="Times New Roman"/>
          <w:sz w:val="24"/>
          <w:szCs w:val="24"/>
        </w:rPr>
        <w:t>,</w:t>
      </w:r>
      <w:r w:rsidRPr="00C41C6F">
        <w:rPr>
          <w:rFonts w:eastAsia="Times New Roman" w:cs="Times New Roman"/>
          <w:sz w:val="24"/>
          <w:szCs w:val="24"/>
        </w:rPr>
        <w:t xml:space="preserve"> </w:t>
      </w:r>
      <w:r>
        <w:rPr>
          <w:rFonts w:eastAsia="Times New Roman" w:cs="Times New Roman"/>
          <w:sz w:val="24"/>
          <w:szCs w:val="24"/>
        </w:rPr>
        <w:t>g</w:t>
      </w:r>
      <w:r w:rsidR="00941D50" w:rsidRPr="00C41C6F">
        <w:rPr>
          <w:rFonts w:eastAsia="Times New Roman" w:cs="Times New Roman"/>
          <w:sz w:val="24"/>
          <w:szCs w:val="24"/>
        </w:rPr>
        <w:t>uidelines for the treatment of</w:t>
      </w:r>
      <w:r w:rsidR="00BA3D88">
        <w:rPr>
          <w:rFonts w:eastAsia="Times New Roman" w:cs="Times New Roman"/>
          <w:sz w:val="24"/>
          <w:szCs w:val="24"/>
        </w:rPr>
        <w:t xml:space="preserve"> </w:t>
      </w:r>
      <w:r w:rsidR="00941D50" w:rsidRPr="00C41C6F">
        <w:rPr>
          <w:rFonts w:eastAsia="Times New Roman" w:cs="Times New Roman"/>
          <w:sz w:val="24"/>
          <w:szCs w:val="24"/>
        </w:rPr>
        <w:t>MDR-TB rec</w:t>
      </w:r>
      <w:r w:rsidR="001971AF" w:rsidRPr="00C41C6F">
        <w:rPr>
          <w:rFonts w:eastAsia="Times New Roman" w:cs="Times New Roman"/>
          <w:sz w:val="24"/>
          <w:szCs w:val="24"/>
        </w:rPr>
        <w:t>ommended</w:t>
      </w:r>
      <w:r w:rsidR="00C66A0E" w:rsidRPr="00C41C6F">
        <w:rPr>
          <w:rFonts w:eastAsia="Times New Roman" w:cs="Times New Roman"/>
          <w:sz w:val="24"/>
          <w:szCs w:val="24"/>
        </w:rPr>
        <w:t xml:space="preserve"> a</w:t>
      </w:r>
      <w:r w:rsidR="001971AF" w:rsidRPr="00C41C6F">
        <w:rPr>
          <w:rFonts w:eastAsia="Times New Roman" w:cs="Times New Roman"/>
          <w:sz w:val="24"/>
          <w:szCs w:val="24"/>
        </w:rPr>
        <w:t xml:space="preserve"> </w:t>
      </w:r>
      <w:r w:rsidR="00B67ABD">
        <w:rPr>
          <w:rFonts w:eastAsia="Times New Roman" w:cs="Times New Roman"/>
          <w:sz w:val="24"/>
          <w:szCs w:val="24"/>
        </w:rPr>
        <w:t>20-22-month</w:t>
      </w:r>
      <w:r w:rsidR="00AA149B">
        <w:rPr>
          <w:rFonts w:eastAsia="Times New Roman" w:cs="Times New Roman"/>
          <w:sz w:val="24"/>
          <w:szCs w:val="24"/>
        </w:rPr>
        <w:t xml:space="preserve"> </w:t>
      </w:r>
      <w:r w:rsidR="001971AF" w:rsidRPr="00C41C6F">
        <w:rPr>
          <w:rFonts w:eastAsia="Times New Roman" w:cs="Times New Roman"/>
          <w:sz w:val="24"/>
          <w:szCs w:val="24"/>
        </w:rPr>
        <w:t>treatment</w:t>
      </w:r>
      <w:r w:rsidR="00C4093C">
        <w:rPr>
          <w:rFonts w:eastAsia="Times New Roman" w:cs="Times New Roman"/>
          <w:sz w:val="24"/>
          <w:szCs w:val="24"/>
        </w:rPr>
        <w:t>.</w:t>
      </w:r>
      <w:r w:rsidR="00C4672F" w:rsidRPr="00815142">
        <w:rPr>
          <w:rFonts w:eastAsia="Times New Roman" w:cs="Times New Roman"/>
          <w:sz w:val="24"/>
          <w:szCs w:val="24"/>
          <w:vertAlign w:val="superscript"/>
        </w:rPr>
        <w:t>1</w:t>
      </w:r>
      <w:r w:rsidR="00C4672F" w:rsidRPr="00C41C6F">
        <w:rPr>
          <w:rFonts w:eastAsia="Times New Roman" w:cs="Times New Roman"/>
          <w:sz w:val="24"/>
          <w:szCs w:val="24"/>
        </w:rPr>
        <w:t xml:space="preserve"> </w:t>
      </w:r>
      <w:r w:rsidR="001325CC">
        <w:rPr>
          <w:rFonts w:eastAsia="Times New Roman" w:cs="Times New Roman"/>
          <w:sz w:val="24"/>
          <w:szCs w:val="24"/>
        </w:rPr>
        <w:t xml:space="preserve">Previous </w:t>
      </w:r>
      <w:r w:rsidR="00B24F2D">
        <w:rPr>
          <w:rFonts w:eastAsia="Times New Roman" w:cs="Times New Roman"/>
          <w:sz w:val="24"/>
          <w:szCs w:val="24"/>
        </w:rPr>
        <w:t xml:space="preserve">studies </w:t>
      </w:r>
      <w:r w:rsidR="002B0198">
        <w:rPr>
          <w:rFonts w:eastAsia="Times New Roman" w:cs="Times New Roman"/>
          <w:sz w:val="24"/>
          <w:szCs w:val="24"/>
        </w:rPr>
        <w:t xml:space="preserve">in South Africa </w:t>
      </w:r>
      <w:r w:rsidR="00B24F2D">
        <w:rPr>
          <w:rFonts w:eastAsia="Times New Roman" w:cs="Times New Roman"/>
          <w:sz w:val="24"/>
          <w:szCs w:val="24"/>
        </w:rPr>
        <w:t>suggest</w:t>
      </w:r>
      <w:r w:rsidR="002B4A8F" w:rsidRPr="00C41C6F">
        <w:rPr>
          <w:rFonts w:eastAsia="Times New Roman" w:cs="Times New Roman"/>
          <w:sz w:val="24"/>
          <w:szCs w:val="24"/>
        </w:rPr>
        <w:t xml:space="preserve"> </w:t>
      </w:r>
      <w:r w:rsidR="007A2B1A">
        <w:rPr>
          <w:rFonts w:eastAsia="Times New Roman" w:cs="Times New Roman"/>
          <w:sz w:val="24"/>
          <w:szCs w:val="24"/>
        </w:rPr>
        <w:t xml:space="preserve">there are </w:t>
      </w:r>
      <w:r w:rsidR="002B4A8F" w:rsidRPr="00C41C6F">
        <w:rPr>
          <w:rFonts w:eastAsia="Times New Roman" w:cs="Times New Roman"/>
          <w:sz w:val="24"/>
          <w:szCs w:val="24"/>
        </w:rPr>
        <w:t xml:space="preserve">substantial </w:t>
      </w:r>
      <w:r w:rsidR="00AE1F54" w:rsidRPr="00C41C6F">
        <w:rPr>
          <w:rFonts w:eastAsia="Times New Roman" w:cs="Times New Roman"/>
          <w:sz w:val="24"/>
          <w:szCs w:val="24"/>
        </w:rPr>
        <w:t>costs</w:t>
      </w:r>
      <w:r w:rsidR="00DD72A0" w:rsidRPr="00C41C6F">
        <w:rPr>
          <w:rFonts w:eastAsia="Times New Roman" w:cs="Times New Roman"/>
          <w:sz w:val="24"/>
          <w:szCs w:val="24"/>
        </w:rPr>
        <w:t xml:space="preserve"> associated with this treatment for both patients and health </w:t>
      </w:r>
      <w:r w:rsidR="001138E9" w:rsidRPr="00C41C6F">
        <w:rPr>
          <w:rFonts w:eastAsia="Times New Roman" w:cs="Times New Roman"/>
          <w:sz w:val="24"/>
          <w:szCs w:val="24"/>
        </w:rPr>
        <w:t>service</w:t>
      </w:r>
      <w:r w:rsidR="006406DB" w:rsidRPr="00C41C6F">
        <w:rPr>
          <w:rFonts w:eastAsia="Times New Roman" w:cs="Times New Roman"/>
          <w:sz w:val="24"/>
          <w:szCs w:val="24"/>
        </w:rPr>
        <w:t>s</w:t>
      </w:r>
      <w:r w:rsidR="00AA28CE">
        <w:rPr>
          <w:rFonts w:eastAsia="Times New Roman" w:cs="Times New Roman"/>
          <w:sz w:val="24"/>
          <w:szCs w:val="24"/>
        </w:rPr>
        <w:t xml:space="preserve"> with health system costs very dependent on duration of hospitalisation and varying from $17,164 to $1,218</w:t>
      </w:r>
      <w:r w:rsidR="00C4093C">
        <w:rPr>
          <w:rFonts w:eastAsia="Times New Roman" w:cs="Times New Roman"/>
          <w:sz w:val="24"/>
          <w:szCs w:val="24"/>
        </w:rPr>
        <w:t>.</w:t>
      </w:r>
      <w:r w:rsidR="00F80742" w:rsidRPr="00815142">
        <w:rPr>
          <w:rFonts w:eastAsia="Times New Roman" w:cs="Times New Roman"/>
          <w:sz w:val="24"/>
          <w:szCs w:val="24"/>
          <w:vertAlign w:val="superscript"/>
        </w:rPr>
        <w:t>2,</w:t>
      </w:r>
      <w:r w:rsidR="008660BE" w:rsidRPr="00815142">
        <w:rPr>
          <w:rFonts w:eastAsia="Times New Roman" w:cs="Times New Roman"/>
          <w:sz w:val="24"/>
          <w:szCs w:val="24"/>
          <w:vertAlign w:val="superscript"/>
        </w:rPr>
        <w:t>3</w:t>
      </w:r>
      <w:r w:rsidR="00DB5A16">
        <w:rPr>
          <w:rFonts w:eastAsia="Times New Roman" w:cs="Times New Roman"/>
          <w:sz w:val="24"/>
          <w:szCs w:val="24"/>
          <w:vertAlign w:val="superscript"/>
        </w:rPr>
        <w:t>,</w:t>
      </w:r>
      <w:r w:rsidR="006D5117">
        <w:rPr>
          <w:rFonts w:eastAsia="Times New Roman" w:cs="Times New Roman"/>
          <w:sz w:val="24"/>
          <w:szCs w:val="24"/>
          <w:vertAlign w:val="superscript"/>
        </w:rPr>
        <w:t>4,</w:t>
      </w:r>
      <w:r w:rsidR="008405D4">
        <w:rPr>
          <w:rFonts w:eastAsia="Times New Roman" w:cs="Times New Roman"/>
          <w:sz w:val="24"/>
          <w:szCs w:val="24"/>
          <w:vertAlign w:val="superscript"/>
        </w:rPr>
        <w:t>5,6</w:t>
      </w:r>
      <w:r w:rsidR="00625EA2" w:rsidRPr="00B25397">
        <w:rPr>
          <w:rFonts w:eastAsia="Times New Roman" w:cs="Times New Roman"/>
          <w:sz w:val="24"/>
          <w:szCs w:val="24"/>
        </w:rPr>
        <w:t>.</w:t>
      </w:r>
      <w:r w:rsidR="00AA28CE">
        <w:rPr>
          <w:rFonts w:eastAsia="Times New Roman" w:cs="Times New Roman"/>
          <w:sz w:val="24"/>
          <w:szCs w:val="24"/>
        </w:rPr>
        <w:t xml:space="preserve"> </w:t>
      </w:r>
      <w:r w:rsidR="00B9306A" w:rsidRPr="00C41C6F">
        <w:rPr>
          <w:rFonts w:eastAsia="Times New Roman" w:cs="Times New Roman"/>
          <w:sz w:val="24"/>
          <w:szCs w:val="24"/>
        </w:rPr>
        <w:t xml:space="preserve">An alternative shortened regimen </w:t>
      </w:r>
      <w:r w:rsidR="002579B9">
        <w:rPr>
          <w:rFonts w:eastAsia="Times New Roman" w:cs="Times New Roman"/>
          <w:sz w:val="24"/>
          <w:szCs w:val="24"/>
        </w:rPr>
        <w:t xml:space="preserve">requiring 9 </w:t>
      </w:r>
      <w:r w:rsidR="007735F5">
        <w:rPr>
          <w:rFonts w:eastAsia="Times New Roman" w:cs="Times New Roman"/>
          <w:sz w:val="24"/>
          <w:szCs w:val="24"/>
        </w:rPr>
        <w:t>to</w:t>
      </w:r>
      <w:r w:rsidR="002579B9">
        <w:rPr>
          <w:rFonts w:eastAsia="Times New Roman" w:cs="Times New Roman"/>
          <w:sz w:val="24"/>
          <w:szCs w:val="24"/>
        </w:rPr>
        <w:t xml:space="preserve"> 11</w:t>
      </w:r>
      <w:r w:rsidR="00B9306A" w:rsidRPr="00C41C6F">
        <w:rPr>
          <w:rFonts w:eastAsia="Times New Roman" w:cs="Times New Roman"/>
          <w:sz w:val="24"/>
          <w:szCs w:val="24"/>
        </w:rPr>
        <w:t xml:space="preserve"> months of treatment was tested in Bangladesh in 2010, with promising results.  It was subsequently implemented in several West Africa</w:t>
      </w:r>
      <w:r w:rsidR="002579B9">
        <w:rPr>
          <w:rFonts w:eastAsia="Times New Roman" w:cs="Times New Roman"/>
          <w:sz w:val="24"/>
          <w:szCs w:val="24"/>
        </w:rPr>
        <w:t>n countries</w:t>
      </w:r>
      <w:r w:rsidR="00B9306A">
        <w:rPr>
          <w:rFonts w:eastAsia="Times New Roman" w:cs="Times New Roman"/>
          <w:sz w:val="24"/>
          <w:szCs w:val="24"/>
        </w:rPr>
        <w:t>,</w:t>
      </w:r>
      <w:r w:rsidR="008405D4">
        <w:rPr>
          <w:rFonts w:eastAsia="Times New Roman" w:cs="Times New Roman"/>
          <w:sz w:val="24"/>
          <w:szCs w:val="24"/>
          <w:vertAlign w:val="superscript"/>
        </w:rPr>
        <w:t>7</w:t>
      </w:r>
      <w:r w:rsidR="00B9306A" w:rsidRPr="00C41C6F">
        <w:rPr>
          <w:rFonts w:eastAsia="Times New Roman" w:cs="Times New Roman"/>
          <w:sz w:val="24"/>
          <w:szCs w:val="24"/>
        </w:rPr>
        <w:t xml:space="preserve"> but never formally tested in a</w:t>
      </w:r>
      <w:r w:rsidR="007735F5">
        <w:rPr>
          <w:rFonts w:eastAsia="Times New Roman" w:cs="Times New Roman"/>
          <w:sz w:val="24"/>
          <w:szCs w:val="24"/>
        </w:rPr>
        <w:t>n RCT</w:t>
      </w:r>
      <w:r w:rsidR="00B9306A" w:rsidRPr="00C41C6F">
        <w:rPr>
          <w:rFonts w:eastAsia="Times New Roman" w:cs="Times New Roman"/>
          <w:sz w:val="24"/>
          <w:szCs w:val="24"/>
        </w:rPr>
        <w:t>, nor subject</w:t>
      </w:r>
      <w:r w:rsidR="00B9306A">
        <w:rPr>
          <w:rFonts w:eastAsia="Times New Roman" w:cs="Times New Roman"/>
          <w:sz w:val="24"/>
          <w:szCs w:val="24"/>
        </w:rPr>
        <w:t>ed</w:t>
      </w:r>
      <w:r w:rsidR="00B9306A" w:rsidRPr="00C41C6F">
        <w:rPr>
          <w:rFonts w:eastAsia="Times New Roman" w:cs="Times New Roman"/>
          <w:sz w:val="24"/>
          <w:szCs w:val="24"/>
        </w:rPr>
        <w:t xml:space="preserve"> to economic evaluation.</w:t>
      </w:r>
      <w:r w:rsidR="00B9306A">
        <w:rPr>
          <w:rFonts w:eastAsia="Times New Roman" w:cs="Times New Roman"/>
          <w:sz w:val="24"/>
          <w:szCs w:val="24"/>
          <w:vertAlign w:val="superscript"/>
        </w:rPr>
        <w:t xml:space="preserve">  </w:t>
      </w:r>
    </w:p>
    <w:p w14:paraId="5CA5F31B" w14:textId="618F0043" w:rsidR="00B9306A" w:rsidRDefault="00B9306A" w:rsidP="00B9306A">
      <w:pPr>
        <w:spacing w:line="480" w:lineRule="auto"/>
        <w:rPr>
          <w:rFonts w:eastAsia="Times New Roman" w:cs="Times New Roman"/>
          <w:sz w:val="24"/>
          <w:szCs w:val="24"/>
        </w:rPr>
      </w:pPr>
      <w:r w:rsidRPr="00C41C6F">
        <w:rPr>
          <w:rFonts w:eastAsia="Times New Roman" w:cs="Times New Roman"/>
          <w:sz w:val="24"/>
          <w:szCs w:val="24"/>
        </w:rPr>
        <w:t>Given</w:t>
      </w:r>
      <w:r>
        <w:rPr>
          <w:rFonts w:eastAsia="Times New Roman" w:cs="Times New Roman"/>
          <w:sz w:val="24"/>
          <w:szCs w:val="24"/>
        </w:rPr>
        <w:t xml:space="preserve"> the sparse evidence</w:t>
      </w:r>
      <w:r w:rsidR="00FA4356">
        <w:rPr>
          <w:rFonts w:eastAsia="Times New Roman" w:cs="Times New Roman"/>
          <w:sz w:val="24"/>
          <w:szCs w:val="24"/>
        </w:rPr>
        <w:t xml:space="preserve"> and the resource constraints faced by the health systems in high-burden MDR-TB countries</w:t>
      </w:r>
      <w:r w:rsidR="00434F0F" w:rsidRPr="00B25397">
        <w:rPr>
          <w:rFonts w:eastAsia="Times New Roman" w:cs="Times New Roman"/>
          <w:sz w:val="24"/>
          <w:szCs w:val="24"/>
          <w:vertAlign w:val="superscript"/>
        </w:rPr>
        <w:t>5</w:t>
      </w:r>
      <w:r w:rsidR="002579B9">
        <w:rPr>
          <w:rFonts w:eastAsia="Times New Roman" w:cs="Times New Roman"/>
          <w:sz w:val="24"/>
          <w:szCs w:val="24"/>
        </w:rPr>
        <w:t>,</w:t>
      </w:r>
      <w:r>
        <w:rPr>
          <w:rFonts w:eastAsia="Times New Roman" w:cs="Times New Roman"/>
          <w:sz w:val="24"/>
          <w:szCs w:val="24"/>
        </w:rPr>
        <w:t xml:space="preserve"> there have been</w:t>
      </w:r>
      <w:r w:rsidRPr="00C41C6F">
        <w:rPr>
          <w:rFonts w:eastAsia="Times New Roman" w:cs="Times New Roman"/>
          <w:sz w:val="24"/>
          <w:szCs w:val="24"/>
        </w:rPr>
        <w:t xml:space="preserve"> </w:t>
      </w:r>
      <w:r>
        <w:rPr>
          <w:rFonts w:eastAsia="Times New Roman" w:cs="Times New Roman"/>
          <w:sz w:val="24"/>
          <w:szCs w:val="24"/>
        </w:rPr>
        <w:t xml:space="preserve">calls for more </w:t>
      </w:r>
      <w:r w:rsidR="007805F8">
        <w:rPr>
          <w:rFonts w:eastAsia="Times New Roman" w:cs="Times New Roman"/>
          <w:sz w:val="24"/>
          <w:szCs w:val="24"/>
        </w:rPr>
        <w:t>research</w:t>
      </w:r>
      <w:r>
        <w:rPr>
          <w:rFonts w:eastAsia="Times New Roman" w:cs="Times New Roman"/>
          <w:sz w:val="24"/>
          <w:szCs w:val="24"/>
        </w:rPr>
        <w:t xml:space="preserve"> on the economic impact of MDR-TB, </w:t>
      </w:r>
      <w:r w:rsidR="0092233A">
        <w:rPr>
          <w:rFonts w:eastAsia="Times New Roman" w:cs="Times New Roman"/>
          <w:sz w:val="24"/>
          <w:szCs w:val="24"/>
        </w:rPr>
        <w:t xml:space="preserve">and there are </w:t>
      </w:r>
      <w:r>
        <w:rPr>
          <w:rFonts w:eastAsia="Times New Roman" w:cs="Times New Roman"/>
          <w:sz w:val="24"/>
          <w:szCs w:val="24"/>
        </w:rPr>
        <w:t>global policy goals</w:t>
      </w:r>
      <w:r w:rsidRPr="00C41C6F">
        <w:rPr>
          <w:rFonts w:eastAsia="Times New Roman" w:cs="Times New Roman"/>
          <w:sz w:val="24"/>
          <w:szCs w:val="24"/>
        </w:rPr>
        <w:t xml:space="preserve"> of financial protection and elimination of catastrophic costs</w:t>
      </w:r>
      <w:r>
        <w:rPr>
          <w:rFonts w:eastAsia="Times New Roman" w:cs="Times New Roman"/>
          <w:sz w:val="24"/>
          <w:szCs w:val="24"/>
        </w:rPr>
        <w:t xml:space="preserve"> for patients</w:t>
      </w:r>
      <w:r w:rsidR="00D61FAE">
        <w:rPr>
          <w:rFonts w:eastAsia="Times New Roman" w:cs="Times New Roman"/>
          <w:sz w:val="24"/>
          <w:szCs w:val="24"/>
        </w:rPr>
        <w:t>.</w:t>
      </w:r>
      <w:r w:rsidR="00625EA2" w:rsidRPr="00B25397">
        <w:rPr>
          <w:rFonts w:eastAsia="Times New Roman" w:cs="Times New Roman"/>
          <w:sz w:val="24"/>
          <w:szCs w:val="24"/>
          <w:vertAlign w:val="superscript"/>
        </w:rPr>
        <w:t>8</w:t>
      </w:r>
    </w:p>
    <w:p w14:paraId="762AA26C" w14:textId="77777777" w:rsidR="00B9306A" w:rsidRDefault="00B9306A" w:rsidP="00815142">
      <w:pPr>
        <w:spacing w:line="480" w:lineRule="auto"/>
        <w:rPr>
          <w:rFonts w:eastAsia="Times New Roman" w:cs="Times New Roman"/>
          <w:sz w:val="24"/>
          <w:szCs w:val="24"/>
        </w:rPr>
      </w:pPr>
    </w:p>
    <w:p w14:paraId="07BD129C" w14:textId="63BEE532" w:rsidR="001971AF" w:rsidRPr="00C41C6F" w:rsidRDefault="001971AF" w:rsidP="00815142">
      <w:pPr>
        <w:pStyle w:val="CommentText"/>
        <w:spacing w:line="480" w:lineRule="auto"/>
        <w:rPr>
          <w:rFonts w:eastAsia="Times New Roman" w:cs="Times New Roman"/>
          <w:sz w:val="24"/>
          <w:szCs w:val="24"/>
        </w:rPr>
      </w:pPr>
      <w:r w:rsidRPr="00C41C6F">
        <w:rPr>
          <w:rFonts w:eastAsia="Times New Roman" w:cs="Times New Roman"/>
          <w:sz w:val="24"/>
          <w:szCs w:val="24"/>
        </w:rPr>
        <w:t>STREAM</w:t>
      </w:r>
      <w:r w:rsidR="00E0625B">
        <w:rPr>
          <w:rFonts w:eastAsia="Times New Roman" w:cs="Times New Roman"/>
          <w:sz w:val="24"/>
          <w:szCs w:val="24"/>
        </w:rPr>
        <w:t xml:space="preserve"> </w:t>
      </w:r>
      <w:r w:rsidR="00AE1F54" w:rsidRPr="00C41C6F">
        <w:rPr>
          <w:rFonts w:eastAsia="Times New Roman" w:cs="Times New Roman"/>
          <w:sz w:val="24"/>
          <w:szCs w:val="24"/>
        </w:rPr>
        <w:t xml:space="preserve">was </w:t>
      </w:r>
      <w:r w:rsidRPr="00C41C6F">
        <w:rPr>
          <w:rFonts w:eastAsia="Times New Roman" w:cs="Times New Roman"/>
          <w:sz w:val="24"/>
          <w:szCs w:val="24"/>
        </w:rPr>
        <w:t xml:space="preserve">a </w:t>
      </w:r>
      <w:r w:rsidR="00DD72A0" w:rsidRPr="00C41C6F">
        <w:rPr>
          <w:rFonts w:eastAsia="Times New Roman" w:cs="Times New Roman"/>
          <w:sz w:val="24"/>
          <w:szCs w:val="24"/>
        </w:rPr>
        <w:t xml:space="preserve">multi-country, </w:t>
      </w:r>
      <w:r w:rsidR="00D37330">
        <w:rPr>
          <w:rFonts w:eastAsia="Times New Roman" w:cs="Times New Roman"/>
          <w:sz w:val="24"/>
          <w:szCs w:val="24"/>
        </w:rPr>
        <w:t>phase</w:t>
      </w:r>
      <w:r w:rsidR="004C7F44">
        <w:rPr>
          <w:rFonts w:eastAsia="Times New Roman" w:cs="Times New Roman"/>
          <w:sz w:val="24"/>
          <w:szCs w:val="24"/>
        </w:rPr>
        <w:t>-</w:t>
      </w:r>
      <w:r w:rsidR="00D37330">
        <w:rPr>
          <w:rFonts w:eastAsia="Times New Roman" w:cs="Times New Roman"/>
          <w:sz w:val="24"/>
          <w:szCs w:val="24"/>
        </w:rPr>
        <w:t xml:space="preserve">III non-inferiority </w:t>
      </w:r>
      <w:r w:rsidR="007735F5">
        <w:rPr>
          <w:rFonts w:eastAsia="Times New Roman" w:cs="Times New Roman"/>
          <w:sz w:val="24"/>
          <w:szCs w:val="24"/>
        </w:rPr>
        <w:t>RCT</w:t>
      </w:r>
      <w:r w:rsidRPr="00C41C6F">
        <w:rPr>
          <w:rFonts w:eastAsia="Times New Roman" w:cs="Times New Roman"/>
          <w:sz w:val="24"/>
          <w:szCs w:val="24"/>
        </w:rPr>
        <w:t xml:space="preserve"> </w:t>
      </w:r>
      <w:r w:rsidR="00F81C66">
        <w:rPr>
          <w:rFonts w:eastAsia="Times New Roman" w:cs="Times New Roman"/>
          <w:sz w:val="24"/>
          <w:szCs w:val="24"/>
        </w:rPr>
        <w:t>which demonstrated that</w:t>
      </w:r>
      <w:r w:rsidR="00F81C66" w:rsidRPr="00C41C6F">
        <w:rPr>
          <w:rFonts w:eastAsia="Times New Roman" w:cs="Times New Roman"/>
          <w:sz w:val="24"/>
          <w:szCs w:val="24"/>
        </w:rPr>
        <w:t xml:space="preserve"> a 9-11-month regimen (Short</w:t>
      </w:r>
      <w:r w:rsidR="00007EA7">
        <w:rPr>
          <w:rFonts w:eastAsia="Times New Roman" w:cs="Times New Roman"/>
          <w:sz w:val="24"/>
          <w:szCs w:val="24"/>
        </w:rPr>
        <w:t>-</w:t>
      </w:r>
      <w:r w:rsidR="00F81C66">
        <w:rPr>
          <w:rFonts w:eastAsia="Times New Roman" w:cs="Times New Roman"/>
          <w:sz w:val="24"/>
          <w:szCs w:val="24"/>
        </w:rPr>
        <w:t>r</w:t>
      </w:r>
      <w:r w:rsidR="00F81C66" w:rsidRPr="00C41C6F">
        <w:rPr>
          <w:rFonts w:eastAsia="Times New Roman" w:cs="Times New Roman"/>
          <w:sz w:val="24"/>
          <w:szCs w:val="24"/>
        </w:rPr>
        <w:t>egimen)</w:t>
      </w:r>
      <w:r w:rsidR="00F81C66">
        <w:rPr>
          <w:rFonts w:eastAsia="Times New Roman" w:cs="Times New Roman"/>
          <w:sz w:val="24"/>
          <w:szCs w:val="24"/>
        </w:rPr>
        <w:t xml:space="preserve"> </w:t>
      </w:r>
      <w:r w:rsidR="00F81C66" w:rsidRPr="0003200A">
        <w:rPr>
          <w:rFonts w:ascii="Calibri" w:eastAsia="Times New Roman" w:hAnsi="Calibri" w:cs="Times New Roman"/>
          <w:sz w:val="24"/>
          <w:szCs w:val="24"/>
        </w:rPr>
        <w:t>had non-inferior efficacy with comparable safety</w:t>
      </w:r>
      <w:r w:rsidR="0030473F">
        <w:rPr>
          <w:rFonts w:ascii="Calibri" w:eastAsia="Times New Roman" w:hAnsi="Calibri" w:cs="Times New Roman"/>
          <w:sz w:val="24"/>
          <w:szCs w:val="24"/>
        </w:rPr>
        <w:t xml:space="preserve"> relative</w:t>
      </w:r>
      <w:r w:rsidR="00F81C66">
        <w:rPr>
          <w:rFonts w:ascii="Calibri" w:eastAsia="Times New Roman" w:hAnsi="Calibri" w:cs="Times New Roman"/>
          <w:sz w:val="24"/>
          <w:szCs w:val="24"/>
        </w:rPr>
        <w:t xml:space="preserve"> to </w:t>
      </w:r>
      <w:r w:rsidR="00AE1F54" w:rsidRPr="00C41C6F">
        <w:rPr>
          <w:rFonts w:eastAsia="Times New Roman" w:cs="Times New Roman"/>
          <w:sz w:val="24"/>
          <w:szCs w:val="24"/>
        </w:rPr>
        <w:t>the standard WHO approved regimen</w:t>
      </w:r>
      <w:r w:rsidR="00463E2C">
        <w:rPr>
          <w:rFonts w:eastAsia="Times New Roman" w:cs="Times New Roman"/>
          <w:sz w:val="24"/>
          <w:szCs w:val="24"/>
        </w:rPr>
        <w:t xml:space="preserve"> of</w:t>
      </w:r>
      <w:r w:rsidR="00AE1F54" w:rsidRPr="00C41C6F">
        <w:rPr>
          <w:rFonts w:eastAsia="Times New Roman" w:cs="Times New Roman"/>
          <w:sz w:val="24"/>
          <w:szCs w:val="24"/>
        </w:rPr>
        <w:t xml:space="preserve"> </w:t>
      </w:r>
      <w:r w:rsidR="008B48F0">
        <w:rPr>
          <w:rFonts w:eastAsia="Times New Roman" w:cs="Times New Roman"/>
          <w:sz w:val="24"/>
          <w:szCs w:val="24"/>
        </w:rPr>
        <w:t>20</w:t>
      </w:r>
      <w:r w:rsidR="00260A8F">
        <w:rPr>
          <w:rFonts w:eastAsia="Times New Roman" w:cs="Times New Roman"/>
          <w:sz w:val="24"/>
          <w:szCs w:val="24"/>
        </w:rPr>
        <w:t>-22</w:t>
      </w:r>
      <w:r w:rsidR="00AE1F54" w:rsidRPr="00C41C6F">
        <w:rPr>
          <w:rFonts w:eastAsia="Times New Roman" w:cs="Times New Roman"/>
          <w:sz w:val="24"/>
          <w:szCs w:val="24"/>
        </w:rPr>
        <w:t xml:space="preserve"> months (</w:t>
      </w:r>
      <w:r w:rsidR="009354C3" w:rsidRPr="00C41C6F">
        <w:rPr>
          <w:rFonts w:eastAsia="Times New Roman" w:cs="Times New Roman"/>
          <w:sz w:val="24"/>
          <w:szCs w:val="24"/>
        </w:rPr>
        <w:t>Long</w:t>
      </w:r>
      <w:r w:rsidR="00851075">
        <w:rPr>
          <w:rFonts w:eastAsia="Times New Roman" w:cs="Times New Roman"/>
          <w:sz w:val="24"/>
          <w:szCs w:val="24"/>
        </w:rPr>
        <w:t>-</w:t>
      </w:r>
      <w:r w:rsidR="00D45FE7">
        <w:rPr>
          <w:rFonts w:eastAsia="Times New Roman" w:cs="Times New Roman"/>
          <w:sz w:val="24"/>
          <w:szCs w:val="24"/>
        </w:rPr>
        <w:t>r</w:t>
      </w:r>
      <w:r w:rsidR="009354C3" w:rsidRPr="00C41C6F">
        <w:rPr>
          <w:rFonts w:eastAsia="Times New Roman" w:cs="Times New Roman"/>
          <w:sz w:val="24"/>
          <w:szCs w:val="24"/>
        </w:rPr>
        <w:t>egimen</w:t>
      </w:r>
      <w:r w:rsidR="00AE1F54" w:rsidRPr="00C41C6F">
        <w:rPr>
          <w:rFonts w:eastAsia="Times New Roman" w:cs="Times New Roman"/>
          <w:sz w:val="24"/>
          <w:szCs w:val="24"/>
        </w:rPr>
        <w:t>)</w:t>
      </w:r>
      <w:r w:rsidR="00C4093C">
        <w:rPr>
          <w:rFonts w:eastAsia="Times New Roman" w:cs="Times New Roman"/>
          <w:sz w:val="24"/>
          <w:szCs w:val="24"/>
        </w:rPr>
        <w:t>.</w:t>
      </w:r>
      <w:r w:rsidR="00434F0F">
        <w:rPr>
          <w:rFonts w:eastAsia="Times New Roman" w:cs="Times New Roman"/>
          <w:sz w:val="24"/>
          <w:szCs w:val="24"/>
          <w:vertAlign w:val="superscript"/>
        </w:rPr>
        <w:t>9</w:t>
      </w:r>
      <w:r w:rsidRPr="00C41C6F">
        <w:rPr>
          <w:rFonts w:eastAsia="Times New Roman" w:cs="Times New Roman"/>
          <w:sz w:val="24"/>
          <w:szCs w:val="24"/>
        </w:rPr>
        <w:t xml:space="preserve"> </w:t>
      </w:r>
      <w:r w:rsidR="00F81C66">
        <w:rPr>
          <w:rFonts w:ascii="Calibri" w:eastAsia="Times New Roman" w:hAnsi="Calibri" w:cs="Times New Roman"/>
          <w:sz w:val="24"/>
          <w:szCs w:val="24"/>
        </w:rPr>
        <w:t xml:space="preserve"> </w:t>
      </w:r>
      <w:bookmarkStart w:id="5" w:name="_Hlk536742612"/>
      <w:r w:rsidR="00C41C6F">
        <w:rPr>
          <w:rFonts w:eastAsia="Times New Roman" w:cs="Times New Roman"/>
          <w:sz w:val="24"/>
          <w:szCs w:val="24"/>
        </w:rPr>
        <w:t>T</w:t>
      </w:r>
      <w:r w:rsidR="00DD72A0" w:rsidRPr="00C41C6F">
        <w:rPr>
          <w:rFonts w:eastAsia="Times New Roman" w:cs="Times New Roman"/>
          <w:sz w:val="24"/>
          <w:szCs w:val="24"/>
        </w:rPr>
        <w:t>he trial</w:t>
      </w:r>
      <w:r w:rsidR="00F547FC" w:rsidRPr="00C41C6F">
        <w:rPr>
          <w:rFonts w:eastAsia="Times New Roman" w:cs="Times New Roman"/>
          <w:sz w:val="24"/>
          <w:szCs w:val="24"/>
        </w:rPr>
        <w:t xml:space="preserve"> </w:t>
      </w:r>
      <w:r w:rsidR="00C41C6F">
        <w:rPr>
          <w:rFonts w:eastAsia="Times New Roman" w:cs="Times New Roman"/>
          <w:sz w:val="24"/>
          <w:szCs w:val="24"/>
        </w:rPr>
        <w:t>included</w:t>
      </w:r>
      <w:r w:rsidR="00D37330">
        <w:rPr>
          <w:rFonts w:eastAsia="Times New Roman" w:cs="Times New Roman"/>
          <w:sz w:val="24"/>
          <w:szCs w:val="24"/>
        </w:rPr>
        <w:t xml:space="preserve"> collection of </w:t>
      </w:r>
      <w:r w:rsidR="004C7F44">
        <w:rPr>
          <w:rFonts w:eastAsia="Times New Roman" w:cs="Times New Roman"/>
          <w:sz w:val="24"/>
          <w:szCs w:val="24"/>
        </w:rPr>
        <w:t xml:space="preserve">cost </w:t>
      </w:r>
      <w:r w:rsidR="00D37330">
        <w:rPr>
          <w:rFonts w:eastAsia="Times New Roman" w:cs="Times New Roman"/>
          <w:sz w:val="24"/>
          <w:szCs w:val="24"/>
        </w:rPr>
        <w:t xml:space="preserve">data </w:t>
      </w:r>
      <w:r w:rsidR="00C66A0E" w:rsidRPr="00C41C6F">
        <w:rPr>
          <w:rFonts w:eastAsia="Times New Roman" w:cs="Times New Roman"/>
          <w:sz w:val="24"/>
          <w:szCs w:val="24"/>
        </w:rPr>
        <w:t>faced by pa</w:t>
      </w:r>
      <w:r w:rsidR="00373B92">
        <w:rPr>
          <w:rFonts w:eastAsia="Times New Roman" w:cs="Times New Roman"/>
          <w:sz w:val="24"/>
          <w:szCs w:val="24"/>
        </w:rPr>
        <w:t>rticipants</w:t>
      </w:r>
      <w:r w:rsidR="00C66A0E" w:rsidRPr="00C41C6F">
        <w:rPr>
          <w:rFonts w:eastAsia="Times New Roman" w:cs="Times New Roman"/>
          <w:sz w:val="24"/>
          <w:szCs w:val="24"/>
        </w:rPr>
        <w:t xml:space="preserve"> and health systems</w:t>
      </w:r>
      <w:r w:rsidR="007D1800">
        <w:rPr>
          <w:rFonts w:eastAsia="Times New Roman" w:cs="Times New Roman"/>
          <w:sz w:val="24"/>
          <w:szCs w:val="24"/>
        </w:rPr>
        <w:t xml:space="preserve"> under each regimen</w:t>
      </w:r>
      <w:r w:rsidR="00C66A0E" w:rsidRPr="00C41C6F">
        <w:rPr>
          <w:rFonts w:eastAsia="Times New Roman" w:cs="Times New Roman"/>
          <w:sz w:val="24"/>
          <w:szCs w:val="24"/>
        </w:rPr>
        <w:t xml:space="preserve">, and the financial wellbeing of </w:t>
      </w:r>
      <w:r w:rsidR="00373B92">
        <w:rPr>
          <w:rFonts w:eastAsia="Times New Roman" w:cs="Times New Roman"/>
          <w:sz w:val="24"/>
          <w:szCs w:val="24"/>
        </w:rPr>
        <w:t>participants</w:t>
      </w:r>
      <w:r w:rsidR="00C4093C">
        <w:rPr>
          <w:rFonts w:eastAsia="Times New Roman" w:cs="Times New Roman"/>
          <w:sz w:val="24"/>
          <w:szCs w:val="24"/>
        </w:rPr>
        <w:t>.</w:t>
      </w:r>
      <w:r w:rsidR="00082DAB">
        <w:rPr>
          <w:rFonts w:eastAsia="Times New Roman" w:cs="Times New Roman"/>
          <w:sz w:val="24"/>
          <w:szCs w:val="24"/>
          <w:vertAlign w:val="superscript"/>
        </w:rPr>
        <w:t>1</w:t>
      </w:r>
      <w:r w:rsidR="00434F0F">
        <w:rPr>
          <w:rFonts w:eastAsia="Times New Roman" w:cs="Times New Roman"/>
          <w:sz w:val="24"/>
          <w:szCs w:val="24"/>
          <w:vertAlign w:val="superscript"/>
        </w:rPr>
        <w:t>0</w:t>
      </w:r>
      <w:r w:rsidR="003D12F0">
        <w:rPr>
          <w:rFonts w:eastAsia="Times New Roman" w:cs="Times New Roman"/>
          <w:sz w:val="24"/>
          <w:szCs w:val="24"/>
          <w:vertAlign w:val="superscript"/>
        </w:rPr>
        <w:t>,</w:t>
      </w:r>
      <w:r w:rsidR="00082DAB">
        <w:rPr>
          <w:rFonts w:eastAsia="Times New Roman" w:cs="Times New Roman"/>
          <w:sz w:val="24"/>
          <w:szCs w:val="24"/>
          <w:vertAlign w:val="superscript"/>
        </w:rPr>
        <w:t>1</w:t>
      </w:r>
      <w:r w:rsidR="00434F0F">
        <w:rPr>
          <w:rFonts w:eastAsia="Times New Roman" w:cs="Times New Roman"/>
          <w:sz w:val="24"/>
          <w:szCs w:val="24"/>
          <w:vertAlign w:val="superscript"/>
        </w:rPr>
        <w:t>1</w:t>
      </w:r>
      <w:r w:rsidR="00C66A0E" w:rsidRPr="00C41C6F">
        <w:rPr>
          <w:rFonts w:eastAsia="Times New Roman" w:cs="Times New Roman"/>
          <w:sz w:val="24"/>
          <w:szCs w:val="24"/>
        </w:rPr>
        <w:t xml:space="preserve"> </w:t>
      </w:r>
      <w:r w:rsidR="00B65659" w:rsidRPr="00C41C6F">
        <w:rPr>
          <w:rFonts w:eastAsia="Times New Roman" w:cs="Times New Roman"/>
          <w:sz w:val="24"/>
          <w:szCs w:val="24"/>
        </w:rPr>
        <w:t xml:space="preserve">The aim of </w:t>
      </w:r>
      <w:r w:rsidR="00C41C6F">
        <w:rPr>
          <w:rFonts w:eastAsia="Times New Roman" w:cs="Times New Roman"/>
          <w:sz w:val="24"/>
          <w:szCs w:val="24"/>
        </w:rPr>
        <w:t>this assessment</w:t>
      </w:r>
      <w:r w:rsidR="00BF1FD8">
        <w:rPr>
          <w:rFonts w:eastAsia="Times New Roman" w:cs="Times New Roman"/>
          <w:sz w:val="24"/>
          <w:szCs w:val="24"/>
        </w:rPr>
        <w:t>,</w:t>
      </w:r>
      <w:r w:rsidR="00B65659" w:rsidRPr="00C41C6F">
        <w:rPr>
          <w:rFonts w:eastAsia="Times New Roman" w:cs="Times New Roman"/>
          <w:sz w:val="24"/>
          <w:szCs w:val="24"/>
        </w:rPr>
        <w:t xml:space="preserve"> </w:t>
      </w:r>
      <w:r w:rsidR="00CB7C72">
        <w:rPr>
          <w:rFonts w:eastAsia="Times New Roman" w:cs="Times New Roman"/>
          <w:sz w:val="24"/>
          <w:szCs w:val="24"/>
        </w:rPr>
        <w:t>reported here</w:t>
      </w:r>
      <w:r w:rsidR="00BF1FD8">
        <w:rPr>
          <w:rFonts w:eastAsia="Times New Roman" w:cs="Times New Roman"/>
          <w:sz w:val="24"/>
          <w:szCs w:val="24"/>
        </w:rPr>
        <w:t>,</w:t>
      </w:r>
      <w:r w:rsidR="00CB7C72">
        <w:rPr>
          <w:rFonts w:eastAsia="Times New Roman" w:cs="Times New Roman"/>
          <w:sz w:val="24"/>
          <w:szCs w:val="24"/>
        </w:rPr>
        <w:t xml:space="preserve"> </w:t>
      </w:r>
      <w:r w:rsidR="00B65659" w:rsidRPr="00C41C6F">
        <w:rPr>
          <w:rFonts w:eastAsia="Times New Roman" w:cs="Times New Roman"/>
          <w:sz w:val="24"/>
          <w:szCs w:val="24"/>
        </w:rPr>
        <w:t xml:space="preserve">was to provide evidence on the nature, magnitude and timing of changes in costs to </w:t>
      </w:r>
      <w:r w:rsidR="00373B92">
        <w:rPr>
          <w:rFonts w:eastAsia="Times New Roman" w:cs="Times New Roman"/>
          <w:sz w:val="24"/>
          <w:szCs w:val="24"/>
        </w:rPr>
        <w:t xml:space="preserve">participants </w:t>
      </w:r>
      <w:r w:rsidR="00B65659" w:rsidRPr="00C41C6F">
        <w:rPr>
          <w:rFonts w:eastAsia="Times New Roman" w:cs="Times New Roman"/>
          <w:sz w:val="24"/>
          <w:szCs w:val="24"/>
        </w:rPr>
        <w:t xml:space="preserve">and health systems that result </w:t>
      </w:r>
      <w:r w:rsidR="007D1800">
        <w:rPr>
          <w:rFonts w:eastAsia="Times New Roman" w:cs="Times New Roman"/>
          <w:sz w:val="24"/>
          <w:szCs w:val="24"/>
        </w:rPr>
        <w:t>when</w:t>
      </w:r>
      <w:r w:rsidR="007D1800" w:rsidRPr="00C41C6F">
        <w:rPr>
          <w:rFonts w:eastAsia="Times New Roman" w:cs="Times New Roman"/>
          <w:sz w:val="24"/>
          <w:szCs w:val="24"/>
        </w:rPr>
        <w:t xml:space="preserve"> </w:t>
      </w:r>
      <w:r w:rsidR="00B65659" w:rsidRPr="00C41C6F">
        <w:rPr>
          <w:rFonts w:eastAsia="Times New Roman" w:cs="Times New Roman"/>
          <w:sz w:val="24"/>
          <w:szCs w:val="24"/>
        </w:rPr>
        <w:t xml:space="preserve">switching to the </w:t>
      </w:r>
      <w:r w:rsidR="00F3560B" w:rsidRPr="00C41C6F">
        <w:rPr>
          <w:rFonts w:eastAsia="Times New Roman" w:cs="Times New Roman"/>
          <w:sz w:val="24"/>
          <w:szCs w:val="24"/>
        </w:rPr>
        <w:t>S</w:t>
      </w:r>
      <w:r w:rsidR="00B65659" w:rsidRPr="00C41C6F">
        <w:rPr>
          <w:rFonts w:eastAsia="Times New Roman" w:cs="Times New Roman"/>
          <w:sz w:val="24"/>
          <w:szCs w:val="24"/>
        </w:rPr>
        <w:t>hort</w:t>
      </w:r>
      <w:r w:rsidR="00007EA7">
        <w:rPr>
          <w:rFonts w:eastAsia="Times New Roman" w:cs="Times New Roman"/>
          <w:sz w:val="24"/>
          <w:szCs w:val="24"/>
        </w:rPr>
        <w:t>-</w:t>
      </w:r>
      <w:r w:rsidR="007F778A">
        <w:rPr>
          <w:rFonts w:eastAsia="Times New Roman" w:cs="Times New Roman"/>
          <w:sz w:val="24"/>
          <w:szCs w:val="24"/>
        </w:rPr>
        <w:t>r</w:t>
      </w:r>
      <w:r w:rsidR="00B65659" w:rsidRPr="00C41C6F">
        <w:rPr>
          <w:rFonts w:eastAsia="Times New Roman" w:cs="Times New Roman"/>
          <w:sz w:val="24"/>
          <w:szCs w:val="24"/>
        </w:rPr>
        <w:t>egimen</w:t>
      </w:r>
      <w:bookmarkEnd w:id="5"/>
      <w:r w:rsidR="00B65659" w:rsidRPr="00C41C6F">
        <w:rPr>
          <w:rFonts w:eastAsia="Times New Roman" w:cs="Times New Roman"/>
          <w:sz w:val="24"/>
          <w:szCs w:val="24"/>
        </w:rPr>
        <w:t xml:space="preserve">. </w:t>
      </w:r>
      <w:bookmarkStart w:id="6" w:name="_Hlk27575198"/>
      <w:r w:rsidR="00136583">
        <w:rPr>
          <w:rFonts w:eastAsia="Times New Roman" w:cs="Times New Roman"/>
          <w:sz w:val="24"/>
          <w:szCs w:val="24"/>
        </w:rPr>
        <w:t xml:space="preserve">While WHO guidelines on treatment for </w:t>
      </w:r>
      <w:r w:rsidR="00DD4D02">
        <w:rPr>
          <w:rFonts w:eastAsia="Times New Roman" w:cs="Times New Roman"/>
          <w:sz w:val="24"/>
          <w:szCs w:val="24"/>
        </w:rPr>
        <w:t>MDR-</w:t>
      </w:r>
      <w:r w:rsidR="00136583">
        <w:rPr>
          <w:rFonts w:eastAsia="Times New Roman" w:cs="Times New Roman"/>
          <w:sz w:val="24"/>
          <w:szCs w:val="24"/>
        </w:rPr>
        <w:t>TB are undergoing rapid revision and updating</w:t>
      </w:r>
      <w:r w:rsidR="00464E86" w:rsidRPr="001C7415">
        <w:rPr>
          <w:rFonts w:eastAsia="Times New Roman" w:cs="Times New Roman"/>
          <w:sz w:val="24"/>
          <w:szCs w:val="24"/>
          <w:vertAlign w:val="superscript"/>
        </w:rPr>
        <w:t>12</w:t>
      </w:r>
      <w:r w:rsidR="00136583">
        <w:rPr>
          <w:rFonts w:eastAsia="Times New Roman" w:cs="Times New Roman"/>
          <w:sz w:val="24"/>
          <w:szCs w:val="24"/>
        </w:rPr>
        <w:t xml:space="preserve"> we expect </w:t>
      </w:r>
      <w:r w:rsidR="0092233A">
        <w:rPr>
          <w:rFonts w:eastAsia="Times New Roman" w:cs="Times New Roman"/>
          <w:sz w:val="24"/>
          <w:szCs w:val="24"/>
        </w:rPr>
        <w:t xml:space="preserve">both the overall cost-effectiveness </w:t>
      </w:r>
      <w:r w:rsidR="00634A06">
        <w:rPr>
          <w:rFonts w:eastAsia="Times New Roman" w:cs="Times New Roman"/>
          <w:sz w:val="24"/>
          <w:szCs w:val="24"/>
        </w:rPr>
        <w:t>assessment</w:t>
      </w:r>
      <w:r w:rsidR="0092233A">
        <w:rPr>
          <w:rFonts w:eastAsia="Times New Roman" w:cs="Times New Roman"/>
          <w:sz w:val="24"/>
          <w:szCs w:val="24"/>
        </w:rPr>
        <w:t xml:space="preserve"> and the detail</w:t>
      </w:r>
      <w:r w:rsidR="000D79AE">
        <w:rPr>
          <w:rFonts w:eastAsia="Times New Roman" w:cs="Times New Roman"/>
          <w:sz w:val="24"/>
          <w:szCs w:val="24"/>
        </w:rPr>
        <w:t>ed</w:t>
      </w:r>
      <w:r w:rsidR="0092233A">
        <w:rPr>
          <w:rFonts w:eastAsia="Times New Roman" w:cs="Times New Roman"/>
          <w:sz w:val="24"/>
          <w:szCs w:val="24"/>
        </w:rPr>
        <w:t xml:space="preserve"> cost categoris</w:t>
      </w:r>
      <w:r w:rsidR="000D79AE">
        <w:rPr>
          <w:rFonts w:eastAsia="Times New Roman" w:cs="Times New Roman"/>
          <w:sz w:val="24"/>
          <w:szCs w:val="24"/>
        </w:rPr>
        <w:t>ation,</w:t>
      </w:r>
      <w:r w:rsidR="00136583">
        <w:rPr>
          <w:rFonts w:eastAsia="Times New Roman" w:cs="Times New Roman"/>
          <w:sz w:val="24"/>
          <w:szCs w:val="24"/>
        </w:rPr>
        <w:t xml:space="preserve"> to be helpful to </w:t>
      </w:r>
      <w:r w:rsidR="00136583">
        <w:rPr>
          <w:rFonts w:eastAsia="Times New Roman" w:cs="Times New Roman"/>
          <w:sz w:val="24"/>
          <w:szCs w:val="24"/>
        </w:rPr>
        <w:lastRenderedPageBreak/>
        <w:t>TB programmes</w:t>
      </w:r>
      <w:r w:rsidR="0092233A">
        <w:rPr>
          <w:rFonts w:eastAsia="Times New Roman" w:cs="Times New Roman"/>
          <w:sz w:val="24"/>
          <w:szCs w:val="24"/>
        </w:rPr>
        <w:t xml:space="preserve"> and other stakeholders</w:t>
      </w:r>
      <w:r w:rsidR="00136583">
        <w:rPr>
          <w:rFonts w:eastAsia="Times New Roman" w:cs="Times New Roman"/>
          <w:sz w:val="24"/>
          <w:szCs w:val="24"/>
        </w:rPr>
        <w:t xml:space="preserve"> in understanding potential costs and savings of transitioning to shorter and all-oral regimens</w:t>
      </w:r>
      <w:r w:rsidR="0092233A">
        <w:rPr>
          <w:rFonts w:eastAsia="Times New Roman" w:cs="Times New Roman"/>
          <w:sz w:val="24"/>
          <w:szCs w:val="24"/>
        </w:rPr>
        <w:t xml:space="preserve"> and in the detailed planning of how to implement these regimens</w:t>
      </w:r>
      <w:r w:rsidR="00136583">
        <w:rPr>
          <w:rFonts w:eastAsia="Times New Roman" w:cs="Times New Roman"/>
          <w:sz w:val="24"/>
          <w:szCs w:val="24"/>
        </w:rPr>
        <w:t>.</w:t>
      </w:r>
      <w:r w:rsidR="005F0D73">
        <w:rPr>
          <w:rFonts w:eastAsia="Times New Roman" w:cs="Times New Roman"/>
          <w:sz w:val="24"/>
          <w:szCs w:val="24"/>
        </w:rPr>
        <w:t xml:space="preserve"> </w:t>
      </w:r>
      <w:bookmarkEnd w:id="6"/>
    </w:p>
    <w:p w14:paraId="7B7F900F" w14:textId="77777777" w:rsidR="000C0828" w:rsidRPr="00C41C6F" w:rsidRDefault="000C0828" w:rsidP="00815142">
      <w:pPr>
        <w:spacing w:line="480" w:lineRule="auto"/>
        <w:rPr>
          <w:rFonts w:eastAsia="Times New Roman" w:cs="Times New Roman"/>
          <w:sz w:val="24"/>
          <w:szCs w:val="24"/>
        </w:rPr>
      </w:pPr>
    </w:p>
    <w:p w14:paraId="42724E97" w14:textId="05200450" w:rsidR="009A2CBC" w:rsidRPr="00815142" w:rsidRDefault="009A2CBC" w:rsidP="00815142">
      <w:pPr>
        <w:spacing w:line="480" w:lineRule="auto"/>
        <w:jc w:val="center"/>
        <w:rPr>
          <w:rFonts w:eastAsia="Times New Roman" w:cs="Times New Roman"/>
          <w:sz w:val="28"/>
          <w:szCs w:val="28"/>
        </w:rPr>
      </w:pPr>
      <w:r w:rsidRPr="00815142">
        <w:rPr>
          <w:rFonts w:eastAsia="Times New Roman" w:cs="Times New Roman"/>
          <w:sz w:val="28"/>
          <w:szCs w:val="28"/>
        </w:rPr>
        <w:t>METHODS</w:t>
      </w:r>
    </w:p>
    <w:p w14:paraId="0282EDE7" w14:textId="67CD5070" w:rsidR="00CA2D88" w:rsidRPr="00815142" w:rsidRDefault="004E654C" w:rsidP="00815142">
      <w:pPr>
        <w:spacing w:line="480" w:lineRule="auto"/>
        <w:rPr>
          <w:rFonts w:eastAsia="Times New Roman" w:cs="Times New Roman"/>
          <w:sz w:val="24"/>
          <w:szCs w:val="24"/>
        </w:rPr>
      </w:pPr>
      <w:bookmarkStart w:id="7" w:name="_Hlk522866091"/>
      <w:r>
        <w:rPr>
          <w:rFonts w:eastAsia="Times New Roman" w:cs="Times New Roman"/>
          <w:sz w:val="24"/>
          <w:szCs w:val="24"/>
        </w:rPr>
        <w:t>SCOPE AND SETTING OF THE STUDY</w:t>
      </w:r>
    </w:p>
    <w:bookmarkEnd w:id="7"/>
    <w:p w14:paraId="721B078B" w14:textId="3CC363E2" w:rsidR="009E5E79" w:rsidRPr="00C41C6F" w:rsidRDefault="00B65659" w:rsidP="00815142">
      <w:pPr>
        <w:spacing w:line="480" w:lineRule="auto"/>
        <w:rPr>
          <w:rFonts w:eastAsia="Times New Roman" w:cs="Times New Roman"/>
          <w:sz w:val="24"/>
          <w:szCs w:val="24"/>
        </w:rPr>
      </w:pPr>
      <w:r w:rsidRPr="00C41C6F">
        <w:rPr>
          <w:rFonts w:eastAsia="Times New Roman" w:cs="Times New Roman"/>
          <w:sz w:val="24"/>
          <w:szCs w:val="24"/>
        </w:rPr>
        <w:t>The economic evaluation of STREAM compared the</w:t>
      </w:r>
      <w:r w:rsidR="002B6FBB">
        <w:rPr>
          <w:rFonts w:eastAsia="Times New Roman" w:cs="Times New Roman"/>
          <w:sz w:val="24"/>
          <w:szCs w:val="24"/>
        </w:rPr>
        <w:t xml:space="preserve"> health system and patient costs of the</w:t>
      </w:r>
      <w:r w:rsidRPr="00C41C6F">
        <w:rPr>
          <w:rFonts w:eastAsia="Times New Roman" w:cs="Times New Roman"/>
          <w:sz w:val="24"/>
          <w:szCs w:val="24"/>
        </w:rPr>
        <w:t xml:space="preserve"> </w:t>
      </w:r>
      <w:r w:rsidR="009A0567">
        <w:rPr>
          <w:rFonts w:eastAsia="Times New Roman" w:cs="Times New Roman"/>
          <w:sz w:val="24"/>
          <w:szCs w:val="24"/>
        </w:rPr>
        <w:t>S</w:t>
      </w:r>
      <w:r w:rsidR="009354C3" w:rsidRPr="00C41C6F">
        <w:rPr>
          <w:rFonts w:eastAsia="Times New Roman" w:cs="Times New Roman"/>
          <w:sz w:val="24"/>
          <w:szCs w:val="24"/>
        </w:rPr>
        <w:t>hort</w:t>
      </w:r>
      <w:r w:rsidR="00007EA7">
        <w:rPr>
          <w:rFonts w:eastAsia="Times New Roman" w:cs="Times New Roman"/>
          <w:sz w:val="24"/>
          <w:szCs w:val="24"/>
        </w:rPr>
        <w:t>-</w:t>
      </w:r>
      <w:r w:rsidRPr="00C41C6F">
        <w:rPr>
          <w:rFonts w:eastAsia="Times New Roman" w:cs="Times New Roman"/>
          <w:sz w:val="24"/>
          <w:szCs w:val="24"/>
        </w:rPr>
        <w:t xml:space="preserve">regimen </w:t>
      </w:r>
      <w:r w:rsidR="007677F7">
        <w:rPr>
          <w:rFonts w:eastAsia="Times New Roman" w:cs="Times New Roman"/>
          <w:sz w:val="24"/>
          <w:szCs w:val="24"/>
        </w:rPr>
        <w:t xml:space="preserve">to </w:t>
      </w:r>
      <w:r w:rsidR="007B69FE">
        <w:rPr>
          <w:rFonts w:eastAsia="Times New Roman" w:cs="Times New Roman"/>
          <w:sz w:val="24"/>
          <w:szCs w:val="24"/>
        </w:rPr>
        <w:t xml:space="preserve">the </w:t>
      </w:r>
      <w:r w:rsidR="0028229E">
        <w:rPr>
          <w:rFonts w:eastAsia="Times New Roman" w:cs="Times New Roman"/>
          <w:sz w:val="24"/>
          <w:szCs w:val="24"/>
        </w:rPr>
        <w:t>Long</w:t>
      </w:r>
      <w:r w:rsidR="00007EA7">
        <w:rPr>
          <w:rFonts w:eastAsia="Times New Roman" w:cs="Times New Roman"/>
          <w:sz w:val="24"/>
          <w:szCs w:val="24"/>
        </w:rPr>
        <w:t>-</w:t>
      </w:r>
      <w:r w:rsidR="0028229E">
        <w:rPr>
          <w:rFonts w:eastAsia="Times New Roman" w:cs="Times New Roman"/>
          <w:sz w:val="24"/>
          <w:szCs w:val="24"/>
        </w:rPr>
        <w:t xml:space="preserve">regimen </w:t>
      </w:r>
      <w:r w:rsidR="00BA3D88">
        <w:rPr>
          <w:rFonts w:eastAsia="Times New Roman" w:cs="Times New Roman"/>
          <w:sz w:val="24"/>
          <w:szCs w:val="24"/>
        </w:rPr>
        <w:t>that was</w:t>
      </w:r>
      <w:r w:rsidR="007B69FE">
        <w:rPr>
          <w:rFonts w:eastAsia="Times New Roman" w:cs="Times New Roman"/>
          <w:sz w:val="24"/>
          <w:szCs w:val="24"/>
        </w:rPr>
        <w:t xml:space="preserve"> </w:t>
      </w:r>
      <w:r w:rsidR="00BA3D88">
        <w:rPr>
          <w:rFonts w:eastAsia="Times New Roman" w:cs="Times New Roman"/>
          <w:sz w:val="24"/>
          <w:szCs w:val="24"/>
        </w:rPr>
        <w:t>the</w:t>
      </w:r>
      <w:r w:rsidRPr="00C41C6F">
        <w:rPr>
          <w:rFonts w:eastAsia="Times New Roman" w:cs="Times New Roman"/>
          <w:sz w:val="24"/>
          <w:szCs w:val="24"/>
        </w:rPr>
        <w:t xml:space="preserve"> standard of care in two countries</w:t>
      </w:r>
      <w:r w:rsidR="00BA3D88">
        <w:rPr>
          <w:rFonts w:eastAsia="Times New Roman" w:cs="Times New Roman"/>
          <w:sz w:val="24"/>
          <w:szCs w:val="24"/>
        </w:rPr>
        <w:t xml:space="preserve"> at the time of the trial</w:t>
      </w:r>
      <w:r w:rsidRPr="00C41C6F">
        <w:rPr>
          <w:rFonts w:eastAsia="Times New Roman" w:cs="Times New Roman"/>
          <w:sz w:val="24"/>
          <w:szCs w:val="24"/>
        </w:rPr>
        <w:t xml:space="preserve"> –Ethiopia</w:t>
      </w:r>
      <w:r w:rsidR="009E5E79" w:rsidRPr="00C41C6F">
        <w:rPr>
          <w:rFonts w:eastAsia="Times New Roman" w:cs="Times New Roman"/>
          <w:sz w:val="24"/>
          <w:szCs w:val="24"/>
        </w:rPr>
        <w:t xml:space="preserve"> (a</w:t>
      </w:r>
      <w:r w:rsidR="00956703">
        <w:rPr>
          <w:rFonts w:eastAsia="Times New Roman" w:cs="Times New Roman"/>
          <w:sz w:val="24"/>
          <w:szCs w:val="24"/>
        </w:rPr>
        <w:t xml:space="preserve"> median</w:t>
      </w:r>
      <w:r w:rsidR="009E5E79" w:rsidRPr="00C41C6F">
        <w:rPr>
          <w:rFonts w:eastAsia="Times New Roman" w:cs="Times New Roman"/>
          <w:sz w:val="24"/>
          <w:szCs w:val="24"/>
        </w:rPr>
        <w:t xml:space="preserve"> </w:t>
      </w:r>
      <w:r w:rsidR="00AA6E26" w:rsidRPr="00C41C6F">
        <w:rPr>
          <w:rFonts w:eastAsia="Times New Roman" w:cs="Times New Roman"/>
          <w:sz w:val="24"/>
          <w:szCs w:val="24"/>
        </w:rPr>
        <w:t>20-month</w:t>
      </w:r>
      <w:r w:rsidR="009E5E79" w:rsidRPr="00C41C6F">
        <w:rPr>
          <w:rFonts w:eastAsia="Times New Roman" w:cs="Times New Roman"/>
          <w:sz w:val="24"/>
          <w:szCs w:val="24"/>
        </w:rPr>
        <w:t xml:space="preserve"> regimen)</w:t>
      </w:r>
      <w:r w:rsidRPr="00C41C6F">
        <w:rPr>
          <w:rFonts w:eastAsia="Times New Roman" w:cs="Times New Roman"/>
          <w:sz w:val="24"/>
          <w:szCs w:val="24"/>
        </w:rPr>
        <w:t xml:space="preserve"> and South Africa</w:t>
      </w:r>
      <w:r w:rsidR="009E5E79" w:rsidRPr="00C41C6F">
        <w:rPr>
          <w:rFonts w:eastAsia="Times New Roman" w:cs="Times New Roman"/>
          <w:sz w:val="24"/>
          <w:szCs w:val="24"/>
        </w:rPr>
        <w:t xml:space="preserve"> (a</w:t>
      </w:r>
      <w:r w:rsidR="00956703">
        <w:rPr>
          <w:rFonts w:eastAsia="Times New Roman" w:cs="Times New Roman"/>
          <w:sz w:val="24"/>
          <w:szCs w:val="24"/>
        </w:rPr>
        <w:t xml:space="preserve"> median</w:t>
      </w:r>
      <w:r w:rsidR="009E5E79" w:rsidRPr="00C41C6F">
        <w:rPr>
          <w:rFonts w:eastAsia="Times New Roman" w:cs="Times New Roman"/>
          <w:sz w:val="24"/>
          <w:szCs w:val="24"/>
        </w:rPr>
        <w:t xml:space="preserve"> 22</w:t>
      </w:r>
      <w:r w:rsidR="00AA6E26" w:rsidRPr="00C41C6F">
        <w:rPr>
          <w:rFonts w:eastAsia="Times New Roman" w:cs="Times New Roman"/>
          <w:sz w:val="24"/>
          <w:szCs w:val="24"/>
        </w:rPr>
        <w:t>-</w:t>
      </w:r>
      <w:r w:rsidR="00416D41">
        <w:rPr>
          <w:rFonts w:eastAsia="Times New Roman" w:cs="Times New Roman"/>
          <w:sz w:val="24"/>
          <w:szCs w:val="24"/>
        </w:rPr>
        <w:t>month regimen</w:t>
      </w:r>
      <w:r w:rsidR="004C7F44">
        <w:rPr>
          <w:rFonts w:eastAsia="Times New Roman" w:cs="Times New Roman"/>
          <w:sz w:val="24"/>
          <w:szCs w:val="24"/>
        </w:rPr>
        <w:t>)</w:t>
      </w:r>
      <w:r w:rsidR="00B050C3">
        <w:rPr>
          <w:rFonts w:eastAsia="Times New Roman" w:cs="Times New Roman"/>
          <w:sz w:val="24"/>
          <w:szCs w:val="24"/>
        </w:rPr>
        <w:t>.</w:t>
      </w:r>
      <w:r w:rsidR="004C7F44">
        <w:rPr>
          <w:rFonts w:eastAsia="Times New Roman" w:cs="Times New Roman"/>
          <w:sz w:val="24"/>
          <w:szCs w:val="24"/>
        </w:rPr>
        <w:t xml:space="preserve"> P</w:t>
      </w:r>
      <w:r w:rsidR="00836240">
        <w:rPr>
          <w:rFonts w:eastAsia="Times New Roman" w:cs="Times New Roman"/>
          <w:sz w:val="24"/>
          <w:szCs w:val="24"/>
        </w:rPr>
        <w:t xml:space="preserve">articipants </w:t>
      </w:r>
      <w:r w:rsidR="004C7F44">
        <w:rPr>
          <w:rFonts w:eastAsia="Times New Roman" w:cs="Times New Roman"/>
          <w:sz w:val="24"/>
          <w:szCs w:val="24"/>
        </w:rPr>
        <w:t>were</w:t>
      </w:r>
      <w:r w:rsidR="00D61FAE">
        <w:rPr>
          <w:rFonts w:eastAsia="Times New Roman" w:cs="Times New Roman"/>
          <w:sz w:val="24"/>
          <w:szCs w:val="24"/>
        </w:rPr>
        <w:t xml:space="preserve"> </w:t>
      </w:r>
      <w:r w:rsidR="00836240">
        <w:rPr>
          <w:rFonts w:eastAsia="Times New Roman" w:cs="Times New Roman"/>
          <w:sz w:val="24"/>
          <w:szCs w:val="24"/>
        </w:rPr>
        <w:t xml:space="preserve">randomly assigned in a 2:1 ratio to the </w:t>
      </w:r>
      <w:r w:rsidR="00CA1D02">
        <w:rPr>
          <w:rFonts w:eastAsia="Times New Roman" w:cs="Times New Roman"/>
          <w:sz w:val="24"/>
          <w:szCs w:val="24"/>
        </w:rPr>
        <w:t>S</w:t>
      </w:r>
      <w:r w:rsidR="00836240">
        <w:rPr>
          <w:rFonts w:eastAsia="Times New Roman" w:cs="Times New Roman"/>
          <w:sz w:val="24"/>
          <w:szCs w:val="24"/>
        </w:rPr>
        <w:t>hort</w:t>
      </w:r>
      <w:r w:rsidR="004C7F44">
        <w:rPr>
          <w:rFonts w:eastAsia="Times New Roman" w:cs="Times New Roman"/>
          <w:sz w:val="24"/>
          <w:szCs w:val="24"/>
        </w:rPr>
        <w:t>-</w:t>
      </w:r>
      <w:r w:rsidR="00836240">
        <w:rPr>
          <w:rFonts w:eastAsia="Times New Roman" w:cs="Times New Roman"/>
          <w:sz w:val="24"/>
          <w:szCs w:val="24"/>
        </w:rPr>
        <w:t xml:space="preserve">regimen or the </w:t>
      </w:r>
      <w:r w:rsidR="007735F5">
        <w:rPr>
          <w:rFonts w:eastAsia="Times New Roman" w:cs="Times New Roman"/>
          <w:sz w:val="24"/>
          <w:szCs w:val="24"/>
        </w:rPr>
        <w:t>L</w:t>
      </w:r>
      <w:r w:rsidR="00836240">
        <w:rPr>
          <w:rFonts w:eastAsia="Times New Roman" w:cs="Times New Roman"/>
          <w:sz w:val="24"/>
          <w:szCs w:val="24"/>
        </w:rPr>
        <w:t>ong</w:t>
      </w:r>
      <w:r w:rsidR="004C7F44">
        <w:rPr>
          <w:rFonts w:eastAsia="Times New Roman" w:cs="Times New Roman"/>
          <w:sz w:val="24"/>
          <w:szCs w:val="24"/>
        </w:rPr>
        <w:t>-</w:t>
      </w:r>
      <w:r w:rsidR="00836240">
        <w:rPr>
          <w:rFonts w:eastAsia="Times New Roman" w:cs="Times New Roman"/>
          <w:sz w:val="24"/>
          <w:szCs w:val="24"/>
        </w:rPr>
        <w:t>regimen</w:t>
      </w:r>
      <w:r w:rsidR="00AA34E3">
        <w:rPr>
          <w:rFonts w:eastAsia="Times New Roman" w:cs="Times New Roman"/>
          <w:sz w:val="24"/>
          <w:szCs w:val="24"/>
        </w:rPr>
        <w:t>. Randomization was stratified according to trial site and HIV status.</w:t>
      </w:r>
      <w:r w:rsidR="00AA34E3" w:rsidRPr="00B25397">
        <w:rPr>
          <w:rFonts w:eastAsia="Times New Roman" w:cs="Times New Roman"/>
          <w:sz w:val="24"/>
          <w:szCs w:val="24"/>
          <w:vertAlign w:val="superscript"/>
        </w:rPr>
        <w:t>1</w:t>
      </w:r>
      <w:r w:rsidR="00464E86">
        <w:rPr>
          <w:rFonts w:eastAsia="Times New Roman" w:cs="Times New Roman"/>
          <w:sz w:val="24"/>
          <w:szCs w:val="24"/>
          <w:vertAlign w:val="superscript"/>
        </w:rPr>
        <w:t>1</w:t>
      </w:r>
      <w:r w:rsidR="007677F7">
        <w:rPr>
          <w:rFonts w:eastAsia="Times New Roman" w:cs="Times New Roman"/>
          <w:sz w:val="24"/>
          <w:szCs w:val="24"/>
        </w:rPr>
        <w:t xml:space="preserve"> </w:t>
      </w:r>
      <w:r w:rsidR="00AA149B">
        <w:rPr>
          <w:rFonts w:eastAsia="Times New Roman" w:cs="Times New Roman"/>
          <w:sz w:val="24"/>
          <w:szCs w:val="24"/>
        </w:rPr>
        <w:t>Data were collected at</w:t>
      </w:r>
      <w:r w:rsidR="006406DB" w:rsidRPr="00C41C6F">
        <w:rPr>
          <w:rFonts w:eastAsia="Times New Roman" w:cs="Times New Roman"/>
          <w:sz w:val="24"/>
          <w:szCs w:val="24"/>
        </w:rPr>
        <w:t xml:space="preserve"> </w:t>
      </w:r>
      <w:r w:rsidRPr="00C41C6F">
        <w:rPr>
          <w:rFonts w:eastAsia="Times New Roman" w:cs="Times New Roman"/>
          <w:sz w:val="24"/>
          <w:szCs w:val="24"/>
        </w:rPr>
        <w:t>two sites in Ethiopia (St</w:t>
      </w:r>
      <w:r w:rsidR="00153B12">
        <w:rPr>
          <w:rFonts w:eastAsia="Times New Roman" w:cs="Times New Roman"/>
          <w:sz w:val="24"/>
          <w:szCs w:val="24"/>
        </w:rPr>
        <w:t>.</w:t>
      </w:r>
      <w:r w:rsidRPr="00C41C6F">
        <w:rPr>
          <w:rFonts w:eastAsia="Times New Roman" w:cs="Times New Roman"/>
          <w:sz w:val="24"/>
          <w:szCs w:val="24"/>
        </w:rPr>
        <w:t xml:space="preserve"> Peter’s Specialized Hospital, and </w:t>
      </w:r>
      <w:proofErr w:type="spellStart"/>
      <w:r w:rsidR="008A6A83" w:rsidRPr="008A6A83">
        <w:rPr>
          <w:rFonts w:eastAsia="Times New Roman" w:cs="Times New Roman"/>
          <w:sz w:val="24"/>
          <w:szCs w:val="24"/>
        </w:rPr>
        <w:t>Armauer</w:t>
      </w:r>
      <w:proofErr w:type="spellEnd"/>
      <w:r w:rsidR="008A6A83" w:rsidRPr="008A6A83">
        <w:rPr>
          <w:rFonts w:eastAsia="Times New Roman" w:cs="Times New Roman"/>
          <w:sz w:val="24"/>
          <w:szCs w:val="24"/>
        </w:rPr>
        <w:t xml:space="preserve"> Hansen Research Institute</w:t>
      </w:r>
      <w:r w:rsidR="00D61FAE">
        <w:rPr>
          <w:rFonts w:eastAsia="Times New Roman" w:cs="Times New Roman"/>
          <w:sz w:val="24"/>
          <w:szCs w:val="24"/>
        </w:rPr>
        <w:t xml:space="preserve"> </w:t>
      </w:r>
      <w:r w:rsidR="00BC1F1E">
        <w:rPr>
          <w:rFonts w:eastAsia="Times New Roman" w:cs="Times New Roman"/>
          <w:sz w:val="24"/>
          <w:szCs w:val="24"/>
        </w:rPr>
        <w:t>Hospital</w:t>
      </w:r>
      <w:r w:rsidR="006406DB" w:rsidRPr="00C41C6F">
        <w:rPr>
          <w:rFonts w:eastAsia="Times New Roman" w:cs="Times New Roman"/>
          <w:sz w:val="24"/>
          <w:szCs w:val="24"/>
        </w:rPr>
        <w:t xml:space="preserve">, both </w:t>
      </w:r>
      <w:r w:rsidR="006C269A" w:rsidRPr="00C41C6F">
        <w:rPr>
          <w:rFonts w:eastAsia="Times New Roman" w:cs="Times New Roman"/>
          <w:sz w:val="24"/>
          <w:szCs w:val="24"/>
        </w:rPr>
        <w:t>in Addis Ababa) and two in South Africa (Sizwe Tropical Diseases Hospital</w:t>
      </w:r>
      <w:r w:rsidR="009E5E79" w:rsidRPr="00C41C6F">
        <w:rPr>
          <w:rFonts w:eastAsia="Times New Roman" w:cs="Times New Roman"/>
          <w:sz w:val="24"/>
          <w:szCs w:val="24"/>
        </w:rPr>
        <w:t xml:space="preserve">, Johannesburg and Doris Goodwin Hospital, Pietermaritzburg). </w:t>
      </w:r>
      <w:bookmarkStart w:id="8" w:name="_Hlk522866098"/>
      <w:r w:rsidR="00DD1E2E" w:rsidRPr="00C41C6F">
        <w:rPr>
          <w:rFonts w:eastAsia="Times New Roman" w:cs="Times New Roman"/>
          <w:sz w:val="24"/>
          <w:szCs w:val="24"/>
        </w:rPr>
        <w:t xml:space="preserve">Detailed methods are </w:t>
      </w:r>
      <w:r w:rsidR="00CD3637" w:rsidRPr="00C41C6F">
        <w:rPr>
          <w:rFonts w:eastAsia="Times New Roman" w:cs="Times New Roman"/>
          <w:sz w:val="24"/>
          <w:szCs w:val="24"/>
        </w:rPr>
        <w:t>in the supplement</w:t>
      </w:r>
      <w:r w:rsidR="00ED14AA" w:rsidRPr="001C7415">
        <w:rPr>
          <w:rFonts w:eastAsia="Times New Roman" w:cs="Times New Roman"/>
          <w:sz w:val="24"/>
          <w:szCs w:val="24"/>
          <w:vertAlign w:val="superscript"/>
        </w:rPr>
        <w:t>1</w:t>
      </w:r>
      <w:r w:rsidR="00464E86">
        <w:rPr>
          <w:rFonts w:eastAsia="Times New Roman" w:cs="Times New Roman"/>
          <w:sz w:val="24"/>
          <w:szCs w:val="24"/>
          <w:vertAlign w:val="superscript"/>
        </w:rPr>
        <w:t>5</w:t>
      </w:r>
      <w:r w:rsidR="00CD3637" w:rsidRPr="00C41C6F">
        <w:rPr>
          <w:rFonts w:eastAsia="Times New Roman" w:cs="Times New Roman"/>
          <w:sz w:val="24"/>
          <w:szCs w:val="24"/>
        </w:rPr>
        <w:t xml:space="preserve"> and published elsewhere</w:t>
      </w:r>
      <w:r w:rsidR="00C4093C">
        <w:rPr>
          <w:rFonts w:eastAsia="Times New Roman" w:cs="Times New Roman"/>
          <w:sz w:val="24"/>
          <w:szCs w:val="24"/>
        </w:rPr>
        <w:t>.</w:t>
      </w:r>
      <w:r w:rsidR="00082DAB">
        <w:rPr>
          <w:rFonts w:eastAsia="Times New Roman" w:cs="Times New Roman"/>
          <w:sz w:val="24"/>
          <w:szCs w:val="24"/>
          <w:vertAlign w:val="superscript"/>
        </w:rPr>
        <w:t>1</w:t>
      </w:r>
      <w:r w:rsidR="00B70A15">
        <w:rPr>
          <w:rFonts w:eastAsia="Times New Roman" w:cs="Times New Roman"/>
          <w:sz w:val="24"/>
          <w:szCs w:val="24"/>
          <w:vertAlign w:val="superscript"/>
        </w:rPr>
        <w:t>1</w:t>
      </w:r>
    </w:p>
    <w:bookmarkEnd w:id="8"/>
    <w:p w14:paraId="2711E406" w14:textId="77777777" w:rsidR="00CE17CE" w:rsidRPr="00C41C6F" w:rsidRDefault="00CE17CE" w:rsidP="00815142">
      <w:pPr>
        <w:spacing w:line="480" w:lineRule="auto"/>
        <w:rPr>
          <w:rFonts w:eastAsia="Times New Roman" w:cs="Times New Roman"/>
          <w:sz w:val="24"/>
          <w:szCs w:val="24"/>
        </w:rPr>
      </w:pPr>
    </w:p>
    <w:p w14:paraId="413A4D11" w14:textId="261953E5" w:rsidR="009E5E79" w:rsidRPr="00C41C6F" w:rsidRDefault="009A2CBC" w:rsidP="00815142">
      <w:pPr>
        <w:spacing w:line="480" w:lineRule="auto"/>
        <w:rPr>
          <w:rFonts w:eastAsia="Times New Roman" w:cs="Times New Roman"/>
          <w:sz w:val="24"/>
          <w:szCs w:val="24"/>
        </w:rPr>
      </w:pPr>
      <w:bookmarkStart w:id="9" w:name="_Hlk522867806"/>
      <w:r>
        <w:rPr>
          <w:rFonts w:eastAsia="Times New Roman" w:cs="Times New Roman"/>
          <w:sz w:val="24"/>
          <w:szCs w:val="24"/>
        </w:rPr>
        <w:t>HEALTH-SYSTEM COSTING</w:t>
      </w:r>
    </w:p>
    <w:bookmarkEnd w:id="9"/>
    <w:p w14:paraId="036B7426" w14:textId="7C30AC41" w:rsidR="0083328F" w:rsidRDefault="008B76DE" w:rsidP="00815142">
      <w:pPr>
        <w:spacing w:line="480" w:lineRule="auto"/>
        <w:rPr>
          <w:rFonts w:eastAsia="Times New Roman" w:cs="Times New Roman"/>
          <w:sz w:val="24"/>
          <w:szCs w:val="24"/>
        </w:rPr>
      </w:pPr>
      <w:r w:rsidRPr="00C41C6F">
        <w:rPr>
          <w:rFonts w:eastAsia="Times New Roman" w:cs="Times New Roman"/>
          <w:sz w:val="24"/>
          <w:szCs w:val="24"/>
        </w:rPr>
        <w:t xml:space="preserve">A </w:t>
      </w:r>
      <w:r w:rsidR="002B6FBB">
        <w:rPr>
          <w:rFonts w:eastAsia="Times New Roman" w:cs="Times New Roman"/>
          <w:sz w:val="24"/>
          <w:szCs w:val="24"/>
        </w:rPr>
        <w:t xml:space="preserve">mix of </w:t>
      </w:r>
      <w:r w:rsidRPr="00C41C6F">
        <w:rPr>
          <w:rFonts w:eastAsia="Times New Roman" w:cs="Times New Roman"/>
          <w:sz w:val="24"/>
          <w:szCs w:val="24"/>
        </w:rPr>
        <w:t>bottom-up</w:t>
      </w:r>
      <w:r w:rsidR="002B6FBB">
        <w:rPr>
          <w:rFonts w:eastAsia="Times New Roman" w:cs="Times New Roman"/>
          <w:sz w:val="24"/>
          <w:szCs w:val="24"/>
        </w:rPr>
        <w:t xml:space="preserve"> and top-down approaches </w:t>
      </w:r>
      <w:r w:rsidR="007D1800">
        <w:rPr>
          <w:rFonts w:eastAsia="Times New Roman" w:cs="Times New Roman"/>
          <w:sz w:val="24"/>
          <w:szCs w:val="24"/>
        </w:rPr>
        <w:t>were</w:t>
      </w:r>
      <w:r w:rsidR="002B6FBB">
        <w:rPr>
          <w:rFonts w:eastAsia="Times New Roman" w:cs="Times New Roman"/>
          <w:sz w:val="24"/>
          <w:szCs w:val="24"/>
        </w:rPr>
        <w:t xml:space="preserve"> used to estimate the</w:t>
      </w:r>
      <w:r w:rsidRPr="00C41C6F">
        <w:rPr>
          <w:rFonts w:eastAsia="Times New Roman" w:cs="Times New Roman"/>
          <w:sz w:val="24"/>
          <w:szCs w:val="24"/>
        </w:rPr>
        <w:t xml:space="preserve"> </w:t>
      </w:r>
      <w:r w:rsidR="00416D41">
        <w:rPr>
          <w:rFonts w:eastAsia="Times New Roman" w:cs="Times New Roman"/>
          <w:sz w:val="24"/>
          <w:szCs w:val="24"/>
        </w:rPr>
        <w:t xml:space="preserve">health system </w:t>
      </w:r>
      <w:r w:rsidRPr="00C41C6F">
        <w:rPr>
          <w:rFonts w:eastAsia="Times New Roman" w:cs="Times New Roman"/>
          <w:sz w:val="24"/>
          <w:szCs w:val="24"/>
        </w:rPr>
        <w:t>cost</w:t>
      </w:r>
      <w:r w:rsidR="00B44272">
        <w:rPr>
          <w:rFonts w:eastAsia="Times New Roman" w:cs="Times New Roman"/>
          <w:sz w:val="24"/>
          <w:szCs w:val="24"/>
        </w:rPr>
        <w:t>s</w:t>
      </w:r>
      <w:r w:rsidR="00A775FB">
        <w:rPr>
          <w:rFonts w:eastAsia="Times New Roman" w:cs="Times New Roman"/>
          <w:sz w:val="24"/>
          <w:szCs w:val="24"/>
        </w:rPr>
        <w:t xml:space="preserve"> </w:t>
      </w:r>
      <w:r w:rsidRPr="00C41C6F">
        <w:rPr>
          <w:rFonts w:eastAsia="Times New Roman" w:cs="Times New Roman"/>
          <w:sz w:val="24"/>
          <w:szCs w:val="24"/>
        </w:rPr>
        <w:t>for the two countries.</w:t>
      </w:r>
      <w:r w:rsidR="00C4093C" w:rsidRPr="006C457B">
        <w:rPr>
          <w:rFonts w:eastAsia="Times New Roman" w:cs="Times New Roman"/>
          <w:sz w:val="24"/>
          <w:szCs w:val="24"/>
          <w:vertAlign w:val="superscript"/>
        </w:rPr>
        <w:t>1</w:t>
      </w:r>
      <w:r w:rsidR="00464E86">
        <w:rPr>
          <w:rFonts w:eastAsia="Times New Roman" w:cs="Times New Roman"/>
          <w:sz w:val="24"/>
          <w:szCs w:val="24"/>
          <w:vertAlign w:val="superscript"/>
        </w:rPr>
        <w:t>3</w:t>
      </w:r>
      <w:r w:rsidR="00C100B1">
        <w:rPr>
          <w:rFonts w:eastAsia="Times New Roman" w:cs="Times New Roman"/>
          <w:sz w:val="24"/>
          <w:szCs w:val="24"/>
          <w:vertAlign w:val="superscript"/>
        </w:rPr>
        <w:t>,1</w:t>
      </w:r>
      <w:r w:rsidR="00464E86">
        <w:rPr>
          <w:rFonts w:eastAsia="Times New Roman" w:cs="Times New Roman"/>
          <w:sz w:val="24"/>
          <w:szCs w:val="24"/>
          <w:vertAlign w:val="superscript"/>
        </w:rPr>
        <w:t>4</w:t>
      </w:r>
      <w:r w:rsidR="00625EA2">
        <w:rPr>
          <w:rFonts w:eastAsia="Times New Roman" w:cs="Times New Roman"/>
          <w:sz w:val="24"/>
          <w:szCs w:val="24"/>
        </w:rPr>
        <w:t xml:space="preserve"> M</w:t>
      </w:r>
      <w:r w:rsidR="0008665D">
        <w:rPr>
          <w:rFonts w:eastAsia="Times New Roman" w:cs="Times New Roman"/>
          <w:sz w:val="24"/>
          <w:szCs w:val="24"/>
        </w:rPr>
        <w:t>edication, inpatient stay and</w:t>
      </w:r>
      <w:r w:rsidR="00725AE1">
        <w:rPr>
          <w:rFonts w:eastAsia="Times New Roman" w:cs="Times New Roman"/>
          <w:sz w:val="24"/>
          <w:szCs w:val="24"/>
        </w:rPr>
        <w:t xml:space="preserve"> Serious Adverse Events</w:t>
      </w:r>
      <w:r w:rsidR="0008665D">
        <w:rPr>
          <w:rFonts w:eastAsia="Times New Roman" w:cs="Times New Roman"/>
          <w:sz w:val="24"/>
          <w:szCs w:val="24"/>
        </w:rPr>
        <w:t xml:space="preserve"> </w:t>
      </w:r>
      <w:r w:rsidR="00725AE1">
        <w:rPr>
          <w:rFonts w:eastAsia="Times New Roman" w:cs="Times New Roman"/>
          <w:sz w:val="24"/>
          <w:szCs w:val="24"/>
        </w:rPr>
        <w:t>(</w:t>
      </w:r>
      <w:r w:rsidR="0008665D">
        <w:rPr>
          <w:rFonts w:eastAsia="Times New Roman" w:cs="Times New Roman"/>
          <w:sz w:val="24"/>
          <w:szCs w:val="24"/>
        </w:rPr>
        <w:t>SAE</w:t>
      </w:r>
      <w:r w:rsidR="00725AE1">
        <w:rPr>
          <w:rFonts w:eastAsia="Times New Roman" w:cs="Times New Roman"/>
          <w:sz w:val="24"/>
          <w:szCs w:val="24"/>
        </w:rPr>
        <w:t>)</w:t>
      </w:r>
      <w:r w:rsidR="0008665D">
        <w:rPr>
          <w:rFonts w:eastAsia="Times New Roman" w:cs="Times New Roman"/>
          <w:sz w:val="24"/>
          <w:szCs w:val="24"/>
        </w:rPr>
        <w:t xml:space="preserve"> </w:t>
      </w:r>
      <w:r w:rsidR="0045180B">
        <w:rPr>
          <w:rFonts w:eastAsia="Times New Roman" w:cs="Times New Roman"/>
          <w:sz w:val="24"/>
          <w:szCs w:val="24"/>
        </w:rPr>
        <w:t>cost</w:t>
      </w:r>
      <w:r w:rsidR="0008665D">
        <w:rPr>
          <w:rFonts w:eastAsia="Times New Roman" w:cs="Times New Roman"/>
          <w:sz w:val="24"/>
          <w:szCs w:val="24"/>
        </w:rPr>
        <w:t>s</w:t>
      </w:r>
      <w:r w:rsidR="00625EA2">
        <w:rPr>
          <w:rFonts w:eastAsia="Times New Roman" w:cs="Times New Roman"/>
          <w:sz w:val="24"/>
          <w:szCs w:val="24"/>
        </w:rPr>
        <w:t xml:space="preserve"> </w:t>
      </w:r>
      <w:r w:rsidR="0008665D">
        <w:rPr>
          <w:rFonts w:eastAsia="Times New Roman" w:cs="Times New Roman"/>
          <w:sz w:val="24"/>
          <w:szCs w:val="24"/>
        </w:rPr>
        <w:t>were calculated at the individual level, whereas</w:t>
      </w:r>
      <w:r w:rsidR="00AE5622">
        <w:rPr>
          <w:rFonts w:eastAsia="Times New Roman" w:cs="Times New Roman"/>
          <w:sz w:val="24"/>
          <w:szCs w:val="24"/>
        </w:rPr>
        <w:t xml:space="preserve"> costs for</w:t>
      </w:r>
      <w:r w:rsidR="0008665D">
        <w:rPr>
          <w:rFonts w:eastAsia="Times New Roman" w:cs="Times New Roman"/>
          <w:sz w:val="24"/>
          <w:szCs w:val="24"/>
        </w:rPr>
        <w:t xml:space="preserve"> laboratory tests, ECG monitoring, staff</w:t>
      </w:r>
      <w:r w:rsidR="00AE5622">
        <w:rPr>
          <w:rFonts w:eastAsia="Times New Roman" w:cs="Times New Roman"/>
          <w:sz w:val="24"/>
          <w:szCs w:val="24"/>
        </w:rPr>
        <w:t xml:space="preserve"> time,</w:t>
      </w:r>
      <w:r w:rsidR="0008665D">
        <w:rPr>
          <w:rFonts w:eastAsia="Times New Roman" w:cs="Times New Roman"/>
          <w:sz w:val="24"/>
          <w:szCs w:val="24"/>
        </w:rPr>
        <w:t xml:space="preserve"> consumables and social support were based on </w:t>
      </w:r>
      <w:r w:rsidR="00AE5622">
        <w:rPr>
          <w:rFonts w:eastAsia="Times New Roman" w:cs="Times New Roman"/>
          <w:sz w:val="24"/>
          <w:szCs w:val="24"/>
        </w:rPr>
        <w:t>aggregate level patient pathway data collected during the trial. Th</w:t>
      </w:r>
      <w:r w:rsidR="00054916">
        <w:rPr>
          <w:rFonts w:eastAsia="Times New Roman" w:cs="Times New Roman"/>
          <w:sz w:val="24"/>
          <w:szCs w:val="24"/>
        </w:rPr>
        <w:t>e</w:t>
      </w:r>
      <w:r w:rsidR="00AE5622">
        <w:rPr>
          <w:rFonts w:eastAsia="Times New Roman" w:cs="Times New Roman"/>
          <w:sz w:val="24"/>
          <w:szCs w:val="24"/>
        </w:rPr>
        <w:t>s</w:t>
      </w:r>
      <w:r w:rsidR="00054916">
        <w:rPr>
          <w:rFonts w:eastAsia="Times New Roman" w:cs="Times New Roman"/>
          <w:sz w:val="24"/>
          <w:szCs w:val="24"/>
        </w:rPr>
        <w:t>e</w:t>
      </w:r>
      <w:r w:rsidR="00AE5622">
        <w:rPr>
          <w:rFonts w:eastAsia="Times New Roman" w:cs="Times New Roman"/>
          <w:sz w:val="24"/>
          <w:szCs w:val="24"/>
        </w:rPr>
        <w:t xml:space="preserve"> resource use data were </w:t>
      </w:r>
      <w:r w:rsidR="007B69FE">
        <w:rPr>
          <w:rFonts w:eastAsia="Times New Roman" w:cs="Times New Roman"/>
          <w:sz w:val="24"/>
          <w:szCs w:val="24"/>
        </w:rPr>
        <w:lastRenderedPageBreak/>
        <w:t xml:space="preserve">supplemented with information on the typical activities of care in each country </w:t>
      </w:r>
      <w:r w:rsidR="00ED3598">
        <w:rPr>
          <w:rFonts w:eastAsia="Times New Roman" w:cs="Times New Roman"/>
          <w:sz w:val="24"/>
          <w:szCs w:val="24"/>
        </w:rPr>
        <w:t xml:space="preserve">in cases </w:t>
      </w:r>
      <w:r w:rsidR="007B69FE">
        <w:rPr>
          <w:rFonts w:eastAsia="Times New Roman" w:cs="Times New Roman"/>
          <w:sz w:val="24"/>
          <w:szCs w:val="24"/>
        </w:rPr>
        <w:t>where trial data were insufficiently detailed. The activities represent</w:t>
      </w:r>
      <w:r w:rsidR="00ED3598">
        <w:rPr>
          <w:rFonts w:eastAsia="Times New Roman" w:cs="Times New Roman"/>
          <w:sz w:val="24"/>
          <w:szCs w:val="24"/>
        </w:rPr>
        <w:t>ative of</w:t>
      </w:r>
      <w:r w:rsidR="007B69FE">
        <w:rPr>
          <w:rFonts w:eastAsia="Times New Roman" w:cs="Times New Roman"/>
          <w:sz w:val="24"/>
          <w:szCs w:val="24"/>
        </w:rPr>
        <w:t xml:space="preserve"> typical care</w:t>
      </w:r>
      <w:r w:rsidR="00E37006">
        <w:rPr>
          <w:rFonts w:eastAsia="Times New Roman" w:cs="Times New Roman"/>
          <w:sz w:val="24"/>
          <w:szCs w:val="24"/>
        </w:rPr>
        <w:t>,</w:t>
      </w:r>
      <w:r w:rsidR="001D2950">
        <w:rPr>
          <w:rFonts w:eastAsia="Times New Roman" w:cs="Times New Roman"/>
          <w:sz w:val="24"/>
          <w:szCs w:val="24"/>
        </w:rPr>
        <w:t xml:space="preserve"> including TB drug use</w:t>
      </w:r>
      <w:r w:rsidR="00ED3598">
        <w:rPr>
          <w:rFonts w:eastAsia="Times New Roman" w:cs="Times New Roman"/>
          <w:sz w:val="24"/>
          <w:szCs w:val="24"/>
        </w:rPr>
        <w:t xml:space="preserve"> </w:t>
      </w:r>
      <w:r w:rsidR="007B69FE">
        <w:rPr>
          <w:rFonts w:eastAsia="Times New Roman" w:cs="Times New Roman"/>
          <w:sz w:val="24"/>
          <w:szCs w:val="24"/>
        </w:rPr>
        <w:t>and t</w:t>
      </w:r>
      <w:r w:rsidR="007B69FE" w:rsidRPr="00C41C6F">
        <w:rPr>
          <w:rFonts w:eastAsia="Times New Roman" w:cs="Times New Roman"/>
          <w:sz w:val="24"/>
          <w:szCs w:val="24"/>
        </w:rPr>
        <w:t>he r</w:t>
      </w:r>
      <w:r w:rsidR="007B69FE">
        <w:rPr>
          <w:rFonts w:eastAsia="Times New Roman" w:cs="Times New Roman"/>
          <w:sz w:val="24"/>
          <w:szCs w:val="24"/>
        </w:rPr>
        <w:t>esources involved in delivering them, were determined</w:t>
      </w:r>
      <w:r w:rsidR="00CD3637" w:rsidRPr="00C41C6F">
        <w:rPr>
          <w:rFonts w:eastAsia="Times New Roman" w:cs="Times New Roman"/>
          <w:sz w:val="24"/>
          <w:szCs w:val="24"/>
        </w:rPr>
        <w:t xml:space="preserve"> </w:t>
      </w:r>
      <w:r w:rsidR="00A76497">
        <w:rPr>
          <w:rFonts w:eastAsia="Times New Roman" w:cs="Times New Roman"/>
          <w:sz w:val="24"/>
          <w:szCs w:val="24"/>
        </w:rPr>
        <w:t>by</w:t>
      </w:r>
      <w:r w:rsidR="00ED3598">
        <w:rPr>
          <w:rFonts w:eastAsia="Times New Roman" w:cs="Times New Roman"/>
          <w:sz w:val="24"/>
          <w:szCs w:val="24"/>
        </w:rPr>
        <w:t xml:space="preserve"> </w:t>
      </w:r>
      <w:r w:rsidR="007B69FE">
        <w:rPr>
          <w:rFonts w:eastAsia="Times New Roman" w:cs="Times New Roman"/>
          <w:sz w:val="24"/>
          <w:szCs w:val="24"/>
        </w:rPr>
        <w:t>review</w:t>
      </w:r>
      <w:r w:rsidR="00ED3598">
        <w:rPr>
          <w:rFonts w:eastAsia="Times New Roman" w:cs="Times New Roman"/>
          <w:sz w:val="24"/>
          <w:szCs w:val="24"/>
        </w:rPr>
        <w:t>ing</w:t>
      </w:r>
      <w:r w:rsidR="007B69FE">
        <w:rPr>
          <w:rFonts w:eastAsia="Times New Roman" w:cs="Times New Roman"/>
          <w:sz w:val="24"/>
          <w:szCs w:val="24"/>
        </w:rPr>
        <w:t xml:space="preserve"> </w:t>
      </w:r>
      <w:r w:rsidR="00CD3637" w:rsidRPr="00C41C6F">
        <w:rPr>
          <w:rFonts w:eastAsia="Times New Roman" w:cs="Times New Roman"/>
          <w:sz w:val="24"/>
          <w:szCs w:val="24"/>
        </w:rPr>
        <w:t>national</w:t>
      </w:r>
      <w:r w:rsidR="0098309C">
        <w:rPr>
          <w:rFonts w:eastAsia="Times New Roman" w:cs="Times New Roman"/>
          <w:sz w:val="24"/>
          <w:szCs w:val="24"/>
        </w:rPr>
        <w:t xml:space="preserve"> and local</w:t>
      </w:r>
      <w:r w:rsidR="00CD3637" w:rsidRPr="00C41C6F">
        <w:rPr>
          <w:rFonts w:eastAsia="Times New Roman" w:cs="Times New Roman"/>
          <w:sz w:val="24"/>
          <w:szCs w:val="24"/>
        </w:rPr>
        <w:t xml:space="preserve"> guidelines</w:t>
      </w:r>
      <w:r w:rsidR="000A1D5D">
        <w:rPr>
          <w:rFonts w:eastAsia="Times New Roman" w:cs="Times New Roman"/>
          <w:sz w:val="24"/>
          <w:szCs w:val="24"/>
          <w:vertAlign w:val="superscript"/>
        </w:rPr>
        <w:t>10</w:t>
      </w:r>
      <w:r w:rsidR="007B69FE">
        <w:rPr>
          <w:rFonts w:eastAsia="Times New Roman" w:cs="Times New Roman"/>
          <w:sz w:val="24"/>
          <w:szCs w:val="24"/>
        </w:rPr>
        <w:t xml:space="preserve"> and</w:t>
      </w:r>
      <w:bookmarkStart w:id="10" w:name="_Hlk522867794"/>
      <w:r w:rsidR="00CD3637" w:rsidRPr="00C41C6F">
        <w:rPr>
          <w:rFonts w:eastAsia="Times New Roman" w:cs="Times New Roman"/>
          <w:sz w:val="24"/>
          <w:szCs w:val="24"/>
        </w:rPr>
        <w:t xml:space="preserve"> </w:t>
      </w:r>
      <w:r w:rsidR="00DD1E2E" w:rsidRPr="00C41C6F">
        <w:rPr>
          <w:rFonts w:eastAsia="Times New Roman" w:cs="Times New Roman"/>
          <w:sz w:val="24"/>
          <w:szCs w:val="24"/>
        </w:rPr>
        <w:t xml:space="preserve">interviews with relevant clinical and managerial </w:t>
      </w:r>
      <w:r w:rsidR="00111E78" w:rsidRPr="00C41C6F">
        <w:rPr>
          <w:rFonts w:eastAsia="Times New Roman" w:cs="Times New Roman"/>
          <w:sz w:val="24"/>
          <w:szCs w:val="24"/>
        </w:rPr>
        <w:t>staff</w:t>
      </w:r>
      <w:r w:rsidR="00CB7C72">
        <w:rPr>
          <w:rFonts w:eastAsia="Times New Roman" w:cs="Times New Roman"/>
          <w:sz w:val="24"/>
          <w:szCs w:val="24"/>
        </w:rPr>
        <w:t>. They were</w:t>
      </w:r>
      <w:r w:rsidR="00DD1E2E" w:rsidRPr="00C41C6F">
        <w:rPr>
          <w:rFonts w:eastAsia="Times New Roman" w:cs="Times New Roman"/>
          <w:sz w:val="24"/>
          <w:szCs w:val="24"/>
        </w:rPr>
        <w:t xml:space="preserve"> costed using relevant unit costs for each countr</w:t>
      </w:r>
      <w:r w:rsidR="00EB7963">
        <w:rPr>
          <w:rFonts w:eastAsia="Times New Roman" w:cs="Times New Roman"/>
          <w:sz w:val="24"/>
          <w:szCs w:val="24"/>
        </w:rPr>
        <w:t>y</w:t>
      </w:r>
      <w:r w:rsidR="00E2671D" w:rsidRPr="001C7415">
        <w:rPr>
          <w:rFonts w:eastAsia="Times New Roman" w:cs="Times New Roman"/>
          <w:sz w:val="24"/>
          <w:szCs w:val="24"/>
          <w:vertAlign w:val="superscript"/>
        </w:rPr>
        <w:t>1</w:t>
      </w:r>
      <w:r w:rsidR="00464E86">
        <w:rPr>
          <w:rFonts w:eastAsia="Times New Roman" w:cs="Times New Roman"/>
          <w:sz w:val="24"/>
          <w:szCs w:val="24"/>
          <w:vertAlign w:val="superscript"/>
        </w:rPr>
        <w:t>5</w:t>
      </w:r>
      <w:r w:rsidR="00E2671D">
        <w:rPr>
          <w:rFonts w:eastAsia="Times New Roman" w:cs="Times New Roman"/>
          <w:sz w:val="24"/>
          <w:szCs w:val="24"/>
        </w:rPr>
        <w:t>.</w:t>
      </w:r>
      <w:bookmarkEnd w:id="10"/>
    </w:p>
    <w:p w14:paraId="18061F8B" w14:textId="77777777" w:rsidR="007B69FE" w:rsidRDefault="007B69FE" w:rsidP="00815142">
      <w:pPr>
        <w:spacing w:line="480" w:lineRule="auto"/>
        <w:rPr>
          <w:rFonts w:eastAsia="Times New Roman" w:cs="Times New Roman"/>
          <w:sz w:val="24"/>
          <w:szCs w:val="24"/>
        </w:rPr>
      </w:pPr>
    </w:p>
    <w:p w14:paraId="65B9255A" w14:textId="021163C9" w:rsidR="004749DC" w:rsidRDefault="00E7403E">
      <w:pPr>
        <w:spacing w:line="480" w:lineRule="auto"/>
        <w:rPr>
          <w:rFonts w:eastAsia="Times New Roman" w:cs="Times New Roman"/>
          <w:sz w:val="24"/>
          <w:szCs w:val="24"/>
        </w:rPr>
      </w:pPr>
      <w:r w:rsidRPr="00E7403E">
        <w:rPr>
          <w:rFonts w:eastAsia="Times New Roman" w:cs="Times New Roman"/>
          <w:sz w:val="24"/>
          <w:szCs w:val="24"/>
        </w:rPr>
        <w:t xml:space="preserve">The policy at all sites was for patients to remain as inpatients from treatment initiation until </w:t>
      </w:r>
      <w:r w:rsidR="00AC69F8">
        <w:rPr>
          <w:rFonts w:eastAsia="Times New Roman" w:cs="Times New Roman"/>
          <w:sz w:val="24"/>
          <w:szCs w:val="24"/>
        </w:rPr>
        <w:t xml:space="preserve">they were </w:t>
      </w:r>
      <w:r w:rsidRPr="00E7403E">
        <w:rPr>
          <w:rFonts w:eastAsia="Times New Roman" w:cs="Times New Roman"/>
          <w:sz w:val="24"/>
          <w:szCs w:val="24"/>
        </w:rPr>
        <w:t>sputum smear</w:t>
      </w:r>
      <w:r w:rsidR="00ED3598">
        <w:rPr>
          <w:rFonts w:eastAsia="Times New Roman" w:cs="Times New Roman"/>
          <w:sz w:val="24"/>
          <w:szCs w:val="24"/>
        </w:rPr>
        <w:t>-</w:t>
      </w:r>
      <w:r w:rsidRPr="00E7403E">
        <w:rPr>
          <w:rFonts w:eastAsia="Times New Roman" w:cs="Times New Roman"/>
          <w:sz w:val="24"/>
          <w:szCs w:val="24"/>
        </w:rPr>
        <w:t xml:space="preserve">negative.  </w:t>
      </w:r>
      <w:r w:rsidR="00464B86">
        <w:rPr>
          <w:rFonts w:eastAsia="Times New Roman" w:cs="Times New Roman"/>
          <w:sz w:val="24"/>
          <w:szCs w:val="24"/>
        </w:rPr>
        <w:t xml:space="preserve">As accurate records of admission and discharge </w:t>
      </w:r>
      <w:r w:rsidR="00BA3D88">
        <w:rPr>
          <w:rFonts w:eastAsia="Times New Roman" w:cs="Times New Roman"/>
          <w:sz w:val="24"/>
          <w:szCs w:val="24"/>
        </w:rPr>
        <w:t xml:space="preserve">dates </w:t>
      </w:r>
      <w:r w:rsidR="00464B86">
        <w:rPr>
          <w:rFonts w:eastAsia="Times New Roman" w:cs="Times New Roman"/>
          <w:sz w:val="24"/>
          <w:szCs w:val="24"/>
        </w:rPr>
        <w:t xml:space="preserve">were unavailable, we used time to </w:t>
      </w:r>
      <w:r w:rsidR="00BA3D88">
        <w:rPr>
          <w:rFonts w:eastAsia="Times New Roman" w:cs="Times New Roman"/>
          <w:sz w:val="24"/>
          <w:szCs w:val="24"/>
        </w:rPr>
        <w:t xml:space="preserve">sputum </w:t>
      </w:r>
      <w:r w:rsidR="00BE7B5C">
        <w:rPr>
          <w:rFonts w:eastAsia="Times New Roman" w:cs="Times New Roman"/>
          <w:sz w:val="24"/>
          <w:szCs w:val="24"/>
        </w:rPr>
        <w:t>smear</w:t>
      </w:r>
      <w:r w:rsidR="00464B86">
        <w:rPr>
          <w:rFonts w:eastAsia="Times New Roman" w:cs="Times New Roman"/>
          <w:sz w:val="24"/>
          <w:szCs w:val="24"/>
        </w:rPr>
        <w:t xml:space="preserve"> conversion</w:t>
      </w:r>
      <w:r w:rsidR="00BA3D88">
        <w:rPr>
          <w:rFonts w:eastAsia="Times New Roman" w:cs="Times New Roman"/>
          <w:sz w:val="24"/>
          <w:szCs w:val="24"/>
        </w:rPr>
        <w:t xml:space="preserve"> in the laboratory</w:t>
      </w:r>
      <w:r w:rsidR="00464B86">
        <w:rPr>
          <w:rFonts w:eastAsia="Times New Roman" w:cs="Times New Roman"/>
          <w:sz w:val="24"/>
          <w:szCs w:val="24"/>
        </w:rPr>
        <w:t xml:space="preserve"> as a proxy for inpatient stay, allowing</w:t>
      </w:r>
      <w:r w:rsidR="004B72E5">
        <w:rPr>
          <w:rFonts w:eastAsia="Times New Roman" w:cs="Times New Roman"/>
          <w:sz w:val="24"/>
          <w:szCs w:val="24"/>
        </w:rPr>
        <w:t xml:space="preserve"> for an additional</w:t>
      </w:r>
      <w:r w:rsidR="00464B86">
        <w:rPr>
          <w:rFonts w:eastAsia="Times New Roman" w:cs="Times New Roman"/>
          <w:sz w:val="24"/>
          <w:szCs w:val="24"/>
        </w:rPr>
        <w:t xml:space="preserve"> four weeks for this to be confirmed and communicated back to </w:t>
      </w:r>
      <w:r w:rsidR="00A76497">
        <w:rPr>
          <w:rFonts w:eastAsia="Times New Roman" w:cs="Times New Roman"/>
          <w:sz w:val="24"/>
          <w:szCs w:val="24"/>
        </w:rPr>
        <w:t>clinicians</w:t>
      </w:r>
      <w:r w:rsidR="00464B86">
        <w:rPr>
          <w:rFonts w:eastAsia="Times New Roman" w:cs="Times New Roman"/>
          <w:sz w:val="24"/>
          <w:szCs w:val="24"/>
        </w:rPr>
        <w:t xml:space="preserve">. </w:t>
      </w:r>
      <w:r w:rsidR="000E1ED9">
        <w:rPr>
          <w:rFonts w:eastAsia="Times New Roman" w:cs="Times New Roman"/>
          <w:sz w:val="24"/>
          <w:szCs w:val="24"/>
        </w:rPr>
        <w:t xml:space="preserve">Where </w:t>
      </w:r>
      <w:r w:rsidR="008A6A83">
        <w:rPr>
          <w:rFonts w:eastAsia="Times New Roman" w:cs="Times New Roman"/>
          <w:sz w:val="24"/>
          <w:szCs w:val="24"/>
        </w:rPr>
        <w:t xml:space="preserve">participants </w:t>
      </w:r>
      <w:r w:rsidR="000E1ED9">
        <w:rPr>
          <w:rFonts w:eastAsia="Times New Roman" w:cs="Times New Roman"/>
          <w:sz w:val="24"/>
          <w:szCs w:val="24"/>
        </w:rPr>
        <w:t>died within</w:t>
      </w:r>
      <w:r w:rsidR="00A92FE3">
        <w:rPr>
          <w:rFonts w:eastAsia="Times New Roman" w:cs="Times New Roman"/>
          <w:sz w:val="24"/>
          <w:szCs w:val="24"/>
        </w:rPr>
        <w:t xml:space="preserve"> this</w:t>
      </w:r>
      <w:r w:rsidR="00445202">
        <w:rPr>
          <w:rFonts w:eastAsia="Times New Roman" w:cs="Times New Roman"/>
          <w:sz w:val="24"/>
          <w:szCs w:val="24"/>
        </w:rPr>
        <w:t xml:space="preserve"> timeframe</w:t>
      </w:r>
      <w:r w:rsidR="00A92FE3">
        <w:rPr>
          <w:rFonts w:eastAsia="Times New Roman" w:cs="Times New Roman"/>
          <w:sz w:val="24"/>
          <w:szCs w:val="24"/>
        </w:rPr>
        <w:t xml:space="preserve"> or before smear conversion,</w:t>
      </w:r>
      <w:r w:rsidR="000E1ED9">
        <w:rPr>
          <w:rFonts w:eastAsia="Times New Roman" w:cs="Times New Roman"/>
          <w:sz w:val="24"/>
          <w:szCs w:val="24"/>
        </w:rPr>
        <w:t xml:space="preserve"> we assumed</w:t>
      </w:r>
      <w:r w:rsidR="00A92FE3">
        <w:rPr>
          <w:rFonts w:eastAsia="Times New Roman" w:cs="Times New Roman"/>
          <w:sz w:val="24"/>
          <w:szCs w:val="24"/>
        </w:rPr>
        <w:t xml:space="preserve"> </w:t>
      </w:r>
      <w:r w:rsidR="00BF1FD8">
        <w:rPr>
          <w:rFonts w:eastAsia="Times New Roman" w:cs="Times New Roman"/>
          <w:sz w:val="24"/>
          <w:szCs w:val="24"/>
        </w:rPr>
        <w:t xml:space="preserve">inpatient stay </w:t>
      </w:r>
      <w:r w:rsidR="000E1ED9">
        <w:rPr>
          <w:rFonts w:eastAsia="Times New Roman" w:cs="Times New Roman"/>
          <w:sz w:val="24"/>
          <w:szCs w:val="24"/>
        </w:rPr>
        <w:t xml:space="preserve">duration was equal to </w:t>
      </w:r>
      <w:r w:rsidR="00A92FE3">
        <w:rPr>
          <w:rFonts w:eastAsia="Times New Roman" w:cs="Times New Roman"/>
          <w:sz w:val="24"/>
          <w:szCs w:val="24"/>
        </w:rPr>
        <w:t xml:space="preserve">the number of days </w:t>
      </w:r>
      <w:r w:rsidR="000E1ED9">
        <w:rPr>
          <w:rFonts w:eastAsia="Times New Roman" w:cs="Times New Roman"/>
          <w:sz w:val="24"/>
          <w:szCs w:val="24"/>
        </w:rPr>
        <w:t xml:space="preserve">they were </w:t>
      </w:r>
      <w:r w:rsidR="00A92FE3">
        <w:rPr>
          <w:rFonts w:eastAsia="Times New Roman" w:cs="Times New Roman"/>
          <w:sz w:val="24"/>
          <w:szCs w:val="24"/>
        </w:rPr>
        <w:t>under treatment</w:t>
      </w:r>
      <w:r w:rsidR="00445202">
        <w:rPr>
          <w:rFonts w:eastAsia="Times New Roman" w:cs="Times New Roman"/>
          <w:sz w:val="24"/>
          <w:szCs w:val="24"/>
        </w:rPr>
        <w:t>.</w:t>
      </w:r>
      <w:r w:rsidR="00A92FE3">
        <w:rPr>
          <w:rFonts w:eastAsia="Times New Roman" w:cs="Times New Roman"/>
          <w:sz w:val="24"/>
          <w:szCs w:val="24"/>
        </w:rPr>
        <w:t xml:space="preserve"> </w:t>
      </w:r>
    </w:p>
    <w:p w14:paraId="34EE9DC0" w14:textId="05096CA2" w:rsidR="00D35471" w:rsidRDefault="00464B86">
      <w:pPr>
        <w:spacing w:line="480" w:lineRule="auto"/>
        <w:rPr>
          <w:rFonts w:eastAsia="Times New Roman" w:cs="Times New Roman"/>
          <w:sz w:val="24"/>
          <w:szCs w:val="24"/>
        </w:rPr>
      </w:pPr>
      <w:r>
        <w:rPr>
          <w:rFonts w:eastAsia="Times New Roman" w:cs="Times New Roman"/>
          <w:sz w:val="24"/>
          <w:szCs w:val="24"/>
        </w:rPr>
        <w:t>A detailed review of care activities was carried out to estimate the</w:t>
      </w:r>
      <w:r w:rsidR="001D2950">
        <w:rPr>
          <w:rFonts w:eastAsia="Times New Roman" w:cs="Times New Roman"/>
          <w:sz w:val="24"/>
          <w:szCs w:val="24"/>
        </w:rPr>
        <w:t xml:space="preserve"> health care resources required to manage</w:t>
      </w:r>
      <w:r>
        <w:rPr>
          <w:rFonts w:eastAsia="Times New Roman" w:cs="Times New Roman"/>
          <w:sz w:val="24"/>
          <w:szCs w:val="24"/>
        </w:rPr>
        <w:t xml:space="preserve"> </w:t>
      </w:r>
      <w:r w:rsidR="00BA3D88">
        <w:rPr>
          <w:rFonts w:eastAsia="Times New Roman" w:cs="Times New Roman"/>
          <w:sz w:val="24"/>
          <w:szCs w:val="24"/>
        </w:rPr>
        <w:t>each</w:t>
      </w:r>
      <w:r>
        <w:rPr>
          <w:rFonts w:eastAsia="Times New Roman" w:cs="Times New Roman"/>
          <w:sz w:val="24"/>
          <w:szCs w:val="24"/>
        </w:rPr>
        <w:t xml:space="preserve"> SAE episode.</w:t>
      </w:r>
      <w:r w:rsidR="001162B0">
        <w:rPr>
          <w:rFonts w:eastAsia="Times New Roman" w:cs="Times New Roman"/>
          <w:sz w:val="24"/>
          <w:szCs w:val="24"/>
        </w:rPr>
        <w:t xml:space="preserve"> We focussed on SAEs </w:t>
      </w:r>
      <w:r w:rsidR="00337D6B">
        <w:rPr>
          <w:rFonts w:eastAsia="Times New Roman" w:cs="Times New Roman"/>
          <w:sz w:val="24"/>
          <w:szCs w:val="24"/>
        </w:rPr>
        <w:t xml:space="preserve">as </w:t>
      </w:r>
      <w:r w:rsidR="00E1798A">
        <w:rPr>
          <w:rFonts w:eastAsia="Times New Roman" w:cs="Times New Roman"/>
          <w:sz w:val="24"/>
          <w:szCs w:val="24"/>
        </w:rPr>
        <w:t>they are</w:t>
      </w:r>
      <w:r w:rsidR="001162B0">
        <w:rPr>
          <w:rFonts w:eastAsia="Times New Roman" w:cs="Times New Roman"/>
          <w:sz w:val="24"/>
          <w:szCs w:val="24"/>
        </w:rPr>
        <w:t xml:space="preserve"> the </w:t>
      </w:r>
      <w:proofErr w:type="gramStart"/>
      <w:r w:rsidR="001162B0">
        <w:rPr>
          <w:rFonts w:eastAsia="Times New Roman" w:cs="Times New Roman"/>
          <w:sz w:val="24"/>
          <w:szCs w:val="24"/>
        </w:rPr>
        <w:t>most costly</w:t>
      </w:r>
      <w:proofErr w:type="gramEnd"/>
      <w:r w:rsidR="001162B0">
        <w:rPr>
          <w:rFonts w:eastAsia="Times New Roman" w:cs="Times New Roman"/>
          <w:sz w:val="24"/>
          <w:szCs w:val="24"/>
        </w:rPr>
        <w:t xml:space="preserve"> to manage</w:t>
      </w:r>
      <w:r w:rsidR="00C4093C">
        <w:rPr>
          <w:rFonts w:eastAsia="Times New Roman" w:cs="Times New Roman"/>
          <w:sz w:val="24"/>
          <w:szCs w:val="24"/>
        </w:rPr>
        <w:t>.</w:t>
      </w:r>
      <w:r w:rsidR="004F2690" w:rsidRPr="006C457B">
        <w:rPr>
          <w:rFonts w:eastAsia="Times New Roman" w:cs="Times New Roman"/>
          <w:sz w:val="24"/>
          <w:szCs w:val="24"/>
          <w:vertAlign w:val="superscript"/>
        </w:rPr>
        <w:t>1</w:t>
      </w:r>
      <w:r w:rsidR="00464E86">
        <w:rPr>
          <w:rFonts w:eastAsia="Times New Roman" w:cs="Times New Roman"/>
          <w:sz w:val="24"/>
          <w:szCs w:val="24"/>
          <w:vertAlign w:val="superscript"/>
        </w:rPr>
        <w:t>6</w:t>
      </w:r>
      <w:r w:rsidR="001162B0">
        <w:rPr>
          <w:rFonts w:eastAsia="Times New Roman" w:cs="Times New Roman"/>
          <w:sz w:val="24"/>
          <w:szCs w:val="24"/>
        </w:rPr>
        <w:t xml:space="preserve"> </w:t>
      </w:r>
      <w:r w:rsidR="001162B0" w:rsidRPr="00223603">
        <w:rPr>
          <w:rFonts w:eastAsia="Times New Roman" w:cs="Times New Roman"/>
          <w:sz w:val="24"/>
          <w:szCs w:val="24"/>
        </w:rPr>
        <w:t>The SAE costing was performed in Ethiopia, on a purp</w:t>
      </w:r>
      <w:r w:rsidR="001162B0">
        <w:rPr>
          <w:rFonts w:eastAsia="Times New Roman" w:cs="Times New Roman"/>
          <w:sz w:val="24"/>
          <w:szCs w:val="24"/>
        </w:rPr>
        <w:t>osive sample comprising all SAE</w:t>
      </w:r>
      <w:r w:rsidR="001162B0" w:rsidRPr="00223603">
        <w:rPr>
          <w:rFonts w:eastAsia="Times New Roman" w:cs="Times New Roman"/>
          <w:sz w:val="24"/>
          <w:szCs w:val="24"/>
        </w:rPr>
        <w:t xml:space="preserve">s which were identified as being caused by MDR-TB </w:t>
      </w:r>
      <w:r w:rsidR="00252516">
        <w:rPr>
          <w:rFonts w:eastAsia="Times New Roman" w:cs="Times New Roman"/>
          <w:sz w:val="24"/>
          <w:szCs w:val="24"/>
        </w:rPr>
        <w:t xml:space="preserve">or its </w:t>
      </w:r>
      <w:r w:rsidR="001162B0" w:rsidRPr="00223603">
        <w:rPr>
          <w:rFonts w:eastAsia="Times New Roman" w:cs="Times New Roman"/>
          <w:sz w:val="24"/>
          <w:szCs w:val="24"/>
        </w:rPr>
        <w:t>treatment</w:t>
      </w:r>
      <w:r w:rsidR="00E2671D" w:rsidRPr="001C7415">
        <w:rPr>
          <w:rFonts w:eastAsia="Times New Roman" w:cs="Times New Roman"/>
          <w:sz w:val="24"/>
          <w:szCs w:val="24"/>
          <w:vertAlign w:val="superscript"/>
        </w:rPr>
        <w:t>1</w:t>
      </w:r>
      <w:r w:rsidR="00464E86">
        <w:rPr>
          <w:rFonts w:eastAsia="Times New Roman" w:cs="Times New Roman"/>
          <w:sz w:val="24"/>
          <w:szCs w:val="24"/>
          <w:vertAlign w:val="superscript"/>
        </w:rPr>
        <w:t>5</w:t>
      </w:r>
      <w:r w:rsidR="00E2671D">
        <w:rPr>
          <w:rFonts w:eastAsia="Times New Roman" w:cs="Times New Roman"/>
          <w:sz w:val="24"/>
          <w:szCs w:val="24"/>
        </w:rPr>
        <w:t xml:space="preserve">. </w:t>
      </w:r>
      <w:r w:rsidR="001162B0" w:rsidRPr="00223603">
        <w:rPr>
          <w:rFonts w:eastAsia="Times New Roman" w:cs="Times New Roman"/>
          <w:sz w:val="24"/>
          <w:szCs w:val="24"/>
        </w:rPr>
        <w:t xml:space="preserve">Tests, examinations, and care activities </w:t>
      </w:r>
      <w:r>
        <w:rPr>
          <w:rFonts w:eastAsia="Times New Roman" w:cs="Times New Roman"/>
          <w:sz w:val="24"/>
          <w:szCs w:val="24"/>
        </w:rPr>
        <w:t xml:space="preserve">relating to the diagnosis and management of these SAEs </w:t>
      </w:r>
      <w:r w:rsidR="001162B0" w:rsidRPr="00223603">
        <w:rPr>
          <w:rFonts w:eastAsia="Times New Roman" w:cs="Times New Roman"/>
          <w:sz w:val="24"/>
          <w:szCs w:val="24"/>
        </w:rPr>
        <w:t>were identified from interviews with clinical staff and review of case notes</w:t>
      </w:r>
      <w:r w:rsidR="005F1265">
        <w:rPr>
          <w:rFonts w:eastAsia="Times New Roman" w:cs="Times New Roman"/>
          <w:sz w:val="24"/>
          <w:szCs w:val="24"/>
        </w:rPr>
        <w:t>.</w:t>
      </w:r>
    </w:p>
    <w:p w14:paraId="0DADA9F9" w14:textId="77777777" w:rsidR="00F521AD" w:rsidRPr="00C41C6F" w:rsidRDefault="00F521AD" w:rsidP="00815142">
      <w:pPr>
        <w:spacing w:line="480" w:lineRule="auto"/>
        <w:rPr>
          <w:rFonts w:eastAsia="Times New Roman" w:cs="Times New Roman"/>
          <w:sz w:val="24"/>
          <w:szCs w:val="24"/>
        </w:rPr>
      </w:pPr>
    </w:p>
    <w:p w14:paraId="1BF81232" w14:textId="35BDD850" w:rsidR="00EF511D" w:rsidRPr="00C41C6F" w:rsidRDefault="006C457B" w:rsidP="00815142">
      <w:pPr>
        <w:spacing w:line="480" w:lineRule="auto"/>
        <w:rPr>
          <w:rFonts w:eastAsia="Times New Roman" w:cs="Times New Roman"/>
          <w:sz w:val="24"/>
          <w:szCs w:val="24"/>
        </w:rPr>
      </w:pPr>
      <w:bookmarkStart w:id="11" w:name="_Hlk522868994"/>
      <w:r>
        <w:rPr>
          <w:rFonts w:eastAsia="Times New Roman" w:cs="Times New Roman"/>
          <w:sz w:val="24"/>
          <w:szCs w:val="24"/>
        </w:rPr>
        <w:t>PARTICIPANT</w:t>
      </w:r>
      <w:r w:rsidR="009A2CBC">
        <w:rPr>
          <w:rFonts w:eastAsia="Times New Roman" w:cs="Times New Roman"/>
          <w:sz w:val="24"/>
          <w:szCs w:val="24"/>
        </w:rPr>
        <w:t xml:space="preserve"> COST ESTIMATION</w:t>
      </w:r>
      <w:bookmarkEnd w:id="11"/>
    </w:p>
    <w:p w14:paraId="110F2266" w14:textId="0F3BEE85" w:rsidR="002166F3" w:rsidRPr="00C41C6F" w:rsidRDefault="004D0D05" w:rsidP="00815142">
      <w:pPr>
        <w:spacing w:line="480" w:lineRule="auto"/>
        <w:rPr>
          <w:rFonts w:eastAsia="Times New Roman" w:cs="Times New Roman"/>
          <w:sz w:val="24"/>
          <w:szCs w:val="24"/>
        </w:rPr>
      </w:pPr>
      <w:r w:rsidRPr="00C41C6F">
        <w:rPr>
          <w:rFonts w:eastAsia="Times New Roman" w:cs="Times New Roman"/>
          <w:sz w:val="24"/>
          <w:szCs w:val="24"/>
        </w:rPr>
        <w:lastRenderedPageBreak/>
        <w:t xml:space="preserve">Data </w:t>
      </w:r>
      <w:r w:rsidR="00AA149B">
        <w:rPr>
          <w:rFonts w:eastAsia="Times New Roman" w:cs="Times New Roman"/>
          <w:sz w:val="24"/>
          <w:szCs w:val="24"/>
        </w:rPr>
        <w:t xml:space="preserve">on costs incurred </w:t>
      </w:r>
      <w:r w:rsidR="00252516" w:rsidRPr="00C41C6F">
        <w:rPr>
          <w:rFonts w:eastAsia="Times New Roman" w:cs="Times New Roman"/>
          <w:sz w:val="24"/>
          <w:szCs w:val="24"/>
        </w:rPr>
        <w:t xml:space="preserve">and socioeconomic status </w:t>
      </w:r>
      <w:r w:rsidRPr="00C41C6F">
        <w:rPr>
          <w:rFonts w:eastAsia="Times New Roman" w:cs="Times New Roman"/>
          <w:sz w:val="24"/>
          <w:szCs w:val="24"/>
        </w:rPr>
        <w:t xml:space="preserve">were collected from </w:t>
      </w:r>
      <w:r w:rsidR="00373B92">
        <w:rPr>
          <w:rFonts w:eastAsia="Times New Roman" w:cs="Times New Roman"/>
          <w:sz w:val="24"/>
          <w:szCs w:val="24"/>
        </w:rPr>
        <w:t>participants</w:t>
      </w:r>
      <w:r w:rsidR="00373B92" w:rsidRPr="00C41C6F">
        <w:rPr>
          <w:rFonts w:eastAsia="Times New Roman" w:cs="Times New Roman"/>
          <w:sz w:val="24"/>
          <w:szCs w:val="24"/>
        </w:rPr>
        <w:t xml:space="preserve"> </w:t>
      </w:r>
      <w:r w:rsidR="00721C9B">
        <w:rPr>
          <w:rFonts w:eastAsia="Times New Roman" w:cs="Times New Roman"/>
          <w:sz w:val="24"/>
          <w:szCs w:val="24"/>
        </w:rPr>
        <w:t>at scheduled assessments</w:t>
      </w:r>
      <w:r w:rsidR="00C41C6F" w:rsidRPr="00C41C6F">
        <w:rPr>
          <w:rFonts w:eastAsia="Times New Roman" w:cs="Times New Roman"/>
          <w:sz w:val="24"/>
          <w:szCs w:val="24"/>
        </w:rPr>
        <w:t xml:space="preserve"> </w:t>
      </w:r>
      <w:r w:rsidR="00252516">
        <w:rPr>
          <w:rFonts w:eastAsia="Times New Roman" w:cs="Times New Roman"/>
          <w:sz w:val="24"/>
          <w:szCs w:val="24"/>
        </w:rPr>
        <w:t>at</w:t>
      </w:r>
      <w:r w:rsidRPr="00C41C6F">
        <w:rPr>
          <w:rFonts w:eastAsia="Times New Roman" w:cs="Times New Roman"/>
          <w:sz w:val="24"/>
          <w:szCs w:val="24"/>
        </w:rPr>
        <w:t xml:space="preserve"> 12 </w:t>
      </w:r>
      <w:r w:rsidR="00252516">
        <w:rPr>
          <w:rFonts w:eastAsia="Times New Roman" w:cs="Times New Roman"/>
          <w:sz w:val="24"/>
          <w:szCs w:val="24"/>
        </w:rPr>
        <w:t xml:space="preserve">and 24 weeks. </w:t>
      </w:r>
      <w:r w:rsidRPr="00C41C6F">
        <w:rPr>
          <w:rFonts w:eastAsia="Times New Roman" w:cs="Times New Roman"/>
          <w:sz w:val="24"/>
          <w:szCs w:val="24"/>
        </w:rPr>
        <w:t xml:space="preserve">Information collected included </w:t>
      </w:r>
      <w:r w:rsidR="00EF511D" w:rsidRPr="00C41C6F">
        <w:rPr>
          <w:rFonts w:eastAsia="Times New Roman" w:cs="Times New Roman"/>
          <w:sz w:val="24"/>
          <w:szCs w:val="24"/>
        </w:rPr>
        <w:t>direct</w:t>
      </w:r>
      <w:r w:rsidR="00BF3D54">
        <w:rPr>
          <w:rFonts w:eastAsia="Times New Roman" w:cs="Times New Roman"/>
          <w:sz w:val="24"/>
          <w:szCs w:val="24"/>
        </w:rPr>
        <w:t xml:space="preserve"> costs</w:t>
      </w:r>
      <w:r w:rsidR="005E69B7">
        <w:rPr>
          <w:rFonts w:eastAsia="Times New Roman" w:cs="Times New Roman"/>
          <w:sz w:val="24"/>
          <w:szCs w:val="24"/>
        </w:rPr>
        <w:t xml:space="preserve"> (e.g. food and transport) and indirect</w:t>
      </w:r>
      <w:r w:rsidR="00EF511D" w:rsidRPr="00C41C6F">
        <w:rPr>
          <w:rFonts w:eastAsia="Times New Roman" w:cs="Times New Roman"/>
          <w:sz w:val="24"/>
          <w:szCs w:val="24"/>
        </w:rPr>
        <w:t xml:space="preserve"> costs</w:t>
      </w:r>
      <w:r w:rsidR="005E69B7">
        <w:rPr>
          <w:rFonts w:eastAsia="Times New Roman" w:cs="Times New Roman"/>
          <w:sz w:val="24"/>
          <w:szCs w:val="24"/>
        </w:rPr>
        <w:t xml:space="preserve"> (lost income)</w:t>
      </w:r>
      <w:r w:rsidR="00EF511D" w:rsidRPr="00C41C6F">
        <w:rPr>
          <w:rFonts w:eastAsia="Times New Roman" w:cs="Times New Roman"/>
          <w:sz w:val="24"/>
          <w:szCs w:val="24"/>
        </w:rPr>
        <w:t xml:space="preserve"> </w:t>
      </w:r>
      <w:r w:rsidR="00725BCC">
        <w:rPr>
          <w:rFonts w:eastAsia="Times New Roman" w:cs="Times New Roman"/>
          <w:sz w:val="24"/>
          <w:szCs w:val="24"/>
        </w:rPr>
        <w:t>incurred during the preceding 12 weeks</w:t>
      </w:r>
      <w:r w:rsidR="001B0D0E" w:rsidRPr="00C41C6F">
        <w:rPr>
          <w:rFonts w:eastAsia="Times New Roman" w:cs="Times New Roman"/>
          <w:sz w:val="24"/>
          <w:szCs w:val="24"/>
        </w:rPr>
        <w:t>. Participants</w:t>
      </w:r>
      <w:r w:rsidR="006B4D4C" w:rsidRPr="00C41C6F">
        <w:rPr>
          <w:rFonts w:eastAsia="Times New Roman" w:cs="Times New Roman"/>
          <w:sz w:val="24"/>
          <w:szCs w:val="24"/>
        </w:rPr>
        <w:t xml:space="preserve"> were asked to base their responses on costs they would</w:t>
      </w:r>
      <w:r w:rsidR="009738E7">
        <w:rPr>
          <w:rFonts w:eastAsia="Times New Roman" w:cs="Times New Roman"/>
          <w:sz w:val="24"/>
          <w:szCs w:val="24"/>
        </w:rPr>
        <w:t xml:space="preserve"> have</w:t>
      </w:r>
      <w:r w:rsidR="006B4D4C" w:rsidRPr="00C41C6F">
        <w:rPr>
          <w:rFonts w:eastAsia="Times New Roman" w:cs="Times New Roman"/>
          <w:sz w:val="24"/>
          <w:szCs w:val="24"/>
        </w:rPr>
        <w:t xml:space="preserve"> expect</w:t>
      </w:r>
      <w:r w:rsidR="00913966">
        <w:rPr>
          <w:rFonts w:eastAsia="Times New Roman" w:cs="Times New Roman"/>
          <w:sz w:val="24"/>
          <w:szCs w:val="24"/>
        </w:rPr>
        <w:t>ed</w:t>
      </w:r>
      <w:r w:rsidR="006B4D4C" w:rsidRPr="00C41C6F">
        <w:rPr>
          <w:rFonts w:eastAsia="Times New Roman" w:cs="Times New Roman"/>
          <w:sz w:val="24"/>
          <w:szCs w:val="24"/>
        </w:rPr>
        <w:t xml:space="preserve"> to face</w:t>
      </w:r>
      <w:r w:rsidR="006942A3">
        <w:rPr>
          <w:rFonts w:eastAsia="Times New Roman" w:cs="Times New Roman"/>
          <w:sz w:val="24"/>
          <w:szCs w:val="24"/>
        </w:rPr>
        <w:t xml:space="preserve"> in routine care (e.g. </w:t>
      </w:r>
      <w:r w:rsidR="006C457B">
        <w:rPr>
          <w:rFonts w:eastAsia="Times New Roman" w:cs="Times New Roman"/>
          <w:sz w:val="24"/>
          <w:szCs w:val="24"/>
        </w:rPr>
        <w:t>participant</w:t>
      </w:r>
      <w:r w:rsidR="006942A3">
        <w:rPr>
          <w:rFonts w:eastAsia="Times New Roman" w:cs="Times New Roman"/>
          <w:sz w:val="24"/>
          <w:szCs w:val="24"/>
        </w:rPr>
        <w:t>s</w:t>
      </w:r>
      <w:r w:rsidR="00E672C9">
        <w:rPr>
          <w:rFonts w:eastAsia="Times New Roman" w:cs="Times New Roman"/>
          <w:sz w:val="24"/>
          <w:szCs w:val="24"/>
        </w:rPr>
        <w:t xml:space="preserve"> in South Africa</w:t>
      </w:r>
      <w:r w:rsidR="006942A3">
        <w:rPr>
          <w:rFonts w:eastAsia="Times New Roman" w:cs="Times New Roman"/>
          <w:sz w:val="24"/>
          <w:szCs w:val="24"/>
        </w:rPr>
        <w:t xml:space="preserve"> were provided free transport</w:t>
      </w:r>
      <w:r w:rsidR="00323FA7">
        <w:rPr>
          <w:rFonts w:eastAsia="Times New Roman" w:cs="Times New Roman"/>
          <w:sz w:val="24"/>
          <w:szCs w:val="24"/>
        </w:rPr>
        <w:t xml:space="preserve"> </w:t>
      </w:r>
      <w:r w:rsidR="006942A3">
        <w:rPr>
          <w:rFonts w:eastAsia="Times New Roman" w:cs="Times New Roman"/>
          <w:sz w:val="24"/>
          <w:szCs w:val="24"/>
        </w:rPr>
        <w:t>by the trial</w:t>
      </w:r>
      <w:r w:rsidR="002F402B">
        <w:rPr>
          <w:rFonts w:eastAsia="Times New Roman" w:cs="Times New Roman"/>
          <w:sz w:val="24"/>
          <w:szCs w:val="24"/>
        </w:rPr>
        <w:t xml:space="preserve"> </w:t>
      </w:r>
      <w:r w:rsidR="00323FA7">
        <w:rPr>
          <w:rFonts w:eastAsia="Times New Roman" w:cs="Times New Roman"/>
          <w:sz w:val="24"/>
          <w:szCs w:val="24"/>
        </w:rPr>
        <w:t>to assist with clinic reviews so</w:t>
      </w:r>
      <w:r w:rsidR="006942A3">
        <w:rPr>
          <w:rFonts w:eastAsia="Times New Roman" w:cs="Times New Roman"/>
          <w:sz w:val="24"/>
          <w:szCs w:val="24"/>
        </w:rPr>
        <w:t xml:space="preserve"> they were asked to estimate the costs they would have incurred</w:t>
      </w:r>
      <w:r w:rsidR="00DE7639">
        <w:rPr>
          <w:rFonts w:eastAsia="Times New Roman" w:cs="Times New Roman"/>
          <w:sz w:val="24"/>
          <w:szCs w:val="24"/>
        </w:rPr>
        <w:t xml:space="preserve"> </w:t>
      </w:r>
      <w:r w:rsidR="00323FA7">
        <w:rPr>
          <w:rFonts w:eastAsia="Times New Roman" w:cs="Times New Roman"/>
          <w:sz w:val="24"/>
          <w:szCs w:val="24"/>
        </w:rPr>
        <w:t>if they had been required to pay for these trips</w:t>
      </w:r>
      <w:r w:rsidR="006942A3">
        <w:rPr>
          <w:rFonts w:eastAsia="Times New Roman" w:cs="Times New Roman"/>
          <w:sz w:val="24"/>
          <w:szCs w:val="24"/>
        </w:rPr>
        <w:t>).</w:t>
      </w:r>
    </w:p>
    <w:p w14:paraId="7C0A7AA4" w14:textId="53DB4EBC" w:rsidR="00EF511D" w:rsidRPr="00C41C6F" w:rsidRDefault="00710FFE" w:rsidP="00815142">
      <w:pPr>
        <w:spacing w:line="480" w:lineRule="auto"/>
        <w:rPr>
          <w:rFonts w:eastAsia="Times New Roman" w:cs="Times New Roman"/>
          <w:sz w:val="24"/>
          <w:szCs w:val="24"/>
        </w:rPr>
      </w:pPr>
      <w:r w:rsidRPr="00C41C6F">
        <w:rPr>
          <w:rFonts w:eastAsia="Times New Roman" w:cs="Times New Roman"/>
          <w:sz w:val="24"/>
          <w:szCs w:val="24"/>
        </w:rPr>
        <w:t xml:space="preserve"> Data </w:t>
      </w:r>
      <w:r w:rsidR="00CE3175" w:rsidRPr="00C41C6F">
        <w:rPr>
          <w:rFonts w:eastAsia="Times New Roman" w:cs="Times New Roman"/>
          <w:sz w:val="24"/>
          <w:szCs w:val="24"/>
        </w:rPr>
        <w:t xml:space="preserve">were </w:t>
      </w:r>
      <w:r w:rsidRPr="00C41C6F">
        <w:rPr>
          <w:rFonts w:eastAsia="Times New Roman" w:cs="Times New Roman"/>
          <w:sz w:val="24"/>
          <w:szCs w:val="24"/>
        </w:rPr>
        <w:t xml:space="preserve">collected between </w:t>
      </w:r>
      <w:r w:rsidR="00302004" w:rsidRPr="00C41C6F">
        <w:rPr>
          <w:rFonts w:eastAsia="Times New Roman" w:cs="Times New Roman"/>
          <w:sz w:val="24"/>
          <w:szCs w:val="24"/>
        </w:rPr>
        <w:t>Nov</w:t>
      </w:r>
      <w:r w:rsidR="00416D41">
        <w:rPr>
          <w:rFonts w:eastAsia="Times New Roman" w:cs="Times New Roman"/>
          <w:sz w:val="24"/>
          <w:szCs w:val="24"/>
        </w:rPr>
        <w:t>ember</w:t>
      </w:r>
      <w:r w:rsidR="00302004" w:rsidRPr="00C41C6F">
        <w:rPr>
          <w:rFonts w:eastAsia="Times New Roman" w:cs="Times New Roman"/>
          <w:sz w:val="24"/>
          <w:szCs w:val="24"/>
        </w:rPr>
        <w:t xml:space="preserve"> 2012 </w:t>
      </w:r>
      <w:r w:rsidRPr="00C41C6F">
        <w:rPr>
          <w:rFonts w:eastAsia="Times New Roman" w:cs="Times New Roman"/>
          <w:sz w:val="24"/>
          <w:szCs w:val="24"/>
        </w:rPr>
        <w:t xml:space="preserve">and </w:t>
      </w:r>
      <w:r w:rsidR="00416D41">
        <w:rPr>
          <w:rFonts w:eastAsia="Times New Roman" w:cs="Times New Roman"/>
          <w:sz w:val="24"/>
          <w:szCs w:val="24"/>
        </w:rPr>
        <w:t>December</w:t>
      </w:r>
      <w:r w:rsidR="00302004" w:rsidRPr="00C41C6F">
        <w:rPr>
          <w:rFonts w:eastAsia="Times New Roman" w:cs="Times New Roman"/>
          <w:sz w:val="24"/>
          <w:szCs w:val="24"/>
        </w:rPr>
        <w:t xml:space="preserve"> 2017 </w:t>
      </w:r>
      <w:r w:rsidR="00495082">
        <w:rPr>
          <w:rFonts w:eastAsia="Times New Roman" w:cs="Times New Roman"/>
          <w:sz w:val="24"/>
          <w:szCs w:val="24"/>
        </w:rPr>
        <w:t xml:space="preserve">in Ethiopia and between </w:t>
      </w:r>
      <w:r w:rsidR="00416D41">
        <w:rPr>
          <w:rFonts w:eastAsia="Times New Roman" w:cs="Times New Roman"/>
          <w:sz w:val="24"/>
          <w:szCs w:val="24"/>
        </w:rPr>
        <w:t>August</w:t>
      </w:r>
      <w:r w:rsidR="00302004" w:rsidRPr="00C41C6F">
        <w:rPr>
          <w:rFonts w:eastAsia="Times New Roman" w:cs="Times New Roman"/>
          <w:sz w:val="24"/>
          <w:szCs w:val="24"/>
        </w:rPr>
        <w:t xml:space="preserve"> 2014 </w:t>
      </w:r>
      <w:r w:rsidRPr="00C41C6F">
        <w:rPr>
          <w:rFonts w:eastAsia="Times New Roman" w:cs="Times New Roman"/>
          <w:sz w:val="24"/>
          <w:szCs w:val="24"/>
        </w:rPr>
        <w:t xml:space="preserve">and </w:t>
      </w:r>
      <w:r w:rsidR="00302004" w:rsidRPr="00C41C6F">
        <w:rPr>
          <w:rFonts w:eastAsia="Times New Roman" w:cs="Times New Roman"/>
          <w:sz w:val="24"/>
          <w:szCs w:val="24"/>
        </w:rPr>
        <w:t>Jan</w:t>
      </w:r>
      <w:r w:rsidR="00416D41">
        <w:rPr>
          <w:rFonts w:eastAsia="Times New Roman" w:cs="Times New Roman"/>
          <w:sz w:val="24"/>
          <w:szCs w:val="24"/>
        </w:rPr>
        <w:t>uary</w:t>
      </w:r>
      <w:r w:rsidR="00302004" w:rsidRPr="00C41C6F">
        <w:rPr>
          <w:rFonts w:eastAsia="Times New Roman" w:cs="Times New Roman"/>
          <w:sz w:val="24"/>
          <w:szCs w:val="24"/>
        </w:rPr>
        <w:t xml:space="preserve"> 2018 </w:t>
      </w:r>
      <w:r w:rsidRPr="00C41C6F">
        <w:rPr>
          <w:rFonts w:eastAsia="Times New Roman" w:cs="Times New Roman"/>
          <w:sz w:val="24"/>
          <w:szCs w:val="24"/>
        </w:rPr>
        <w:t>in South Africa.</w:t>
      </w:r>
      <w:r w:rsidR="00EF511D" w:rsidRPr="00C41C6F">
        <w:rPr>
          <w:rFonts w:eastAsia="Times New Roman" w:cs="Times New Roman"/>
          <w:sz w:val="24"/>
          <w:szCs w:val="24"/>
        </w:rPr>
        <w:t xml:space="preserve"> </w:t>
      </w:r>
      <w:r w:rsidR="00416D41">
        <w:rPr>
          <w:rFonts w:eastAsia="Times New Roman" w:cs="Times New Roman"/>
          <w:sz w:val="24"/>
          <w:szCs w:val="24"/>
        </w:rPr>
        <w:t>Q</w:t>
      </w:r>
      <w:r w:rsidRPr="00C41C6F">
        <w:rPr>
          <w:rFonts w:eastAsia="Times New Roman" w:cs="Times New Roman"/>
          <w:sz w:val="24"/>
          <w:szCs w:val="24"/>
        </w:rPr>
        <w:t>uestionnaire</w:t>
      </w:r>
      <w:r w:rsidR="00CB5B34" w:rsidRPr="00C41C6F">
        <w:rPr>
          <w:rFonts w:eastAsia="Times New Roman" w:cs="Times New Roman"/>
          <w:sz w:val="24"/>
          <w:szCs w:val="24"/>
        </w:rPr>
        <w:t>s</w:t>
      </w:r>
      <w:r w:rsidRPr="00C41C6F">
        <w:rPr>
          <w:rFonts w:eastAsia="Times New Roman" w:cs="Times New Roman"/>
          <w:sz w:val="24"/>
          <w:szCs w:val="24"/>
        </w:rPr>
        <w:t xml:space="preserve"> w</w:t>
      </w:r>
      <w:r w:rsidR="00CB5B34" w:rsidRPr="00C41C6F">
        <w:rPr>
          <w:rFonts w:eastAsia="Times New Roman" w:cs="Times New Roman"/>
          <w:sz w:val="24"/>
          <w:szCs w:val="24"/>
        </w:rPr>
        <w:t>ere</w:t>
      </w:r>
      <w:r w:rsidR="00416D41">
        <w:rPr>
          <w:rFonts w:eastAsia="Times New Roman" w:cs="Times New Roman"/>
          <w:sz w:val="24"/>
          <w:szCs w:val="24"/>
        </w:rPr>
        <w:t xml:space="preserve"> </w:t>
      </w:r>
      <w:r w:rsidR="00CB5B34" w:rsidRPr="00C41C6F">
        <w:rPr>
          <w:rFonts w:eastAsia="Times New Roman" w:cs="Times New Roman"/>
          <w:sz w:val="24"/>
          <w:szCs w:val="24"/>
        </w:rPr>
        <w:t>developed in English</w:t>
      </w:r>
      <w:r w:rsidR="00547304">
        <w:rPr>
          <w:rFonts w:eastAsia="Times New Roman" w:cs="Times New Roman"/>
          <w:sz w:val="24"/>
          <w:szCs w:val="24"/>
        </w:rPr>
        <w:t xml:space="preserve"> based on the STOP-TB patient cost questionnaire</w:t>
      </w:r>
      <w:r w:rsidR="0067708A" w:rsidRPr="001C7415">
        <w:rPr>
          <w:rFonts w:eastAsia="Times New Roman" w:cs="Times New Roman"/>
          <w:sz w:val="24"/>
          <w:szCs w:val="24"/>
          <w:vertAlign w:val="superscript"/>
        </w:rPr>
        <w:t>1</w:t>
      </w:r>
      <w:r w:rsidR="00464E86">
        <w:rPr>
          <w:rFonts w:eastAsia="Times New Roman" w:cs="Times New Roman"/>
          <w:sz w:val="24"/>
          <w:szCs w:val="24"/>
          <w:vertAlign w:val="superscript"/>
        </w:rPr>
        <w:t>7</w:t>
      </w:r>
      <w:r w:rsidR="00416D41">
        <w:rPr>
          <w:rFonts w:eastAsia="Times New Roman" w:cs="Times New Roman"/>
          <w:sz w:val="24"/>
          <w:szCs w:val="24"/>
        </w:rPr>
        <w:t xml:space="preserve">, </w:t>
      </w:r>
      <w:r w:rsidR="00416D41" w:rsidRPr="00C41C6F">
        <w:rPr>
          <w:rFonts w:eastAsia="Times New Roman" w:cs="Times New Roman"/>
          <w:sz w:val="24"/>
          <w:szCs w:val="24"/>
        </w:rPr>
        <w:t>translated</w:t>
      </w:r>
      <w:r w:rsidR="00CB5B34" w:rsidRPr="00C41C6F">
        <w:rPr>
          <w:rFonts w:eastAsia="Times New Roman" w:cs="Times New Roman"/>
          <w:sz w:val="24"/>
          <w:szCs w:val="24"/>
        </w:rPr>
        <w:t xml:space="preserve"> into </w:t>
      </w:r>
      <w:r w:rsidR="00913966">
        <w:rPr>
          <w:rFonts w:eastAsia="Times New Roman" w:cs="Times New Roman"/>
          <w:sz w:val="24"/>
          <w:szCs w:val="24"/>
        </w:rPr>
        <w:t xml:space="preserve">the </w:t>
      </w:r>
      <w:r w:rsidR="00CB5B34" w:rsidRPr="00C41C6F">
        <w:rPr>
          <w:rFonts w:eastAsia="Times New Roman" w:cs="Times New Roman"/>
          <w:sz w:val="24"/>
          <w:szCs w:val="24"/>
        </w:rPr>
        <w:t>loca</w:t>
      </w:r>
      <w:r w:rsidR="00416D41">
        <w:rPr>
          <w:rFonts w:eastAsia="Times New Roman" w:cs="Times New Roman"/>
          <w:sz w:val="24"/>
          <w:szCs w:val="24"/>
        </w:rPr>
        <w:t xml:space="preserve">l languages (Amharic, Zulu, Sesotho), and </w:t>
      </w:r>
      <w:r w:rsidR="00416D41" w:rsidRPr="00C41C6F">
        <w:rPr>
          <w:rFonts w:eastAsia="Times New Roman" w:cs="Times New Roman"/>
          <w:sz w:val="24"/>
          <w:szCs w:val="24"/>
        </w:rPr>
        <w:t xml:space="preserve">administered by the same staff </w:t>
      </w:r>
      <w:r w:rsidR="00495082">
        <w:rPr>
          <w:rFonts w:eastAsia="Times New Roman" w:cs="Times New Roman"/>
          <w:sz w:val="24"/>
          <w:szCs w:val="24"/>
        </w:rPr>
        <w:t>who collected</w:t>
      </w:r>
      <w:r w:rsidR="00416D41" w:rsidRPr="00C41C6F">
        <w:rPr>
          <w:rFonts w:eastAsia="Times New Roman" w:cs="Times New Roman"/>
          <w:sz w:val="24"/>
          <w:szCs w:val="24"/>
        </w:rPr>
        <w:t xml:space="preserve"> </w:t>
      </w:r>
      <w:r w:rsidR="00416D41">
        <w:rPr>
          <w:rFonts w:eastAsia="Times New Roman" w:cs="Times New Roman"/>
          <w:sz w:val="24"/>
          <w:szCs w:val="24"/>
        </w:rPr>
        <w:t xml:space="preserve">clinical </w:t>
      </w:r>
      <w:r w:rsidR="00416D41" w:rsidRPr="00C41C6F">
        <w:rPr>
          <w:rFonts w:eastAsia="Times New Roman" w:cs="Times New Roman"/>
          <w:sz w:val="24"/>
          <w:szCs w:val="24"/>
        </w:rPr>
        <w:t xml:space="preserve">data from </w:t>
      </w:r>
      <w:r w:rsidR="00416D41">
        <w:rPr>
          <w:rFonts w:eastAsia="Times New Roman" w:cs="Times New Roman"/>
          <w:sz w:val="24"/>
          <w:szCs w:val="24"/>
        </w:rPr>
        <w:t>STREAM participants.</w:t>
      </w:r>
      <w:r w:rsidR="00547304">
        <w:rPr>
          <w:rFonts w:eastAsia="Times New Roman" w:cs="Times New Roman"/>
          <w:sz w:val="24"/>
          <w:szCs w:val="24"/>
        </w:rPr>
        <w:t xml:space="preserve"> </w:t>
      </w:r>
      <w:r w:rsidR="00547304" w:rsidRPr="001C7415">
        <w:rPr>
          <w:rFonts w:eastAsia="Times New Roman" w:cs="Times New Roman"/>
          <w:sz w:val="24"/>
          <w:szCs w:val="24"/>
        </w:rPr>
        <w:t>This questionnaire was administered 12 weeks after randomisation, and every 12 weeks thereafter, up to the end of follow-up (132 weeks). An additional questionnaire, gathering information on the socioeconomic characteristics of participants was administered at randomisation and then</w:t>
      </w:r>
      <w:r w:rsidR="00547304">
        <w:rPr>
          <w:rFonts w:eastAsia="Times New Roman" w:cs="Times New Roman"/>
          <w:sz w:val="24"/>
          <w:szCs w:val="24"/>
        </w:rPr>
        <w:t xml:space="preserve"> every 24 weeks.</w:t>
      </w:r>
      <w:r w:rsidR="00547304" w:rsidRPr="001C7415">
        <w:rPr>
          <w:rFonts w:eastAsia="Times New Roman" w:cs="Times New Roman"/>
          <w:sz w:val="24"/>
          <w:szCs w:val="24"/>
        </w:rPr>
        <w:t xml:space="preserve"> </w:t>
      </w:r>
      <w:r w:rsidR="00C96A5F">
        <w:rPr>
          <w:rFonts w:eastAsia="Times New Roman" w:cs="Times New Roman"/>
          <w:sz w:val="24"/>
          <w:szCs w:val="24"/>
        </w:rPr>
        <w:t>The number of participants providing direct costs, supplements costs or working hours data at each site is presented in Table 1.</w:t>
      </w:r>
    </w:p>
    <w:p w14:paraId="16DECA7A" w14:textId="77777777" w:rsidR="00EF511D" w:rsidRPr="008D576F" w:rsidRDefault="00EF511D" w:rsidP="00815142">
      <w:pPr>
        <w:spacing w:line="480" w:lineRule="auto"/>
        <w:rPr>
          <w:rFonts w:ascii="Arial" w:hAnsi="Arial" w:cs="Arial"/>
        </w:rPr>
      </w:pPr>
    </w:p>
    <w:p w14:paraId="29C8147A" w14:textId="5B5779AF" w:rsidR="00433EE5" w:rsidRDefault="009A2CBC" w:rsidP="00815142">
      <w:pPr>
        <w:spacing w:line="480" w:lineRule="auto"/>
        <w:rPr>
          <w:rFonts w:eastAsia="Times New Roman" w:cs="Times New Roman"/>
          <w:sz w:val="24"/>
          <w:szCs w:val="24"/>
        </w:rPr>
      </w:pPr>
      <w:r>
        <w:rPr>
          <w:rFonts w:eastAsia="Times New Roman" w:cs="Times New Roman"/>
          <w:sz w:val="24"/>
          <w:szCs w:val="24"/>
        </w:rPr>
        <w:t>ANALYSIS</w:t>
      </w:r>
    </w:p>
    <w:p w14:paraId="0F75E7A2" w14:textId="55993AD2" w:rsidR="00E1622D" w:rsidRDefault="001162B0" w:rsidP="008F6951">
      <w:pPr>
        <w:spacing w:line="480" w:lineRule="auto"/>
        <w:rPr>
          <w:rFonts w:eastAsia="Times New Roman" w:cs="Times New Roman"/>
          <w:sz w:val="24"/>
          <w:szCs w:val="24"/>
        </w:rPr>
      </w:pPr>
      <w:r>
        <w:rPr>
          <w:rFonts w:eastAsia="Times New Roman" w:cs="Times New Roman"/>
          <w:sz w:val="24"/>
          <w:szCs w:val="24"/>
        </w:rPr>
        <w:t xml:space="preserve">Costs were </w:t>
      </w:r>
      <w:r w:rsidRPr="00C41C6F">
        <w:rPr>
          <w:rFonts w:eastAsia="Times New Roman" w:cs="Times New Roman"/>
          <w:sz w:val="24"/>
          <w:szCs w:val="24"/>
        </w:rPr>
        <w:t>estimated from a health system and patient perspective separately. All costs are reported in 2017 US Dollars</w:t>
      </w:r>
      <w:r w:rsidR="000A1D5D" w:rsidRPr="00B25397">
        <w:rPr>
          <w:rFonts w:eastAsia="Times New Roman" w:cs="Times New Roman"/>
          <w:sz w:val="24"/>
          <w:szCs w:val="24"/>
          <w:vertAlign w:val="superscript"/>
        </w:rPr>
        <w:t>1</w:t>
      </w:r>
      <w:r w:rsidR="00464E86">
        <w:rPr>
          <w:rFonts w:eastAsia="Times New Roman" w:cs="Times New Roman"/>
          <w:sz w:val="24"/>
          <w:szCs w:val="24"/>
          <w:vertAlign w:val="superscript"/>
        </w:rPr>
        <w:t>8</w:t>
      </w:r>
      <w:r w:rsidRPr="00C41C6F">
        <w:rPr>
          <w:rFonts w:eastAsia="Times New Roman" w:cs="Times New Roman"/>
          <w:sz w:val="24"/>
          <w:szCs w:val="24"/>
        </w:rPr>
        <w:t>. A</w:t>
      </w:r>
      <w:r>
        <w:rPr>
          <w:rFonts w:eastAsia="Times New Roman" w:cs="Times New Roman"/>
          <w:sz w:val="24"/>
          <w:szCs w:val="24"/>
        </w:rPr>
        <w:t xml:space="preserve"> trial-based perspective</w:t>
      </w:r>
      <w:r w:rsidRPr="00C41C6F">
        <w:rPr>
          <w:rFonts w:eastAsia="Times New Roman" w:cs="Times New Roman"/>
          <w:sz w:val="24"/>
          <w:szCs w:val="24"/>
        </w:rPr>
        <w:t xml:space="preserve"> was adopted, </w:t>
      </w:r>
      <w:r w:rsidR="00D26F16">
        <w:rPr>
          <w:rFonts w:eastAsia="Times New Roman" w:cs="Times New Roman"/>
          <w:sz w:val="24"/>
          <w:szCs w:val="24"/>
        </w:rPr>
        <w:t>with</w:t>
      </w:r>
      <w:r w:rsidRPr="00C41C6F">
        <w:rPr>
          <w:rFonts w:eastAsia="Times New Roman" w:cs="Times New Roman"/>
          <w:sz w:val="24"/>
          <w:szCs w:val="24"/>
        </w:rPr>
        <w:t xml:space="preserve"> </w:t>
      </w:r>
      <w:r w:rsidR="00D26F16">
        <w:rPr>
          <w:rFonts w:eastAsia="Times New Roman" w:cs="Times New Roman"/>
          <w:sz w:val="24"/>
          <w:szCs w:val="24"/>
        </w:rPr>
        <w:t xml:space="preserve">a </w:t>
      </w:r>
      <w:r w:rsidR="00D26F16" w:rsidRPr="00C41C6F">
        <w:rPr>
          <w:rFonts w:eastAsia="Times New Roman" w:cs="Times New Roman"/>
          <w:sz w:val="24"/>
          <w:szCs w:val="24"/>
        </w:rPr>
        <w:t>132</w:t>
      </w:r>
      <w:r w:rsidR="001358CE">
        <w:rPr>
          <w:rFonts w:eastAsia="Times New Roman" w:cs="Times New Roman"/>
          <w:sz w:val="24"/>
          <w:szCs w:val="24"/>
        </w:rPr>
        <w:t>-</w:t>
      </w:r>
      <w:r w:rsidR="00D26F16" w:rsidRPr="00C41C6F">
        <w:rPr>
          <w:rFonts w:eastAsia="Times New Roman" w:cs="Times New Roman"/>
          <w:sz w:val="24"/>
          <w:szCs w:val="24"/>
        </w:rPr>
        <w:t xml:space="preserve">week </w:t>
      </w:r>
      <w:r w:rsidRPr="00C41C6F">
        <w:rPr>
          <w:rFonts w:eastAsia="Times New Roman" w:cs="Times New Roman"/>
          <w:sz w:val="24"/>
          <w:szCs w:val="24"/>
        </w:rPr>
        <w:t xml:space="preserve">time horizon used </w:t>
      </w:r>
      <w:r w:rsidR="00D26F16">
        <w:rPr>
          <w:rFonts w:eastAsia="Times New Roman" w:cs="Times New Roman"/>
          <w:sz w:val="24"/>
          <w:szCs w:val="24"/>
        </w:rPr>
        <w:t>for the patient costing</w:t>
      </w:r>
      <w:r w:rsidR="00F9257A">
        <w:rPr>
          <w:rFonts w:eastAsia="Times New Roman" w:cs="Times New Roman"/>
          <w:sz w:val="24"/>
          <w:szCs w:val="24"/>
        </w:rPr>
        <w:t xml:space="preserve">. The health system costs </w:t>
      </w:r>
      <w:r w:rsidR="00B137AF">
        <w:rPr>
          <w:rFonts w:eastAsia="Times New Roman" w:cs="Times New Roman"/>
          <w:sz w:val="24"/>
          <w:szCs w:val="24"/>
        </w:rPr>
        <w:t xml:space="preserve">were </w:t>
      </w:r>
      <w:r w:rsidR="00F9257A">
        <w:rPr>
          <w:rFonts w:eastAsia="Times New Roman" w:cs="Times New Roman"/>
          <w:sz w:val="24"/>
          <w:szCs w:val="24"/>
        </w:rPr>
        <w:t xml:space="preserve">calculated </w:t>
      </w:r>
      <w:r w:rsidR="00B137AF">
        <w:rPr>
          <w:rFonts w:eastAsia="Times New Roman" w:cs="Times New Roman"/>
          <w:sz w:val="24"/>
          <w:szCs w:val="24"/>
        </w:rPr>
        <w:t>for each</w:t>
      </w:r>
      <w:r w:rsidR="00F9257A">
        <w:rPr>
          <w:rFonts w:eastAsia="Times New Roman" w:cs="Times New Roman"/>
          <w:sz w:val="24"/>
          <w:szCs w:val="24"/>
        </w:rPr>
        <w:t xml:space="preserve"> patient completing treatment</w:t>
      </w:r>
      <w:r w:rsidR="00B137AF">
        <w:rPr>
          <w:rFonts w:eastAsia="Times New Roman" w:cs="Times New Roman"/>
          <w:sz w:val="24"/>
          <w:szCs w:val="24"/>
        </w:rPr>
        <w:t>, with</w:t>
      </w:r>
      <w:r w:rsidR="00E1622D">
        <w:rPr>
          <w:rFonts w:eastAsia="Times New Roman" w:cs="Times New Roman"/>
          <w:sz w:val="24"/>
          <w:szCs w:val="24"/>
        </w:rPr>
        <w:t xml:space="preserve"> </w:t>
      </w:r>
      <w:r w:rsidR="00F9257A">
        <w:rPr>
          <w:rFonts w:eastAsia="Times New Roman" w:cs="Times New Roman"/>
          <w:sz w:val="24"/>
          <w:szCs w:val="24"/>
        </w:rPr>
        <w:t xml:space="preserve">no follow-up costs included </w:t>
      </w:r>
      <w:proofErr w:type="gramStart"/>
      <w:r w:rsidR="002C0DFC">
        <w:rPr>
          <w:rFonts w:eastAsia="Times New Roman" w:cs="Times New Roman"/>
          <w:sz w:val="24"/>
          <w:szCs w:val="24"/>
        </w:rPr>
        <w:t>for the reason that</w:t>
      </w:r>
      <w:proofErr w:type="gramEnd"/>
      <w:r w:rsidR="002C0DFC">
        <w:rPr>
          <w:rFonts w:eastAsia="Times New Roman" w:cs="Times New Roman"/>
          <w:sz w:val="24"/>
          <w:szCs w:val="24"/>
        </w:rPr>
        <w:t xml:space="preserve"> </w:t>
      </w:r>
      <w:r w:rsidR="00F9257A">
        <w:rPr>
          <w:rFonts w:eastAsia="Times New Roman" w:cs="Times New Roman"/>
          <w:sz w:val="24"/>
          <w:szCs w:val="24"/>
        </w:rPr>
        <w:t>follow-</w:t>
      </w:r>
      <w:r w:rsidR="00F9257A">
        <w:rPr>
          <w:rFonts w:eastAsia="Times New Roman" w:cs="Times New Roman"/>
          <w:sz w:val="24"/>
          <w:szCs w:val="24"/>
        </w:rPr>
        <w:lastRenderedPageBreak/>
        <w:t>up after treatment</w:t>
      </w:r>
      <w:r w:rsidR="00B137AF">
        <w:rPr>
          <w:rFonts w:eastAsia="Times New Roman" w:cs="Times New Roman"/>
          <w:sz w:val="24"/>
          <w:szCs w:val="24"/>
        </w:rPr>
        <w:t>-</w:t>
      </w:r>
      <w:r w:rsidR="00F9257A">
        <w:rPr>
          <w:rFonts w:eastAsia="Times New Roman" w:cs="Times New Roman"/>
          <w:sz w:val="24"/>
          <w:szCs w:val="24"/>
        </w:rPr>
        <w:t xml:space="preserve">end </w:t>
      </w:r>
      <w:r w:rsidR="00B137AF">
        <w:rPr>
          <w:rFonts w:eastAsia="Times New Roman" w:cs="Times New Roman"/>
          <w:sz w:val="24"/>
          <w:szCs w:val="24"/>
        </w:rPr>
        <w:t>was</w:t>
      </w:r>
      <w:r w:rsidR="00F9257A">
        <w:rPr>
          <w:rFonts w:eastAsia="Times New Roman" w:cs="Times New Roman"/>
          <w:sz w:val="24"/>
          <w:szCs w:val="24"/>
        </w:rPr>
        <w:t xml:space="preserve"> not routine</w:t>
      </w:r>
      <w:r w:rsidR="00323FA7">
        <w:rPr>
          <w:rFonts w:eastAsia="Times New Roman" w:cs="Times New Roman"/>
          <w:sz w:val="24"/>
          <w:szCs w:val="24"/>
        </w:rPr>
        <w:t xml:space="preserve"> practice</w:t>
      </w:r>
      <w:r w:rsidR="00B14858">
        <w:rPr>
          <w:rFonts w:eastAsia="Times New Roman" w:cs="Times New Roman"/>
          <w:sz w:val="24"/>
          <w:szCs w:val="24"/>
        </w:rPr>
        <w:t>.</w:t>
      </w:r>
      <w:r w:rsidRPr="00C41C6F">
        <w:rPr>
          <w:rFonts w:eastAsia="Times New Roman" w:cs="Times New Roman"/>
          <w:sz w:val="24"/>
          <w:szCs w:val="24"/>
        </w:rPr>
        <w:t xml:space="preserve"> Costs were excluded if they were assessed by the study</w:t>
      </w:r>
      <w:r w:rsidR="00B137AF">
        <w:rPr>
          <w:rFonts w:eastAsia="Times New Roman" w:cs="Times New Roman"/>
          <w:sz w:val="24"/>
          <w:szCs w:val="24"/>
        </w:rPr>
        <w:t>’s</w:t>
      </w:r>
      <w:r w:rsidRPr="00C41C6F">
        <w:rPr>
          <w:rFonts w:eastAsia="Times New Roman" w:cs="Times New Roman"/>
          <w:sz w:val="24"/>
          <w:szCs w:val="24"/>
        </w:rPr>
        <w:t xml:space="preserve"> clinical experts as</w:t>
      </w:r>
      <w:r>
        <w:rPr>
          <w:rFonts w:eastAsia="Times New Roman" w:cs="Times New Roman"/>
          <w:sz w:val="24"/>
          <w:szCs w:val="24"/>
        </w:rPr>
        <w:t xml:space="preserve"> </w:t>
      </w:r>
      <w:r w:rsidR="002C0DFC">
        <w:rPr>
          <w:rFonts w:eastAsia="Times New Roman" w:cs="Times New Roman"/>
          <w:sz w:val="24"/>
          <w:szCs w:val="24"/>
        </w:rPr>
        <w:t>having been</w:t>
      </w:r>
      <w:r w:rsidR="00E1622D">
        <w:rPr>
          <w:rFonts w:eastAsia="Times New Roman" w:cs="Times New Roman"/>
          <w:sz w:val="24"/>
          <w:szCs w:val="24"/>
        </w:rPr>
        <w:t xml:space="preserve"> </w:t>
      </w:r>
      <w:r w:rsidRPr="00C41C6F">
        <w:rPr>
          <w:rFonts w:eastAsia="Times New Roman" w:cs="Times New Roman"/>
          <w:sz w:val="24"/>
          <w:szCs w:val="24"/>
        </w:rPr>
        <w:t>solely related to research</w:t>
      </w:r>
      <w:r>
        <w:rPr>
          <w:rFonts w:eastAsia="Times New Roman" w:cs="Times New Roman"/>
          <w:sz w:val="24"/>
          <w:szCs w:val="24"/>
        </w:rPr>
        <w:t xml:space="preserve"> activities (</w:t>
      </w:r>
      <w:r w:rsidR="00225E97">
        <w:rPr>
          <w:rFonts w:eastAsia="Times New Roman" w:cs="Times New Roman"/>
          <w:sz w:val="24"/>
          <w:szCs w:val="24"/>
        </w:rPr>
        <w:t xml:space="preserve">e.g. </w:t>
      </w:r>
      <w:r>
        <w:rPr>
          <w:rFonts w:eastAsia="Times New Roman" w:cs="Times New Roman"/>
          <w:sz w:val="24"/>
          <w:szCs w:val="24"/>
        </w:rPr>
        <w:t>samples taken for pharmacokinetic studies).</w:t>
      </w:r>
    </w:p>
    <w:p w14:paraId="5786C36C" w14:textId="77777777" w:rsidR="00E1622D" w:rsidRDefault="00E1622D" w:rsidP="008F6951">
      <w:pPr>
        <w:spacing w:line="480" w:lineRule="auto"/>
        <w:rPr>
          <w:rFonts w:eastAsia="Times New Roman" w:cs="Times New Roman"/>
          <w:sz w:val="24"/>
          <w:szCs w:val="24"/>
        </w:rPr>
      </w:pPr>
    </w:p>
    <w:p w14:paraId="38A6A136" w14:textId="3A860EB0" w:rsidR="007F3B1C" w:rsidRPr="00B25397" w:rsidRDefault="00C72C8D" w:rsidP="008F6951">
      <w:pPr>
        <w:spacing w:line="480" w:lineRule="auto"/>
        <w:rPr>
          <w:rFonts w:eastAsia="Times New Roman" w:cs="Times New Roman"/>
          <w:sz w:val="24"/>
          <w:szCs w:val="24"/>
        </w:rPr>
      </w:pPr>
      <w:r>
        <w:rPr>
          <w:rFonts w:eastAsia="Times New Roman" w:cs="Times New Roman"/>
          <w:sz w:val="24"/>
          <w:szCs w:val="24"/>
        </w:rPr>
        <w:t>A</w:t>
      </w:r>
      <w:r w:rsidR="00E1622D">
        <w:rPr>
          <w:rFonts w:eastAsia="Times New Roman" w:cs="Times New Roman"/>
          <w:sz w:val="24"/>
          <w:szCs w:val="24"/>
        </w:rPr>
        <w:t xml:space="preserve"> cost-effectiveness analysis was performed by calculating the </w:t>
      </w:r>
      <w:r w:rsidR="007F3B1C">
        <w:rPr>
          <w:rFonts w:eastAsia="Times New Roman" w:cs="Times New Roman"/>
          <w:sz w:val="24"/>
          <w:szCs w:val="24"/>
        </w:rPr>
        <w:t xml:space="preserve">incremental </w:t>
      </w:r>
      <w:r w:rsidR="00E1622D">
        <w:rPr>
          <w:rFonts w:eastAsia="Times New Roman" w:cs="Times New Roman"/>
          <w:sz w:val="24"/>
          <w:szCs w:val="24"/>
        </w:rPr>
        <w:t xml:space="preserve">cost per </w:t>
      </w:r>
      <w:r w:rsidR="007F3B1C">
        <w:rPr>
          <w:rFonts w:eastAsia="Times New Roman" w:cs="Times New Roman"/>
          <w:sz w:val="24"/>
          <w:szCs w:val="24"/>
        </w:rPr>
        <w:t>un</w:t>
      </w:r>
      <w:r w:rsidR="00E1622D">
        <w:rPr>
          <w:rFonts w:eastAsia="Times New Roman" w:cs="Times New Roman"/>
          <w:sz w:val="24"/>
          <w:szCs w:val="24"/>
        </w:rPr>
        <w:t>favourable outcome a</w:t>
      </w:r>
      <w:r w:rsidR="007F3B1C">
        <w:rPr>
          <w:rFonts w:eastAsia="Times New Roman" w:cs="Times New Roman"/>
          <w:sz w:val="24"/>
          <w:szCs w:val="24"/>
        </w:rPr>
        <w:t>voided</w:t>
      </w:r>
      <w:r w:rsidR="00E1622D">
        <w:rPr>
          <w:rFonts w:eastAsia="Times New Roman" w:cs="Times New Roman"/>
          <w:sz w:val="24"/>
          <w:szCs w:val="24"/>
        </w:rPr>
        <w:t xml:space="preserve">. </w:t>
      </w:r>
      <w:r w:rsidR="00413A25">
        <w:rPr>
          <w:rFonts w:eastAsia="Times New Roman" w:cs="Times New Roman"/>
          <w:sz w:val="24"/>
          <w:szCs w:val="24"/>
        </w:rPr>
        <w:t>This was the primary efficacy outcome of the trial</w:t>
      </w:r>
      <w:r w:rsidR="0007470B">
        <w:rPr>
          <w:rFonts w:eastAsia="Times New Roman" w:cs="Times New Roman"/>
          <w:sz w:val="24"/>
          <w:szCs w:val="24"/>
        </w:rPr>
        <w:t>;</w:t>
      </w:r>
      <w:r w:rsidR="00E1622D">
        <w:rPr>
          <w:rFonts w:eastAsia="Times New Roman" w:cs="Times New Roman"/>
          <w:sz w:val="24"/>
          <w:szCs w:val="24"/>
        </w:rPr>
        <w:t xml:space="preserve"> </w:t>
      </w:r>
      <w:r w:rsidR="0007470B">
        <w:rPr>
          <w:rFonts w:eastAsia="Times New Roman" w:cs="Times New Roman"/>
          <w:sz w:val="24"/>
          <w:szCs w:val="24"/>
        </w:rPr>
        <w:t>u</w:t>
      </w:r>
      <w:r w:rsidR="007F3B1C">
        <w:rPr>
          <w:rFonts w:eastAsia="Times New Roman" w:cs="Times New Roman"/>
          <w:sz w:val="24"/>
          <w:szCs w:val="24"/>
        </w:rPr>
        <w:t>nfavourable outcome</w:t>
      </w:r>
      <w:r w:rsidR="00323FA7">
        <w:rPr>
          <w:rFonts w:eastAsia="Times New Roman" w:cs="Times New Roman"/>
          <w:sz w:val="24"/>
          <w:szCs w:val="24"/>
        </w:rPr>
        <w:t>s</w:t>
      </w:r>
      <w:r w:rsidR="007F3B1C">
        <w:rPr>
          <w:rFonts w:eastAsia="Times New Roman" w:cs="Times New Roman"/>
          <w:sz w:val="24"/>
          <w:szCs w:val="24"/>
        </w:rPr>
        <w:t xml:space="preserve"> </w:t>
      </w:r>
      <w:r w:rsidR="00323FA7">
        <w:rPr>
          <w:rFonts w:eastAsia="Times New Roman" w:cs="Times New Roman"/>
          <w:sz w:val="24"/>
          <w:szCs w:val="24"/>
        </w:rPr>
        <w:t>were</w:t>
      </w:r>
      <w:r w:rsidR="007F3B1C">
        <w:rPr>
          <w:rFonts w:eastAsia="Times New Roman" w:cs="Times New Roman"/>
          <w:sz w:val="24"/>
          <w:szCs w:val="24"/>
        </w:rPr>
        <w:t xml:space="preserve"> </w:t>
      </w:r>
      <w:r w:rsidR="00323FA7">
        <w:rPr>
          <w:rFonts w:eastAsia="Times New Roman" w:cs="Times New Roman"/>
          <w:sz w:val="24"/>
          <w:szCs w:val="24"/>
        </w:rPr>
        <w:t>defined as follows</w:t>
      </w:r>
      <w:r w:rsidR="00E6712E">
        <w:rPr>
          <w:rFonts w:ascii="Calibri" w:eastAsia="Times New Roman" w:hAnsi="Calibri" w:cs="Times New Roman"/>
          <w:sz w:val="24"/>
          <w:szCs w:val="24"/>
        </w:rPr>
        <w:t xml:space="preserve">: starting two or more drugs not in the allocated regimen; treatment extension beyond the </w:t>
      </w:r>
      <w:r w:rsidR="005B4ED8">
        <w:rPr>
          <w:rFonts w:ascii="Calibri" w:eastAsia="Times New Roman" w:hAnsi="Calibri" w:cs="Times New Roman"/>
          <w:sz w:val="24"/>
          <w:szCs w:val="24"/>
        </w:rPr>
        <w:t xml:space="preserve">scheduled end of treatment for any reason other than making up </w:t>
      </w:r>
      <w:r w:rsidR="0030264E">
        <w:rPr>
          <w:rFonts w:ascii="Calibri" w:eastAsia="Times New Roman" w:hAnsi="Calibri" w:cs="Times New Roman"/>
          <w:sz w:val="24"/>
          <w:szCs w:val="24"/>
        </w:rPr>
        <w:t>for</w:t>
      </w:r>
      <w:r w:rsidR="005B4ED8">
        <w:rPr>
          <w:rFonts w:ascii="Calibri" w:eastAsia="Times New Roman" w:hAnsi="Calibri" w:cs="Times New Roman"/>
          <w:sz w:val="24"/>
          <w:szCs w:val="24"/>
        </w:rPr>
        <w:t xml:space="preserve"> days when </w:t>
      </w:r>
      <w:r w:rsidR="0030264E">
        <w:rPr>
          <w:rFonts w:ascii="Calibri" w:eastAsia="Times New Roman" w:hAnsi="Calibri" w:cs="Times New Roman"/>
          <w:sz w:val="24"/>
          <w:szCs w:val="24"/>
        </w:rPr>
        <w:t>no</w:t>
      </w:r>
      <w:r w:rsidR="005B4ED8">
        <w:rPr>
          <w:rFonts w:ascii="Calibri" w:eastAsia="Times New Roman" w:hAnsi="Calibri" w:cs="Times New Roman"/>
          <w:sz w:val="24"/>
          <w:szCs w:val="24"/>
        </w:rPr>
        <w:t xml:space="preserve"> treatment was </w:t>
      </w:r>
      <w:r w:rsidR="0030264E">
        <w:rPr>
          <w:rFonts w:ascii="Calibri" w:eastAsia="Times New Roman" w:hAnsi="Calibri" w:cs="Times New Roman"/>
          <w:sz w:val="24"/>
          <w:szCs w:val="24"/>
        </w:rPr>
        <w:t>taken,</w:t>
      </w:r>
      <w:r w:rsidR="005B4ED8">
        <w:rPr>
          <w:rFonts w:ascii="Calibri" w:eastAsia="Times New Roman" w:hAnsi="Calibri" w:cs="Times New Roman"/>
          <w:sz w:val="24"/>
          <w:szCs w:val="24"/>
        </w:rPr>
        <w:t xml:space="preserve"> for a maximum of eight weeks</w:t>
      </w:r>
      <w:r w:rsidR="00E6712E">
        <w:rPr>
          <w:rFonts w:ascii="Calibri" w:eastAsia="Times New Roman" w:hAnsi="Calibri" w:cs="Times New Roman"/>
          <w:sz w:val="24"/>
          <w:szCs w:val="24"/>
        </w:rPr>
        <w:t>; death from any cause; a positive culture result when last seen; or not seen at 76 weeks</w:t>
      </w:r>
      <w:r w:rsidR="000A1D5D">
        <w:rPr>
          <w:rFonts w:eastAsia="Times New Roman" w:cs="Times New Roman"/>
          <w:sz w:val="24"/>
          <w:szCs w:val="24"/>
          <w:vertAlign w:val="superscript"/>
        </w:rPr>
        <w:t>9</w:t>
      </w:r>
      <w:r w:rsidR="007F3B1C">
        <w:rPr>
          <w:rFonts w:eastAsia="Times New Roman" w:cs="Times New Roman"/>
          <w:sz w:val="24"/>
          <w:szCs w:val="24"/>
        </w:rPr>
        <w:t xml:space="preserve">. </w:t>
      </w:r>
      <w:r w:rsidR="005C3F38">
        <w:rPr>
          <w:rFonts w:eastAsia="Times New Roman" w:cs="Times New Roman"/>
          <w:sz w:val="24"/>
          <w:szCs w:val="24"/>
        </w:rPr>
        <w:t>Decision uncertainty was captured by conducting a probabilistic sensitivity analysis (PSA), which involves representing all uncertain parameters as probability distributions, and propagating uncertainty using Monte Carlo simulation</w:t>
      </w:r>
      <w:r w:rsidR="00E30BCD" w:rsidRPr="001C7415">
        <w:rPr>
          <w:rFonts w:eastAsia="Times New Roman" w:cs="Times New Roman"/>
          <w:sz w:val="24"/>
          <w:szCs w:val="24"/>
          <w:vertAlign w:val="superscript"/>
        </w:rPr>
        <w:t>1</w:t>
      </w:r>
      <w:r w:rsidR="00464E86">
        <w:rPr>
          <w:rFonts w:eastAsia="Times New Roman" w:cs="Times New Roman"/>
          <w:sz w:val="24"/>
          <w:szCs w:val="24"/>
          <w:vertAlign w:val="superscript"/>
        </w:rPr>
        <w:t>9</w:t>
      </w:r>
      <w:r w:rsidR="00E30BCD">
        <w:rPr>
          <w:rFonts w:eastAsia="Times New Roman" w:cs="Times New Roman"/>
          <w:sz w:val="24"/>
          <w:szCs w:val="24"/>
        </w:rPr>
        <w:t>.</w:t>
      </w:r>
      <w:r w:rsidR="005C3F38">
        <w:rPr>
          <w:rFonts w:eastAsia="Times New Roman" w:cs="Times New Roman"/>
          <w:sz w:val="24"/>
          <w:szCs w:val="24"/>
        </w:rPr>
        <w:t xml:space="preserve">  </w:t>
      </w:r>
      <w:bookmarkStart w:id="12" w:name="_Hlk27143777"/>
      <w:r w:rsidR="00225E97">
        <w:rPr>
          <w:rFonts w:eastAsia="Times New Roman" w:cs="Times New Roman"/>
          <w:sz w:val="24"/>
          <w:szCs w:val="24"/>
        </w:rPr>
        <w:t>PSAs</w:t>
      </w:r>
      <w:r w:rsidR="007F3B1C">
        <w:rPr>
          <w:rFonts w:eastAsia="Times New Roman" w:cs="Times New Roman"/>
          <w:sz w:val="24"/>
          <w:szCs w:val="24"/>
        </w:rPr>
        <w:t xml:space="preserve"> were conducted separately for Ethiopia and South Africa</w:t>
      </w:r>
      <w:r w:rsidR="005C3F38">
        <w:rPr>
          <w:rFonts w:eastAsia="Times New Roman" w:cs="Times New Roman"/>
          <w:sz w:val="24"/>
          <w:szCs w:val="24"/>
        </w:rPr>
        <w:t>,</w:t>
      </w:r>
      <w:r w:rsidR="007F3B1C">
        <w:rPr>
          <w:rFonts w:eastAsia="Times New Roman" w:cs="Times New Roman"/>
          <w:sz w:val="24"/>
          <w:szCs w:val="24"/>
        </w:rPr>
        <w:t xml:space="preserve"> </w:t>
      </w:r>
      <w:r w:rsidR="005C3F38">
        <w:rPr>
          <w:rFonts w:eastAsia="Times New Roman" w:cs="Times New Roman"/>
          <w:sz w:val="24"/>
          <w:szCs w:val="24"/>
        </w:rPr>
        <w:t>u</w:t>
      </w:r>
      <w:r w:rsidR="007F3B1C">
        <w:rPr>
          <w:rFonts w:eastAsia="Times New Roman" w:cs="Times New Roman"/>
          <w:sz w:val="24"/>
          <w:szCs w:val="24"/>
        </w:rPr>
        <w:t>sing bootstrapp</w:t>
      </w:r>
      <w:r w:rsidR="005C3F38">
        <w:rPr>
          <w:rFonts w:eastAsia="Times New Roman" w:cs="Times New Roman"/>
          <w:sz w:val="24"/>
          <w:szCs w:val="24"/>
        </w:rPr>
        <w:t>ing to capture parameter uncertainty. 1</w:t>
      </w:r>
      <w:r w:rsidR="00D702E4">
        <w:rPr>
          <w:rFonts w:eastAsia="Times New Roman" w:cs="Times New Roman"/>
          <w:sz w:val="24"/>
          <w:szCs w:val="24"/>
        </w:rPr>
        <w:t>,</w:t>
      </w:r>
      <w:r w:rsidR="005C3F38">
        <w:rPr>
          <w:rFonts w:eastAsia="Times New Roman" w:cs="Times New Roman"/>
          <w:sz w:val="24"/>
          <w:szCs w:val="24"/>
        </w:rPr>
        <w:t>000</w:t>
      </w:r>
      <w:r w:rsidR="007F3B1C">
        <w:rPr>
          <w:rFonts w:eastAsia="Times New Roman" w:cs="Times New Roman"/>
          <w:sz w:val="24"/>
          <w:szCs w:val="24"/>
        </w:rPr>
        <w:t xml:space="preserve"> estimates of mean costs and outcomes</w:t>
      </w:r>
      <w:r w:rsidR="005C3F38">
        <w:rPr>
          <w:rFonts w:eastAsia="Times New Roman" w:cs="Times New Roman"/>
          <w:sz w:val="24"/>
          <w:szCs w:val="24"/>
        </w:rPr>
        <w:t xml:space="preserve"> were simulated, </w:t>
      </w:r>
      <w:r w:rsidR="00D702E4">
        <w:rPr>
          <w:rFonts w:eastAsia="Times New Roman" w:cs="Times New Roman"/>
          <w:sz w:val="24"/>
          <w:szCs w:val="24"/>
        </w:rPr>
        <w:t>and these estimates were used</w:t>
      </w:r>
      <w:r w:rsidR="007F3B1C">
        <w:rPr>
          <w:rFonts w:eastAsia="Times New Roman" w:cs="Times New Roman"/>
          <w:sz w:val="24"/>
          <w:szCs w:val="24"/>
        </w:rPr>
        <w:t xml:space="preserve"> to </w:t>
      </w:r>
      <w:r w:rsidR="00D702E4">
        <w:rPr>
          <w:rFonts w:eastAsia="Times New Roman" w:cs="Times New Roman"/>
          <w:sz w:val="24"/>
          <w:szCs w:val="24"/>
        </w:rPr>
        <w:t xml:space="preserve">construct 1,000 simulated </w:t>
      </w:r>
      <w:r w:rsidR="007F3B1C">
        <w:rPr>
          <w:rFonts w:eastAsia="Times New Roman" w:cs="Times New Roman"/>
          <w:sz w:val="24"/>
          <w:szCs w:val="24"/>
        </w:rPr>
        <w:t xml:space="preserve">cost-effectiveness </w:t>
      </w:r>
      <w:r w:rsidR="00D702E4">
        <w:rPr>
          <w:rFonts w:eastAsia="Times New Roman" w:cs="Times New Roman"/>
          <w:sz w:val="24"/>
          <w:szCs w:val="24"/>
        </w:rPr>
        <w:t xml:space="preserve">ratios. These results are depicted using cost-effectiveness </w:t>
      </w:r>
      <w:r w:rsidR="007F3B1C">
        <w:rPr>
          <w:rFonts w:eastAsia="Times New Roman" w:cs="Times New Roman"/>
          <w:sz w:val="24"/>
          <w:szCs w:val="24"/>
        </w:rPr>
        <w:t>acceptability curves (CEACs)</w:t>
      </w:r>
      <w:proofErr w:type="gramStart"/>
      <w:r w:rsidR="00464E86">
        <w:rPr>
          <w:rFonts w:eastAsia="Times New Roman" w:cs="Times New Roman"/>
          <w:sz w:val="24"/>
          <w:szCs w:val="24"/>
          <w:vertAlign w:val="superscript"/>
        </w:rPr>
        <w:t>20</w:t>
      </w:r>
      <w:r w:rsidR="00BC636C">
        <w:rPr>
          <w:rFonts w:eastAsia="Times New Roman" w:cs="Times New Roman"/>
          <w:sz w:val="24"/>
          <w:szCs w:val="24"/>
        </w:rPr>
        <w:t xml:space="preserve"> </w:t>
      </w:r>
      <w:r w:rsidR="00D702E4">
        <w:rPr>
          <w:rFonts w:eastAsia="Times New Roman" w:cs="Times New Roman"/>
          <w:sz w:val="24"/>
          <w:szCs w:val="24"/>
        </w:rPr>
        <w:t>.</w:t>
      </w:r>
      <w:proofErr w:type="gramEnd"/>
      <w:r w:rsidR="00D702E4">
        <w:rPr>
          <w:rFonts w:eastAsia="Times New Roman" w:cs="Times New Roman"/>
          <w:sz w:val="24"/>
          <w:szCs w:val="24"/>
        </w:rPr>
        <w:t xml:space="preserve"> The CEAC is a graph, based on the results of the PSA, which shows the proportion of simulation results </w:t>
      </w:r>
      <w:r w:rsidR="00D5034F">
        <w:rPr>
          <w:rFonts w:eastAsia="Times New Roman" w:cs="Times New Roman"/>
          <w:sz w:val="24"/>
          <w:szCs w:val="24"/>
        </w:rPr>
        <w:t xml:space="preserve">in which </w:t>
      </w:r>
      <w:r w:rsidR="00D702E4">
        <w:rPr>
          <w:rFonts w:eastAsia="Times New Roman" w:cs="Times New Roman"/>
          <w:sz w:val="24"/>
          <w:szCs w:val="24"/>
        </w:rPr>
        <w:t>the shortened regimen was cost-effective, based on different values (also known as ‘willingness-to-pay thresholds’) that a decision-maker might assign to avoiding an unfavourable MDR-TB outcome</w:t>
      </w:r>
      <w:r w:rsidR="00DD6C3D">
        <w:rPr>
          <w:rFonts w:eastAsia="Times New Roman" w:cs="Times New Roman"/>
          <w:sz w:val="24"/>
          <w:szCs w:val="24"/>
        </w:rPr>
        <w:t>.</w:t>
      </w:r>
      <w:r w:rsidR="005265D7">
        <w:rPr>
          <w:rFonts w:eastAsia="Times New Roman" w:cs="Times New Roman"/>
          <w:sz w:val="24"/>
          <w:szCs w:val="24"/>
        </w:rPr>
        <w:t xml:space="preserve"> </w:t>
      </w:r>
      <w:r w:rsidR="00D702E4">
        <w:rPr>
          <w:rFonts w:eastAsia="Times New Roman" w:cs="Times New Roman"/>
          <w:sz w:val="24"/>
          <w:szCs w:val="24"/>
        </w:rPr>
        <w:t>We estimated the probability of cost-effectiveness for willingness-to-pay thresholds of up to USD100</w:t>
      </w:r>
      <w:r w:rsidR="00D5034F">
        <w:rPr>
          <w:rFonts w:eastAsia="Times New Roman" w:cs="Times New Roman"/>
          <w:sz w:val="24"/>
          <w:szCs w:val="24"/>
        </w:rPr>
        <w:t>, 000</w:t>
      </w:r>
      <w:r w:rsidR="00D702E4">
        <w:rPr>
          <w:rFonts w:eastAsia="Times New Roman" w:cs="Times New Roman"/>
          <w:sz w:val="24"/>
          <w:szCs w:val="24"/>
        </w:rPr>
        <w:t xml:space="preserve"> in both Ethiopia and South Africa.</w:t>
      </w:r>
    </w:p>
    <w:bookmarkEnd w:id="12"/>
    <w:p w14:paraId="506017B1" w14:textId="12127202" w:rsidR="008F6951" w:rsidRDefault="008F6951" w:rsidP="008F6951">
      <w:pPr>
        <w:spacing w:line="480" w:lineRule="auto"/>
        <w:rPr>
          <w:rFonts w:eastAsia="Times New Roman" w:cs="Times New Roman"/>
          <w:sz w:val="24"/>
          <w:szCs w:val="24"/>
        </w:rPr>
      </w:pPr>
      <w:r w:rsidRPr="003E09CF">
        <w:rPr>
          <w:rFonts w:eastAsia="Times New Roman" w:cs="Times New Roman"/>
          <w:sz w:val="24"/>
          <w:szCs w:val="24"/>
          <w:vertAlign w:val="superscript"/>
        </w:rPr>
        <w:t xml:space="preserve"> </w:t>
      </w:r>
    </w:p>
    <w:p w14:paraId="585FF976" w14:textId="079DEB7F" w:rsidR="001162B0" w:rsidRPr="008F6951" w:rsidRDefault="001162B0" w:rsidP="001162B0">
      <w:pPr>
        <w:spacing w:line="480" w:lineRule="auto"/>
        <w:rPr>
          <w:rFonts w:eastAsia="Times New Roman" w:cs="Times New Roman"/>
          <w:sz w:val="24"/>
          <w:szCs w:val="24"/>
        </w:rPr>
      </w:pPr>
    </w:p>
    <w:p w14:paraId="36B43644" w14:textId="22BD8B9E" w:rsidR="001162B0" w:rsidRPr="006C457B" w:rsidRDefault="001162B0" w:rsidP="001162B0">
      <w:pPr>
        <w:spacing w:line="480" w:lineRule="auto"/>
        <w:rPr>
          <w:rFonts w:ascii="Times New Roman" w:hAnsi="Times New Roman" w:cs="Times New Roman"/>
          <w:sz w:val="20"/>
          <w:szCs w:val="20"/>
          <w:lang w:eastAsia="en-GB"/>
        </w:rPr>
      </w:pPr>
      <w:r w:rsidRPr="006C457B">
        <w:rPr>
          <w:rFonts w:eastAsia="Times New Roman" w:cs="Times New Roman"/>
          <w:sz w:val="20"/>
          <w:szCs w:val="20"/>
        </w:rPr>
        <w:t xml:space="preserve">HEALTH-SYSTEM </w:t>
      </w:r>
      <w:r w:rsidR="00F405EB">
        <w:rPr>
          <w:rFonts w:eastAsia="Times New Roman" w:cs="Times New Roman"/>
          <w:sz w:val="20"/>
          <w:szCs w:val="20"/>
        </w:rPr>
        <w:t>COST ANALYSIS</w:t>
      </w:r>
    </w:p>
    <w:p w14:paraId="1178B948" w14:textId="30BD97B2" w:rsidR="00866812" w:rsidRDefault="00D35471" w:rsidP="00EB415A">
      <w:pPr>
        <w:spacing w:line="480" w:lineRule="auto"/>
        <w:rPr>
          <w:rFonts w:eastAsia="Times New Roman" w:cs="Times New Roman"/>
          <w:sz w:val="24"/>
          <w:szCs w:val="24"/>
          <w:vertAlign w:val="superscript"/>
        </w:rPr>
      </w:pPr>
      <w:r>
        <w:rPr>
          <w:rFonts w:eastAsia="Times New Roman" w:cs="Times New Roman"/>
          <w:sz w:val="24"/>
          <w:szCs w:val="24"/>
        </w:rPr>
        <w:t>The</w:t>
      </w:r>
      <w:r w:rsidRPr="001A15BF">
        <w:rPr>
          <w:rFonts w:eastAsia="Times New Roman" w:cs="Times New Roman"/>
          <w:sz w:val="24"/>
          <w:szCs w:val="24"/>
        </w:rPr>
        <w:t xml:space="preserve"> inpatient stay costs</w:t>
      </w:r>
      <w:r w:rsidR="00D25F1C">
        <w:rPr>
          <w:rFonts w:eastAsia="Times New Roman" w:cs="Times New Roman"/>
          <w:sz w:val="24"/>
          <w:szCs w:val="24"/>
        </w:rPr>
        <w:t xml:space="preserve"> in Ethiopia</w:t>
      </w:r>
      <w:r w:rsidRPr="001A15BF">
        <w:rPr>
          <w:rFonts w:eastAsia="Times New Roman" w:cs="Times New Roman"/>
          <w:sz w:val="24"/>
          <w:szCs w:val="24"/>
        </w:rPr>
        <w:t xml:space="preserve"> were calculated </w:t>
      </w:r>
      <w:r w:rsidR="002C0DFC">
        <w:rPr>
          <w:rFonts w:eastAsia="Times New Roman" w:cs="Times New Roman"/>
          <w:sz w:val="24"/>
          <w:szCs w:val="24"/>
        </w:rPr>
        <w:t xml:space="preserve">as the sum of </w:t>
      </w:r>
      <w:r w:rsidR="006002EE">
        <w:rPr>
          <w:rFonts w:eastAsia="Times New Roman" w:cs="Times New Roman"/>
          <w:sz w:val="24"/>
          <w:szCs w:val="24"/>
        </w:rPr>
        <w:t>‘</w:t>
      </w:r>
      <w:r w:rsidR="002C0DFC">
        <w:rPr>
          <w:rFonts w:eastAsia="Times New Roman" w:cs="Times New Roman"/>
          <w:sz w:val="24"/>
          <w:szCs w:val="24"/>
        </w:rPr>
        <w:t>ward staff</w:t>
      </w:r>
      <w:r w:rsidR="002E2814">
        <w:rPr>
          <w:rFonts w:eastAsia="Times New Roman" w:cs="Times New Roman"/>
          <w:sz w:val="24"/>
          <w:szCs w:val="24"/>
        </w:rPr>
        <w:t>-</w:t>
      </w:r>
      <w:r w:rsidR="002C0DFC">
        <w:rPr>
          <w:rFonts w:eastAsia="Times New Roman" w:cs="Times New Roman"/>
          <w:sz w:val="24"/>
          <w:szCs w:val="24"/>
        </w:rPr>
        <w:t>costs</w:t>
      </w:r>
      <w:r w:rsidR="006002EE">
        <w:rPr>
          <w:rFonts w:eastAsia="Times New Roman" w:cs="Times New Roman"/>
          <w:sz w:val="24"/>
          <w:szCs w:val="24"/>
        </w:rPr>
        <w:t>’</w:t>
      </w:r>
      <w:r w:rsidR="002C0DFC">
        <w:rPr>
          <w:rFonts w:eastAsia="Times New Roman" w:cs="Times New Roman"/>
          <w:sz w:val="24"/>
          <w:szCs w:val="24"/>
        </w:rPr>
        <w:t xml:space="preserve">, </w:t>
      </w:r>
      <w:r w:rsidR="006002EE">
        <w:rPr>
          <w:rFonts w:eastAsia="Times New Roman" w:cs="Times New Roman"/>
          <w:sz w:val="24"/>
          <w:szCs w:val="24"/>
        </w:rPr>
        <w:t>‘</w:t>
      </w:r>
      <w:r w:rsidR="002C0DFC">
        <w:rPr>
          <w:rFonts w:eastAsia="Times New Roman" w:cs="Times New Roman"/>
          <w:sz w:val="24"/>
          <w:szCs w:val="24"/>
        </w:rPr>
        <w:t>inpatient overhead</w:t>
      </w:r>
      <w:r w:rsidR="006002EE">
        <w:rPr>
          <w:rFonts w:eastAsia="Times New Roman" w:cs="Times New Roman"/>
          <w:sz w:val="24"/>
          <w:szCs w:val="24"/>
        </w:rPr>
        <w:t xml:space="preserve"> costs’</w:t>
      </w:r>
      <w:r w:rsidR="002C0DFC">
        <w:rPr>
          <w:rFonts w:eastAsia="Times New Roman" w:cs="Times New Roman"/>
          <w:sz w:val="24"/>
          <w:szCs w:val="24"/>
        </w:rPr>
        <w:t xml:space="preserve"> and </w:t>
      </w:r>
      <w:r w:rsidRPr="001A15BF">
        <w:rPr>
          <w:rFonts w:eastAsia="Times New Roman" w:cs="Times New Roman"/>
          <w:sz w:val="24"/>
          <w:szCs w:val="24"/>
        </w:rPr>
        <w:t>a fixed ‘hotel</w:t>
      </w:r>
      <w:r>
        <w:rPr>
          <w:rFonts w:eastAsia="Times New Roman" w:cs="Times New Roman"/>
          <w:sz w:val="24"/>
          <w:szCs w:val="24"/>
        </w:rPr>
        <w:t xml:space="preserve"> cost</w:t>
      </w:r>
      <w:r w:rsidR="002C0DFC">
        <w:rPr>
          <w:rFonts w:eastAsia="Times New Roman" w:cs="Times New Roman"/>
          <w:sz w:val="24"/>
          <w:szCs w:val="24"/>
        </w:rPr>
        <w:t>’.  The hotel cost</w:t>
      </w:r>
      <w:r w:rsidR="00882EF6">
        <w:rPr>
          <w:rFonts w:eastAsia="Times New Roman" w:cs="Times New Roman"/>
          <w:sz w:val="24"/>
          <w:szCs w:val="24"/>
        </w:rPr>
        <w:t xml:space="preserve"> </w:t>
      </w:r>
      <w:r>
        <w:rPr>
          <w:rFonts w:eastAsia="Times New Roman" w:cs="Times New Roman"/>
          <w:sz w:val="24"/>
          <w:szCs w:val="24"/>
        </w:rPr>
        <w:t>included bed costs, basic supplies, and patient meal</w:t>
      </w:r>
      <w:r w:rsidRPr="001A15BF">
        <w:rPr>
          <w:rFonts w:eastAsia="Times New Roman" w:cs="Times New Roman"/>
          <w:sz w:val="24"/>
          <w:szCs w:val="24"/>
        </w:rPr>
        <w:t xml:space="preserve"> cost</w:t>
      </w:r>
      <w:r w:rsidR="002C0DFC">
        <w:rPr>
          <w:rFonts w:eastAsia="Times New Roman" w:cs="Times New Roman"/>
          <w:sz w:val="24"/>
          <w:szCs w:val="24"/>
        </w:rPr>
        <w:t>s, while</w:t>
      </w:r>
      <w:r w:rsidR="002E2814">
        <w:rPr>
          <w:rFonts w:eastAsia="Times New Roman" w:cs="Times New Roman"/>
          <w:sz w:val="24"/>
          <w:szCs w:val="24"/>
        </w:rPr>
        <w:t xml:space="preserve"> the overhead</w:t>
      </w:r>
      <w:r w:rsidR="006002EE">
        <w:rPr>
          <w:rFonts w:eastAsia="Times New Roman" w:cs="Times New Roman"/>
          <w:sz w:val="24"/>
          <w:szCs w:val="24"/>
        </w:rPr>
        <w:t xml:space="preserve"> costs</w:t>
      </w:r>
      <w:r w:rsidR="002E2814">
        <w:rPr>
          <w:rFonts w:eastAsia="Times New Roman" w:cs="Times New Roman"/>
          <w:sz w:val="24"/>
          <w:szCs w:val="24"/>
        </w:rPr>
        <w:t xml:space="preserve"> included</w:t>
      </w:r>
      <w:r w:rsidRPr="001A15BF">
        <w:rPr>
          <w:rFonts w:eastAsia="Times New Roman" w:cs="Times New Roman"/>
          <w:sz w:val="24"/>
          <w:szCs w:val="24"/>
        </w:rPr>
        <w:t xml:space="preserve"> </w:t>
      </w:r>
      <w:r>
        <w:rPr>
          <w:rFonts w:eastAsia="Times New Roman" w:cs="Times New Roman"/>
          <w:sz w:val="24"/>
          <w:szCs w:val="24"/>
        </w:rPr>
        <w:t>hospital administration</w:t>
      </w:r>
      <w:r w:rsidR="002E2814">
        <w:rPr>
          <w:rFonts w:eastAsia="Times New Roman" w:cs="Times New Roman"/>
          <w:sz w:val="24"/>
          <w:szCs w:val="24"/>
        </w:rPr>
        <w:t xml:space="preserve"> </w:t>
      </w:r>
      <w:r w:rsidR="001358CE">
        <w:rPr>
          <w:rFonts w:eastAsia="Times New Roman" w:cs="Times New Roman"/>
          <w:sz w:val="24"/>
          <w:szCs w:val="24"/>
        </w:rPr>
        <w:t>costs</w:t>
      </w:r>
      <w:r w:rsidRPr="001A15BF">
        <w:rPr>
          <w:rFonts w:eastAsia="Times New Roman" w:cs="Times New Roman"/>
          <w:sz w:val="24"/>
          <w:szCs w:val="24"/>
        </w:rPr>
        <w:t>. For AHRI and St. Peter’s, inpatient stay overhead costs were estimated from facility financial records</w:t>
      </w:r>
      <w:r w:rsidRPr="00F573C5">
        <w:rPr>
          <w:rFonts w:eastAsia="Times New Roman" w:cs="Times New Roman"/>
          <w:sz w:val="24"/>
          <w:szCs w:val="24"/>
        </w:rPr>
        <w:t xml:space="preserve">. </w:t>
      </w:r>
      <w:r w:rsidR="00D25F1C">
        <w:rPr>
          <w:rFonts w:eastAsia="Times New Roman" w:cs="Times New Roman"/>
          <w:sz w:val="24"/>
          <w:szCs w:val="24"/>
        </w:rPr>
        <w:t xml:space="preserve">For </w:t>
      </w:r>
      <w:r w:rsidR="00464B86">
        <w:rPr>
          <w:rFonts w:eastAsia="Times New Roman" w:cs="Times New Roman"/>
          <w:sz w:val="24"/>
          <w:szCs w:val="24"/>
        </w:rPr>
        <w:t xml:space="preserve">the </w:t>
      </w:r>
      <w:r w:rsidR="004E75F7">
        <w:rPr>
          <w:rFonts w:eastAsia="Times New Roman" w:cs="Times New Roman"/>
          <w:sz w:val="24"/>
          <w:szCs w:val="24"/>
        </w:rPr>
        <w:t>base</w:t>
      </w:r>
      <w:r w:rsidR="00464B86">
        <w:rPr>
          <w:rFonts w:eastAsia="Times New Roman" w:cs="Times New Roman"/>
          <w:sz w:val="24"/>
          <w:szCs w:val="24"/>
        </w:rPr>
        <w:t xml:space="preserve"> </w:t>
      </w:r>
      <w:r w:rsidR="008607FA">
        <w:rPr>
          <w:rFonts w:eastAsia="Times New Roman" w:cs="Times New Roman"/>
          <w:sz w:val="24"/>
          <w:szCs w:val="24"/>
        </w:rPr>
        <w:t>case</w:t>
      </w:r>
      <w:r w:rsidR="00464B86">
        <w:rPr>
          <w:rFonts w:eastAsia="Times New Roman" w:cs="Times New Roman"/>
          <w:sz w:val="24"/>
          <w:szCs w:val="24"/>
        </w:rPr>
        <w:t xml:space="preserve"> in </w:t>
      </w:r>
      <w:r w:rsidR="00D25F1C">
        <w:rPr>
          <w:rFonts w:eastAsia="Times New Roman" w:cs="Times New Roman"/>
          <w:sz w:val="24"/>
          <w:szCs w:val="24"/>
        </w:rPr>
        <w:t>South Africa,</w:t>
      </w:r>
      <w:r w:rsidR="008D0697">
        <w:rPr>
          <w:rFonts w:eastAsia="Times New Roman" w:cs="Times New Roman"/>
          <w:sz w:val="24"/>
          <w:szCs w:val="24"/>
        </w:rPr>
        <w:t xml:space="preserve"> where several studies</w:t>
      </w:r>
      <w:r w:rsidR="0018509F">
        <w:rPr>
          <w:rFonts w:eastAsia="Times New Roman" w:cs="Times New Roman"/>
          <w:sz w:val="24"/>
          <w:szCs w:val="24"/>
        </w:rPr>
        <w:t xml:space="preserve"> </w:t>
      </w:r>
      <w:r w:rsidR="00860366">
        <w:rPr>
          <w:rFonts w:eastAsia="Times New Roman" w:cs="Times New Roman"/>
          <w:sz w:val="24"/>
          <w:szCs w:val="24"/>
        </w:rPr>
        <w:t>on</w:t>
      </w:r>
      <w:r w:rsidR="0018509F">
        <w:rPr>
          <w:rFonts w:eastAsia="Times New Roman" w:cs="Times New Roman"/>
          <w:sz w:val="24"/>
          <w:szCs w:val="24"/>
        </w:rPr>
        <w:t xml:space="preserve"> this topic</w:t>
      </w:r>
      <w:r w:rsidR="008D0697">
        <w:rPr>
          <w:rFonts w:eastAsia="Times New Roman" w:cs="Times New Roman"/>
          <w:sz w:val="24"/>
          <w:szCs w:val="24"/>
        </w:rPr>
        <w:t xml:space="preserve"> have been published,</w:t>
      </w:r>
      <w:r w:rsidR="00D25F1C">
        <w:rPr>
          <w:rFonts w:eastAsia="Times New Roman" w:cs="Times New Roman"/>
          <w:sz w:val="24"/>
          <w:szCs w:val="24"/>
        </w:rPr>
        <w:t xml:space="preserve"> inpatient stay </w:t>
      </w:r>
      <w:r w:rsidR="00464B86">
        <w:rPr>
          <w:rFonts w:eastAsia="Times New Roman" w:cs="Times New Roman"/>
          <w:sz w:val="24"/>
          <w:szCs w:val="24"/>
        </w:rPr>
        <w:t xml:space="preserve">unit </w:t>
      </w:r>
      <w:r w:rsidR="00D25F1C">
        <w:rPr>
          <w:rFonts w:eastAsia="Times New Roman" w:cs="Times New Roman"/>
          <w:sz w:val="24"/>
          <w:szCs w:val="24"/>
        </w:rPr>
        <w:t xml:space="preserve">costs were </w:t>
      </w:r>
      <w:r w:rsidR="00464B86">
        <w:rPr>
          <w:rFonts w:eastAsia="Times New Roman" w:cs="Times New Roman"/>
          <w:sz w:val="24"/>
          <w:szCs w:val="24"/>
        </w:rPr>
        <w:t>ba</w:t>
      </w:r>
      <w:r w:rsidR="00D25F1C">
        <w:rPr>
          <w:rFonts w:eastAsia="Times New Roman" w:cs="Times New Roman"/>
          <w:sz w:val="24"/>
          <w:szCs w:val="24"/>
        </w:rPr>
        <w:t>s</w:t>
      </w:r>
      <w:r w:rsidR="00464B86">
        <w:rPr>
          <w:rFonts w:eastAsia="Times New Roman" w:cs="Times New Roman"/>
          <w:sz w:val="24"/>
          <w:szCs w:val="24"/>
        </w:rPr>
        <w:t xml:space="preserve">ed on estimates reported by </w:t>
      </w:r>
      <w:proofErr w:type="spellStart"/>
      <w:r w:rsidR="00464B86">
        <w:rPr>
          <w:rFonts w:eastAsia="Times New Roman" w:cs="Times New Roman"/>
          <w:sz w:val="24"/>
          <w:szCs w:val="24"/>
        </w:rPr>
        <w:t>Pooran</w:t>
      </w:r>
      <w:proofErr w:type="spellEnd"/>
      <w:r w:rsidR="00464B86">
        <w:rPr>
          <w:rFonts w:eastAsia="Times New Roman" w:cs="Times New Roman"/>
          <w:sz w:val="24"/>
          <w:szCs w:val="24"/>
        </w:rPr>
        <w:t xml:space="preserve"> et al</w:t>
      </w:r>
      <w:r w:rsidR="00E16EBE">
        <w:rPr>
          <w:rFonts w:eastAsia="Times New Roman" w:cs="Times New Roman"/>
          <w:sz w:val="24"/>
          <w:szCs w:val="24"/>
        </w:rPr>
        <w:t>.</w:t>
      </w:r>
      <w:r w:rsidR="00E16EBE">
        <w:rPr>
          <w:rFonts w:eastAsia="Times New Roman" w:cs="Times New Roman"/>
          <w:sz w:val="24"/>
          <w:szCs w:val="24"/>
          <w:vertAlign w:val="superscript"/>
        </w:rPr>
        <w:t>3</w:t>
      </w:r>
      <w:r w:rsidR="00584453">
        <w:rPr>
          <w:rFonts w:eastAsia="Times New Roman" w:cs="Times New Roman"/>
          <w:sz w:val="24"/>
          <w:szCs w:val="24"/>
        </w:rPr>
        <w:t xml:space="preserve"> This source was deemed by the authors to be </w:t>
      </w:r>
      <w:r w:rsidR="00B61605">
        <w:rPr>
          <w:rFonts w:eastAsia="Times New Roman" w:cs="Times New Roman"/>
          <w:sz w:val="24"/>
          <w:szCs w:val="24"/>
        </w:rPr>
        <w:t>most</w:t>
      </w:r>
      <w:r w:rsidR="00584453">
        <w:rPr>
          <w:rFonts w:eastAsia="Times New Roman" w:cs="Times New Roman"/>
          <w:sz w:val="24"/>
          <w:szCs w:val="24"/>
        </w:rPr>
        <w:t xml:space="preserve"> suitable as the data </w:t>
      </w:r>
      <w:r w:rsidR="00F405EB">
        <w:rPr>
          <w:rFonts w:eastAsia="Times New Roman" w:cs="Times New Roman"/>
          <w:sz w:val="24"/>
          <w:szCs w:val="24"/>
        </w:rPr>
        <w:t>were</w:t>
      </w:r>
      <w:r w:rsidR="00584453">
        <w:rPr>
          <w:rFonts w:eastAsia="Times New Roman" w:cs="Times New Roman"/>
          <w:sz w:val="24"/>
          <w:szCs w:val="24"/>
        </w:rPr>
        <w:t xml:space="preserve"> collected from a referral hospital </w:t>
      </w:r>
      <w:r w:rsidR="00A22DAC">
        <w:rPr>
          <w:rFonts w:eastAsia="Times New Roman" w:cs="Times New Roman"/>
          <w:sz w:val="24"/>
          <w:szCs w:val="24"/>
        </w:rPr>
        <w:t>similar in size</w:t>
      </w:r>
      <w:r w:rsidR="00584453">
        <w:rPr>
          <w:rFonts w:eastAsia="Times New Roman" w:cs="Times New Roman"/>
          <w:sz w:val="24"/>
          <w:szCs w:val="24"/>
        </w:rPr>
        <w:t xml:space="preserve"> </w:t>
      </w:r>
      <w:r w:rsidR="00BF0A9A">
        <w:rPr>
          <w:rFonts w:eastAsia="Times New Roman" w:cs="Times New Roman"/>
          <w:sz w:val="24"/>
          <w:szCs w:val="24"/>
        </w:rPr>
        <w:t>to</w:t>
      </w:r>
      <w:r w:rsidR="00584453">
        <w:rPr>
          <w:rFonts w:eastAsia="Times New Roman" w:cs="Times New Roman"/>
          <w:sz w:val="24"/>
          <w:szCs w:val="24"/>
        </w:rPr>
        <w:t xml:space="preserve"> the two hospitals </w:t>
      </w:r>
      <w:r w:rsidR="00860366">
        <w:rPr>
          <w:rFonts w:eastAsia="Times New Roman" w:cs="Times New Roman"/>
          <w:sz w:val="24"/>
          <w:szCs w:val="24"/>
        </w:rPr>
        <w:t xml:space="preserve">which recruited to STREAM </w:t>
      </w:r>
      <w:r w:rsidR="00584453">
        <w:rPr>
          <w:rFonts w:eastAsia="Times New Roman" w:cs="Times New Roman"/>
          <w:sz w:val="24"/>
          <w:szCs w:val="24"/>
        </w:rPr>
        <w:t>in South Africa.</w:t>
      </w:r>
      <w:r w:rsidR="00464B86">
        <w:rPr>
          <w:rFonts w:eastAsia="Times New Roman" w:cs="Times New Roman"/>
          <w:sz w:val="24"/>
          <w:szCs w:val="24"/>
        </w:rPr>
        <w:t xml:space="preserve"> Sensitivity analysis was carried out to explore how </w:t>
      </w:r>
      <w:r w:rsidR="007209A8">
        <w:rPr>
          <w:rFonts w:eastAsia="Times New Roman" w:cs="Times New Roman"/>
          <w:sz w:val="24"/>
          <w:szCs w:val="24"/>
        </w:rPr>
        <w:t xml:space="preserve">total </w:t>
      </w:r>
      <w:r w:rsidR="00464B86">
        <w:rPr>
          <w:rFonts w:eastAsia="Times New Roman" w:cs="Times New Roman"/>
          <w:sz w:val="24"/>
          <w:szCs w:val="24"/>
        </w:rPr>
        <w:t xml:space="preserve">costs would vary if </w:t>
      </w:r>
      <w:r w:rsidR="00AD52C9">
        <w:rPr>
          <w:rFonts w:eastAsia="Times New Roman" w:cs="Times New Roman"/>
          <w:sz w:val="24"/>
          <w:szCs w:val="24"/>
        </w:rPr>
        <w:t xml:space="preserve">different </w:t>
      </w:r>
      <w:r w:rsidR="00243E2E">
        <w:rPr>
          <w:rFonts w:eastAsia="Times New Roman" w:cs="Times New Roman"/>
          <w:sz w:val="24"/>
          <w:szCs w:val="24"/>
        </w:rPr>
        <w:t>inpatient</w:t>
      </w:r>
      <w:r w:rsidR="00AD52C9">
        <w:rPr>
          <w:rFonts w:eastAsia="Times New Roman" w:cs="Times New Roman"/>
          <w:sz w:val="24"/>
          <w:szCs w:val="24"/>
        </w:rPr>
        <w:t>-</w:t>
      </w:r>
      <w:r w:rsidR="00243E2E">
        <w:rPr>
          <w:rFonts w:eastAsia="Times New Roman" w:cs="Times New Roman"/>
          <w:sz w:val="24"/>
          <w:szCs w:val="24"/>
        </w:rPr>
        <w:t xml:space="preserve">stay </w:t>
      </w:r>
      <w:r w:rsidR="00464B86">
        <w:rPr>
          <w:rFonts w:eastAsia="Times New Roman" w:cs="Times New Roman"/>
          <w:sz w:val="24"/>
          <w:szCs w:val="24"/>
        </w:rPr>
        <w:t xml:space="preserve">unit costs </w:t>
      </w:r>
      <w:r w:rsidR="00AD52C9">
        <w:rPr>
          <w:rFonts w:eastAsia="Times New Roman" w:cs="Times New Roman"/>
          <w:sz w:val="24"/>
          <w:szCs w:val="24"/>
        </w:rPr>
        <w:t>from other studies had been</w:t>
      </w:r>
      <w:r w:rsidR="00464B86">
        <w:rPr>
          <w:rFonts w:eastAsia="Times New Roman" w:cs="Times New Roman"/>
          <w:sz w:val="24"/>
          <w:szCs w:val="24"/>
        </w:rPr>
        <w:t xml:space="preserve"> applied.</w:t>
      </w:r>
      <w:r w:rsidR="00967F00" w:rsidRPr="006C457B">
        <w:rPr>
          <w:rFonts w:eastAsia="Times New Roman" w:cs="Times New Roman"/>
          <w:sz w:val="24"/>
          <w:szCs w:val="24"/>
          <w:vertAlign w:val="superscript"/>
        </w:rPr>
        <w:t>4,</w:t>
      </w:r>
      <w:r w:rsidR="0067708A">
        <w:rPr>
          <w:rFonts w:eastAsia="Times New Roman" w:cs="Times New Roman"/>
          <w:sz w:val="24"/>
          <w:szCs w:val="24"/>
          <w:vertAlign w:val="superscript"/>
        </w:rPr>
        <w:t>2</w:t>
      </w:r>
      <w:r w:rsidR="009A3D07">
        <w:rPr>
          <w:rFonts w:eastAsia="Times New Roman" w:cs="Times New Roman"/>
          <w:sz w:val="24"/>
          <w:szCs w:val="24"/>
          <w:vertAlign w:val="superscript"/>
        </w:rPr>
        <w:t>1</w:t>
      </w:r>
      <w:r w:rsidR="00967F00" w:rsidRPr="006C457B">
        <w:rPr>
          <w:rFonts w:eastAsia="Times New Roman" w:cs="Times New Roman"/>
          <w:sz w:val="24"/>
          <w:szCs w:val="24"/>
          <w:vertAlign w:val="superscript"/>
        </w:rPr>
        <w:t>,</w:t>
      </w:r>
      <w:r w:rsidR="005F59FF">
        <w:rPr>
          <w:rFonts w:eastAsia="Times New Roman" w:cs="Times New Roman"/>
          <w:sz w:val="24"/>
          <w:szCs w:val="24"/>
          <w:vertAlign w:val="superscript"/>
        </w:rPr>
        <w:t>2</w:t>
      </w:r>
      <w:r w:rsidR="009A3D07">
        <w:rPr>
          <w:rFonts w:eastAsia="Times New Roman" w:cs="Times New Roman"/>
          <w:sz w:val="24"/>
          <w:szCs w:val="24"/>
          <w:vertAlign w:val="superscript"/>
        </w:rPr>
        <w:t>2</w:t>
      </w:r>
    </w:p>
    <w:p w14:paraId="180F1B8B" w14:textId="77777777" w:rsidR="00225E97" w:rsidRDefault="00225E97" w:rsidP="00EB415A">
      <w:pPr>
        <w:spacing w:line="480" w:lineRule="auto"/>
        <w:rPr>
          <w:rFonts w:eastAsia="Times New Roman" w:cs="Times New Roman"/>
          <w:sz w:val="24"/>
          <w:szCs w:val="24"/>
        </w:rPr>
      </w:pPr>
      <w:bookmarkStart w:id="13" w:name="_Hlk17191008"/>
    </w:p>
    <w:p w14:paraId="37703CD0" w14:textId="77777777" w:rsidR="00866812" w:rsidRDefault="00866812" w:rsidP="007735F5">
      <w:pPr>
        <w:spacing w:line="480" w:lineRule="auto"/>
        <w:rPr>
          <w:rFonts w:eastAsia="Times New Roman" w:cs="Times New Roman"/>
          <w:sz w:val="24"/>
          <w:szCs w:val="24"/>
        </w:rPr>
      </w:pPr>
    </w:p>
    <w:bookmarkEnd w:id="13"/>
    <w:p w14:paraId="5D141878" w14:textId="0628523E" w:rsidR="00454F49" w:rsidRPr="00C41C6F" w:rsidRDefault="006C457B" w:rsidP="00815142">
      <w:pPr>
        <w:spacing w:line="480" w:lineRule="auto"/>
        <w:rPr>
          <w:rFonts w:eastAsia="Times New Roman" w:cs="Times New Roman"/>
          <w:sz w:val="24"/>
          <w:szCs w:val="24"/>
        </w:rPr>
      </w:pPr>
      <w:r>
        <w:rPr>
          <w:rFonts w:eastAsia="Times New Roman" w:cs="Times New Roman"/>
          <w:sz w:val="20"/>
          <w:szCs w:val="20"/>
        </w:rPr>
        <w:t>PARTICIPANT</w:t>
      </w:r>
      <w:r w:rsidR="001162B0" w:rsidRPr="006C457B">
        <w:rPr>
          <w:rFonts w:eastAsia="Times New Roman" w:cs="Times New Roman"/>
          <w:sz w:val="20"/>
          <w:szCs w:val="20"/>
        </w:rPr>
        <w:t xml:space="preserve"> COST </w:t>
      </w:r>
      <w:r w:rsidR="00F405EB">
        <w:rPr>
          <w:rFonts w:eastAsia="Times New Roman" w:cs="Times New Roman"/>
          <w:sz w:val="20"/>
          <w:szCs w:val="20"/>
        </w:rPr>
        <w:t>ANALYSIS</w:t>
      </w:r>
    </w:p>
    <w:p w14:paraId="091423B0" w14:textId="2D8B7FB9" w:rsidR="00F6144E" w:rsidRDefault="001B0D0E" w:rsidP="00815142">
      <w:pPr>
        <w:spacing w:line="480" w:lineRule="auto"/>
        <w:rPr>
          <w:rFonts w:eastAsia="Times New Roman" w:cs="Times New Roman"/>
          <w:sz w:val="24"/>
          <w:szCs w:val="24"/>
        </w:rPr>
      </w:pPr>
      <w:r w:rsidRPr="00C41C6F">
        <w:rPr>
          <w:rFonts w:eastAsia="Times New Roman" w:cs="Times New Roman"/>
          <w:sz w:val="24"/>
          <w:szCs w:val="24"/>
        </w:rPr>
        <w:t xml:space="preserve">Patient-reported direct costs were used to estimate the mean cost associated with a single visit to a health facility. This was multiplied by </w:t>
      </w:r>
      <w:r w:rsidR="00F57333" w:rsidRPr="00C41C6F">
        <w:rPr>
          <w:rFonts w:eastAsia="Times New Roman" w:cs="Times New Roman"/>
          <w:sz w:val="24"/>
          <w:szCs w:val="24"/>
        </w:rPr>
        <w:t xml:space="preserve">the expected number of times a patient </w:t>
      </w:r>
      <w:r w:rsidR="00AD52C9">
        <w:rPr>
          <w:rFonts w:eastAsia="Times New Roman" w:cs="Times New Roman"/>
          <w:sz w:val="24"/>
          <w:szCs w:val="24"/>
        </w:rPr>
        <w:t>would</w:t>
      </w:r>
      <w:r w:rsidR="00AD52C9" w:rsidRPr="00C41C6F">
        <w:rPr>
          <w:rFonts w:eastAsia="Times New Roman" w:cs="Times New Roman"/>
          <w:sz w:val="24"/>
          <w:szCs w:val="24"/>
        </w:rPr>
        <w:t xml:space="preserve"> </w:t>
      </w:r>
      <w:r w:rsidR="00F57333" w:rsidRPr="00C41C6F">
        <w:rPr>
          <w:rFonts w:eastAsia="Times New Roman" w:cs="Times New Roman"/>
          <w:sz w:val="24"/>
          <w:szCs w:val="24"/>
        </w:rPr>
        <w:t xml:space="preserve">need to visit the facility during usual clinical management, to </w:t>
      </w:r>
      <w:r w:rsidR="006B331F">
        <w:rPr>
          <w:rFonts w:eastAsia="Times New Roman" w:cs="Times New Roman"/>
          <w:sz w:val="24"/>
          <w:szCs w:val="24"/>
        </w:rPr>
        <w:t>estimate</w:t>
      </w:r>
      <w:r w:rsidR="006B331F" w:rsidRPr="00C41C6F">
        <w:rPr>
          <w:rFonts w:eastAsia="Times New Roman" w:cs="Times New Roman"/>
          <w:sz w:val="24"/>
          <w:szCs w:val="24"/>
        </w:rPr>
        <w:t xml:space="preserve"> </w:t>
      </w:r>
      <w:r w:rsidR="00F57333" w:rsidRPr="00C41C6F">
        <w:rPr>
          <w:rFonts w:eastAsia="Times New Roman" w:cs="Times New Roman"/>
          <w:sz w:val="24"/>
          <w:szCs w:val="24"/>
        </w:rPr>
        <w:t xml:space="preserve">the </w:t>
      </w:r>
      <w:r w:rsidR="00AD52C9">
        <w:rPr>
          <w:rFonts w:eastAsia="Times New Roman" w:cs="Times New Roman"/>
          <w:sz w:val="24"/>
          <w:szCs w:val="24"/>
        </w:rPr>
        <w:t xml:space="preserve">total </w:t>
      </w:r>
      <w:r w:rsidR="00F57333" w:rsidRPr="00C41C6F">
        <w:rPr>
          <w:rFonts w:eastAsia="Times New Roman" w:cs="Times New Roman"/>
          <w:sz w:val="24"/>
          <w:szCs w:val="24"/>
        </w:rPr>
        <w:t xml:space="preserve">cost that </w:t>
      </w:r>
      <w:r w:rsidR="003F33A1">
        <w:rPr>
          <w:rFonts w:eastAsia="Times New Roman" w:cs="Times New Roman"/>
          <w:sz w:val="24"/>
          <w:szCs w:val="24"/>
        </w:rPr>
        <w:t xml:space="preserve">a </w:t>
      </w:r>
      <w:r w:rsidR="00F57333" w:rsidRPr="00C41C6F">
        <w:rPr>
          <w:rFonts w:eastAsia="Times New Roman" w:cs="Times New Roman"/>
          <w:sz w:val="24"/>
          <w:szCs w:val="24"/>
        </w:rPr>
        <w:t>patient would incur in routine practice.</w:t>
      </w:r>
      <w:r w:rsidR="00454F49" w:rsidRPr="00C41C6F">
        <w:rPr>
          <w:rFonts w:eastAsia="Times New Roman" w:cs="Times New Roman"/>
          <w:sz w:val="24"/>
          <w:szCs w:val="24"/>
        </w:rPr>
        <w:t xml:space="preserve"> </w:t>
      </w:r>
      <w:r w:rsidR="00031029">
        <w:rPr>
          <w:rFonts w:eastAsia="Times New Roman" w:cs="Times New Roman"/>
          <w:sz w:val="24"/>
          <w:szCs w:val="24"/>
        </w:rPr>
        <w:t>For Ethiopia, m</w:t>
      </w:r>
      <w:r w:rsidR="004476CB" w:rsidRPr="00C41C6F">
        <w:rPr>
          <w:rFonts w:eastAsia="Times New Roman" w:cs="Times New Roman"/>
          <w:sz w:val="24"/>
          <w:szCs w:val="24"/>
        </w:rPr>
        <w:t>issing values</w:t>
      </w:r>
      <w:r w:rsidR="00F57333" w:rsidRPr="00C41C6F">
        <w:rPr>
          <w:rFonts w:eastAsia="Times New Roman" w:cs="Times New Roman"/>
          <w:sz w:val="24"/>
          <w:szCs w:val="24"/>
        </w:rPr>
        <w:t xml:space="preserve"> in </w:t>
      </w:r>
      <w:r w:rsidR="006C457B">
        <w:rPr>
          <w:rFonts w:eastAsia="Times New Roman" w:cs="Times New Roman"/>
          <w:sz w:val="24"/>
          <w:szCs w:val="24"/>
        </w:rPr>
        <w:t>participant</w:t>
      </w:r>
      <w:r w:rsidR="00F57333" w:rsidRPr="00C41C6F">
        <w:rPr>
          <w:rFonts w:eastAsia="Times New Roman" w:cs="Times New Roman"/>
          <w:sz w:val="24"/>
          <w:szCs w:val="24"/>
        </w:rPr>
        <w:t xml:space="preserve"> responses</w:t>
      </w:r>
      <w:r w:rsidR="004476CB" w:rsidRPr="00C41C6F">
        <w:rPr>
          <w:rFonts w:eastAsia="Times New Roman" w:cs="Times New Roman"/>
          <w:sz w:val="24"/>
          <w:szCs w:val="24"/>
        </w:rPr>
        <w:t xml:space="preserve"> were imputed using chained multiple imputation</w:t>
      </w:r>
      <w:r w:rsidR="00D64C4D" w:rsidRPr="00C41C6F">
        <w:rPr>
          <w:rFonts w:eastAsia="Times New Roman" w:cs="Times New Roman"/>
          <w:sz w:val="24"/>
          <w:szCs w:val="24"/>
        </w:rPr>
        <w:t xml:space="preserve"> </w:t>
      </w:r>
      <w:r w:rsidR="004476CB" w:rsidRPr="00C41C6F">
        <w:rPr>
          <w:rFonts w:eastAsia="Times New Roman" w:cs="Times New Roman"/>
          <w:sz w:val="24"/>
          <w:szCs w:val="24"/>
        </w:rPr>
        <w:t>as the reference</w:t>
      </w:r>
      <w:r w:rsidR="00D67A87" w:rsidRPr="00C41C6F">
        <w:rPr>
          <w:rFonts w:eastAsia="Times New Roman" w:cs="Times New Roman"/>
          <w:sz w:val="24"/>
          <w:szCs w:val="24"/>
        </w:rPr>
        <w:t xml:space="preserve"> case</w:t>
      </w:r>
      <w:proofErr w:type="gramStart"/>
      <w:r w:rsidR="005F59FF">
        <w:rPr>
          <w:rFonts w:eastAsia="Times New Roman" w:cs="Times New Roman"/>
          <w:sz w:val="24"/>
          <w:szCs w:val="24"/>
          <w:vertAlign w:val="superscript"/>
        </w:rPr>
        <w:t>2</w:t>
      </w:r>
      <w:r w:rsidR="009A3D07">
        <w:rPr>
          <w:rFonts w:eastAsia="Times New Roman" w:cs="Times New Roman"/>
          <w:sz w:val="24"/>
          <w:szCs w:val="24"/>
          <w:vertAlign w:val="superscript"/>
        </w:rPr>
        <w:t>3</w:t>
      </w:r>
      <w:r w:rsidR="00454F49" w:rsidRPr="00C41C6F">
        <w:rPr>
          <w:rFonts w:eastAsia="Times New Roman" w:cs="Times New Roman"/>
          <w:sz w:val="24"/>
          <w:szCs w:val="24"/>
        </w:rPr>
        <w:t xml:space="preserve"> </w:t>
      </w:r>
      <w:r w:rsidR="003E4B19">
        <w:rPr>
          <w:rFonts w:eastAsia="Times New Roman" w:cs="Times New Roman"/>
          <w:sz w:val="24"/>
          <w:szCs w:val="24"/>
        </w:rPr>
        <w:t>.</w:t>
      </w:r>
      <w:proofErr w:type="gramEnd"/>
      <w:r w:rsidR="003E4B19">
        <w:rPr>
          <w:rFonts w:eastAsia="Times New Roman" w:cs="Times New Roman"/>
          <w:sz w:val="24"/>
          <w:szCs w:val="24"/>
        </w:rPr>
        <w:t xml:space="preserve"> </w:t>
      </w:r>
      <w:r w:rsidR="00432004" w:rsidRPr="00C41C6F">
        <w:rPr>
          <w:rFonts w:eastAsia="Times New Roman" w:cs="Times New Roman"/>
          <w:sz w:val="24"/>
          <w:szCs w:val="24"/>
        </w:rPr>
        <w:t>Two</w:t>
      </w:r>
      <w:r w:rsidR="00026B79">
        <w:rPr>
          <w:rFonts w:eastAsia="Times New Roman" w:cs="Times New Roman"/>
          <w:sz w:val="24"/>
          <w:szCs w:val="24"/>
        </w:rPr>
        <w:t xml:space="preserve"> categories of</w:t>
      </w:r>
      <w:r w:rsidR="00432004" w:rsidRPr="00C41C6F">
        <w:rPr>
          <w:rFonts w:eastAsia="Times New Roman" w:cs="Times New Roman"/>
          <w:sz w:val="24"/>
          <w:szCs w:val="24"/>
        </w:rPr>
        <w:t xml:space="preserve"> responses were imputed – expenditure o</w:t>
      </w:r>
      <w:r w:rsidR="00B45D2B">
        <w:rPr>
          <w:rFonts w:eastAsia="Times New Roman" w:cs="Times New Roman"/>
          <w:sz w:val="24"/>
          <w:szCs w:val="24"/>
        </w:rPr>
        <w:t>n</w:t>
      </w:r>
      <w:r w:rsidR="00432004" w:rsidRPr="00C41C6F">
        <w:rPr>
          <w:rFonts w:eastAsia="Times New Roman" w:cs="Times New Roman"/>
          <w:sz w:val="24"/>
          <w:szCs w:val="24"/>
        </w:rPr>
        <w:t xml:space="preserve"> nutritional supplements and hours worked</w:t>
      </w:r>
      <w:r w:rsidR="00E2671D" w:rsidRPr="001C7415">
        <w:rPr>
          <w:rFonts w:eastAsia="Times New Roman" w:cs="Times New Roman"/>
          <w:sz w:val="24"/>
          <w:szCs w:val="24"/>
          <w:vertAlign w:val="superscript"/>
        </w:rPr>
        <w:t>1</w:t>
      </w:r>
      <w:r w:rsidR="009A3D07">
        <w:rPr>
          <w:rFonts w:eastAsia="Times New Roman" w:cs="Times New Roman"/>
          <w:sz w:val="24"/>
          <w:szCs w:val="24"/>
          <w:vertAlign w:val="superscript"/>
        </w:rPr>
        <w:t>5</w:t>
      </w:r>
      <w:r w:rsidR="00E2671D">
        <w:rPr>
          <w:rFonts w:eastAsia="Times New Roman" w:cs="Times New Roman"/>
          <w:sz w:val="24"/>
          <w:szCs w:val="24"/>
        </w:rPr>
        <w:t xml:space="preserve">. </w:t>
      </w:r>
      <w:r w:rsidR="00031029">
        <w:rPr>
          <w:rFonts w:eastAsia="Times New Roman" w:cs="Times New Roman"/>
          <w:sz w:val="24"/>
          <w:szCs w:val="24"/>
        </w:rPr>
        <w:t>C</w:t>
      </w:r>
      <w:r w:rsidR="00031029" w:rsidRPr="001C7415">
        <w:rPr>
          <w:rFonts w:eastAsia="Times New Roman" w:cs="Times New Roman"/>
          <w:sz w:val="24"/>
          <w:szCs w:val="24"/>
        </w:rPr>
        <w:t xml:space="preserve">hained imputations could not be performed in South Africa due to the lack of </w:t>
      </w:r>
      <w:r w:rsidR="00031029" w:rsidRPr="001C7415">
        <w:rPr>
          <w:rFonts w:eastAsia="Times New Roman" w:cs="Times New Roman"/>
          <w:sz w:val="24"/>
          <w:szCs w:val="24"/>
        </w:rPr>
        <w:lastRenderedPageBreak/>
        <w:t>data in both the imputed values as well as in the variables included in the imputation model</w:t>
      </w:r>
      <w:r w:rsidR="00031029">
        <w:rPr>
          <w:rFonts w:eastAsia="Times New Roman" w:cs="Times New Roman"/>
          <w:sz w:val="24"/>
          <w:szCs w:val="24"/>
        </w:rPr>
        <w:t xml:space="preserve">. </w:t>
      </w:r>
      <w:r w:rsidR="003E0130">
        <w:rPr>
          <w:rFonts w:eastAsia="Times New Roman" w:cs="Times New Roman"/>
          <w:sz w:val="24"/>
          <w:szCs w:val="24"/>
        </w:rPr>
        <w:t>All</w:t>
      </w:r>
      <w:r w:rsidR="004476CB" w:rsidRPr="00C41C6F">
        <w:rPr>
          <w:rFonts w:eastAsia="Times New Roman" w:cs="Times New Roman"/>
          <w:sz w:val="24"/>
          <w:szCs w:val="24"/>
        </w:rPr>
        <w:t xml:space="preserve"> </w:t>
      </w:r>
      <w:r w:rsidR="006C457B">
        <w:rPr>
          <w:rFonts w:eastAsia="Times New Roman" w:cs="Times New Roman"/>
          <w:sz w:val="24"/>
          <w:szCs w:val="24"/>
        </w:rPr>
        <w:t>participant</w:t>
      </w:r>
      <w:r w:rsidR="004476CB" w:rsidRPr="00C41C6F">
        <w:rPr>
          <w:rFonts w:eastAsia="Times New Roman" w:cs="Times New Roman"/>
          <w:sz w:val="24"/>
          <w:szCs w:val="24"/>
        </w:rPr>
        <w:t xml:space="preserve"> cost data </w:t>
      </w:r>
      <w:r w:rsidR="003E0130">
        <w:rPr>
          <w:rFonts w:eastAsia="Times New Roman" w:cs="Times New Roman"/>
          <w:sz w:val="24"/>
          <w:szCs w:val="24"/>
        </w:rPr>
        <w:t xml:space="preserve">analysis </w:t>
      </w:r>
      <w:r w:rsidR="00454F49" w:rsidRPr="00C41C6F">
        <w:rPr>
          <w:rFonts w:eastAsia="Times New Roman" w:cs="Times New Roman"/>
          <w:sz w:val="24"/>
          <w:szCs w:val="24"/>
        </w:rPr>
        <w:t xml:space="preserve">was </w:t>
      </w:r>
      <w:r w:rsidR="004476CB" w:rsidRPr="00C41C6F">
        <w:rPr>
          <w:rFonts w:eastAsia="Times New Roman" w:cs="Times New Roman"/>
          <w:sz w:val="24"/>
          <w:szCs w:val="24"/>
        </w:rPr>
        <w:t>performed</w:t>
      </w:r>
      <w:r w:rsidR="00454F49" w:rsidRPr="00C41C6F">
        <w:rPr>
          <w:rFonts w:eastAsia="Times New Roman" w:cs="Times New Roman"/>
          <w:sz w:val="24"/>
          <w:szCs w:val="24"/>
        </w:rPr>
        <w:t xml:space="preserve"> in Stata v.15.1</w:t>
      </w:r>
      <w:r w:rsidR="008665EB">
        <w:rPr>
          <w:rFonts w:eastAsia="Times New Roman" w:cs="Times New Roman"/>
          <w:sz w:val="24"/>
          <w:szCs w:val="24"/>
        </w:rPr>
        <w:t xml:space="preserve"> (Stata Corp.,</w:t>
      </w:r>
      <w:r w:rsidR="00480EC7">
        <w:rPr>
          <w:rFonts w:eastAsia="Times New Roman" w:cs="Times New Roman"/>
          <w:sz w:val="24"/>
          <w:szCs w:val="24"/>
        </w:rPr>
        <w:t xml:space="preserve"> USA)</w:t>
      </w:r>
      <w:r w:rsidR="00454F49" w:rsidRPr="00C41C6F">
        <w:rPr>
          <w:rFonts w:eastAsia="Times New Roman" w:cs="Times New Roman"/>
          <w:sz w:val="24"/>
          <w:szCs w:val="24"/>
        </w:rPr>
        <w:t xml:space="preserve">. </w:t>
      </w:r>
    </w:p>
    <w:p w14:paraId="6D537832" w14:textId="7F1899D4" w:rsidR="00286E14" w:rsidRDefault="00417965" w:rsidP="00815142">
      <w:pPr>
        <w:spacing w:line="480" w:lineRule="auto"/>
        <w:rPr>
          <w:rFonts w:eastAsia="Times New Roman" w:cs="Times New Roman"/>
          <w:sz w:val="24"/>
          <w:szCs w:val="24"/>
        </w:rPr>
      </w:pPr>
      <w:bookmarkStart w:id="14" w:name="_Hlk27145035"/>
      <w:r>
        <w:rPr>
          <w:rFonts w:eastAsia="Times New Roman" w:cs="Times New Roman"/>
          <w:sz w:val="24"/>
          <w:szCs w:val="24"/>
        </w:rPr>
        <w:t xml:space="preserve">MDR-TB treatment </w:t>
      </w:r>
      <w:r w:rsidR="006A03F8">
        <w:rPr>
          <w:rFonts w:eastAsia="Times New Roman" w:cs="Times New Roman"/>
          <w:sz w:val="24"/>
          <w:szCs w:val="24"/>
        </w:rPr>
        <w:t xml:space="preserve">has an </w:t>
      </w:r>
      <w:r>
        <w:rPr>
          <w:rFonts w:eastAsia="Times New Roman" w:cs="Times New Roman"/>
          <w:sz w:val="24"/>
          <w:szCs w:val="24"/>
        </w:rPr>
        <w:t>intensive phase</w:t>
      </w:r>
      <w:r w:rsidR="006A03F8">
        <w:rPr>
          <w:rFonts w:eastAsia="Times New Roman" w:cs="Times New Roman"/>
          <w:sz w:val="24"/>
          <w:szCs w:val="24"/>
        </w:rPr>
        <w:t xml:space="preserve"> consisting of at least five different daily antibiotics, including an injectable, </w:t>
      </w:r>
      <w:r>
        <w:rPr>
          <w:rFonts w:eastAsia="Times New Roman" w:cs="Times New Roman"/>
          <w:sz w:val="24"/>
          <w:szCs w:val="24"/>
        </w:rPr>
        <w:t xml:space="preserve">followed by </w:t>
      </w:r>
      <w:r w:rsidR="006A03F8">
        <w:rPr>
          <w:rFonts w:eastAsia="Times New Roman" w:cs="Times New Roman"/>
          <w:sz w:val="24"/>
          <w:szCs w:val="24"/>
        </w:rPr>
        <w:t xml:space="preserve">a </w:t>
      </w:r>
      <w:r>
        <w:rPr>
          <w:rFonts w:eastAsia="Times New Roman" w:cs="Times New Roman"/>
          <w:sz w:val="24"/>
          <w:szCs w:val="24"/>
        </w:rPr>
        <w:t>continuation phase</w:t>
      </w:r>
      <w:r w:rsidR="006A03F8">
        <w:rPr>
          <w:rFonts w:eastAsia="Times New Roman" w:cs="Times New Roman"/>
          <w:sz w:val="24"/>
          <w:szCs w:val="24"/>
        </w:rPr>
        <w:t xml:space="preserve"> consisting of at least four different oral antibiotics</w:t>
      </w:r>
      <w:r>
        <w:rPr>
          <w:rFonts w:eastAsia="Times New Roman" w:cs="Times New Roman"/>
          <w:sz w:val="24"/>
          <w:szCs w:val="24"/>
        </w:rPr>
        <w:t xml:space="preserve">. </w:t>
      </w:r>
      <w:r w:rsidR="006A03F8">
        <w:rPr>
          <w:rFonts w:eastAsia="Times New Roman" w:cs="Times New Roman"/>
          <w:sz w:val="24"/>
          <w:szCs w:val="24"/>
        </w:rPr>
        <w:t>The intensive phase is expected to be costlier to patients</w:t>
      </w:r>
      <w:r w:rsidR="00BD4B44">
        <w:rPr>
          <w:rFonts w:eastAsia="Times New Roman" w:cs="Times New Roman"/>
          <w:sz w:val="24"/>
          <w:szCs w:val="24"/>
        </w:rPr>
        <w:t xml:space="preserve"> because of the need to frequently attend a health facility for administration of injections.  For this reason, and because of the greater risk of </w:t>
      </w:r>
      <w:r w:rsidR="00C50F02">
        <w:rPr>
          <w:rFonts w:eastAsia="Times New Roman" w:cs="Times New Roman"/>
          <w:sz w:val="24"/>
          <w:szCs w:val="24"/>
        </w:rPr>
        <w:t xml:space="preserve">medication </w:t>
      </w:r>
      <w:r w:rsidR="00BD4B44">
        <w:rPr>
          <w:rFonts w:eastAsia="Times New Roman" w:cs="Times New Roman"/>
          <w:sz w:val="24"/>
          <w:szCs w:val="24"/>
        </w:rPr>
        <w:t>side effects, the intensive phase is expected to be less well tolerated.</w:t>
      </w:r>
    </w:p>
    <w:bookmarkEnd w:id="14"/>
    <w:p w14:paraId="0D0088C5" w14:textId="77777777" w:rsidR="00495082" w:rsidRPr="008D576F" w:rsidRDefault="00495082" w:rsidP="00815142">
      <w:pPr>
        <w:spacing w:line="480" w:lineRule="auto"/>
        <w:rPr>
          <w:rFonts w:ascii="Arial" w:hAnsi="Arial" w:cs="Arial"/>
        </w:rPr>
      </w:pPr>
    </w:p>
    <w:p w14:paraId="777F68CA" w14:textId="42E99685" w:rsidR="00887194" w:rsidRPr="00815142" w:rsidRDefault="00F031C6" w:rsidP="00815142">
      <w:pPr>
        <w:spacing w:line="480" w:lineRule="auto"/>
        <w:jc w:val="center"/>
        <w:rPr>
          <w:rFonts w:eastAsia="Times New Roman" w:cs="Times New Roman"/>
          <w:sz w:val="28"/>
          <w:szCs w:val="28"/>
        </w:rPr>
      </w:pPr>
      <w:r w:rsidRPr="00815142">
        <w:rPr>
          <w:rFonts w:eastAsia="Times New Roman" w:cs="Times New Roman"/>
          <w:sz w:val="28"/>
          <w:szCs w:val="28"/>
        </w:rPr>
        <w:t>R</w:t>
      </w:r>
      <w:r w:rsidR="009A2CBC" w:rsidRPr="00815142">
        <w:rPr>
          <w:rFonts w:eastAsia="Times New Roman" w:cs="Times New Roman"/>
          <w:sz w:val="28"/>
          <w:szCs w:val="28"/>
        </w:rPr>
        <w:t>ESULTS</w:t>
      </w:r>
    </w:p>
    <w:p w14:paraId="6DE408A3" w14:textId="16405358" w:rsidR="00887194" w:rsidRPr="00C41C6F" w:rsidRDefault="009A2CBC" w:rsidP="00815142">
      <w:pPr>
        <w:spacing w:line="480" w:lineRule="auto"/>
        <w:rPr>
          <w:rFonts w:eastAsia="Times New Roman" w:cs="Times New Roman"/>
          <w:sz w:val="24"/>
          <w:szCs w:val="24"/>
        </w:rPr>
      </w:pPr>
      <w:r>
        <w:rPr>
          <w:rFonts w:eastAsia="Times New Roman" w:cs="Times New Roman"/>
          <w:sz w:val="24"/>
          <w:szCs w:val="24"/>
        </w:rPr>
        <w:t>HEALTH SYSTEM COSTS</w:t>
      </w:r>
    </w:p>
    <w:p w14:paraId="666C223E" w14:textId="053ACF96" w:rsidR="00ED15EA" w:rsidRDefault="006405F6" w:rsidP="00815142">
      <w:pPr>
        <w:spacing w:after="0" w:line="480" w:lineRule="auto"/>
        <w:rPr>
          <w:rFonts w:eastAsia="Times New Roman" w:cs="Times New Roman"/>
          <w:sz w:val="24"/>
          <w:szCs w:val="24"/>
        </w:rPr>
      </w:pPr>
      <w:r>
        <w:rPr>
          <w:rFonts w:eastAsia="Times New Roman" w:cs="Times New Roman"/>
          <w:sz w:val="24"/>
          <w:szCs w:val="24"/>
        </w:rPr>
        <w:t>Table</w:t>
      </w:r>
      <w:r w:rsidRPr="00C41C6F">
        <w:rPr>
          <w:rFonts w:eastAsia="Times New Roman" w:cs="Times New Roman"/>
          <w:sz w:val="24"/>
          <w:szCs w:val="24"/>
        </w:rPr>
        <w:t xml:space="preserve"> </w:t>
      </w:r>
      <w:r w:rsidR="00DD19C1">
        <w:rPr>
          <w:rFonts w:eastAsia="Times New Roman" w:cs="Times New Roman"/>
          <w:sz w:val="24"/>
          <w:szCs w:val="24"/>
        </w:rPr>
        <w:t>2</w:t>
      </w:r>
      <w:r>
        <w:rPr>
          <w:rFonts w:eastAsia="Times New Roman" w:cs="Times New Roman"/>
          <w:sz w:val="24"/>
          <w:szCs w:val="24"/>
        </w:rPr>
        <w:t xml:space="preserve"> gives </w:t>
      </w:r>
      <w:r w:rsidR="00495082">
        <w:rPr>
          <w:rFonts w:eastAsia="Times New Roman" w:cs="Times New Roman"/>
          <w:sz w:val="24"/>
          <w:szCs w:val="24"/>
        </w:rPr>
        <w:t>the</w:t>
      </w:r>
      <w:r>
        <w:rPr>
          <w:rFonts w:eastAsia="Times New Roman" w:cs="Times New Roman"/>
          <w:sz w:val="24"/>
          <w:szCs w:val="24"/>
        </w:rPr>
        <w:t xml:space="preserve"> cost breakdown for both regimens</w:t>
      </w:r>
      <w:r w:rsidRPr="00C41C6F">
        <w:rPr>
          <w:rFonts w:eastAsia="Times New Roman" w:cs="Times New Roman"/>
          <w:sz w:val="24"/>
          <w:szCs w:val="24"/>
        </w:rPr>
        <w:t>.</w:t>
      </w:r>
      <w:r>
        <w:rPr>
          <w:rFonts w:eastAsia="Times New Roman" w:cs="Times New Roman"/>
          <w:sz w:val="24"/>
          <w:szCs w:val="24"/>
        </w:rPr>
        <w:t xml:space="preserve"> </w:t>
      </w:r>
      <w:r w:rsidR="006406DB" w:rsidRPr="00C41C6F">
        <w:rPr>
          <w:rFonts w:eastAsia="Times New Roman" w:cs="Times New Roman"/>
          <w:sz w:val="24"/>
          <w:szCs w:val="24"/>
        </w:rPr>
        <w:t xml:space="preserve">The </w:t>
      </w:r>
      <w:r w:rsidR="00F3560B" w:rsidRPr="00C41C6F">
        <w:rPr>
          <w:rFonts w:eastAsia="Times New Roman" w:cs="Times New Roman"/>
          <w:sz w:val="24"/>
          <w:szCs w:val="24"/>
        </w:rPr>
        <w:t>Short</w:t>
      </w:r>
      <w:r w:rsidR="00007EA7">
        <w:rPr>
          <w:rFonts w:eastAsia="Times New Roman" w:cs="Times New Roman"/>
          <w:sz w:val="24"/>
          <w:szCs w:val="24"/>
        </w:rPr>
        <w:t>-</w:t>
      </w:r>
      <w:r w:rsidR="007F778A">
        <w:rPr>
          <w:rFonts w:eastAsia="Times New Roman" w:cs="Times New Roman"/>
          <w:sz w:val="24"/>
          <w:szCs w:val="24"/>
        </w:rPr>
        <w:t>r</w:t>
      </w:r>
      <w:r w:rsidR="006406DB" w:rsidRPr="00C41C6F">
        <w:rPr>
          <w:rFonts w:eastAsia="Times New Roman" w:cs="Times New Roman"/>
          <w:sz w:val="24"/>
          <w:szCs w:val="24"/>
        </w:rPr>
        <w:t>egimen re</w:t>
      </w:r>
      <w:r w:rsidR="00DE5FB3">
        <w:rPr>
          <w:rFonts w:eastAsia="Times New Roman" w:cs="Times New Roman"/>
          <w:sz w:val="24"/>
          <w:szCs w:val="24"/>
        </w:rPr>
        <w:t>duced</w:t>
      </w:r>
      <w:r>
        <w:rPr>
          <w:rFonts w:eastAsia="Times New Roman" w:cs="Times New Roman"/>
          <w:sz w:val="24"/>
          <w:szCs w:val="24"/>
        </w:rPr>
        <w:t xml:space="preserve"> t</w:t>
      </w:r>
      <w:r w:rsidRPr="00C41C6F">
        <w:rPr>
          <w:rFonts w:eastAsia="Times New Roman" w:cs="Times New Roman"/>
          <w:sz w:val="24"/>
          <w:szCs w:val="24"/>
        </w:rPr>
        <w:t xml:space="preserve">he total cost </w:t>
      </w:r>
      <w:r>
        <w:rPr>
          <w:rFonts w:eastAsia="Times New Roman" w:cs="Times New Roman"/>
          <w:sz w:val="24"/>
          <w:szCs w:val="24"/>
        </w:rPr>
        <w:t>of treatment</w:t>
      </w:r>
      <w:r w:rsidRPr="00C41C6F">
        <w:rPr>
          <w:rFonts w:eastAsia="Times New Roman" w:cs="Times New Roman"/>
          <w:sz w:val="24"/>
          <w:szCs w:val="24"/>
        </w:rPr>
        <w:t xml:space="preserve"> per </w:t>
      </w:r>
      <w:r w:rsidR="006C457B">
        <w:rPr>
          <w:rFonts w:eastAsia="Times New Roman" w:cs="Times New Roman"/>
          <w:sz w:val="24"/>
          <w:szCs w:val="24"/>
        </w:rPr>
        <w:t>participant</w:t>
      </w:r>
      <w:r>
        <w:rPr>
          <w:rFonts w:eastAsia="Times New Roman" w:cs="Times New Roman"/>
          <w:sz w:val="24"/>
          <w:szCs w:val="24"/>
        </w:rPr>
        <w:t xml:space="preserve"> by </w:t>
      </w:r>
      <w:r w:rsidR="00035C0A">
        <w:rPr>
          <w:rFonts w:eastAsia="Times New Roman" w:cs="Times New Roman"/>
          <w:sz w:val="24"/>
          <w:szCs w:val="24"/>
        </w:rPr>
        <w:t>2</w:t>
      </w:r>
      <w:r w:rsidR="00BF0A25">
        <w:rPr>
          <w:rFonts w:eastAsia="Times New Roman" w:cs="Times New Roman"/>
          <w:sz w:val="24"/>
          <w:szCs w:val="24"/>
        </w:rPr>
        <w:t>1</w:t>
      </w:r>
      <w:r>
        <w:rPr>
          <w:rFonts w:eastAsia="Times New Roman" w:cs="Times New Roman"/>
          <w:sz w:val="24"/>
          <w:szCs w:val="24"/>
        </w:rPr>
        <w:t>% in South Africa (</w:t>
      </w:r>
      <w:r w:rsidRPr="00C41C6F">
        <w:rPr>
          <w:rFonts w:eastAsia="Times New Roman" w:cs="Times New Roman"/>
          <w:sz w:val="24"/>
          <w:szCs w:val="24"/>
        </w:rPr>
        <w:t>US$</w:t>
      </w:r>
      <w:r w:rsidR="00035C0A">
        <w:rPr>
          <w:rFonts w:eastAsia="Times New Roman" w:cs="Times New Roman"/>
          <w:sz w:val="24"/>
          <w:szCs w:val="24"/>
        </w:rPr>
        <w:t>8</w:t>
      </w:r>
      <w:r>
        <w:rPr>
          <w:rFonts w:eastAsia="Times New Roman" w:cs="Times New Roman"/>
          <w:sz w:val="24"/>
          <w:szCs w:val="24"/>
        </w:rPr>
        <w:t>,</w:t>
      </w:r>
      <w:r w:rsidR="00BF0A25">
        <w:rPr>
          <w:rFonts w:eastAsia="Times New Roman" w:cs="Times New Roman"/>
          <w:sz w:val="24"/>
          <w:szCs w:val="24"/>
        </w:rPr>
        <w:t>341</w:t>
      </w:r>
      <w:r w:rsidRPr="00C41C6F">
        <w:rPr>
          <w:rFonts w:eastAsia="Times New Roman" w:cs="Times New Roman"/>
          <w:sz w:val="24"/>
          <w:szCs w:val="24"/>
        </w:rPr>
        <w:t xml:space="preserve"> </w:t>
      </w:r>
      <w:r w:rsidR="00AD52C9">
        <w:rPr>
          <w:rFonts w:eastAsia="Times New Roman" w:cs="Times New Roman"/>
          <w:sz w:val="24"/>
          <w:szCs w:val="24"/>
        </w:rPr>
        <w:t xml:space="preserve">Long </w:t>
      </w:r>
      <w:r w:rsidRPr="00B25397">
        <w:rPr>
          <w:rFonts w:eastAsia="Times New Roman" w:cs="Times New Roman"/>
          <w:i/>
          <w:sz w:val="24"/>
          <w:szCs w:val="24"/>
        </w:rPr>
        <w:t>vs</w:t>
      </w:r>
      <w:r>
        <w:rPr>
          <w:rFonts w:eastAsia="Times New Roman" w:cs="Times New Roman"/>
          <w:sz w:val="24"/>
          <w:szCs w:val="24"/>
        </w:rPr>
        <w:t xml:space="preserve"> </w:t>
      </w:r>
      <w:r w:rsidRPr="00C41C6F">
        <w:rPr>
          <w:rFonts w:eastAsia="Times New Roman" w:cs="Times New Roman"/>
          <w:sz w:val="24"/>
          <w:szCs w:val="24"/>
        </w:rPr>
        <w:t>US$</w:t>
      </w:r>
      <w:r w:rsidR="00035C0A">
        <w:rPr>
          <w:rFonts w:eastAsia="Times New Roman" w:cs="Times New Roman"/>
          <w:sz w:val="24"/>
          <w:szCs w:val="24"/>
        </w:rPr>
        <w:t>6</w:t>
      </w:r>
      <w:r>
        <w:rPr>
          <w:rFonts w:eastAsia="Times New Roman" w:cs="Times New Roman"/>
          <w:sz w:val="24"/>
          <w:szCs w:val="24"/>
        </w:rPr>
        <w:t>,</w:t>
      </w:r>
      <w:r w:rsidR="00BF0A25">
        <w:rPr>
          <w:rFonts w:eastAsia="Times New Roman" w:cs="Times New Roman"/>
          <w:sz w:val="24"/>
          <w:szCs w:val="24"/>
        </w:rPr>
        <w:t>619</w:t>
      </w:r>
      <w:r w:rsidR="0098309C">
        <w:rPr>
          <w:rFonts w:eastAsia="Times New Roman" w:cs="Times New Roman"/>
          <w:sz w:val="24"/>
          <w:szCs w:val="24"/>
        </w:rPr>
        <w:t xml:space="preserve"> </w:t>
      </w:r>
      <w:r w:rsidR="001901EA">
        <w:rPr>
          <w:rFonts w:eastAsia="Times New Roman" w:cs="Times New Roman"/>
          <w:sz w:val="24"/>
          <w:szCs w:val="24"/>
        </w:rPr>
        <w:t>Short</w:t>
      </w:r>
      <w:r>
        <w:rPr>
          <w:rFonts w:eastAsia="Times New Roman" w:cs="Times New Roman"/>
          <w:sz w:val="24"/>
          <w:szCs w:val="24"/>
        </w:rPr>
        <w:t>)</w:t>
      </w:r>
      <w:r w:rsidR="00D67A87" w:rsidRPr="00C41C6F">
        <w:rPr>
          <w:rFonts w:eastAsia="Times New Roman" w:cs="Times New Roman"/>
          <w:sz w:val="24"/>
          <w:szCs w:val="24"/>
        </w:rPr>
        <w:t xml:space="preserve"> </w:t>
      </w:r>
      <w:r w:rsidR="0036485D" w:rsidRPr="00C41C6F">
        <w:rPr>
          <w:rFonts w:eastAsia="Times New Roman" w:cs="Times New Roman"/>
          <w:sz w:val="24"/>
          <w:szCs w:val="24"/>
        </w:rPr>
        <w:t xml:space="preserve">and </w:t>
      </w:r>
      <w:r>
        <w:rPr>
          <w:rFonts w:eastAsia="Times New Roman" w:cs="Times New Roman"/>
          <w:sz w:val="24"/>
          <w:szCs w:val="24"/>
        </w:rPr>
        <w:t>2</w:t>
      </w:r>
      <w:r w:rsidR="002344DE">
        <w:rPr>
          <w:rFonts w:eastAsia="Times New Roman" w:cs="Times New Roman"/>
          <w:sz w:val="24"/>
          <w:szCs w:val="24"/>
        </w:rPr>
        <w:t>5</w:t>
      </w:r>
      <w:r>
        <w:rPr>
          <w:rFonts w:eastAsia="Times New Roman" w:cs="Times New Roman"/>
          <w:sz w:val="24"/>
          <w:szCs w:val="24"/>
        </w:rPr>
        <w:t>% in Ethiopia (US</w:t>
      </w:r>
      <w:r w:rsidRPr="00C41C6F">
        <w:rPr>
          <w:rFonts w:eastAsia="Times New Roman" w:cs="Times New Roman"/>
          <w:sz w:val="24"/>
          <w:szCs w:val="24"/>
        </w:rPr>
        <w:t>$</w:t>
      </w:r>
      <w:r w:rsidR="00035C0A">
        <w:rPr>
          <w:rFonts w:eastAsia="Times New Roman" w:cs="Times New Roman"/>
          <w:sz w:val="24"/>
          <w:szCs w:val="24"/>
        </w:rPr>
        <w:t>6,097</w:t>
      </w:r>
      <w:r w:rsidR="008665EB" w:rsidRPr="00C41C6F">
        <w:rPr>
          <w:rFonts w:eastAsia="Times New Roman" w:cs="Times New Roman"/>
          <w:sz w:val="24"/>
          <w:szCs w:val="24"/>
        </w:rPr>
        <w:t xml:space="preserve"> </w:t>
      </w:r>
      <w:r w:rsidR="00AD52C9">
        <w:rPr>
          <w:rFonts w:eastAsia="Times New Roman" w:cs="Times New Roman"/>
          <w:sz w:val="24"/>
          <w:szCs w:val="24"/>
        </w:rPr>
        <w:t xml:space="preserve">Long </w:t>
      </w:r>
      <w:r w:rsidR="008665EB" w:rsidRPr="00B25397">
        <w:rPr>
          <w:rFonts w:eastAsia="Times New Roman" w:cs="Times New Roman"/>
          <w:i/>
          <w:sz w:val="24"/>
          <w:szCs w:val="24"/>
        </w:rPr>
        <w:t>vs</w:t>
      </w:r>
      <w:r>
        <w:rPr>
          <w:rFonts w:eastAsia="Times New Roman" w:cs="Times New Roman"/>
          <w:sz w:val="24"/>
          <w:szCs w:val="24"/>
        </w:rPr>
        <w:t xml:space="preserve"> </w:t>
      </w:r>
      <w:r w:rsidR="00405BF4">
        <w:rPr>
          <w:rFonts w:eastAsia="Times New Roman" w:cs="Times New Roman"/>
          <w:sz w:val="24"/>
          <w:szCs w:val="24"/>
        </w:rPr>
        <w:t>US</w:t>
      </w:r>
      <w:r w:rsidR="0036485D" w:rsidRPr="00C41C6F">
        <w:rPr>
          <w:rFonts w:eastAsia="Times New Roman" w:cs="Times New Roman"/>
          <w:sz w:val="24"/>
          <w:szCs w:val="24"/>
        </w:rPr>
        <w:t>$4,</w:t>
      </w:r>
      <w:r w:rsidR="00035C0A">
        <w:rPr>
          <w:rFonts w:eastAsia="Times New Roman" w:cs="Times New Roman"/>
          <w:sz w:val="24"/>
          <w:szCs w:val="24"/>
        </w:rPr>
        <w:t>5</w:t>
      </w:r>
      <w:r w:rsidR="00BF0A25">
        <w:rPr>
          <w:rFonts w:eastAsia="Times New Roman" w:cs="Times New Roman"/>
          <w:sz w:val="24"/>
          <w:szCs w:val="24"/>
        </w:rPr>
        <w:t>52</w:t>
      </w:r>
      <w:r w:rsidR="0098309C">
        <w:rPr>
          <w:rFonts w:eastAsia="Times New Roman" w:cs="Times New Roman"/>
          <w:sz w:val="24"/>
          <w:szCs w:val="24"/>
        </w:rPr>
        <w:t xml:space="preserve"> </w:t>
      </w:r>
      <w:r w:rsidR="001901EA">
        <w:rPr>
          <w:rFonts w:eastAsia="Times New Roman" w:cs="Times New Roman"/>
          <w:sz w:val="24"/>
          <w:szCs w:val="24"/>
        </w:rPr>
        <w:t>Short</w:t>
      </w:r>
      <w:r>
        <w:rPr>
          <w:rFonts w:eastAsia="Times New Roman" w:cs="Times New Roman"/>
          <w:sz w:val="24"/>
          <w:szCs w:val="24"/>
        </w:rPr>
        <w:t>)</w:t>
      </w:r>
      <w:r w:rsidR="00F222EF" w:rsidRPr="00C41C6F">
        <w:rPr>
          <w:rFonts w:eastAsia="Times New Roman" w:cs="Times New Roman"/>
          <w:sz w:val="24"/>
          <w:szCs w:val="24"/>
        </w:rPr>
        <w:t>.</w:t>
      </w:r>
      <w:r w:rsidR="002C41D9" w:rsidRPr="00C41C6F">
        <w:rPr>
          <w:rFonts w:eastAsia="Times New Roman" w:cs="Times New Roman"/>
          <w:sz w:val="24"/>
          <w:szCs w:val="24"/>
        </w:rPr>
        <w:t xml:space="preserve"> </w:t>
      </w:r>
      <w:r w:rsidR="00F222EF" w:rsidRPr="00C41C6F">
        <w:rPr>
          <w:rFonts w:eastAsia="Times New Roman" w:cs="Times New Roman"/>
          <w:sz w:val="24"/>
          <w:szCs w:val="24"/>
        </w:rPr>
        <w:t xml:space="preserve"> </w:t>
      </w:r>
      <w:r w:rsidR="0036485D" w:rsidRPr="00C41C6F">
        <w:rPr>
          <w:rFonts w:eastAsia="Times New Roman" w:cs="Times New Roman"/>
          <w:sz w:val="24"/>
          <w:szCs w:val="24"/>
        </w:rPr>
        <w:t>The proportion of this saving occurring in the continuation</w:t>
      </w:r>
      <w:r w:rsidR="00F85471">
        <w:rPr>
          <w:rFonts w:eastAsia="Times New Roman" w:cs="Times New Roman"/>
          <w:sz w:val="24"/>
          <w:szCs w:val="24"/>
        </w:rPr>
        <w:t xml:space="preserve"> phase</w:t>
      </w:r>
      <w:r w:rsidR="0036485D" w:rsidRPr="00C41C6F">
        <w:rPr>
          <w:rFonts w:eastAsia="Times New Roman" w:cs="Times New Roman"/>
          <w:sz w:val="24"/>
          <w:szCs w:val="24"/>
        </w:rPr>
        <w:t xml:space="preserve"> </w:t>
      </w:r>
      <w:r w:rsidR="000F7CEB" w:rsidRPr="00C41C6F">
        <w:rPr>
          <w:rFonts w:eastAsia="Times New Roman" w:cs="Times New Roman"/>
          <w:sz w:val="24"/>
          <w:szCs w:val="24"/>
        </w:rPr>
        <w:t xml:space="preserve">was </w:t>
      </w:r>
      <w:r w:rsidR="00BF0A25">
        <w:rPr>
          <w:rFonts w:eastAsia="Times New Roman" w:cs="Times New Roman"/>
          <w:sz w:val="24"/>
          <w:szCs w:val="24"/>
        </w:rPr>
        <w:t>85</w:t>
      </w:r>
      <w:r w:rsidR="0036485D" w:rsidRPr="00C41C6F">
        <w:rPr>
          <w:rFonts w:eastAsia="Times New Roman" w:cs="Times New Roman"/>
          <w:sz w:val="24"/>
          <w:szCs w:val="24"/>
        </w:rPr>
        <w:t>% in South Africa and 6</w:t>
      </w:r>
      <w:r w:rsidR="00667CAB">
        <w:rPr>
          <w:rFonts w:eastAsia="Times New Roman" w:cs="Times New Roman"/>
          <w:sz w:val="24"/>
          <w:szCs w:val="24"/>
        </w:rPr>
        <w:t>1</w:t>
      </w:r>
      <w:r w:rsidR="0036485D" w:rsidRPr="00C41C6F">
        <w:rPr>
          <w:rFonts w:eastAsia="Times New Roman" w:cs="Times New Roman"/>
          <w:sz w:val="24"/>
          <w:szCs w:val="24"/>
        </w:rPr>
        <w:t>% in Ethiopi</w:t>
      </w:r>
      <w:r w:rsidR="002C41D9" w:rsidRPr="00C41C6F">
        <w:rPr>
          <w:rFonts w:eastAsia="Times New Roman" w:cs="Times New Roman"/>
          <w:sz w:val="24"/>
          <w:szCs w:val="24"/>
        </w:rPr>
        <w:t>a</w:t>
      </w:r>
      <w:r w:rsidR="006F6D9D">
        <w:rPr>
          <w:rFonts w:eastAsia="Times New Roman" w:cs="Times New Roman"/>
          <w:sz w:val="24"/>
          <w:szCs w:val="24"/>
        </w:rPr>
        <w:t xml:space="preserve"> (Figure 1)</w:t>
      </w:r>
      <w:r w:rsidR="002C41D9" w:rsidRPr="00C41C6F">
        <w:rPr>
          <w:rFonts w:eastAsia="Times New Roman" w:cs="Times New Roman"/>
          <w:sz w:val="24"/>
          <w:szCs w:val="24"/>
        </w:rPr>
        <w:t xml:space="preserve">. </w:t>
      </w:r>
      <w:bookmarkStart w:id="15" w:name="_Hlk522553283"/>
      <w:r w:rsidR="002C41D9" w:rsidRPr="00C41C6F">
        <w:rPr>
          <w:rFonts w:eastAsia="Times New Roman" w:cs="Times New Roman"/>
          <w:sz w:val="24"/>
          <w:szCs w:val="24"/>
        </w:rPr>
        <w:t xml:space="preserve">The saving in South Africa was primarily from </w:t>
      </w:r>
      <w:r w:rsidR="00AD52C9">
        <w:rPr>
          <w:rFonts w:eastAsia="Times New Roman" w:cs="Times New Roman"/>
          <w:sz w:val="24"/>
          <w:szCs w:val="24"/>
        </w:rPr>
        <w:t xml:space="preserve">a reduction in the costs of </w:t>
      </w:r>
      <w:r w:rsidR="002C41D9" w:rsidRPr="00C41C6F">
        <w:rPr>
          <w:rFonts w:eastAsia="Times New Roman" w:cs="Times New Roman"/>
          <w:sz w:val="24"/>
          <w:szCs w:val="24"/>
        </w:rPr>
        <w:t>medication (</w:t>
      </w:r>
      <w:r w:rsidR="00D50C8E">
        <w:rPr>
          <w:rFonts w:eastAsia="Times New Roman" w:cs="Times New Roman"/>
          <w:sz w:val="24"/>
          <w:szCs w:val="24"/>
        </w:rPr>
        <w:t>6</w:t>
      </w:r>
      <w:r w:rsidR="00BF0A25">
        <w:rPr>
          <w:rFonts w:eastAsia="Times New Roman" w:cs="Times New Roman"/>
          <w:sz w:val="24"/>
          <w:szCs w:val="24"/>
        </w:rPr>
        <w:t>7</w:t>
      </w:r>
      <w:r w:rsidR="002344DE">
        <w:rPr>
          <w:rFonts w:eastAsia="Times New Roman" w:cs="Times New Roman"/>
          <w:sz w:val="24"/>
          <w:szCs w:val="24"/>
        </w:rPr>
        <w:t>%</w:t>
      </w:r>
      <w:r w:rsidR="00391B34">
        <w:rPr>
          <w:rFonts w:eastAsia="Times New Roman" w:cs="Times New Roman"/>
          <w:sz w:val="24"/>
          <w:szCs w:val="24"/>
        </w:rPr>
        <w:t>) and staff</w:t>
      </w:r>
      <w:r w:rsidR="007A4ED4">
        <w:rPr>
          <w:rFonts w:eastAsia="Times New Roman" w:cs="Times New Roman"/>
          <w:sz w:val="24"/>
          <w:szCs w:val="24"/>
        </w:rPr>
        <w:t xml:space="preserve"> </w:t>
      </w:r>
      <w:r w:rsidR="002C41D9" w:rsidRPr="00C41C6F">
        <w:rPr>
          <w:rFonts w:eastAsia="Times New Roman" w:cs="Times New Roman"/>
          <w:sz w:val="24"/>
          <w:szCs w:val="24"/>
        </w:rPr>
        <w:t>(3</w:t>
      </w:r>
      <w:r w:rsidR="00BF0A25">
        <w:rPr>
          <w:rFonts w:eastAsia="Times New Roman" w:cs="Times New Roman"/>
          <w:sz w:val="24"/>
          <w:szCs w:val="24"/>
        </w:rPr>
        <w:t>6</w:t>
      </w:r>
      <w:r w:rsidR="002C41D9" w:rsidRPr="00C41C6F">
        <w:rPr>
          <w:rFonts w:eastAsia="Times New Roman" w:cs="Times New Roman"/>
          <w:sz w:val="24"/>
          <w:szCs w:val="24"/>
        </w:rPr>
        <w:t xml:space="preserve">%), and in Ethiopia was primarily from </w:t>
      </w:r>
      <w:r w:rsidR="00AD52C9">
        <w:rPr>
          <w:rFonts w:eastAsia="Times New Roman" w:cs="Times New Roman"/>
          <w:sz w:val="24"/>
          <w:szCs w:val="24"/>
        </w:rPr>
        <w:t xml:space="preserve">savings in </w:t>
      </w:r>
      <w:r w:rsidR="002C41D9" w:rsidRPr="00C41C6F">
        <w:rPr>
          <w:rFonts w:eastAsia="Times New Roman" w:cs="Times New Roman"/>
          <w:sz w:val="24"/>
          <w:szCs w:val="24"/>
        </w:rPr>
        <w:t>social support (3</w:t>
      </w:r>
      <w:r w:rsidR="00B534D4">
        <w:rPr>
          <w:rFonts w:eastAsia="Times New Roman" w:cs="Times New Roman"/>
          <w:sz w:val="24"/>
          <w:szCs w:val="24"/>
        </w:rPr>
        <w:t>5</w:t>
      </w:r>
      <w:r w:rsidR="002C41D9" w:rsidRPr="00C41C6F">
        <w:rPr>
          <w:rFonts w:eastAsia="Times New Roman" w:cs="Times New Roman"/>
          <w:sz w:val="24"/>
          <w:szCs w:val="24"/>
        </w:rPr>
        <w:t>%), laboratory</w:t>
      </w:r>
      <w:r w:rsidR="007A4ED4">
        <w:rPr>
          <w:rFonts w:eastAsia="Times New Roman" w:cs="Times New Roman"/>
          <w:sz w:val="24"/>
          <w:szCs w:val="24"/>
        </w:rPr>
        <w:t xml:space="preserve"> </w:t>
      </w:r>
      <w:r w:rsidR="00AD52C9">
        <w:rPr>
          <w:rFonts w:eastAsia="Times New Roman" w:cs="Times New Roman"/>
          <w:sz w:val="24"/>
          <w:szCs w:val="24"/>
        </w:rPr>
        <w:t xml:space="preserve">spending </w:t>
      </w:r>
      <w:r w:rsidR="002C41D9" w:rsidRPr="00C41C6F">
        <w:rPr>
          <w:rFonts w:eastAsia="Times New Roman" w:cs="Times New Roman"/>
          <w:sz w:val="24"/>
          <w:szCs w:val="24"/>
        </w:rPr>
        <w:t>(</w:t>
      </w:r>
      <w:r w:rsidR="002344DE">
        <w:rPr>
          <w:rFonts w:eastAsia="Times New Roman" w:cs="Times New Roman"/>
          <w:sz w:val="24"/>
          <w:szCs w:val="24"/>
        </w:rPr>
        <w:t>3</w:t>
      </w:r>
      <w:r w:rsidR="00B534D4">
        <w:rPr>
          <w:rFonts w:eastAsia="Times New Roman" w:cs="Times New Roman"/>
          <w:sz w:val="24"/>
          <w:szCs w:val="24"/>
        </w:rPr>
        <w:t>0</w:t>
      </w:r>
      <w:r w:rsidR="002C41D9" w:rsidRPr="00C41C6F">
        <w:rPr>
          <w:rFonts w:eastAsia="Times New Roman" w:cs="Times New Roman"/>
          <w:sz w:val="24"/>
          <w:szCs w:val="24"/>
        </w:rPr>
        <w:t>%), and medication (</w:t>
      </w:r>
      <w:r w:rsidR="002344DE">
        <w:rPr>
          <w:rFonts w:eastAsia="Times New Roman" w:cs="Times New Roman"/>
          <w:sz w:val="24"/>
          <w:szCs w:val="24"/>
        </w:rPr>
        <w:t>20</w:t>
      </w:r>
      <w:r w:rsidR="002C41D9" w:rsidRPr="00C41C6F">
        <w:rPr>
          <w:rFonts w:eastAsia="Times New Roman" w:cs="Times New Roman"/>
          <w:sz w:val="24"/>
          <w:szCs w:val="24"/>
        </w:rPr>
        <w:t>%)</w:t>
      </w:r>
      <w:r w:rsidR="000F347C" w:rsidRPr="00C41C6F">
        <w:rPr>
          <w:rFonts w:eastAsia="Times New Roman" w:cs="Times New Roman"/>
          <w:sz w:val="24"/>
          <w:szCs w:val="24"/>
        </w:rPr>
        <w:t>.</w:t>
      </w:r>
      <w:r w:rsidR="000F7CEB" w:rsidRPr="00C41C6F">
        <w:rPr>
          <w:rFonts w:eastAsia="Times New Roman" w:cs="Times New Roman"/>
          <w:sz w:val="24"/>
          <w:szCs w:val="24"/>
        </w:rPr>
        <w:t xml:space="preserve"> </w:t>
      </w:r>
      <w:r w:rsidR="00CD652A">
        <w:rPr>
          <w:rFonts w:eastAsia="Times New Roman" w:cs="Times New Roman"/>
          <w:sz w:val="24"/>
          <w:szCs w:val="24"/>
        </w:rPr>
        <w:t>The c</w:t>
      </w:r>
      <w:r w:rsidR="00ED15EA">
        <w:rPr>
          <w:rFonts w:eastAsia="Times New Roman" w:cs="Times New Roman"/>
          <w:sz w:val="24"/>
          <w:szCs w:val="24"/>
        </w:rPr>
        <w:t xml:space="preserve">ardiac safety monitoring costs </w:t>
      </w:r>
      <w:r w:rsidR="00CD652A">
        <w:rPr>
          <w:rFonts w:eastAsia="Times New Roman" w:cs="Times New Roman"/>
          <w:sz w:val="24"/>
          <w:szCs w:val="24"/>
        </w:rPr>
        <w:t>for the Short</w:t>
      </w:r>
      <w:r w:rsidR="00007EA7">
        <w:rPr>
          <w:rFonts w:eastAsia="Times New Roman" w:cs="Times New Roman"/>
          <w:sz w:val="24"/>
          <w:szCs w:val="24"/>
        </w:rPr>
        <w:t>-</w:t>
      </w:r>
      <w:r w:rsidR="00CD652A">
        <w:rPr>
          <w:rFonts w:eastAsia="Times New Roman" w:cs="Times New Roman"/>
          <w:sz w:val="24"/>
          <w:szCs w:val="24"/>
        </w:rPr>
        <w:t xml:space="preserve">regimen </w:t>
      </w:r>
      <w:r w:rsidR="00ED15EA">
        <w:rPr>
          <w:rFonts w:eastAsia="Times New Roman" w:cs="Times New Roman"/>
          <w:sz w:val="24"/>
          <w:szCs w:val="24"/>
        </w:rPr>
        <w:t xml:space="preserve">were </w:t>
      </w:r>
      <w:r w:rsidR="00ED15EA" w:rsidRPr="00815142">
        <w:rPr>
          <w:rFonts w:eastAsia="Times New Roman" w:cs="Times New Roman"/>
          <w:sz w:val="24"/>
          <w:szCs w:val="24"/>
        </w:rPr>
        <w:t>US$</w:t>
      </w:r>
      <w:r w:rsidR="00947AD0">
        <w:rPr>
          <w:rFonts w:eastAsia="Times New Roman" w:cs="Times New Roman"/>
          <w:sz w:val="24"/>
          <w:szCs w:val="24"/>
        </w:rPr>
        <w:t>149</w:t>
      </w:r>
      <w:r w:rsidR="00947AD0">
        <w:t>·</w:t>
      </w:r>
      <w:r w:rsidR="00621FC2">
        <w:rPr>
          <w:rFonts w:eastAsia="Times New Roman" w:cs="Times New Roman"/>
          <w:sz w:val="24"/>
          <w:szCs w:val="24"/>
        </w:rPr>
        <w:t>5</w:t>
      </w:r>
      <w:r w:rsidR="00495082">
        <w:rPr>
          <w:rFonts w:eastAsia="Times New Roman" w:cs="Times New Roman"/>
          <w:sz w:val="24"/>
          <w:szCs w:val="24"/>
        </w:rPr>
        <w:t xml:space="preserve"> per participant</w:t>
      </w:r>
      <w:r w:rsidR="00ED15EA" w:rsidRPr="00815142">
        <w:rPr>
          <w:rFonts w:eastAsia="Times New Roman" w:cs="Times New Roman"/>
          <w:sz w:val="24"/>
          <w:szCs w:val="24"/>
        </w:rPr>
        <w:t xml:space="preserve"> </w:t>
      </w:r>
      <w:r w:rsidR="00ED15EA">
        <w:rPr>
          <w:rFonts w:eastAsia="Times New Roman" w:cs="Times New Roman"/>
          <w:sz w:val="24"/>
          <w:szCs w:val="24"/>
        </w:rPr>
        <w:t>in Ethiopia</w:t>
      </w:r>
      <w:r w:rsidR="00FC3BFA">
        <w:rPr>
          <w:rFonts w:eastAsia="Times New Roman" w:cs="Times New Roman"/>
          <w:sz w:val="24"/>
          <w:szCs w:val="24"/>
        </w:rPr>
        <w:t xml:space="preserve"> and US$150</w:t>
      </w:r>
      <w:r w:rsidR="002159BE">
        <w:t>·</w:t>
      </w:r>
      <w:r w:rsidR="00FC3BFA">
        <w:rPr>
          <w:rFonts w:eastAsia="Times New Roman" w:cs="Times New Roman"/>
          <w:sz w:val="24"/>
          <w:szCs w:val="24"/>
        </w:rPr>
        <w:t>9 in South Africa</w:t>
      </w:r>
      <w:r w:rsidR="00ED15EA">
        <w:rPr>
          <w:rFonts w:eastAsia="Times New Roman" w:cs="Times New Roman"/>
          <w:sz w:val="24"/>
          <w:szCs w:val="24"/>
        </w:rPr>
        <w:t>.</w:t>
      </w:r>
      <w:r w:rsidR="00475D7B">
        <w:rPr>
          <w:rFonts w:eastAsia="Times New Roman" w:cs="Times New Roman"/>
          <w:sz w:val="24"/>
          <w:szCs w:val="24"/>
        </w:rPr>
        <w:t xml:space="preserve"> </w:t>
      </w:r>
    </w:p>
    <w:p w14:paraId="69A27AC0" w14:textId="77777777" w:rsidR="00B03C73" w:rsidRDefault="00B03C73" w:rsidP="00B03C73">
      <w:pPr>
        <w:spacing w:line="480" w:lineRule="auto"/>
        <w:rPr>
          <w:rFonts w:eastAsia="Times New Roman" w:cs="Times New Roman"/>
          <w:sz w:val="24"/>
          <w:szCs w:val="24"/>
        </w:rPr>
      </w:pPr>
    </w:p>
    <w:p w14:paraId="755304BD" w14:textId="3C3A732D" w:rsidR="00B03C73" w:rsidRDefault="00B03C73" w:rsidP="00B03C73">
      <w:pPr>
        <w:spacing w:line="480" w:lineRule="auto"/>
        <w:rPr>
          <w:rFonts w:eastAsia="Times New Roman" w:cs="Times New Roman"/>
          <w:sz w:val="24"/>
          <w:szCs w:val="24"/>
        </w:rPr>
      </w:pPr>
      <w:r w:rsidRPr="006C457B">
        <w:rPr>
          <w:rFonts w:eastAsia="Times New Roman" w:cs="Times New Roman"/>
          <w:sz w:val="24"/>
          <w:szCs w:val="24"/>
        </w:rPr>
        <w:t xml:space="preserve">In Ethiopia, medication costs did not differ </w:t>
      </w:r>
      <w:r w:rsidR="00912256">
        <w:rPr>
          <w:rFonts w:eastAsia="Times New Roman" w:cs="Times New Roman"/>
          <w:sz w:val="24"/>
          <w:szCs w:val="24"/>
        </w:rPr>
        <w:t>substantially</w:t>
      </w:r>
      <w:r w:rsidR="00D25F1C">
        <w:rPr>
          <w:rFonts w:eastAsia="Times New Roman" w:cs="Times New Roman"/>
          <w:sz w:val="24"/>
          <w:szCs w:val="24"/>
        </w:rPr>
        <w:t xml:space="preserve"> between regimens</w:t>
      </w:r>
      <w:r w:rsidRPr="006C457B">
        <w:rPr>
          <w:rFonts w:eastAsia="Times New Roman" w:cs="Times New Roman"/>
          <w:sz w:val="24"/>
          <w:szCs w:val="24"/>
        </w:rPr>
        <w:t xml:space="preserve"> (</w:t>
      </w:r>
      <w:r w:rsidR="002F5ED9">
        <w:rPr>
          <w:rFonts w:eastAsia="Times New Roman" w:cs="Times New Roman"/>
          <w:sz w:val="24"/>
          <w:szCs w:val="24"/>
        </w:rPr>
        <w:t>US</w:t>
      </w:r>
      <w:r w:rsidRPr="006C457B">
        <w:rPr>
          <w:rFonts w:eastAsia="Times New Roman" w:cs="Times New Roman"/>
          <w:sz w:val="24"/>
          <w:szCs w:val="24"/>
        </w:rPr>
        <w:t>$1</w:t>
      </w:r>
      <w:r w:rsidR="00504A96">
        <w:rPr>
          <w:rFonts w:eastAsia="Times New Roman" w:cs="Times New Roman"/>
          <w:sz w:val="24"/>
          <w:szCs w:val="24"/>
        </w:rPr>
        <w:t>,</w:t>
      </w:r>
      <w:r w:rsidRPr="006C457B">
        <w:rPr>
          <w:rFonts w:eastAsia="Times New Roman" w:cs="Times New Roman"/>
          <w:sz w:val="24"/>
          <w:szCs w:val="24"/>
        </w:rPr>
        <w:t>361</w:t>
      </w:r>
      <w:r w:rsidR="00504A96">
        <w:rPr>
          <w:rFonts w:eastAsia="Times New Roman" w:cs="Times New Roman"/>
          <w:sz w:val="24"/>
          <w:szCs w:val="24"/>
        </w:rPr>
        <w:t xml:space="preserve">, 95%CI </w:t>
      </w:r>
      <w:r w:rsidR="002F5ED9">
        <w:rPr>
          <w:rFonts w:eastAsia="Times New Roman" w:cs="Times New Roman"/>
          <w:sz w:val="24"/>
          <w:szCs w:val="24"/>
        </w:rPr>
        <w:t>US</w:t>
      </w:r>
      <w:r w:rsidR="00504A96">
        <w:rPr>
          <w:rFonts w:eastAsia="Times New Roman" w:cs="Times New Roman"/>
          <w:sz w:val="24"/>
          <w:szCs w:val="24"/>
        </w:rPr>
        <w:t>$1,256-</w:t>
      </w:r>
      <w:r w:rsidRPr="006C457B">
        <w:rPr>
          <w:rFonts w:eastAsia="Times New Roman" w:cs="Times New Roman"/>
          <w:sz w:val="24"/>
          <w:szCs w:val="24"/>
        </w:rPr>
        <w:t xml:space="preserve"> </w:t>
      </w:r>
      <w:r w:rsidR="002F5ED9">
        <w:rPr>
          <w:rFonts w:eastAsia="Times New Roman" w:cs="Times New Roman"/>
          <w:sz w:val="24"/>
          <w:szCs w:val="24"/>
        </w:rPr>
        <w:t>US</w:t>
      </w:r>
      <w:r w:rsidRPr="006C457B">
        <w:rPr>
          <w:rFonts w:eastAsia="Times New Roman" w:cs="Times New Roman"/>
          <w:sz w:val="24"/>
          <w:szCs w:val="24"/>
        </w:rPr>
        <w:t>$1</w:t>
      </w:r>
      <w:r w:rsidR="00504A96">
        <w:rPr>
          <w:rFonts w:eastAsia="Times New Roman" w:cs="Times New Roman"/>
          <w:sz w:val="24"/>
          <w:szCs w:val="24"/>
        </w:rPr>
        <w:t>,</w:t>
      </w:r>
      <w:r w:rsidRPr="006C457B">
        <w:rPr>
          <w:rFonts w:eastAsia="Times New Roman" w:cs="Times New Roman"/>
          <w:sz w:val="24"/>
          <w:szCs w:val="24"/>
        </w:rPr>
        <w:t>466</w:t>
      </w:r>
      <w:r w:rsidR="004F54F1">
        <w:rPr>
          <w:rFonts w:eastAsia="Times New Roman" w:cs="Times New Roman"/>
          <w:sz w:val="24"/>
          <w:szCs w:val="24"/>
        </w:rPr>
        <w:t>, SD=</w:t>
      </w:r>
      <w:r w:rsidR="00E9732A">
        <w:rPr>
          <w:rFonts w:eastAsia="Times New Roman" w:cs="Times New Roman"/>
          <w:sz w:val="24"/>
          <w:szCs w:val="24"/>
        </w:rPr>
        <w:t>484</w:t>
      </w:r>
      <w:r w:rsidR="00504A96">
        <w:t>·</w:t>
      </w:r>
      <w:r w:rsidR="00E9732A">
        <w:rPr>
          <w:rFonts w:eastAsia="Times New Roman" w:cs="Times New Roman"/>
          <w:sz w:val="24"/>
          <w:szCs w:val="24"/>
        </w:rPr>
        <w:t>2 Short</w:t>
      </w:r>
      <w:r w:rsidR="00007EA7">
        <w:rPr>
          <w:rFonts w:eastAsia="Times New Roman" w:cs="Times New Roman"/>
          <w:sz w:val="24"/>
          <w:szCs w:val="24"/>
        </w:rPr>
        <w:t>-</w:t>
      </w:r>
      <w:r w:rsidR="00E9732A">
        <w:rPr>
          <w:rFonts w:eastAsia="Times New Roman" w:cs="Times New Roman"/>
          <w:sz w:val="24"/>
          <w:szCs w:val="24"/>
        </w:rPr>
        <w:t xml:space="preserve">regimen </w:t>
      </w:r>
      <w:r w:rsidR="00E9732A" w:rsidRPr="00B25397">
        <w:rPr>
          <w:rFonts w:eastAsia="Times New Roman" w:cs="Times New Roman"/>
          <w:i/>
          <w:sz w:val="24"/>
          <w:szCs w:val="24"/>
        </w:rPr>
        <w:t>vs</w:t>
      </w:r>
      <w:r w:rsidR="00E9732A">
        <w:rPr>
          <w:rFonts w:eastAsia="Times New Roman" w:cs="Times New Roman"/>
          <w:sz w:val="24"/>
          <w:szCs w:val="24"/>
        </w:rPr>
        <w:t xml:space="preserve"> </w:t>
      </w:r>
      <w:r w:rsidR="002F5ED9">
        <w:rPr>
          <w:rFonts w:eastAsia="Times New Roman" w:cs="Times New Roman"/>
          <w:sz w:val="24"/>
          <w:szCs w:val="24"/>
        </w:rPr>
        <w:t>US</w:t>
      </w:r>
      <w:r w:rsidR="00E9732A">
        <w:rPr>
          <w:rFonts w:eastAsia="Times New Roman" w:cs="Times New Roman"/>
          <w:sz w:val="24"/>
          <w:szCs w:val="24"/>
        </w:rPr>
        <w:t>$1</w:t>
      </w:r>
      <w:r w:rsidR="00504A96">
        <w:rPr>
          <w:rFonts w:eastAsia="Times New Roman" w:cs="Times New Roman"/>
          <w:sz w:val="24"/>
          <w:szCs w:val="24"/>
        </w:rPr>
        <w:t>,</w:t>
      </w:r>
      <w:r w:rsidR="00E9732A">
        <w:rPr>
          <w:rFonts w:eastAsia="Times New Roman" w:cs="Times New Roman"/>
          <w:sz w:val="24"/>
          <w:szCs w:val="24"/>
        </w:rPr>
        <w:t>66</w:t>
      </w:r>
      <w:r w:rsidR="00504A96">
        <w:rPr>
          <w:rFonts w:eastAsia="Times New Roman" w:cs="Times New Roman"/>
          <w:sz w:val="24"/>
          <w:szCs w:val="24"/>
        </w:rPr>
        <w:t xml:space="preserve">3, 95%CI </w:t>
      </w:r>
      <w:r w:rsidR="002F5ED9">
        <w:rPr>
          <w:rFonts w:eastAsia="Times New Roman" w:cs="Times New Roman"/>
          <w:sz w:val="24"/>
          <w:szCs w:val="24"/>
        </w:rPr>
        <w:t>US</w:t>
      </w:r>
      <w:r w:rsidRPr="006C457B">
        <w:rPr>
          <w:rFonts w:eastAsia="Times New Roman" w:cs="Times New Roman"/>
          <w:sz w:val="24"/>
          <w:szCs w:val="24"/>
        </w:rPr>
        <w:t>$1</w:t>
      </w:r>
      <w:r w:rsidR="00504A96">
        <w:rPr>
          <w:rFonts w:eastAsia="Times New Roman" w:cs="Times New Roman"/>
          <w:sz w:val="24"/>
          <w:szCs w:val="24"/>
        </w:rPr>
        <w:t>,536-</w:t>
      </w:r>
      <w:r w:rsidRPr="006C457B">
        <w:rPr>
          <w:rFonts w:eastAsia="Times New Roman" w:cs="Times New Roman"/>
          <w:sz w:val="24"/>
          <w:szCs w:val="24"/>
        </w:rPr>
        <w:t xml:space="preserve"> </w:t>
      </w:r>
      <w:r w:rsidR="002F5ED9">
        <w:rPr>
          <w:rFonts w:eastAsia="Times New Roman" w:cs="Times New Roman"/>
          <w:sz w:val="24"/>
          <w:szCs w:val="24"/>
        </w:rPr>
        <w:lastRenderedPageBreak/>
        <w:t>US</w:t>
      </w:r>
      <w:r w:rsidRPr="006C457B">
        <w:rPr>
          <w:rFonts w:eastAsia="Times New Roman" w:cs="Times New Roman"/>
          <w:sz w:val="24"/>
          <w:szCs w:val="24"/>
        </w:rPr>
        <w:t>$1</w:t>
      </w:r>
      <w:r w:rsidR="00504A96">
        <w:rPr>
          <w:rFonts w:eastAsia="Times New Roman" w:cs="Times New Roman"/>
          <w:sz w:val="24"/>
          <w:szCs w:val="24"/>
        </w:rPr>
        <w:t>,</w:t>
      </w:r>
      <w:r w:rsidRPr="006C457B">
        <w:rPr>
          <w:rFonts w:eastAsia="Times New Roman" w:cs="Times New Roman"/>
          <w:sz w:val="24"/>
          <w:szCs w:val="24"/>
        </w:rPr>
        <w:t>790</w:t>
      </w:r>
      <w:r w:rsidR="00621FC2">
        <w:rPr>
          <w:rFonts w:eastAsia="Times New Roman" w:cs="Times New Roman"/>
          <w:sz w:val="24"/>
          <w:szCs w:val="24"/>
        </w:rPr>
        <w:t xml:space="preserve">, </w:t>
      </w:r>
      <w:r w:rsidR="00E9732A">
        <w:rPr>
          <w:rFonts w:eastAsia="Times New Roman" w:cs="Times New Roman"/>
          <w:sz w:val="24"/>
          <w:szCs w:val="24"/>
        </w:rPr>
        <w:t>SD=402</w:t>
      </w:r>
      <w:r w:rsidR="00504A96">
        <w:t>·</w:t>
      </w:r>
      <w:r w:rsidR="00E9732A">
        <w:rPr>
          <w:rFonts w:eastAsia="Times New Roman" w:cs="Times New Roman"/>
          <w:sz w:val="24"/>
          <w:szCs w:val="24"/>
        </w:rPr>
        <w:t>4</w:t>
      </w:r>
      <w:r w:rsidRPr="006C457B">
        <w:rPr>
          <w:rFonts w:eastAsia="Times New Roman" w:cs="Times New Roman"/>
          <w:sz w:val="24"/>
          <w:szCs w:val="24"/>
        </w:rPr>
        <w:t xml:space="preserve"> Long</w:t>
      </w:r>
      <w:r w:rsidR="00851075">
        <w:rPr>
          <w:rFonts w:eastAsia="Times New Roman" w:cs="Times New Roman"/>
          <w:sz w:val="24"/>
          <w:szCs w:val="24"/>
        </w:rPr>
        <w:t>-</w:t>
      </w:r>
      <w:r w:rsidR="00504A96">
        <w:rPr>
          <w:rFonts w:eastAsia="Times New Roman" w:cs="Times New Roman"/>
          <w:sz w:val="24"/>
          <w:szCs w:val="24"/>
        </w:rPr>
        <w:t>regimen</w:t>
      </w:r>
      <w:r w:rsidR="00621FC2">
        <w:rPr>
          <w:rFonts w:eastAsia="Times New Roman" w:cs="Times New Roman"/>
          <w:sz w:val="24"/>
          <w:szCs w:val="24"/>
        </w:rPr>
        <w:t>). There was, however</w:t>
      </w:r>
      <w:r w:rsidR="00A016F9">
        <w:rPr>
          <w:rFonts w:eastAsia="Times New Roman" w:cs="Times New Roman"/>
          <w:sz w:val="24"/>
          <w:szCs w:val="24"/>
        </w:rPr>
        <w:t>,</w:t>
      </w:r>
      <w:r w:rsidR="00621FC2">
        <w:rPr>
          <w:rFonts w:eastAsia="Times New Roman" w:cs="Times New Roman"/>
          <w:sz w:val="24"/>
          <w:szCs w:val="24"/>
        </w:rPr>
        <w:t xml:space="preserve"> a</w:t>
      </w:r>
      <w:r w:rsidRPr="006C457B">
        <w:rPr>
          <w:rFonts w:eastAsia="Times New Roman" w:cs="Times New Roman"/>
          <w:sz w:val="24"/>
          <w:szCs w:val="24"/>
        </w:rPr>
        <w:t xml:space="preserve"> </w:t>
      </w:r>
      <w:r w:rsidR="00621FC2">
        <w:rPr>
          <w:rFonts w:eastAsia="Times New Roman" w:cs="Times New Roman"/>
          <w:sz w:val="24"/>
          <w:szCs w:val="24"/>
        </w:rPr>
        <w:t>significant</w:t>
      </w:r>
      <w:r w:rsidRPr="006C457B">
        <w:rPr>
          <w:rFonts w:eastAsia="Times New Roman" w:cs="Times New Roman"/>
          <w:sz w:val="24"/>
          <w:szCs w:val="24"/>
        </w:rPr>
        <w:t xml:space="preserve"> cost difference between </w:t>
      </w:r>
      <w:r w:rsidR="00725AE1">
        <w:rPr>
          <w:rFonts w:eastAsia="Times New Roman" w:cs="Times New Roman"/>
          <w:sz w:val="24"/>
          <w:szCs w:val="24"/>
        </w:rPr>
        <w:t>regimens</w:t>
      </w:r>
      <w:r w:rsidR="00725AE1" w:rsidRPr="006C457B">
        <w:rPr>
          <w:rFonts w:eastAsia="Times New Roman" w:cs="Times New Roman"/>
          <w:sz w:val="24"/>
          <w:szCs w:val="24"/>
        </w:rPr>
        <w:t xml:space="preserve"> </w:t>
      </w:r>
      <w:r w:rsidRPr="006C457B">
        <w:rPr>
          <w:rFonts w:eastAsia="Times New Roman" w:cs="Times New Roman"/>
          <w:sz w:val="24"/>
          <w:szCs w:val="24"/>
        </w:rPr>
        <w:t>in South Africa in medication costs</w:t>
      </w:r>
      <w:r w:rsidR="00EF7CCD">
        <w:rPr>
          <w:rFonts w:eastAsia="Times New Roman" w:cs="Times New Roman"/>
          <w:sz w:val="24"/>
          <w:szCs w:val="24"/>
        </w:rPr>
        <w:t>,</w:t>
      </w:r>
      <w:r w:rsidRPr="006C457B">
        <w:rPr>
          <w:rFonts w:eastAsia="Times New Roman" w:cs="Times New Roman"/>
          <w:sz w:val="24"/>
          <w:szCs w:val="24"/>
        </w:rPr>
        <w:t xml:space="preserve"> </w:t>
      </w:r>
      <w:r w:rsidR="002F5ED9">
        <w:rPr>
          <w:rFonts w:eastAsia="Times New Roman" w:cs="Times New Roman"/>
          <w:sz w:val="24"/>
          <w:szCs w:val="24"/>
        </w:rPr>
        <w:t>US</w:t>
      </w:r>
      <w:r w:rsidRPr="006C457B">
        <w:rPr>
          <w:rFonts w:eastAsia="Times New Roman" w:cs="Times New Roman"/>
          <w:sz w:val="24"/>
          <w:szCs w:val="24"/>
        </w:rPr>
        <w:t>$433</w:t>
      </w:r>
      <w:r w:rsidR="00504A96">
        <w:t>·</w:t>
      </w:r>
      <w:r w:rsidR="0018509F">
        <w:rPr>
          <w:rFonts w:eastAsia="Times New Roman" w:cs="Times New Roman"/>
          <w:sz w:val="24"/>
          <w:szCs w:val="24"/>
        </w:rPr>
        <w:t>9</w:t>
      </w:r>
      <w:r w:rsidRPr="006C457B">
        <w:rPr>
          <w:rFonts w:eastAsia="Times New Roman" w:cs="Times New Roman"/>
          <w:sz w:val="24"/>
          <w:szCs w:val="24"/>
        </w:rPr>
        <w:t xml:space="preserve"> </w:t>
      </w:r>
      <w:r w:rsidR="00EF7CCD">
        <w:rPr>
          <w:rFonts w:eastAsia="Times New Roman" w:cs="Times New Roman"/>
          <w:sz w:val="24"/>
          <w:szCs w:val="24"/>
        </w:rPr>
        <w:t>(</w:t>
      </w:r>
      <w:r w:rsidRPr="006C457B">
        <w:rPr>
          <w:rFonts w:eastAsia="Times New Roman" w:cs="Times New Roman"/>
          <w:sz w:val="24"/>
          <w:szCs w:val="24"/>
        </w:rPr>
        <w:t xml:space="preserve">95%CI </w:t>
      </w:r>
      <w:r w:rsidR="002F5ED9">
        <w:rPr>
          <w:rFonts w:eastAsia="Times New Roman" w:cs="Times New Roman"/>
          <w:sz w:val="24"/>
          <w:szCs w:val="24"/>
        </w:rPr>
        <w:t>US</w:t>
      </w:r>
      <w:r w:rsidR="00504A96">
        <w:rPr>
          <w:rFonts w:eastAsia="Times New Roman" w:cs="Times New Roman"/>
          <w:sz w:val="24"/>
          <w:szCs w:val="24"/>
        </w:rPr>
        <w:t>$385-</w:t>
      </w:r>
      <w:r w:rsidRPr="006C457B">
        <w:rPr>
          <w:rFonts w:eastAsia="Times New Roman" w:cs="Times New Roman"/>
          <w:sz w:val="24"/>
          <w:szCs w:val="24"/>
        </w:rPr>
        <w:t>481</w:t>
      </w:r>
      <w:r w:rsidR="00E9732A">
        <w:rPr>
          <w:rFonts w:eastAsia="Times New Roman" w:cs="Times New Roman"/>
          <w:sz w:val="24"/>
          <w:szCs w:val="24"/>
        </w:rPr>
        <w:t>, SD=164</w:t>
      </w:r>
      <w:r w:rsidR="00504A96">
        <w:t>·</w:t>
      </w:r>
      <w:r w:rsidR="00E9732A">
        <w:rPr>
          <w:rFonts w:eastAsia="Times New Roman" w:cs="Times New Roman"/>
          <w:sz w:val="24"/>
          <w:szCs w:val="24"/>
        </w:rPr>
        <w:t>7</w:t>
      </w:r>
      <w:r w:rsidR="00EF7CCD">
        <w:rPr>
          <w:rFonts w:eastAsia="Times New Roman" w:cs="Times New Roman"/>
          <w:sz w:val="24"/>
          <w:szCs w:val="24"/>
        </w:rPr>
        <w:t>)</w:t>
      </w:r>
      <w:r w:rsidRPr="006C457B">
        <w:rPr>
          <w:rFonts w:eastAsia="Times New Roman" w:cs="Times New Roman"/>
          <w:sz w:val="24"/>
          <w:szCs w:val="24"/>
        </w:rPr>
        <w:t xml:space="preserve"> Short</w:t>
      </w:r>
      <w:r w:rsidR="00007EA7">
        <w:rPr>
          <w:rFonts w:eastAsia="Times New Roman" w:cs="Times New Roman"/>
          <w:sz w:val="24"/>
          <w:szCs w:val="24"/>
        </w:rPr>
        <w:t>-</w:t>
      </w:r>
      <w:r w:rsidRPr="006C457B">
        <w:rPr>
          <w:rFonts w:eastAsia="Times New Roman" w:cs="Times New Roman"/>
          <w:sz w:val="24"/>
          <w:szCs w:val="24"/>
        </w:rPr>
        <w:t xml:space="preserve">regimen </w:t>
      </w:r>
      <w:r w:rsidRPr="00B25397">
        <w:rPr>
          <w:rFonts w:eastAsia="Times New Roman" w:cs="Times New Roman"/>
          <w:i/>
          <w:sz w:val="24"/>
          <w:szCs w:val="24"/>
        </w:rPr>
        <w:t>vs</w:t>
      </w:r>
      <w:r w:rsidRPr="006C457B">
        <w:rPr>
          <w:rFonts w:eastAsia="Times New Roman" w:cs="Times New Roman"/>
          <w:sz w:val="24"/>
          <w:szCs w:val="24"/>
        </w:rPr>
        <w:t xml:space="preserve"> </w:t>
      </w:r>
      <w:r w:rsidR="002F5ED9">
        <w:rPr>
          <w:rFonts w:eastAsia="Times New Roman" w:cs="Times New Roman"/>
          <w:sz w:val="24"/>
          <w:szCs w:val="24"/>
        </w:rPr>
        <w:t>US</w:t>
      </w:r>
      <w:r w:rsidRPr="006C457B">
        <w:rPr>
          <w:rFonts w:eastAsia="Times New Roman" w:cs="Times New Roman"/>
          <w:sz w:val="24"/>
          <w:szCs w:val="24"/>
        </w:rPr>
        <w:t>$1</w:t>
      </w:r>
      <w:r w:rsidR="00504A96">
        <w:rPr>
          <w:rFonts w:eastAsia="Times New Roman" w:cs="Times New Roman"/>
          <w:sz w:val="24"/>
          <w:szCs w:val="24"/>
        </w:rPr>
        <w:t>,</w:t>
      </w:r>
      <w:r w:rsidRPr="006C457B">
        <w:rPr>
          <w:rFonts w:eastAsia="Times New Roman" w:cs="Times New Roman"/>
          <w:sz w:val="24"/>
          <w:szCs w:val="24"/>
        </w:rPr>
        <w:t>59</w:t>
      </w:r>
      <w:r w:rsidR="0018509F">
        <w:rPr>
          <w:rFonts w:eastAsia="Times New Roman" w:cs="Times New Roman"/>
          <w:sz w:val="24"/>
          <w:szCs w:val="24"/>
        </w:rPr>
        <w:t>0</w:t>
      </w:r>
      <w:r w:rsidR="0018509F">
        <w:t>·</w:t>
      </w:r>
      <w:r w:rsidR="0018509F" w:rsidRPr="00B25397">
        <w:rPr>
          <w:rFonts w:eastAsia="Times New Roman" w:cs="Times New Roman"/>
          <w:sz w:val="24"/>
          <w:szCs w:val="24"/>
        </w:rPr>
        <w:t>9</w:t>
      </w:r>
      <w:r w:rsidRPr="006C457B">
        <w:rPr>
          <w:rFonts w:eastAsia="Times New Roman" w:cs="Times New Roman"/>
          <w:sz w:val="24"/>
          <w:szCs w:val="24"/>
        </w:rPr>
        <w:t xml:space="preserve"> </w:t>
      </w:r>
      <w:r w:rsidR="00EF7CCD">
        <w:rPr>
          <w:rFonts w:eastAsia="Times New Roman" w:cs="Times New Roman"/>
          <w:sz w:val="24"/>
          <w:szCs w:val="24"/>
        </w:rPr>
        <w:t>(</w:t>
      </w:r>
      <w:r w:rsidR="00504A96">
        <w:rPr>
          <w:rFonts w:eastAsia="Times New Roman" w:cs="Times New Roman"/>
          <w:sz w:val="24"/>
          <w:szCs w:val="24"/>
        </w:rPr>
        <w:t xml:space="preserve">95%CI </w:t>
      </w:r>
      <w:r w:rsidR="002F5ED9">
        <w:rPr>
          <w:rFonts w:eastAsia="Times New Roman" w:cs="Times New Roman"/>
          <w:sz w:val="24"/>
          <w:szCs w:val="24"/>
        </w:rPr>
        <w:t>US</w:t>
      </w:r>
      <w:r w:rsidR="00504A96">
        <w:rPr>
          <w:rFonts w:eastAsia="Times New Roman" w:cs="Times New Roman"/>
          <w:sz w:val="24"/>
          <w:szCs w:val="24"/>
        </w:rPr>
        <w:t>$1284-</w:t>
      </w:r>
      <w:r w:rsidRPr="006C457B">
        <w:rPr>
          <w:rFonts w:eastAsia="Times New Roman" w:cs="Times New Roman"/>
          <w:sz w:val="24"/>
          <w:szCs w:val="24"/>
        </w:rPr>
        <w:t>1899</w:t>
      </w:r>
      <w:r w:rsidR="00E9732A">
        <w:rPr>
          <w:rFonts w:eastAsia="Times New Roman" w:cs="Times New Roman"/>
          <w:sz w:val="24"/>
          <w:szCs w:val="24"/>
        </w:rPr>
        <w:t>, SD=762</w:t>
      </w:r>
      <w:r w:rsidR="00504A96">
        <w:t>·</w:t>
      </w:r>
      <w:r w:rsidR="00E9732A">
        <w:rPr>
          <w:rFonts w:eastAsia="Times New Roman" w:cs="Times New Roman"/>
          <w:sz w:val="24"/>
          <w:szCs w:val="24"/>
        </w:rPr>
        <w:t>3</w:t>
      </w:r>
      <w:r w:rsidR="00EF7CCD">
        <w:rPr>
          <w:rFonts w:eastAsia="Times New Roman" w:cs="Times New Roman"/>
          <w:sz w:val="24"/>
          <w:szCs w:val="24"/>
        </w:rPr>
        <w:t>)</w:t>
      </w:r>
      <w:r w:rsidRPr="006C457B">
        <w:rPr>
          <w:rFonts w:eastAsia="Times New Roman" w:cs="Times New Roman"/>
          <w:sz w:val="24"/>
          <w:szCs w:val="24"/>
        </w:rPr>
        <w:t xml:space="preserve"> Long</w:t>
      </w:r>
      <w:r w:rsidR="00851075">
        <w:rPr>
          <w:rFonts w:eastAsia="Times New Roman" w:cs="Times New Roman"/>
          <w:sz w:val="24"/>
          <w:szCs w:val="24"/>
        </w:rPr>
        <w:t>-</w:t>
      </w:r>
      <w:r w:rsidRPr="006C457B">
        <w:rPr>
          <w:rFonts w:eastAsia="Times New Roman" w:cs="Times New Roman"/>
          <w:sz w:val="24"/>
          <w:szCs w:val="24"/>
        </w:rPr>
        <w:t>regimen.</w:t>
      </w:r>
    </w:p>
    <w:p w14:paraId="72ED84D3" w14:textId="77777777" w:rsidR="003A5B17" w:rsidRDefault="003A5B17" w:rsidP="00815142">
      <w:pPr>
        <w:spacing w:after="0" w:line="480" w:lineRule="auto"/>
        <w:rPr>
          <w:rFonts w:eastAsia="Times New Roman" w:cs="Times New Roman"/>
          <w:sz w:val="24"/>
          <w:szCs w:val="24"/>
        </w:rPr>
      </w:pPr>
    </w:p>
    <w:p w14:paraId="28600F6A" w14:textId="17204B07" w:rsidR="001E6C0F" w:rsidRDefault="002C41D9">
      <w:pPr>
        <w:spacing w:after="0" w:line="480" w:lineRule="auto"/>
        <w:rPr>
          <w:rFonts w:eastAsia="Times New Roman" w:cs="Times New Roman"/>
          <w:sz w:val="24"/>
          <w:szCs w:val="24"/>
        </w:rPr>
      </w:pPr>
      <w:r w:rsidRPr="00C41C6F">
        <w:rPr>
          <w:rFonts w:eastAsia="Times New Roman" w:cs="Times New Roman"/>
          <w:sz w:val="24"/>
          <w:szCs w:val="24"/>
        </w:rPr>
        <w:t xml:space="preserve">Inpatient </w:t>
      </w:r>
      <w:r w:rsidR="00D51CD9" w:rsidRPr="00C41C6F">
        <w:rPr>
          <w:rFonts w:eastAsia="Times New Roman" w:cs="Times New Roman"/>
          <w:sz w:val="24"/>
          <w:szCs w:val="24"/>
        </w:rPr>
        <w:t xml:space="preserve">costs </w:t>
      </w:r>
      <w:r w:rsidR="00080016">
        <w:rPr>
          <w:rFonts w:eastAsia="Times New Roman" w:cs="Times New Roman"/>
          <w:sz w:val="24"/>
          <w:szCs w:val="24"/>
        </w:rPr>
        <w:t>we</w:t>
      </w:r>
      <w:r w:rsidR="00D51CD9" w:rsidRPr="00C41C6F">
        <w:rPr>
          <w:rFonts w:eastAsia="Times New Roman" w:cs="Times New Roman"/>
          <w:sz w:val="24"/>
          <w:szCs w:val="24"/>
        </w:rPr>
        <w:t>re the largest category</w:t>
      </w:r>
      <w:r w:rsidR="000F7CEB" w:rsidRPr="00C41C6F">
        <w:rPr>
          <w:rFonts w:eastAsia="Times New Roman" w:cs="Times New Roman"/>
          <w:sz w:val="24"/>
          <w:szCs w:val="24"/>
        </w:rPr>
        <w:t xml:space="preserve"> of expenditure </w:t>
      </w:r>
      <w:r w:rsidR="00D51CD9" w:rsidRPr="00C41C6F">
        <w:rPr>
          <w:rFonts w:eastAsia="Times New Roman" w:cs="Times New Roman"/>
          <w:sz w:val="24"/>
          <w:szCs w:val="24"/>
        </w:rPr>
        <w:t xml:space="preserve">for </w:t>
      </w:r>
      <w:r w:rsidR="00861997">
        <w:rPr>
          <w:rFonts w:eastAsia="Times New Roman" w:cs="Times New Roman"/>
          <w:sz w:val="24"/>
          <w:szCs w:val="24"/>
        </w:rPr>
        <w:t>both regimens</w:t>
      </w:r>
      <w:r w:rsidR="003A5B17">
        <w:rPr>
          <w:rFonts w:eastAsia="Times New Roman" w:cs="Times New Roman"/>
          <w:sz w:val="24"/>
          <w:szCs w:val="24"/>
        </w:rPr>
        <w:t xml:space="preserve"> </w:t>
      </w:r>
      <w:r w:rsidR="00860501">
        <w:rPr>
          <w:rFonts w:eastAsia="Times New Roman" w:cs="Times New Roman"/>
          <w:sz w:val="24"/>
          <w:szCs w:val="24"/>
        </w:rPr>
        <w:t xml:space="preserve">even when inpatient stay unit costs </w:t>
      </w:r>
      <w:r w:rsidR="00080016">
        <w:rPr>
          <w:rFonts w:eastAsia="Times New Roman" w:cs="Times New Roman"/>
          <w:sz w:val="24"/>
          <w:szCs w:val="24"/>
        </w:rPr>
        <w:t>we</w:t>
      </w:r>
      <w:r w:rsidR="00255A8C">
        <w:rPr>
          <w:rFonts w:eastAsia="Times New Roman" w:cs="Times New Roman"/>
          <w:sz w:val="24"/>
          <w:szCs w:val="24"/>
        </w:rPr>
        <w:t>re</w:t>
      </w:r>
      <w:r w:rsidR="00860501">
        <w:rPr>
          <w:rFonts w:eastAsia="Times New Roman" w:cs="Times New Roman"/>
          <w:sz w:val="24"/>
          <w:szCs w:val="24"/>
        </w:rPr>
        <w:t xml:space="preserve"> varied in a sensitivity analysis (Table </w:t>
      </w:r>
      <w:r w:rsidR="00DD19C1">
        <w:rPr>
          <w:rFonts w:eastAsia="Times New Roman" w:cs="Times New Roman"/>
          <w:sz w:val="24"/>
          <w:szCs w:val="24"/>
        </w:rPr>
        <w:t>2</w:t>
      </w:r>
      <w:r w:rsidR="00860501">
        <w:rPr>
          <w:rFonts w:eastAsia="Times New Roman" w:cs="Times New Roman"/>
          <w:sz w:val="24"/>
          <w:szCs w:val="24"/>
        </w:rPr>
        <w:t xml:space="preserve"> and supplement</w:t>
      </w:r>
      <w:r w:rsidR="00E2671D" w:rsidRPr="001C7415">
        <w:rPr>
          <w:rFonts w:eastAsia="Times New Roman" w:cs="Times New Roman"/>
          <w:sz w:val="24"/>
          <w:szCs w:val="24"/>
          <w:vertAlign w:val="superscript"/>
        </w:rPr>
        <w:t>14</w:t>
      </w:r>
      <w:r w:rsidR="00860501">
        <w:rPr>
          <w:rFonts w:eastAsia="Times New Roman" w:cs="Times New Roman"/>
          <w:sz w:val="24"/>
          <w:szCs w:val="24"/>
        </w:rPr>
        <w:t>)</w:t>
      </w:r>
      <w:r w:rsidR="00F85471">
        <w:rPr>
          <w:rFonts w:eastAsia="Times New Roman" w:cs="Times New Roman"/>
          <w:sz w:val="24"/>
          <w:szCs w:val="24"/>
        </w:rPr>
        <w:t>.</w:t>
      </w:r>
      <w:r w:rsidR="0064282C">
        <w:rPr>
          <w:rFonts w:eastAsia="Times New Roman" w:cs="Times New Roman"/>
          <w:sz w:val="24"/>
          <w:szCs w:val="24"/>
        </w:rPr>
        <w:t xml:space="preserve"> </w:t>
      </w:r>
      <w:r w:rsidR="00FF408D">
        <w:rPr>
          <w:rFonts w:eastAsia="Times New Roman" w:cs="Times New Roman"/>
          <w:sz w:val="24"/>
          <w:szCs w:val="24"/>
        </w:rPr>
        <w:t>The</w:t>
      </w:r>
      <w:r w:rsidR="0064282C">
        <w:rPr>
          <w:rFonts w:eastAsia="Times New Roman" w:cs="Times New Roman"/>
          <w:sz w:val="24"/>
          <w:szCs w:val="24"/>
        </w:rPr>
        <w:t xml:space="preserve"> inpatient stay duration</w:t>
      </w:r>
      <w:r w:rsidR="007B62D9">
        <w:rPr>
          <w:rFonts w:eastAsia="Times New Roman" w:cs="Times New Roman"/>
          <w:sz w:val="24"/>
          <w:szCs w:val="24"/>
        </w:rPr>
        <w:t xml:space="preserve"> </w:t>
      </w:r>
      <w:r w:rsidR="0064282C">
        <w:rPr>
          <w:rFonts w:eastAsia="Times New Roman" w:cs="Times New Roman"/>
          <w:sz w:val="24"/>
          <w:szCs w:val="24"/>
        </w:rPr>
        <w:t>in Ethiopia was calculated as 9</w:t>
      </w:r>
      <w:r w:rsidR="00504A96">
        <w:t>·</w:t>
      </w:r>
      <w:r w:rsidR="007B62D9">
        <w:rPr>
          <w:rFonts w:eastAsia="Times New Roman" w:cs="Times New Roman"/>
          <w:sz w:val="24"/>
          <w:szCs w:val="24"/>
        </w:rPr>
        <w:t>6</w:t>
      </w:r>
      <w:r w:rsidR="00BF0A25">
        <w:rPr>
          <w:rFonts w:eastAsia="Times New Roman" w:cs="Times New Roman"/>
          <w:sz w:val="24"/>
          <w:szCs w:val="24"/>
        </w:rPr>
        <w:t>2</w:t>
      </w:r>
      <w:r w:rsidR="008748BB">
        <w:rPr>
          <w:rFonts w:eastAsia="Times New Roman" w:cs="Times New Roman"/>
          <w:sz w:val="24"/>
          <w:szCs w:val="24"/>
        </w:rPr>
        <w:t xml:space="preserve"> weeks (95%CI </w:t>
      </w:r>
      <w:r w:rsidR="0064282C">
        <w:rPr>
          <w:rFonts w:eastAsia="Times New Roman" w:cs="Times New Roman"/>
          <w:sz w:val="24"/>
          <w:szCs w:val="24"/>
        </w:rPr>
        <w:t>9</w:t>
      </w:r>
      <w:r w:rsidR="00504A96">
        <w:t>·</w:t>
      </w:r>
      <w:r w:rsidR="007B62D9">
        <w:rPr>
          <w:rFonts w:eastAsia="Times New Roman" w:cs="Times New Roman"/>
          <w:sz w:val="24"/>
          <w:szCs w:val="24"/>
        </w:rPr>
        <w:t>0</w:t>
      </w:r>
      <w:r w:rsidR="00BF0A25">
        <w:rPr>
          <w:rFonts w:eastAsia="Times New Roman" w:cs="Times New Roman"/>
          <w:sz w:val="24"/>
          <w:szCs w:val="24"/>
        </w:rPr>
        <w:t>1</w:t>
      </w:r>
      <w:r w:rsidR="008748BB">
        <w:rPr>
          <w:rFonts w:eastAsia="Times New Roman" w:cs="Times New Roman"/>
          <w:sz w:val="24"/>
          <w:szCs w:val="24"/>
        </w:rPr>
        <w:t>-</w:t>
      </w:r>
      <w:r w:rsidR="0064282C">
        <w:rPr>
          <w:rFonts w:eastAsia="Times New Roman" w:cs="Times New Roman"/>
          <w:sz w:val="24"/>
          <w:szCs w:val="24"/>
        </w:rPr>
        <w:t xml:space="preserve"> 10</w:t>
      </w:r>
      <w:r w:rsidR="00504A96">
        <w:t>·</w:t>
      </w:r>
      <w:r w:rsidR="00BF0A25">
        <w:rPr>
          <w:rFonts w:eastAsia="Times New Roman" w:cs="Times New Roman"/>
          <w:sz w:val="24"/>
          <w:szCs w:val="24"/>
        </w:rPr>
        <w:t>24</w:t>
      </w:r>
      <w:r w:rsidR="007B62D9">
        <w:rPr>
          <w:rFonts w:eastAsia="Times New Roman" w:cs="Times New Roman"/>
          <w:sz w:val="24"/>
          <w:szCs w:val="24"/>
        </w:rPr>
        <w:t xml:space="preserve"> weeks) for the Short</w:t>
      </w:r>
      <w:r w:rsidR="00007EA7">
        <w:rPr>
          <w:rFonts w:eastAsia="Times New Roman" w:cs="Times New Roman"/>
          <w:sz w:val="24"/>
          <w:szCs w:val="24"/>
        </w:rPr>
        <w:t>-</w:t>
      </w:r>
      <w:r w:rsidR="007B62D9">
        <w:rPr>
          <w:rFonts w:eastAsia="Times New Roman" w:cs="Times New Roman"/>
          <w:sz w:val="24"/>
          <w:szCs w:val="24"/>
        </w:rPr>
        <w:t xml:space="preserve">regimen and </w:t>
      </w:r>
      <w:r w:rsidR="0064282C">
        <w:rPr>
          <w:rFonts w:eastAsia="Times New Roman" w:cs="Times New Roman"/>
          <w:sz w:val="24"/>
          <w:szCs w:val="24"/>
        </w:rPr>
        <w:t>9</w:t>
      </w:r>
      <w:r w:rsidR="00504A96">
        <w:t>·</w:t>
      </w:r>
      <w:r w:rsidR="008748BB">
        <w:rPr>
          <w:rFonts w:eastAsia="Times New Roman" w:cs="Times New Roman"/>
          <w:sz w:val="24"/>
          <w:szCs w:val="24"/>
        </w:rPr>
        <w:t>64 weeks (95%CI 8</w:t>
      </w:r>
      <w:r w:rsidR="00504A96">
        <w:t>·</w:t>
      </w:r>
      <w:r w:rsidR="008748BB">
        <w:rPr>
          <w:rFonts w:eastAsia="Times New Roman" w:cs="Times New Roman"/>
          <w:sz w:val="24"/>
          <w:szCs w:val="24"/>
        </w:rPr>
        <w:t>7</w:t>
      </w:r>
      <w:r w:rsidR="00BF0A25">
        <w:rPr>
          <w:rFonts w:eastAsia="Times New Roman" w:cs="Times New Roman"/>
          <w:sz w:val="24"/>
          <w:szCs w:val="24"/>
        </w:rPr>
        <w:t>4</w:t>
      </w:r>
      <w:r w:rsidR="008748BB">
        <w:rPr>
          <w:rFonts w:eastAsia="Times New Roman" w:cs="Times New Roman"/>
          <w:sz w:val="24"/>
          <w:szCs w:val="24"/>
        </w:rPr>
        <w:t>- 10</w:t>
      </w:r>
      <w:r w:rsidR="00504A96">
        <w:t>·</w:t>
      </w:r>
      <w:r w:rsidR="00BF0A25">
        <w:rPr>
          <w:rFonts w:eastAsia="Times New Roman" w:cs="Times New Roman"/>
          <w:sz w:val="24"/>
          <w:szCs w:val="24"/>
        </w:rPr>
        <w:t>52</w:t>
      </w:r>
      <w:r w:rsidR="0064282C">
        <w:rPr>
          <w:rFonts w:eastAsia="Times New Roman" w:cs="Times New Roman"/>
          <w:sz w:val="24"/>
          <w:szCs w:val="24"/>
        </w:rPr>
        <w:t xml:space="preserve"> weeks) for the Long</w:t>
      </w:r>
      <w:r w:rsidR="00851075">
        <w:rPr>
          <w:rFonts w:eastAsia="Times New Roman" w:cs="Times New Roman"/>
          <w:sz w:val="24"/>
          <w:szCs w:val="24"/>
        </w:rPr>
        <w:t>-</w:t>
      </w:r>
      <w:r w:rsidR="0064282C">
        <w:rPr>
          <w:rFonts w:eastAsia="Times New Roman" w:cs="Times New Roman"/>
          <w:sz w:val="24"/>
          <w:szCs w:val="24"/>
        </w:rPr>
        <w:t xml:space="preserve">regimen. </w:t>
      </w:r>
      <w:r w:rsidR="00FF408D">
        <w:rPr>
          <w:rFonts w:eastAsia="Times New Roman" w:cs="Times New Roman"/>
          <w:sz w:val="24"/>
          <w:szCs w:val="24"/>
        </w:rPr>
        <w:t>In South Africa, t</w:t>
      </w:r>
      <w:r w:rsidR="0064282C">
        <w:rPr>
          <w:rFonts w:eastAsia="Times New Roman" w:cs="Times New Roman"/>
          <w:sz w:val="24"/>
          <w:szCs w:val="24"/>
        </w:rPr>
        <w:t>he inpatient stay duration was 9</w:t>
      </w:r>
      <w:r w:rsidR="00504A96">
        <w:t>·</w:t>
      </w:r>
      <w:r w:rsidR="00BF0A25">
        <w:rPr>
          <w:rFonts w:eastAsia="Times New Roman" w:cs="Times New Roman"/>
          <w:sz w:val="24"/>
          <w:szCs w:val="24"/>
        </w:rPr>
        <w:t>02</w:t>
      </w:r>
      <w:r w:rsidR="0064282C">
        <w:rPr>
          <w:rFonts w:eastAsia="Times New Roman" w:cs="Times New Roman"/>
          <w:sz w:val="24"/>
          <w:szCs w:val="24"/>
        </w:rPr>
        <w:t xml:space="preserve"> weeks</w:t>
      </w:r>
      <w:r w:rsidR="008748BB">
        <w:rPr>
          <w:rFonts w:eastAsia="Times New Roman" w:cs="Times New Roman"/>
          <w:sz w:val="24"/>
          <w:szCs w:val="24"/>
        </w:rPr>
        <w:t xml:space="preserve"> (95%CI </w:t>
      </w:r>
      <w:r w:rsidR="00BF0A25">
        <w:rPr>
          <w:rFonts w:eastAsia="Times New Roman" w:cs="Times New Roman"/>
          <w:sz w:val="24"/>
          <w:szCs w:val="24"/>
        </w:rPr>
        <w:t>7</w:t>
      </w:r>
      <w:r w:rsidR="00504A96">
        <w:t>·</w:t>
      </w:r>
      <w:r w:rsidR="00BF0A25">
        <w:rPr>
          <w:rFonts w:eastAsia="Times New Roman" w:cs="Times New Roman"/>
          <w:sz w:val="24"/>
          <w:szCs w:val="24"/>
        </w:rPr>
        <w:t>51</w:t>
      </w:r>
      <w:r w:rsidR="008748BB">
        <w:rPr>
          <w:rFonts w:eastAsia="Times New Roman" w:cs="Times New Roman"/>
          <w:sz w:val="24"/>
          <w:szCs w:val="24"/>
        </w:rPr>
        <w:t>- 10</w:t>
      </w:r>
      <w:r w:rsidR="00504A96">
        <w:t>·</w:t>
      </w:r>
      <w:r w:rsidR="00BF0A25">
        <w:rPr>
          <w:rFonts w:eastAsia="Times New Roman" w:cs="Times New Roman"/>
          <w:sz w:val="24"/>
          <w:szCs w:val="24"/>
        </w:rPr>
        <w:t>52</w:t>
      </w:r>
      <w:r w:rsidR="008748BB">
        <w:rPr>
          <w:rFonts w:eastAsia="Times New Roman" w:cs="Times New Roman"/>
          <w:sz w:val="24"/>
          <w:szCs w:val="24"/>
        </w:rPr>
        <w:t xml:space="preserve"> weeks</w:t>
      </w:r>
      <w:r w:rsidR="0064282C">
        <w:rPr>
          <w:rFonts w:eastAsia="Times New Roman" w:cs="Times New Roman"/>
          <w:sz w:val="24"/>
          <w:szCs w:val="24"/>
        </w:rPr>
        <w:t>)</w:t>
      </w:r>
      <w:r w:rsidR="00FF408D">
        <w:rPr>
          <w:rFonts w:eastAsia="Times New Roman" w:cs="Times New Roman"/>
          <w:sz w:val="24"/>
          <w:szCs w:val="24"/>
        </w:rPr>
        <w:t xml:space="preserve"> for the Long-regimen</w:t>
      </w:r>
      <w:r w:rsidR="0064282C">
        <w:rPr>
          <w:rFonts w:eastAsia="Times New Roman" w:cs="Times New Roman"/>
          <w:sz w:val="24"/>
          <w:szCs w:val="24"/>
        </w:rPr>
        <w:t>, compared to</w:t>
      </w:r>
      <w:r w:rsidR="008748BB">
        <w:rPr>
          <w:rFonts w:eastAsia="Times New Roman" w:cs="Times New Roman"/>
          <w:sz w:val="24"/>
          <w:szCs w:val="24"/>
        </w:rPr>
        <w:t xml:space="preserve"> 9</w:t>
      </w:r>
      <w:r w:rsidR="00504A96">
        <w:t>·</w:t>
      </w:r>
      <w:r w:rsidR="00BF0A25">
        <w:rPr>
          <w:rFonts w:eastAsia="Times New Roman" w:cs="Times New Roman"/>
          <w:sz w:val="24"/>
          <w:szCs w:val="24"/>
        </w:rPr>
        <w:t>43</w:t>
      </w:r>
      <w:r w:rsidR="008748BB">
        <w:rPr>
          <w:rFonts w:eastAsia="Times New Roman" w:cs="Times New Roman"/>
          <w:sz w:val="24"/>
          <w:szCs w:val="24"/>
        </w:rPr>
        <w:t xml:space="preserve"> weeks (95%CI </w:t>
      </w:r>
      <w:r w:rsidR="0064282C">
        <w:rPr>
          <w:rFonts w:eastAsia="Times New Roman" w:cs="Times New Roman"/>
          <w:sz w:val="24"/>
          <w:szCs w:val="24"/>
        </w:rPr>
        <w:t>8</w:t>
      </w:r>
      <w:r w:rsidR="00504A96">
        <w:t>·</w:t>
      </w:r>
      <w:r w:rsidR="00BF0A25">
        <w:rPr>
          <w:rFonts w:eastAsia="Times New Roman" w:cs="Times New Roman"/>
          <w:sz w:val="24"/>
          <w:szCs w:val="24"/>
        </w:rPr>
        <w:t>30</w:t>
      </w:r>
      <w:r w:rsidR="008748BB">
        <w:rPr>
          <w:rFonts w:eastAsia="Times New Roman" w:cs="Times New Roman"/>
          <w:sz w:val="24"/>
          <w:szCs w:val="24"/>
        </w:rPr>
        <w:t>- 10</w:t>
      </w:r>
      <w:r w:rsidR="00504A96">
        <w:t>·</w:t>
      </w:r>
      <w:r w:rsidR="008748BB">
        <w:rPr>
          <w:rFonts w:eastAsia="Times New Roman" w:cs="Times New Roman"/>
          <w:sz w:val="24"/>
          <w:szCs w:val="24"/>
        </w:rPr>
        <w:t>5</w:t>
      </w:r>
      <w:r w:rsidR="00BF0A25">
        <w:rPr>
          <w:rFonts w:eastAsia="Times New Roman" w:cs="Times New Roman"/>
          <w:sz w:val="24"/>
          <w:szCs w:val="24"/>
        </w:rPr>
        <w:t>6</w:t>
      </w:r>
      <w:r w:rsidR="0064282C">
        <w:rPr>
          <w:rFonts w:eastAsia="Times New Roman" w:cs="Times New Roman"/>
          <w:sz w:val="24"/>
          <w:szCs w:val="24"/>
        </w:rPr>
        <w:t xml:space="preserve"> weeks)</w:t>
      </w:r>
      <w:r w:rsidR="00FF408D">
        <w:rPr>
          <w:rFonts w:eastAsia="Times New Roman" w:cs="Times New Roman"/>
          <w:sz w:val="24"/>
          <w:szCs w:val="24"/>
        </w:rPr>
        <w:t xml:space="preserve"> for the Short-regimen</w:t>
      </w:r>
      <w:r w:rsidR="0064282C">
        <w:rPr>
          <w:rFonts w:eastAsia="Times New Roman" w:cs="Times New Roman"/>
          <w:sz w:val="24"/>
          <w:szCs w:val="24"/>
        </w:rPr>
        <w:t>.</w:t>
      </w:r>
      <w:r w:rsidR="00414155">
        <w:rPr>
          <w:rFonts w:eastAsia="Times New Roman" w:cs="Times New Roman"/>
          <w:sz w:val="24"/>
          <w:szCs w:val="24"/>
        </w:rPr>
        <w:t xml:space="preserve"> </w:t>
      </w:r>
      <w:r w:rsidR="00255A8C">
        <w:rPr>
          <w:rFonts w:eastAsia="Times New Roman" w:cs="Times New Roman"/>
          <w:sz w:val="24"/>
          <w:szCs w:val="24"/>
        </w:rPr>
        <w:t xml:space="preserve">As inpatient duration </w:t>
      </w:r>
      <w:r w:rsidR="00080016">
        <w:rPr>
          <w:rFonts w:eastAsia="Times New Roman" w:cs="Times New Roman"/>
          <w:sz w:val="24"/>
          <w:szCs w:val="24"/>
        </w:rPr>
        <w:t>wa</w:t>
      </w:r>
      <w:r w:rsidR="00255A8C">
        <w:rPr>
          <w:rFonts w:eastAsia="Times New Roman" w:cs="Times New Roman"/>
          <w:sz w:val="24"/>
          <w:szCs w:val="24"/>
        </w:rPr>
        <w:t xml:space="preserve">s similar for both </w:t>
      </w:r>
      <w:r w:rsidR="00725AE1">
        <w:rPr>
          <w:rFonts w:eastAsia="Times New Roman" w:cs="Times New Roman"/>
          <w:sz w:val="24"/>
          <w:szCs w:val="24"/>
        </w:rPr>
        <w:t xml:space="preserve">regimens </w:t>
      </w:r>
      <w:r w:rsidR="00255A8C">
        <w:rPr>
          <w:rFonts w:eastAsia="Times New Roman" w:cs="Times New Roman"/>
          <w:sz w:val="24"/>
          <w:szCs w:val="24"/>
        </w:rPr>
        <w:t>in each country, t</w:t>
      </w:r>
      <w:r w:rsidR="00860501">
        <w:rPr>
          <w:rFonts w:eastAsia="Times New Roman" w:cs="Times New Roman"/>
          <w:sz w:val="24"/>
          <w:szCs w:val="24"/>
        </w:rPr>
        <w:t xml:space="preserve">here </w:t>
      </w:r>
      <w:r w:rsidR="00080016">
        <w:rPr>
          <w:rFonts w:eastAsia="Times New Roman" w:cs="Times New Roman"/>
          <w:sz w:val="24"/>
          <w:szCs w:val="24"/>
        </w:rPr>
        <w:t>we</w:t>
      </w:r>
      <w:r w:rsidR="00860501">
        <w:rPr>
          <w:rFonts w:eastAsia="Times New Roman" w:cs="Times New Roman"/>
          <w:sz w:val="24"/>
          <w:szCs w:val="24"/>
        </w:rPr>
        <w:t>re no meaningful cost savings</w:t>
      </w:r>
      <w:r w:rsidR="00255A8C">
        <w:rPr>
          <w:rFonts w:eastAsia="Times New Roman" w:cs="Times New Roman"/>
          <w:sz w:val="24"/>
          <w:szCs w:val="24"/>
        </w:rPr>
        <w:t xml:space="preserve"> arising</w:t>
      </w:r>
      <w:r w:rsidR="00860501">
        <w:rPr>
          <w:rFonts w:eastAsia="Times New Roman" w:cs="Times New Roman"/>
          <w:sz w:val="24"/>
          <w:szCs w:val="24"/>
        </w:rPr>
        <w:t xml:space="preserve"> from</w:t>
      </w:r>
      <w:r w:rsidR="00860366">
        <w:rPr>
          <w:rFonts w:eastAsia="Times New Roman" w:cs="Times New Roman"/>
          <w:sz w:val="24"/>
          <w:szCs w:val="24"/>
        </w:rPr>
        <w:t xml:space="preserve"> changes to</w:t>
      </w:r>
      <w:r w:rsidR="00860501">
        <w:rPr>
          <w:rFonts w:eastAsia="Times New Roman" w:cs="Times New Roman"/>
          <w:sz w:val="24"/>
          <w:szCs w:val="24"/>
        </w:rPr>
        <w:t xml:space="preserve"> inpatient </w:t>
      </w:r>
      <w:r w:rsidR="00255A8C">
        <w:rPr>
          <w:rFonts w:eastAsia="Times New Roman" w:cs="Times New Roman"/>
          <w:sz w:val="24"/>
          <w:szCs w:val="24"/>
        </w:rPr>
        <w:t>stay</w:t>
      </w:r>
      <w:r w:rsidR="00860366">
        <w:rPr>
          <w:rFonts w:eastAsia="Times New Roman" w:cs="Times New Roman"/>
          <w:sz w:val="24"/>
          <w:szCs w:val="24"/>
        </w:rPr>
        <w:t xml:space="preserve"> </w:t>
      </w:r>
      <w:proofErr w:type="gramStart"/>
      <w:r w:rsidR="00860366">
        <w:rPr>
          <w:rFonts w:eastAsia="Times New Roman" w:cs="Times New Roman"/>
          <w:sz w:val="24"/>
          <w:szCs w:val="24"/>
        </w:rPr>
        <w:t>as a consequence of</w:t>
      </w:r>
      <w:proofErr w:type="gramEnd"/>
      <w:r w:rsidR="00860366">
        <w:rPr>
          <w:rFonts w:eastAsia="Times New Roman" w:cs="Times New Roman"/>
          <w:sz w:val="24"/>
          <w:szCs w:val="24"/>
        </w:rPr>
        <w:t xml:space="preserve"> the shorter regimen</w:t>
      </w:r>
      <w:r w:rsidR="00255A8C">
        <w:rPr>
          <w:rFonts w:eastAsia="Times New Roman" w:cs="Times New Roman"/>
          <w:sz w:val="24"/>
          <w:szCs w:val="24"/>
        </w:rPr>
        <w:t xml:space="preserve">. </w:t>
      </w:r>
    </w:p>
    <w:p w14:paraId="7CEBEDD4" w14:textId="77777777" w:rsidR="001E6C0F" w:rsidRDefault="001E6C0F" w:rsidP="00815142">
      <w:pPr>
        <w:spacing w:after="0" w:line="480" w:lineRule="auto"/>
        <w:rPr>
          <w:rFonts w:eastAsia="Times New Roman" w:cs="Times New Roman"/>
          <w:sz w:val="24"/>
          <w:szCs w:val="24"/>
        </w:rPr>
      </w:pPr>
    </w:p>
    <w:p w14:paraId="34518417" w14:textId="77777777" w:rsidR="001E6C0F" w:rsidRDefault="001E6C0F" w:rsidP="00815142">
      <w:pPr>
        <w:spacing w:after="0" w:line="480" w:lineRule="auto"/>
        <w:rPr>
          <w:rFonts w:eastAsia="Times New Roman" w:cs="Times New Roman"/>
          <w:sz w:val="24"/>
          <w:szCs w:val="24"/>
        </w:rPr>
      </w:pPr>
    </w:p>
    <w:p w14:paraId="75492E5E" w14:textId="27BC69B1" w:rsidR="003A5B17" w:rsidRDefault="003A5B17" w:rsidP="003A5B17">
      <w:pPr>
        <w:spacing w:after="0" w:line="480" w:lineRule="auto"/>
        <w:rPr>
          <w:rFonts w:eastAsia="Times New Roman" w:cs="Times New Roman"/>
          <w:sz w:val="24"/>
          <w:szCs w:val="24"/>
        </w:rPr>
      </w:pPr>
      <w:bookmarkStart w:id="16" w:name="_Hlk522553832"/>
      <w:bookmarkEnd w:id="15"/>
      <w:r w:rsidRPr="002202FC">
        <w:rPr>
          <w:rFonts w:eastAsia="Times New Roman" w:cs="Times New Roman"/>
          <w:sz w:val="24"/>
          <w:szCs w:val="24"/>
        </w:rPr>
        <w:t>The SAE costs were higher for those in the Long</w:t>
      </w:r>
      <w:r w:rsidR="00851075">
        <w:rPr>
          <w:rFonts w:eastAsia="Times New Roman" w:cs="Times New Roman"/>
          <w:sz w:val="24"/>
          <w:szCs w:val="24"/>
        </w:rPr>
        <w:t>-</w:t>
      </w:r>
      <w:r w:rsidRPr="002202FC">
        <w:rPr>
          <w:rFonts w:eastAsia="Times New Roman" w:cs="Times New Roman"/>
          <w:sz w:val="24"/>
          <w:szCs w:val="24"/>
        </w:rPr>
        <w:t>regimen (</w:t>
      </w:r>
      <w:r w:rsidR="002F5ED9">
        <w:rPr>
          <w:rFonts w:eastAsia="Times New Roman" w:cs="Times New Roman"/>
          <w:sz w:val="24"/>
          <w:szCs w:val="24"/>
        </w:rPr>
        <w:t>US</w:t>
      </w:r>
      <w:r w:rsidR="008748BB">
        <w:rPr>
          <w:rFonts w:eastAsia="Times New Roman" w:cs="Times New Roman"/>
          <w:sz w:val="24"/>
          <w:szCs w:val="24"/>
        </w:rPr>
        <w:t>$82</w:t>
      </w:r>
      <w:r w:rsidR="00504A96">
        <w:rPr>
          <w:rFonts w:eastAsia="Times New Roman" w:cs="Times New Roman"/>
          <w:sz w:val="24"/>
          <w:szCs w:val="24"/>
        </w:rPr>
        <w:t>,</w:t>
      </w:r>
      <w:r w:rsidR="008748BB">
        <w:rPr>
          <w:rFonts w:eastAsia="Times New Roman" w:cs="Times New Roman"/>
          <w:sz w:val="24"/>
          <w:szCs w:val="24"/>
        </w:rPr>
        <w:t xml:space="preserve"> 95%CI </w:t>
      </w:r>
      <w:r w:rsidR="002F5ED9">
        <w:rPr>
          <w:rFonts w:eastAsia="Times New Roman" w:cs="Times New Roman"/>
          <w:sz w:val="24"/>
          <w:szCs w:val="24"/>
        </w:rPr>
        <w:t>US</w:t>
      </w:r>
      <w:r w:rsidR="008748BB">
        <w:rPr>
          <w:rFonts w:eastAsia="Times New Roman" w:cs="Times New Roman"/>
          <w:sz w:val="24"/>
          <w:szCs w:val="24"/>
        </w:rPr>
        <w:t>$46- 118</w:t>
      </w:r>
      <w:r w:rsidRPr="002202FC">
        <w:rPr>
          <w:rFonts w:eastAsia="Times New Roman" w:cs="Times New Roman"/>
          <w:sz w:val="24"/>
          <w:szCs w:val="24"/>
        </w:rPr>
        <w:t>) compared to</w:t>
      </w:r>
      <w:r w:rsidR="008748BB">
        <w:rPr>
          <w:rFonts w:eastAsia="Times New Roman" w:cs="Times New Roman"/>
          <w:sz w:val="24"/>
          <w:szCs w:val="24"/>
        </w:rPr>
        <w:t xml:space="preserve"> the Short</w:t>
      </w:r>
      <w:r w:rsidR="00007EA7">
        <w:rPr>
          <w:rFonts w:eastAsia="Times New Roman" w:cs="Times New Roman"/>
          <w:sz w:val="24"/>
          <w:szCs w:val="24"/>
        </w:rPr>
        <w:t>-</w:t>
      </w:r>
      <w:r w:rsidR="008748BB">
        <w:rPr>
          <w:rFonts w:eastAsia="Times New Roman" w:cs="Times New Roman"/>
          <w:sz w:val="24"/>
          <w:szCs w:val="24"/>
        </w:rPr>
        <w:t>regimen (</w:t>
      </w:r>
      <w:r w:rsidR="002F5ED9">
        <w:rPr>
          <w:rFonts w:eastAsia="Times New Roman" w:cs="Times New Roman"/>
          <w:sz w:val="24"/>
          <w:szCs w:val="24"/>
        </w:rPr>
        <w:t>US</w:t>
      </w:r>
      <w:r w:rsidR="008748BB">
        <w:rPr>
          <w:rFonts w:eastAsia="Times New Roman" w:cs="Times New Roman"/>
          <w:sz w:val="24"/>
          <w:szCs w:val="24"/>
        </w:rPr>
        <w:t>$16</w:t>
      </w:r>
      <w:r w:rsidR="00504A96">
        <w:rPr>
          <w:rFonts w:eastAsia="Times New Roman" w:cs="Times New Roman"/>
          <w:sz w:val="24"/>
          <w:szCs w:val="24"/>
        </w:rPr>
        <w:t>,</w:t>
      </w:r>
      <w:r w:rsidR="008748BB">
        <w:rPr>
          <w:rFonts w:eastAsia="Times New Roman" w:cs="Times New Roman"/>
          <w:sz w:val="24"/>
          <w:szCs w:val="24"/>
        </w:rPr>
        <w:t xml:space="preserve"> 95%CI</w:t>
      </w:r>
      <w:r w:rsidR="00504A96">
        <w:rPr>
          <w:rFonts w:eastAsia="Times New Roman" w:cs="Times New Roman"/>
          <w:sz w:val="24"/>
          <w:szCs w:val="24"/>
        </w:rPr>
        <w:t xml:space="preserve"> </w:t>
      </w:r>
      <w:r w:rsidR="002F5ED9">
        <w:rPr>
          <w:rFonts w:eastAsia="Times New Roman" w:cs="Times New Roman"/>
          <w:sz w:val="24"/>
          <w:szCs w:val="24"/>
        </w:rPr>
        <w:t>US</w:t>
      </w:r>
      <w:r w:rsidR="008748BB">
        <w:rPr>
          <w:rFonts w:eastAsia="Times New Roman" w:cs="Times New Roman"/>
          <w:sz w:val="24"/>
          <w:szCs w:val="24"/>
        </w:rPr>
        <w:t>$1- 30</w:t>
      </w:r>
      <w:r w:rsidRPr="002202FC">
        <w:rPr>
          <w:rFonts w:eastAsia="Times New Roman" w:cs="Times New Roman"/>
          <w:sz w:val="24"/>
          <w:szCs w:val="24"/>
        </w:rPr>
        <w:t xml:space="preserve">). </w:t>
      </w:r>
      <w:r>
        <w:rPr>
          <w:rFonts w:eastAsia="Times New Roman" w:cs="Times New Roman"/>
          <w:sz w:val="24"/>
          <w:szCs w:val="24"/>
        </w:rPr>
        <w:t>Though expensive to treat</w:t>
      </w:r>
      <w:r w:rsidR="00D92099">
        <w:rPr>
          <w:rFonts w:eastAsia="Times New Roman" w:cs="Times New Roman"/>
          <w:sz w:val="24"/>
          <w:szCs w:val="24"/>
        </w:rPr>
        <w:t xml:space="preserve"> per episode</w:t>
      </w:r>
      <w:r>
        <w:rPr>
          <w:rFonts w:eastAsia="Times New Roman" w:cs="Times New Roman"/>
          <w:sz w:val="24"/>
          <w:szCs w:val="24"/>
        </w:rPr>
        <w:t xml:space="preserve">, SAEs </w:t>
      </w:r>
      <w:r w:rsidR="007D7FDC">
        <w:rPr>
          <w:rFonts w:eastAsia="Times New Roman" w:cs="Times New Roman"/>
          <w:sz w:val="24"/>
          <w:szCs w:val="24"/>
        </w:rPr>
        <w:t>did</w:t>
      </w:r>
      <w:r>
        <w:rPr>
          <w:rFonts w:eastAsia="Times New Roman" w:cs="Times New Roman"/>
          <w:sz w:val="24"/>
          <w:szCs w:val="24"/>
        </w:rPr>
        <w:t xml:space="preserve"> not contribute substantially to the</w:t>
      </w:r>
      <w:r w:rsidR="009C38A3">
        <w:rPr>
          <w:rFonts w:eastAsia="Times New Roman" w:cs="Times New Roman"/>
          <w:sz w:val="24"/>
          <w:szCs w:val="24"/>
        </w:rPr>
        <w:t xml:space="preserve"> overall</w:t>
      </w:r>
      <w:r>
        <w:rPr>
          <w:rFonts w:eastAsia="Times New Roman" w:cs="Times New Roman"/>
          <w:sz w:val="24"/>
          <w:szCs w:val="24"/>
        </w:rPr>
        <w:t xml:space="preserve"> costs of treatment or the savings from the Short</w:t>
      </w:r>
      <w:r w:rsidR="00007EA7">
        <w:rPr>
          <w:rFonts w:eastAsia="Times New Roman" w:cs="Times New Roman"/>
          <w:sz w:val="24"/>
          <w:szCs w:val="24"/>
        </w:rPr>
        <w:t>-</w:t>
      </w:r>
      <w:r>
        <w:rPr>
          <w:rFonts w:eastAsia="Times New Roman" w:cs="Times New Roman"/>
          <w:sz w:val="24"/>
          <w:szCs w:val="24"/>
        </w:rPr>
        <w:t>regimen</w:t>
      </w:r>
      <w:r w:rsidR="00D92099">
        <w:rPr>
          <w:rFonts w:eastAsia="Times New Roman" w:cs="Times New Roman"/>
          <w:sz w:val="24"/>
          <w:szCs w:val="24"/>
        </w:rPr>
        <w:t xml:space="preserve"> as</w:t>
      </w:r>
      <w:r w:rsidR="007D7FDC">
        <w:rPr>
          <w:rFonts w:eastAsia="Times New Roman" w:cs="Times New Roman"/>
          <w:sz w:val="24"/>
          <w:szCs w:val="24"/>
        </w:rPr>
        <w:t xml:space="preserve"> few</w:t>
      </w:r>
      <w:r w:rsidR="00D92099">
        <w:rPr>
          <w:rFonts w:eastAsia="Times New Roman" w:cs="Times New Roman"/>
          <w:sz w:val="24"/>
          <w:szCs w:val="24"/>
        </w:rPr>
        <w:t xml:space="preserve"> patients</w:t>
      </w:r>
      <w:r w:rsidR="007D7FDC">
        <w:rPr>
          <w:rFonts w:eastAsia="Times New Roman" w:cs="Times New Roman"/>
          <w:sz w:val="24"/>
          <w:szCs w:val="24"/>
        </w:rPr>
        <w:t xml:space="preserve"> </w:t>
      </w:r>
      <w:r w:rsidR="00D92099">
        <w:rPr>
          <w:rFonts w:eastAsia="Times New Roman" w:cs="Times New Roman"/>
          <w:sz w:val="24"/>
          <w:szCs w:val="24"/>
        </w:rPr>
        <w:t>experienc</w:t>
      </w:r>
      <w:r w:rsidR="007D7FDC">
        <w:rPr>
          <w:rFonts w:eastAsia="Times New Roman" w:cs="Times New Roman"/>
          <w:sz w:val="24"/>
          <w:szCs w:val="24"/>
        </w:rPr>
        <w:t>ed</w:t>
      </w:r>
      <w:r w:rsidR="00D92099">
        <w:rPr>
          <w:rFonts w:eastAsia="Times New Roman" w:cs="Times New Roman"/>
          <w:sz w:val="24"/>
          <w:szCs w:val="24"/>
        </w:rPr>
        <w:t xml:space="preserve"> them</w:t>
      </w:r>
      <w:r w:rsidR="007D7FDC">
        <w:rPr>
          <w:rFonts w:eastAsia="Times New Roman" w:cs="Times New Roman"/>
          <w:sz w:val="24"/>
          <w:szCs w:val="24"/>
        </w:rPr>
        <w:t>.</w:t>
      </w:r>
      <w:r w:rsidR="00D92099">
        <w:rPr>
          <w:rFonts w:eastAsia="Times New Roman" w:cs="Times New Roman"/>
          <w:sz w:val="24"/>
          <w:szCs w:val="24"/>
        </w:rPr>
        <w:t xml:space="preserve"> </w:t>
      </w:r>
    </w:p>
    <w:p w14:paraId="7D7428D4" w14:textId="77777777" w:rsidR="00E95491" w:rsidRDefault="00E95491" w:rsidP="00815142">
      <w:pPr>
        <w:spacing w:after="0" w:line="480" w:lineRule="auto"/>
        <w:rPr>
          <w:rFonts w:eastAsia="Times New Roman" w:cs="Times New Roman"/>
          <w:sz w:val="24"/>
          <w:szCs w:val="24"/>
        </w:rPr>
      </w:pPr>
    </w:p>
    <w:bookmarkEnd w:id="16"/>
    <w:p w14:paraId="6000FD94" w14:textId="4F308E69" w:rsidR="00E0758C" w:rsidRDefault="00D5034F">
      <w:pPr>
        <w:spacing w:line="480" w:lineRule="auto"/>
        <w:rPr>
          <w:sz w:val="24"/>
          <w:szCs w:val="24"/>
        </w:rPr>
      </w:pPr>
      <w:r>
        <w:rPr>
          <w:sz w:val="24"/>
          <w:szCs w:val="24"/>
        </w:rPr>
        <w:t xml:space="preserve">Our PSA </w:t>
      </w:r>
      <w:r w:rsidR="001241AF">
        <w:rPr>
          <w:sz w:val="24"/>
          <w:szCs w:val="24"/>
        </w:rPr>
        <w:t xml:space="preserve">(Fig 4 and Fig 5) </w:t>
      </w:r>
      <w:r>
        <w:rPr>
          <w:sz w:val="24"/>
          <w:szCs w:val="24"/>
        </w:rPr>
        <w:t>shows that t</w:t>
      </w:r>
      <w:r w:rsidR="00826FCC">
        <w:rPr>
          <w:sz w:val="24"/>
          <w:szCs w:val="24"/>
        </w:rPr>
        <w:t>he</w:t>
      </w:r>
      <w:r>
        <w:rPr>
          <w:sz w:val="24"/>
          <w:szCs w:val="24"/>
        </w:rPr>
        <w:t xml:space="preserve"> shortened regimen is highly likely to be cost-effective, but this probability declines as the value the decision-maker places on avoiding an unfavourable outcome </w:t>
      </w:r>
      <w:r w:rsidR="001241AF">
        <w:rPr>
          <w:sz w:val="24"/>
          <w:szCs w:val="24"/>
        </w:rPr>
        <w:t xml:space="preserve">increases. </w:t>
      </w:r>
      <w:bookmarkStart w:id="17" w:name="_Hlk27059803"/>
      <w:r w:rsidR="001241AF">
        <w:rPr>
          <w:sz w:val="24"/>
          <w:szCs w:val="24"/>
        </w:rPr>
        <w:t xml:space="preserve">The probability of cost-effectiveness is &gt;95% if that value is less than </w:t>
      </w:r>
      <w:r w:rsidR="00826FCC">
        <w:rPr>
          <w:sz w:val="24"/>
          <w:szCs w:val="24"/>
        </w:rPr>
        <w:t xml:space="preserve">US$19,000 in Ethiopia </w:t>
      </w:r>
      <w:r w:rsidR="001241AF">
        <w:rPr>
          <w:sz w:val="24"/>
          <w:szCs w:val="24"/>
        </w:rPr>
        <w:t xml:space="preserve">or </w:t>
      </w:r>
      <w:r w:rsidR="00826FCC">
        <w:rPr>
          <w:sz w:val="24"/>
          <w:szCs w:val="24"/>
        </w:rPr>
        <w:t>US$14,500 in South Africa</w:t>
      </w:r>
      <w:r w:rsidR="001A5347">
        <w:rPr>
          <w:sz w:val="24"/>
          <w:szCs w:val="24"/>
        </w:rPr>
        <w:t>.</w:t>
      </w:r>
      <w:r w:rsidR="00A42D4A">
        <w:rPr>
          <w:sz w:val="24"/>
          <w:szCs w:val="24"/>
        </w:rPr>
        <w:t xml:space="preserve"> </w:t>
      </w:r>
      <w:r w:rsidR="0007312E">
        <w:rPr>
          <w:sz w:val="24"/>
          <w:szCs w:val="24"/>
        </w:rPr>
        <w:t xml:space="preserve"> </w:t>
      </w:r>
      <w:r w:rsidR="001241AF">
        <w:rPr>
          <w:sz w:val="24"/>
          <w:szCs w:val="24"/>
        </w:rPr>
        <w:t xml:space="preserve">Even if value placed on </w:t>
      </w:r>
      <w:r w:rsidR="001241AF">
        <w:rPr>
          <w:sz w:val="24"/>
          <w:szCs w:val="24"/>
        </w:rPr>
        <w:lastRenderedPageBreak/>
        <w:t xml:space="preserve">avoiding an unfavourable outcome were as high as </w:t>
      </w:r>
      <w:r>
        <w:rPr>
          <w:sz w:val="24"/>
          <w:szCs w:val="24"/>
        </w:rPr>
        <w:t>$100,000, this probability would still be above 7</w:t>
      </w:r>
      <w:r w:rsidR="00081C64">
        <w:rPr>
          <w:sz w:val="24"/>
          <w:szCs w:val="24"/>
        </w:rPr>
        <w:t>7</w:t>
      </w:r>
      <w:r>
        <w:rPr>
          <w:sz w:val="24"/>
          <w:szCs w:val="24"/>
        </w:rPr>
        <w:t>% in both countries</w:t>
      </w:r>
      <w:bookmarkEnd w:id="17"/>
      <w:r>
        <w:rPr>
          <w:sz w:val="24"/>
          <w:szCs w:val="24"/>
        </w:rPr>
        <w:t xml:space="preserve">. </w:t>
      </w:r>
    </w:p>
    <w:p w14:paraId="757D4BE8" w14:textId="77777777" w:rsidR="004F379D" w:rsidRPr="008D576F" w:rsidRDefault="004F379D">
      <w:pPr>
        <w:spacing w:line="480" w:lineRule="auto"/>
        <w:rPr>
          <w:rFonts w:ascii="Arial" w:hAnsi="Arial" w:cs="Arial"/>
        </w:rPr>
      </w:pPr>
    </w:p>
    <w:p w14:paraId="2FCD4BBE" w14:textId="0254C3E8" w:rsidR="00B250D1" w:rsidRDefault="00882548" w:rsidP="00815142">
      <w:pPr>
        <w:spacing w:line="480" w:lineRule="auto"/>
        <w:rPr>
          <w:rFonts w:ascii="Arial" w:hAnsi="Arial" w:cs="Arial"/>
        </w:rPr>
      </w:pPr>
      <w:r>
        <w:rPr>
          <w:rFonts w:eastAsia="Times New Roman" w:cs="Times New Roman"/>
          <w:sz w:val="24"/>
          <w:szCs w:val="24"/>
        </w:rPr>
        <w:t>PARTICIPANT</w:t>
      </w:r>
      <w:r w:rsidRPr="00C41C6F">
        <w:rPr>
          <w:rFonts w:eastAsia="Times New Roman" w:cs="Times New Roman"/>
          <w:sz w:val="24"/>
          <w:szCs w:val="24"/>
        </w:rPr>
        <w:t xml:space="preserve"> </w:t>
      </w:r>
      <w:r w:rsidR="00D64C4D" w:rsidRPr="00C41C6F">
        <w:rPr>
          <w:rFonts w:eastAsia="Times New Roman" w:cs="Times New Roman"/>
          <w:sz w:val="24"/>
          <w:szCs w:val="24"/>
        </w:rPr>
        <w:t>COSTS</w:t>
      </w:r>
    </w:p>
    <w:p w14:paraId="49BF2609" w14:textId="058F3E80" w:rsidR="00122C9D" w:rsidRPr="00C41C6F" w:rsidRDefault="00D9168C" w:rsidP="00815142">
      <w:pPr>
        <w:spacing w:line="480" w:lineRule="auto"/>
        <w:rPr>
          <w:rFonts w:eastAsia="Times New Roman" w:cs="Times New Roman"/>
          <w:sz w:val="24"/>
          <w:szCs w:val="24"/>
        </w:rPr>
      </w:pPr>
      <w:r>
        <w:rPr>
          <w:rFonts w:eastAsia="Times New Roman" w:cs="Times New Roman"/>
          <w:sz w:val="24"/>
          <w:szCs w:val="24"/>
        </w:rPr>
        <w:t>Data</w:t>
      </w:r>
      <w:r w:rsidR="001901EA">
        <w:rPr>
          <w:rFonts w:eastAsia="Times New Roman" w:cs="Times New Roman"/>
          <w:sz w:val="24"/>
          <w:szCs w:val="24"/>
        </w:rPr>
        <w:t xml:space="preserve"> from </w:t>
      </w:r>
      <w:r w:rsidR="006F6D9D">
        <w:rPr>
          <w:rFonts w:eastAsia="Times New Roman" w:cs="Times New Roman"/>
          <w:sz w:val="24"/>
          <w:szCs w:val="24"/>
        </w:rPr>
        <w:t>111</w:t>
      </w:r>
      <w:r w:rsidR="001901EA">
        <w:rPr>
          <w:rFonts w:eastAsia="Times New Roman" w:cs="Times New Roman"/>
          <w:sz w:val="24"/>
          <w:szCs w:val="24"/>
        </w:rPr>
        <w:t xml:space="preserve"> </w:t>
      </w:r>
      <w:r w:rsidR="006C457B">
        <w:rPr>
          <w:rFonts w:eastAsia="Times New Roman" w:cs="Times New Roman"/>
          <w:sz w:val="24"/>
          <w:szCs w:val="24"/>
        </w:rPr>
        <w:t>participant</w:t>
      </w:r>
      <w:r w:rsidR="001901EA">
        <w:rPr>
          <w:rFonts w:eastAsia="Times New Roman" w:cs="Times New Roman"/>
          <w:sz w:val="24"/>
          <w:szCs w:val="24"/>
        </w:rPr>
        <w:t xml:space="preserve">s in Ethiopia and </w:t>
      </w:r>
      <w:r w:rsidR="006F6D9D">
        <w:rPr>
          <w:rFonts w:eastAsia="Times New Roman" w:cs="Times New Roman"/>
          <w:sz w:val="24"/>
          <w:szCs w:val="24"/>
        </w:rPr>
        <w:t>14</w:t>
      </w:r>
      <w:r w:rsidR="001901EA">
        <w:rPr>
          <w:rFonts w:eastAsia="Times New Roman" w:cs="Times New Roman"/>
          <w:sz w:val="24"/>
          <w:szCs w:val="24"/>
        </w:rPr>
        <w:t xml:space="preserve"> </w:t>
      </w:r>
      <w:r w:rsidR="006C457B">
        <w:rPr>
          <w:rFonts w:eastAsia="Times New Roman" w:cs="Times New Roman"/>
          <w:sz w:val="24"/>
          <w:szCs w:val="24"/>
        </w:rPr>
        <w:t>participant</w:t>
      </w:r>
      <w:r w:rsidR="001901EA">
        <w:rPr>
          <w:rFonts w:eastAsia="Times New Roman" w:cs="Times New Roman"/>
          <w:sz w:val="24"/>
          <w:szCs w:val="24"/>
        </w:rPr>
        <w:t>s in</w:t>
      </w:r>
      <w:r w:rsidR="003E0130">
        <w:rPr>
          <w:rFonts w:eastAsia="Times New Roman" w:cs="Times New Roman"/>
          <w:sz w:val="24"/>
          <w:szCs w:val="24"/>
        </w:rPr>
        <w:t xml:space="preserve"> Doris </w:t>
      </w:r>
      <w:r w:rsidR="006F6D9D">
        <w:rPr>
          <w:rFonts w:eastAsia="Times New Roman" w:cs="Times New Roman"/>
          <w:sz w:val="24"/>
          <w:szCs w:val="24"/>
        </w:rPr>
        <w:t>Go</w:t>
      </w:r>
      <w:r w:rsidR="003E0130">
        <w:rPr>
          <w:rFonts w:eastAsia="Times New Roman" w:cs="Times New Roman"/>
          <w:sz w:val="24"/>
          <w:szCs w:val="24"/>
        </w:rPr>
        <w:t>o</w:t>
      </w:r>
      <w:r w:rsidR="006F6D9D">
        <w:rPr>
          <w:rFonts w:eastAsia="Times New Roman" w:cs="Times New Roman"/>
          <w:sz w:val="24"/>
          <w:szCs w:val="24"/>
        </w:rPr>
        <w:t xml:space="preserve">dwin </w:t>
      </w:r>
      <w:r w:rsidR="003E0130">
        <w:rPr>
          <w:rFonts w:eastAsia="Times New Roman" w:cs="Times New Roman"/>
          <w:sz w:val="24"/>
          <w:szCs w:val="24"/>
        </w:rPr>
        <w:t xml:space="preserve">(South Africa) </w:t>
      </w:r>
      <w:r w:rsidR="005823DC">
        <w:rPr>
          <w:rFonts w:eastAsia="Times New Roman" w:cs="Times New Roman"/>
          <w:sz w:val="24"/>
          <w:szCs w:val="24"/>
        </w:rPr>
        <w:t>were</w:t>
      </w:r>
      <w:r w:rsidR="006F6D9D">
        <w:rPr>
          <w:rFonts w:eastAsia="Times New Roman" w:cs="Times New Roman"/>
          <w:sz w:val="24"/>
          <w:szCs w:val="24"/>
        </w:rPr>
        <w:t xml:space="preserve"> included in the</w:t>
      </w:r>
      <w:r>
        <w:rPr>
          <w:rFonts w:eastAsia="Times New Roman" w:cs="Times New Roman"/>
          <w:sz w:val="24"/>
          <w:szCs w:val="24"/>
        </w:rPr>
        <w:t xml:space="preserve"> </w:t>
      </w:r>
      <w:r w:rsidR="006C457B">
        <w:rPr>
          <w:rFonts w:eastAsia="Times New Roman" w:cs="Times New Roman"/>
          <w:sz w:val="24"/>
          <w:szCs w:val="24"/>
        </w:rPr>
        <w:t>participant</w:t>
      </w:r>
      <w:r>
        <w:rPr>
          <w:rFonts w:eastAsia="Times New Roman" w:cs="Times New Roman"/>
          <w:sz w:val="24"/>
          <w:szCs w:val="24"/>
        </w:rPr>
        <w:t xml:space="preserve"> perspective</w:t>
      </w:r>
      <w:r w:rsidR="006F6D9D">
        <w:rPr>
          <w:rFonts w:eastAsia="Times New Roman" w:cs="Times New Roman"/>
          <w:sz w:val="24"/>
          <w:szCs w:val="24"/>
        </w:rPr>
        <w:t xml:space="preserve"> analysis</w:t>
      </w:r>
      <w:r w:rsidR="001901EA">
        <w:rPr>
          <w:rFonts w:eastAsia="Times New Roman" w:cs="Times New Roman"/>
          <w:sz w:val="24"/>
          <w:szCs w:val="24"/>
        </w:rPr>
        <w:t xml:space="preserve">.  </w:t>
      </w:r>
      <w:r w:rsidR="00122C9D" w:rsidRPr="00C41C6F">
        <w:rPr>
          <w:rFonts w:eastAsia="Times New Roman" w:cs="Times New Roman"/>
          <w:sz w:val="24"/>
          <w:szCs w:val="24"/>
        </w:rPr>
        <w:t xml:space="preserve">The mean cost </w:t>
      </w:r>
      <w:r w:rsidR="00882548">
        <w:rPr>
          <w:rFonts w:eastAsia="Times New Roman" w:cs="Times New Roman"/>
          <w:sz w:val="24"/>
          <w:szCs w:val="24"/>
        </w:rPr>
        <w:t xml:space="preserve">per participant </w:t>
      </w:r>
      <w:r w:rsidR="00E26D98">
        <w:rPr>
          <w:rFonts w:eastAsia="Times New Roman" w:cs="Times New Roman"/>
          <w:sz w:val="24"/>
          <w:szCs w:val="24"/>
        </w:rPr>
        <w:t>of a</w:t>
      </w:r>
      <w:r w:rsidR="00A62A6F">
        <w:rPr>
          <w:rFonts w:eastAsia="Times New Roman" w:cs="Times New Roman"/>
          <w:sz w:val="24"/>
          <w:szCs w:val="24"/>
        </w:rPr>
        <w:t xml:space="preserve"> </w:t>
      </w:r>
      <w:r w:rsidR="00122C9D" w:rsidRPr="00C41C6F">
        <w:rPr>
          <w:rFonts w:eastAsia="Times New Roman" w:cs="Times New Roman"/>
          <w:sz w:val="24"/>
          <w:szCs w:val="24"/>
        </w:rPr>
        <w:t xml:space="preserve">health facility </w:t>
      </w:r>
      <w:r w:rsidR="00A62A6F">
        <w:rPr>
          <w:rFonts w:eastAsia="Times New Roman" w:cs="Times New Roman"/>
          <w:sz w:val="24"/>
          <w:szCs w:val="24"/>
        </w:rPr>
        <w:t>visit</w:t>
      </w:r>
      <w:r w:rsidR="00122C9D" w:rsidRPr="00C41C6F">
        <w:rPr>
          <w:rFonts w:eastAsia="Times New Roman" w:cs="Times New Roman"/>
          <w:sz w:val="24"/>
          <w:szCs w:val="24"/>
        </w:rPr>
        <w:t xml:space="preserve"> was </w:t>
      </w:r>
      <w:r w:rsidR="00405BF4">
        <w:rPr>
          <w:rFonts w:eastAsia="Times New Roman" w:cs="Times New Roman"/>
          <w:sz w:val="24"/>
          <w:szCs w:val="24"/>
        </w:rPr>
        <w:t>US</w:t>
      </w:r>
      <w:r w:rsidR="00122C9D" w:rsidRPr="00C41C6F">
        <w:rPr>
          <w:rFonts w:eastAsia="Times New Roman" w:cs="Times New Roman"/>
          <w:sz w:val="24"/>
          <w:szCs w:val="24"/>
        </w:rPr>
        <w:t>$1</w:t>
      </w:r>
      <w:r w:rsidR="00504A96">
        <w:t>·</w:t>
      </w:r>
      <w:r w:rsidR="00122C9D" w:rsidRPr="00C41C6F">
        <w:rPr>
          <w:rFonts w:eastAsia="Times New Roman" w:cs="Times New Roman"/>
          <w:sz w:val="24"/>
          <w:szCs w:val="24"/>
        </w:rPr>
        <w:t>14</w:t>
      </w:r>
      <w:r w:rsidR="004E057E">
        <w:rPr>
          <w:rFonts w:eastAsia="Times New Roman" w:cs="Times New Roman"/>
          <w:sz w:val="24"/>
          <w:szCs w:val="24"/>
        </w:rPr>
        <w:t xml:space="preserve"> </w:t>
      </w:r>
      <w:r w:rsidR="00122C9D" w:rsidRPr="00C41C6F">
        <w:rPr>
          <w:rFonts w:eastAsia="Times New Roman" w:cs="Times New Roman"/>
          <w:sz w:val="24"/>
          <w:szCs w:val="24"/>
        </w:rPr>
        <w:t>in Ethiopia ($0</w:t>
      </w:r>
      <w:r w:rsidR="00504A96">
        <w:t>·</w:t>
      </w:r>
      <w:r w:rsidR="00122C9D" w:rsidRPr="00C41C6F">
        <w:rPr>
          <w:rFonts w:eastAsia="Times New Roman" w:cs="Times New Roman"/>
          <w:sz w:val="24"/>
          <w:szCs w:val="24"/>
        </w:rPr>
        <w:t>77 transport</w:t>
      </w:r>
      <w:r w:rsidR="00770825" w:rsidRPr="00C41C6F">
        <w:rPr>
          <w:rFonts w:eastAsia="Times New Roman" w:cs="Times New Roman"/>
          <w:sz w:val="24"/>
          <w:szCs w:val="24"/>
        </w:rPr>
        <w:t xml:space="preserve"> </w:t>
      </w:r>
      <w:r w:rsidR="00122C9D" w:rsidRPr="00C41C6F">
        <w:rPr>
          <w:rFonts w:eastAsia="Times New Roman" w:cs="Times New Roman"/>
          <w:sz w:val="24"/>
          <w:szCs w:val="24"/>
        </w:rPr>
        <w:t xml:space="preserve">and </w:t>
      </w:r>
      <w:r w:rsidR="00405BF4">
        <w:rPr>
          <w:rFonts w:eastAsia="Times New Roman" w:cs="Times New Roman"/>
          <w:sz w:val="24"/>
          <w:szCs w:val="24"/>
        </w:rPr>
        <w:t>US</w:t>
      </w:r>
      <w:r w:rsidR="00122C9D" w:rsidRPr="00C41C6F">
        <w:rPr>
          <w:rFonts w:eastAsia="Times New Roman" w:cs="Times New Roman"/>
          <w:sz w:val="24"/>
          <w:szCs w:val="24"/>
        </w:rPr>
        <w:t>$0</w:t>
      </w:r>
      <w:r w:rsidR="00504A96">
        <w:t>·</w:t>
      </w:r>
      <w:r w:rsidR="00122C9D" w:rsidRPr="00C41C6F">
        <w:rPr>
          <w:rFonts w:eastAsia="Times New Roman" w:cs="Times New Roman"/>
          <w:sz w:val="24"/>
          <w:szCs w:val="24"/>
        </w:rPr>
        <w:t xml:space="preserve">37 </w:t>
      </w:r>
      <w:r w:rsidR="00D64C4D" w:rsidRPr="00C41C6F">
        <w:rPr>
          <w:rFonts w:eastAsia="Times New Roman" w:cs="Times New Roman"/>
          <w:sz w:val="24"/>
          <w:szCs w:val="24"/>
        </w:rPr>
        <w:t>food</w:t>
      </w:r>
      <w:r w:rsidR="00122C9D" w:rsidRPr="00C41C6F">
        <w:rPr>
          <w:rFonts w:eastAsia="Times New Roman" w:cs="Times New Roman"/>
          <w:sz w:val="24"/>
          <w:szCs w:val="24"/>
        </w:rPr>
        <w:t xml:space="preserve">) and </w:t>
      </w:r>
      <w:r w:rsidR="00405BF4">
        <w:rPr>
          <w:rFonts w:eastAsia="Times New Roman" w:cs="Times New Roman"/>
          <w:sz w:val="24"/>
          <w:szCs w:val="24"/>
        </w:rPr>
        <w:t>US</w:t>
      </w:r>
      <w:r w:rsidR="00122C9D" w:rsidRPr="00C41C6F">
        <w:rPr>
          <w:rFonts w:eastAsia="Times New Roman" w:cs="Times New Roman"/>
          <w:sz w:val="24"/>
          <w:szCs w:val="24"/>
        </w:rPr>
        <w:t>$</w:t>
      </w:r>
      <w:r w:rsidR="00642C9C">
        <w:rPr>
          <w:rFonts w:eastAsia="Times New Roman" w:cs="Times New Roman"/>
          <w:sz w:val="24"/>
          <w:szCs w:val="24"/>
        </w:rPr>
        <w:t>4</w:t>
      </w:r>
      <w:r w:rsidR="00504A96">
        <w:t>·</w:t>
      </w:r>
      <w:r w:rsidR="00642C9C">
        <w:rPr>
          <w:rFonts w:eastAsia="Times New Roman" w:cs="Times New Roman"/>
          <w:sz w:val="24"/>
          <w:szCs w:val="24"/>
        </w:rPr>
        <w:t>92</w:t>
      </w:r>
      <w:r w:rsidR="004E057E">
        <w:rPr>
          <w:rFonts w:eastAsia="Times New Roman" w:cs="Times New Roman"/>
          <w:sz w:val="24"/>
          <w:szCs w:val="24"/>
        </w:rPr>
        <w:t xml:space="preserve"> </w:t>
      </w:r>
      <w:r w:rsidR="002D0CB8" w:rsidRPr="00C41C6F">
        <w:rPr>
          <w:rFonts w:eastAsia="Times New Roman" w:cs="Times New Roman"/>
          <w:sz w:val="24"/>
          <w:szCs w:val="24"/>
        </w:rPr>
        <w:t xml:space="preserve">for Doris Goodwin, </w:t>
      </w:r>
      <w:r w:rsidR="00122C9D" w:rsidRPr="00C41C6F">
        <w:rPr>
          <w:rFonts w:eastAsia="Times New Roman" w:cs="Times New Roman"/>
          <w:sz w:val="24"/>
          <w:szCs w:val="24"/>
        </w:rPr>
        <w:t>South Africa (</w:t>
      </w:r>
      <w:r w:rsidR="00405BF4">
        <w:rPr>
          <w:rFonts w:eastAsia="Times New Roman" w:cs="Times New Roman"/>
          <w:sz w:val="24"/>
          <w:szCs w:val="24"/>
        </w:rPr>
        <w:t>US</w:t>
      </w:r>
      <w:r w:rsidR="002F7B73" w:rsidRPr="00C41C6F">
        <w:rPr>
          <w:rFonts w:eastAsia="Times New Roman" w:cs="Times New Roman"/>
          <w:sz w:val="24"/>
          <w:szCs w:val="24"/>
        </w:rPr>
        <w:t>$</w:t>
      </w:r>
      <w:r w:rsidR="00642C9C">
        <w:rPr>
          <w:rFonts w:eastAsia="Times New Roman" w:cs="Times New Roman"/>
          <w:sz w:val="24"/>
          <w:szCs w:val="24"/>
        </w:rPr>
        <w:t>3</w:t>
      </w:r>
      <w:r w:rsidR="00504A96">
        <w:t>·</w:t>
      </w:r>
      <w:r w:rsidR="00642C9C">
        <w:rPr>
          <w:rFonts w:eastAsia="Times New Roman" w:cs="Times New Roman"/>
          <w:sz w:val="24"/>
          <w:szCs w:val="24"/>
        </w:rPr>
        <w:t xml:space="preserve">60 transport </w:t>
      </w:r>
      <w:r w:rsidR="002F7B73" w:rsidRPr="00C41C6F">
        <w:rPr>
          <w:rFonts w:eastAsia="Times New Roman" w:cs="Times New Roman"/>
          <w:sz w:val="24"/>
          <w:szCs w:val="24"/>
        </w:rPr>
        <w:t xml:space="preserve">and </w:t>
      </w:r>
      <w:r w:rsidR="00405BF4">
        <w:rPr>
          <w:rFonts w:eastAsia="Times New Roman" w:cs="Times New Roman"/>
          <w:sz w:val="24"/>
          <w:szCs w:val="24"/>
        </w:rPr>
        <w:t>US</w:t>
      </w:r>
      <w:r w:rsidR="002F7B73" w:rsidRPr="00C41C6F">
        <w:rPr>
          <w:rFonts w:eastAsia="Times New Roman" w:cs="Times New Roman"/>
          <w:sz w:val="24"/>
          <w:szCs w:val="24"/>
        </w:rPr>
        <w:t>$1</w:t>
      </w:r>
      <w:r w:rsidR="00504A96">
        <w:t>·</w:t>
      </w:r>
      <w:r w:rsidR="002F7B73" w:rsidRPr="00C41C6F">
        <w:rPr>
          <w:rFonts w:eastAsia="Times New Roman" w:cs="Times New Roman"/>
          <w:sz w:val="24"/>
          <w:szCs w:val="24"/>
        </w:rPr>
        <w:t>32 food)</w:t>
      </w:r>
      <w:r w:rsidR="00F1510F">
        <w:rPr>
          <w:rFonts w:eastAsia="Times New Roman" w:cs="Times New Roman"/>
          <w:sz w:val="24"/>
          <w:szCs w:val="24"/>
        </w:rPr>
        <w:t xml:space="preserve"> (Table 2)</w:t>
      </w:r>
      <w:r w:rsidR="002F7B73" w:rsidRPr="00C41C6F">
        <w:rPr>
          <w:rFonts w:eastAsia="Times New Roman" w:cs="Times New Roman"/>
          <w:sz w:val="24"/>
          <w:szCs w:val="24"/>
        </w:rPr>
        <w:t>.</w:t>
      </w:r>
      <w:r w:rsidR="003E4B19">
        <w:rPr>
          <w:rFonts w:eastAsia="Times New Roman" w:cs="Times New Roman"/>
          <w:sz w:val="24"/>
          <w:szCs w:val="24"/>
        </w:rPr>
        <w:t xml:space="preserve"> As explained above,</w:t>
      </w:r>
      <w:r w:rsidR="002D0CB8" w:rsidRPr="00C41C6F">
        <w:rPr>
          <w:rFonts w:eastAsia="Times New Roman" w:cs="Times New Roman"/>
          <w:sz w:val="24"/>
          <w:szCs w:val="24"/>
        </w:rPr>
        <w:t xml:space="preserve"> </w:t>
      </w:r>
      <w:bookmarkStart w:id="18" w:name="_Hlk522876835"/>
      <w:r w:rsidR="003E4B19">
        <w:rPr>
          <w:rFonts w:eastAsia="Times New Roman" w:cs="Times New Roman"/>
          <w:sz w:val="24"/>
          <w:szCs w:val="24"/>
        </w:rPr>
        <w:t>t</w:t>
      </w:r>
      <w:r w:rsidR="002D0CB8" w:rsidRPr="00C41C6F">
        <w:rPr>
          <w:rFonts w:eastAsia="Times New Roman" w:cs="Times New Roman"/>
          <w:sz w:val="24"/>
          <w:szCs w:val="24"/>
        </w:rPr>
        <w:t xml:space="preserve">here were insufficient responses to calculate a cost per </w:t>
      </w:r>
      <w:r w:rsidR="00BD0F05" w:rsidRPr="00C41C6F">
        <w:rPr>
          <w:rFonts w:eastAsia="Times New Roman" w:cs="Times New Roman"/>
          <w:sz w:val="24"/>
          <w:szCs w:val="24"/>
        </w:rPr>
        <w:t>visit</w:t>
      </w:r>
      <w:r w:rsidR="002D0CB8" w:rsidRPr="00C41C6F">
        <w:rPr>
          <w:rFonts w:eastAsia="Times New Roman" w:cs="Times New Roman"/>
          <w:sz w:val="24"/>
          <w:szCs w:val="24"/>
        </w:rPr>
        <w:t xml:space="preserve"> at the Sizwe</w:t>
      </w:r>
      <w:r w:rsidR="00183165">
        <w:rPr>
          <w:rFonts w:eastAsia="Times New Roman" w:cs="Times New Roman"/>
          <w:sz w:val="24"/>
          <w:szCs w:val="24"/>
        </w:rPr>
        <w:t xml:space="preserve"> (SA)</w:t>
      </w:r>
      <w:r w:rsidR="002D0CB8" w:rsidRPr="00C41C6F">
        <w:rPr>
          <w:rFonts w:eastAsia="Times New Roman" w:cs="Times New Roman"/>
          <w:sz w:val="24"/>
          <w:szCs w:val="24"/>
        </w:rPr>
        <w:t xml:space="preserve"> site</w:t>
      </w:r>
      <w:r w:rsidR="00E2671D">
        <w:rPr>
          <w:rFonts w:eastAsia="Times New Roman" w:cs="Times New Roman"/>
          <w:sz w:val="24"/>
          <w:szCs w:val="24"/>
        </w:rPr>
        <w:t xml:space="preserve">. </w:t>
      </w:r>
      <w:bookmarkEnd w:id="18"/>
      <w:r w:rsidR="002F7B73" w:rsidRPr="00C41C6F">
        <w:rPr>
          <w:rFonts w:eastAsia="Times New Roman" w:cs="Times New Roman"/>
          <w:sz w:val="24"/>
          <w:szCs w:val="24"/>
        </w:rPr>
        <w:t xml:space="preserve">In Ethiopia, the </w:t>
      </w:r>
      <w:r w:rsidR="009B24CD" w:rsidRPr="00C41C6F">
        <w:rPr>
          <w:rFonts w:eastAsia="Times New Roman" w:cs="Times New Roman"/>
          <w:sz w:val="24"/>
          <w:szCs w:val="24"/>
        </w:rPr>
        <w:t>Long</w:t>
      </w:r>
      <w:r w:rsidR="00851075">
        <w:rPr>
          <w:rFonts w:eastAsia="Times New Roman" w:cs="Times New Roman"/>
          <w:sz w:val="24"/>
          <w:szCs w:val="24"/>
        </w:rPr>
        <w:t>-</w:t>
      </w:r>
      <w:r w:rsidR="007F778A">
        <w:rPr>
          <w:rFonts w:eastAsia="Times New Roman" w:cs="Times New Roman"/>
          <w:sz w:val="24"/>
          <w:szCs w:val="24"/>
        </w:rPr>
        <w:t>r</w:t>
      </w:r>
      <w:r w:rsidR="009B24CD" w:rsidRPr="00C41C6F">
        <w:rPr>
          <w:rFonts w:eastAsia="Times New Roman" w:cs="Times New Roman"/>
          <w:sz w:val="24"/>
          <w:szCs w:val="24"/>
        </w:rPr>
        <w:t xml:space="preserve">egimen </w:t>
      </w:r>
      <w:r w:rsidR="002F7B73" w:rsidRPr="00C41C6F">
        <w:rPr>
          <w:rFonts w:eastAsia="Times New Roman" w:cs="Times New Roman"/>
          <w:sz w:val="24"/>
          <w:szCs w:val="24"/>
        </w:rPr>
        <w:t xml:space="preserve">is 11 months longer than the </w:t>
      </w:r>
      <w:r w:rsidR="009B24CD" w:rsidRPr="00C41C6F">
        <w:rPr>
          <w:rFonts w:eastAsia="Times New Roman" w:cs="Times New Roman"/>
          <w:sz w:val="24"/>
          <w:szCs w:val="24"/>
        </w:rPr>
        <w:t>Short</w:t>
      </w:r>
      <w:r w:rsidR="00007EA7">
        <w:rPr>
          <w:rFonts w:eastAsia="Times New Roman" w:cs="Times New Roman"/>
          <w:sz w:val="24"/>
          <w:szCs w:val="24"/>
        </w:rPr>
        <w:t>-</w:t>
      </w:r>
      <w:r w:rsidR="007F778A">
        <w:rPr>
          <w:rFonts w:eastAsia="Times New Roman" w:cs="Times New Roman"/>
          <w:sz w:val="24"/>
          <w:szCs w:val="24"/>
        </w:rPr>
        <w:t>r</w:t>
      </w:r>
      <w:r w:rsidR="009B24CD" w:rsidRPr="00C41C6F">
        <w:rPr>
          <w:rFonts w:eastAsia="Times New Roman" w:cs="Times New Roman"/>
          <w:sz w:val="24"/>
          <w:szCs w:val="24"/>
        </w:rPr>
        <w:t>egimen</w:t>
      </w:r>
      <w:r w:rsidR="002F7B73" w:rsidRPr="00C41C6F">
        <w:rPr>
          <w:rFonts w:eastAsia="Times New Roman" w:cs="Times New Roman"/>
          <w:sz w:val="24"/>
          <w:szCs w:val="24"/>
        </w:rPr>
        <w:t xml:space="preserve">, implying that adopting the latter would save </w:t>
      </w:r>
      <w:r w:rsidR="008604A3">
        <w:rPr>
          <w:rFonts w:eastAsia="Times New Roman" w:cs="Times New Roman"/>
          <w:sz w:val="24"/>
          <w:szCs w:val="24"/>
        </w:rPr>
        <w:t>each patient</w:t>
      </w:r>
      <w:r w:rsidR="008604A3" w:rsidRPr="00C41C6F">
        <w:rPr>
          <w:rFonts w:eastAsia="Times New Roman" w:cs="Times New Roman"/>
          <w:sz w:val="24"/>
          <w:szCs w:val="24"/>
        </w:rPr>
        <w:t xml:space="preserve"> </w:t>
      </w:r>
      <w:r w:rsidR="00405BF4">
        <w:rPr>
          <w:rFonts w:eastAsia="Times New Roman" w:cs="Times New Roman"/>
          <w:sz w:val="24"/>
          <w:szCs w:val="24"/>
        </w:rPr>
        <w:t>US</w:t>
      </w:r>
      <w:r w:rsidR="002F7B73" w:rsidRPr="00C41C6F">
        <w:rPr>
          <w:rFonts w:eastAsia="Times New Roman" w:cs="Times New Roman"/>
          <w:sz w:val="24"/>
          <w:szCs w:val="24"/>
        </w:rPr>
        <w:t>$12</w:t>
      </w:r>
      <w:r w:rsidR="00504A96">
        <w:t>·</w:t>
      </w:r>
      <w:r w:rsidR="002F7B73" w:rsidRPr="00C41C6F">
        <w:rPr>
          <w:rFonts w:eastAsia="Times New Roman" w:cs="Times New Roman"/>
          <w:sz w:val="24"/>
          <w:szCs w:val="24"/>
        </w:rPr>
        <w:t>5</w:t>
      </w:r>
      <w:r w:rsidR="000309E7">
        <w:rPr>
          <w:rFonts w:eastAsia="Times New Roman" w:cs="Times New Roman"/>
          <w:sz w:val="24"/>
          <w:szCs w:val="24"/>
        </w:rPr>
        <w:t>4</w:t>
      </w:r>
      <w:r w:rsidR="00534AC5">
        <w:rPr>
          <w:rFonts w:eastAsia="Times New Roman" w:cs="Times New Roman"/>
          <w:sz w:val="24"/>
          <w:szCs w:val="24"/>
        </w:rPr>
        <w:t xml:space="preserve"> </w:t>
      </w:r>
      <w:r w:rsidR="00882548">
        <w:rPr>
          <w:rFonts w:eastAsia="Times New Roman" w:cs="Times New Roman"/>
          <w:sz w:val="24"/>
          <w:szCs w:val="24"/>
        </w:rPr>
        <w:t>over the duration of treatment</w:t>
      </w:r>
      <w:r w:rsidR="002F7B73" w:rsidRPr="00C41C6F">
        <w:rPr>
          <w:rFonts w:eastAsia="Times New Roman" w:cs="Times New Roman"/>
          <w:sz w:val="24"/>
          <w:szCs w:val="24"/>
        </w:rPr>
        <w:t xml:space="preserve">. In South Africa, the </w:t>
      </w:r>
      <w:r w:rsidR="007F3607">
        <w:rPr>
          <w:rFonts w:eastAsia="Times New Roman" w:cs="Times New Roman"/>
          <w:sz w:val="24"/>
          <w:szCs w:val="24"/>
        </w:rPr>
        <w:t>difference</w:t>
      </w:r>
      <w:r w:rsidR="009B24CD" w:rsidRPr="00C41C6F">
        <w:rPr>
          <w:rFonts w:eastAsia="Times New Roman" w:cs="Times New Roman"/>
          <w:sz w:val="24"/>
          <w:szCs w:val="24"/>
        </w:rPr>
        <w:t xml:space="preserve"> </w:t>
      </w:r>
      <w:r w:rsidR="002F7B73" w:rsidRPr="00C41C6F">
        <w:rPr>
          <w:rFonts w:eastAsia="Times New Roman" w:cs="Times New Roman"/>
          <w:sz w:val="24"/>
          <w:szCs w:val="24"/>
        </w:rPr>
        <w:t xml:space="preserve">is 13 months, </w:t>
      </w:r>
      <w:r w:rsidR="00FF698C">
        <w:rPr>
          <w:rFonts w:eastAsia="Times New Roman" w:cs="Times New Roman"/>
          <w:sz w:val="24"/>
          <w:szCs w:val="24"/>
        </w:rPr>
        <w:t>giving a</w:t>
      </w:r>
      <w:r w:rsidR="00495082">
        <w:rPr>
          <w:rFonts w:eastAsia="Times New Roman" w:cs="Times New Roman"/>
          <w:sz w:val="24"/>
          <w:szCs w:val="24"/>
        </w:rPr>
        <w:t xml:space="preserve"> saving </w:t>
      </w:r>
      <w:r w:rsidR="00FF698C">
        <w:rPr>
          <w:rFonts w:eastAsia="Times New Roman" w:cs="Times New Roman"/>
          <w:sz w:val="24"/>
          <w:szCs w:val="24"/>
        </w:rPr>
        <w:t>of</w:t>
      </w:r>
      <w:r w:rsidR="008604A3" w:rsidRPr="00C41C6F">
        <w:rPr>
          <w:rFonts w:eastAsia="Times New Roman" w:cs="Times New Roman"/>
          <w:sz w:val="24"/>
          <w:szCs w:val="24"/>
        </w:rPr>
        <w:t xml:space="preserve"> </w:t>
      </w:r>
      <w:r w:rsidR="00405BF4">
        <w:rPr>
          <w:rFonts w:eastAsia="Times New Roman" w:cs="Times New Roman"/>
          <w:sz w:val="24"/>
          <w:szCs w:val="24"/>
        </w:rPr>
        <w:t>US</w:t>
      </w:r>
      <w:r w:rsidR="002F7B73" w:rsidRPr="00C41C6F">
        <w:rPr>
          <w:rFonts w:eastAsia="Times New Roman" w:cs="Times New Roman"/>
          <w:sz w:val="24"/>
          <w:szCs w:val="24"/>
        </w:rPr>
        <w:t>$</w:t>
      </w:r>
      <w:r w:rsidR="00053F63" w:rsidRPr="00C41C6F">
        <w:rPr>
          <w:rFonts w:eastAsia="Times New Roman" w:cs="Times New Roman"/>
          <w:sz w:val="24"/>
          <w:szCs w:val="24"/>
        </w:rPr>
        <w:t>6</w:t>
      </w:r>
      <w:r w:rsidR="00642C9C">
        <w:rPr>
          <w:rFonts w:eastAsia="Times New Roman" w:cs="Times New Roman"/>
          <w:sz w:val="24"/>
          <w:szCs w:val="24"/>
        </w:rPr>
        <w:t>3</w:t>
      </w:r>
      <w:r w:rsidR="00504A96">
        <w:t>·</w:t>
      </w:r>
      <w:r w:rsidR="00642C9C">
        <w:rPr>
          <w:rFonts w:eastAsia="Times New Roman" w:cs="Times New Roman"/>
          <w:sz w:val="24"/>
          <w:szCs w:val="24"/>
        </w:rPr>
        <w:t>96.</w:t>
      </w:r>
      <w:r w:rsidR="00053F63" w:rsidRPr="00C41C6F">
        <w:rPr>
          <w:rFonts w:eastAsia="Times New Roman" w:cs="Times New Roman"/>
          <w:sz w:val="24"/>
          <w:szCs w:val="24"/>
        </w:rPr>
        <w:t xml:space="preserve"> </w:t>
      </w:r>
    </w:p>
    <w:p w14:paraId="675B7599" w14:textId="77777777" w:rsidR="00D15871" w:rsidRPr="00C41C6F" w:rsidRDefault="00D15871" w:rsidP="00815142">
      <w:pPr>
        <w:spacing w:line="480" w:lineRule="auto"/>
        <w:rPr>
          <w:rFonts w:eastAsia="Times New Roman" w:cs="Times New Roman"/>
          <w:sz w:val="24"/>
          <w:szCs w:val="24"/>
        </w:rPr>
      </w:pPr>
    </w:p>
    <w:p w14:paraId="7599D4B2" w14:textId="3320FD72" w:rsidR="00292DB1" w:rsidRPr="00791A6F" w:rsidRDefault="00A62A6F" w:rsidP="00791A6F">
      <w:pPr>
        <w:spacing w:line="480" w:lineRule="auto"/>
        <w:rPr>
          <w:rFonts w:eastAsia="Times New Roman" w:cs="Times New Roman"/>
          <w:sz w:val="24"/>
          <w:szCs w:val="24"/>
        </w:rPr>
      </w:pPr>
      <w:r w:rsidRPr="00F85471">
        <w:rPr>
          <w:rFonts w:eastAsia="Times New Roman" w:cs="Times New Roman"/>
          <w:sz w:val="24"/>
          <w:szCs w:val="24"/>
        </w:rPr>
        <w:t>I</w:t>
      </w:r>
      <w:r w:rsidR="002467A5" w:rsidRPr="00F85471">
        <w:rPr>
          <w:rFonts w:eastAsia="Times New Roman" w:cs="Times New Roman"/>
          <w:sz w:val="24"/>
          <w:szCs w:val="24"/>
        </w:rPr>
        <w:t>n Ethiopia</w:t>
      </w:r>
      <w:r w:rsidR="00826FCC">
        <w:rPr>
          <w:rFonts w:eastAsia="Times New Roman" w:cs="Times New Roman"/>
          <w:sz w:val="24"/>
          <w:szCs w:val="24"/>
        </w:rPr>
        <w:t>,</w:t>
      </w:r>
      <w:r w:rsidRPr="00F85471">
        <w:rPr>
          <w:rFonts w:eastAsia="Times New Roman" w:cs="Times New Roman"/>
          <w:sz w:val="24"/>
          <w:szCs w:val="24"/>
        </w:rPr>
        <w:t xml:space="preserve"> </w:t>
      </w:r>
      <w:r w:rsidR="002467A5" w:rsidRPr="00F85471">
        <w:rPr>
          <w:rFonts w:eastAsia="Times New Roman" w:cs="Times New Roman"/>
          <w:sz w:val="24"/>
          <w:szCs w:val="24"/>
        </w:rPr>
        <w:t xml:space="preserve">94% of </w:t>
      </w:r>
      <w:r w:rsidR="00373B92" w:rsidRPr="00F85471">
        <w:rPr>
          <w:rFonts w:eastAsia="Times New Roman" w:cs="Times New Roman"/>
          <w:sz w:val="24"/>
          <w:szCs w:val="24"/>
        </w:rPr>
        <w:t xml:space="preserve">participants </w:t>
      </w:r>
      <w:r w:rsidR="002467A5" w:rsidRPr="00F85471">
        <w:rPr>
          <w:rFonts w:eastAsia="Times New Roman" w:cs="Times New Roman"/>
          <w:sz w:val="24"/>
          <w:szCs w:val="24"/>
        </w:rPr>
        <w:t>reported spending on food supplements</w:t>
      </w:r>
      <w:r w:rsidR="00183165">
        <w:rPr>
          <w:rFonts w:eastAsia="Times New Roman" w:cs="Times New Roman"/>
          <w:sz w:val="24"/>
          <w:szCs w:val="24"/>
        </w:rPr>
        <w:t xml:space="preserve"> </w:t>
      </w:r>
      <w:r w:rsidR="00D92099">
        <w:rPr>
          <w:rFonts w:eastAsia="Times New Roman" w:cs="Times New Roman"/>
          <w:sz w:val="24"/>
          <w:szCs w:val="24"/>
        </w:rPr>
        <w:t xml:space="preserve">(e.g. </w:t>
      </w:r>
      <w:r w:rsidR="002467A5" w:rsidRPr="00F85471">
        <w:rPr>
          <w:rFonts w:eastAsia="Times New Roman" w:cs="Times New Roman"/>
          <w:sz w:val="24"/>
          <w:szCs w:val="24"/>
        </w:rPr>
        <w:t>meat, fruit and energy drinks</w:t>
      </w:r>
      <w:r w:rsidR="00D92099">
        <w:rPr>
          <w:rFonts w:eastAsia="Times New Roman" w:cs="Times New Roman"/>
          <w:sz w:val="24"/>
          <w:szCs w:val="24"/>
        </w:rPr>
        <w:t>)</w:t>
      </w:r>
      <w:r w:rsidR="002467A5" w:rsidRPr="00F85471">
        <w:rPr>
          <w:rFonts w:eastAsia="Times New Roman" w:cs="Times New Roman"/>
          <w:sz w:val="24"/>
          <w:szCs w:val="24"/>
        </w:rPr>
        <w:t>.</w:t>
      </w:r>
      <w:r w:rsidR="008C3897" w:rsidRPr="00F85471">
        <w:rPr>
          <w:rFonts w:eastAsia="Times New Roman" w:cs="Times New Roman"/>
          <w:sz w:val="24"/>
          <w:szCs w:val="24"/>
        </w:rPr>
        <w:t xml:space="preserve"> </w:t>
      </w:r>
      <w:bookmarkStart w:id="19" w:name="_Hlk277985"/>
      <w:r w:rsidR="00292DB1" w:rsidRPr="00791A6F">
        <w:rPr>
          <w:rFonts w:eastAsia="Times New Roman" w:cs="Times New Roman"/>
          <w:sz w:val="24"/>
          <w:szCs w:val="24"/>
        </w:rPr>
        <w:t>The cumulative mean spend per participant was US$54</w:t>
      </w:r>
      <w:r w:rsidR="00996F3C">
        <w:rPr>
          <w:rFonts w:eastAsia="Times New Roman" w:cs="Times New Roman"/>
          <w:sz w:val="24"/>
          <w:szCs w:val="24"/>
        </w:rPr>
        <w:t>9</w:t>
      </w:r>
      <w:r w:rsidR="00292DB1" w:rsidRPr="00791A6F">
        <w:rPr>
          <w:rFonts w:eastAsia="Times New Roman" w:cs="Times New Roman"/>
          <w:sz w:val="24"/>
          <w:szCs w:val="24"/>
        </w:rPr>
        <w:t>·</w:t>
      </w:r>
      <w:r w:rsidR="00996F3C">
        <w:rPr>
          <w:rFonts w:eastAsia="Times New Roman" w:cs="Times New Roman"/>
          <w:sz w:val="24"/>
          <w:szCs w:val="24"/>
        </w:rPr>
        <w:t>14</w:t>
      </w:r>
      <w:r w:rsidR="00292DB1" w:rsidRPr="00791A6F">
        <w:rPr>
          <w:rFonts w:eastAsia="Times New Roman" w:cs="Times New Roman"/>
          <w:sz w:val="24"/>
          <w:szCs w:val="24"/>
        </w:rPr>
        <w:t xml:space="preserve"> (95%CI US$4</w:t>
      </w:r>
      <w:r w:rsidR="00996F3C">
        <w:rPr>
          <w:rFonts w:eastAsia="Times New Roman" w:cs="Times New Roman"/>
          <w:sz w:val="24"/>
          <w:szCs w:val="24"/>
        </w:rPr>
        <w:t>2</w:t>
      </w:r>
      <w:r w:rsidR="00A219AD">
        <w:rPr>
          <w:rFonts w:eastAsia="Times New Roman" w:cs="Times New Roman"/>
          <w:sz w:val="24"/>
          <w:szCs w:val="24"/>
        </w:rPr>
        <w:t>6</w:t>
      </w:r>
      <w:r w:rsidR="00292DB1" w:rsidRPr="00791A6F">
        <w:rPr>
          <w:rFonts w:eastAsia="Times New Roman" w:cs="Times New Roman"/>
          <w:sz w:val="24"/>
          <w:szCs w:val="24"/>
        </w:rPr>
        <w:t>·</w:t>
      </w:r>
      <w:r w:rsidR="00A219AD">
        <w:rPr>
          <w:rFonts w:eastAsia="Times New Roman" w:cs="Times New Roman"/>
          <w:sz w:val="24"/>
          <w:szCs w:val="24"/>
        </w:rPr>
        <w:t>70</w:t>
      </w:r>
      <w:r w:rsidR="00292DB1" w:rsidRPr="00791A6F">
        <w:rPr>
          <w:rFonts w:eastAsia="Times New Roman" w:cs="Times New Roman"/>
          <w:sz w:val="24"/>
          <w:szCs w:val="24"/>
        </w:rPr>
        <w:t>-6</w:t>
      </w:r>
      <w:r w:rsidR="00996F3C">
        <w:rPr>
          <w:rFonts w:eastAsia="Times New Roman" w:cs="Times New Roman"/>
          <w:sz w:val="24"/>
          <w:szCs w:val="24"/>
        </w:rPr>
        <w:t>7</w:t>
      </w:r>
      <w:r w:rsidR="00A219AD">
        <w:rPr>
          <w:rFonts w:eastAsia="Times New Roman" w:cs="Times New Roman"/>
          <w:sz w:val="24"/>
          <w:szCs w:val="24"/>
        </w:rPr>
        <w:t>1</w:t>
      </w:r>
      <w:r w:rsidR="00292DB1" w:rsidRPr="00791A6F">
        <w:rPr>
          <w:rFonts w:eastAsia="Times New Roman" w:cs="Times New Roman"/>
          <w:sz w:val="24"/>
          <w:szCs w:val="24"/>
        </w:rPr>
        <w:t>·</w:t>
      </w:r>
      <w:r w:rsidR="00A219AD">
        <w:rPr>
          <w:rFonts w:eastAsia="Times New Roman" w:cs="Times New Roman"/>
          <w:sz w:val="24"/>
          <w:szCs w:val="24"/>
        </w:rPr>
        <w:t>60</w:t>
      </w:r>
      <w:r w:rsidR="00292DB1" w:rsidRPr="00791A6F">
        <w:rPr>
          <w:rFonts w:eastAsia="Times New Roman" w:cs="Times New Roman"/>
          <w:sz w:val="24"/>
          <w:szCs w:val="24"/>
        </w:rPr>
        <w:t xml:space="preserve">) in the Long regimen </w:t>
      </w:r>
      <w:r w:rsidR="00183165" w:rsidRPr="00B25397">
        <w:rPr>
          <w:rFonts w:eastAsia="Times New Roman" w:cs="Times New Roman"/>
          <w:i/>
          <w:sz w:val="24"/>
          <w:szCs w:val="24"/>
        </w:rPr>
        <w:t>vs</w:t>
      </w:r>
      <w:r w:rsidR="00292DB1" w:rsidRPr="00791A6F">
        <w:rPr>
          <w:rFonts w:eastAsia="Times New Roman" w:cs="Times New Roman"/>
          <w:sz w:val="24"/>
          <w:szCs w:val="24"/>
        </w:rPr>
        <w:t xml:space="preserve"> US$3</w:t>
      </w:r>
      <w:r w:rsidR="00292DB1">
        <w:rPr>
          <w:rFonts w:eastAsia="Times New Roman" w:cs="Times New Roman"/>
          <w:sz w:val="24"/>
          <w:szCs w:val="24"/>
        </w:rPr>
        <w:t>2</w:t>
      </w:r>
      <w:r w:rsidR="00292DB1" w:rsidRPr="00791A6F">
        <w:rPr>
          <w:rFonts w:eastAsia="Times New Roman" w:cs="Times New Roman"/>
          <w:sz w:val="24"/>
          <w:szCs w:val="24"/>
        </w:rPr>
        <w:t>3·</w:t>
      </w:r>
      <w:r w:rsidR="004646D4">
        <w:rPr>
          <w:rFonts w:eastAsia="Times New Roman" w:cs="Times New Roman"/>
          <w:sz w:val="24"/>
          <w:szCs w:val="24"/>
        </w:rPr>
        <w:t>64</w:t>
      </w:r>
      <w:r w:rsidR="00292DB1" w:rsidRPr="00791A6F">
        <w:rPr>
          <w:rFonts w:eastAsia="Times New Roman" w:cs="Times New Roman"/>
          <w:sz w:val="24"/>
          <w:szCs w:val="24"/>
        </w:rPr>
        <w:t xml:space="preserve"> (95%CI US$2</w:t>
      </w:r>
      <w:r w:rsidR="00996F3C">
        <w:rPr>
          <w:rFonts w:eastAsia="Times New Roman" w:cs="Times New Roman"/>
          <w:sz w:val="24"/>
          <w:szCs w:val="24"/>
        </w:rPr>
        <w:t>50</w:t>
      </w:r>
      <w:r w:rsidR="00292DB1" w:rsidRPr="00791A6F">
        <w:rPr>
          <w:rFonts w:eastAsia="Times New Roman" w:cs="Times New Roman"/>
          <w:sz w:val="24"/>
          <w:szCs w:val="24"/>
        </w:rPr>
        <w:t>·</w:t>
      </w:r>
      <w:r w:rsidR="00996F3C">
        <w:rPr>
          <w:rFonts w:eastAsia="Times New Roman" w:cs="Times New Roman"/>
          <w:sz w:val="24"/>
          <w:szCs w:val="24"/>
        </w:rPr>
        <w:t xml:space="preserve">64- </w:t>
      </w:r>
      <w:r w:rsidR="00292DB1" w:rsidRPr="00791A6F">
        <w:rPr>
          <w:rFonts w:eastAsia="Times New Roman" w:cs="Times New Roman"/>
          <w:sz w:val="24"/>
          <w:szCs w:val="24"/>
        </w:rPr>
        <w:t>3</w:t>
      </w:r>
      <w:r w:rsidR="00996F3C">
        <w:rPr>
          <w:rFonts w:eastAsia="Times New Roman" w:cs="Times New Roman"/>
          <w:sz w:val="24"/>
          <w:szCs w:val="24"/>
        </w:rPr>
        <w:t>96</w:t>
      </w:r>
      <w:r w:rsidR="00292DB1" w:rsidRPr="00791A6F">
        <w:rPr>
          <w:rFonts w:eastAsia="Times New Roman" w:cs="Times New Roman"/>
          <w:sz w:val="24"/>
          <w:szCs w:val="24"/>
        </w:rPr>
        <w:t>·6</w:t>
      </w:r>
      <w:r w:rsidR="00996F3C">
        <w:rPr>
          <w:rFonts w:eastAsia="Times New Roman" w:cs="Times New Roman"/>
          <w:sz w:val="24"/>
          <w:szCs w:val="24"/>
        </w:rPr>
        <w:t>5</w:t>
      </w:r>
      <w:r w:rsidR="00292DB1" w:rsidRPr="00791A6F">
        <w:rPr>
          <w:rFonts w:eastAsia="Times New Roman" w:cs="Times New Roman"/>
          <w:sz w:val="24"/>
          <w:szCs w:val="24"/>
        </w:rPr>
        <w:t>) in the Short</w:t>
      </w:r>
      <w:r w:rsidR="00F521AD">
        <w:rPr>
          <w:rFonts w:eastAsia="Times New Roman" w:cs="Times New Roman"/>
          <w:sz w:val="24"/>
          <w:szCs w:val="24"/>
        </w:rPr>
        <w:t xml:space="preserve"> </w:t>
      </w:r>
      <w:r w:rsidR="00292DB1" w:rsidRPr="00791A6F">
        <w:rPr>
          <w:rFonts w:eastAsia="Times New Roman" w:cs="Times New Roman"/>
          <w:sz w:val="24"/>
          <w:szCs w:val="24"/>
        </w:rPr>
        <w:t>regimen</w:t>
      </w:r>
      <w:r w:rsidR="00240425">
        <w:rPr>
          <w:rFonts w:eastAsia="Times New Roman" w:cs="Times New Roman"/>
          <w:sz w:val="24"/>
          <w:szCs w:val="24"/>
        </w:rPr>
        <w:t xml:space="preserve">, </w:t>
      </w:r>
      <w:r w:rsidR="00292DB1" w:rsidRPr="00791A6F">
        <w:rPr>
          <w:rFonts w:eastAsia="Times New Roman" w:cs="Times New Roman"/>
          <w:sz w:val="24"/>
          <w:szCs w:val="24"/>
        </w:rPr>
        <w:t>a difference of US$2</w:t>
      </w:r>
      <w:r w:rsidR="004646D4">
        <w:rPr>
          <w:rFonts w:eastAsia="Times New Roman" w:cs="Times New Roman"/>
          <w:sz w:val="24"/>
          <w:szCs w:val="24"/>
        </w:rPr>
        <w:t>25</w:t>
      </w:r>
      <w:r w:rsidR="00292DB1" w:rsidRPr="00791A6F">
        <w:rPr>
          <w:rFonts w:eastAsia="Times New Roman" w:cs="Times New Roman"/>
          <w:sz w:val="24"/>
          <w:szCs w:val="24"/>
        </w:rPr>
        <w:t>·</w:t>
      </w:r>
      <w:r w:rsidR="004646D4">
        <w:rPr>
          <w:rFonts w:eastAsia="Times New Roman" w:cs="Times New Roman"/>
          <w:sz w:val="24"/>
          <w:szCs w:val="24"/>
        </w:rPr>
        <w:t>50</w:t>
      </w:r>
      <w:r w:rsidR="00292DB1" w:rsidRPr="00791A6F">
        <w:rPr>
          <w:rFonts w:eastAsia="Times New Roman" w:cs="Times New Roman"/>
          <w:sz w:val="24"/>
          <w:szCs w:val="24"/>
        </w:rPr>
        <w:t xml:space="preserve"> (95%CI US$13</w:t>
      </w:r>
      <w:r w:rsidR="004646D4">
        <w:rPr>
          <w:rFonts w:eastAsia="Times New Roman" w:cs="Times New Roman"/>
          <w:sz w:val="24"/>
          <w:szCs w:val="24"/>
        </w:rPr>
        <w:t>3</w:t>
      </w:r>
      <w:r w:rsidR="004646D4" w:rsidRPr="00637C23">
        <w:rPr>
          <w:rFonts w:eastAsia="Times New Roman" w:cs="Times New Roman"/>
          <w:sz w:val="24"/>
          <w:szCs w:val="24"/>
        </w:rPr>
        <w:t>·</w:t>
      </w:r>
      <w:r w:rsidR="004646D4">
        <w:rPr>
          <w:rFonts w:eastAsia="Times New Roman" w:cs="Times New Roman"/>
          <w:sz w:val="24"/>
          <w:szCs w:val="24"/>
        </w:rPr>
        <w:t>02</w:t>
      </w:r>
      <w:r w:rsidR="00292DB1" w:rsidRPr="00791A6F">
        <w:rPr>
          <w:rFonts w:eastAsia="Times New Roman" w:cs="Times New Roman"/>
          <w:sz w:val="24"/>
          <w:szCs w:val="24"/>
        </w:rPr>
        <w:t>-29</w:t>
      </w:r>
      <w:r w:rsidR="004646D4">
        <w:rPr>
          <w:rFonts w:eastAsia="Times New Roman" w:cs="Times New Roman"/>
          <w:sz w:val="24"/>
          <w:szCs w:val="24"/>
        </w:rPr>
        <w:t>7</w:t>
      </w:r>
      <w:r w:rsidR="004646D4" w:rsidRPr="00637C23">
        <w:rPr>
          <w:rFonts w:eastAsia="Times New Roman" w:cs="Times New Roman"/>
          <w:sz w:val="24"/>
          <w:szCs w:val="24"/>
        </w:rPr>
        <w:t>·</w:t>
      </w:r>
      <w:r w:rsidR="004646D4">
        <w:rPr>
          <w:rFonts w:eastAsia="Times New Roman" w:cs="Times New Roman"/>
          <w:sz w:val="24"/>
          <w:szCs w:val="24"/>
        </w:rPr>
        <w:t>07</w:t>
      </w:r>
      <w:r w:rsidR="00292DB1" w:rsidRPr="00791A6F">
        <w:rPr>
          <w:rFonts w:eastAsia="Times New Roman" w:cs="Times New Roman"/>
          <w:sz w:val="24"/>
          <w:szCs w:val="24"/>
        </w:rPr>
        <w:t>) (Figure 2).</w:t>
      </w:r>
    </w:p>
    <w:bookmarkEnd w:id="19"/>
    <w:p w14:paraId="5CC0ABD8" w14:textId="66F437FA" w:rsidR="004F379D" w:rsidRPr="00F85471" w:rsidRDefault="00BC1A73" w:rsidP="00815142">
      <w:pPr>
        <w:spacing w:line="480" w:lineRule="auto"/>
        <w:rPr>
          <w:rFonts w:eastAsia="Times New Roman" w:cs="Times New Roman"/>
          <w:sz w:val="24"/>
          <w:szCs w:val="24"/>
        </w:rPr>
      </w:pPr>
      <w:r w:rsidRPr="00F85471">
        <w:rPr>
          <w:rFonts w:eastAsia="Times New Roman" w:cs="Times New Roman"/>
          <w:sz w:val="24"/>
          <w:szCs w:val="24"/>
        </w:rPr>
        <w:t xml:space="preserve">The total direct cost </w:t>
      </w:r>
      <w:r w:rsidR="00882548">
        <w:rPr>
          <w:rFonts w:eastAsia="Times New Roman" w:cs="Times New Roman"/>
          <w:sz w:val="24"/>
          <w:szCs w:val="24"/>
        </w:rPr>
        <w:t>per participant</w:t>
      </w:r>
      <w:r w:rsidR="00373B92" w:rsidRPr="00F85471">
        <w:rPr>
          <w:rFonts w:eastAsia="Times New Roman" w:cs="Times New Roman"/>
          <w:sz w:val="24"/>
          <w:szCs w:val="24"/>
        </w:rPr>
        <w:t xml:space="preserve"> </w:t>
      </w:r>
      <w:r w:rsidRPr="00F85471">
        <w:rPr>
          <w:rFonts w:eastAsia="Times New Roman" w:cs="Times New Roman"/>
          <w:sz w:val="24"/>
          <w:szCs w:val="24"/>
        </w:rPr>
        <w:t xml:space="preserve">receiving MDR-TB treatment was </w:t>
      </w:r>
      <w:r w:rsidR="00336654" w:rsidRPr="00F85471">
        <w:rPr>
          <w:rFonts w:eastAsia="Times New Roman" w:cs="Times New Roman"/>
          <w:sz w:val="24"/>
          <w:szCs w:val="24"/>
        </w:rPr>
        <w:t>US$</w:t>
      </w:r>
      <w:r w:rsidR="001D431E" w:rsidRPr="00F85471">
        <w:rPr>
          <w:rFonts w:eastAsia="Times New Roman" w:cs="Times New Roman"/>
          <w:sz w:val="24"/>
          <w:szCs w:val="24"/>
        </w:rPr>
        <w:t>575</w:t>
      </w:r>
      <w:r w:rsidR="00504A96">
        <w:t>·</w:t>
      </w:r>
      <w:r w:rsidR="001D431E" w:rsidRPr="00F85471">
        <w:rPr>
          <w:rFonts w:eastAsia="Times New Roman" w:cs="Times New Roman"/>
          <w:sz w:val="24"/>
          <w:szCs w:val="24"/>
        </w:rPr>
        <w:t>38</w:t>
      </w:r>
      <w:r w:rsidR="006268B7" w:rsidRPr="00F85471">
        <w:rPr>
          <w:rFonts w:eastAsia="Times New Roman" w:cs="Times New Roman"/>
          <w:sz w:val="24"/>
          <w:szCs w:val="24"/>
        </w:rPr>
        <w:t xml:space="preserve"> </w:t>
      </w:r>
      <w:r w:rsidR="00D15871" w:rsidRPr="00F85471">
        <w:rPr>
          <w:rFonts w:eastAsia="Times New Roman" w:cs="Times New Roman"/>
          <w:sz w:val="24"/>
          <w:szCs w:val="24"/>
        </w:rPr>
        <w:t>for</w:t>
      </w:r>
      <w:r w:rsidR="006268B7" w:rsidRPr="00F85471">
        <w:rPr>
          <w:rFonts w:eastAsia="Times New Roman" w:cs="Times New Roman"/>
          <w:sz w:val="24"/>
          <w:szCs w:val="24"/>
        </w:rPr>
        <w:t xml:space="preserve"> the </w:t>
      </w:r>
      <w:r w:rsidR="009B24CD" w:rsidRPr="00F85471">
        <w:rPr>
          <w:rFonts w:eastAsia="Times New Roman" w:cs="Times New Roman"/>
          <w:sz w:val="24"/>
          <w:szCs w:val="24"/>
        </w:rPr>
        <w:t>Long</w:t>
      </w:r>
      <w:r w:rsidR="00851075">
        <w:rPr>
          <w:rFonts w:eastAsia="Times New Roman" w:cs="Times New Roman"/>
          <w:sz w:val="24"/>
          <w:szCs w:val="24"/>
        </w:rPr>
        <w:t>-</w:t>
      </w:r>
      <w:r w:rsidR="007F778A">
        <w:rPr>
          <w:rFonts w:eastAsia="Times New Roman" w:cs="Times New Roman"/>
          <w:sz w:val="24"/>
          <w:szCs w:val="24"/>
        </w:rPr>
        <w:t>r</w:t>
      </w:r>
      <w:r w:rsidR="009B24CD" w:rsidRPr="00F85471">
        <w:rPr>
          <w:rFonts w:eastAsia="Times New Roman" w:cs="Times New Roman"/>
          <w:sz w:val="24"/>
          <w:szCs w:val="24"/>
        </w:rPr>
        <w:t xml:space="preserve">egimen </w:t>
      </w:r>
      <w:r w:rsidR="006268B7" w:rsidRPr="00F85471">
        <w:rPr>
          <w:rFonts w:eastAsia="Times New Roman" w:cs="Times New Roman"/>
          <w:sz w:val="24"/>
          <w:szCs w:val="24"/>
        </w:rPr>
        <w:t>and</w:t>
      </w:r>
      <w:r w:rsidR="00336654" w:rsidRPr="00F85471">
        <w:rPr>
          <w:rFonts w:eastAsia="Times New Roman" w:cs="Times New Roman"/>
          <w:sz w:val="24"/>
          <w:szCs w:val="24"/>
        </w:rPr>
        <w:t xml:space="preserve"> US$</w:t>
      </w:r>
      <w:r w:rsidR="006268B7" w:rsidRPr="00F85471">
        <w:rPr>
          <w:rFonts w:eastAsia="Times New Roman" w:cs="Times New Roman"/>
          <w:sz w:val="24"/>
          <w:szCs w:val="24"/>
        </w:rPr>
        <w:t>3</w:t>
      </w:r>
      <w:r w:rsidR="00A219AD">
        <w:rPr>
          <w:rFonts w:eastAsia="Times New Roman" w:cs="Times New Roman"/>
          <w:sz w:val="24"/>
          <w:szCs w:val="24"/>
        </w:rPr>
        <w:t>3</w:t>
      </w:r>
      <w:r w:rsidR="00C169E3">
        <w:rPr>
          <w:rFonts w:eastAsia="Times New Roman" w:cs="Times New Roman"/>
          <w:sz w:val="24"/>
          <w:szCs w:val="24"/>
        </w:rPr>
        <w:t>7</w:t>
      </w:r>
      <w:r w:rsidR="00504A96">
        <w:t>·</w:t>
      </w:r>
      <w:r w:rsidR="00C169E3">
        <w:rPr>
          <w:rFonts w:eastAsia="Times New Roman" w:cs="Times New Roman"/>
          <w:sz w:val="24"/>
          <w:szCs w:val="24"/>
        </w:rPr>
        <w:t>33</w:t>
      </w:r>
      <w:r w:rsidR="006268B7" w:rsidRPr="00F85471">
        <w:rPr>
          <w:rFonts w:eastAsia="Times New Roman" w:cs="Times New Roman"/>
          <w:sz w:val="24"/>
          <w:szCs w:val="24"/>
        </w:rPr>
        <w:t xml:space="preserve"> </w:t>
      </w:r>
      <w:r w:rsidR="00D15871" w:rsidRPr="00F85471">
        <w:rPr>
          <w:rFonts w:eastAsia="Times New Roman" w:cs="Times New Roman"/>
          <w:sz w:val="24"/>
          <w:szCs w:val="24"/>
        </w:rPr>
        <w:t>for</w:t>
      </w:r>
      <w:r w:rsidR="006268B7" w:rsidRPr="00F85471">
        <w:rPr>
          <w:rFonts w:eastAsia="Times New Roman" w:cs="Times New Roman"/>
          <w:sz w:val="24"/>
          <w:szCs w:val="24"/>
        </w:rPr>
        <w:t xml:space="preserve"> the </w:t>
      </w:r>
      <w:r w:rsidR="009B24CD" w:rsidRPr="00F85471">
        <w:rPr>
          <w:rFonts w:eastAsia="Times New Roman" w:cs="Times New Roman"/>
          <w:sz w:val="24"/>
          <w:szCs w:val="24"/>
        </w:rPr>
        <w:t>Short</w:t>
      </w:r>
      <w:r w:rsidR="00007EA7">
        <w:rPr>
          <w:rFonts w:eastAsia="Times New Roman" w:cs="Times New Roman"/>
          <w:sz w:val="24"/>
          <w:szCs w:val="24"/>
        </w:rPr>
        <w:t>-</w:t>
      </w:r>
      <w:r w:rsidR="007F778A">
        <w:rPr>
          <w:rFonts w:eastAsia="Times New Roman" w:cs="Times New Roman"/>
          <w:sz w:val="24"/>
          <w:szCs w:val="24"/>
        </w:rPr>
        <w:t>r</w:t>
      </w:r>
      <w:r w:rsidR="00D15871" w:rsidRPr="00F85471">
        <w:rPr>
          <w:rFonts w:eastAsia="Times New Roman" w:cs="Times New Roman"/>
          <w:sz w:val="24"/>
          <w:szCs w:val="24"/>
        </w:rPr>
        <w:t>egimen</w:t>
      </w:r>
      <w:r w:rsidR="006268B7" w:rsidRPr="00F85471">
        <w:rPr>
          <w:rFonts w:eastAsia="Times New Roman" w:cs="Times New Roman"/>
          <w:sz w:val="24"/>
          <w:szCs w:val="24"/>
        </w:rPr>
        <w:t xml:space="preserve">, giving a total direct cost saving </w:t>
      </w:r>
      <w:r w:rsidR="00882548">
        <w:rPr>
          <w:rFonts w:eastAsia="Times New Roman" w:cs="Times New Roman"/>
          <w:sz w:val="24"/>
          <w:szCs w:val="24"/>
        </w:rPr>
        <w:t>per participant</w:t>
      </w:r>
      <w:r w:rsidR="00373B92" w:rsidRPr="00F85471">
        <w:rPr>
          <w:rFonts w:eastAsia="Times New Roman" w:cs="Times New Roman"/>
          <w:sz w:val="24"/>
          <w:szCs w:val="24"/>
        </w:rPr>
        <w:t xml:space="preserve"> </w:t>
      </w:r>
      <w:r w:rsidR="006268B7" w:rsidRPr="00F85471">
        <w:rPr>
          <w:rFonts w:eastAsia="Times New Roman" w:cs="Times New Roman"/>
          <w:sz w:val="24"/>
          <w:szCs w:val="24"/>
        </w:rPr>
        <w:t>of</w:t>
      </w:r>
      <w:r w:rsidR="00336654" w:rsidRPr="00F85471">
        <w:rPr>
          <w:rFonts w:eastAsia="Times New Roman" w:cs="Times New Roman"/>
          <w:sz w:val="24"/>
          <w:szCs w:val="24"/>
        </w:rPr>
        <w:t xml:space="preserve"> US$</w:t>
      </w:r>
      <w:r w:rsidR="001D431E" w:rsidRPr="00F85471">
        <w:rPr>
          <w:rFonts w:eastAsia="Times New Roman" w:cs="Times New Roman"/>
          <w:sz w:val="24"/>
          <w:szCs w:val="24"/>
        </w:rPr>
        <w:t>2</w:t>
      </w:r>
      <w:r w:rsidR="00A219AD">
        <w:rPr>
          <w:rFonts w:eastAsia="Times New Roman" w:cs="Times New Roman"/>
          <w:sz w:val="24"/>
          <w:szCs w:val="24"/>
        </w:rPr>
        <w:t>3</w:t>
      </w:r>
      <w:r w:rsidR="001D431E" w:rsidRPr="00F85471">
        <w:rPr>
          <w:rFonts w:eastAsia="Times New Roman" w:cs="Times New Roman"/>
          <w:sz w:val="24"/>
          <w:szCs w:val="24"/>
        </w:rPr>
        <w:t>8</w:t>
      </w:r>
      <w:r w:rsidR="00504A96">
        <w:t>·</w:t>
      </w:r>
      <w:r w:rsidR="00C169E3">
        <w:rPr>
          <w:rFonts w:eastAsia="Times New Roman" w:cs="Times New Roman"/>
          <w:sz w:val="24"/>
          <w:szCs w:val="24"/>
        </w:rPr>
        <w:t>05</w:t>
      </w:r>
      <w:r w:rsidR="006268B7" w:rsidRPr="00F85471">
        <w:rPr>
          <w:rFonts w:eastAsia="Times New Roman" w:cs="Times New Roman"/>
          <w:sz w:val="24"/>
          <w:szCs w:val="24"/>
        </w:rPr>
        <w:t xml:space="preserve"> of which 9</w:t>
      </w:r>
      <w:r w:rsidR="00C169E3">
        <w:rPr>
          <w:rFonts w:eastAsia="Times New Roman" w:cs="Times New Roman"/>
          <w:sz w:val="24"/>
          <w:szCs w:val="24"/>
        </w:rPr>
        <w:t>5</w:t>
      </w:r>
      <w:r w:rsidR="006268B7" w:rsidRPr="00F85471">
        <w:rPr>
          <w:rFonts w:eastAsia="Times New Roman" w:cs="Times New Roman"/>
          <w:sz w:val="24"/>
          <w:szCs w:val="24"/>
        </w:rPr>
        <w:t>% relates to reduced spend on supplemental food</w:t>
      </w:r>
      <w:r w:rsidR="00E2671D" w:rsidRPr="001C7415">
        <w:rPr>
          <w:rFonts w:eastAsia="Times New Roman" w:cs="Times New Roman"/>
          <w:sz w:val="24"/>
          <w:szCs w:val="24"/>
          <w:vertAlign w:val="superscript"/>
        </w:rPr>
        <w:t>1</w:t>
      </w:r>
      <w:r w:rsidR="009A3D07">
        <w:rPr>
          <w:rFonts w:eastAsia="Times New Roman" w:cs="Times New Roman"/>
          <w:sz w:val="24"/>
          <w:szCs w:val="24"/>
          <w:vertAlign w:val="superscript"/>
        </w:rPr>
        <w:t>5</w:t>
      </w:r>
      <w:r w:rsidR="00E2671D">
        <w:rPr>
          <w:rFonts w:eastAsia="Times New Roman" w:cs="Times New Roman"/>
          <w:sz w:val="24"/>
          <w:szCs w:val="24"/>
        </w:rPr>
        <w:t>.</w:t>
      </w:r>
    </w:p>
    <w:p w14:paraId="73E78ABA" w14:textId="59E52CF4" w:rsidR="00863919" w:rsidRDefault="002467A5" w:rsidP="00863919">
      <w:pPr>
        <w:spacing w:after="0" w:line="480" w:lineRule="auto"/>
        <w:rPr>
          <w:rFonts w:eastAsia="Times New Roman" w:cs="Times New Roman"/>
          <w:sz w:val="24"/>
          <w:szCs w:val="24"/>
        </w:rPr>
      </w:pPr>
      <w:r w:rsidRPr="00C41C6F">
        <w:rPr>
          <w:rFonts w:eastAsia="Times New Roman" w:cs="Times New Roman"/>
          <w:sz w:val="24"/>
          <w:szCs w:val="24"/>
        </w:rPr>
        <w:t>Participants in Ethiopia were</w:t>
      </w:r>
      <w:r w:rsidR="00596394">
        <w:rPr>
          <w:rFonts w:eastAsia="Times New Roman" w:cs="Times New Roman"/>
          <w:sz w:val="24"/>
          <w:szCs w:val="24"/>
        </w:rPr>
        <w:t xml:space="preserve"> unabl</w:t>
      </w:r>
      <w:r w:rsidR="00A904FC">
        <w:rPr>
          <w:rFonts w:eastAsia="Times New Roman" w:cs="Times New Roman"/>
          <w:sz w:val="24"/>
          <w:szCs w:val="24"/>
        </w:rPr>
        <w:t>e or unwilling to</w:t>
      </w:r>
      <w:r w:rsidRPr="00C41C6F">
        <w:rPr>
          <w:rFonts w:eastAsia="Times New Roman" w:cs="Times New Roman"/>
          <w:sz w:val="24"/>
          <w:szCs w:val="24"/>
        </w:rPr>
        <w:t xml:space="preserve"> provide estimates of their typical monthly income</w:t>
      </w:r>
      <w:r w:rsidR="00EA6337">
        <w:rPr>
          <w:rFonts w:eastAsia="Times New Roman" w:cs="Times New Roman"/>
          <w:sz w:val="24"/>
          <w:szCs w:val="24"/>
        </w:rPr>
        <w:t>,</w:t>
      </w:r>
      <w:r w:rsidRPr="00C41C6F">
        <w:rPr>
          <w:rFonts w:eastAsia="Times New Roman" w:cs="Times New Roman"/>
          <w:sz w:val="24"/>
          <w:szCs w:val="24"/>
        </w:rPr>
        <w:t xml:space="preserve"> </w:t>
      </w:r>
      <w:r w:rsidR="00EA6337">
        <w:rPr>
          <w:rFonts w:eastAsia="Times New Roman" w:cs="Times New Roman"/>
          <w:sz w:val="24"/>
          <w:szCs w:val="24"/>
        </w:rPr>
        <w:t>h</w:t>
      </w:r>
      <w:r w:rsidRPr="00C41C6F">
        <w:rPr>
          <w:rFonts w:eastAsia="Times New Roman" w:cs="Times New Roman"/>
          <w:sz w:val="24"/>
          <w:szCs w:val="24"/>
        </w:rPr>
        <w:t xml:space="preserve">owever, many </w:t>
      </w:r>
      <w:r w:rsidR="00495082">
        <w:rPr>
          <w:rFonts w:eastAsia="Times New Roman" w:cs="Times New Roman"/>
          <w:sz w:val="24"/>
          <w:szCs w:val="24"/>
        </w:rPr>
        <w:t>reported</w:t>
      </w:r>
      <w:r w:rsidRPr="00C41C6F">
        <w:rPr>
          <w:rFonts w:eastAsia="Times New Roman" w:cs="Times New Roman"/>
          <w:sz w:val="24"/>
          <w:szCs w:val="24"/>
        </w:rPr>
        <w:t xml:space="preserve"> how many hours they were able to work (</w:t>
      </w:r>
      <w:r w:rsidR="00F1510F">
        <w:rPr>
          <w:rFonts w:eastAsia="Times New Roman" w:cs="Times New Roman"/>
          <w:sz w:val="24"/>
          <w:szCs w:val="24"/>
        </w:rPr>
        <w:t>F</w:t>
      </w:r>
      <w:r w:rsidRPr="00C41C6F">
        <w:rPr>
          <w:rFonts w:eastAsia="Times New Roman" w:cs="Times New Roman"/>
          <w:sz w:val="24"/>
          <w:szCs w:val="24"/>
        </w:rPr>
        <w:t>ig</w:t>
      </w:r>
      <w:r w:rsidR="00DF33EC">
        <w:rPr>
          <w:rFonts w:eastAsia="Times New Roman" w:cs="Times New Roman"/>
          <w:sz w:val="24"/>
          <w:szCs w:val="24"/>
        </w:rPr>
        <w:t>ure</w:t>
      </w:r>
      <w:r w:rsidRPr="00C41C6F">
        <w:rPr>
          <w:rFonts w:eastAsia="Times New Roman" w:cs="Times New Roman"/>
          <w:sz w:val="24"/>
          <w:szCs w:val="24"/>
        </w:rPr>
        <w:t xml:space="preserve"> </w:t>
      </w:r>
      <w:r w:rsidR="00F1510F">
        <w:rPr>
          <w:rFonts w:eastAsia="Times New Roman" w:cs="Times New Roman"/>
          <w:sz w:val="24"/>
          <w:szCs w:val="24"/>
        </w:rPr>
        <w:lastRenderedPageBreak/>
        <w:t>3</w:t>
      </w:r>
      <w:r w:rsidRPr="00C41C6F">
        <w:rPr>
          <w:rFonts w:eastAsia="Times New Roman" w:cs="Times New Roman"/>
          <w:sz w:val="24"/>
          <w:szCs w:val="24"/>
        </w:rPr>
        <w:t>). At 48 weeks, 5</w:t>
      </w:r>
      <w:r w:rsidR="00F01054" w:rsidRPr="00C41C6F">
        <w:rPr>
          <w:rFonts w:eastAsia="Times New Roman" w:cs="Times New Roman"/>
          <w:sz w:val="24"/>
          <w:szCs w:val="24"/>
        </w:rPr>
        <w:t>2</w:t>
      </w:r>
      <w:r w:rsidRPr="00C41C6F">
        <w:rPr>
          <w:rFonts w:eastAsia="Times New Roman" w:cs="Times New Roman"/>
          <w:sz w:val="24"/>
          <w:szCs w:val="24"/>
        </w:rPr>
        <w:t>% of participants in th</w:t>
      </w:r>
      <w:r w:rsidR="008B3245" w:rsidRPr="00C41C6F">
        <w:rPr>
          <w:rFonts w:eastAsia="Times New Roman" w:cs="Times New Roman"/>
          <w:sz w:val="24"/>
          <w:szCs w:val="24"/>
        </w:rPr>
        <w:t xml:space="preserve">e </w:t>
      </w:r>
      <w:r w:rsidR="009B24CD" w:rsidRPr="00C41C6F">
        <w:rPr>
          <w:rFonts w:eastAsia="Times New Roman" w:cs="Times New Roman"/>
          <w:sz w:val="24"/>
          <w:szCs w:val="24"/>
        </w:rPr>
        <w:t>Short</w:t>
      </w:r>
      <w:r w:rsidR="00007EA7">
        <w:rPr>
          <w:rFonts w:eastAsia="Times New Roman" w:cs="Times New Roman"/>
          <w:sz w:val="24"/>
          <w:szCs w:val="24"/>
        </w:rPr>
        <w:t>-</w:t>
      </w:r>
      <w:r w:rsidR="007F778A">
        <w:rPr>
          <w:rFonts w:eastAsia="Times New Roman" w:cs="Times New Roman"/>
          <w:sz w:val="24"/>
          <w:szCs w:val="24"/>
        </w:rPr>
        <w:t>r</w:t>
      </w:r>
      <w:r w:rsidR="009B24CD" w:rsidRPr="00C41C6F">
        <w:rPr>
          <w:rFonts w:eastAsia="Times New Roman" w:cs="Times New Roman"/>
          <w:sz w:val="24"/>
          <w:szCs w:val="24"/>
        </w:rPr>
        <w:t xml:space="preserve">egimen </w:t>
      </w:r>
      <w:r w:rsidR="008B3245" w:rsidRPr="00C41C6F">
        <w:rPr>
          <w:rFonts w:eastAsia="Times New Roman" w:cs="Times New Roman"/>
          <w:sz w:val="24"/>
          <w:szCs w:val="24"/>
        </w:rPr>
        <w:t>were able to work 8</w:t>
      </w:r>
      <w:r w:rsidRPr="00C41C6F">
        <w:rPr>
          <w:rFonts w:eastAsia="Times New Roman" w:cs="Times New Roman"/>
          <w:sz w:val="24"/>
          <w:szCs w:val="24"/>
        </w:rPr>
        <w:t xml:space="preserve"> hours</w:t>
      </w:r>
      <w:r w:rsidR="00FF74EC">
        <w:rPr>
          <w:rFonts w:eastAsia="Times New Roman" w:cs="Times New Roman"/>
          <w:sz w:val="24"/>
          <w:szCs w:val="24"/>
        </w:rPr>
        <w:t xml:space="preserve"> </w:t>
      </w:r>
      <w:r w:rsidRPr="00C41C6F">
        <w:rPr>
          <w:rFonts w:eastAsia="Times New Roman" w:cs="Times New Roman"/>
          <w:sz w:val="24"/>
          <w:szCs w:val="24"/>
        </w:rPr>
        <w:t xml:space="preserve">per </w:t>
      </w:r>
      <w:r w:rsidR="00FF74EC">
        <w:rPr>
          <w:rFonts w:eastAsia="Times New Roman" w:cs="Times New Roman"/>
          <w:sz w:val="24"/>
          <w:szCs w:val="24"/>
        </w:rPr>
        <w:t>day</w:t>
      </w:r>
      <w:r w:rsidRPr="00C41C6F">
        <w:rPr>
          <w:rFonts w:eastAsia="Times New Roman" w:cs="Times New Roman"/>
          <w:sz w:val="24"/>
          <w:szCs w:val="24"/>
        </w:rPr>
        <w:t xml:space="preserve">, compared with </w:t>
      </w:r>
      <w:r w:rsidR="00F01054" w:rsidRPr="00C41C6F">
        <w:rPr>
          <w:rFonts w:eastAsia="Times New Roman" w:cs="Times New Roman"/>
          <w:sz w:val="24"/>
          <w:szCs w:val="24"/>
        </w:rPr>
        <w:t>30</w:t>
      </w:r>
      <w:r w:rsidR="00210E3D" w:rsidRPr="00C41C6F">
        <w:rPr>
          <w:rFonts w:eastAsia="Times New Roman" w:cs="Times New Roman"/>
          <w:sz w:val="24"/>
          <w:szCs w:val="24"/>
        </w:rPr>
        <w:t xml:space="preserve">% in the </w:t>
      </w:r>
      <w:r w:rsidR="009B24CD" w:rsidRPr="00C41C6F">
        <w:rPr>
          <w:rFonts w:eastAsia="Times New Roman" w:cs="Times New Roman"/>
          <w:sz w:val="24"/>
          <w:szCs w:val="24"/>
        </w:rPr>
        <w:t>Long</w:t>
      </w:r>
      <w:r w:rsidR="00851075">
        <w:rPr>
          <w:rFonts w:eastAsia="Times New Roman" w:cs="Times New Roman"/>
          <w:sz w:val="24"/>
          <w:szCs w:val="24"/>
        </w:rPr>
        <w:t>-</w:t>
      </w:r>
      <w:r w:rsidR="007F778A">
        <w:rPr>
          <w:rFonts w:eastAsia="Times New Roman" w:cs="Times New Roman"/>
          <w:sz w:val="24"/>
          <w:szCs w:val="24"/>
        </w:rPr>
        <w:t>r</w:t>
      </w:r>
      <w:r w:rsidR="009B24CD" w:rsidRPr="00C41C6F">
        <w:rPr>
          <w:rFonts w:eastAsia="Times New Roman" w:cs="Times New Roman"/>
          <w:sz w:val="24"/>
          <w:szCs w:val="24"/>
        </w:rPr>
        <w:t>egimen</w:t>
      </w:r>
      <w:r w:rsidR="00210E3D" w:rsidRPr="00C41C6F">
        <w:rPr>
          <w:rFonts w:eastAsia="Times New Roman" w:cs="Times New Roman"/>
          <w:sz w:val="24"/>
          <w:szCs w:val="24"/>
        </w:rPr>
        <w:t>.</w:t>
      </w:r>
      <w:r w:rsidR="0009050D">
        <w:rPr>
          <w:rFonts w:eastAsia="Times New Roman" w:cs="Times New Roman"/>
          <w:sz w:val="24"/>
          <w:szCs w:val="24"/>
        </w:rPr>
        <w:t xml:space="preserve"> </w:t>
      </w:r>
      <w:r w:rsidR="00210E3D" w:rsidRPr="00C41C6F">
        <w:rPr>
          <w:rFonts w:eastAsia="Times New Roman" w:cs="Times New Roman"/>
          <w:sz w:val="24"/>
          <w:szCs w:val="24"/>
        </w:rPr>
        <w:t>Overall,</w:t>
      </w:r>
      <w:r w:rsidR="008B3245" w:rsidRPr="00C41C6F">
        <w:rPr>
          <w:rFonts w:eastAsia="Times New Roman" w:cs="Times New Roman"/>
          <w:sz w:val="24"/>
          <w:szCs w:val="24"/>
        </w:rPr>
        <w:t xml:space="preserve"> the mean additional productivity </w:t>
      </w:r>
      <w:r w:rsidR="00882548">
        <w:rPr>
          <w:rFonts w:eastAsia="Times New Roman" w:cs="Times New Roman"/>
          <w:sz w:val="24"/>
          <w:szCs w:val="24"/>
        </w:rPr>
        <w:t>per</w:t>
      </w:r>
      <w:r w:rsidR="00882548" w:rsidRPr="00C41C6F">
        <w:rPr>
          <w:rFonts w:eastAsia="Times New Roman" w:cs="Times New Roman"/>
          <w:sz w:val="24"/>
          <w:szCs w:val="24"/>
        </w:rPr>
        <w:t xml:space="preserve"> </w:t>
      </w:r>
      <w:r w:rsidR="00210E3D" w:rsidRPr="00C41C6F">
        <w:rPr>
          <w:rFonts w:eastAsia="Times New Roman" w:cs="Times New Roman"/>
          <w:sz w:val="24"/>
          <w:szCs w:val="24"/>
        </w:rPr>
        <w:t xml:space="preserve">participant in the </w:t>
      </w:r>
      <w:r w:rsidR="009B24CD" w:rsidRPr="00C41C6F">
        <w:rPr>
          <w:rFonts w:eastAsia="Times New Roman" w:cs="Times New Roman"/>
          <w:sz w:val="24"/>
          <w:szCs w:val="24"/>
        </w:rPr>
        <w:t>Short</w:t>
      </w:r>
      <w:r w:rsidR="00007EA7">
        <w:rPr>
          <w:rFonts w:eastAsia="Times New Roman" w:cs="Times New Roman"/>
          <w:sz w:val="24"/>
          <w:szCs w:val="24"/>
        </w:rPr>
        <w:t>-</w:t>
      </w:r>
      <w:r w:rsidR="007F778A">
        <w:rPr>
          <w:rFonts w:eastAsia="Times New Roman" w:cs="Times New Roman"/>
          <w:sz w:val="24"/>
          <w:szCs w:val="24"/>
        </w:rPr>
        <w:t>r</w:t>
      </w:r>
      <w:r w:rsidR="009B24CD" w:rsidRPr="00C41C6F">
        <w:rPr>
          <w:rFonts w:eastAsia="Times New Roman" w:cs="Times New Roman"/>
          <w:sz w:val="24"/>
          <w:szCs w:val="24"/>
        </w:rPr>
        <w:t>egimen</w:t>
      </w:r>
      <w:r w:rsidR="008B3245" w:rsidRPr="00C41C6F">
        <w:rPr>
          <w:rFonts w:eastAsia="Times New Roman" w:cs="Times New Roman"/>
          <w:sz w:val="24"/>
          <w:szCs w:val="24"/>
        </w:rPr>
        <w:t xml:space="preserve">, over the duration of </w:t>
      </w:r>
      <w:r w:rsidR="00F02309">
        <w:rPr>
          <w:rFonts w:eastAsia="Times New Roman" w:cs="Times New Roman"/>
          <w:sz w:val="24"/>
          <w:szCs w:val="24"/>
        </w:rPr>
        <w:t>132 weeks of treatment and follow-up</w:t>
      </w:r>
      <w:r w:rsidR="00596394">
        <w:rPr>
          <w:rFonts w:eastAsia="Times New Roman" w:cs="Times New Roman"/>
          <w:sz w:val="24"/>
          <w:szCs w:val="24"/>
        </w:rPr>
        <w:t xml:space="preserve">, </w:t>
      </w:r>
      <w:r w:rsidR="008B3245" w:rsidRPr="00C41C6F">
        <w:rPr>
          <w:rFonts w:eastAsia="Times New Roman" w:cs="Times New Roman"/>
          <w:sz w:val="24"/>
          <w:szCs w:val="24"/>
        </w:rPr>
        <w:t xml:space="preserve">was </w:t>
      </w:r>
      <w:r w:rsidR="001D431E" w:rsidRPr="00C41C6F">
        <w:rPr>
          <w:rFonts w:eastAsia="Times New Roman" w:cs="Times New Roman"/>
          <w:sz w:val="24"/>
          <w:szCs w:val="24"/>
        </w:rPr>
        <w:t>66</w:t>
      </w:r>
      <w:r w:rsidR="00292DB1">
        <w:rPr>
          <w:rFonts w:eastAsia="Times New Roman" w:cs="Times New Roman"/>
          <w:sz w:val="24"/>
          <w:szCs w:val="24"/>
        </w:rPr>
        <w:t>7</w:t>
      </w:r>
      <w:r w:rsidR="008B3245" w:rsidRPr="00C41C6F">
        <w:rPr>
          <w:rFonts w:eastAsia="Times New Roman" w:cs="Times New Roman"/>
          <w:sz w:val="24"/>
          <w:szCs w:val="24"/>
        </w:rPr>
        <w:t xml:space="preserve"> hours</w:t>
      </w:r>
      <w:r w:rsidR="009774C2">
        <w:rPr>
          <w:rFonts w:eastAsia="Times New Roman" w:cs="Times New Roman"/>
          <w:sz w:val="24"/>
          <w:szCs w:val="24"/>
        </w:rPr>
        <w:t xml:space="preserve"> (95%CI 193</w:t>
      </w:r>
      <w:r w:rsidR="00504A96">
        <w:rPr>
          <w:rFonts w:eastAsia="Times New Roman" w:cs="Times New Roman"/>
          <w:sz w:val="24"/>
          <w:szCs w:val="24"/>
        </w:rPr>
        <w:t>-</w:t>
      </w:r>
      <w:r w:rsidR="009774C2">
        <w:rPr>
          <w:rFonts w:eastAsia="Times New Roman" w:cs="Times New Roman"/>
          <w:sz w:val="24"/>
          <w:szCs w:val="24"/>
        </w:rPr>
        <w:t xml:space="preserve"> 1</w:t>
      </w:r>
      <w:r w:rsidR="00C4093C">
        <w:rPr>
          <w:rFonts w:eastAsia="Times New Roman" w:cs="Times New Roman"/>
          <w:sz w:val="24"/>
          <w:szCs w:val="24"/>
        </w:rPr>
        <w:t>,</w:t>
      </w:r>
      <w:r w:rsidR="009774C2">
        <w:rPr>
          <w:rFonts w:eastAsia="Times New Roman" w:cs="Times New Roman"/>
          <w:sz w:val="24"/>
          <w:szCs w:val="24"/>
        </w:rPr>
        <w:t>127</w:t>
      </w:r>
      <w:r w:rsidR="00A2241D">
        <w:rPr>
          <w:rFonts w:eastAsia="Times New Roman" w:cs="Times New Roman"/>
          <w:sz w:val="24"/>
          <w:szCs w:val="24"/>
        </w:rPr>
        <w:t xml:space="preserve"> hours</w:t>
      </w:r>
      <w:r w:rsidR="009774C2">
        <w:rPr>
          <w:rFonts w:eastAsia="Times New Roman" w:cs="Times New Roman"/>
          <w:sz w:val="24"/>
          <w:szCs w:val="24"/>
        </w:rPr>
        <w:t>)</w:t>
      </w:r>
      <w:r w:rsidR="00863919">
        <w:rPr>
          <w:rFonts w:eastAsia="Times New Roman" w:cs="Times New Roman"/>
          <w:sz w:val="24"/>
          <w:szCs w:val="24"/>
        </w:rPr>
        <w:t xml:space="preserve">. </w:t>
      </w:r>
    </w:p>
    <w:p w14:paraId="50984C99" w14:textId="42146D74" w:rsidR="00863919" w:rsidRDefault="00863919" w:rsidP="00815142">
      <w:pPr>
        <w:spacing w:after="0" w:line="480" w:lineRule="auto"/>
        <w:rPr>
          <w:rFonts w:eastAsia="Times New Roman" w:cs="Times New Roman"/>
          <w:sz w:val="24"/>
          <w:szCs w:val="24"/>
        </w:rPr>
      </w:pPr>
      <w:r>
        <w:rPr>
          <w:rFonts w:eastAsia="Times New Roman" w:cs="Times New Roman"/>
          <w:sz w:val="24"/>
          <w:szCs w:val="24"/>
        </w:rPr>
        <w:t xml:space="preserve">The mean additional productivity </w:t>
      </w:r>
      <w:r w:rsidR="00D15871" w:rsidRPr="00C41C6F">
        <w:rPr>
          <w:rFonts w:eastAsia="Times New Roman" w:cs="Times New Roman"/>
          <w:sz w:val="24"/>
          <w:szCs w:val="24"/>
        </w:rPr>
        <w:t>translate</w:t>
      </w:r>
      <w:r w:rsidR="00EA6337">
        <w:rPr>
          <w:rFonts w:eastAsia="Times New Roman" w:cs="Times New Roman"/>
          <w:sz w:val="24"/>
          <w:szCs w:val="24"/>
        </w:rPr>
        <w:t>s</w:t>
      </w:r>
      <w:r w:rsidR="00D15871" w:rsidRPr="00C41C6F">
        <w:rPr>
          <w:rFonts w:eastAsia="Times New Roman" w:cs="Times New Roman"/>
          <w:sz w:val="24"/>
          <w:szCs w:val="24"/>
        </w:rPr>
        <w:t xml:space="preserve"> to an indirect cost saving</w:t>
      </w:r>
      <w:r w:rsidR="009F0D36" w:rsidRPr="00C41C6F">
        <w:rPr>
          <w:rFonts w:eastAsia="Times New Roman" w:cs="Times New Roman"/>
          <w:sz w:val="24"/>
          <w:szCs w:val="24"/>
        </w:rPr>
        <w:t xml:space="preserve"> of </w:t>
      </w:r>
      <w:r w:rsidR="00336654" w:rsidRPr="00C41C6F">
        <w:rPr>
          <w:rFonts w:eastAsia="Times New Roman" w:cs="Times New Roman"/>
          <w:sz w:val="24"/>
          <w:szCs w:val="24"/>
        </w:rPr>
        <w:t>US$</w:t>
      </w:r>
      <w:r w:rsidR="00EC7A28" w:rsidRPr="00C41C6F">
        <w:rPr>
          <w:rFonts w:eastAsia="Times New Roman" w:cs="Times New Roman"/>
          <w:sz w:val="24"/>
          <w:szCs w:val="24"/>
        </w:rPr>
        <w:t>175</w:t>
      </w:r>
      <w:r w:rsidR="00504A96">
        <w:t>·</w:t>
      </w:r>
      <w:r w:rsidR="00EC7A28" w:rsidRPr="00C41C6F">
        <w:rPr>
          <w:rFonts w:eastAsia="Times New Roman" w:cs="Times New Roman"/>
          <w:sz w:val="24"/>
          <w:szCs w:val="24"/>
        </w:rPr>
        <w:t>68</w:t>
      </w:r>
      <w:r w:rsidR="00D15871" w:rsidRPr="00C41C6F">
        <w:rPr>
          <w:rFonts w:eastAsia="Times New Roman" w:cs="Times New Roman"/>
          <w:sz w:val="24"/>
          <w:szCs w:val="24"/>
        </w:rPr>
        <w:t>, based on reported incomes for MDR-TB patient</w:t>
      </w:r>
      <w:r w:rsidR="00325001">
        <w:rPr>
          <w:rFonts w:eastAsia="Times New Roman" w:cs="Times New Roman"/>
          <w:sz w:val="24"/>
          <w:szCs w:val="24"/>
        </w:rPr>
        <w:t>s</w:t>
      </w:r>
      <w:r w:rsidR="00AB0F9A">
        <w:rPr>
          <w:rFonts w:eastAsia="Times New Roman" w:cs="Times New Roman"/>
          <w:sz w:val="24"/>
          <w:szCs w:val="24"/>
        </w:rPr>
        <w:t>.</w:t>
      </w:r>
      <w:r w:rsidR="00C95994">
        <w:rPr>
          <w:rFonts w:eastAsia="Times New Roman" w:cs="Times New Roman"/>
          <w:sz w:val="24"/>
          <w:szCs w:val="24"/>
          <w:vertAlign w:val="superscript"/>
        </w:rPr>
        <w:t>2</w:t>
      </w:r>
      <w:r w:rsidR="009A3D07">
        <w:rPr>
          <w:rFonts w:eastAsia="Times New Roman" w:cs="Times New Roman"/>
          <w:sz w:val="24"/>
          <w:szCs w:val="24"/>
          <w:vertAlign w:val="superscript"/>
        </w:rPr>
        <w:t>4</w:t>
      </w:r>
      <w:r w:rsidR="006268B7" w:rsidRPr="00C41C6F">
        <w:rPr>
          <w:rFonts w:eastAsia="Times New Roman" w:cs="Times New Roman"/>
          <w:sz w:val="24"/>
          <w:szCs w:val="24"/>
        </w:rPr>
        <w:t xml:space="preserve"> </w:t>
      </w:r>
      <w:r w:rsidR="00EC7A28" w:rsidRPr="00C41C6F">
        <w:rPr>
          <w:rFonts w:eastAsia="Times New Roman" w:cs="Times New Roman"/>
          <w:sz w:val="24"/>
          <w:szCs w:val="24"/>
        </w:rPr>
        <w:t xml:space="preserve">The total cost saving </w:t>
      </w:r>
      <w:r w:rsidR="00882548">
        <w:rPr>
          <w:rFonts w:eastAsia="Times New Roman" w:cs="Times New Roman"/>
          <w:sz w:val="24"/>
          <w:szCs w:val="24"/>
        </w:rPr>
        <w:t xml:space="preserve">per </w:t>
      </w:r>
      <w:r w:rsidR="00373B92">
        <w:rPr>
          <w:rFonts w:eastAsia="Times New Roman" w:cs="Times New Roman"/>
          <w:sz w:val="24"/>
          <w:szCs w:val="24"/>
        </w:rPr>
        <w:t>participant</w:t>
      </w:r>
      <w:r w:rsidR="00373B92" w:rsidRPr="00C41C6F">
        <w:rPr>
          <w:rFonts w:eastAsia="Times New Roman" w:cs="Times New Roman"/>
          <w:sz w:val="24"/>
          <w:szCs w:val="24"/>
        </w:rPr>
        <w:t xml:space="preserve"> </w:t>
      </w:r>
      <w:r w:rsidR="00EC7A28" w:rsidRPr="00C41C6F">
        <w:rPr>
          <w:rFonts w:eastAsia="Times New Roman" w:cs="Times New Roman"/>
          <w:sz w:val="24"/>
          <w:szCs w:val="24"/>
        </w:rPr>
        <w:t>is therefore</w:t>
      </w:r>
      <w:r w:rsidR="00336654" w:rsidRPr="00C41C6F">
        <w:rPr>
          <w:rFonts w:eastAsia="Times New Roman" w:cs="Times New Roman"/>
          <w:sz w:val="24"/>
          <w:szCs w:val="24"/>
        </w:rPr>
        <w:t xml:space="preserve"> US$</w:t>
      </w:r>
      <w:r w:rsidR="00EC7A28" w:rsidRPr="00C41C6F">
        <w:rPr>
          <w:rFonts w:eastAsia="Times New Roman" w:cs="Times New Roman"/>
          <w:sz w:val="24"/>
          <w:szCs w:val="24"/>
        </w:rPr>
        <w:t>322</w:t>
      </w:r>
      <w:r w:rsidR="00504A96">
        <w:t>·</w:t>
      </w:r>
      <w:r w:rsidR="00EC7A28" w:rsidRPr="00C41C6F">
        <w:rPr>
          <w:rFonts w:eastAsia="Times New Roman" w:cs="Times New Roman"/>
          <w:sz w:val="24"/>
          <w:szCs w:val="24"/>
        </w:rPr>
        <w:t xml:space="preserve">29, with 55% of this saving relating to indirect costs, and 45% relating to direct </w:t>
      </w:r>
      <w:r w:rsidR="006C3A8F">
        <w:rPr>
          <w:rFonts w:eastAsia="Times New Roman" w:cs="Times New Roman"/>
          <w:sz w:val="24"/>
          <w:szCs w:val="24"/>
        </w:rPr>
        <w:t>costs</w:t>
      </w:r>
      <w:r w:rsidR="00EC7A28" w:rsidRPr="00C41C6F">
        <w:rPr>
          <w:rFonts w:eastAsia="Times New Roman" w:cs="Times New Roman"/>
          <w:sz w:val="24"/>
          <w:szCs w:val="24"/>
        </w:rPr>
        <w:t>.</w:t>
      </w:r>
    </w:p>
    <w:p w14:paraId="668D6CBC" w14:textId="136B095A" w:rsidR="002467A5" w:rsidRPr="00A904FC" w:rsidRDefault="004C493E" w:rsidP="00815142">
      <w:pPr>
        <w:spacing w:after="0" w:line="480" w:lineRule="auto"/>
        <w:rPr>
          <w:rFonts w:eastAsia="Times New Roman" w:cs="Times New Roman"/>
          <w:sz w:val="24"/>
          <w:szCs w:val="24"/>
        </w:rPr>
      </w:pPr>
      <w:r w:rsidRPr="00C41C6F">
        <w:rPr>
          <w:rFonts w:eastAsia="Times New Roman" w:cs="Times New Roman"/>
          <w:sz w:val="24"/>
          <w:szCs w:val="24"/>
        </w:rPr>
        <w:t xml:space="preserve">There were insufficient data to estimate the </w:t>
      </w:r>
      <w:r w:rsidR="009C38A3">
        <w:rPr>
          <w:rFonts w:eastAsia="Times New Roman" w:cs="Times New Roman"/>
          <w:sz w:val="24"/>
          <w:szCs w:val="24"/>
        </w:rPr>
        <w:t xml:space="preserve">supplementary food expenditure or </w:t>
      </w:r>
      <w:r w:rsidRPr="00C41C6F">
        <w:rPr>
          <w:rFonts w:eastAsia="Times New Roman" w:cs="Times New Roman"/>
          <w:sz w:val="24"/>
          <w:szCs w:val="24"/>
        </w:rPr>
        <w:t>hours worked by participants in South Afric</w:t>
      </w:r>
      <w:r w:rsidR="006F6D9D">
        <w:rPr>
          <w:rFonts w:eastAsia="Times New Roman" w:cs="Times New Roman"/>
          <w:sz w:val="24"/>
          <w:szCs w:val="24"/>
        </w:rPr>
        <w:t>a</w:t>
      </w:r>
      <w:r w:rsidR="00E2671D" w:rsidRPr="001C7415">
        <w:rPr>
          <w:rFonts w:eastAsia="Times New Roman" w:cs="Times New Roman"/>
          <w:sz w:val="24"/>
          <w:szCs w:val="24"/>
          <w:vertAlign w:val="superscript"/>
        </w:rPr>
        <w:t>1</w:t>
      </w:r>
      <w:r w:rsidR="009A3D07">
        <w:rPr>
          <w:rFonts w:eastAsia="Times New Roman" w:cs="Times New Roman"/>
          <w:sz w:val="24"/>
          <w:szCs w:val="24"/>
          <w:vertAlign w:val="superscript"/>
        </w:rPr>
        <w:t>5</w:t>
      </w:r>
      <w:r w:rsidRPr="00C41C6F">
        <w:rPr>
          <w:rFonts w:eastAsia="Times New Roman" w:cs="Times New Roman"/>
          <w:sz w:val="24"/>
          <w:szCs w:val="24"/>
        </w:rPr>
        <w:t>.</w:t>
      </w:r>
    </w:p>
    <w:p w14:paraId="5E7B8137" w14:textId="77777777" w:rsidR="00CC7C3A" w:rsidRDefault="00CC7C3A" w:rsidP="00B25397">
      <w:pPr>
        <w:spacing w:line="480" w:lineRule="auto"/>
        <w:rPr>
          <w:rFonts w:eastAsia="Times New Roman" w:cs="Times New Roman"/>
          <w:sz w:val="24"/>
          <w:szCs w:val="24"/>
        </w:rPr>
      </w:pPr>
    </w:p>
    <w:p w14:paraId="18E9FABB" w14:textId="110095B2" w:rsidR="00E175EE" w:rsidRPr="008D576F" w:rsidRDefault="009A2CBC" w:rsidP="00815142">
      <w:pPr>
        <w:spacing w:line="480" w:lineRule="auto"/>
        <w:jc w:val="center"/>
        <w:rPr>
          <w:rFonts w:ascii="Arial" w:hAnsi="Arial" w:cs="Arial"/>
        </w:rPr>
      </w:pPr>
      <w:r w:rsidRPr="00C41C6F">
        <w:rPr>
          <w:rFonts w:eastAsia="Times New Roman" w:cs="Times New Roman"/>
          <w:sz w:val="24"/>
          <w:szCs w:val="24"/>
        </w:rPr>
        <w:t>DISCUSSION</w:t>
      </w:r>
    </w:p>
    <w:p w14:paraId="5FE9C672" w14:textId="0C527E17" w:rsidR="00620203" w:rsidRPr="00196018" w:rsidRDefault="00620203" w:rsidP="00620203">
      <w:pPr>
        <w:spacing w:line="480" w:lineRule="auto"/>
        <w:rPr>
          <w:rFonts w:eastAsia="Times New Roman" w:cs="Times New Roman"/>
          <w:sz w:val="24"/>
          <w:szCs w:val="24"/>
        </w:rPr>
      </w:pPr>
      <w:r w:rsidRPr="00196018">
        <w:rPr>
          <w:rFonts w:eastAsia="Times New Roman" w:cs="Times New Roman"/>
          <w:sz w:val="24"/>
          <w:szCs w:val="24"/>
        </w:rPr>
        <w:t>STREAM is the first study to estimate the costs of MDR-TB treatment to participants and the health care system within a Phase</w:t>
      </w:r>
      <w:r w:rsidR="0007470B">
        <w:rPr>
          <w:rFonts w:eastAsia="Times New Roman" w:cs="Times New Roman"/>
          <w:sz w:val="24"/>
          <w:szCs w:val="24"/>
        </w:rPr>
        <w:t xml:space="preserve"> </w:t>
      </w:r>
      <w:r w:rsidRPr="00196018">
        <w:rPr>
          <w:rFonts w:eastAsia="Times New Roman" w:cs="Times New Roman"/>
          <w:sz w:val="24"/>
          <w:szCs w:val="24"/>
        </w:rPr>
        <w:t xml:space="preserve">III </w:t>
      </w:r>
      <w:r w:rsidR="007735F5">
        <w:rPr>
          <w:rFonts w:eastAsia="Times New Roman" w:cs="Times New Roman"/>
          <w:sz w:val="24"/>
          <w:szCs w:val="24"/>
        </w:rPr>
        <w:t>RCT</w:t>
      </w:r>
      <w:r w:rsidRPr="00196018">
        <w:rPr>
          <w:rFonts w:eastAsia="Times New Roman" w:cs="Times New Roman"/>
          <w:sz w:val="24"/>
          <w:szCs w:val="24"/>
        </w:rPr>
        <w:t xml:space="preserve">. We found that the Short-regimen led to substantial savings for both health systems and patients. </w:t>
      </w:r>
      <w:r w:rsidR="00E96728">
        <w:rPr>
          <w:rFonts w:eastAsia="Times New Roman" w:cs="Times New Roman"/>
          <w:sz w:val="24"/>
          <w:szCs w:val="24"/>
        </w:rPr>
        <w:t>While this was intuitive</w:t>
      </w:r>
      <w:r w:rsidR="00860366">
        <w:rPr>
          <w:rFonts w:eastAsia="Times New Roman" w:cs="Times New Roman"/>
          <w:sz w:val="24"/>
          <w:szCs w:val="24"/>
        </w:rPr>
        <w:t>ly an expected overall result</w:t>
      </w:r>
      <w:r w:rsidRPr="006D37BD">
        <w:rPr>
          <w:rFonts w:eastAsia="Times New Roman" w:cs="Times New Roman"/>
          <w:sz w:val="24"/>
          <w:szCs w:val="24"/>
        </w:rPr>
        <w:t xml:space="preserve">, there are important </w:t>
      </w:r>
      <w:r w:rsidR="00860366">
        <w:rPr>
          <w:rFonts w:eastAsia="Times New Roman" w:cs="Times New Roman"/>
          <w:sz w:val="24"/>
          <w:szCs w:val="24"/>
        </w:rPr>
        <w:t xml:space="preserve">unexpected </w:t>
      </w:r>
      <w:r w:rsidRPr="006D37BD">
        <w:rPr>
          <w:rFonts w:eastAsia="Times New Roman" w:cs="Times New Roman"/>
          <w:sz w:val="24"/>
          <w:szCs w:val="24"/>
        </w:rPr>
        <w:t>findings</w:t>
      </w:r>
      <w:r w:rsidRPr="00196018">
        <w:rPr>
          <w:rFonts w:eastAsia="Times New Roman" w:cs="Times New Roman"/>
          <w:sz w:val="24"/>
          <w:szCs w:val="24"/>
        </w:rPr>
        <w:t xml:space="preserve">. We found that patient cost savings in Ethiopia were driven by substantial reductions in supplementary food expenditure and increased productivity (667 additional hours over 132 weeks), with savings from reduced health facility visits </w:t>
      </w:r>
      <w:r>
        <w:rPr>
          <w:rFonts w:eastAsia="Times New Roman" w:cs="Times New Roman"/>
          <w:sz w:val="24"/>
          <w:szCs w:val="24"/>
        </w:rPr>
        <w:t>being</w:t>
      </w:r>
      <w:r w:rsidRPr="00196018">
        <w:rPr>
          <w:rFonts w:eastAsia="Times New Roman" w:cs="Times New Roman"/>
          <w:sz w:val="24"/>
          <w:szCs w:val="24"/>
        </w:rPr>
        <w:t xml:space="preserve"> less important. Productivity differences accrued largely between weeks 16-32, when those </w:t>
      </w:r>
      <w:r>
        <w:rPr>
          <w:rFonts w:eastAsia="Times New Roman" w:cs="Times New Roman"/>
          <w:sz w:val="24"/>
          <w:szCs w:val="24"/>
        </w:rPr>
        <w:t>on</w:t>
      </w:r>
      <w:r w:rsidRPr="00196018">
        <w:rPr>
          <w:rFonts w:eastAsia="Times New Roman" w:cs="Times New Roman"/>
          <w:sz w:val="24"/>
          <w:szCs w:val="24"/>
        </w:rPr>
        <w:t xml:space="preserve"> the </w:t>
      </w:r>
      <w:r>
        <w:rPr>
          <w:rFonts w:eastAsia="Times New Roman" w:cs="Times New Roman"/>
          <w:sz w:val="24"/>
          <w:szCs w:val="24"/>
        </w:rPr>
        <w:t>L</w:t>
      </w:r>
      <w:r w:rsidRPr="00196018">
        <w:rPr>
          <w:rFonts w:eastAsia="Times New Roman" w:cs="Times New Roman"/>
          <w:sz w:val="24"/>
          <w:szCs w:val="24"/>
        </w:rPr>
        <w:t>ong</w:t>
      </w:r>
      <w:r>
        <w:rPr>
          <w:rFonts w:eastAsia="Times New Roman" w:cs="Times New Roman"/>
          <w:sz w:val="24"/>
          <w:szCs w:val="24"/>
        </w:rPr>
        <w:t>-</w:t>
      </w:r>
      <w:r w:rsidRPr="00196018">
        <w:rPr>
          <w:rFonts w:eastAsia="Times New Roman" w:cs="Times New Roman"/>
          <w:sz w:val="24"/>
          <w:szCs w:val="24"/>
        </w:rPr>
        <w:t xml:space="preserve">regimen were </w:t>
      </w:r>
      <w:r>
        <w:rPr>
          <w:rFonts w:eastAsia="Times New Roman" w:cs="Times New Roman"/>
          <w:sz w:val="24"/>
          <w:szCs w:val="24"/>
        </w:rPr>
        <w:t>receiving injectables</w:t>
      </w:r>
      <w:r w:rsidRPr="00196018">
        <w:rPr>
          <w:rFonts w:eastAsia="Times New Roman" w:cs="Times New Roman"/>
          <w:sz w:val="24"/>
          <w:szCs w:val="24"/>
        </w:rPr>
        <w:t xml:space="preserve"> </w:t>
      </w:r>
      <w:r w:rsidR="007D7FDC">
        <w:rPr>
          <w:rFonts w:eastAsia="Times New Roman" w:cs="Times New Roman"/>
          <w:sz w:val="24"/>
          <w:szCs w:val="24"/>
        </w:rPr>
        <w:t>and</w:t>
      </w:r>
      <w:r w:rsidRPr="00196018">
        <w:rPr>
          <w:rFonts w:eastAsia="Times New Roman" w:cs="Times New Roman"/>
          <w:sz w:val="24"/>
          <w:szCs w:val="24"/>
        </w:rPr>
        <w:t xml:space="preserve"> those on the </w:t>
      </w:r>
      <w:r w:rsidR="002355FF">
        <w:rPr>
          <w:rFonts w:eastAsia="Times New Roman" w:cs="Times New Roman"/>
          <w:sz w:val="24"/>
          <w:szCs w:val="24"/>
        </w:rPr>
        <w:t>S</w:t>
      </w:r>
      <w:r w:rsidRPr="00196018">
        <w:rPr>
          <w:rFonts w:eastAsia="Times New Roman" w:cs="Times New Roman"/>
          <w:sz w:val="24"/>
          <w:szCs w:val="24"/>
        </w:rPr>
        <w:t>hort</w:t>
      </w:r>
      <w:r w:rsidR="002355FF">
        <w:rPr>
          <w:rFonts w:eastAsia="Times New Roman" w:cs="Times New Roman"/>
          <w:sz w:val="24"/>
          <w:szCs w:val="24"/>
        </w:rPr>
        <w:t>-regimen</w:t>
      </w:r>
      <w:r w:rsidRPr="00196018">
        <w:rPr>
          <w:rFonts w:eastAsia="Times New Roman" w:cs="Times New Roman"/>
          <w:sz w:val="24"/>
          <w:szCs w:val="24"/>
        </w:rPr>
        <w:t xml:space="preserve"> were not. Supplementary food expenditure diverged largely during weeks 48-84, when only those on the </w:t>
      </w:r>
      <w:r>
        <w:rPr>
          <w:rFonts w:eastAsia="Times New Roman" w:cs="Times New Roman"/>
          <w:sz w:val="24"/>
          <w:szCs w:val="24"/>
        </w:rPr>
        <w:t>L</w:t>
      </w:r>
      <w:r w:rsidRPr="00196018">
        <w:rPr>
          <w:rFonts w:eastAsia="Times New Roman" w:cs="Times New Roman"/>
          <w:sz w:val="24"/>
          <w:szCs w:val="24"/>
        </w:rPr>
        <w:t>ong</w:t>
      </w:r>
      <w:r>
        <w:rPr>
          <w:rFonts w:eastAsia="Times New Roman" w:cs="Times New Roman"/>
          <w:sz w:val="24"/>
          <w:szCs w:val="24"/>
        </w:rPr>
        <w:t>-</w:t>
      </w:r>
      <w:r w:rsidRPr="00196018">
        <w:rPr>
          <w:rFonts w:eastAsia="Times New Roman" w:cs="Times New Roman"/>
          <w:sz w:val="24"/>
          <w:szCs w:val="24"/>
        </w:rPr>
        <w:t xml:space="preserve">regimen were still receiving treatment. While further research is needed to understand these relationships, </w:t>
      </w:r>
      <w:r>
        <w:rPr>
          <w:rFonts w:eastAsia="Times New Roman" w:cs="Times New Roman"/>
          <w:sz w:val="24"/>
          <w:szCs w:val="24"/>
        </w:rPr>
        <w:t>these</w:t>
      </w:r>
      <w:r w:rsidRPr="00196018">
        <w:rPr>
          <w:rFonts w:eastAsia="Times New Roman" w:cs="Times New Roman"/>
          <w:sz w:val="24"/>
          <w:szCs w:val="24"/>
        </w:rPr>
        <w:t xml:space="preserve"> may well be </w:t>
      </w:r>
      <w:r w:rsidR="007D7FDC">
        <w:rPr>
          <w:rFonts w:eastAsia="Times New Roman" w:cs="Times New Roman"/>
          <w:sz w:val="24"/>
          <w:szCs w:val="24"/>
        </w:rPr>
        <w:t>some</w:t>
      </w:r>
      <w:r w:rsidRPr="00196018">
        <w:rPr>
          <w:rFonts w:eastAsia="Times New Roman" w:cs="Times New Roman"/>
          <w:sz w:val="24"/>
          <w:szCs w:val="24"/>
        </w:rPr>
        <w:t xml:space="preserve"> </w:t>
      </w:r>
      <w:r w:rsidRPr="00196018">
        <w:rPr>
          <w:rFonts w:eastAsia="Times New Roman" w:cs="Times New Roman"/>
          <w:sz w:val="24"/>
          <w:szCs w:val="24"/>
        </w:rPr>
        <w:lastRenderedPageBreak/>
        <w:t>of the key benefits of switching to the Short-regimen for the well-being of patients and their families, given the typical socioeconomic situation of MDR-TB patients</w:t>
      </w:r>
      <w:r>
        <w:rPr>
          <w:rFonts w:eastAsia="Times New Roman" w:cs="Times New Roman"/>
          <w:sz w:val="24"/>
          <w:szCs w:val="24"/>
        </w:rPr>
        <w:t>.</w:t>
      </w:r>
      <w:r w:rsidRPr="00196018">
        <w:rPr>
          <w:rFonts w:eastAsia="Times New Roman" w:cs="Times New Roman"/>
          <w:sz w:val="24"/>
          <w:szCs w:val="24"/>
        </w:rPr>
        <w:t xml:space="preserve"> We estimate that the mean costs to participants were roughly 30-50% of the income estimated for MDR-TB patients</w:t>
      </w:r>
      <w:r w:rsidR="00906934">
        <w:rPr>
          <w:rFonts w:eastAsia="Times New Roman" w:cs="Times New Roman"/>
          <w:sz w:val="24"/>
          <w:szCs w:val="24"/>
        </w:rPr>
        <w:t xml:space="preserve"> in Ethiopia</w:t>
      </w:r>
      <w:r w:rsidRPr="00196018">
        <w:rPr>
          <w:rFonts w:eastAsia="Times New Roman" w:cs="Times New Roman"/>
          <w:sz w:val="24"/>
          <w:szCs w:val="24"/>
        </w:rPr>
        <w:t xml:space="preserve"> by Van Den Hof et al,</w:t>
      </w:r>
      <w:r w:rsidR="00C95994">
        <w:rPr>
          <w:rFonts w:eastAsia="Times New Roman" w:cs="Times New Roman"/>
          <w:sz w:val="24"/>
          <w:szCs w:val="24"/>
          <w:vertAlign w:val="superscript"/>
        </w:rPr>
        <w:t>2</w:t>
      </w:r>
      <w:r w:rsidR="009A3D07">
        <w:rPr>
          <w:rFonts w:eastAsia="Times New Roman" w:cs="Times New Roman"/>
          <w:sz w:val="24"/>
          <w:szCs w:val="24"/>
          <w:vertAlign w:val="superscript"/>
        </w:rPr>
        <w:t>4</w:t>
      </w:r>
      <w:r w:rsidRPr="00196018">
        <w:rPr>
          <w:rFonts w:eastAsia="Times New Roman" w:cs="Times New Roman"/>
          <w:sz w:val="24"/>
          <w:szCs w:val="24"/>
        </w:rPr>
        <w:t xml:space="preserve"> suggesting that a substantial number of participants did experience catastrophic costs, and that the proportion was considerably less for those on the Short-regimen.</w:t>
      </w:r>
    </w:p>
    <w:p w14:paraId="266EE2E0" w14:textId="77777777" w:rsidR="00620203" w:rsidRPr="00196018" w:rsidRDefault="00620203" w:rsidP="00620203">
      <w:pPr>
        <w:spacing w:line="480" w:lineRule="auto"/>
        <w:rPr>
          <w:rFonts w:eastAsia="Times New Roman" w:cs="Times New Roman"/>
          <w:sz w:val="24"/>
          <w:szCs w:val="24"/>
        </w:rPr>
      </w:pPr>
    </w:p>
    <w:p w14:paraId="07026E97" w14:textId="6DA34168" w:rsidR="00620203" w:rsidRDefault="00620203" w:rsidP="00620203">
      <w:pPr>
        <w:spacing w:line="480" w:lineRule="auto"/>
        <w:rPr>
          <w:rFonts w:eastAsia="Times New Roman" w:cs="Times New Roman"/>
          <w:sz w:val="24"/>
          <w:szCs w:val="24"/>
        </w:rPr>
      </w:pPr>
      <w:r w:rsidRPr="00196018">
        <w:rPr>
          <w:rFonts w:eastAsia="Times New Roman" w:cs="Times New Roman"/>
          <w:sz w:val="24"/>
          <w:szCs w:val="24"/>
        </w:rPr>
        <w:t xml:space="preserve">While our finding that health system costs for the </w:t>
      </w:r>
      <w:r w:rsidR="00F521AD">
        <w:rPr>
          <w:rFonts w:eastAsia="Times New Roman" w:cs="Times New Roman"/>
          <w:sz w:val="24"/>
          <w:szCs w:val="24"/>
        </w:rPr>
        <w:t>S</w:t>
      </w:r>
      <w:r w:rsidRPr="00196018">
        <w:rPr>
          <w:rFonts w:eastAsia="Times New Roman" w:cs="Times New Roman"/>
          <w:sz w:val="24"/>
          <w:szCs w:val="24"/>
        </w:rPr>
        <w:t>hort</w:t>
      </w:r>
      <w:r w:rsidR="00F521AD">
        <w:rPr>
          <w:rFonts w:eastAsia="Times New Roman" w:cs="Times New Roman"/>
          <w:sz w:val="24"/>
          <w:szCs w:val="24"/>
        </w:rPr>
        <w:t>-</w:t>
      </w:r>
      <w:r w:rsidRPr="00196018">
        <w:rPr>
          <w:rFonts w:eastAsia="Times New Roman" w:cs="Times New Roman"/>
          <w:sz w:val="24"/>
          <w:szCs w:val="24"/>
        </w:rPr>
        <w:t>regimen are considerably lower is unsurprising, our detailed costing analysis across two different settings provide insights into the timing and drivers of these savings, and how they are influenced by health system as well as clinical factors. Differences between hospitals and between countries in the relative importance of wages and prices, and in models of care, influence costs and savings considerably. Particularly important are policies that affect the duration of inpatient stay, as th</w:t>
      </w:r>
      <w:r w:rsidR="00D63FA6">
        <w:rPr>
          <w:rFonts w:eastAsia="Times New Roman" w:cs="Times New Roman"/>
          <w:sz w:val="24"/>
          <w:szCs w:val="24"/>
        </w:rPr>
        <w:t>e</w:t>
      </w:r>
      <w:r w:rsidR="00D03D2F">
        <w:rPr>
          <w:rFonts w:eastAsia="Times New Roman" w:cs="Times New Roman"/>
          <w:sz w:val="24"/>
          <w:szCs w:val="24"/>
        </w:rPr>
        <w:t>y</w:t>
      </w:r>
      <w:r w:rsidRPr="00196018">
        <w:rPr>
          <w:rFonts w:eastAsia="Times New Roman" w:cs="Times New Roman"/>
          <w:sz w:val="24"/>
          <w:szCs w:val="24"/>
        </w:rPr>
        <w:t xml:space="preserve"> can be a key driver of the costs of care. For example, if inpatient care were maintained while patients received injectable medication, an additional cost saving of US$1,958 would be achieved in South Africa from switching to the Short-regimen, as it involves a four-week reduction in the duration of injectable therapy (increasing the total saving from the Short-regimen to US$3,818 per patient).  As a wholly outpatient management is increasingly common,</w:t>
      </w:r>
      <w:r w:rsidR="00C95994">
        <w:rPr>
          <w:rFonts w:eastAsia="Times New Roman" w:cs="Times New Roman"/>
          <w:sz w:val="24"/>
          <w:szCs w:val="24"/>
          <w:vertAlign w:val="superscript"/>
        </w:rPr>
        <w:t>2</w:t>
      </w:r>
      <w:r w:rsidR="009A3D07">
        <w:rPr>
          <w:rFonts w:eastAsia="Times New Roman" w:cs="Times New Roman"/>
          <w:sz w:val="24"/>
          <w:szCs w:val="24"/>
          <w:vertAlign w:val="superscript"/>
        </w:rPr>
        <w:t>5</w:t>
      </w:r>
      <w:r w:rsidRPr="006D37BD">
        <w:rPr>
          <w:rFonts w:eastAsia="Times New Roman" w:cs="Times New Roman"/>
          <w:sz w:val="24"/>
          <w:szCs w:val="24"/>
          <w:vertAlign w:val="superscript"/>
        </w:rPr>
        <w:t>,2</w:t>
      </w:r>
      <w:r w:rsidR="009A3D07">
        <w:rPr>
          <w:rFonts w:eastAsia="Times New Roman" w:cs="Times New Roman"/>
          <w:sz w:val="24"/>
          <w:szCs w:val="24"/>
          <w:vertAlign w:val="superscript"/>
        </w:rPr>
        <w:t>6</w:t>
      </w:r>
      <w:r w:rsidRPr="00196018">
        <w:rPr>
          <w:rFonts w:eastAsia="Times New Roman" w:cs="Times New Roman"/>
          <w:sz w:val="24"/>
          <w:szCs w:val="24"/>
        </w:rPr>
        <w:t xml:space="preserve"> we also </w:t>
      </w:r>
      <w:r w:rsidR="00367331">
        <w:rPr>
          <w:rFonts w:eastAsia="Times New Roman" w:cs="Times New Roman"/>
          <w:sz w:val="24"/>
          <w:szCs w:val="24"/>
        </w:rPr>
        <w:t>estimated the</w:t>
      </w:r>
      <w:r w:rsidRPr="00196018">
        <w:rPr>
          <w:rFonts w:eastAsia="Times New Roman" w:cs="Times New Roman"/>
          <w:sz w:val="24"/>
          <w:szCs w:val="24"/>
        </w:rPr>
        <w:t xml:space="preserve"> </w:t>
      </w:r>
      <w:r w:rsidR="00367331">
        <w:rPr>
          <w:rFonts w:eastAsia="Times New Roman" w:cs="Times New Roman"/>
          <w:sz w:val="24"/>
          <w:szCs w:val="24"/>
        </w:rPr>
        <w:t xml:space="preserve">effect on </w:t>
      </w:r>
      <w:r w:rsidRPr="00196018">
        <w:rPr>
          <w:rFonts w:eastAsia="Times New Roman" w:cs="Times New Roman"/>
          <w:sz w:val="24"/>
          <w:szCs w:val="24"/>
        </w:rPr>
        <w:t xml:space="preserve">health system costs for South Africa </w:t>
      </w:r>
      <w:r w:rsidR="00367331">
        <w:rPr>
          <w:rFonts w:eastAsia="Times New Roman" w:cs="Times New Roman"/>
          <w:sz w:val="24"/>
          <w:szCs w:val="24"/>
        </w:rPr>
        <w:t xml:space="preserve">if </w:t>
      </w:r>
      <w:r w:rsidRPr="00196018">
        <w:rPr>
          <w:rFonts w:eastAsia="Times New Roman" w:cs="Times New Roman"/>
          <w:sz w:val="24"/>
          <w:szCs w:val="24"/>
        </w:rPr>
        <w:t>outpatient care</w:t>
      </w:r>
      <w:r w:rsidR="00367331">
        <w:rPr>
          <w:rFonts w:eastAsia="Times New Roman" w:cs="Times New Roman"/>
          <w:sz w:val="24"/>
          <w:szCs w:val="24"/>
        </w:rPr>
        <w:t xml:space="preserve"> was the norm</w:t>
      </w:r>
      <w:r w:rsidRPr="00196018">
        <w:rPr>
          <w:rFonts w:eastAsia="Times New Roman" w:cs="Times New Roman"/>
          <w:sz w:val="24"/>
          <w:szCs w:val="24"/>
        </w:rPr>
        <w:t xml:space="preserve">. Based on the outpatient unit cost reported by </w:t>
      </w:r>
      <w:proofErr w:type="spellStart"/>
      <w:r w:rsidRPr="00196018">
        <w:rPr>
          <w:rFonts w:eastAsia="Times New Roman" w:cs="Times New Roman"/>
          <w:sz w:val="24"/>
          <w:szCs w:val="24"/>
        </w:rPr>
        <w:t>Pooran</w:t>
      </w:r>
      <w:proofErr w:type="spellEnd"/>
      <w:r w:rsidRPr="00196018">
        <w:rPr>
          <w:rFonts w:eastAsia="Times New Roman" w:cs="Times New Roman"/>
          <w:sz w:val="24"/>
          <w:szCs w:val="24"/>
        </w:rPr>
        <w:t xml:space="preserve"> et al,</w:t>
      </w:r>
      <w:r w:rsidRPr="006D37BD">
        <w:rPr>
          <w:rFonts w:eastAsia="Times New Roman" w:cs="Times New Roman"/>
          <w:sz w:val="24"/>
          <w:szCs w:val="24"/>
          <w:vertAlign w:val="superscript"/>
        </w:rPr>
        <w:t>3</w:t>
      </w:r>
      <w:r w:rsidRPr="00196018">
        <w:rPr>
          <w:rFonts w:eastAsia="Times New Roman" w:cs="Times New Roman"/>
          <w:sz w:val="24"/>
          <w:szCs w:val="24"/>
        </w:rPr>
        <w:t xml:space="preserve"> the projected total health system cost of the Long-regimen </w:t>
      </w:r>
      <w:r w:rsidR="00367331">
        <w:rPr>
          <w:rFonts w:eastAsia="Times New Roman" w:cs="Times New Roman"/>
          <w:sz w:val="24"/>
          <w:szCs w:val="24"/>
        </w:rPr>
        <w:t>would be</w:t>
      </w:r>
      <w:r w:rsidRPr="00196018">
        <w:rPr>
          <w:rFonts w:eastAsia="Times New Roman" w:cs="Times New Roman"/>
          <w:sz w:val="24"/>
          <w:szCs w:val="24"/>
        </w:rPr>
        <w:t xml:space="preserve"> approximately US$5,600, compared to US$3,415 for the Short-regimen, </w:t>
      </w:r>
      <w:r w:rsidR="00367331">
        <w:rPr>
          <w:rFonts w:eastAsia="Times New Roman" w:cs="Times New Roman"/>
          <w:sz w:val="24"/>
          <w:szCs w:val="24"/>
        </w:rPr>
        <w:t>i</w:t>
      </w:r>
      <w:r w:rsidR="00C95994">
        <w:rPr>
          <w:rFonts w:eastAsia="Times New Roman" w:cs="Times New Roman"/>
          <w:sz w:val="24"/>
          <w:szCs w:val="24"/>
        </w:rPr>
        <w:t>.</w:t>
      </w:r>
      <w:r w:rsidR="00367331">
        <w:rPr>
          <w:rFonts w:eastAsia="Times New Roman" w:cs="Times New Roman"/>
          <w:sz w:val="24"/>
          <w:szCs w:val="24"/>
        </w:rPr>
        <w:t>e</w:t>
      </w:r>
      <w:r w:rsidR="00C95994">
        <w:rPr>
          <w:rFonts w:eastAsia="Times New Roman" w:cs="Times New Roman"/>
          <w:sz w:val="24"/>
          <w:szCs w:val="24"/>
        </w:rPr>
        <w:t>.</w:t>
      </w:r>
      <w:r w:rsidRPr="00196018">
        <w:rPr>
          <w:rFonts w:eastAsia="Times New Roman" w:cs="Times New Roman"/>
          <w:sz w:val="24"/>
          <w:szCs w:val="24"/>
        </w:rPr>
        <w:t xml:space="preserve"> significant cost savings </w:t>
      </w:r>
      <w:r w:rsidRPr="00196018">
        <w:rPr>
          <w:rFonts w:eastAsia="Times New Roman" w:cs="Times New Roman"/>
          <w:sz w:val="24"/>
          <w:szCs w:val="24"/>
        </w:rPr>
        <w:lastRenderedPageBreak/>
        <w:t>compared to an inpatient model</w:t>
      </w:r>
      <w:r w:rsidR="00367331">
        <w:rPr>
          <w:rFonts w:eastAsia="Times New Roman" w:cs="Times New Roman"/>
          <w:sz w:val="24"/>
          <w:szCs w:val="24"/>
        </w:rPr>
        <w:t xml:space="preserve"> for both regimens, but still with savings in the Short-regimen compared to the Long-regimen</w:t>
      </w:r>
      <w:r w:rsidRPr="00196018">
        <w:rPr>
          <w:rFonts w:eastAsia="Times New Roman" w:cs="Times New Roman"/>
          <w:sz w:val="24"/>
          <w:szCs w:val="24"/>
        </w:rPr>
        <w:t xml:space="preserve">. </w:t>
      </w:r>
    </w:p>
    <w:p w14:paraId="571F8EF2" w14:textId="27523B30" w:rsidR="001E55F9" w:rsidRPr="00196018" w:rsidRDefault="00E96728" w:rsidP="00E96728">
      <w:pPr>
        <w:spacing w:line="480" w:lineRule="auto"/>
        <w:rPr>
          <w:rFonts w:eastAsia="Times New Roman" w:cs="Times New Roman"/>
          <w:sz w:val="24"/>
          <w:szCs w:val="24"/>
        </w:rPr>
      </w:pPr>
      <w:r w:rsidRPr="00196018">
        <w:rPr>
          <w:rFonts w:eastAsia="Times New Roman" w:cs="Times New Roman"/>
          <w:sz w:val="24"/>
          <w:szCs w:val="24"/>
        </w:rPr>
        <w:t xml:space="preserve">Cost savings also depend on the choice of antibiotics – medication cost savings were more significant in South Africa because of the use of costly Terizidone in the </w:t>
      </w:r>
      <w:r>
        <w:rPr>
          <w:rFonts w:eastAsia="Times New Roman" w:cs="Times New Roman"/>
          <w:sz w:val="24"/>
          <w:szCs w:val="24"/>
        </w:rPr>
        <w:t>L</w:t>
      </w:r>
      <w:r w:rsidRPr="00196018">
        <w:rPr>
          <w:rFonts w:eastAsia="Times New Roman" w:cs="Times New Roman"/>
          <w:sz w:val="24"/>
          <w:szCs w:val="24"/>
        </w:rPr>
        <w:t>ong</w:t>
      </w:r>
      <w:r>
        <w:rPr>
          <w:rFonts w:eastAsia="Times New Roman" w:cs="Times New Roman"/>
          <w:sz w:val="24"/>
          <w:szCs w:val="24"/>
        </w:rPr>
        <w:t>-</w:t>
      </w:r>
      <w:r w:rsidRPr="00196018">
        <w:rPr>
          <w:rFonts w:eastAsia="Times New Roman" w:cs="Times New Roman"/>
          <w:sz w:val="24"/>
          <w:szCs w:val="24"/>
        </w:rPr>
        <w:t xml:space="preserve">regimen there, but not in Ethiopia. </w:t>
      </w:r>
      <w:r w:rsidR="00F3103A">
        <w:rPr>
          <w:rFonts w:eastAsia="Times New Roman" w:cs="Times New Roman"/>
          <w:sz w:val="24"/>
          <w:szCs w:val="24"/>
        </w:rPr>
        <w:t xml:space="preserve">On the other hand, the Short-regimen medication costs were lower in South Africa </w:t>
      </w:r>
      <w:r w:rsidR="001E55F9">
        <w:rPr>
          <w:rFonts w:eastAsia="Times New Roman" w:cs="Times New Roman"/>
          <w:sz w:val="24"/>
          <w:szCs w:val="24"/>
        </w:rPr>
        <w:t>as they are heavily regulated.</w:t>
      </w:r>
    </w:p>
    <w:p w14:paraId="035947B6" w14:textId="1D1EE406" w:rsidR="00620203" w:rsidRDefault="00620203" w:rsidP="00620203">
      <w:pPr>
        <w:spacing w:line="480" w:lineRule="auto"/>
        <w:rPr>
          <w:rFonts w:eastAsia="Times New Roman" w:cs="Times New Roman"/>
          <w:sz w:val="24"/>
          <w:szCs w:val="24"/>
        </w:rPr>
      </w:pPr>
      <w:r>
        <w:rPr>
          <w:rFonts w:eastAsia="Times New Roman" w:cs="Times New Roman"/>
          <w:sz w:val="24"/>
          <w:szCs w:val="24"/>
        </w:rPr>
        <w:t>The cost of cardiac safety monitoring, needed for participants in the Short-regimen due to</w:t>
      </w:r>
      <w:r w:rsidR="00367331">
        <w:rPr>
          <w:rFonts w:eastAsia="Times New Roman" w:cs="Times New Roman"/>
          <w:sz w:val="24"/>
          <w:szCs w:val="24"/>
        </w:rPr>
        <w:t xml:space="preserve"> the</w:t>
      </w:r>
      <w:r>
        <w:rPr>
          <w:rFonts w:eastAsia="Times New Roman" w:cs="Times New Roman"/>
          <w:sz w:val="24"/>
          <w:szCs w:val="24"/>
        </w:rPr>
        <w:t xml:space="preserve"> increased </w:t>
      </w:r>
      <w:r w:rsidR="00367331">
        <w:rPr>
          <w:rFonts w:eastAsia="Times New Roman" w:cs="Times New Roman"/>
          <w:sz w:val="24"/>
          <w:szCs w:val="24"/>
        </w:rPr>
        <w:t xml:space="preserve">risk of prolonged </w:t>
      </w:r>
      <w:r>
        <w:rPr>
          <w:rFonts w:eastAsia="Times New Roman" w:cs="Times New Roman"/>
          <w:sz w:val="24"/>
          <w:szCs w:val="24"/>
        </w:rPr>
        <w:t>QTc interval, was approximately US$150 per patient</w:t>
      </w:r>
      <w:r w:rsidR="00367331">
        <w:rPr>
          <w:rFonts w:eastAsia="Times New Roman" w:cs="Times New Roman"/>
          <w:sz w:val="24"/>
          <w:szCs w:val="24"/>
        </w:rPr>
        <w:t>,</w:t>
      </w:r>
      <w:r>
        <w:rPr>
          <w:rFonts w:eastAsia="Times New Roman" w:cs="Times New Roman"/>
          <w:sz w:val="24"/>
          <w:szCs w:val="24"/>
        </w:rPr>
        <w:t xml:space="preserve"> </w:t>
      </w:r>
      <w:r w:rsidR="003F42D0">
        <w:rPr>
          <w:rFonts w:eastAsia="Times New Roman" w:cs="Times New Roman"/>
          <w:sz w:val="24"/>
          <w:szCs w:val="24"/>
        </w:rPr>
        <w:t>yet</w:t>
      </w:r>
      <w:r>
        <w:rPr>
          <w:rFonts w:eastAsia="Times New Roman" w:cs="Times New Roman"/>
          <w:sz w:val="24"/>
          <w:szCs w:val="24"/>
        </w:rPr>
        <w:t xml:space="preserve"> was greatly outweighed by the savings in other aspects of care.</w:t>
      </w:r>
    </w:p>
    <w:p w14:paraId="6D9B3070" w14:textId="77777777" w:rsidR="00620203" w:rsidRPr="00196018" w:rsidRDefault="00620203" w:rsidP="00620203">
      <w:pPr>
        <w:spacing w:line="480" w:lineRule="auto"/>
        <w:rPr>
          <w:rFonts w:eastAsia="Times New Roman" w:cs="Times New Roman"/>
          <w:sz w:val="24"/>
          <w:szCs w:val="24"/>
        </w:rPr>
      </w:pPr>
    </w:p>
    <w:p w14:paraId="759E2029" w14:textId="2B112D97" w:rsidR="00620203" w:rsidRPr="00196018" w:rsidRDefault="00620203" w:rsidP="00620203">
      <w:pPr>
        <w:spacing w:line="480" w:lineRule="auto"/>
        <w:rPr>
          <w:rFonts w:eastAsia="Times New Roman" w:cs="Times New Roman"/>
          <w:sz w:val="24"/>
          <w:szCs w:val="24"/>
        </w:rPr>
      </w:pPr>
      <w:r w:rsidRPr="00196018">
        <w:rPr>
          <w:rFonts w:eastAsia="Times New Roman" w:cs="Times New Roman"/>
          <w:sz w:val="24"/>
          <w:szCs w:val="24"/>
        </w:rPr>
        <w:t>Our study does have certain limitations. There were considerable missing data in responses from participants, particularly in South Africa where, for operational reasons, data collection was delayed. Th</w:t>
      </w:r>
      <w:r w:rsidR="0018509F">
        <w:rPr>
          <w:rFonts w:eastAsia="Times New Roman" w:cs="Times New Roman"/>
          <w:sz w:val="24"/>
          <w:szCs w:val="24"/>
        </w:rPr>
        <w:t>ese operational reasons</w:t>
      </w:r>
      <w:r w:rsidRPr="00196018">
        <w:rPr>
          <w:rFonts w:eastAsia="Times New Roman" w:cs="Times New Roman"/>
          <w:sz w:val="24"/>
          <w:szCs w:val="24"/>
        </w:rPr>
        <w:t xml:space="preserve"> </w:t>
      </w:r>
      <w:r w:rsidR="00A22DAC">
        <w:rPr>
          <w:rFonts w:eastAsia="Times New Roman" w:cs="Times New Roman"/>
          <w:sz w:val="24"/>
          <w:szCs w:val="24"/>
        </w:rPr>
        <w:t>also</w:t>
      </w:r>
      <w:r w:rsidRPr="00196018">
        <w:rPr>
          <w:rFonts w:eastAsia="Times New Roman" w:cs="Times New Roman"/>
          <w:sz w:val="24"/>
          <w:szCs w:val="24"/>
        </w:rPr>
        <w:t xml:space="preserve"> influenced participants’ willingness to provide economic data. However, we carried out sensitivity analyses to vary assumptions around the impact of missing data, and none of these led to any meaningful change in the conclusions reported in this paper</w:t>
      </w:r>
      <w:r w:rsidR="00E2671D" w:rsidRPr="001C7415">
        <w:rPr>
          <w:rFonts w:eastAsia="Times New Roman" w:cs="Times New Roman"/>
          <w:sz w:val="24"/>
          <w:szCs w:val="24"/>
          <w:vertAlign w:val="superscript"/>
        </w:rPr>
        <w:t>1</w:t>
      </w:r>
      <w:r w:rsidR="009A3D07">
        <w:rPr>
          <w:rFonts w:eastAsia="Times New Roman" w:cs="Times New Roman"/>
          <w:sz w:val="24"/>
          <w:szCs w:val="24"/>
          <w:vertAlign w:val="superscript"/>
        </w:rPr>
        <w:t>5</w:t>
      </w:r>
      <w:r w:rsidRPr="00196018">
        <w:rPr>
          <w:rFonts w:eastAsia="Times New Roman" w:cs="Times New Roman"/>
          <w:sz w:val="24"/>
          <w:szCs w:val="24"/>
        </w:rPr>
        <w:t xml:space="preserve">.  The trial setting, while the gold standard for estimating efficacy, meant that the experience of participants differed from routine practice in ways that </w:t>
      </w:r>
      <w:r w:rsidR="00367331">
        <w:rPr>
          <w:rFonts w:eastAsia="Times New Roman" w:cs="Times New Roman"/>
          <w:sz w:val="24"/>
          <w:szCs w:val="24"/>
        </w:rPr>
        <w:t>c</w:t>
      </w:r>
      <w:r w:rsidRPr="00196018">
        <w:rPr>
          <w:rFonts w:eastAsia="Times New Roman" w:cs="Times New Roman"/>
          <w:sz w:val="24"/>
          <w:szCs w:val="24"/>
        </w:rPr>
        <w:t xml:space="preserve">ould influence costs, such as the frequency of visits and the provision of support (e.g. free transport, transport allowances). We have attempted where possible to adjust results for such effects, and to present results in formats that can be adapted for local settings. </w:t>
      </w:r>
    </w:p>
    <w:p w14:paraId="4E44BF40" w14:textId="77777777" w:rsidR="00620203" w:rsidRPr="00196018" w:rsidRDefault="00620203" w:rsidP="00620203">
      <w:pPr>
        <w:spacing w:line="480" w:lineRule="auto"/>
        <w:rPr>
          <w:rFonts w:eastAsia="Times New Roman" w:cs="Times New Roman"/>
          <w:sz w:val="24"/>
          <w:szCs w:val="24"/>
        </w:rPr>
      </w:pPr>
    </w:p>
    <w:p w14:paraId="00B74C61" w14:textId="02947A15" w:rsidR="005265D7" w:rsidRDefault="00620203" w:rsidP="00620203">
      <w:pPr>
        <w:spacing w:line="480" w:lineRule="auto"/>
        <w:rPr>
          <w:rFonts w:eastAsia="Times New Roman" w:cs="Times New Roman"/>
          <w:sz w:val="24"/>
          <w:szCs w:val="24"/>
        </w:rPr>
      </w:pPr>
      <w:bookmarkStart w:id="20" w:name="_Hlk27203507"/>
      <w:r w:rsidRPr="00196018">
        <w:rPr>
          <w:rFonts w:eastAsia="Times New Roman" w:cs="Times New Roman"/>
          <w:sz w:val="24"/>
          <w:szCs w:val="24"/>
        </w:rPr>
        <w:lastRenderedPageBreak/>
        <w:t xml:space="preserve">We did not include within our scope the costs and consequences of treatment failure, such as retreatment or increased morbidity and mortality. A possible concern of shortened regimens is that they might lead to an increased likelihood of a patient’s need for </w:t>
      </w:r>
      <w:r w:rsidR="00F521AD" w:rsidRPr="00196018">
        <w:rPr>
          <w:rFonts w:eastAsia="Times New Roman" w:cs="Times New Roman"/>
          <w:sz w:val="24"/>
          <w:szCs w:val="24"/>
        </w:rPr>
        <w:t>retreatment</w:t>
      </w:r>
      <w:r w:rsidR="00CE7482">
        <w:rPr>
          <w:rFonts w:eastAsia="Times New Roman" w:cs="Times New Roman"/>
          <w:sz w:val="24"/>
          <w:szCs w:val="24"/>
        </w:rPr>
        <w:t xml:space="preserve"> in the future</w:t>
      </w:r>
      <w:r w:rsidR="00F521AD" w:rsidRPr="00196018">
        <w:rPr>
          <w:rFonts w:eastAsia="Times New Roman" w:cs="Times New Roman"/>
          <w:sz w:val="24"/>
          <w:szCs w:val="24"/>
        </w:rPr>
        <w:t xml:space="preserve"> and</w:t>
      </w:r>
      <w:r w:rsidRPr="00196018">
        <w:rPr>
          <w:rFonts w:eastAsia="Times New Roman" w:cs="Times New Roman"/>
          <w:sz w:val="24"/>
          <w:szCs w:val="24"/>
        </w:rPr>
        <w:t xml:space="preserve"> </w:t>
      </w:r>
      <w:r w:rsidR="00CE7482">
        <w:rPr>
          <w:rFonts w:eastAsia="Times New Roman" w:cs="Times New Roman"/>
          <w:sz w:val="24"/>
          <w:szCs w:val="24"/>
        </w:rPr>
        <w:t>of</w:t>
      </w:r>
      <w:r w:rsidRPr="00196018">
        <w:rPr>
          <w:rFonts w:eastAsia="Times New Roman" w:cs="Times New Roman"/>
          <w:sz w:val="24"/>
          <w:szCs w:val="24"/>
        </w:rPr>
        <w:t xml:space="preserve"> acquiring additional resistance (e.g. XDR-TB). However, the trial did not identify significant differences in unfavourable outcomes or acquired resistance between regimens, so including such consequences would be unlikely to alter our finding</w:t>
      </w:r>
      <w:r w:rsidR="0007470B">
        <w:rPr>
          <w:rFonts w:eastAsia="Times New Roman" w:cs="Times New Roman"/>
          <w:sz w:val="24"/>
          <w:szCs w:val="24"/>
        </w:rPr>
        <w:t xml:space="preserve">. </w:t>
      </w:r>
      <w:bookmarkEnd w:id="20"/>
    </w:p>
    <w:p w14:paraId="008C5EE8" w14:textId="4FE413B3" w:rsidR="00620203" w:rsidRPr="00196018" w:rsidRDefault="00CC44F6" w:rsidP="00620203">
      <w:pPr>
        <w:spacing w:line="480" w:lineRule="auto"/>
        <w:rPr>
          <w:rFonts w:eastAsia="Times New Roman" w:cs="Times New Roman"/>
          <w:sz w:val="24"/>
          <w:szCs w:val="24"/>
        </w:rPr>
      </w:pPr>
      <w:bookmarkStart w:id="21" w:name="_Hlk27144890"/>
      <w:bookmarkStart w:id="22" w:name="_Hlk27204764"/>
      <w:r>
        <w:rPr>
          <w:rFonts w:eastAsia="Times New Roman" w:cs="Times New Roman"/>
          <w:sz w:val="24"/>
          <w:szCs w:val="24"/>
        </w:rPr>
        <w:t xml:space="preserve">A limitation of our cost-effectiveness analysis is that we cannot formally assert that shortened regimens are cost-effective, as we lack a precise estimate of the value of avoiding an unfavourable outcome as defined in the STREAM trial. </w:t>
      </w:r>
      <w:r w:rsidR="008D4B99">
        <w:rPr>
          <w:rFonts w:eastAsia="Times New Roman" w:cs="Times New Roman"/>
          <w:sz w:val="24"/>
          <w:szCs w:val="24"/>
        </w:rPr>
        <w:t xml:space="preserve"> </w:t>
      </w:r>
      <w:r w:rsidR="00417965" w:rsidRPr="00196018">
        <w:rPr>
          <w:rFonts w:eastAsia="Times New Roman" w:cs="Times New Roman"/>
          <w:sz w:val="24"/>
          <w:szCs w:val="24"/>
        </w:rPr>
        <w:t xml:space="preserve">Further research </w:t>
      </w:r>
      <w:r>
        <w:rPr>
          <w:rFonts w:eastAsia="Times New Roman" w:cs="Times New Roman"/>
          <w:sz w:val="24"/>
          <w:szCs w:val="24"/>
        </w:rPr>
        <w:t>would be</w:t>
      </w:r>
      <w:r w:rsidR="00417965" w:rsidRPr="00196018">
        <w:rPr>
          <w:rFonts w:eastAsia="Times New Roman" w:cs="Times New Roman"/>
          <w:sz w:val="24"/>
          <w:szCs w:val="24"/>
        </w:rPr>
        <w:t xml:space="preserve"> required to </w:t>
      </w:r>
      <w:r>
        <w:rPr>
          <w:rFonts w:eastAsia="Times New Roman" w:cs="Times New Roman"/>
          <w:sz w:val="24"/>
          <w:szCs w:val="24"/>
        </w:rPr>
        <w:t>determine what this value should be, such as a m</w:t>
      </w:r>
      <w:r w:rsidR="008D4B99">
        <w:rPr>
          <w:rFonts w:eastAsia="Times New Roman" w:cs="Times New Roman"/>
          <w:sz w:val="24"/>
          <w:szCs w:val="24"/>
        </w:rPr>
        <w:t>odel-based analysis</w:t>
      </w:r>
      <w:r w:rsidR="0007470B">
        <w:rPr>
          <w:rFonts w:eastAsia="Times New Roman" w:cs="Times New Roman"/>
          <w:sz w:val="24"/>
          <w:szCs w:val="24"/>
        </w:rPr>
        <w:t xml:space="preserve"> </w:t>
      </w:r>
      <w:r>
        <w:rPr>
          <w:rFonts w:eastAsia="Times New Roman" w:cs="Times New Roman"/>
          <w:sz w:val="24"/>
          <w:szCs w:val="24"/>
        </w:rPr>
        <w:t xml:space="preserve">of the costs and consequences </w:t>
      </w:r>
      <w:r w:rsidR="00D84185">
        <w:rPr>
          <w:rFonts w:eastAsia="Times New Roman" w:cs="Times New Roman"/>
          <w:sz w:val="24"/>
          <w:szCs w:val="24"/>
        </w:rPr>
        <w:t>following an unfavourable outcome. However, we can say that a decision maker would need to be willing to pay hundreds of thousands of dollars to avoid such an outcome for there to be substantial doubts that shortened regimens are cost-effective</w:t>
      </w:r>
      <w:r w:rsidR="00B65A43">
        <w:rPr>
          <w:rFonts w:eastAsia="Times New Roman" w:cs="Times New Roman"/>
          <w:sz w:val="24"/>
          <w:szCs w:val="24"/>
        </w:rPr>
        <w:t>.</w:t>
      </w:r>
      <w:bookmarkEnd w:id="21"/>
    </w:p>
    <w:bookmarkEnd w:id="22"/>
    <w:p w14:paraId="2421972A" w14:textId="3B087BB6" w:rsidR="00620203" w:rsidRPr="00196018" w:rsidRDefault="00620203" w:rsidP="00620203">
      <w:pPr>
        <w:spacing w:line="480" w:lineRule="auto"/>
        <w:rPr>
          <w:rFonts w:eastAsia="Times New Roman" w:cs="Times New Roman"/>
          <w:sz w:val="24"/>
          <w:szCs w:val="24"/>
        </w:rPr>
      </w:pPr>
      <w:r w:rsidRPr="00196018">
        <w:rPr>
          <w:rFonts w:eastAsia="Times New Roman" w:cs="Times New Roman"/>
          <w:sz w:val="24"/>
          <w:szCs w:val="24"/>
        </w:rPr>
        <w:t xml:space="preserve"> </w:t>
      </w:r>
      <w:r w:rsidR="00E96728">
        <w:rPr>
          <w:rFonts w:eastAsia="Times New Roman" w:cs="Times New Roman"/>
          <w:sz w:val="24"/>
          <w:szCs w:val="24"/>
        </w:rPr>
        <w:t>W</w:t>
      </w:r>
      <w:r w:rsidRPr="00196018">
        <w:rPr>
          <w:rFonts w:eastAsia="Times New Roman" w:cs="Times New Roman"/>
          <w:sz w:val="24"/>
          <w:szCs w:val="24"/>
        </w:rPr>
        <w:t>e were unable to estimate SAE costs in South Africa, as we could not obtain access to the care records required to do so robustly.  However, given the marginal difference between regimens in these SAEs rates,</w:t>
      </w:r>
      <w:r w:rsidR="00C95994">
        <w:rPr>
          <w:rFonts w:eastAsia="Times New Roman" w:cs="Times New Roman"/>
          <w:sz w:val="24"/>
          <w:szCs w:val="24"/>
          <w:vertAlign w:val="superscript"/>
        </w:rPr>
        <w:t>9</w:t>
      </w:r>
      <w:r w:rsidRPr="00196018">
        <w:rPr>
          <w:rFonts w:eastAsia="Times New Roman" w:cs="Times New Roman"/>
          <w:sz w:val="24"/>
          <w:szCs w:val="24"/>
        </w:rPr>
        <w:t xml:space="preserve"> it is unlikely that a more extensive analysis would have led to any meaningful change in our findings.  Metabolism and nutrition disorders were an important component of our SAE cost estimate in Ethiopia, where such SAEs were more frequent than in the trial overall (29% vs 9%). It is likely that this was because Ethiopia was the only trial site which used capreomycin as the injectable.  All other STREAM sites used kanamycin or amikacin which are associated with fewer metabolic side effects.</w:t>
      </w:r>
    </w:p>
    <w:p w14:paraId="37B0F888" w14:textId="77777777" w:rsidR="00620203" w:rsidRPr="00196018" w:rsidRDefault="00620203" w:rsidP="00620203">
      <w:pPr>
        <w:spacing w:line="480" w:lineRule="auto"/>
        <w:rPr>
          <w:rFonts w:eastAsia="Times New Roman" w:cs="Times New Roman"/>
          <w:sz w:val="24"/>
          <w:szCs w:val="24"/>
        </w:rPr>
      </w:pPr>
    </w:p>
    <w:p w14:paraId="0362D365" w14:textId="77777777" w:rsidR="00C50F02" w:rsidRDefault="00620203" w:rsidP="00620203">
      <w:pPr>
        <w:spacing w:line="480" w:lineRule="auto"/>
        <w:rPr>
          <w:rFonts w:eastAsia="Times New Roman" w:cs="Times New Roman"/>
          <w:sz w:val="24"/>
          <w:szCs w:val="24"/>
        </w:rPr>
      </w:pPr>
      <w:r w:rsidRPr="00196018">
        <w:rPr>
          <w:rFonts w:eastAsia="Times New Roman" w:cs="Times New Roman"/>
          <w:sz w:val="24"/>
          <w:szCs w:val="24"/>
        </w:rPr>
        <w:lastRenderedPageBreak/>
        <w:t xml:space="preserve">Despite these limitations, a strength of this study is that it provides, for the first time, detailed comparative information on the costs faced by health systems treating MDR-TB patients with different regimens. Furthermore, we show that the savings are substantial, and influenced by local </w:t>
      </w:r>
      <w:r w:rsidR="0034749D">
        <w:rPr>
          <w:rFonts w:eastAsia="Times New Roman" w:cs="Times New Roman"/>
          <w:sz w:val="24"/>
          <w:szCs w:val="24"/>
        </w:rPr>
        <w:t>models of care</w:t>
      </w:r>
      <w:r w:rsidRPr="00196018">
        <w:rPr>
          <w:rFonts w:eastAsia="Times New Roman" w:cs="Times New Roman"/>
          <w:sz w:val="24"/>
          <w:szCs w:val="24"/>
        </w:rPr>
        <w:t>. We report that a significant benefit to participants is that they return to work sooner, helping to safeguard their financial wellbeing, and that of their households.</w:t>
      </w:r>
    </w:p>
    <w:p w14:paraId="1B3B4952" w14:textId="643BE2D8" w:rsidR="00620203" w:rsidRPr="00196018" w:rsidRDefault="00C50F02" w:rsidP="00620203">
      <w:pPr>
        <w:spacing w:line="480" w:lineRule="auto"/>
        <w:rPr>
          <w:rFonts w:eastAsia="Times New Roman" w:cs="Times New Roman"/>
          <w:sz w:val="24"/>
          <w:szCs w:val="24"/>
        </w:rPr>
      </w:pPr>
      <w:bookmarkStart w:id="23" w:name="_Hlk27577169"/>
      <w:bookmarkStart w:id="24" w:name="_Hlk27578014"/>
      <w:r>
        <w:rPr>
          <w:rFonts w:eastAsia="Times New Roman" w:cs="Times New Roman"/>
          <w:sz w:val="24"/>
          <w:szCs w:val="24"/>
        </w:rPr>
        <w:t>New evidence is emerging on the efficacy of short, all oral regimens.  To date this evidence is not based on phase III randomised controlled trials, but it is informing emerging WHO recommendations to transition away from long regimens and the use of injectables</w:t>
      </w:r>
      <w:r w:rsidR="009A3D07" w:rsidRPr="001C7415">
        <w:rPr>
          <w:rFonts w:eastAsia="Times New Roman" w:cs="Times New Roman"/>
          <w:sz w:val="24"/>
          <w:szCs w:val="24"/>
          <w:vertAlign w:val="superscript"/>
        </w:rPr>
        <w:t>12</w:t>
      </w:r>
      <w:r>
        <w:rPr>
          <w:rFonts w:eastAsia="Times New Roman" w:cs="Times New Roman"/>
          <w:sz w:val="24"/>
          <w:szCs w:val="24"/>
        </w:rPr>
        <w:t xml:space="preserve">.  </w:t>
      </w:r>
      <w:r w:rsidR="005F4AE6">
        <w:rPr>
          <w:rFonts w:eastAsia="Times New Roman" w:cs="Times New Roman"/>
          <w:sz w:val="24"/>
          <w:szCs w:val="24"/>
        </w:rPr>
        <w:t xml:space="preserve">As demonstrated in this study, the economic context for implementing shorter regimens will vary considerably in different countries.   These variations are unlikely to change the overall </w:t>
      </w:r>
      <w:r w:rsidR="000D79AE">
        <w:rPr>
          <w:rFonts w:eastAsia="Times New Roman" w:cs="Times New Roman"/>
          <w:sz w:val="24"/>
          <w:szCs w:val="24"/>
        </w:rPr>
        <w:t>economic case for</w:t>
      </w:r>
      <w:r w:rsidR="005F4AE6">
        <w:rPr>
          <w:rFonts w:eastAsia="Times New Roman" w:cs="Times New Roman"/>
          <w:sz w:val="24"/>
          <w:szCs w:val="24"/>
        </w:rPr>
        <w:t xml:space="preserve"> shorter regimens, but they will be important </w:t>
      </w:r>
      <w:r w:rsidR="00D36CC5">
        <w:rPr>
          <w:rFonts w:eastAsia="Times New Roman" w:cs="Times New Roman"/>
          <w:sz w:val="24"/>
          <w:szCs w:val="24"/>
        </w:rPr>
        <w:t xml:space="preserve">to consider in developing </w:t>
      </w:r>
      <w:r w:rsidR="005F4AE6">
        <w:rPr>
          <w:rFonts w:eastAsia="Times New Roman" w:cs="Times New Roman"/>
          <w:sz w:val="24"/>
          <w:szCs w:val="24"/>
        </w:rPr>
        <w:t>maximally effective implementation plans.</w:t>
      </w:r>
      <w:r>
        <w:rPr>
          <w:rFonts w:eastAsia="Times New Roman" w:cs="Times New Roman"/>
          <w:sz w:val="24"/>
          <w:szCs w:val="24"/>
        </w:rPr>
        <w:t xml:space="preserve"> As TB programmes and other stakeholders plan for </w:t>
      </w:r>
      <w:r w:rsidR="005F4AE6">
        <w:rPr>
          <w:rFonts w:eastAsia="Times New Roman" w:cs="Times New Roman"/>
          <w:sz w:val="24"/>
          <w:szCs w:val="24"/>
        </w:rPr>
        <w:t xml:space="preserve">transition to shorter regimens, </w:t>
      </w:r>
      <w:r>
        <w:rPr>
          <w:rFonts w:eastAsia="Times New Roman" w:cs="Times New Roman"/>
          <w:sz w:val="24"/>
          <w:szCs w:val="24"/>
        </w:rPr>
        <w:t xml:space="preserve">we expect </w:t>
      </w:r>
      <w:r w:rsidR="005F4AE6">
        <w:rPr>
          <w:rFonts w:eastAsia="Times New Roman" w:cs="Times New Roman"/>
          <w:sz w:val="24"/>
          <w:szCs w:val="24"/>
        </w:rPr>
        <w:t>them to be able to examine the differing importance of certain cost categories reported here in the two countries (e</w:t>
      </w:r>
      <w:r w:rsidR="00A66D0F">
        <w:rPr>
          <w:rFonts w:eastAsia="Times New Roman" w:cs="Times New Roman"/>
          <w:sz w:val="24"/>
          <w:szCs w:val="24"/>
        </w:rPr>
        <w:t>.</w:t>
      </w:r>
      <w:r w:rsidR="005F4AE6">
        <w:rPr>
          <w:rFonts w:eastAsia="Times New Roman" w:cs="Times New Roman"/>
          <w:sz w:val="24"/>
          <w:szCs w:val="24"/>
        </w:rPr>
        <w:t>g</w:t>
      </w:r>
      <w:r w:rsidR="00A66D0F">
        <w:rPr>
          <w:rFonts w:eastAsia="Times New Roman" w:cs="Times New Roman"/>
          <w:sz w:val="24"/>
          <w:szCs w:val="24"/>
        </w:rPr>
        <w:t>.</w:t>
      </w:r>
      <w:r w:rsidR="005F4AE6">
        <w:rPr>
          <w:rFonts w:eastAsia="Times New Roman" w:cs="Times New Roman"/>
          <w:sz w:val="24"/>
          <w:szCs w:val="24"/>
        </w:rPr>
        <w:t xml:space="preserve"> drugs and social support), reflect on how these categories are likely to be important in their own context and thereby inform </w:t>
      </w:r>
      <w:r>
        <w:rPr>
          <w:rFonts w:eastAsia="Times New Roman" w:cs="Times New Roman"/>
          <w:sz w:val="24"/>
          <w:szCs w:val="24"/>
        </w:rPr>
        <w:t xml:space="preserve">the </w:t>
      </w:r>
      <w:r w:rsidR="005F4AE6">
        <w:rPr>
          <w:rFonts w:eastAsia="Times New Roman" w:cs="Times New Roman"/>
          <w:sz w:val="24"/>
          <w:szCs w:val="24"/>
        </w:rPr>
        <w:t>development of</w:t>
      </w:r>
      <w:r>
        <w:rPr>
          <w:rFonts w:eastAsia="Times New Roman" w:cs="Times New Roman"/>
          <w:sz w:val="24"/>
          <w:szCs w:val="24"/>
        </w:rPr>
        <w:t xml:space="preserve"> implementation plans and budget estimates.</w:t>
      </w:r>
      <w:bookmarkEnd w:id="23"/>
      <w:r>
        <w:rPr>
          <w:rFonts w:eastAsia="Times New Roman" w:cs="Times New Roman"/>
          <w:sz w:val="24"/>
          <w:szCs w:val="24"/>
        </w:rPr>
        <w:t xml:space="preserve"> </w:t>
      </w:r>
    </w:p>
    <w:bookmarkEnd w:id="24"/>
    <w:p w14:paraId="0A800C35" w14:textId="77777777" w:rsidR="00F1510F" w:rsidRDefault="00F1510F" w:rsidP="00815142">
      <w:pPr>
        <w:spacing w:line="480" w:lineRule="auto"/>
        <w:rPr>
          <w:rFonts w:ascii="Arial" w:hAnsi="Arial" w:cs="Arial"/>
        </w:rPr>
      </w:pPr>
    </w:p>
    <w:p w14:paraId="0F0003C9" w14:textId="5C1F190B" w:rsidR="004519C4" w:rsidRPr="00C41C6F" w:rsidRDefault="00882D20" w:rsidP="00815142">
      <w:pPr>
        <w:spacing w:line="480" w:lineRule="auto"/>
        <w:rPr>
          <w:rFonts w:eastAsia="Times New Roman" w:cs="Times New Roman"/>
          <w:sz w:val="24"/>
          <w:szCs w:val="24"/>
        </w:rPr>
      </w:pPr>
      <w:r w:rsidRPr="00C41C6F">
        <w:rPr>
          <w:rFonts w:eastAsia="Times New Roman" w:cs="Times New Roman"/>
          <w:sz w:val="24"/>
          <w:szCs w:val="24"/>
        </w:rPr>
        <w:t>CONCLUSION</w:t>
      </w:r>
    </w:p>
    <w:p w14:paraId="051E9C9A" w14:textId="411AF455" w:rsidR="00735959" w:rsidRDefault="002D55D5" w:rsidP="00815142">
      <w:pPr>
        <w:spacing w:line="480" w:lineRule="auto"/>
        <w:rPr>
          <w:rFonts w:ascii="Arial" w:hAnsi="Arial" w:cs="Arial"/>
        </w:rPr>
      </w:pPr>
      <w:r w:rsidRPr="00C41C6F">
        <w:rPr>
          <w:rFonts w:eastAsia="Times New Roman" w:cs="Times New Roman"/>
          <w:sz w:val="24"/>
          <w:szCs w:val="24"/>
        </w:rPr>
        <w:t>The Short</w:t>
      </w:r>
      <w:r w:rsidR="00851075">
        <w:rPr>
          <w:rFonts w:eastAsia="Times New Roman" w:cs="Times New Roman"/>
          <w:sz w:val="24"/>
          <w:szCs w:val="24"/>
        </w:rPr>
        <w:t>-</w:t>
      </w:r>
      <w:r w:rsidR="007F778A">
        <w:rPr>
          <w:rFonts w:eastAsia="Times New Roman" w:cs="Times New Roman"/>
          <w:sz w:val="24"/>
          <w:szCs w:val="24"/>
        </w:rPr>
        <w:t>r</w:t>
      </w:r>
      <w:r w:rsidRPr="00C41C6F">
        <w:rPr>
          <w:rFonts w:eastAsia="Times New Roman" w:cs="Times New Roman"/>
          <w:sz w:val="24"/>
          <w:szCs w:val="24"/>
        </w:rPr>
        <w:t xml:space="preserve">egimen leads to substantial cost savings for health </w:t>
      </w:r>
      <w:r w:rsidR="00882D20" w:rsidRPr="00C41C6F">
        <w:rPr>
          <w:rFonts w:eastAsia="Times New Roman" w:cs="Times New Roman"/>
          <w:sz w:val="24"/>
          <w:szCs w:val="24"/>
        </w:rPr>
        <w:t>systems and</w:t>
      </w:r>
      <w:r w:rsidRPr="00C41C6F">
        <w:rPr>
          <w:rFonts w:eastAsia="Times New Roman" w:cs="Times New Roman"/>
          <w:sz w:val="24"/>
          <w:szCs w:val="24"/>
        </w:rPr>
        <w:t xml:space="preserve"> is highly likely to be cost</w:t>
      </w:r>
      <w:r w:rsidR="000B7119">
        <w:rPr>
          <w:rFonts w:eastAsia="Times New Roman" w:cs="Times New Roman"/>
          <w:sz w:val="24"/>
          <w:szCs w:val="24"/>
        </w:rPr>
        <w:t>-</w:t>
      </w:r>
      <w:r w:rsidRPr="00C41C6F">
        <w:rPr>
          <w:rFonts w:eastAsia="Times New Roman" w:cs="Times New Roman"/>
          <w:sz w:val="24"/>
          <w:szCs w:val="24"/>
        </w:rPr>
        <w:t xml:space="preserve">effective in </w:t>
      </w:r>
      <w:r w:rsidR="00A6232E">
        <w:rPr>
          <w:rFonts w:eastAsia="Times New Roman" w:cs="Times New Roman"/>
          <w:sz w:val="24"/>
          <w:szCs w:val="24"/>
        </w:rPr>
        <w:t>Low</w:t>
      </w:r>
      <w:r w:rsidR="00A22DAC">
        <w:rPr>
          <w:rFonts w:eastAsia="Times New Roman" w:cs="Times New Roman"/>
          <w:sz w:val="24"/>
          <w:szCs w:val="24"/>
        </w:rPr>
        <w:t xml:space="preserve"> and m</w:t>
      </w:r>
      <w:r w:rsidR="00A6232E">
        <w:rPr>
          <w:rFonts w:eastAsia="Times New Roman" w:cs="Times New Roman"/>
          <w:sz w:val="24"/>
          <w:szCs w:val="24"/>
        </w:rPr>
        <w:t>iddle</w:t>
      </w:r>
      <w:r w:rsidR="00A22DAC">
        <w:rPr>
          <w:rFonts w:eastAsia="Times New Roman" w:cs="Times New Roman"/>
          <w:sz w:val="24"/>
          <w:szCs w:val="24"/>
        </w:rPr>
        <w:t>-i</w:t>
      </w:r>
      <w:r w:rsidR="00A6232E">
        <w:rPr>
          <w:rFonts w:eastAsia="Times New Roman" w:cs="Times New Roman"/>
          <w:sz w:val="24"/>
          <w:szCs w:val="24"/>
        </w:rPr>
        <w:t xml:space="preserve">ncome </w:t>
      </w:r>
      <w:r w:rsidR="00A22DAC">
        <w:rPr>
          <w:rFonts w:eastAsia="Times New Roman" w:cs="Times New Roman"/>
          <w:sz w:val="24"/>
          <w:szCs w:val="24"/>
        </w:rPr>
        <w:t>c</w:t>
      </w:r>
      <w:r w:rsidR="00A6232E">
        <w:rPr>
          <w:rFonts w:eastAsia="Times New Roman" w:cs="Times New Roman"/>
          <w:sz w:val="24"/>
          <w:szCs w:val="24"/>
        </w:rPr>
        <w:t>ountries</w:t>
      </w:r>
      <w:r w:rsidRPr="00C41C6F">
        <w:rPr>
          <w:rFonts w:eastAsia="Times New Roman" w:cs="Times New Roman"/>
          <w:sz w:val="24"/>
          <w:szCs w:val="24"/>
        </w:rPr>
        <w:t xml:space="preserve">. It also leads to financial benefits for </w:t>
      </w:r>
      <w:r w:rsidR="00373B92">
        <w:rPr>
          <w:rFonts w:eastAsia="Times New Roman" w:cs="Times New Roman"/>
          <w:sz w:val="24"/>
          <w:szCs w:val="24"/>
        </w:rPr>
        <w:lastRenderedPageBreak/>
        <w:t>participants</w:t>
      </w:r>
      <w:r w:rsidRPr="00C41C6F">
        <w:rPr>
          <w:rFonts w:eastAsia="Times New Roman" w:cs="Times New Roman"/>
          <w:sz w:val="24"/>
          <w:szCs w:val="24"/>
        </w:rPr>
        <w:t xml:space="preserve">, in terms of expenditure and increased earning </w:t>
      </w:r>
      <w:r w:rsidR="00D9168C" w:rsidRPr="00C41C6F">
        <w:rPr>
          <w:rFonts w:eastAsia="Times New Roman" w:cs="Times New Roman"/>
          <w:sz w:val="24"/>
          <w:szCs w:val="24"/>
        </w:rPr>
        <w:t>capacity</w:t>
      </w:r>
      <w:r w:rsidR="00D9168C">
        <w:rPr>
          <w:rFonts w:eastAsia="Times New Roman" w:cs="Times New Roman"/>
          <w:sz w:val="24"/>
          <w:szCs w:val="24"/>
        </w:rPr>
        <w:t>, that</w:t>
      </w:r>
      <w:r w:rsidRPr="00C41C6F">
        <w:rPr>
          <w:rFonts w:eastAsia="Times New Roman" w:cs="Times New Roman"/>
          <w:sz w:val="24"/>
          <w:szCs w:val="24"/>
        </w:rPr>
        <w:t xml:space="preserve"> will be important for the long-term financial well-being of themselves and their households.</w:t>
      </w:r>
    </w:p>
    <w:p w14:paraId="4BAC4772" w14:textId="2B3DBB3B" w:rsidR="00735959" w:rsidRDefault="00735959" w:rsidP="008D576F">
      <w:pPr>
        <w:spacing w:line="360" w:lineRule="auto"/>
        <w:rPr>
          <w:rFonts w:ascii="Arial" w:hAnsi="Arial" w:cs="Arial"/>
        </w:rPr>
      </w:pPr>
    </w:p>
    <w:p w14:paraId="0308AEF9" w14:textId="77777777" w:rsidR="00FB0C26" w:rsidRDefault="00FB0C26" w:rsidP="008D576F">
      <w:pPr>
        <w:spacing w:line="360" w:lineRule="auto"/>
        <w:rPr>
          <w:rFonts w:ascii="Arial" w:hAnsi="Arial" w:cs="Arial"/>
        </w:rPr>
      </w:pPr>
    </w:p>
    <w:p w14:paraId="00D181BC" w14:textId="77777777" w:rsidR="00FB0C26" w:rsidRDefault="00FB0C26" w:rsidP="008D576F">
      <w:pPr>
        <w:spacing w:line="360" w:lineRule="auto"/>
        <w:rPr>
          <w:rFonts w:ascii="Arial" w:hAnsi="Arial" w:cs="Arial"/>
        </w:rPr>
      </w:pPr>
    </w:p>
    <w:p w14:paraId="1C8E722B" w14:textId="77777777" w:rsidR="000A38DE" w:rsidRDefault="000A38DE" w:rsidP="008D576F">
      <w:pPr>
        <w:spacing w:line="360" w:lineRule="auto"/>
      </w:pPr>
    </w:p>
    <w:p w14:paraId="5EB92026" w14:textId="77777777" w:rsidR="000A38DE" w:rsidRDefault="000A38DE" w:rsidP="008D576F">
      <w:pPr>
        <w:spacing w:line="360" w:lineRule="auto"/>
      </w:pPr>
    </w:p>
    <w:p w14:paraId="4F14B6BE" w14:textId="786F3E62" w:rsidR="004E30F2" w:rsidRDefault="004E30F2" w:rsidP="008D576F">
      <w:pPr>
        <w:spacing w:line="360" w:lineRule="auto"/>
      </w:pPr>
      <w:r>
        <w:t>This study is made possible by the generous support of the American people through the United States Agency for International Development (USAID).  The contents are the responsibility of Liverpool School of Tropical Medicine and do not necessarily reflect the views of USAID or the United States Government</w:t>
      </w:r>
    </w:p>
    <w:p w14:paraId="2857C626" w14:textId="609CFD15" w:rsidR="00CE70A6" w:rsidRDefault="00CE70A6" w:rsidP="008D576F">
      <w:pPr>
        <w:spacing w:line="360" w:lineRule="auto"/>
        <w:rPr>
          <w:rFonts w:ascii="Arial" w:hAnsi="Arial" w:cs="Arial"/>
        </w:rPr>
        <w:sectPr w:rsidR="00CE70A6" w:rsidSect="00B25397">
          <w:footerReference w:type="default" r:id="rId9"/>
          <w:pgSz w:w="11906" w:h="16838"/>
          <w:pgMar w:top="1440" w:right="1440" w:bottom="1440" w:left="1440" w:header="708" w:footer="708" w:gutter="0"/>
          <w:lnNumType w:countBy="1" w:restart="continuous"/>
          <w:cols w:space="708"/>
          <w:docGrid w:linePitch="360"/>
        </w:sectPr>
      </w:pPr>
    </w:p>
    <w:p w14:paraId="3AEAACE5" w14:textId="63A24404" w:rsidR="00C96A5F" w:rsidRPr="00C96A5F" w:rsidRDefault="00274587">
      <w:pPr>
        <w:spacing w:line="360" w:lineRule="auto"/>
        <w:jc w:val="center"/>
        <w:rPr>
          <w:rFonts w:ascii="Arial" w:hAnsi="Arial" w:cs="Arial"/>
          <w:sz w:val="28"/>
          <w:szCs w:val="28"/>
        </w:rPr>
      </w:pPr>
      <w:r w:rsidRPr="00815142">
        <w:rPr>
          <w:rFonts w:ascii="Arial" w:hAnsi="Arial" w:cs="Arial"/>
          <w:sz w:val="28"/>
          <w:szCs w:val="28"/>
        </w:rPr>
        <w:lastRenderedPageBreak/>
        <w:t>TABLES AND FIGURE</w:t>
      </w:r>
      <w:r w:rsidR="00C96A5F">
        <w:rPr>
          <w:rFonts w:ascii="Arial" w:hAnsi="Arial" w:cs="Arial"/>
          <w:sz w:val="28"/>
          <w:szCs w:val="28"/>
        </w:rPr>
        <w:t>S</w:t>
      </w:r>
    </w:p>
    <w:tbl>
      <w:tblPr>
        <w:tblStyle w:val="TableGrid"/>
        <w:tblpPr w:leftFromText="180" w:rightFromText="180" w:vertAnchor="page" w:horzAnchor="page" w:tblpX="2971" w:tblpY="2056"/>
        <w:tblW w:w="10057" w:type="dxa"/>
        <w:tblLook w:val="04A0" w:firstRow="1" w:lastRow="0" w:firstColumn="1" w:lastColumn="0" w:noHBand="0" w:noVBand="1"/>
      </w:tblPr>
      <w:tblGrid>
        <w:gridCol w:w="1325"/>
        <w:gridCol w:w="1281"/>
        <w:gridCol w:w="902"/>
        <w:gridCol w:w="1281"/>
        <w:gridCol w:w="902"/>
        <w:gridCol w:w="1281"/>
        <w:gridCol w:w="902"/>
        <w:gridCol w:w="1281"/>
        <w:gridCol w:w="902"/>
      </w:tblGrid>
      <w:tr w:rsidR="00C96A5F" w14:paraId="416F0E1E" w14:textId="77777777" w:rsidTr="00C96A5F">
        <w:trPr>
          <w:trHeight w:val="219"/>
        </w:trPr>
        <w:tc>
          <w:tcPr>
            <w:tcW w:w="1325" w:type="dxa"/>
          </w:tcPr>
          <w:p w14:paraId="54ECCE82" w14:textId="77777777" w:rsidR="00C96A5F" w:rsidRDefault="00C96A5F" w:rsidP="00C96A5F">
            <w:pPr>
              <w:rPr>
                <w:rFonts w:ascii="Arial" w:hAnsi="Arial" w:cs="Arial"/>
              </w:rPr>
            </w:pPr>
          </w:p>
        </w:tc>
        <w:tc>
          <w:tcPr>
            <w:tcW w:w="2183" w:type="dxa"/>
            <w:gridSpan w:val="2"/>
          </w:tcPr>
          <w:p w14:paraId="1BBB2D04" w14:textId="77777777" w:rsidR="00C96A5F" w:rsidRPr="00C45884" w:rsidRDefault="00C96A5F" w:rsidP="00C96A5F">
            <w:pPr>
              <w:jc w:val="center"/>
              <w:rPr>
                <w:rFonts w:ascii="Times New Roman" w:hAnsi="Times New Roman" w:cs="Times New Roman"/>
                <w:b/>
                <w:sz w:val="16"/>
                <w:szCs w:val="16"/>
              </w:rPr>
            </w:pPr>
            <w:r w:rsidRPr="00C45884">
              <w:rPr>
                <w:rFonts w:ascii="Times New Roman" w:hAnsi="Times New Roman" w:cs="Times New Roman"/>
                <w:b/>
                <w:sz w:val="16"/>
                <w:szCs w:val="16"/>
              </w:rPr>
              <w:t>St. Peter’s</w:t>
            </w:r>
          </w:p>
        </w:tc>
        <w:tc>
          <w:tcPr>
            <w:tcW w:w="2183" w:type="dxa"/>
            <w:gridSpan w:val="2"/>
          </w:tcPr>
          <w:p w14:paraId="76BAB97B" w14:textId="77777777" w:rsidR="00C96A5F" w:rsidRPr="00C45884" w:rsidRDefault="00C96A5F" w:rsidP="00C96A5F">
            <w:pPr>
              <w:jc w:val="center"/>
              <w:rPr>
                <w:rFonts w:ascii="Times New Roman" w:hAnsi="Times New Roman" w:cs="Times New Roman"/>
                <w:b/>
                <w:sz w:val="16"/>
                <w:szCs w:val="16"/>
              </w:rPr>
            </w:pPr>
            <w:r w:rsidRPr="00C45884">
              <w:rPr>
                <w:rFonts w:ascii="Times New Roman" w:hAnsi="Times New Roman" w:cs="Times New Roman"/>
                <w:b/>
                <w:sz w:val="16"/>
                <w:szCs w:val="16"/>
              </w:rPr>
              <w:t>AHRI</w:t>
            </w:r>
          </w:p>
        </w:tc>
        <w:tc>
          <w:tcPr>
            <w:tcW w:w="2183" w:type="dxa"/>
            <w:gridSpan w:val="2"/>
          </w:tcPr>
          <w:p w14:paraId="746AAB60" w14:textId="77777777" w:rsidR="00C96A5F" w:rsidRPr="00C45884" w:rsidRDefault="00C96A5F" w:rsidP="00C96A5F">
            <w:pPr>
              <w:jc w:val="center"/>
              <w:rPr>
                <w:rFonts w:ascii="Times New Roman" w:hAnsi="Times New Roman" w:cs="Times New Roman"/>
                <w:b/>
                <w:sz w:val="16"/>
                <w:szCs w:val="16"/>
              </w:rPr>
            </w:pPr>
            <w:r w:rsidRPr="00C45884">
              <w:rPr>
                <w:rFonts w:ascii="Times New Roman" w:hAnsi="Times New Roman" w:cs="Times New Roman"/>
                <w:b/>
                <w:sz w:val="16"/>
                <w:szCs w:val="16"/>
              </w:rPr>
              <w:t>Doris Goodwin</w:t>
            </w:r>
          </w:p>
        </w:tc>
        <w:tc>
          <w:tcPr>
            <w:tcW w:w="2183" w:type="dxa"/>
            <w:gridSpan w:val="2"/>
          </w:tcPr>
          <w:p w14:paraId="3B3D8048" w14:textId="77777777" w:rsidR="00C96A5F" w:rsidRPr="00C45884" w:rsidRDefault="00C96A5F" w:rsidP="00C96A5F">
            <w:pPr>
              <w:jc w:val="center"/>
              <w:rPr>
                <w:rFonts w:ascii="Times New Roman" w:hAnsi="Times New Roman" w:cs="Times New Roman"/>
                <w:b/>
                <w:sz w:val="16"/>
                <w:szCs w:val="16"/>
              </w:rPr>
            </w:pPr>
            <w:r w:rsidRPr="00C45884">
              <w:rPr>
                <w:rFonts w:ascii="Times New Roman" w:hAnsi="Times New Roman" w:cs="Times New Roman"/>
                <w:b/>
                <w:sz w:val="16"/>
                <w:szCs w:val="16"/>
              </w:rPr>
              <w:t>Sizwe</w:t>
            </w:r>
          </w:p>
        </w:tc>
      </w:tr>
      <w:tr w:rsidR="00C96A5F" w14:paraId="3CC894C7" w14:textId="77777777" w:rsidTr="00C96A5F">
        <w:trPr>
          <w:trHeight w:val="684"/>
        </w:trPr>
        <w:tc>
          <w:tcPr>
            <w:tcW w:w="1325" w:type="dxa"/>
          </w:tcPr>
          <w:p w14:paraId="5C7D6512" w14:textId="77777777" w:rsidR="00C96A5F" w:rsidRPr="00C45884" w:rsidRDefault="00C96A5F" w:rsidP="00C96A5F">
            <w:pPr>
              <w:jc w:val="center"/>
              <w:rPr>
                <w:rFonts w:ascii="Times New Roman" w:eastAsia="Times New Roman" w:hAnsi="Times New Roman" w:cs="Times New Roman"/>
                <w:b/>
                <w:color w:val="000000"/>
                <w:sz w:val="16"/>
                <w:szCs w:val="16"/>
                <w:lang w:eastAsia="en-GB"/>
              </w:rPr>
            </w:pPr>
            <w:r w:rsidRPr="00C45884">
              <w:rPr>
                <w:rFonts w:ascii="Times New Roman" w:eastAsia="Times New Roman" w:hAnsi="Times New Roman" w:cs="Times New Roman"/>
                <w:b/>
                <w:color w:val="000000"/>
                <w:sz w:val="16"/>
                <w:szCs w:val="16"/>
                <w:lang w:eastAsia="en-GB"/>
              </w:rPr>
              <w:t>No. of participants</w:t>
            </w:r>
          </w:p>
        </w:tc>
        <w:tc>
          <w:tcPr>
            <w:tcW w:w="2183" w:type="dxa"/>
            <w:gridSpan w:val="2"/>
          </w:tcPr>
          <w:p w14:paraId="519B4B04"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68</w:t>
            </w:r>
          </w:p>
        </w:tc>
        <w:tc>
          <w:tcPr>
            <w:tcW w:w="2183" w:type="dxa"/>
            <w:gridSpan w:val="2"/>
          </w:tcPr>
          <w:p w14:paraId="4D99AC5F"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51</w:t>
            </w:r>
          </w:p>
        </w:tc>
        <w:tc>
          <w:tcPr>
            <w:tcW w:w="2183" w:type="dxa"/>
            <w:gridSpan w:val="2"/>
          </w:tcPr>
          <w:p w14:paraId="1B76A323"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14</w:t>
            </w:r>
          </w:p>
        </w:tc>
        <w:tc>
          <w:tcPr>
            <w:tcW w:w="2183" w:type="dxa"/>
            <w:gridSpan w:val="2"/>
          </w:tcPr>
          <w:p w14:paraId="315D3B66"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p>
          <w:p w14:paraId="60BC8F0B"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33</w:t>
            </w:r>
          </w:p>
        </w:tc>
      </w:tr>
      <w:tr w:rsidR="00C96A5F" w14:paraId="42D32FBC" w14:textId="77777777" w:rsidTr="00C96A5F">
        <w:trPr>
          <w:trHeight w:val="913"/>
        </w:trPr>
        <w:tc>
          <w:tcPr>
            <w:tcW w:w="1325" w:type="dxa"/>
          </w:tcPr>
          <w:p w14:paraId="760072D4" w14:textId="77777777" w:rsidR="00C96A5F" w:rsidRPr="00C45884" w:rsidRDefault="00C96A5F" w:rsidP="00C96A5F">
            <w:pPr>
              <w:jc w:val="center"/>
              <w:rPr>
                <w:rFonts w:ascii="Times New Roman" w:eastAsia="Times New Roman" w:hAnsi="Times New Roman" w:cs="Times New Roman"/>
                <w:b/>
                <w:color w:val="000000"/>
                <w:sz w:val="16"/>
                <w:szCs w:val="16"/>
                <w:lang w:eastAsia="en-GB"/>
              </w:rPr>
            </w:pPr>
            <w:r w:rsidRPr="00C45884">
              <w:rPr>
                <w:rFonts w:ascii="Times New Roman" w:eastAsia="Times New Roman" w:hAnsi="Times New Roman" w:cs="Times New Roman"/>
                <w:b/>
                <w:color w:val="000000"/>
                <w:sz w:val="16"/>
                <w:szCs w:val="16"/>
                <w:lang w:eastAsia="en-GB"/>
              </w:rPr>
              <w:t>No. providing information on direct cost of visiting health facility</w:t>
            </w:r>
          </w:p>
        </w:tc>
        <w:tc>
          <w:tcPr>
            <w:tcW w:w="2183" w:type="dxa"/>
            <w:gridSpan w:val="2"/>
          </w:tcPr>
          <w:p w14:paraId="0A42155F"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65</w:t>
            </w:r>
          </w:p>
        </w:tc>
        <w:tc>
          <w:tcPr>
            <w:tcW w:w="2183" w:type="dxa"/>
            <w:gridSpan w:val="2"/>
          </w:tcPr>
          <w:p w14:paraId="243A95C9"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46</w:t>
            </w:r>
          </w:p>
        </w:tc>
        <w:tc>
          <w:tcPr>
            <w:tcW w:w="2183" w:type="dxa"/>
            <w:gridSpan w:val="2"/>
          </w:tcPr>
          <w:p w14:paraId="7691034D"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14</w:t>
            </w:r>
          </w:p>
        </w:tc>
        <w:tc>
          <w:tcPr>
            <w:tcW w:w="2183" w:type="dxa"/>
            <w:gridSpan w:val="2"/>
          </w:tcPr>
          <w:p w14:paraId="3438A586"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p>
          <w:p w14:paraId="7C32C597"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18</w:t>
            </w:r>
          </w:p>
        </w:tc>
      </w:tr>
      <w:tr w:rsidR="00203EF0" w14:paraId="43198513" w14:textId="77777777" w:rsidTr="00C96A5F">
        <w:trPr>
          <w:trHeight w:val="931"/>
        </w:trPr>
        <w:tc>
          <w:tcPr>
            <w:tcW w:w="1325" w:type="dxa"/>
          </w:tcPr>
          <w:p w14:paraId="3ADB1F21" w14:textId="77777777" w:rsidR="00C96A5F" w:rsidRPr="00C45884" w:rsidRDefault="00C96A5F" w:rsidP="00C96A5F">
            <w:pPr>
              <w:jc w:val="center"/>
              <w:rPr>
                <w:rFonts w:ascii="Times New Roman" w:eastAsia="Times New Roman" w:hAnsi="Times New Roman" w:cs="Times New Roman"/>
                <w:b/>
                <w:color w:val="000000"/>
                <w:sz w:val="16"/>
                <w:szCs w:val="16"/>
                <w:lang w:eastAsia="en-GB"/>
              </w:rPr>
            </w:pPr>
            <w:r w:rsidRPr="00C45884">
              <w:rPr>
                <w:rFonts w:ascii="Times New Roman" w:eastAsia="Times New Roman" w:hAnsi="Times New Roman" w:cs="Times New Roman"/>
                <w:b/>
                <w:color w:val="000000"/>
                <w:sz w:val="16"/>
                <w:szCs w:val="16"/>
                <w:lang w:eastAsia="en-GB"/>
              </w:rPr>
              <w:t>No. providing supplement / working hours data at week:</w:t>
            </w:r>
          </w:p>
        </w:tc>
        <w:tc>
          <w:tcPr>
            <w:tcW w:w="1281" w:type="dxa"/>
          </w:tcPr>
          <w:p w14:paraId="03461B0B" w14:textId="77777777" w:rsidR="00C96A5F" w:rsidRPr="00C45884" w:rsidRDefault="00C96A5F" w:rsidP="00C96A5F">
            <w:pPr>
              <w:jc w:val="center"/>
              <w:rPr>
                <w:rFonts w:ascii="Times New Roman" w:hAnsi="Times New Roman" w:cs="Times New Roman"/>
                <w:b/>
                <w:sz w:val="16"/>
                <w:szCs w:val="16"/>
              </w:rPr>
            </w:pPr>
            <w:r w:rsidRPr="00C45884">
              <w:rPr>
                <w:rFonts w:ascii="Times New Roman" w:hAnsi="Times New Roman" w:cs="Times New Roman"/>
                <w:b/>
                <w:sz w:val="16"/>
                <w:szCs w:val="16"/>
              </w:rPr>
              <w:t>Supplements</w:t>
            </w:r>
          </w:p>
        </w:tc>
        <w:tc>
          <w:tcPr>
            <w:tcW w:w="902" w:type="dxa"/>
          </w:tcPr>
          <w:p w14:paraId="3388379C" w14:textId="77777777" w:rsidR="00C96A5F" w:rsidRPr="00C45884" w:rsidRDefault="00C96A5F" w:rsidP="00C96A5F">
            <w:pPr>
              <w:jc w:val="center"/>
              <w:rPr>
                <w:rFonts w:ascii="Times New Roman" w:hAnsi="Times New Roman" w:cs="Times New Roman"/>
                <w:b/>
                <w:sz w:val="16"/>
                <w:szCs w:val="16"/>
              </w:rPr>
            </w:pPr>
            <w:r w:rsidRPr="00C45884">
              <w:rPr>
                <w:rFonts w:ascii="Times New Roman" w:hAnsi="Times New Roman" w:cs="Times New Roman"/>
                <w:b/>
                <w:sz w:val="16"/>
                <w:szCs w:val="16"/>
              </w:rPr>
              <w:t>Working Hours</w:t>
            </w:r>
          </w:p>
        </w:tc>
        <w:tc>
          <w:tcPr>
            <w:tcW w:w="1281" w:type="dxa"/>
          </w:tcPr>
          <w:p w14:paraId="0BCA2183" w14:textId="77777777" w:rsidR="00C96A5F" w:rsidRPr="00C45884" w:rsidRDefault="00C96A5F" w:rsidP="00C96A5F">
            <w:pPr>
              <w:jc w:val="center"/>
              <w:rPr>
                <w:rFonts w:ascii="Times New Roman" w:hAnsi="Times New Roman" w:cs="Times New Roman"/>
                <w:b/>
                <w:sz w:val="16"/>
                <w:szCs w:val="16"/>
              </w:rPr>
            </w:pPr>
            <w:r w:rsidRPr="00C45884">
              <w:rPr>
                <w:rFonts w:ascii="Times New Roman" w:hAnsi="Times New Roman" w:cs="Times New Roman"/>
                <w:b/>
                <w:sz w:val="16"/>
                <w:szCs w:val="16"/>
              </w:rPr>
              <w:t>Supplements</w:t>
            </w:r>
          </w:p>
        </w:tc>
        <w:tc>
          <w:tcPr>
            <w:tcW w:w="902" w:type="dxa"/>
          </w:tcPr>
          <w:p w14:paraId="64744DCB" w14:textId="77777777" w:rsidR="00C96A5F" w:rsidRPr="00C45884" w:rsidRDefault="00C96A5F" w:rsidP="00C96A5F">
            <w:pPr>
              <w:jc w:val="center"/>
              <w:rPr>
                <w:rFonts w:ascii="Times New Roman" w:hAnsi="Times New Roman" w:cs="Times New Roman"/>
                <w:b/>
                <w:sz w:val="16"/>
                <w:szCs w:val="16"/>
              </w:rPr>
            </w:pPr>
            <w:r w:rsidRPr="00C45884">
              <w:rPr>
                <w:rFonts w:ascii="Times New Roman" w:hAnsi="Times New Roman" w:cs="Times New Roman"/>
                <w:b/>
                <w:sz w:val="16"/>
                <w:szCs w:val="16"/>
              </w:rPr>
              <w:t>Working Hours</w:t>
            </w:r>
          </w:p>
        </w:tc>
        <w:tc>
          <w:tcPr>
            <w:tcW w:w="1281" w:type="dxa"/>
          </w:tcPr>
          <w:p w14:paraId="5CD94F38" w14:textId="77777777" w:rsidR="00C96A5F" w:rsidRPr="00C45884" w:rsidRDefault="00C96A5F" w:rsidP="00C96A5F">
            <w:pPr>
              <w:jc w:val="center"/>
              <w:rPr>
                <w:rFonts w:ascii="Times New Roman" w:hAnsi="Times New Roman" w:cs="Times New Roman"/>
                <w:b/>
                <w:sz w:val="16"/>
                <w:szCs w:val="16"/>
              </w:rPr>
            </w:pPr>
            <w:r w:rsidRPr="00C45884">
              <w:rPr>
                <w:rFonts w:ascii="Times New Roman" w:hAnsi="Times New Roman" w:cs="Times New Roman"/>
                <w:b/>
                <w:sz w:val="16"/>
                <w:szCs w:val="16"/>
              </w:rPr>
              <w:t>Supplements</w:t>
            </w:r>
          </w:p>
        </w:tc>
        <w:tc>
          <w:tcPr>
            <w:tcW w:w="902" w:type="dxa"/>
          </w:tcPr>
          <w:p w14:paraId="17C0F575" w14:textId="77777777" w:rsidR="00C96A5F" w:rsidRPr="00C45884" w:rsidRDefault="00C96A5F" w:rsidP="00C96A5F">
            <w:pPr>
              <w:jc w:val="center"/>
              <w:rPr>
                <w:rFonts w:ascii="Times New Roman" w:hAnsi="Times New Roman" w:cs="Times New Roman"/>
                <w:b/>
                <w:sz w:val="16"/>
                <w:szCs w:val="16"/>
              </w:rPr>
            </w:pPr>
            <w:r w:rsidRPr="00C45884">
              <w:rPr>
                <w:rFonts w:ascii="Times New Roman" w:hAnsi="Times New Roman" w:cs="Times New Roman"/>
                <w:b/>
                <w:sz w:val="16"/>
                <w:szCs w:val="16"/>
              </w:rPr>
              <w:t>Working Hours</w:t>
            </w:r>
          </w:p>
        </w:tc>
        <w:tc>
          <w:tcPr>
            <w:tcW w:w="1281" w:type="dxa"/>
          </w:tcPr>
          <w:p w14:paraId="6095425F" w14:textId="77777777" w:rsidR="00C96A5F" w:rsidRPr="00C45884" w:rsidRDefault="00C96A5F" w:rsidP="00C96A5F">
            <w:pPr>
              <w:jc w:val="center"/>
              <w:rPr>
                <w:rFonts w:ascii="Times New Roman" w:hAnsi="Times New Roman" w:cs="Times New Roman"/>
                <w:b/>
                <w:sz w:val="16"/>
                <w:szCs w:val="16"/>
              </w:rPr>
            </w:pPr>
            <w:r w:rsidRPr="00C45884">
              <w:rPr>
                <w:rFonts w:ascii="Times New Roman" w:hAnsi="Times New Roman" w:cs="Times New Roman"/>
                <w:b/>
                <w:sz w:val="16"/>
                <w:szCs w:val="16"/>
              </w:rPr>
              <w:t>Supplements</w:t>
            </w:r>
          </w:p>
        </w:tc>
        <w:tc>
          <w:tcPr>
            <w:tcW w:w="902" w:type="dxa"/>
          </w:tcPr>
          <w:p w14:paraId="5920318B" w14:textId="77777777" w:rsidR="00C96A5F" w:rsidRPr="00C45884" w:rsidRDefault="00C96A5F" w:rsidP="00C96A5F">
            <w:pPr>
              <w:jc w:val="center"/>
              <w:rPr>
                <w:rFonts w:ascii="Times New Roman" w:hAnsi="Times New Roman" w:cs="Times New Roman"/>
                <w:b/>
                <w:sz w:val="16"/>
                <w:szCs w:val="16"/>
              </w:rPr>
            </w:pPr>
            <w:r w:rsidRPr="00C45884">
              <w:rPr>
                <w:rFonts w:ascii="Times New Roman" w:hAnsi="Times New Roman" w:cs="Times New Roman"/>
                <w:b/>
                <w:sz w:val="16"/>
                <w:szCs w:val="16"/>
              </w:rPr>
              <w:t>Working Hours</w:t>
            </w:r>
          </w:p>
        </w:tc>
      </w:tr>
      <w:tr w:rsidR="00203EF0" w14:paraId="2F4CB5E9" w14:textId="77777777" w:rsidTr="00C96A5F">
        <w:trPr>
          <w:trHeight w:val="219"/>
        </w:trPr>
        <w:tc>
          <w:tcPr>
            <w:tcW w:w="1325" w:type="dxa"/>
          </w:tcPr>
          <w:p w14:paraId="4513131A" w14:textId="77777777" w:rsidR="00C96A5F" w:rsidRPr="00C45884" w:rsidRDefault="00C96A5F" w:rsidP="00C96A5F">
            <w:pPr>
              <w:jc w:val="center"/>
              <w:rPr>
                <w:rFonts w:ascii="Times New Roman" w:eastAsia="Times New Roman" w:hAnsi="Times New Roman" w:cs="Times New Roman"/>
                <w:b/>
                <w:color w:val="000000"/>
                <w:sz w:val="16"/>
                <w:szCs w:val="16"/>
                <w:lang w:eastAsia="en-GB"/>
              </w:rPr>
            </w:pPr>
            <w:r w:rsidRPr="00C45884">
              <w:rPr>
                <w:rFonts w:ascii="Times New Roman" w:eastAsia="Times New Roman" w:hAnsi="Times New Roman" w:cs="Times New Roman"/>
                <w:b/>
                <w:color w:val="000000"/>
                <w:sz w:val="16"/>
                <w:szCs w:val="16"/>
                <w:lang w:eastAsia="en-GB"/>
              </w:rPr>
              <w:t>12</w:t>
            </w:r>
          </w:p>
        </w:tc>
        <w:tc>
          <w:tcPr>
            <w:tcW w:w="1281" w:type="dxa"/>
          </w:tcPr>
          <w:p w14:paraId="07D0A730"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35</w:t>
            </w:r>
          </w:p>
        </w:tc>
        <w:tc>
          <w:tcPr>
            <w:tcW w:w="902" w:type="dxa"/>
          </w:tcPr>
          <w:p w14:paraId="6AAA8EA3"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p>
        </w:tc>
        <w:tc>
          <w:tcPr>
            <w:tcW w:w="1281" w:type="dxa"/>
          </w:tcPr>
          <w:p w14:paraId="2C2EF7E1"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20</w:t>
            </w:r>
          </w:p>
        </w:tc>
        <w:tc>
          <w:tcPr>
            <w:tcW w:w="902" w:type="dxa"/>
          </w:tcPr>
          <w:p w14:paraId="20E84576"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p>
        </w:tc>
        <w:tc>
          <w:tcPr>
            <w:tcW w:w="1281" w:type="dxa"/>
          </w:tcPr>
          <w:p w14:paraId="09BD87BA"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9</w:t>
            </w:r>
          </w:p>
        </w:tc>
        <w:tc>
          <w:tcPr>
            <w:tcW w:w="902" w:type="dxa"/>
          </w:tcPr>
          <w:p w14:paraId="470CA577"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p>
        </w:tc>
        <w:tc>
          <w:tcPr>
            <w:tcW w:w="1281" w:type="dxa"/>
          </w:tcPr>
          <w:p w14:paraId="4B34973A"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2</w:t>
            </w:r>
          </w:p>
        </w:tc>
        <w:tc>
          <w:tcPr>
            <w:tcW w:w="902" w:type="dxa"/>
          </w:tcPr>
          <w:p w14:paraId="3B9A7379"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p>
        </w:tc>
      </w:tr>
      <w:tr w:rsidR="00203EF0" w14:paraId="46A70774" w14:textId="77777777" w:rsidTr="00C96A5F">
        <w:trPr>
          <w:trHeight w:val="231"/>
        </w:trPr>
        <w:tc>
          <w:tcPr>
            <w:tcW w:w="1325" w:type="dxa"/>
          </w:tcPr>
          <w:p w14:paraId="2CEB7407" w14:textId="77777777" w:rsidR="00C96A5F" w:rsidRPr="00C45884" w:rsidRDefault="00C96A5F" w:rsidP="00C96A5F">
            <w:pPr>
              <w:jc w:val="center"/>
              <w:rPr>
                <w:rFonts w:ascii="Times New Roman" w:eastAsia="Times New Roman" w:hAnsi="Times New Roman" w:cs="Times New Roman"/>
                <w:b/>
                <w:color w:val="000000"/>
                <w:sz w:val="16"/>
                <w:szCs w:val="16"/>
                <w:lang w:eastAsia="en-GB"/>
              </w:rPr>
            </w:pPr>
            <w:r w:rsidRPr="00C45884">
              <w:rPr>
                <w:rFonts w:ascii="Times New Roman" w:eastAsia="Times New Roman" w:hAnsi="Times New Roman" w:cs="Times New Roman"/>
                <w:b/>
                <w:color w:val="000000"/>
                <w:sz w:val="16"/>
                <w:szCs w:val="16"/>
                <w:lang w:eastAsia="en-GB"/>
              </w:rPr>
              <w:t>24</w:t>
            </w:r>
          </w:p>
        </w:tc>
        <w:tc>
          <w:tcPr>
            <w:tcW w:w="1281" w:type="dxa"/>
          </w:tcPr>
          <w:p w14:paraId="5FCEF5DA"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50</w:t>
            </w:r>
          </w:p>
        </w:tc>
        <w:tc>
          <w:tcPr>
            <w:tcW w:w="902" w:type="dxa"/>
          </w:tcPr>
          <w:p w14:paraId="21BA86B6"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56</w:t>
            </w:r>
          </w:p>
        </w:tc>
        <w:tc>
          <w:tcPr>
            <w:tcW w:w="1281" w:type="dxa"/>
          </w:tcPr>
          <w:p w14:paraId="0BCEB7C8"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25</w:t>
            </w:r>
          </w:p>
        </w:tc>
        <w:tc>
          <w:tcPr>
            <w:tcW w:w="902" w:type="dxa"/>
          </w:tcPr>
          <w:p w14:paraId="146D27F6"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26</w:t>
            </w:r>
          </w:p>
        </w:tc>
        <w:tc>
          <w:tcPr>
            <w:tcW w:w="1281" w:type="dxa"/>
          </w:tcPr>
          <w:p w14:paraId="3AA2B39A"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12</w:t>
            </w:r>
          </w:p>
        </w:tc>
        <w:tc>
          <w:tcPr>
            <w:tcW w:w="902" w:type="dxa"/>
          </w:tcPr>
          <w:p w14:paraId="0ED0ED5F"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11</w:t>
            </w:r>
          </w:p>
        </w:tc>
        <w:tc>
          <w:tcPr>
            <w:tcW w:w="1281" w:type="dxa"/>
          </w:tcPr>
          <w:p w14:paraId="002F0180"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5</w:t>
            </w:r>
          </w:p>
        </w:tc>
        <w:tc>
          <w:tcPr>
            <w:tcW w:w="902" w:type="dxa"/>
          </w:tcPr>
          <w:p w14:paraId="26593084"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6</w:t>
            </w:r>
          </w:p>
        </w:tc>
      </w:tr>
      <w:tr w:rsidR="00203EF0" w14:paraId="53ED08B5" w14:textId="77777777" w:rsidTr="00C96A5F">
        <w:trPr>
          <w:trHeight w:val="219"/>
        </w:trPr>
        <w:tc>
          <w:tcPr>
            <w:tcW w:w="1325" w:type="dxa"/>
          </w:tcPr>
          <w:p w14:paraId="10D5CAA8" w14:textId="77777777" w:rsidR="00C96A5F" w:rsidRPr="00C45884" w:rsidRDefault="00C96A5F" w:rsidP="00C96A5F">
            <w:pPr>
              <w:jc w:val="center"/>
              <w:rPr>
                <w:rFonts w:ascii="Times New Roman" w:eastAsia="Times New Roman" w:hAnsi="Times New Roman" w:cs="Times New Roman"/>
                <w:b/>
                <w:color w:val="000000"/>
                <w:sz w:val="16"/>
                <w:szCs w:val="16"/>
                <w:lang w:eastAsia="en-GB"/>
              </w:rPr>
            </w:pPr>
            <w:r w:rsidRPr="00C45884">
              <w:rPr>
                <w:rFonts w:ascii="Times New Roman" w:eastAsia="Times New Roman" w:hAnsi="Times New Roman" w:cs="Times New Roman"/>
                <w:b/>
                <w:color w:val="000000"/>
                <w:sz w:val="16"/>
                <w:szCs w:val="16"/>
                <w:lang w:eastAsia="en-GB"/>
              </w:rPr>
              <w:t>36</w:t>
            </w:r>
          </w:p>
        </w:tc>
        <w:tc>
          <w:tcPr>
            <w:tcW w:w="1281" w:type="dxa"/>
          </w:tcPr>
          <w:p w14:paraId="74CC3684"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48</w:t>
            </w:r>
          </w:p>
        </w:tc>
        <w:tc>
          <w:tcPr>
            <w:tcW w:w="902" w:type="dxa"/>
          </w:tcPr>
          <w:p w14:paraId="59545B97"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p>
        </w:tc>
        <w:tc>
          <w:tcPr>
            <w:tcW w:w="1281" w:type="dxa"/>
          </w:tcPr>
          <w:p w14:paraId="144A9097"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26</w:t>
            </w:r>
          </w:p>
        </w:tc>
        <w:tc>
          <w:tcPr>
            <w:tcW w:w="902" w:type="dxa"/>
          </w:tcPr>
          <w:p w14:paraId="0B99B771"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p>
        </w:tc>
        <w:tc>
          <w:tcPr>
            <w:tcW w:w="1281" w:type="dxa"/>
          </w:tcPr>
          <w:p w14:paraId="231F2193"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13</w:t>
            </w:r>
          </w:p>
        </w:tc>
        <w:tc>
          <w:tcPr>
            <w:tcW w:w="902" w:type="dxa"/>
          </w:tcPr>
          <w:p w14:paraId="7C57CEBA"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p>
        </w:tc>
        <w:tc>
          <w:tcPr>
            <w:tcW w:w="1281" w:type="dxa"/>
          </w:tcPr>
          <w:p w14:paraId="4FA2BCF7"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6</w:t>
            </w:r>
          </w:p>
        </w:tc>
        <w:tc>
          <w:tcPr>
            <w:tcW w:w="902" w:type="dxa"/>
          </w:tcPr>
          <w:p w14:paraId="31383243"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p>
        </w:tc>
      </w:tr>
      <w:tr w:rsidR="00203EF0" w14:paraId="6D0523FF" w14:textId="77777777" w:rsidTr="00C96A5F">
        <w:trPr>
          <w:trHeight w:val="231"/>
        </w:trPr>
        <w:tc>
          <w:tcPr>
            <w:tcW w:w="1325" w:type="dxa"/>
          </w:tcPr>
          <w:p w14:paraId="4773F5D3" w14:textId="77777777" w:rsidR="00C96A5F" w:rsidRPr="00C45884" w:rsidRDefault="00C96A5F" w:rsidP="00C96A5F">
            <w:pPr>
              <w:jc w:val="center"/>
              <w:rPr>
                <w:rFonts w:ascii="Times New Roman" w:eastAsia="Times New Roman" w:hAnsi="Times New Roman" w:cs="Times New Roman"/>
                <w:b/>
                <w:color w:val="000000"/>
                <w:sz w:val="16"/>
                <w:szCs w:val="16"/>
                <w:lang w:eastAsia="en-GB"/>
              </w:rPr>
            </w:pPr>
            <w:r w:rsidRPr="00C45884">
              <w:rPr>
                <w:rFonts w:ascii="Times New Roman" w:eastAsia="Times New Roman" w:hAnsi="Times New Roman" w:cs="Times New Roman"/>
                <w:b/>
                <w:color w:val="000000"/>
                <w:sz w:val="16"/>
                <w:szCs w:val="16"/>
                <w:lang w:eastAsia="en-GB"/>
              </w:rPr>
              <w:t>48</w:t>
            </w:r>
          </w:p>
        </w:tc>
        <w:tc>
          <w:tcPr>
            <w:tcW w:w="1281" w:type="dxa"/>
          </w:tcPr>
          <w:p w14:paraId="46AA72F9"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53</w:t>
            </w:r>
          </w:p>
        </w:tc>
        <w:tc>
          <w:tcPr>
            <w:tcW w:w="902" w:type="dxa"/>
          </w:tcPr>
          <w:p w14:paraId="140993B3"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56</w:t>
            </w:r>
          </w:p>
        </w:tc>
        <w:tc>
          <w:tcPr>
            <w:tcW w:w="1281" w:type="dxa"/>
          </w:tcPr>
          <w:p w14:paraId="4E73FA51"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22</w:t>
            </w:r>
          </w:p>
        </w:tc>
        <w:tc>
          <w:tcPr>
            <w:tcW w:w="902" w:type="dxa"/>
          </w:tcPr>
          <w:p w14:paraId="5256C96B"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30</w:t>
            </w:r>
          </w:p>
        </w:tc>
        <w:tc>
          <w:tcPr>
            <w:tcW w:w="1281" w:type="dxa"/>
          </w:tcPr>
          <w:p w14:paraId="6679FF76"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13</w:t>
            </w:r>
          </w:p>
        </w:tc>
        <w:tc>
          <w:tcPr>
            <w:tcW w:w="902" w:type="dxa"/>
          </w:tcPr>
          <w:p w14:paraId="714A39CA"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13</w:t>
            </w:r>
          </w:p>
        </w:tc>
        <w:tc>
          <w:tcPr>
            <w:tcW w:w="1281" w:type="dxa"/>
          </w:tcPr>
          <w:p w14:paraId="4797F81D"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2</w:t>
            </w:r>
          </w:p>
        </w:tc>
        <w:tc>
          <w:tcPr>
            <w:tcW w:w="902" w:type="dxa"/>
          </w:tcPr>
          <w:p w14:paraId="2C164295"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9</w:t>
            </w:r>
          </w:p>
        </w:tc>
      </w:tr>
      <w:tr w:rsidR="00203EF0" w14:paraId="24E9E841" w14:textId="77777777" w:rsidTr="00C96A5F">
        <w:trPr>
          <w:trHeight w:val="219"/>
        </w:trPr>
        <w:tc>
          <w:tcPr>
            <w:tcW w:w="1325" w:type="dxa"/>
          </w:tcPr>
          <w:p w14:paraId="7942CD9E" w14:textId="77777777" w:rsidR="00C96A5F" w:rsidRPr="00C45884" w:rsidRDefault="00C96A5F" w:rsidP="00C96A5F">
            <w:pPr>
              <w:jc w:val="center"/>
              <w:rPr>
                <w:rFonts w:ascii="Times New Roman" w:eastAsia="Times New Roman" w:hAnsi="Times New Roman" w:cs="Times New Roman"/>
                <w:b/>
                <w:color w:val="000000"/>
                <w:sz w:val="16"/>
                <w:szCs w:val="16"/>
                <w:lang w:eastAsia="en-GB"/>
              </w:rPr>
            </w:pPr>
            <w:r w:rsidRPr="00C45884">
              <w:rPr>
                <w:rFonts w:ascii="Times New Roman" w:eastAsia="Times New Roman" w:hAnsi="Times New Roman" w:cs="Times New Roman"/>
                <w:b/>
                <w:color w:val="000000"/>
                <w:sz w:val="16"/>
                <w:szCs w:val="16"/>
                <w:lang w:eastAsia="en-GB"/>
              </w:rPr>
              <w:t>60</w:t>
            </w:r>
          </w:p>
        </w:tc>
        <w:tc>
          <w:tcPr>
            <w:tcW w:w="1281" w:type="dxa"/>
          </w:tcPr>
          <w:p w14:paraId="12D71A77"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57</w:t>
            </w:r>
          </w:p>
        </w:tc>
        <w:tc>
          <w:tcPr>
            <w:tcW w:w="902" w:type="dxa"/>
          </w:tcPr>
          <w:p w14:paraId="611F08A4"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p>
        </w:tc>
        <w:tc>
          <w:tcPr>
            <w:tcW w:w="1281" w:type="dxa"/>
          </w:tcPr>
          <w:p w14:paraId="7E9B6B5E"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30</w:t>
            </w:r>
          </w:p>
        </w:tc>
        <w:tc>
          <w:tcPr>
            <w:tcW w:w="902" w:type="dxa"/>
          </w:tcPr>
          <w:p w14:paraId="2B72F5A7"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p>
        </w:tc>
        <w:tc>
          <w:tcPr>
            <w:tcW w:w="1281" w:type="dxa"/>
          </w:tcPr>
          <w:p w14:paraId="7446CEEC"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0</w:t>
            </w:r>
          </w:p>
        </w:tc>
        <w:tc>
          <w:tcPr>
            <w:tcW w:w="902" w:type="dxa"/>
          </w:tcPr>
          <w:p w14:paraId="5B7D29F8"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p>
        </w:tc>
        <w:tc>
          <w:tcPr>
            <w:tcW w:w="1281" w:type="dxa"/>
          </w:tcPr>
          <w:p w14:paraId="6BC00135"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0</w:t>
            </w:r>
          </w:p>
        </w:tc>
        <w:tc>
          <w:tcPr>
            <w:tcW w:w="902" w:type="dxa"/>
          </w:tcPr>
          <w:p w14:paraId="3FFB4098"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p>
        </w:tc>
      </w:tr>
      <w:tr w:rsidR="00203EF0" w14:paraId="0E5B3795" w14:textId="77777777" w:rsidTr="00C96A5F">
        <w:trPr>
          <w:trHeight w:val="231"/>
        </w:trPr>
        <w:tc>
          <w:tcPr>
            <w:tcW w:w="1325" w:type="dxa"/>
          </w:tcPr>
          <w:p w14:paraId="3C7FC1B5" w14:textId="77777777" w:rsidR="00C96A5F" w:rsidRPr="00C45884" w:rsidRDefault="00C96A5F" w:rsidP="00C96A5F">
            <w:pPr>
              <w:jc w:val="center"/>
              <w:rPr>
                <w:rFonts w:ascii="Times New Roman" w:eastAsia="Times New Roman" w:hAnsi="Times New Roman" w:cs="Times New Roman"/>
                <w:b/>
                <w:color w:val="000000"/>
                <w:sz w:val="16"/>
                <w:szCs w:val="16"/>
                <w:lang w:eastAsia="en-GB"/>
              </w:rPr>
            </w:pPr>
            <w:r w:rsidRPr="00C45884">
              <w:rPr>
                <w:rFonts w:ascii="Times New Roman" w:eastAsia="Times New Roman" w:hAnsi="Times New Roman" w:cs="Times New Roman"/>
                <w:b/>
                <w:color w:val="000000"/>
                <w:sz w:val="16"/>
                <w:szCs w:val="16"/>
                <w:lang w:eastAsia="en-GB"/>
              </w:rPr>
              <w:t>72</w:t>
            </w:r>
          </w:p>
        </w:tc>
        <w:tc>
          <w:tcPr>
            <w:tcW w:w="1281" w:type="dxa"/>
          </w:tcPr>
          <w:p w14:paraId="0C370A29"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59</w:t>
            </w:r>
          </w:p>
        </w:tc>
        <w:tc>
          <w:tcPr>
            <w:tcW w:w="902" w:type="dxa"/>
          </w:tcPr>
          <w:p w14:paraId="368D6C5C"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53</w:t>
            </w:r>
          </w:p>
        </w:tc>
        <w:tc>
          <w:tcPr>
            <w:tcW w:w="1281" w:type="dxa"/>
          </w:tcPr>
          <w:p w14:paraId="6A82D85D"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36</w:t>
            </w:r>
          </w:p>
        </w:tc>
        <w:tc>
          <w:tcPr>
            <w:tcW w:w="902" w:type="dxa"/>
          </w:tcPr>
          <w:p w14:paraId="38B36AE9"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37</w:t>
            </w:r>
          </w:p>
        </w:tc>
        <w:tc>
          <w:tcPr>
            <w:tcW w:w="1281" w:type="dxa"/>
          </w:tcPr>
          <w:p w14:paraId="5619418A"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0</w:t>
            </w:r>
          </w:p>
        </w:tc>
        <w:tc>
          <w:tcPr>
            <w:tcW w:w="902" w:type="dxa"/>
          </w:tcPr>
          <w:p w14:paraId="21F41D42"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13</w:t>
            </w:r>
          </w:p>
        </w:tc>
        <w:tc>
          <w:tcPr>
            <w:tcW w:w="1281" w:type="dxa"/>
          </w:tcPr>
          <w:p w14:paraId="2D132373"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0</w:t>
            </w:r>
          </w:p>
        </w:tc>
        <w:tc>
          <w:tcPr>
            <w:tcW w:w="902" w:type="dxa"/>
          </w:tcPr>
          <w:p w14:paraId="5243CEA3"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6</w:t>
            </w:r>
          </w:p>
        </w:tc>
      </w:tr>
      <w:tr w:rsidR="00203EF0" w14:paraId="7C4DD6A8" w14:textId="77777777" w:rsidTr="00C96A5F">
        <w:trPr>
          <w:trHeight w:val="231"/>
        </w:trPr>
        <w:tc>
          <w:tcPr>
            <w:tcW w:w="1325" w:type="dxa"/>
          </w:tcPr>
          <w:p w14:paraId="5C7005FA" w14:textId="77777777" w:rsidR="00C96A5F" w:rsidRPr="00C45884" w:rsidRDefault="00C96A5F" w:rsidP="00C96A5F">
            <w:pPr>
              <w:jc w:val="center"/>
              <w:rPr>
                <w:rFonts w:ascii="Times New Roman" w:eastAsia="Times New Roman" w:hAnsi="Times New Roman" w:cs="Times New Roman"/>
                <w:b/>
                <w:color w:val="000000"/>
                <w:sz w:val="16"/>
                <w:szCs w:val="16"/>
                <w:lang w:eastAsia="en-GB"/>
              </w:rPr>
            </w:pPr>
            <w:r w:rsidRPr="00C45884">
              <w:rPr>
                <w:rFonts w:ascii="Times New Roman" w:eastAsia="Times New Roman" w:hAnsi="Times New Roman" w:cs="Times New Roman"/>
                <w:b/>
                <w:color w:val="000000"/>
                <w:sz w:val="16"/>
                <w:szCs w:val="16"/>
                <w:lang w:eastAsia="en-GB"/>
              </w:rPr>
              <w:t>84</w:t>
            </w:r>
          </w:p>
        </w:tc>
        <w:tc>
          <w:tcPr>
            <w:tcW w:w="1281" w:type="dxa"/>
          </w:tcPr>
          <w:p w14:paraId="50A22029"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54</w:t>
            </w:r>
          </w:p>
        </w:tc>
        <w:tc>
          <w:tcPr>
            <w:tcW w:w="902" w:type="dxa"/>
          </w:tcPr>
          <w:p w14:paraId="76B8A4A6"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p>
        </w:tc>
        <w:tc>
          <w:tcPr>
            <w:tcW w:w="1281" w:type="dxa"/>
          </w:tcPr>
          <w:p w14:paraId="249179C1"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38</w:t>
            </w:r>
          </w:p>
        </w:tc>
        <w:tc>
          <w:tcPr>
            <w:tcW w:w="902" w:type="dxa"/>
          </w:tcPr>
          <w:p w14:paraId="7BF8A7EB"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p>
        </w:tc>
        <w:tc>
          <w:tcPr>
            <w:tcW w:w="1281" w:type="dxa"/>
          </w:tcPr>
          <w:p w14:paraId="0D4ED52A"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11</w:t>
            </w:r>
          </w:p>
        </w:tc>
        <w:tc>
          <w:tcPr>
            <w:tcW w:w="902" w:type="dxa"/>
          </w:tcPr>
          <w:p w14:paraId="24546A3A"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p>
        </w:tc>
        <w:tc>
          <w:tcPr>
            <w:tcW w:w="1281" w:type="dxa"/>
          </w:tcPr>
          <w:p w14:paraId="557BEEDD"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3</w:t>
            </w:r>
          </w:p>
        </w:tc>
        <w:tc>
          <w:tcPr>
            <w:tcW w:w="902" w:type="dxa"/>
          </w:tcPr>
          <w:p w14:paraId="0E876C2E"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p>
        </w:tc>
      </w:tr>
      <w:tr w:rsidR="00203EF0" w14:paraId="08011576" w14:textId="77777777" w:rsidTr="00C96A5F">
        <w:trPr>
          <w:trHeight w:val="219"/>
        </w:trPr>
        <w:tc>
          <w:tcPr>
            <w:tcW w:w="1325" w:type="dxa"/>
          </w:tcPr>
          <w:p w14:paraId="5130E2D7" w14:textId="77777777" w:rsidR="00C96A5F" w:rsidRPr="00C45884" w:rsidRDefault="00C96A5F" w:rsidP="00C96A5F">
            <w:pPr>
              <w:jc w:val="center"/>
              <w:rPr>
                <w:rFonts w:ascii="Times New Roman" w:eastAsia="Times New Roman" w:hAnsi="Times New Roman" w:cs="Times New Roman"/>
                <w:b/>
                <w:color w:val="000000"/>
                <w:sz w:val="16"/>
                <w:szCs w:val="16"/>
                <w:lang w:eastAsia="en-GB"/>
              </w:rPr>
            </w:pPr>
            <w:r w:rsidRPr="00C45884">
              <w:rPr>
                <w:rFonts w:ascii="Times New Roman" w:eastAsia="Times New Roman" w:hAnsi="Times New Roman" w:cs="Times New Roman"/>
                <w:b/>
                <w:color w:val="000000"/>
                <w:sz w:val="16"/>
                <w:szCs w:val="16"/>
                <w:lang w:eastAsia="en-GB"/>
              </w:rPr>
              <w:t>96</w:t>
            </w:r>
          </w:p>
        </w:tc>
        <w:tc>
          <w:tcPr>
            <w:tcW w:w="1281" w:type="dxa"/>
          </w:tcPr>
          <w:p w14:paraId="5B7B3D07"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48</w:t>
            </w:r>
          </w:p>
        </w:tc>
        <w:tc>
          <w:tcPr>
            <w:tcW w:w="902" w:type="dxa"/>
          </w:tcPr>
          <w:p w14:paraId="21E1171A"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39</w:t>
            </w:r>
          </w:p>
        </w:tc>
        <w:tc>
          <w:tcPr>
            <w:tcW w:w="1281" w:type="dxa"/>
          </w:tcPr>
          <w:p w14:paraId="534006F4"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35</w:t>
            </w:r>
          </w:p>
        </w:tc>
        <w:tc>
          <w:tcPr>
            <w:tcW w:w="902" w:type="dxa"/>
          </w:tcPr>
          <w:p w14:paraId="5A57958E"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38</w:t>
            </w:r>
          </w:p>
        </w:tc>
        <w:tc>
          <w:tcPr>
            <w:tcW w:w="1281" w:type="dxa"/>
          </w:tcPr>
          <w:p w14:paraId="6D115D66"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4</w:t>
            </w:r>
          </w:p>
        </w:tc>
        <w:tc>
          <w:tcPr>
            <w:tcW w:w="902" w:type="dxa"/>
          </w:tcPr>
          <w:p w14:paraId="4E38F2B6"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5</w:t>
            </w:r>
          </w:p>
        </w:tc>
        <w:tc>
          <w:tcPr>
            <w:tcW w:w="1281" w:type="dxa"/>
          </w:tcPr>
          <w:p w14:paraId="79C4163E"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7</w:t>
            </w:r>
          </w:p>
        </w:tc>
        <w:tc>
          <w:tcPr>
            <w:tcW w:w="902" w:type="dxa"/>
          </w:tcPr>
          <w:p w14:paraId="72963877"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0</w:t>
            </w:r>
          </w:p>
        </w:tc>
      </w:tr>
      <w:tr w:rsidR="00203EF0" w14:paraId="39D3D4E0" w14:textId="77777777" w:rsidTr="00C96A5F">
        <w:trPr>
          <w:trHeight w:val="304"/>
        </w:trPr>
        <w:tc>
          <w:tcPr>
            <w:tcW w:w="1325" w:type="dxa"/>
          </w:tcPr>
          <w:p w14:paraId="2CA0F675" w14:textId="77777777" w:rsidR="00C96A5F" w:rsidRPr="00C45884" w:rsidRDefault="00C96A5F" w:rsidP="00C96A5F">
            <w:pPr>
              <w:jc w:val="center"/>
              <w:rPr>
                <w:rFonts w:ascii="Times New Roman" w:eastAsia="Times New Roman" w:hAnsi="Times New Roman" w:cs="Times New Roman"/>
                <w:b/>
                <w:color w:val="000000"/>
                <w:sz w:val="16"/>
                <w:szCs w:val="16"/>
                <w:lang w:eastAsia="en-GB"/>
              </w:rPr>
            </w:pPr>
            <w:r w:rsidRPr="00C45884">
              <w:rPr>
                <w:rFonts w:ascii="Times New Roman" w:eastAsia="Times New Roman" w:hAnsi="Times New Roman" w:cs="Times New Roman"/>
                <w:b/>
                <w:color w:val="000000"/>
                <w:sz w:val="16"/>
                <w:szCs w:val="16"/>
                <w:lang w:eastAsia="en-GB"/>
              </w:rPr>
              <w:t>108</w:t>
            </w:r>
          </w:p>
        </w:tc>
        <w:tc>
          <w:tcPr>
            <w:tcW w:w="1281" w:type="dxa"/>
          </w:tcPr>
          <w:p w14:paraId="361BAEE3"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50</w:t>
            </w:r>
          </w:p>
        </w:tc>
        <w:tc>
          <w:tcPr>
            <w:tcW w:w="902" w:type="dxa"/>
          </w:tcPr>
          <w:p w14:paraId="5F10FFC6"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p>
        </w:tc>
        <w:tc>
          <w:tcPr>
            <w:tcW w:w="1281" w:type="dxa"/>
          </w:tcPr>
          <w:p w14:paraId="2A312972"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42</w:t>
            </w:r>
          </w:p>
        </w:tc>
        <w:tc>
          <w:tcPr>
            <w:tcW w:w="902" w:type="dxa"/>
          </w:tcPr>
          <w:p w14:paraId="3B0FBE13"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p>
        </w:tc>
        <w:tc>
          <w:tcPr>
            <w:tcW w:w="1281" w:type="dxa"/>
          </w:tcPr>
          <w:p w14:paraId="65FBB990"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2</w:t>
            </w:r>
          </w:p>
        </w:tc>
        <w:tc>
          <w:tcPr>
            <w:tcW w:w="902" w:type="dxa"/>
          </w:tcPr>
          <w:p w14:paraId="050AC147"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p>
        </w:tc>
        <w:tc>
          <w:tcPr>
            <w:tcW w:w="1281" w:type="dxa"/>
          </w:tcPr>
          <w:p w14:paraId="08A56CDB" w14:textId="77777777" w:rsidR="00C96A5F" w:rsidRPr="00C45884" w:rsidRDefault="00C96A5F" w:rsidP="00C96A5F">
            <w:pPr>
              <w:tabs>
                <w:tab w:val="center" w:pos="724"/>
              </w:tabs>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2</w:t>
            </w:r>
          </w:p>
        </w:tc>
        <w:tc>
          <w:tcPr>
            <w:tcW w:w="902" w:type="dxa"/>
          </w:tcPr>
          <w:p w14:paraId="4D4DB98B"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p>
        </w:tc>
      </w:tr>
      <w:tr w:rsidR="00203EF0" w14:paraId="2D7C96BD" w14:textId="77777777" w:rsidTr="00C96A5F">
        <w:trPr>
          <w:trHeight w:val="59"/>
        </w:trPr>
        <w:tc>
          <w:tcPr>
            <w:tcW w:w="1325" w:type="dxa"/>
          </w:tcPr>
          <w:p w14:paraId="0E9A64E1" w14:textId="77777777" w:rsidR="00C96A5F" w:rsidRPr="00C45884" w:rsidRDefault="00C96A5F" w:rsidP="00C96A5F">
            <w:pPr>
              <w:jc w:val="center"/>
              <w:rPr>
                <w:rFonts w:ascii="Times New Roman" w:eastAsia="Times New Roman" w:hAnsi="Times New Roman" w:cs="Times New Roman"/>
                <w:b/>
                <w:color w:val="000000"/>
                <w:sz w:val="16"/>
                <w:szCs w:val="16"/>
                <w:lang w:eastAsia="en-GB"/>
              </w:rPr>
            </w:pPr>
            <w:r w:rsidRPr="00C45884">
              <w:rPr>
                <w:rFonts w:ascii="Times New Roman" w:eastAsia="Times New Roman" w:hAnsi="Times New Roman" w:cs="Times New Roman"/>
                <w:b/>
                <w:color w:val="000000"/>
                <w:sz w:val="16"/>
                <w:szCs w:val="16"/>
                <w:lang w:eastAsia="en-GB"/>
              </w:rPr>
              <w:t>120</w:t>
            </w:r>
          </w:p>
        </w:tc>
        <w:tc>
          <w:tcPr>
            <w:tcW w:w="1281" w:type="dxa"/>
          </w:tcPr>
          <w:p w14:paraId="541CB480"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49</w:t>
            </w:r>
          </w:p>
        </w:tc>
        <w:tc>
          <w:tcPr>
            <w:tcW w:w="902" w:type="dxa"/>
          </w:tcPr>
          <w:p w14:paraId="6C456525"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47</w:t>
            </w:r>
          </w:p>
        </w:tc>
        <w:tc>
          <w:tcPr>
            <w:tcW w:w="1281" w:type="dxa"/>
          </w:tcPr>
          <w:p w14:paraId="3D4623B1"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41</w:t>
            </w:r>
          </w:p>
        </w:tc>
        <w:tc>
          <w:tcPr>
            <w:tcW w:w="902" w:type="dxa"/>
          </w:tcPr>
          <w:p w14:paraId="46D422D4"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41</w:t>
            </w:r>
          </w:p>
        </w:tc>
        <w:tc>
          <w:tcPr>
            <w:tcW w:w="1281" w:type="dxa"/>
          </w:tcPr>
          <w:p w14:paraId="5348FD93"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6</w:t>
            </w:r>
          </w:p>
        </w:tc>
        <w:tc>
          <w:tcPr>
            <w:tcW w:w="902" w:type="dxa"/>
          </w:tcPr>
          <w:p w14:paraId="3234D316"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6</w:t>
            </w:r>
          </w:p>
        </w:tc>
        <w:tc>
          <w:tcPr>
            <w:tcW w:w="1281" w:type="dxa"/>
          </w:tcPr>
          <w:p w14:paraId="2F92AEF0"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2</w:t>
            </w:r>
          </w:p>
        </w:tc>
        <w:tc>
          <w:tcPr>
            <w:tcW w:w="902" w:type="dxa"/>
          </w:tcPr>
          <w:p w14:paraId="294DECA7"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0</w:t>
            </w:r>
          </w:p>
        </w:tc>
      </w:tr>
      <w:tr w:rsidR="00203EF0" w14:paraId="5E0D1CAF" w14:textId="77777777" w:rsidTr="00C96A5F">
        <w:trPr>
          <w:trHeight w:val="219"/>
        </w:trPr>
        <w:tc>
          <w:tcPr>
            <w:tcW w:w="1325" w:type="dxa"/>
          </w:tcPr>
          <w:p w14:paraId="1FAFA2DC" w14:textId="77777777" w:rsidR="00C96A5F" w:rsidRPr="00C45884" w:rsidRDefault="00C96A5F" w:rsidP="00C96A5F">
            <w:pPr>
              <w:jc w:val="center"/>
              <w:rPr>
                <w:rFonts w:ascii="Times New Roman" w:eastAsia="Times New Roman" w:hAnsi="Times New Roman" w:cs="Times New Roman"/>
                <w:b/>
                <w:color w:val="000000"/>
                <w:sz w:val="16"/>
                <w:szCs w:val="16"/>
                <w:lang w:eastAsia="en-GB"/>
              </w:rPr>
            </w:pPr>
            <w:r w:rsidRPr="00C45884">
              <w:rPr>
                <w:rFonts w:ascii="Times New Roman" w:eastAsia="Times New Roman" w:hAnsi="Times New Roman" w:cs="Times New Roman"/>
                <w:b/>
                <w:color w:val="000000"/>
                <w:sz w:val="16"/>
                <w:szCs w:val="16"/>
                <w:lang w:eastAsia="en-GB"/>
              </w:rPr>
              <w:t>132</w:t>
            </w:r>
          </w:p>
        </w:tc>
        <w:tc>
          <w:tcPr>
            <w:tcW w:w="1281" w:type="dxa"/>
          </w:tcPr>
          <w:p w14:paraId="30078F5D"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61</w:t>
            </w:r>
          </w:p>
        </w:tc>
        <w:tc>
          <w:tcPr>
            <w:tcW w:w="902" w:type="dxa"/>
          </w:tcPr>
          <w:p w14:paraId="2D13BA87"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60</w:t>
            </w:r>
          </w:p>
        </w:tc>
        <w:tc>
          <w:tcPr>
            <w:tcW w:w="1281" w:type="dxa"/>
          </w:tcPr>
          <w:p w14:paraId="68E79B6A"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39</w:t>
            </w:r>
          </w:p>
        </w:tc>
        <w:tc>
          <w:tcPr>
            <w:tcW w:w="902" w:type="dxa"/>
          </w:tcPr>
          <w:p w14:paraId="18423190"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38</w:t>
            </w:r>
          </w:p>
        </w:tc>
        <w:tc>
          <w:tcPr>
            <w:tcW w:w="1281" w:type="dxa"/>
          </w:tcPr>
          <w:p w14:paraId="3E74250C"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14</w:t>
            </w:r>
          </w:p>
        </w:tc>
        <w:tc>
          <w:tcPr>
            <w:tcW w:w="902" w:type="dxa"/>
          </w:tcPr>
          <w:p w14:paraId="08BE1EFF"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0</w:t>
            </w:r>
          </w:p>
        </w:tc>
        <w:tc>
          <w:tcPr>
            <w:tcW w:w="1281" w:type="dxa"/>
          </w:tcPr>
          <w:p w14:paraId="00B7C3C1"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0</w:t>
            </w:r>
          </w:p>
        </w:tc>
        <w:tc>
          <w:tcPr>
            <w:tcW w:w="902" w:type="dxa"/>
          </w:tcPr>
          <w:p w14:paraId="24DD6F8C" w14:textId="77777777" w:rsidR="00C96A5F" w:rsidRPr="00C45884" w:rsidRDefault="00C96A5F" w:rsidP="00C96A5F">
            <w:pPr>
              <w:jc w:val="center"/>
              <w:rPr>
                <w:rFonts w:ascii="Times New Roman" w:eastAsia="Times New Roman" w:hAnsi="Times New Roman" w:cs="Times New Roman"/>
                <w:color w:val="000000"/>
                <w:sz w:val="16"/>
                <w:szCs w:val="16"/>
                <w:lang w:eastAsia="en-GB"/>
              </w:rPr>
            </w:pPr>
            <w:r w:rsidRPr="00C45884">
              <w:rPr>
                <w:rFonts w:ascii="Times New Roman" w:eastAsia="Times New Roman" w:hAnsi="Times New Roman" w:cs="Times New Roman"/>
                <w:color w:val="000000"/>
                <w:sz w:val="16"/>
                <w:szCs w:val="16"/>
                <w:lang w:eastAsia="en-GB"/>
              </w:rPr>
              <w:t>5</w:t>
            </w:r>
          </w:p>
        </w:tc>
      </w:tr>
    </w:tbl>
    <w:p w14:paraId="51B03C83" w14:textId="710E3D16" w:rsidR="00C96A5F" w:rsidRDefault="00C96A5F" w:rsidP="00815142">
      <w:pPr>
        <w:spacing w:line="360" w:lineRule="auto"/>
        <w:jc w:val="center"/>
        <w:rPr>
          <w:rFonts w:ascii="Arial" w:hAnsi="Arial" w:cs="Arial"/>
          <w:sz w:val="28"/>
          <w:szCs w:val="28"/>
        </w:rPr>
      </w:pPr>
    </w:p>
    <w:p w14:paraId="4A4A6A7B" w14:textId="38124E36" w:rsidR="00C96A5F" w:rsidRDefault="00C96A5F" w:rsidP="00815142">
      <w:pPr>
        <w:spacing w:line="360" w:lineRule="auto"/>
        <w:jc w:val="center"/>
        <w:rPr>
          <w:rFonts w:ascii="Arial" w:hAnsi="Arial" w:cs="Arial"/>
          <w:sz w:val="28"/>
          <w:szCs w:val="28"/>
        </w:rPr>
      </w:pPr>
    </w:p>
    <w:p w14:paraId="314F4DAD" w14:textId="4A63BA71" w:rsidR="00C96A5F" w:rsidRDefault="00C96A5F" w:rsidP="00815142">
      <w:pPr>
        <w:spacing w:line="360" w:lineRule="auto"/>
        <w:jc w:val="center"/>
        <w:rPr>
          <w:rFonts w:ascii="Arial" w:hAnsi="Arial" w:cs="Arial"/>
          <w:sz w:val="28"/>
          <w:szCs w:val="28"/>
        </w:rPr>
      </w:pPr>
    </w:p>
    <w:p w14:paraId="6EF45DA9" w14:textId="2FBA09B7" w:rsidR="00C96A5F" w:rsidRDefault="00C96A5F" w:rsidP="00815142">
      <w:pPr>
        <w:spacing w:line="360" w:lineRule="auto"/>
        <w:jc w:val="center"/>
        <w:rPr>
          <w:rFonts w:ascii="Arial" w:hAnsi="Arial" w:cs="Arial"/>
          <w:sz w:val="28"/>
          <w:szCs w:val="28"/>
        </w:rPr>
      </w:pPr>
    </w:p>
    <w:p w14:paraId="0F138BEC" w14:textId="7BEB996C" w:rsidR="00C96A5F" w:rsidRDefault="00C96A5F" w:rsidP="00815142">
      <w:pPr>
        <w:spacing w:line="360" w:lineRule="auto"/>
        <w:jc w:val="center"/>
        <w:rPr>
          <w:rFonts w:ascii="Arial" w:hAnsi="Arial" w:cs="Arial"/>
          <w:sz w:val="28"/>
          <w:szCs w:val="28"/>
        </w:rPr>
      </w:pPr>
    </w:p>
    <w:p w14:paraId="1869C962" w14:textId="2D5F85E6" w:rsidR="00C96A5F" w:rsidRDefault="00C96A5F" w:rsidP="00815142">
      <w:pPr>
        <w:spacing w:line="360" w:lineRule="auto"/>
        <w:jc w:val="center"/>
        <w:rPr>
          <w:rFonts w:ascii="Arial" w:hAnsi="Arial" w:cs="Arial"/>
          <w:sz w:val="28"/>
          <w:szCs w:val="28"/>
        </w:rPr>
      </w:pPr>
    </w:p>
    <w:p w14:paraId="44A0A577" w14:textId="61F8A90F" w:rsidR="00C96A5F" w:rsidRDefault="00C96A5F" w:rsidP="00815142">
      <w:pPr>
        <w:spacing w:line="360" w:lineRule="auto"/>
        <w:jc w:val="center"/>
        <w:rPr>
          <w:rFonts w:ascii="Arial" w:hAnsi="Arial" w:cs="Arial"/>
          <w:sz w:val="28"/>
          <w:szCs w:val="28"/>
        </w:rPr>
      </w:pPr>
    </w:p>
    <w:p w14:paraId="1B7A94B2" w14:textId="48A727E3" w:rsidR="00C96A5F" w:rsidRDefault="00C96A5F" w:rsidP="00815142">
      <w:pPr>
        <w:spacing w:line="360" w:lineRule="auto"/>
        <w:jc w:val="center"/>
        <w:rPr>
          <w:rFonts w:ascii="Arial" w:hAnsi="Arial" w:cs="Arial"/>
          <w:sz w:val="28"/>
          <w:szCs w:val="28"/>
        </w:rPr>
      </w:pPr>
    </w:p>
    <w:p w14:paraId="4FB20448" w14:textId="7B5B2FAB" w:rsidR="00C96A5F" w:rsidRDefault="00C96A5F" w:rsidP="00815142">
      <w:pPr>
        <w:spacing w:line="360" w:lineRule="auto"/>
        <w:jc w:val="center"/>
        <w:rPr>
          <w:rFonts w:ascii="Arial" w:hAnsi="Arial" w:cs="Arial"/>
          <w:sz w:val="28"/>
          <w:szCs w:val="28"/>
        </w:rPr>
      </w:pPr>
    </w:p>
    <w:p w14:paraId="723D5CAF" w14:textId="5D79EC69" w:rsidR="00C96A5F" w:rsidRPr="001C7415" w:rsidRDefault="00C96A5F" w:rsidP="00C96A5F">
      <w:pPr>
        <w:spacing w:line="360" w:lineRule="auto"/>
        <w:rPr>
          <w:rFonts w:eastAsia="Times New Roman" w:cs="Times New Roman"/>
          <w:sz w:val="24"/>
          <w:szCs w:val="24"/>
        </w:rPr>
      </w:pPr>
      <w:r>
        <w:rPr>
          <w:rFonts w:ascii="Arial" w:hAnsi="Arial" w:cs="Arial"/>
          <w:sz w:val="20"/>
          <w:szCs w:val="20"/>
        </w:rPr>
        <w:t xml:space="preserve">                           </w:t>
      </w:r>
      <w:r w:rsidRPr="001C7415">
        <w:rPr>
          <w:rFonts w:eastAsia="Times New Roman" w:cs="Times New Roman"/>
          <w:sz w:val="24"/>
          <w:szCs w:val="24"/>
        </w:rPr>
        <w:t>Table 1: Number of participants providing direct costs, supplements costs or working hours data at each site</w:t>
      </w:r>
    </w:p>
    <w:p w14:paraId="7440BA70" w14:textId="77777777" w:rsidR="00C96A5F" w:rsidRPr="00815142" w:rsidRDefault="00C96A5F" w:rsidP="00815142">
      <w:pPr>
        <w:spacing w:line="360" w:lineRule="auto"/>
        <w:jc w:val="center"/>
        <w:rPr>
          <w:rFonts w:ascii="Arial" w:hAnsi="Arial" w:cs="Arial"/>
          <w:sz w:val="28"/>
          <w:szCs w:val="28"/>
        </w:rPr>
      </w:pPr>
    </w:p>
    <w:p w14:paraId="1AB145B7" w14:textId="57D6F813" w:rsidR="00274587" w:rsidRDefault="005747E3" w:rsidP="00735959">
      <w:pPr>
        <w:spacing w:line="360" w:lineRule="auto"/>
        <w:rPr>
          <w:rFonts w:ascii="Arial" w:hAnsi="Arial" w:cs="Arial"/>
        </w:rPr>
      </w:pPr>
      <w:proofErr w:type="spellStart"/>
      <w:r>
        <w:rPr>
          <w:rFonts w:ascii="Arial" w:hAnsi="Arial" w:cs="Arial"/>
        </w:rPr>
        <w:lastRenderedPageBreak/>
        <w:t>i</w:t>
      </w:r>
      <w:proofErr w:type="spellEnd"/>
      <w:r>
        <w:rPr>
          <w:rFonts w:ascii="Arial" w:hAnsi="Arial" w:cs="Arial"/>
        </w:rPr>
        <w:t>)</w:t>
      </w:r>
      <w:r w:rsidR="00A92FE3" w:rsidRPr="00A92FE3">
        <w:rPr>
          <w:noProof/>
        </w:rPr>
        <w:t xml:space="preserve"> </w:t>
      </w:r>
      <w:r w:rsidR="00A92FE3">
        <w:rPr>
          <w:noProof/>
          <w:lang w:eastAsia="en-GB"/>
        </w:rPr>
        <w:drawing>
          <wp:inline distT="0" distB="0" distL="0" distR="0" wp14:anchorId="2DFDA5DE" wp14:editId="4D8A79F8">
            <wp:extent cx="3858094" cy="26193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64845" cy="2623958"/>
                    </a:xfrm>
                    <a:prstGeom prst="rect">
                      <a:avLst/>
                    </a:prstGeom>
                  </pic:spPr>
                </pic:pic>
              </a:graphicData>
            </a:graphic>
          </wp:inline>
        </w:drawing>
      </w:r>
      <w:r w:rsidRPr="005747E3">
        <w:rPr>
          <w:noProof/>
        </w:rPr>
        <w:t xml:space="preserve"> </w:t>
      </w:r>
      <w:r>
        <w:rPr>
          <w:noProof/>
        </w:rPr>
        <w:t xml:space="preserve">  ii) </w:t>
      </w:r>
      <w:r w:rsidR="00A92FE3">
        <w:rPr>
          <w:noProof/>
          <w:lang w:eastAsia="en-GB"/>
        </w:rPr>
        <w:drawing>
          <wp:inline distT="0" distB="0" distL="0" distR="0" wp14:anchorId="71A2A078" wp14:editId="10A9CA87">
            <wp:extent cx="3867150" cy="26508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83593" cy="2662087"/>
                    </a:xfrm>
                    <a:prstGeom prst="rect">
                      <a:avLst/>
                    </a:prstGeom>
                  </pic:spPr>
                </pic:pic>
              </a:graphicData>
            </a:graphic>
          </wp:inline>
        </w:drawing>
      </w:r>
    </w:p>
    <w:p w14:paraId="6A3B76BA" w14:textId="762A5042" w:rsidR="00735959" w:rsidRPr="00815142" w:rsidRDefault="00735959" w:rsidP="00735959">
      <w:pPr>
        <w:spacing w:line="360" w:lineRule="auto"/>
        <w:rPr>
          <w:rFonts w:eastAsia="Times New Roman" w:cs="Times New Roman"/>
          <w:sz w:val="24"/>
          <w:szCs w:val="24"/>
        </w:rPr>
      </w:pPr>
      <w:r w:rsidRPr="00815142">
        <w:rPr>
          <w:rFonts w:eastAsia="Times New Roman" w:cs="Times New Roman"/>
          <w:sz w:val="24"/>
          <w:szCs w:val="24"/>
        </w:rPr>
        <w:t>Fig</w:t>
      </w:r>
      <w:r w:rsidR="00264980">
        <w:rPr>
          <w:rFonts w:eastAsia="Times New Roman" w:cs="Times New Roman"/>
          <w:sz w:val="24"/>
          <w:szCs w:val="24"/>
        </w:rPr>
        <w:t>ure</w:t>
      </w:r>
      <w:r w:rsidRPr="00815142">
        <w:rPr>
          <w:rFonts w:eastAsia="Times New Roman" w:cs="Times New Roman"/>
          <w:sz w:val="24"/>
          <w:szCs w:val="24"/>
        </w:rPr>
        <w:t xml:space="preserve"> 1 Health System cost per </w:t>
      </w:r>
      <w:r w:rsidR="006C457B">
        <w:rPr>
          <w:rFonts w:eastAsia="Times New Roman" w:cs="Times New Roman"/>
          <w:sz w:val="24"/>
          <w:szCs w:val="24"/>
        </w:rPr>
        <w:t>participant</w:t>
      </w:r>
      <w:r w:rsidRPr="00815142">
        <w:rPr>
          <w:rFonts w:eastAsia="Times New Roman" w:cs="Times New Roman"/>
          <w:sz w:val="24"/>
          <w:szCs w:val="24"/>
        </w:rPr>
        <w:t xml:space="preserve"> of treating MDR-TB in </w:t>
      </w:r>
      <w:proofErr w:type="spellStart"/>
      <w:r w:rsidRPr="00815142">
        <w:rPr>
          <w:rFonts w:eastAsia="Times New Roman" w:cs="Times New Roman"/>
          <w:sz w:val="24"/>
          <w:szCs w:val="24"/>
        </w:rPr>
        <w:t>i</w:t>
      </w:r>
      <w:proofErr w:type="spellEnd"/>
      <w:r w:rsidRPr="00815142">
        <w:rPr>
          <w:rFonts w:eastAsia="Times New Roman" w:cs="Times New Roman"/>
          <w:sz w:val="24"/>
          <w:szCs w:val="24"/>
        </w:rPr>
        <w:t>) Ethiopia and ii) South Africa</w:t>
      </w:r>
    </w:p>
    <w:p w14:paraId="0646A8F2" w14:textId="77777777" w:rsidR="00735959" w:rsidRDefault="00735959" w:rsidP="00735959">
      <w:pPr>
        <w:spacing w:line="360" w:lineRule="auto"/>
        <w:rPr>
          <w:rFonts w:ascii="Arial" w:hAnsi="Arial" w:cs="Arial"/>
        </w:rPr>
      </w:pPr>
    </w:p>
    <w:p w14:paraId="5FCC0A8D" w14:textId="77777777" w:rsidR="00735959" w:rsidRDefault="00735959" w:rsidP="00735959">
      <w:pPr>
        <w:spacing w:line="360" w:lineRule="auto"/>
        <w:rPr>
          <w:rFonts w:ascii="Arial" w:hAnsi="Arial" w:cs="Arial"/>
        </w:rPr>
      </w:pPr>
    </w:p>
    <w:p w14:paraId="31BDBDBB" w14:textId="77777777" w:rsidR="00735959" w:rsidRDefault="00735959" w:rsidP="00735959">
      <w:pPr>
        <w:spacing w:line="360" w:lineRule="auto"/>
        <w:rPr>
          <w:rFonts w:ascii="Arial" w:hAnsi="Arial" w:cs="Arial"/>
        </w:rPr>
      </w:pPr>
    </w:p>
    <w:p w14:paraId="57248819" w14:textId="77777777" w:rsidR="00735959" w:rsidRDefault="00735959" w:rsidP="00735959">
      <w:pPr>
        <w:spacing w:line="360" w:lineRule="auto"/>
        <w:rPr>
          <w:rFonts w:ascii="Arial" w:hAnsi="Arial" w:cs="Arial"/>
        </w:rPr>
      </w:pPr>
    </w:p>
    <w:p w14:paraId="43BE6552" w14:textId="77777777" w:rsidR="00735959" w:rsidRDefault="00735959" w:rsidP="00735959">
      <w:pPr>
        <w:spacing w:line="360" w:lineRule="auto"/>
        <w:rPr>
          <w:rFonts w:ascii="Arial" w:hAnsi="Arial" w:cs="Arial"/>
        </w:rPr>
      </w:pPr>
    </w:p>
    <w:p w14:paraId="3050FF40" w14:textId="3C1AACD9" w:rsidR="00385C51" w:rsidRDefault="000F0D44" w:rsidP="00815142">
      <w:pPr>
        <w:spacing w:line="480" w:lineRule="auto"/>
        <w:rPr>
          <w:rFonts w:eastAsia="Times New Roman" w:cs="Times New Roman"/>
          <w:sz w:val="24"/>
          <w:szCs w:val="24"/>
        </w:rPr>
      </w:pPr>
      <w:r>
        <w:rPr>
          <w:noProof/>
          <w:lang w:eastAsia="en-GB"/>
        </w:rPr>
        <w:lastRenderedPageBreak/>
        <w:drawing>
          <wp:inline distT="0" distB="0" distL="0" distR="0" wp14:anchorId="6665CD55" wp14:editId="045F878E">
            <wp:extent cx="8863330" cy="436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63330" cy="4362450"/>
                    </a:xfrm>
                    <a:prstGeom prst="rect">
                      <a:avLst/>
                    </a:prstGeom>
                  </pic:spPr>
                </pic:pic>
              </a:graphicData>
            </a:graphic>
          </wp:inline>
        </w:drawing>
      </w:r>
    </w:p>
    <w:p w14:paraId="3D26D4FB" w14:textId="63183C32" w:rsidR="00735959" w:rsidRDefault="00735959" w:rsidP="006C457B">
      <w:pPr>
        <w:spacing w:line="480" w:lineRule="auto"/>
        <w:rPr>
          <w:rFonts w:ascii="Arial" w:hAnsi="Arial" w:cs="Arial"/>
        </w:rPr>
      </w:pPr>
      <w:r w:rsidRPr="00815142">
        <w:rPr>
          <w:rFonts w:eastAsia="Times New Roman" w:cs="Times New Roman"/>
          <w:sz w:val="24"/>
          <w:szCs w:val="24"/>
        </w:rPr>
        <w:t xml:space="preserve">Table </w:t>
      </w:r>
      <w:r w:rsidR="00DD19C1">
        <w:rPr>
          <w:rFonts w:eastAsia="Times New Roman" w:cs="Times New Roman"/>
          <w:sz w:val="24"/>
          <w:szCs w:val="24"/>
        </w:rPr>
        <w:t>2</w:t>
      </w:r>
      <w:r w:rsidRPr="00815142">
        <w:rPr>
          <w:rFonts w:eastAsia="Times New Roman" w:cs="Times New Roman"/>
          <w:sz w:val="24"/>
          <w:szCs w:val="24"/>
        </w:rPr>
        <w:t>: Health system costs and break down of incremental cost saving in South Africa and Ethiopia</w:t>
      </w:r>
      <w:r w:rsidR="00CA37AE">
        <w:rPr>
          <w:rFonts w:eastAsia="Times New Roman" w:cs="Times New Roman"/>
          <w:sz w:val="24"/>
          <w:szCs w:val="24"/>
        </w:rPr>
        <w:t xml:space="preserve"> (US$)</w:t>
      </w:r>
      <w:r w:rsidR="00F03B70">
        <w:rPr>
          <w:rFonts w:eastAsia="Times New Roman" w:cs="Times New Roman"/>
          <w:sz w:val="24"/>
          <w:szCs w:val="24"/>
        </w:rPr>
        <w:t>. The zero social-</w:t>
      </w:r>
      <w:r w:rsidR="00D84918">
        <w:rPr>
          <w:rFonts w:eastAsia="Times New Roman" w:cs="Times New Roman"/>
          <w:sz w:val="24"/>
          <w:szCs w:val="24"/>
        </w:rPr>
        <w:t>support cost for South Africa refers only to support funded by the health system.</w:t>
      </w:r>
      <w:r w:rsidR="008A6BCF">
        <w:rPr>
          <w:rFonts w:eastAsia="Times New Roman" w:cs="Times New Roman"/>
          <w:sz w:val="24"/>
          <w:szCs w:val="24"/>
        </w:rPr>
        <w:t xml:space="preserve"> (Amounts in brackets are negative and represent dis</w:t>
      </w:r>
      <w:r w:rsidR="00141C02">
        <w:rPr>
          <w:rFonts w:eastAsia="Times New Roman" w:cs="Times New Roman"/>
          <w:sz w:val="24"/>
          <w:szCs w:val="24"/>
        </w:rPr>
        <w:t>-</w:t>
      </w:r>
      <w:r w:rsidR="008A6BCF">
        <w:rPr>
          <w:rFonts w:eastAsia="Times New Roman" w:cs="Times New Roman"/>
          <w:sz w:val="24"/>
          <w:szCs w:val="24"/>
        </w:rPr>
        <w:t xml:space="preserve">savings). </w:t>
      </w:r>
    </w:p>
    <w:p w14:paraId="15C57FBF" w14:textId="71D40607" w:rsidR="00735959" w:rsidRDefault="00735959" w:rsidP="00735959">
      <w:pPr>
        <w:spacing w:line="360" w:lineRule="auto"/>
        <w:rPr>
          <w:rFonts w:ascii="Arial" w:hAnsi="Arial" w:cs="Arial"/>
        </w:rPr>
      </w:pPr>
    </w:p>
    <w:p w14:paraId="54C27EB4" w14:textId="3B84737D" w:rsidR="00735959" w:rsidRPr="008D576F" w:rsidRDefault="00FA4ED8" w:rsidP="00815142">
      <w:pPr>
        <w:spacing w:line="480" w:lineRule="auto"/>
        <w:rPr>
          <w:rFonts w:ascii="Arial" w:hAnsi="Arial" w:cs="Arial"/>
        </w:rPr>
      </w:pPr>
      <w:r w:rsidRPr="00FA4ED8">
        <w:rPr>
          <w:noProof/>
        </w:rPr>
        <w:lastRenderedPageBreak/>
        <w:t xml:space="preserve"> </w:t>
      </w:r>
      <w:r w:rsidR="002654DA" w:rsidRPr="002654DA">
        <w:rPr>
          <w:noProof/>
        </w:rPr>
        <w:t xml:space="preserve"> </w:t>
      </w:r>
      <w:r w:rsidR="0044619F" w:rsidRPr="0044619F">
        <w:rPr>
          <w:noProof/>
        </w:rPr>
        <w:t xml:space="preserve"> </w:t>
      </w:r>
      <w:r w:rsidR="0044619F">
        <w:rPr>
          <w:noProof/>
          <w:lang w:eastAsia="en-GB"/>
        </w:rPr>
        <w:drawing>
          <wp:inline distT="0" distB="0" distL="0" distR="0" wp14:anchorId="2261DF31" wp14:editId="46BDA306">
            <wp:extent cx="6699250" cy="3619500"/>
            <wp:effectExtent l="0" t="0" r="6350" b="0"/>
            <wp:docPr id="1" name="Chart 1">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83A1B2" w14:textId="2AE36DCE" w:rsidR="00735959" w:rsidRDefault="00735959" w:rsidP="00815142">
      <w:pPr>
        <w:spacing w:line="480" w:lineRule="auto"/>
        <w:rPr>
          <w:rFonts w:eastAsia="Times New Roman" w:cs="Times New Roman"/>
          <w:sz w:val="24"/>
          <w:szCs w:val="24"/>
        </w:rPr>
      </w:pPr>
      <w:r w:rsidRPr="00815142">
        <w:rPr>
          <w:rFonts w:eastAsia="Times New Roman" w:cs="Times New Roman"/>
          <w:sz w:val="24"/>
          <w:szCs w:val="24"/>
        </w:rPr>
        <w:t>Figure 2</w:t>
      </w:r>
      <w:r w:rsidR="00926314" w:rsidRPr="00815142">
        <w:rPr>
          <w:rFonts w:eastAsia="Times New Roman" w:cs="Times New Roman"/>
          <w:sz w:val="24"/>
          <w:szCs w:val="24"/>
        </w:rPr>
        <w:t>.</w:t>
      </w:r>
      <w:r w:rsidRPr="00815142">
        <w:rPr>
          <w:rFonts w:eastAsia="Times New Roman" w:cs="Times New Roman"/>
          <w:sz w:val="24"/>
          <w:szCs w:val="24"/>
        </w:rPr>
        <w:t xml:space="preserve"> </w:t>
      </w:r>
      <w:r w:rsidR="0040578A">
        <w:rPr>
          <w:rFonts w:eastAsia="Times New Roman" w:cs="Times New Roman"/>
          <w:sz w:val="24"/>
          <w:szCs w:val="24"/>
        </w:rPr>
        <w:t>Cumulative supplementary food purchases in</w:t>
      </w:r>
      <w:r w:rsidRPr="00815142">
        <w:rPr>
          <w:rFonts w:eastAsia="Times New Roman" w:cs="Times New Roman"/>
          <w:sz w:val="24"/>
          <w:szCs w:val="24"/>
        </w:rPr>
        <w:t xml:space="preserve"> </w:t>
      </w:r>
      <w:r w:rsidR="0040578A">
        <w:rPr>
          <w:rFonts w:eastAsia="Times New Roman" w:cs="Times New Roman"/>
          <w:sz w:val="24"/>
          <w:szCs w:val="24"/>
        </w:rPr>
        <w:t>Long</w:t>
      </w:r>
      <w:r w:rsidR="0040578A" w:rsidRPr="00815142">
        <w:rPr>
          <w:rFonts w:eastAsia="Times New Roman" w:cs="Times New Roman"/>
          <w:sz w:val="24"/>
          <w:szCs w:val="24"/>
        </w:rPr>
        <w:t xml:space="preserve"> </w:t>
      </w:r>
      <w:r w:rsidRPr="00B25397">
        <w:rPr>
          <w:rFonts w:eastAsia="Times New Roman" w:cs="Times New Roman"/>
          <w:i/>
          <w:sz w:val="24"/>
          <w:szCs w:val="24"/>
        </w:rPr>
        <w:t>vs</w:t>
      </w:r>
      <w:r w:rsidRPr="00815142">
        <w:rPr>
          <w:rFonts w:eastAsia="Times New Roman" w:cs="Times New Roman"/>
          <w:sz w:val="24"/>
          <w:szCs w:val="24"/>
        </w:rPr>
        <w:t xml:space="preserve"> </w:t>
      </w:r>
      <w:r w:rsidR="0040578A">
        <w:rPr>
          <w:rFonts w:eastAsia="Times New Roman" w:cs="Times New Roman"/>
          <w:sz w:val="24"/>
          <w:szCs w:val="24"/>
        </w:rPr>
        <w:t xml:space="preserve">Short </w:t>
      </w:r>
      <w:r w:rsidR="007F778A" w:rsidRPr="00815142">
        <w:rPr>
          <w:rFonts w:eastAsia="Times New Roman" w:cs="Times New Roman"/>
          <w:sz w:val="24"/>
          <w:szCs w:val="24"/>
        </w:rPr>
        <w:t>r</w:t>
      </w:r>
      <w:r w:rsidRPr="00815142">
        <w:rPr>
          <w:rFonts w:eastAsia="Times New Roman" w:cs="Times New Roman"/>
          <w:sz w:val="24"/>
          <w:szCs w:val="24"/>
        </w:rPr>
        <w:t xml:space="preserve">egimen in Ethiopia. </w:t>
      </w:r>
      <w:r w:rsidR="0028721E" w:rsidRPr="00815142">
        <w:rPr>
          <w:rFonts w:eastAsia="Times New Roman" w:cs="Times New Roman"/>
          <w:sz w:val="24"/>
          <w:szCs w:val="24"/>
        </w:rPr>
        <w:t>The vertical lines represent the treatment completion</w:t>
      </w:r>
      <w:r w:rsidR="0040578A">
        <w:rPr>
          <w:rFonts w:eastAsia="Times New Roman" w:cs="Times New Roman"/>
          <w:sz w:val="24"/>
          <w:szCs w:val="24"/>
        </w:rPr>
        <w:t xml:space="preserve"> points</w:t>
      </w:r>
      <w:r w:rsidR="00815142">
        <w:rPr>
          <w:rFonts w:eastAsia="Times New Roman" w:cs="Times New Roman"/>
          <w:sz w:val="24"/>
          <w:szCs w:val="24"/>
        </w:rPr>
        <w:t xml:space="preserve"> in the two regimens</w:t>
      </w:r>
      <w:r w:rsidR="0028721E" w:rsidRPr="00815142">
        <w:rPr>
          <w:rFonts w:eastAsia="Times New Roman" w:cs="Times New Roman"/>
          <w:sz w:val="24"/>
          <w:szCs w:val="24"/>
        </w:rPr>
        <w:t xml:space="preserve">. </w:t>
      </w:r>
      <w:r w:rsidR="00EC685E">
        <w:rPr>
          <w:rFonts w:eastAsia="Times New Roman" w:cs="Times New Roman"/>
          <w:sz w:val="24"/>
          <w:szCs w:val="24"/>
        </w:rPr>
        <w:t>Treatment completion in the Short</w:t>
      </w:r>
      <w:r w:rsidR="00851075">
        <w:rPr>
          <w:rFonts w:eastAsia="Times New Roman" w:cs="Times New Roman"/>
          <w:sz w:val="24"/>
          <w:szCs w:val="24"/>
        </w:rPr>
        <w:t>-</w:t>
      </w:r>
      <w:r w:rsidR="00EC685E">
        <w:rPr>
          <w:rFonts w:eastAsia="Times New Roman" w:cs="Times New Roman"/>
          <w:sz w:val="24"/>
          <w:szCs w:val="24"/>
        </w:rPr>
        <w:t>regimen</w:t>
      </w:r>
      <w:r w:rsidR="0028721E" w:rsidRPr="00815142">
        <w:rPr>
          <w:rFonts w:eastAsia="Times New Roman" w:cs="Times New Roman"/>
          <w:sz w:val="24"/>
          <w:szCs w:val="24"/>
        </w:rPr>
        <w:t>, is around 40 weeks, but the nearest data collection point</w:t>
      </w:r>
      <w:r w:rsidR="00FA4ED8">
        <w:rPr>
          <w:rFonts w:eastAsia="Times New Roman" w:cs="Times New Roman"/>
          <w:sz w:val="24"/>
          <w:szCs w:val="24"/>
        </w:rPr>
        <w:t xml:space="preserve"> after treatment completion</w:t>
      </w:r>
      <w:r w:rsidR="0028721E" w:rsidRPr="00815142">
        <w:rPr>
          <w:rFonts w:eastAsia="Times New Roman" w:cs="Times New Roman"/>
          <w:sz w:val="24"/>
          <w:szCs w:val="24"/>
        </w:rPr>
        <w:t xml:space="preserve"> is at week </w:t>
      </w:r>
      <w:r w:rsidR="00FA4ED8">
        <w:rPr>
          <w:rFonts w:eastAsia="Times New Roman" w:cs="Times New Roman"/>
          <w:sz w:val="24"/>
          <w:szCs w:val="24"/>
        </w:rPr>
        <w:t>48</w:t>
      </w:r>
      <w:r w:rsidR="0028721E" w:rsidRPr="00815142">
        <w:rPr>
          <w:rFonts w:eastAsia="Times New Roman" w:cs="Times New Roman"/>
          <w:sz w:val="24"/>
          <w:szCs w:val="24"/>
        </w:rPr>
        <w:t>. The Long</w:t>
      </w:r>
      <w:r w:rsidR="00851075">
        <w:rPr>
          <w:rFonts w:eastAsia="Times New Roman" w:cs="Times New Roman"/>
          <w:sz w:val="24"/>
          <w:szCs w:val="24"/>
        </w:rPr>
        <w:t>-</w:t>
      </w:r>
      <w:r w:rsidR="0028721E" w:rsidRPr="00815142">
        <w:rPr>
          <w:rFonts w:eastAsia="Times New Roman" w:cs="Times New Roman"/>
          <w:sz w:val="24"/>
          <w:szCs w:val="24"/>
        </w:rPr>
        <w:t xml:space="preserve">regimen completion is around 86 weeks, but the nearest data collection point </w:t>
      </w:r>
      <w:r w:rsidR="00FA4ED8">
        <w:rPr>
          <w:rFonts w:eastAsia="Times New Roman" w:cs="Times New Roman"/>
          <w:sz w:val="24"/>
          <w:szCs w:val="24"/>
        </w:rPr>
        <w:t>after</w:t>
      </w:r>
      <w:r w:rsidR="00FA4ED8" w:rsidRPr="00815142">
        <w:rPr>
          <w:rFonts w:eastAsia="Times New Roman" w:cs="Times New Roman"/>
          <w:sz w:val="24"/>
          <w:szCs w:val="24"/>
        </w:rPr>
        <w:t xml:space="preserve"> </w:t>
      </w:r>
      <w:r w:rsidR="0028721E" w:rsidRPr="00815142">
        <w:rPr>
          <w:rFonts w:eastAsia="Times New Roman" w:cs="Times New Roman"/>
          <w:sz w:val="24"/>
          <w:szCs w:val="24"/>
        </w:rPr>
        <w:t xml:space="preserve">this is at </w:t>
      </w:r>
      <w:r w:rsidR="00FA4ED8">
        <w:rPr>
          <w:rFonts w:eastAsia="Times New Roman" w:cs="Times New Roman"/>
          <w:sz w:val="24"/>
          <w:szCs w:val="24"/>
        </w:rPr>
        <w:t>96</w:t>
      </w:r>
      <w:r w:rsidR="00FA4ED8" w:rsidRPr="00815142">
        <w:rPr>
          <w:rFonts w:eastAsia="Times New Roman" w:cs="Times New Roman"/>
          <w:sz w:val="24"/>
          <w:szCs w:val="24"/>
        </w:rPr>
        <w:t xml:space="preserve"> </w:t>
      </w:r>
      <w:r w:rsidR="0028721E" w:rsidRPr="00815142">
        <w:rPr>
          <w:rFonts w:eastAsia="Times New Roman" w:cs="Times New Roman"/>
          <w:sz w:val="24"/>
          <w:szCs w:val="24"/>
        </w:rPr>
        <w:t xml:space="preserve">weeks. </w:t>
      </w:r>
    </w:p>
    <w:p w14:paraId="1F29A6A3" w14:textId="34469351" w:rsidR="0044619F" w:rsidRDefault="0044619F" w:rsidP="00815142">
      <w:pPr>
        <w:spacing w:line="480" w:lineRule="auto"/>
        <w:rPr>
          <w:rFonts w:ascii="Arial" w:hAnsi="Arial" w:cs="Arial"/>
          <w:i/>
          <w:iCs/>
          <w:color w:val="222222"/>
          <w:sz w:val="21"/>
          <w:szCs w:val="21"/>
          <w:shd w:val="clear" w:color="auto" w:fill="FFFFFF"/>
        </w:rPr>
      </w:pPr>
      <w:r>
        <w:rPr>
          <w:noProof/>
          <w:lang w:eastAsia="en-GB"/>
        </w:rPr>
        <w:lastRenderedPageBreak/>
        <mc:AlternateContent>
          <mc:Choice Requires="wps">
            <w:drawing>
              <wp:anchor distT="0" distB="0" distL="114300" distR="114300" simplePos="0" relativeHeight="251663360" behindDoc="0" locked="0" layoutInCell="1" allowOverlap="1" wp14:anchorId="7A1F79C5" wp14:editId="128E4BC4">
                <wp:simplePos x="0" y="0"/>
                <wp:positionH relativeFrom="margin">
                  <wp:align>left</wp:align>
                </wp:positionH>
                <wp:positionV relativeFrom="paragraph">
                  <wp:posOffset>313055</wp:posOffset>
                </wp:positionV>
                <wp:extent cx="228600" cy="21907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28600" cy="219075"/>
                        </a:xfrm>
                        <a:prstGeom prst="rect">
                          <a:avLst/>
                        </a:prstGeom>
                        <a:noFill/>
                        <a:ln w="6350">
                          <a:noFill/>
                        </a:ln>
                      </wps:spPr>
                      <wps:txbx>
                        <w:txbxContent>
                          <w:p w14:paraId="347FC927" w14:textId="77777777" w:rsidR="005F4AE6" w:rsidRPr="00791A6F" w:rsidRDefault="005F4AE6" w:rsidP="007C59FD">
                            <w:pPr>
                              <w:spacing w:line="480" w:lineRule="auto"/>
                              <w:rPr>
                                <w:rFonts w:ascii="Arial" w:hAnsi="Arial" w:cs="Arial"/>
                                <w:i/>
                                <w:iCs/>
                                <w:color w:val="222222"/>
                                <w:sz w:val="21"/>
                                <w:szCs w:val="21"/>
                                <w:shd w:val="clear" w:color="auto" w:fill="FFFFFF"/>
                                <w:vertAlign w:val="superscript"/>
                              </w:rPr>
                            </w:pPr>
                            <w:r w:rsidRPr="00791A6F">
                              <w:rPr>
                                <w:rFonts w:ascii="Arial" w:hAnsi="Arial" w:cs="Arial"/>
                                <w:i/>
                                <w:iCs/>
                                <w:color w:val="222222"/>
                                <w:sz w:val="21"/>
                                <w:szCs w:val="21"/>
                                <w:shd w:val="clear" w:color="auto" w:fill="FFFFFF"/>
                                <w:vertAlign w:val="superscrip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F79C5" id="_x0000_t202" coordsize="21600,21600" o:spt="202" path="m,l,21600r21600,l21600,xe">
                <v:stroke joinstyle="miter"/>
                <v:path gradientshapeok="t" o:connecttype="rect"/>
              </v:shapetype>
              <v:shape id="Text Box 7" o:spid="_x0000_s1026" type="#_x0000_t202" style="position:absolute;margin-left:0;margin-top:24.65pt;width:18pt;height:17.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" filled="f" stroked="f" strokeweight=".5pt">
                <v:textbox>
                  <w:txbxContent>
                    <w:p w14:paraId="347FC927" w14:textId="77777777" w:rsidR="005F4AE6" w:rsidRPr="00791A6F" w:rsidRDefault="005F4AE6" w:rsidP="007C59FD">
                      <w:pPr>
                        <w:spacing w:line="480" w:lineRule="auto"/>
                        <w:rPr>
                          <w:rFonts w:ascii="Arial" w:hAnsi="Arial" w:cs="Arial"/>
                          <w:i/>
                          <w:iCs/>
                          <w:color w:val="222222"/>
                          <w:sz w:val="21"/>
                          <w:szCs w:val="21"/>
                          <w:shd w:val="clear" w:color="auto" w:fill="FFFFFF"/>
                          <w:vertAlign w:val="superscript"/>
                        </w:rPr>
                      </w:pPr>
                      <w:r w:rsidRPr="00791A6F">
                        <w:rPr>
                          <w:rFonts w:ascii="Arial" w:hAnsi="Arial" w:cs="Arial"/>
                          <w:i/>
                          <w:iCs/>
                          <w:color w:val="222222"/>
                          <w:sz w:val="21"/>
                          <w:szCs w:val="21"/>
                          <w:shd w:val="clear" w:color="auto" w:fill="FFFFFF"/>
                          <w:vertAlign w:val="superscript"/>
                        </w:rPr>
                        <w:t>†</w:t>
                      </w:r>
                    </w:p>
                  </w:txbxContent>
                </v:textbox>
                <w10:wrap type="square" anchorx="margin"/>
              </v:shape>
            </w:pict>
          </mc:Fallback>
        </mc:AlternateContent>
      </w:r>
    </w:p>
    <w:p w14:paraId="75033FA5" w14:textId="19DFA841" w:rsidR="00DB5B13" w:rsidRPr="00DB5B13" w:rsidRDefault="003C1D21" w:rsidP="00815142">
      <w:pPr>
        <w:spacing w:line="480" w:lineRule="auto"/>
        <w:rPr>
          <w:rFonts w:eastAsia="Times New Roman" w:cs="Times New Roman"/>
          <w:sz w:val="24"/>
          <w:szCs w:val="24"/>
        </w:rPr>
      </w:pPr>
      <w:r>
        <w:rPr>
          <w:rFonts w:ascii="Arial" w:hAnsi="Arial" w:cs="Arial"/>
          <w:i/>
          <w:iCs/>
          <w:color w:val="222222"/>
          <w:sz w:val="21"/>
          <w:szCs w:val="21"/>
          <w:shd w:val="clear" w:color="auto" w:fill="FFFFFF"/>
        </w:rPr>
        <w:t>Supplementary food expenditure data was not collected at week 0.</w:t>
      </w:r>
    </w:p>
    <w:p w14:paraId="0F9F39F5" w14:textId="4ED01410" w:rsidR="00DB5B13" w:rsidRPr="00815142" w:rsidRDefault="00DB5B13" w:rsidP="00815142">
      <w:pPr>
        <w:spacing w:line="480" w:lineRule="auto"/>
        <w:rPr>
          <w:rFonts w:eastAsia="Times New Roman" w:cs="Times New Roman"/>
          <w:sz w:val="24"/>
          <w:szCs w:val="24"/>
        </w:rPr>
      </w:pPr>
    </w:p>
    <w:p w14:paraId="0FC3942A" w14:textId="1A576DAF" w:rsidR="002002F0" w:rsidRDefault="002002F0" w:rsidP="00735959">
      <w:pPr>
        <w:spacing w:line="360" w:lineRule="auto"/>
        <w:rPr>
          <w:rFonts w:ascii="Arial" w:hAnsi="Arial" w:cs="Arial"/>
        </w:rPr>
      </w:pPr>
    </w:p>
    <w:p w14:paraId="764858ED" w14:textId="6497D756" w:rsidR="002002F0" w:rsidRDefault="00141C02" w:rsidP="00735959">
      <w:pPr>
        <w:spacing w:line="360" w:lineRule="auto"/>
        <w:rPr>
          <w:rFonts w:ascii="Arial" w:hAnsi="Arial" w:cs="Arial"/>
        </w:rPr>
      </w:pPr>
      <w:r>
        <w:rPr>
          <w:noProof/>
          <w:lang w:eastAsia="en-GB"/>
        </w:rPr>
        <mc:AlternateContent>
          <mc:Choice Requires="wps">
            <w:drawing>
              <wp:anchor distT="0" distB="0" distL="114300" distR="114300" simplePos="0" relativeHeight="251665408" behindDoc="0" locked="0" layoutInCell="1" allowOverlap="1" wp14:anchorId="2BD4B0FD" wp14:editId="3D78D7B6">
                <wp:simplePos x="0" y="0"/>
                <wp:positionH relativeFrom="column">
                  <wp:posOffset>2295525</wp:posOffset>
                </wp:positionH>
                <wp:positionV relativeFrom="paragraph">
                  <wp:posOffset>462914</wp:posOffset>
                </wp:positionV>
                <wp:extent cx="19050" cy="2289175"/>
                <wp:effectExtent l="19050" t="19050" r="19050" b="15875"/>
                <wp:wrapNone/>
                <wp:docPr id="11" name="Straight Connector 1"/>
                <wp:cNvGraphicFramePr/>
                <a:graphic xmlns:a="http://schemas.openxmlformats.org/drawingml/2006/main">
                  <a:graphicData uri="http://schemas.microsoft.com/office/word/2010/wordprocessingShape">
                    <wps:wsp>
                      <wps:cNvCnPr/>
                      <wps:spPr>
                        <a:xfrm flipH="1" flipV="1">
                          <a:off x="0" y="0"/>
                          <a:ext cx="19050" cy="22891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4F366" id="Straight Connector 1"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75pt,36.45pt" to="182.25pt,2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" strokecolor="black [3200]" strokeweight="2.25pt">
                <v:stroke joinstyle="miter"/>
              </v:line>
            </w:pict>
          </mc:Fallback>
        </mc:AlternateContent>
      </w:r>
      <w:r>
        <w:rPr>
          <w:noProof/>
          <w:lang w:eastAsia="en-GB"/>
        </w:rPr>
        <mc:AlternateContent>
          <mc:Choice Requires="wps">
            <w:drawing>
              <wp:anchor distT="0" distB="0" distL="114300" distR="114300" simplePos="0" relativeHeight="251661312" behindDoc="0" locked="0" layoutInCell="1" allowOverlap="1" wp14:anchorId="2E3D729C" wp14:editId="161F4949">
                <wp:simplePos x="0" y="0"/>
                <wp:positionH relativeFrom="column">
                  <wp:posOffset>1523999</wp:posOffset>
                </wp:positionH>
                <wp:positionV relativeFrom="paragraph">
                  <wp:posOffset>462915</wp:posOffset>
                </wp:positionV>
                <wp:extent cx="9525" cy="2298700"/>
                <wp:effectExtent l="19050" t="19050" r="28575" b="6350"/>
                <wp:wrapNone/>
                <wp:docPr id="4" name="Straight Connector 1"/>
                <wp:cNvGraphicFramePr/>
                <a:graphic xmlns:a="http://schemas.openxmlformats.org/drawingml/2006/main">
                  <a:graphicData uri="http://schemas.microsoft.com/office/word/2010/wordprocessingShape">
                    <wps:wsp>
                      <wps:cNvCnPr/>
                      <wps:spPr>
                        <a:xfrm flipH="1" flipV="1">
                          <a:off x="0" y="0"/>
                          <a:ext cx="9525" cy="22987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B7B5B" id="Straight Connector 1"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pt,36.45pt" to="120.75pt,2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" strokecolor="black [3200]" strokeweight="2.25pt">
                <v:stroke joinstyle="miter"/>
              </v:line>
            </w:pict>
          </mc:Fallback>
        </mc:AlternateContent>
      </w:r>
      <w:r w:rsidR="00CC33A4" w:rsidRPr="00CC33A4">
        <w:rPr>
          <w:noProof/>
        </w:rPr>
        <w:t xml:space="preserve"> </w:t>
      </w:r>
      <w:r>
        <w:rPr>
          <w:noProof/>
          <w:lang w:eastAsia="en-GB"/>
        </w:rPr>
        <w:drawing>
          <wp:inline distT="0" distB="0" distL="0" distR="0" wp14:anchorId="1CAFD2AB" wp14:editId="2D467CA4">
            <wp:extent cx="6448425" cy="3619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48425" cy="3619500"/>
                    </a:xfrm>
                    <a:prstGeom prst="rect">
                      <a:avLst/>
                    </a:prstGeom>
                  </pic:spPr>
                </pic:pic>
              </a:graphicData>
            </a:graphic>
          </wp:inline>
        </w:drawing>
      </w:r>
    </w:p>
    <w:p w14:paraId="4C7464F9" w14:textId="302CE4E5" w:rsidR="00735959" w:rsidRDefault="00735959" w:rsidP="00957BBC">
      <w:pPr>
        <w:spacing w:line="480" w:lineRule="auto"/>
        <w:rPr>
          <w:rFonts w:eastAsia="Times New Roman" w:cs="Times New Roman"/>
          <w:sz w:val="24"/>
          <w:szCs w:val="24"/>
        </w:rPr>
      </w:pPr>
      <w:r w:rsidRPr="00815142">
        <w:rPr>
          <w:rFonts w:eastAsia="Times New Roman" w:cs="Times New Roman"/>
          <w:sz w:val="24"/>
          <w:szCs w:val="24"/>
        </w:rPr>
        <w:lastRenderedPageBreak/>
        <w:t>Fig</w:t>
      </w:r>
      <w:r w:rsidR="00264980">
        <w:rPr>
          <w:rFonts w:eastAsia="Times New Roman" w:cs="Times New Roman"/>
          <w:sz w:val="24"/>
          <w:szCs w:val="24"/>
        </w:rPr>
        <w:t>ure</w:t>
      </w:r>
      <w:r w:rsidRPr="00815142">
        <w:rPr>
          <w:rFonts w:eastAsia="Times New Roman" w:cs="Times New Roman"/>
          <w:sz w:val="24"/>
          <w:szCs w:val="24"/>
        </w:rPr>
        <w:t xml:space="preserve"> 3: Proportion of </w:t>
      </w:r>
      <w:r w:rsidR="00373B92" w:rsidRPr="00815142">
        <w:rPr>
          <w:rFonts w:eastAsia="Times New Roman" w:cs="Times New Roman"/>
          <w:sz w:val="24"/>
          <w:szCs w:val="24"/>
        </w:rPr>
        <w:t xml:space="preserve">participants </w:t>
      </w:r>
      <w:r w:rsidRPr="00815142">
        <w:rPr>
          <w:rFonts w:eastAsia="Times New Roman" w:cs="Times New Roman"/>
          <w:sz w:val="24"/>
          <w:szCs w:val="24"/>
        </w:rPr>
        <w:t>working full-time (</w:t>
      </w:r>
      <w:r w:rsidR="00264980">
        <w:rPr>
          <w:rFonts w:eastAsia="Times New Roman" w:cstheme="minorHAnsi"/>
          <w:sz w:val="24"/>
          <w:szCs w:val="24"/>
        </w:rPr>
        <w:t>≥</w:t>
      </w:r>
      <w:r w:rsidRPr="00815142">
        <w:rPr>
          <w:rFonts w:eastAsia="Times New Roman" w:cs="Times New Roman"/>
          <w:sz w:val="24"/>
          <w:szCs w:val="24"/>
        </w:rPr>
        <w:t xml:space="preserve"> 8 hours per day) in Ethiopia</w:t>
      </w:r>
      <w:r w:rsidR="0028721E" w:rsidRPr="00815142">
        <w:rPr>
          <w:rFonts w:eastAsia="Times New Roman" w:cs="Times New Roman"/>
          <w:sz w:val="24"/>
          <w:szCs w:val="24"/>
        </w:rPr>
        <w:t xml:space="preserve">. The vertical </w:t>
      </w:r>
      <w:r w:rsidR="00926314" w:rsidRPr="00815142">
        <w:rPr>
          <w:rFonts w:eastAsia="Times New Roman" w:cs="Times New Roman"/>
          <w:sz w:val="24"/>
          <w:szCs w:val="24"/>
        </w:rPr>
        <w:t>line</w:t>
      </w:r>
      <w:r w:rsidR="004C5A17">
        <w:rPr>
          <w:rFonts w:eastAsia="Times New Roman" w:cs="Times New Roman"/>
          <w:sz w:val="24"/>
          <w:szCs w:val="24"/>
        </w:rPr>
        <w:t>s</w:t>
      </w:r>
      <w:r w:rsidR="0028721E" w:rsidRPr="00815142">
        <w:rPr>
          <w:rFonts w:eastAsia="Times New Roman" w:cs="Times New Roman"/>
          <w:sz w:val="24"/>
          <w:szCs w:val="24"/>
        </w:rPr>
        <w:t xml:space="preserve"> represent the </w:t>
      </w:r>
      <w:r w:rsidR="004C5A17">
        <w:rPr>
          <w:rFonts w:eastAsia="Times New Roman" w:cs="Times New Roman"/>
          <w:sz w:val="24"/>
          <w:szCs w:val="24"/>
        </w:rPr>
        <w:t>intensive phase end</w:t>
      </w:r>
      <w:r w:rsidR="0028721E" w:rsidRPr="00815142">
        <w:rPr>
          <w:rFonts w:eastAsia="Times New Roman" w:cs="Times New Roman"/>
          <w:sz w:val="24"/>
          <w:szCs w:val="24"/>
        </w:rPr>
        <w:t xml:space="preserve"> point</w:t>
      </w:r>
      <w:r w:rsidR="004C5A17">
        <w:rPr>
          <w:rFonts w:eastAsia="Times New Roman" w:cs="Times New Roman"/>
          <w:sz w:val="24"/>
          <w:szCs w:val="24"/>
        </w:rPr>
        <w:t>s</w:t>
      </w:r>
      <w:r w:rsidR="0028721E" w:rsidRPr="00815142">
        <w:rPr>
          <w:rFonts w:eastAsia="Times New Roman" w:cs="Times New Roman"/>
          <w:sz w:val="24"/>
          <w:szCs w:val="24"/>
        </w:rPr>
        <w:t xml:space="preserve"> </w:t>
      </w:r>
      <w:r w:rsidR="004C5A17">
        <w:rPr>
          <w:rFonts w:eastAsia="Times New Roman" w:cs="Times New Roman"/>
          <w:sz w:val="24"/>
          <w:szCs w:val="24"/>
        </w:rPr>
        <w:t>for Short (at 16 weeks) and Long (at 32 weeks) regimens</w:t>
      </w:r>
      <w:r w:rsidR="00F30374">
        <w:rPr>
          <w:rFonts w:eastAsia="Times New Roman" w:cs="Times New Roman"/>
          <w:sz w:val="24"/>
          <w:szCs w:val="24"/>
        </w:rPr>
        <w:t xml:space="preserve">.  </w:t>
      </w:r>
      <w:r w:rsidR="003C44DF" w:rsidRPr="00E57D3B">
        <w:rPr>
          <w:sz w:val="24"/>
          <w:szCs w:val="24"/>
        </w:rPr>
        <w:t xml:space="preserve">All </w:t>
      </w:r>
      <w:r w:rsidR="006C457B">
        <w:rPr>
          <w:sz w:val="24"/>
          <w:szCs w:val="24"/>
        </w:rPr>
        <w:t>participant</w:t>
      </w:r>
      <w:r w:rsidR="003C44DF" w:rsidRPr="00E57D3B">
        <w:rPr>
          <w:sz w:val="24"/>
          <w:szCs w:val="24"/>
        </w:rPr>
        <w:t>s were hospitali</w:t>
      </w:r>
      <w:r w:rsidR="00534EC1">
        <w:rPr>
          <w:sz w:val="24"/>
          <w:szCs w:val="24"/>
        </w:rPr>
        <w:t>s</w:t>
      </w:r>
      <w:r w:rsidR="003C44DF" w:rsidRPr="00E57D3B">
        <w:rPr>
          <w:sz w:val="24"/>
          <w:szCs w:val="24"/>
        </w:rPr>
        <w:t>ed at randomisation</w:t>
      </w:r>
      <w:r w:rsidR="003C1D21">
        <w:rPr>
          <w:rFonts w:eastAsia="Times New Roman" w:cs="Times New Roman"/>
          <w:sz w:val="24"/>
          <w:szCs w:val="24"/>
        </w:rPr>
        <w:t>.</w:t>
      </w:r>
    </w:p>
    <w:p w14:paraId="73DEC31C" w14:textId="4777F3CB" w:rsidR="003C1D21" w:rsidRPr="003C1D21" w:rsidRDefault="003C1D21" w:rsidP="00957BBC">
      <w:pPr>
        <w:spacing w:line="480" w:lineRule="auto"/>
        <w:rPr>
          <w:rFonts w:eastAsia="Times New Roman" w:cs="Times New Roman"/>
          <w:sz w:val="24"/>
          <w:szCs w:val="24"/>
        </w:rPr>
      </w:pPr>
      <w:r w:rsidRPr="003E09CF">
        <w:rPr>
          <w:rFonts w:ascii="Arial" w:hAnsi="Arial" w:cs="Arial"/>
          <w:i/>
          <w:iCs/>
          <w:color w:val="222222"/>
          <w:sz w:val="21"/>
          <w:szCs w:val="21"/>
          <w:shd w:val="clear" w:color="auto" w:fill="FFFFFF"/>
          <w:vertAlign w:val="superscript"/>
        </w:rPr>
        <w:t xml:space="preserve">‡ </w:t>
      </w:r>
      <w:r w:rsidRPr="003E09CF">
        <w:rPr>
          <w:rFonts w:ascii="Arial" w:hAnsi="Arial" w:cs="Arial"/>
          <w:i/>
          <w:iCs/>
          <w:color w:val="222222"/>
          <w:sz w:val="21"/>
          <w:szCs w:val="21"/>
          <w:shd w:val="clear" w:color="auto" w:fill="FFFFFF"/>
        </w:rPr>
        <w:t>i</w:t>
      </w:r>
      <w:r>
        <w:rPr>
          <w:rFonts w:ascii="Arial" w:hAnsi="Arial" w:cs="Arial"/>
          <w:i/>
          <w:iCs/>
          <w:color w:val="222222"/>
          <w:sz w:val="21"/>
          <w:szCs w:val="21"/>
          <w:shd w:val="clear" w:color="auto" w:fill="FFFFFF"/>
        </w:rPr>
        <w:t>ncludes schooling</w:t>
      </w:r>
      <w:r w:rsidR="001870EF">
        <w:rPr>
          <w:rFonts w:ascii="Arial" w:hAnsi="Arial" w:cs="Arial"/>
          <w:i/>
          <w:iCs/>
          <w:color w:val="222222"/>
          <w:sz w:val="21"/>
          <w:szCs w:val="21"/>
          <w:shd w:val="clear" w:color="auto" w:fill="FFFFFF"/>
        </w:rPr>
        <w:t>, housework, formal and informal work</w:t>
      </w:r>
      <w:r>
        <w:rPr>
          <w:rFonts w:ascii="Arial" w:hAnsi="Arial" w:cs="Arial"/>
          <w:i/>
          <w:iCs/>
          <w:color w:val="222222"/>
          <w:sz w:val="21"/>
          <w:szCs w:val="21"/>
          <w:shd w:val="clear" w:color="auto" w:fill="FFFFFF"/>
        </w:rPr>
        <w:t xml:space="preserve">. </w:t>
      </w:r>
    </w:p>
    <w:tbl>
      <w:tblPr>
        <w:tblW w:w="13958" w:type="dxa"/>
        <w:tblLook w:val="04A0" w:firstRow="1" w:lastRow="0" w:firstColumn="1" w:lastColumn="0" w:noHBand="0" w:noVBand="1"/>
      </w:tblPr>
      <w:tblGrid>
        <w:gridCol w:w="7690"/>
        <w:gridCol w:w="794"/>
        <w:gridCol w:w="900"/>
        <w:gridCol w:w="1736"/>
        <w:gridCol w:w="1307"/>
        <w:gridCol w:w="1531"/>
      </w:tblGrid>
      <w:tr w:rsidR="00735959" w:rsidRPr="000E730B" w14:paraId="54AF558E" w14:textId="77777777" w:rsidTr="00815142">
        <w:trPr>
          <w:trHeight w:val="375"/>
        </w:trPr>
        <w:tc>
          <w:tcPr>
            <w:tcW w:w="7690" w:type="dxa"/>
            <w:tcBorders>
              <w:top w:val="nil"/>
              <w:left w:val="nil"/>
              <w:bottom w:val="nil"/>
              <w:right w:val="nil"/>
            </w:tcBorders>
            <w:shd w:val="clear" w:color="000000" w:fill="FFFFFF"/>
            <w:noWrap/>
            <w:vAlign w:val="bottom"/>
            <w:hideMark/>
          </w:tcPr>
          <w:p w14:paraId="28527A54" w14:textId="3949209A" w:rsidR="00134FB2" w:rsidRPr="000E730B" w:rsidRDefault="00134FB2" w:rsidP="00C41C6F">
            <w:pPr>
              <w:spacing w:after="0" w:line="240" w:lineRule="auto"/>
              <w:rPr>
                <w:rFonts w:ascii="Calibri Light" w:eastAsia="Times New Roman" w:hAnsi="Calibri Light" w:cs="Times New Roman"/>
                <w:color w:val="000000"/>
                <w:sz w:val="28"/>
                <w:szCs w:val="28"/>
                <w:u w:val="single"/>
                <w:lang w:eastAsia="en-GB"/>
              </w:rPr>
            </w:pPr>
            <w:bookmarkStart w:id="25" w:name="_Hlk523585848"/>
          </w:p>
        </w:tc>
        <w:tc>
          <w:tcPr>
            <w:tcW w:w="794" w:type="dxa"/>
            <w:tcBorders>
              <w:top w:val="nil"/>
              <w:left w:val="nil"/>
              <w:bottom w:val="nil"/>
              <w:right w:val="nil"/>
            </w:tcBorders>
            <w:shd w:val="clear" w:color="000000" w:fill="FFFFFF"/>
            <w:noWrap/>
            <w:vAlign w:val="bottom"/>
            <w:hideMark/>
          </w:tcPr>
          <w:p w14:paraId="7F2BA222" w14:textId="77777777" w:rsidR="00735959" w:rsidRPr="000E730B" w:rsidRDefault="00735959" w:rsidP="00C41C6F">
            <w:pPr>
              <w:spacing w:after="0" w:line="240" w:lineRule="auto"/>
              <w:rPr>
                <w:rFonts w:ascii="Calibri Light" w:eastAsia="Times New Roman" w:hAnsi="Calibri Light" w:cs="Times New Roman"/>
                <w:color w:val="000000"/>
                <w:lang w:eastAsia="en-GB"/>
              </w:rPr>
            </w:pPr>
            <w:r w:rsidRPr="000E730B">
              <w:rPr>
                <w:rFonts w:ascii="Calibri Light" w:eastAsia="Times New Roman" w:hAnsi="Calibri Light" w:cs="Times New Roman"/>
                <w:color w:val="000000"/>
                <w:lang w:eastAsia="en-GB"/>
              </w:rPr>
              <w:t> </w:t>
            </w:r>
          </w:p>
        </w:tc>
        <w:tc>
          <w:tcPr>
            <w:tcW w:w="900" w:type="dxa"/>
            <w:tcBorders>
              <w:top w:val="nil"/>
              <w:left w:val="nil"/>
              <w:bottom w:val="nil"/>
              <w:right w:val="nil"/>
            </w:tcBorders>
            <w:shd w:val="clear" w:color="000000" w:fill="FFFFFF"/>
            <w:noWrap/>
            <w:vAlign w:val="bottom"/>
            <w:hideMark/>
          </w:tcPr>
          <w:p w14:paraId="47F7E657" w14:textId="77777777" w:rsidR="00735959" w:rsidRPr="000E730B" w:rsidRDefault="00735959" w:rsidP="00C41C6F">
            <w:pPr>
              <w:spacing w:after="0" w:line="240" w:lineRule="auto"/>
              <w:rPr>
                <w:rFonts w:ascii="Calibri Light" w:eastAsia="Times New Roman" w:hAnsi="Calibri Light" w:cs="Times New Roman"/>
                <w:color w:val="000000"/>
                <w:lang w:eastAsia="en-GB"/>
              </w:rPr>
            </w:pPr>
            <w:r w:rsidRPr="000E730B">
              <w:rPr>
                <w:rFonts w:ascii="Calibri Light" w:eastAsia="Times New Roman" w:hAnsi="Calibri Light" w:cs="Times New Roman"/>
                <w:color w:val="000000"/>
                <w:lang w:eastAsia="en-GB"/>
              </w:rPr>
              <w:t> </w:t>
            </w:r>
          </w:p>
        </w:tc>
        <w:tc>
          <w:tcPr>
            <w:tcW w:w="1736" w:type="dxa"/>
            <w:tcBorders>
              <w:top w:val="nil"/>
              <w:left w:val="nil"/>
              <w:bottom w:val="nil"/>
              <w:right w:val="nil"/>
            </w:tcBorders>
            <w:shd w:val="clear" w:color="000000" w:fill="FFFFFF"/>
            <w:noWrap/>
            <w:vAlign w:val="bottom"/>
            <w:hideMark/>
          </w:tcPr>
          <w:p w14:paraId="0C4C7857" w14:textId="77777777" w:rsidR="00735959" w:rsidRPr="000E730B" w:rsidRDefault="00735959" w:rsidP="00C41C6F">
            <w:pPr>
              <w:spacing w:after="0" w:line="240" w:lineRule="auto"/>
              <w:rPr>
                <w:rFonts w:ascii="Calibri Light" w:eastAsia="Times New Roman" w:hAnsi="Calibri Light" w:cs="Times New Roman"/>
                <w:color w:val="000000"/>
                <w:lang w:eastAsia="en-GB"/>
              </w:rPr>
            </w:pPr>
            <w:r w:rsidRPr="000E730B">
              <w:rPr>
                <w:rFonts w:ascii="Calibri Light" w:eastAsia="Times New Roman" w:hAnsi="Calibri Light" w:cs="Times New Roman"/>
                <w:color w:val="000000"/>
                <w:lang w:eastAsia="en-GB"/>
              </w:rPr>
              <w:t> </w:t>
            </w:r>
          </w:p>
        </w:tc>
        <w:tc>
          <w:tcPr>
            <w:tcW w:w="1307" w:type="dxa"/>
            <w:tcBorders>
              <w:top w:val="nil"/>
              <w:left w:val="nil"/>
              <w:bottom w:val="nil"/>
              <w:right w:val="nil"/>
            </w:tcBorders>
            <w:shd w:val="clear" w:color="000000" w:fill="FFFFFF"/>
            <w:noWrap/>
            <w:vAlign w:val="bottom"/>
            <w:hideMark/>
          </w:tcPr>
          <w:p w14:paraId="6CB1682F" w14:textId="77777777" w:rsidR="00735959" w:rsidRPr="000E730B" w:rsidRDefault="00735959" w:rsidP="00C41C6F">
            <w:pPr>
              <w:spacing w:after="0" w:line="240" w:lineRule="auto"/>
              <w:rPr>
                <w:rFonts w:ascii="Calibri Light" w:eastAsia="Times New Roman" w:hAnsi="Calibri Light" w:cs="Times New Roman"/>
                <w:color w:val="000000"/>
                <w:lang w:eastAsia="en-GB"/>
              </w:rPr>
            </w:pPr>
            <w:r w:rsidRPr="000E730B">
              <w:rPr>
                <w:rFonts w:ascii="Calibri Light" w:eastAsia="Times New Roman" w:hAnsi="Calibri Light" w:cs="Times New Roman"/>
                <w:color w:val="000000"/>
                <w:lang w:eastAsia="en-GB"/>
              </w:rPr>
              <w:t> </w:t>
            </w:r>
          </w:p>
        </w:tc>
        <w:tc>
          <w:tcPr>
            <w:tcW w:w="1531" w:type="dxa"/>
            <w:tcBorders>
              <w:top w:val="nil"/>
              <w:left w:val="nil"/>
              <w:bottom w:val="nil"/>
              <w:right w:val="nil"/>
            </w:tcBorders>
            <w:shd w:val="clear" w:color="000000" w:fill="FFFFFF"/>
            <w:noWrap/>
            <w:vAlign w:val="bottom"/>
            <w:hideMark/>
          </w:tcPr>
          <w:p w14:paraId="6CF6D752" w14:textId="77777777" w:rsidR="00735959" w:rsidRPr="000E730B" w:rsidRDefault="00735959" w:rsidP="00C41C6F">
            <w:pPr>
              <w:spacing w:after="0" w:line="240" w:lineRule="auto"/>
              <w:rPr>
                <w:rFonts w:ascii="Calibri Light" w:eastAsia="Times New Roman" w:hAnsi="Calibri Light" w:cs="Times New Roman"/>
                <w:color w:val="000000"/>
                <w:lang w:eastAsia="en-GB"/>
              </w:rPr>
            </w:pPr>
            <w:r w:rsidRPr="000E730B">
              <w:rPr>
                <w:rFonts w:ascii="Calibri Light" w:eastAsia="Times New Roman" w:hAnsi="Calibri Light" w:cs="Times New Roman"/>
                <w:color w:val="000000"/>
                <w:lang w:eastAsia="en-GB"/>
              </w:rPr>
              <w:t> </w:t>
            </w:r>
          </w:p>
        </w:tc>
      </w:tr>
      <w:bookmarkEnd w:id="25"/>
    </w:tbl>
    <w:p w14:paraId="374C9E2E" w14:textId="2A44B938" w:rsidR="00735959" w:rsidRPr="00815142" w:rsidRDefault="00735959" w:rsidP="00735959">
      <w:pPr>
        <w:rPr>
          <w:rFonts w:eastAsia="Times New Roman" w:cs="Times New Roman"/>
          <w:sz w:val="24"/>
          <w:szCs w:val="24"/>
        </w:rPr>
      </w:pPr>
    </w:p>
    <w:tbl>
      <w:tblPr>
        <w:tblStyle w:val="GridTable6Colorful1"/>
        <w:tblW w:w="6786" w:type="dxa"/>
        <w:tblLook w:val="04A0" w:firstRow="1" w:lastRow="0" w:firstColumn="1" w:lastColumn="0" w:noHBand="0" w:noVBand="1"/>
      </w:tblPr>
      <w:tblGrid>
        <w:gridCol w:w="2174"/>
        <w:gridCol w:w="1813"/>
        <w:gridCol w:w="2799"/>
      </w:tblGrid>
      <w:tr w:rsidR="00EC685E" w:rsidRPr="00AA7B92" w14:paraId="256774D0" w14:textId="77777777" w:rsidTr="00DB06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gridSpan w:val="2"/>
            <w:noWrap/>
            <w:hideMark/>
          </w:tcPr>
          <w:p w14:paraId="6C3E5C8B" w14:textId="77777777" w:rsidR="00EC685E" w:rsidRPr="00AA7B92" w:rsidRDefault="00EC685E" w:rsidP="00DB0680">
            <w:pPr>
              <w:jc w:val="center"/>
              <w:rPr>
                <w:rFonts w:ascii="Calibri" w:eastAsia="Times New Roman" w:hAnsi="Calibri" w:cs="Times New Roman"/>
                <w:color w:val="000000"/>
                <w:lang w:eastAsia="en-GB"/>
              </w:rPr>
            </w:pPr>
            <w:r w:rsidRPr="00AA7B92">
              <w:rPr>
                <w:rFonts w:ascii="Calibri" w:eastAsia="Times New Roman" w:hAnsi="Calibri" w:cs="Times New Roman"/>
                <w:color w:val="000000"/>
                <w:lang w:eastAsia="en-GB"/>
              </w:rPr>
              <w:t>Direct costs</w:t>
            </w:r>
          </w:p>
        </w:tc>
        <w:tc>
          <w:tcPr>
            <w:tcW w:w="0" w:type="auto"/>
            <w:noWrap/>
            <w:hideMark/>
          </w:tcPr>
          <w:p w14:paraId="2F713769" w14:textId="77777777" w:rsidR="00EC685E" w:rsidRPr="00AA7B92" w:rsidRDefault="00EC685E" w:rsidP="00DB068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AA7B92">
              <w:rPr>
                <w:rFonts w:ascii="Calibri" w:eastAsia="Times New Roman" w:hAnsi="Calibri" w:cs="Times New Roman"/>
                <w:color w:val="000000"/>
                <w:lang w:eastAsia="en-GB"/>
              </w:rPr>
              <w:t>Mean (95% CI)</w:t>
            </w:r>
          </w:p>
        </w:tc>
      </w:tr>
      <w:tr w:rsidR="00EC685E" w:rsidRPr="00AA7B92" w14:paraId="567ABDB0" w14:textId="77777777" w:rsidTr="00957B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hideMark/>
          </w:tcPr>
          <w:p w14:paraId="0CF915D9" w14:textId="248D5255" w:rsidR="00EC685E" w:rsidRPr="00957BBC" w:rsidRDefault="00EC685E">
            <w:pPr>
              <w:jc w:val="center"/>
              <w:rPr>
                <w:rFonts w:ascii="Calibri Light" w:eastAsia="Times New Roman" w:hAnsi="Calibri Light" w:cs="Times New Roman"/>
                <w:color w:val="000000"/>
                <w:lang w:eastAsia="en-GB"/>
              </w:rPr>
            </w:pPr>
            <w:r w:rsidRPr="00957BBC">
              <w:rPr>
                <w:rFonts w:ascii="Calibri Light" w:eastAsia="Times New Roman" w:hAnsi="Calibri Light" w:cs="Times New Roman"/>
                <w:color w:val="000000"/>
                <w:lang w:eastAsia="en-GB"/>
              </w:rPr>
              <w:t>South Africa</w:t>
            </w:r>
          </w:p>
        </w:tc>
        <w:tc>
          <w:tcPr>
            <w:tcW w:w="0" w:type="auto"/>
            <w:shd w:val="clear" w:color="auto" w:fill="auto"/>
            <w:noWrap/>
            <w:hideMark/>
          </w:tcPr>
          <w:p w14:paraId="4AC7E7D8" w14:textId="77777777" w:rsidR="00EC685E" w:rsidRPr="00AA7B92" w:rsidRDefault="00EC685E" w:rsidP="00DB0680">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lang w:eastAsia="en-GB"/>
              </w:rPr>
            </w:pPr>
            <w:r>
              <w:rPr>
                <w:rFonts w:ascii="Calibri Light" w:eastAsia="Times New Roman" w:hAnsi="Calibri Light" w:cs="Times New Roman"/>
                <w:color w:val="000000"/>
                <w:lang w:eastAsia="en-GB"/>
              </w:rPr>
              <w:t>Overall</w:t>
            </w:r>
          </w:p>
        </w:tc>
        <w:tc>
          <w:tcPr>
            <w:tcW w:w="0" w:type="auto"/>
            <w:shd w:val="clear" w:color="auto" w:fill="auto"/>
            <w:noWrap/>
            <w:hideMark/>
          </w:tcPr>
          <w:p w14:paraId="72162447" w14:textId="77777777" w:rsidR="00EC685E" w:rsidRPr="00957BBC" w:rsidRDefault="00EC685E" w:rsidP="00DB0680">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lang w:eastAsia="en-GB"/>
              </w:rPr>
            </w:pPr>
            <w:r w:rsidRPr="00957BBC">
              <w:rPr>
                <w:rFonts w:ascii="Calibri Light" w:eastAsia="Times New Roman" w:hAnsi="Calibri Light" w:cs="Times New Roman"/>
                <w:color w:val="000000"/>
                <w:lang w:eastAsia="en-GB"/>
              </w:rPr>
              <w:t>4.92 (3.88, 5.96)</w:t>
            </w:r>
          </w:p>
        </w:tc>
      </w:tr>
      <w:tr w:rsidR="00EC685E" w:rsidRPr="00AA7B92" w14:paraId="7CF85F20" w14:textId="77777777" w:rsidTr="00957BBC">
        <w:trPr>
          <w:trHeight w:val="30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hideMark/>
          </w:tcPr>
          <w:p w14:paraId="3DCBF98E" w14:textId="77777777" w:rsidR="00EC685E" w:rsidRPr="00957BBC" w:rsidRDefault="00EC685E" w:rsidP="00957BBC">
            <w:pPr>
              <w:jc w:val="center"/>
              <w:rPr>
                <w:rFonts w:ascii="Calibri Light" w:eastAsia="Times New Roman" w:hAnsi="Calibri Light" w:cs="Times New Roman"/>
                <w:color w:val="000000"/>
                <w:lang w:eastAsia="en-GB"/>
              </w:rPr>
            </w:pPr>
          </w:p>
        </w:tc>
        <w:tc>
          <w:tcPr>
            <w:tcW w:w="0" w:type="auto"/>
            <w:shd w:val="clear" w:color="auto" w:fill="auto"/>
            <w:noWrap/>
            <w:hideMark/>
          </w:tcPr>
          <w:p w14:paraId="553196A6" w14:textId="77777777" w:rsidR="00EC685E" w:rsidRPr="00AA7B92" w:rsidRDefault="00EC685E" w:rsidP="00957BB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lang w:eastAsia="en-GB"/>
              </w:rPr>
            </w:pPr>
            <w:r>
              <w:rPr>
                <w:rFonts w:ascii="Calibri Light" w:eastAsia="Times New Roman" w:hAnsi="Calibri Light" w:cs="Times New Roman"/>
                <w:color w:val="000000"/>
                <w:lang w:eastAsia="en-GB"/>
              </w:rPr>
              <w:t>T</w:t>
            </w:r>
            <w:r w:rsidRPr="00AA7B92">
              <w:rPr>
                <w:rFonts w:ascii="Calibri Light" w:eastAsia="Times New Roman" w:hAnsi="Calibri Light" w:cs="Times New Roman"/>
                <w:color w:val="000000"/>
                <w:lang w:eastAsia="en-GB"/>
              </w:rPr>
              <w:t xml:space="preserve">ransport </w:t>
            </w:r>
          </w:p>
        </w:tc>
        <w:tc>
          <w:tcPr>
            <w:tcW w:w="0" w:type="auto"/>
            <w:shd w:val="clear" w:color="auto" w:fill="auto"/>
            <w:noWrap/>
            <w:hideMark/>
          </w:tcPr>
          <w:p w14:paraId="6A6D44E1" w14:textId="77777777" w:rsidR="00EC685E" w:rsidRPr="00957BBC" w:rsidRDefault="00EC685E" w:rsidP="00957BB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lang w:eastAsia="en-GB"/>
              </w:rPr>
            </w:pPr>
            <w:r w:rsidRPr="00957BBC">
              <w:rPr>
                <w:rFonts w:ascii="Calibri Light" w:eastAsia="Times New Roman" w:hAnsi="Calibri Light" w:cs="Times New Roman"/>
                <w:color w:val="000000"/>
                <w:lang w:eastAsia="en-GB"/>
              </w:rPr>
              <w:t>3.60 (2.77, 4.44)</w:t>
            </w:r>
          </w:p>
        </w:tc>
      </w:tr>
      <w:tr w:rsidR="00EC685E" w:rsidRPr="00AA7B92" w14:paraId="2A08F365" w14:textId="77777777" w:rsidTr="00957B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666666" w:themeColor="text1" w:themeTint="99"/>
            </w:tcBorders>
            <w:shd w:val="clear" w:color="auto" w:fill="auto"/>
            <w:hideMark/>
          </w:tcPr>
          <w:p w14:paraId="5F664456" w14:textId="77777777" w:rsidR="00EC685E" w:rsidRPr="00957BBC" w:rsidRDefault="00EC685E" w:rsidP="00957BBC">
            <w:pPr>
              <w:jc w:val="center"/>
              <w:rPr>
                <w:rFonts w:ascii="Calibri Light" w:eastAsia="Times New Roman" w:hAnsi="Calibri Light" w:cs="Times New Roman"/>
                <w:color w:val="000000"/>
                <w:lang w:eastAsia="en-GB"/>
              </w:rPr>
            </w:pPr>
          </w:p>
        </w:tc>
        <w:tc>
          <w:tcPr>
            <w:tcW w:w="0" w:type="auto"/>
            <w:shd w:val="clear" w:color="auto" w:fill="auto"/>
            <w:noWrap/>
            <w:hideMark/>
          </w:tcPr>
          <w:p w14:paraId="71587EDE" w14:textId="77777777" w:rsidR="00EC685E" w:rsidRPr="00AA7B92" w:rsidRDefault="00EC685E" w:rsidP="00957BB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lang w:eastAsia="en-GB"/>
              </w:rPr>
            </w:pPr>
            <w:r>
              <w:rPr>
                <w:rFonts w:ascii="Calibri Light" w:eastAsia="Times New Roman" w:hAnsi="Calibri Light" w:cs="Times New Roman"/>
                <w:color w:val="000000"/>
                <w:lang w:eastAsia="en-GB"/>
              </w:rPr>
              <w:t>F</w:t>
            </w:r>
            <w:r w:rsidRPr="00AA7B92">
              <w:rPr>
                <w:rFonts w:ascii="Calibri Light" w:eastAsia="Times New Roman" w:hAnsi="Calibri Light" w:cs="Times New Roman"/>
                <w:color w:val="000000"/>
                <w:lang w:eastAsia="en-GB"/>
              </w:rPr>
              <w:t>ood</w:t>
            </w:r>
          </w:p>
        </w:tc>
        <w:tc>
          <w:tcPr>
            <w:tcW w:w="0" w:type="auto"/>
            <w:shd w:val="clear" w:color="auto" w:fill="auto"/>
            <w:noWrap/>
            <w:hideMark/>
          </w:tcPr>
          <w:p w14:paraId="6B07EC81" w14:textId="77777777" w:rsidR="00EC685E" w:rsidRPr="00957BBC" w:rsidRDefault="00EC685E" w:rsidP="00957BB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lang w:eastAsia="en-GB"/>
              </w:rPr>
            </w:pPr>
            <w:r w:rsidRPr="00957BBC">
              <w:rPr>
                <w:rFonts w:ascii="Calibri Light" w:eastAsia="Times New Roman" w:hAnsi="Calibri Light" w:cs="Times New Roman"/>
                <w:color w:val="000000"/>
                <w:lang w:eastAsia="en-GB"/>
              </w:rPr>
              <w:t>1.32 (0.77, 1.87)</w:t>
            </w:r>
          </w:p>
        </w:tc>
      </w:tr>
      <w:tr w:rsidR="00EC685E" w:rsidRPr="00AA7B92" w14:paraId="1CB83EA9" w14:textId="77777777" w:rsidTr="00957BBC">
        <w:trPr>
          <w:trHeight w:val="300"/>
        </w:trPr>
        <w:tc>
          <w:tcPr>
            <w:cnfStyle w:val="001000000000" w:firstRow="0" w:lastRow="0" w:firstColumn="1" w:lastColumn="0" w:oddVBand="0" w:evenVBand="0" w:oddHBand="0" w:evenHBand="0" w:firstRowFirstColumn="0" w:firstRowLastColumn="0" w:lastRowFirstColumn="0" w:lastRowLastColumn="0"/>
            <w:tcW w:w="0" w:type="auto"/>
            <w:vMerge w:val="restart"/>
            <w:tcBorders>
              <w:bottom w:val="single" w:sz="4" w:space="0" w:color="auto"/>
            </w:tcBorders>
            <w:shd w:val="clear" w:color="auto" w:fill="auto"/>
            <w:noWrap/>
            <w:hideMark/>
          </w:tcPr>
          <w:p w14:paraId="346E3E23" w14:textId="77777777" w:rsidR="00EC685E" w:rsidRPr="00957BBC" w:rsidRDefault="00EC685E" w:rsidP="00DB0680">
            <w:pPr>
              <w:jc w:val="center"/>
              <w:rPr>
                <w:rFonts w:ascii="Calibri Light" w:eastAsia="Times New Roman" w:hAnsi="Calibri Light" w:cs="Times New Roman"/>
                <w:color w:val="000000"/>
                <w:lang w:eastAsia="en-GB"/>
              </w:rPr>
            </w:pPr>
            <w:r w:rsidRPr="00957BBC">
              <w:rPr>
                <w:rFonts w:ascii="Calibri Light" w:eastAsia="Times New Roman" w:hAnsi="Calibri Light" w:cs="Times New Roman"/>
                <w:color w:val="000000"/>
                <w:lang w:eastAsia="en-GB"/>
              </w:rPr>
              <w:t>Ethiopia</w:t>
            </w:r>
          </w:p>
        </w:tc>
        <w:tc>
          <w:tcPr>
            <w:tcW w:w="0" w:type="auto"/>
            <w:shd w:val="clear" w:color="auto" w:fill="auto"/>
            <w:noWrap/>
            <w:hideMark/>
          </w:tcPr>
          <w:p w14:paraId="04529365" w14:textId="77777777" w:rsidR="00EC685E" w:rsidRPr="00AA7B92" w:rsidRDefault="00EC685E" w:rsidP="00DB0680">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lang w:eastAsia="en-GB"/>
              </w:rPr>
            </w:pPr>
            <w:r>
              <w:rPr>
                <w:rFonts w:ascii="Calibri Light" w:eastAsia="Times New Roman" w:hAnsi="Calibri Light" w:cs="Times New Roman"/>
                <w:color w:val="000000"/>
                <w:lang w:eastAsia="en-GB"/>
              </w:rPr>
              <w:t>Overall</w:t>
            </w:r>
          </w:p>
        </w:tc>
        <w:tc>
          <w:tcPr>
            <w:tcW w:w="0" w:type="auto"/>
            <w:shd w:val="clear" w:color="auto" w:fill="auto"/>
            <w:noWrap/>
            <w:hideMark/>
          </w:tcPr>
          <w:p w14:paraId="6EED3286" w14:textId="77777777" w:rsidR="00EC685E" w:rsidRPr="00957BBC" w:rsidRDefault="00EC685E" w:rsidP="00DB0680">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lang w:eastAsia="en-GB"/>
              </w:rPr>
            </w:pPr>
            <w:r w:rsidRPr="00957BBC">
              <w:rPr>
                <w:rFonts w:ascii="Calibri Light" w:eastAsia="Times New Roman" w:hAnsi="Calibri Light" w:cs="Times New Roman"/>
                <w:color w:val="000000"/>
                <w:lang w:eastAsia="en-GB"/>
              </w:rPr>
              <w:t>1.14 (1.00, 1.25)</w:t>
            </w:r>
          </w:p>
        </w:tc>
      </w:tr>
      <w:tr w:rsidR="00EC685E" w:rsidRPr="00AA7B92" w14:paraId="1D6A0D2D" w14:textId="77777777" w:rsidTr="00957B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hideMark/>
          </w:tcPr>
          <w:p w14:paraId="63489629" w14:textId="77777777" w:rsidR="00EC685E" w:rsidRPr="00957BBC" w:rsidRDefault="00EC685E" w:rsidP="00957BBC">
            <w:pPr>
              <w:jc w:val="center"/>
              <w:rPr>
                <w:rFonts w:ascii="Calibri Light" w:eastAsia="Times New Roman" w:hAnsi="Calibri Light" w:cs="Times New Roman"/>
                <w:color w:val="000000"/>
                <w:lang w:eastAsia="en-GB"/>
              </w:rPr>
            </w:pPr>
          </w:p>
        </w:tc>
        <w:tc>
          <w:tcPr>
            <w:tcW w:w="0" w:type="auto"/>
            <w:shd w:val="clear" w:color="auto" w:fill="auto"/>
            <w:noWrap/>
            <w:hideMark/>
          </w:tcPr>
          <w:p w14:paraId="72B588A5" w14:textId="77777777" w:rsidR="00EC685E" w:rsidRPr="00AA7B92" w:rsidRDefault="00EC685E" w:rsidP="00957BB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lang w:eastAsia="en-GB"/>
              </w:rPr>
            </w:pPr>
            <w:r>
              <w:rPr>
                <w:rFonts w:ascii="Calibri Light" w:eastAsia="Times New Roman" w:hAnsi="Calibri Light" w:cs="Times New Roman"/>
                <w:color w:val="000000"/>
                <w:lang w:eastAsia="en-GB"/>
              </w:rPr>
              <w:t>T</w:t>
            </w:r>
            <w:r w:rsidRPr="00AA7B92">
              <w:rPr>
                <w:rFonts w:ascii="Calibri Light" w:eastAsia="Times New Roman" w:hAnsi="Calibri Light" w:cs="Times New Roman"/>
                <w:color w:val="000000"/>
                <w:lang w:eastAsia="en-GB"/>
              </w:rPr>
              <w:t xml:space="preserve">ransport </w:t>
            </w:r>
          </w:p>
        </w:tc>
        <w:tc>
          <w:tcPr>
            <w:tcW w:w="0" w:type="auto"/>
            <w:shd w:val="clear" w:color="auto" w:fill="auto"/>
            <w:noWrap/>
            <w:hideMark/>
          </w:tcPr>
          <w:p w14:paraId="39481568" w14:textId="77777777" w:rsidR="00EC685E" w:rsidRPr="00957BBC" w:rsidRDefault="00EC685E" w:rsidP="00957BBC">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imes New Roman"/>
                <w:color w:val="000000"/>
                <w:lang w:eastAsia="en-GB"/>
              </w:rPr>
            </w:pPr>
            <w:r w:rsidRPr="00957BBC">
              <w:rPr>
                <w:rFonts w:ascii="Calibri Light" w:eastAsia="Times New Roman" w:hAnsi="Calibri Light" w:cs="Times New Roman"/>
                <w:color w:val="000000"/>
                <w:lang w:eastAsia="en-GB"/>
              </w:rPr>
              <w:t>0.77 (0.7, 0.85)</w:t>
            </w:r>
          </w:p>
        </w:tc>
      </w:tr>
      <w:tr w:rsidR="00EC685E" w:rsidRPr="00AA7B92" w14:paraId="6B1526AE" w14:textId="77777777" w:rsidTr="00957BBC">
        <w:trPr>
          <w:trHeight w:val="30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hideMark/>
          </w:tcPr>
          <w:p w14:paraId="08883B63" w14:textId="77777777" w:rsidR="00EC685E" w:rsidRPr="00957BBC" w:rsidRDefault="00EC685E" w:rsidP="00957BBC">
            <w:pPr>
              <w:jc w:val="center"/>
              <w:rPr>
                <w:rFonts w:ascii="Calibri Light" w:eastAsia="Times New Roman" w:hAnsi="Calibri Light" w:cs="Times New Roman"/>
                <w:color w:val="000000"/>
                <w:lang w:eastAsia="en-GB"/>
              </w:rPr>
            </w:pPr>
          </w:p>
        </w:tc>
        <w:tc>
          <w:tcPr>
            <w:tcW w:w="0" w:type="auto"/>
            <w:noWrap/>
            <w:hideMark/>
          </w:tcPr>
          <w:p w14:paraId="6D5AF5BE" w14:textId="77777777" w:rsidR="00EC685E" w:rsidRPr="00AA7B92" w:rsidRDefault="00EC685E" w:rsidP="00957BB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lang w:eastAsia="en-GB"/>
              </w:rPr>
            </w:pPr>
            <w:r>
              <w:rPr>
                <w:rFonts w:ascii="Calibri Light" w:eastAsia="Times New Roman" w:hAnsi="Calibri Light" w:cs="Times New Roman"/>
                <w:color w:val="000000"/>
                <w:lang w:eastAsia="en-GB"/>
              </w:rPr>
              <w:t>F</w:t>
            </w:r>
            <w:r w:rsidRPr="00AA7B92">
              <w:rPr>
                <w:rFonts w:ascii="Calibri Light" w:eastAsia="Times New Roman" w:hAnsi="Calibri Light" w:cs="Times New Roman"/>
                <w:color w:val="000000"/>
                <w:lang w:eastAsia="en-GB"/>
              </w:rPr>
              <w:t>ood</w:t>
            </w:r>
          </w:p>
        </w:tc>
        <w:tc>
          <w:tcPr>
            <w:tcW w:w="0" w:type="auto"/>
            <w:noWrap/>
            <w:hideMark/>
          </w:tcPr>
          <w:p w14:paraId="55925D61" w14:textId="77777777" w:rsidR="00EC685E" w:rsidRPr="00957BBC" w:rsidRDefault="00EC685E" w:rsidP="00957BBC">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color w:val="000000"/>
                <w:lang w:eastAsia="en-GB"/>
              </w:rPr>
            </w:pPr>
            <w:r w:rsidRPr="00957BBC">
              <w:rPr>
                <w:rFonts w:ascii="Calibri Light" w:eastAsia="Times New Roman" w:hAnsi="Calibri Light" w:cs="Times New Roman"/>
                <w:color w:val="000000"/>
                <w:lang w:eastAsia="en-GB"/>
              </w:rPr>
              <w:t>0.37 (0.27, 0.47)</w:t>
            </w:r>
          </w:p>
        </w:tc>
      </w:tr>
    </w:tbl>
    <w:p w14:paraId="1445B105" w14:textId="77777777" w:rsidR="00875447" w:rsidRDefault="00875447" w:rsidP="005E673F">
      <w:pPr>
        <w:rPr>
          <w:rFonts w:eastAsia="Times New Roman" w:cs="Times New Roman"/>
          <w:sz w:val="24"/>
          <w:szCs w:val="24"/>
        </w:rPr>
      </w:pPr>
    </w:p>
    <w:p w14:paraId="225D1252" w14:textId="665E27C0" w:rsidR="005E673F" w:rsidRPr="00815142" w:rsidRDefault="005E673F" w:rsidP="005E673F">
      <w:pPr>
        <w:rPr>
          <w:rFonts w:eastAsia="Times New Roman" w:cs="Times New Roman"/>
          <w:sz w:val="24"/>
          <w:szCs w:val="24"/>
        </w:rPr>
      </w:pPr>
      <w:r w:rsidRPr="00815142">
        <w:rPr>
          <w:rFonts w:eastAsia="Times New Roman" w:cs="Times New Roman"/>
          <w:sz w:val="24"/>
          <w:szCs w:val="24"/>
        </w:rPr>
        <w:t>Table 2: Patient direct costs</w:t>
      </w:r>
      <w:r w:rsidR="006E1FFD">
        <w:rPr>
          <w:rFonts w:eastAsia="Times New Roman" w:cs="Times New Roman"/>
          <w:sz w:val="24"/>
          <w:szCs w:val="24"/>
        </w:rPr>
        <w:t xml:space="preserve"> per health centre visit</w:t>
      </w:r>
      <w:r w:rsidRPr="00815142">
        <w:rPr>
          <w:rFonts w:eastAsia="Times New Roman" w:cs="Times New Roman"/>
          <w:sz w:val="24"/>
          <w:szCs w:val="24"/>
        </w:rPr>
        <w:t xml:space="preserve"> for Ethiopia and South Africa</w:t>
      </w:r>
      <w:r w:rsidR="00CA37AE">
        <w:rPr>
          <w:rFonts w:eastAsia="Times New Roman" w:cs="Times New Roman"/>
          <w:sz w:val="24"/>
          <w:szCs w:val="24"/>
        </w:rPr>
        <w:t xml:space="preserve"> (US$)</w:t>
      </w:r>
    </w:p>
    <w:p w14:paraId="798C6665" w14:textId="77777777" w:rsidR="00735959" w:rsidRDefault="00735959" w:rsidP="00735959">
      <w:pPr>
        <w:rPr>
          <w:rFonts w:ascii="Arial" w:hAnsi="Arial" w:cs="Arial"/>
        </w:rPr>
      </w:pPr>
    </w:p>
    <w:p w14:paraId="76B06279" w14:textId="77777777" w:rsidR="00735959" w:rsidRDefault="00735959" w:rsidP="008D576F">
      <w:pPr>
        <w:spacing w:line="360" w:lineRule="auto"/>
        <w:rPr>
          <w:rFonts w:ascii="Arial" w:hAnsi="Arial" w:cs="Arial"/>
        </w:rPr>
      </w:pPr>
    </w:p>
    <w:p w14:paraId="59DDCD76" w14:textId="4202076B" w:rsidR="00593D0A" w:rsidRDefault="00141C02" w:rsidP="008D576F">
      <w:pPr>
        <w:spacing w:line="360" w:lineRule="auto"/>
        <w:rPr>
          <w:rFonts w:eastAsia="Times New Roman" w:cs="Times New Roman"/>
          <w:sz w:val="24"/>
          <w:szCs w:val="24"/>
        </w:rPr>
      </w:pPr>
      <w:r>
        <w:rPr>
          <w:noProof/>
          <w:lang w:eastAsia="en-GB"/>
        </w:rPr>
        <w:lastRenderedPageBreak/>
        <w:drawing>
          <wp:inline distT="0" distB="0" distL="0" distR="0" wp14:anchorId="62E361B8" wp14:editId="4828C57B">
            <wp:extent cx="6534150" cy="4286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34150" cy="4286250"/>
                    </a:xfrm>
                    <a:prstGeom prst="rect">
                      <a:avLst/>
                    </a:prstGeom>
                  </pic:spPr>
                </pic:pic>
              </a:graphicData>
            </a:graphic>
          </wp:inline>
        </w:drawing>
      </w:r>
    </w:p>
    <w:p w14:paraId="467E78EF" w14:textId="03F5D512" w:rsidR="00A677F4" w:rsidRDefault="00D01A04" w:rsidP="008D576F">
      <w:pPr>
        <w:spacing w:line="360" w:lineRule="auto"/>
        <w:rPr>
          <w:rFonts w:eastAsia="Times New Roman" w:cs="Times New Roman"/>
          <w:sz w:val="24"/>
          <w:szCs w:val="24"/>
        </w:rPr>
      </w:pPr>
      <w:r>
        <w:rPr>
          <w:rFonts w:eastAsia="Times New Roman" w:cs="Times New Roman"/>
          <w:sz w:val="24"/>
          <w:szCs w:val="24"/>
        </w:rPr>
        <w:t>Figure 4. Cost-effectiveness acceptability curve for Ethiopia.</w:t>
      </w:r>
    </w:p>
    <w:p w14:paraId="732B39FD" w14:textId="46EC2C75" w:rsidR="00A677F4" w:rsidRDefault="00E1798A" w:rsidP="008D576F">
      <w:pPr>
        <w:spacing w:line="360" w:lineRule="auto"/>
        <w:rPr>
          <w:rFonts w:eastAsia="Times New Roman" w:cs="Times New Roman"/>
          <w:sz w:val="24"/>
          <w:szCs w:val="24"/>
        </w:rPr>
      </w:pPr>
      <w:r>
        <w:rPr>
          <w:noProof/>
          <w:lang w:eastAsia="en-GB"/>
        </w:rPr>
        <w:lastRenderedPageBreak/>
        <w:drawing>
          <wp:inline distT="0" distB="0" distL="0" distR="0" wp14:anchorId="6D7270D9" wp14:editId="5A6027B2">
            <wp:extent cx="6524625" cy="4248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524625" cy="4248150"/>
                    </a:xfrm>
                    <a:prstGeom prst="rect">
                      <a:avLst/>
                    </a:prstGeom>
                  </pic:spPr>
                </pic:pic>
              </a:graphicData>
            </a:graphic>
          </wp:inline>
        </w:drawing>
      </w:r>
    </w:p>
    <w:p w14:paraId="463BBB1B" w14:textId="6993F6AD" w:rsidR="00A677F4" w:rsidRPr="006C457B" w:rsidRDefault="00D01A04" w:rsidP="008D576F">
      <w:pPr>
        <w:spacing w:line="360" w:lineRule="auto"/>
        <w:rPr>
          <w:rFonts w:eastAsia="Times New Roman" w:cs="Times New Roman"/>
          <w:sz w:val="24"/>
          <w:szCs w:val="24"/>
        </w:rPr>
        <w:sectPr w:rsidR="00A677F4" w:rsidRPr="006C457B" w:rsidSect="00735959">
          <w:pgSz w:w="16838" w:h="11906" w:orient="landscape"/>
          <w:pgMar w:top="1440" w:right="1440" w:bottom="1440" w:left="1440" w:header="708" w:footer="708" w:gutter="0"/>
          <w:cols w:space="708"/>
          <w:docGrid w:linePitch="360"/>
        </w:sectPr>
      </w:pPr>
      <w:r>
        <w:rPr>
          <w:rFonts w:eastAsia="Times New Roman" w:cs="Times New Roman"/>
          <w:sz w:val="24"/>
          <w:szCs w:val="24"/>
        </w:rPr>
        <w:t>Figure 5. Cost-effectiveness acceptability curve for South Africa.</w:t>
      </w:r>
    </w:p>
    <w:p w14:paraId="0D014A8A" w14:textId="77777777" w:rsidR="00AC7E07" w:rsidRDefault="00AC7E07" w:rsidP="00AC7E07">
      <w:pPr>
        <w:autoSpaceDE w:val="0"/>
        <w:autoSpaceDN w:val="0"/>
        <w:adjustRightInd w:val="0"/>
        <w:spacing w:after="0" w:line="240" w:lineRule="auto"/>
        <w:jc w:val="center"/>
        <w:rPr>
          <w:rFonts w:ascii="Arial" w:hAnsi="Arial" w:cs="Arial"/>
          <w:sz w:val="24"/>
          <w:szCs w:val="24"/>
        </w:rPr>
      </w:pPr>
      <w:r w:rsidRPr="00815142">
        <w:rPr>
          <w:rFonts w:ascii="Arial" w:hAnsi="Arial" w:cs="Arial"/>
          <w:sz w:val="24"/>
          <w:szCs w:val="24"/>
        </w:rPr>
        <w:lastRenderedPageBreak/>
        <w:t>REFERENCES</w:t>
      </w:r>
    </w:p>
    <w:p w14:paraId="05953A2C" w14:textId="77777777" w:rsidR="00AC7E07" w:rsidRPr="00815142" w:rsidRDefault="00AC7E07" w:rsidP="00AC7E07">
      <w:pPr>
        <w:autoSpaceDE w:val="0"/>
        <w:autoSpaceDN w:val="0"/>
        <w:adjustRightInd w:val="0"/>
        <w:spacing w:after="0" w:line="240" w:lineRule="auto"/>
        <w:jc w:val="center"/>
        <w:rPr>
          <w:rFonts w:ascii="Arial" w:hAnsi="Arial" w:cs="Arial"/>
          <w:sz w:val="24"/>
          <w:szCs w:val="24"/>
        </w:rPr>
      </w:pPr>
    </w:p>
    <w:p w14:paraId="48E56524" w14:textId="77777777" w:rsidR="00AC7E07" w:rsidRDefault="00AC7E07" w:rsidP="00AC7E07">
      <w:pPr>
        <w:autoSpaceDE w:val="0"/>
        <w:autoSpaceDN w:val="0"/>
        <w:adjustRightInd w:val="0"/>
        <w:spacing w:after="0" w:line="240" w:lineRule="auto"/>
        <w:rPr>
          <w:rFonts w:ascii="Arial" w:hAnsi="Arial" w:cs="Arial"/>
        </w:rPr>
      </w:pPr>
    </w:p>
    <w:p w14:paraId="00AFD23A" w14:textId="77777777" w:rsidR="008D2D27" w:rsidRDefault="008D2D27" w:rsidP="008D2D27">
      <w:pPr>
        <w:pStyle w:val="ListParagraph"/>
        <w:numPr>
          <w:ilvl w:val="0"/>
          <w:numId w:val="4"/>
        </w:numPr>
        <w:autoSpaceDE w:val="0"/>
        <w:autoSpaceDN w:val="0"/>
        <w:adjustRightInd w:val="0"/>
        <w:spacing w:after="0" w:line="480" w:lineRule="auto"/>
        <w:rPr>
          <w:rFonts w:ascii="Arial" w:hAnsi="Arial" w:cs="Arial"/>
        </w:rPr>
      </w:pPr>
      <w:bookmarkStart w:id="26" w:name="_Hlk27652255"/>
      <w:bookmarkStart w:id="27" w:name="_Hlk27207222"/>
      <w:r w:rsidRPr="00C41C6F">
        <w:rPr>
          <w:rFonts w:ascii="Arial" w:hAnsi="Arial" w:cs="Arial"/>
        </w:rPr>
        <w:t>World Health Organization. </w:t>
      </w:r>
      <w:r w:rsidRPr="00815142">
        <w:rPr>
          <w:rFonts w:ascii="Arial" w:hAnsi="Arial" w:cs="Arial"/>
        </w:rPr>
        <w:t xml:space="preserve">Duration of second-line anti-tuberculosis regimens </w:t>
      </w:r>
      <w:r w:rsidRPr="00C41C6F">
        <w:rPr>
          <w:rFonts w:ascii="Arial" w:hAnsi="Arial" w:cs="Arial"/>
        </w:rPr>
        <w:t xml:space="preserve">2011. </w:t>
      </w:r>
      <w:r>
        <w:rPr>
          <w:rFonts w:ascii="Arial" w:hAnsi="Arial" w:cs="Arial"/>
        </w:rPr>
        <w:t>(</w:t>
      </w:r>
      <w:hyperlink r:id="rId17" w:history="1">
        <w:r w:rsidRPr="00AC0CC5">
          <w:rPr>
            <w:rStyle w:val="Hyperlink"/>
            <w:rFonts w:ascii="Arial" w:hAnsi="Arial" w:cs="Arial"/>
          </w:rPr>
          <w:t>http://apps.who.int/iris/bitstream/handle/10665/44597/9789241501583_eng.pdf?sequence=1</w:t>
        </w:r>
      </w:hyperlink>
      <w:r>
        <w:rPr>
          <w:rFonts w:ascii="Arial" w:hAnsi="Arial" w:cs="Arial"/>
        </w:rPr>
        <w:t>) [Accessed 01.09.2018]</w:t>
      </w:r>
    </w:p>
    <w:p w14:paraId="74209D89" w14:textId="77777777" w:rsidR="008D2D27" w:rsidRDefault="008D2D27" w:rsidP="008D2D27">
      <w:pPr>
        <w:pStyle w:val="ListParagraph"/>
        <w:autoSpaceDE w:val="0"/>
        <w:autoSpaceDN w:val="0"/>
        <w:adjustRightInd w:val="0"/>
        <w:spacing w:after="0" w:line="480" w:lineRule="auto"/>
        <w:rPr>
          <w:rFonts w:ascii="Arial" w:hAnsi="Arial" w:cs="Arial"/>
        </w:rPr>
      </w:pPr>
    </w:p>
    <w:p w14:paraId="22487FE4" w14:textId="77777777" w:rsidR="008D2D27" w:rsidRPr="00014690" w:rsidRDefault="008D2D27" w:rsidP="008D2D27">
      <w:pPr>
        <w:pStyle w:val="ListParagraph"/>
        <w:numPr>
          <w:ilvl w:val="0"/>
          <w:numId w:val="4"/>
        </w:numPr>
        <w:autoSpaceDE w:val="0"/>
        <w:autoSpaceDN w:val="0"/>
        <w:adjustRightInd w:val="0"/>
        <w:spacing w:after="0" w:line="480" w:lineRule="auto"/>
        <w:rPr>
          <w:rFonts w:ascii="Arial" w:hAnsi="Arial" w:cs="Arial"/>
        </w:rPr>
      </w:pPr>
      <w:r w:rsidRPr="00815142">
        <w:rPr>
          <w:rFonts w:ascii="Arial" w:hAnsi="Arial" w:cs="Arial"/>
          <w:lang w:val="da-DK"/>
        </w:rPr>
        <w:t xml:space="preserve">Schnippel K, Rosen S, Shearer K, et al. </w:t>
      </w:r>
      <w:r w:rsidRPr="00C41C6F">
        <w:rPr>
          <w:rFonts w:ascii="Arial" w:hAnsi="Arial" w:cs="Arial"/>
        </w:rPr>
        <w:t xml:space="preserve">Costs of inpatient treatment for multi-drug resistant tuberculosis in South Africa. </w:t>
      </w:r>
      <w:r w:rsidRPr="008E5C4A">
        <w:rPr>
          <w:rFonts w:ascii="Arial" w:hAnsi="Arial" w:cs="Arial"/>
          <w:i/>
        </w:rPr>
        <w:t>Tropical Medicine and International Health</w:t>
      </w:r>
      <w:r w:rsidRPr="00C41C6F">
        <w:rPr>
          <w:rFonts w:ascii="Arial" w:hAnsi="Arial" w:cs="Arial"/>
        </w:rPr>
        <w:t xml:space="preserve"> 2013</w:t>
      </w:r>
      <w:r>
        <w:rPr>
          <w:rFonts w:ascii="Arial" w:hAnsi="Arial" w:cs="Arial"/>
        </w:rPr>
        <w:t>;</w:t>
      </w:r>
      <w:r w:rsidRPr="00C41C6F">
        <w:rPr>
          <w:rFonts w:ascii="Arial" w:hAnsi="Arial" w:cs="Arial"/>
        </w:rPr>
        <w:t xml:space="preserve"> </w:t>
      </w:r>
      <w:r w:rsidRPr="008E5C4A">
        <w:rPr>
          <w:rFonts w:ascii="Arial" w:hAnsi="Arial" w:cs="Arial"/>
          <w:b/>
        </w:rPr>
        <w:t>18</w:t>
      </w:r>
      <w:r w:rsidRPr="00C41C6F">
        <w:rPr>
          <w:rFonts w:ascii="Arial" w:hAnsi="Arial" w:cs="Arial"/>
        </w:rPr>
        <w:t>:109-116</w:t>
      </w:r>
      <w:r>
        <w:rPr>
          <w:rFonts w:ascii="Arial" w:hAnsi="Arial" w:cs="Arial"/>
        </w:rPr>
        <w:t xml:space="preserve">. </w:t>
      </w:r>
      <w:proofErr w:type="spellStart"/>
      <w:r>
        <w:rPr>
          <w:rFonts w:ascii="Arial" w:hAnsi="Arial" w:cs="Arial"/>
        </w:rPr>
        <w:t>doi</w:t>
      </w:r>
      <w:proofErr w:type="spellEnd"/>
      <w:r w:rsidRPr="002B5469">
        <w:rPr>
          <w:rFonts w:ascii="Arial" w:hAnsi="Arial" w:cs="Arial"/>
        </w:rPr>
        <w:t>: 10.1111/tmi.12018</w:t>
      </w:r>
    </w:p>
    <w:p w14:paraId="525F1B3A" w14:textId="77777777" w:rsidR="008D2D27" w:rsidRPr="00014690" w:rsidRDefault="008D2D27" w:rsidP="008D2D27">
      <w:pPr>
        <w:rPr>
          <w:rFonts w:ascii="Arial" w:hAnsi="Arial" w:cs="Arial"/>
        </w:rPr>
      </w:pPr>
    </w:p>
    <w:p w14:paraId="25A47243" w14:textId="77777777" w:rsidR="008D2D27" w:rsidRDefault="008D2D27" w:rsidP="008D2D27">
      <w:pPr>
        <w:pStyle w:val="ListParagraph"/>
        <w:numPr>
          <w:ilvl w:val="0"/>
          <w:numId w:val="4"/>
        </w:numPr>
        <w:autoSpaceDE w:val="0"/>
        <w:autoSpaceDN w:val="0"/>
        <w:adjustRightInd w:val="0"/>
        <w:spacing w:after="0" w:line="480" w:lineRule="auto"/>
        <w:rPr>
          <w:rFonts w:ascii="Arial" w:hAnsi="Arial" w:cs="Arial"/>
          <w:lang w:val="da-DK"/>
        </w:rPr>
      </w:pPr>
      <w:proofErr w:type="spellStart"/>
      <w:r w:rsidRPr="00570715">
        <w:rPr>
          <w:rFonts w:ascii="Arial" w:hAnsi="Arial" w:cs="Arial"/>
        </w:rPr>
        <w:t>Pooran</w:t>
      </w:r>
      <w:proofErr w:type="spellEnd"/>
      <w:r w:rsidRPr="00570715">
        <w:rPr>
          <w:rFonts w:ascii="Arial" w:hAnsi="Arial" w:cs="Arial"/>
        </w:rPr>
        <w:t xml:space="preserve"> A, </w:t>
      </w:r>
      <w:proofErr w:type="spellStart"/>
      <w:r w:rsidRPr="00570715">
        <w:rPr>
          <w:rFonts w:ascii="Arial" w:hAnsi="Arial" w:cs="Arial"/>
        </w:rPr>
        <w:t>Pieterson</w:t>
      </w:r>
      <w:proofErr w:type="spellEnd"/>
      <w:r w:rsidRPr="00570715">
        <w:rPr>
          <w:rFonts w:ascii="Arial" w:hAnsi="Arial" w:cs="Arial"/>
        </w:rPr>
        <w:t xml:space="preserve"> E, </w:t>
      </w:r>
      <w:proofErr w:type="spellStart"/>
      <w:r w:rsidRPr="00570715">
        <w:rPr>
          <w:rFonts w:ascii="Arial" w:hAnsi="Arial" w:cs="Arial"/>
        </w:rPr>
        <w:t>Davids</w:t>
      </w:r>
      <w:proofErr w:type="spellEnd"/>
      <w:r w:rsidRPr="00570715">
        <w:rPr>
          <w:rFonts w:ascii="Arial" w:hAnsi="Arial" w:cs="Arial"/>
        </w:rPr>
        <w:t xml:space="preserve"> M, Theron G, </w:t>
      </w:r>
      <w:proofErr w:type="spellStart"/>
      <w:r w:rsidRPr="00570715">
        <w:rPr>
          <w:rFonts w:ascii="Arial" w:hAnsi="Arial" w:cs="Arial"/>
        </w:rPr>
        <w:t>Dheda</w:t>
      </w:r>
      <w:proofErr w:type="spellEnd"/>
      <w:r w:rsidRPr="00570715">
        <w:rPr>
          <w:rFonts w:ascii="Arial" w:hAnsi="Arial" w:cs="Arial"/>
        </w:rPr>
        <w:t xml:space="preserve"> K. What is the Cost of Diagnosis and Management of Drug Resistant Tuberculosis in South Africa? </w:t>
      </w:r>
      <w:r w:rsidRPr="00280569">
        <w:rPr>
          <w:rFonts w:ascii="Arial" w:hAnsi="Arial" w:cs="Arial"/>
          <w:i/>
          <w:lang w:val="da-DK"/>
        </w:rPr>
        <w:t>PLoS ONE</w:t>
      </w:r>
      <w:r>
        <w:rPr>
          <w:rFonts w:ascii="Arial" w:hAnsi="Arial" w:cs="Arial"/>
          <w:lang w:val="da-DK"/>
        </w:rPr>
        <w:t xml:space="preserve"> </w:t>
      </w:r>
      <w:r w:rsidRPr="00D43C86">
        <w:rPr>
          <w:rFonts w:ascii="Arial" w:hAnsi="Arial" w:cs="Arial"/>
          <w:lang w:val="da-DK"/>
        </w:rPr>
        <w:t xml:space="preserve"> 2013;</w:t>
      </w:r>
      <w:r>
        <w:rPr>
          <w:rFonts w:ascii="Arial" w:hAnsi="Arial" w:cs="Arial"/>
          <w:lang w:val="da-DK"/>
        </w:rPr>
        <w:t xml:space="preserve"> </w:t>
      </w:r>
      <w:r w:rsidRPr="00D43C86">
        <w:rPr>
          <w:rFonts w:ascii="Arial" w:hAnsi="Arial" w:cs="Arial"/>
          <w:lang w:val="da-DK"/>
        </w:rPr>
        <w:t>8(1):e54587.</w:t>
      </w:r>
      <w:r>
        <w:rPr>
          <w:rFonts w:ascii="Arial" w:hAnsi="Arial" w:cs="Arial"/>
          <w:lang w:val="da-DK"/>
        </w:rPr>
        <w:t xml:space="preserve"> </w:t>
      </w:r>
      <w:r w:rsidRPr="00280569">
        <w:rPr>
          <w:rFonts w:ascii="Arial" w:hAnsi="Arial" w:cs="Arial"/>
          <w:lang w:val="da-DK"/>
        </w:rPr>
        <w:t>doi: 10.1371/journal.pone.0054587</w:t>
      </w:r>
    </w:p>
    <w:p w14:paraId="30C04749" w14:textId="77777777" w:rsidR="008D2D27" w:rsidRPr="00DA6171" w:rsidRDefault="008D2D27" w:rsidP="008D2D27">
      <w:pPr>
        <w:pStyle w:val="ListParagraph"/>
        <w:rPr>
          <w:rFonts w:ascii="Arial" w:hAnsi="Arial" w:cs="Arial"/>
          <w:lang w:val="da-DK"/>
        </w:rPr>
      </w:pPr>
    </w:p>
    <w:p w14:paraId="5B7B9848" w14:textId="77777777" w:rsidR="008D2D27" w:rsidRDefault="008D2D27" w:rsidP="008D2D27">
      <w:pPr>
        <w:pStyle w:val="ListParagraph"/>
        <w:numPr>
          <w:ilvl w:val="0"/>
          <w:numId w:val="4"/>
        </w:numPr>
        <w:autoSpaceDE w:val="0"/>
        <w:autoSpaceDN w:val="0"/>
        <w:adjustRightInd w:val="0"/>
        <w:spacing w:after="0" w:line="480" w:lineRule="auto"/>
        <w:rPr>
          <w:rFonts w:ascii="Arial" w:hAnsi="Arial" w:cs="Arial"/>
        </w:rPr>
      </w:pPr>
      <w:r>
        <w:rPr>
          <w:rFonts w:ascii="Arial" w:hAnsi="Arial" w:cs="Arial"/>
        </w:rPr>
        <w:t xml:space="preserve">Cox H, </w:t>
      </w:r>
      <w:proofErr w:type="spellStart"/>
      <w:r>
        <w:rPr>
          <w:rFonts w:ascii="Arial" w:hAnsi="Arial" w:cs="Arial"/>
        </w:rPr>
        <w:t>Ramma</w:t>
      </w:r>
      <w:proofErr w:type="spellEnd"/>
      <w:r>
        <w:rPr>
          <w:rFonts w:ascii="Arial" w:hAnsi="Arial" w:cs="Arial"/>
        </w:rPr>
        <w:t xml:space="preserve"> L, Wilkinson L, Azevedo V, </w:t>
      </w:r>
      <w:proofErr w:type="spellStart"/>
      <w:r>
        <w:rPr>
          <w:rFonts w:ascii="Arial" w:hAnsi="Arial" w:cs="Arial"/>
        </w:rPr>
        <w:t>Sinanovic</w:t>
      </w:r>
      <w:proofErr w:type="spellEnd"/>
      <w:r>
        <w:rPr>
          <w:rFonts w:ascii="Arial" w:hAnsi="Arial" w:cs="Arial"/>
        </w:rPr>
        <w:t xml:space="preserve"> E. Cost per patient of treatment for rifampicin-resistant tuberculosis in a community-based programme in Khayelitsha, South Africa. </w:t>
      </w:r>
      <w:r w:rsidRPr="00280569">
        <w:rPr>
          <w:rFonts w:ascii="Arial" w:hAnsi="Arial" w:cs="Arial"/>
          <w:i/>
        </w:rPr>
        <w:t>Tropical Medicine and International Health</w:t>
      </w:r>
      <w:r>
        <w:rPr>
          <w:rFonts w:ascii="Arial" w:hAnsi="Arial" w:cs="Arial"/>
        </w:rPr>
        <w:t xml:space="preserve"> 2015; </w:t>
      </w:r>
      <w:r w:rsidRPr="00280569">
        <w:rPr>
          <w:rFonts w:ascii="Arial" w:hAnsi="Arial" w:cs="Arial"/>
          <w:b/>
        </w:rPr>
        <w:t>20(10)</w:t>
      </w:r>
      <w:r w:rsidRPr="00280569">
        <w:rPr>
          <w:rFonts w:ascii="Arial" w:hAnsi="Arial" w:cs="Arial"/>
        </w:rPr>
        <w:t>:1337-45</w:t>
      </w:r>
      <w:r>
        <w:rPr>
          <w:rFonts w:ascii="Arial" w:hAnsi="Arial" w:cs="Arial"/>
        </w:rPr>
        <w:t xml:space="preserve">. </w:t>
      </w:r>
      <w:r w:rsidRPr="00322501">
        <w:rPr>
          <w:rFonts w:ascii="Arial" w:hAnsi="Arial" w:cs="Arial"/>
        </w:rPr>
        <w:t>doi:10.1111/tmi.12544</w:t>
      </w:r>
    </w:p>
    <w:p w14:paraId="2F8DD70D" w14:textId="77777777" w:rsidR="008D2D27" w:rsidRPr="00014690" w:rsidRDefault="008D2D27" w:rsidP="008D2D27">
      <w:pPr>
        <w:pStyle w:val="ListParagraph"/>
        <w:rPr>
          <w:rFonts w:ascii="Arial" w:hAnsi="Arial" w:cs="Arial"/>
        </w:rPr>
      </w:pPr>
    </w:p>
    <w:p w14:paraId="6F7FDFD7" w14:textId="77777777" w:rsidR="008D2D27" w:rsidRPr="00014690" w:rsidRDefault="008D2D27" w:rsidP="008D2D27">
      <w:pPr>
        <w:pStyle w:val="ListParagraph"/>
        <w:numPr>
          <w:ilvl w:val="0"/>
          <w:numId w:val="4"/>
        </w:numPr>
        <w:autoSpaceDE w:val="0"/>
        <w:autoSpaceDN w:val="0"/>
        <w:adjustRightInd w:val="0"/>
        <w:spacing w:after="0" w:line="480" w:lineRule="auto"/>
        <w:rPr>
          <w:rFonts w:ascii="Arial" w:hAnsi="Arial" w:cs="Arial"/>
        </w:rPr>
      </w:pPr>
      <w:r>
        <w:rPr>
          <w:rFonts w:ascii="Arial" w:hAnsi="Arial" w:cs="Arial"/>
        </w:rPr>
        <w:t xml:space="preserve">Laurence Y.V, Griffiths U.K, </w:t>
      </w:r>
      <w:proofErr w:type="spellStart"/>
      <w:r>
        <w:rPr>
          <w:rFonts w:ascii="Arial" w:hAnsi="Arial" w:cs="Arial"/>
        </w:rPr>
        <w:t>Vassall</w:t>
      </w:r>
      <w:proofErr w:type="spellEnd"/>
      <w:r>
        <w:rPr>
          <w:rFonts w:ascii="Arial" w:hAnsi="Arial" w:cs="Arial"/>
        </w:rPr>
        <w:t xml:space="preserve"> A, Costs to Health Services and the Patient of Treating Tuberculosis: A Systematic Literature Review. </w:t>
      </w:r>
      <w:proofErr w:type="spellStart"/>
      <w:r w:rsidRPr="002D410C">
        <w:rPr>
          <w:rFonts w:ascii="Arial" w:hAnsi="Arial" w:cs="Arial"/>
          <w:i/>
        </w:rPr>
        <w:t>PharmacoEconomics</w:t>
      </w:r>
      <w:proofErr w:type="spellEnd"/>
      <w:r w:rsidRPr="002D410C">
        <w:rPr>
          <w:rFonts w:ascii="Arial" w:hAnsi="Arial" w:cs="Arial"/>
          <w:i/>
        </w:rPr>
        <w:t>,</w:t>
      </w:r>
      <w:r>
        <w:rPr>
          <w:rFonts w:ascii="Arial" w:hAnsi="Arial" w:cs="Arial"/>
        </w:rPr>
        <w:t xml:space="preserve"> 2015; 33:939-955. </w:t>
      </w:r>
      <w:proofErr w:type="spellStart"/>
      <w:r w:rsidRPr="002D410C">
        <w:rPr>
          <w:rFonts w:ascii="Arial" w:hAnsi="Arial" w:cs="Arial"/>
        </w:rPr>
        <w:t>doi</w:t>
      </w:r>
      <w:proofErr w:type="spellEnd"/>
      <w:r w:rsidRPr="002D410C">
        <w:rPr>
          <w:rFonts w:ascii="Arial" w:hAnsi="Arial" w:cs="Arial"/>
        </w:rPr>
        <w:t>=</w:t>
      </w:r>
      <w:r>
        <w:rPr>
          <w:rFonts w:ascii="Arial" w:hAnsi="Arial" w:cs="Arial"/>
        </w:rPr>
        <w:t xml:space="preserve"> </w:t>
      </w:r>
      <w:r w:rsidRPr="002D410C">
        <w:rPr>
          <w:rFonts w:ascii="Arial" w:hAnsi="Arial" w:cs="Arial"/>
        </w:rPr>
        <w:t>10.1007/s40273-015-0279-6</w:t>
      </w:r>
    </w:p>
    <w:p w14:paraId="17BB3E4F" w14:textId="77777777" w:rsidR="008D2D27" w:rsidRPr="00014690" w:rsidRDefault="008D2D27" w:rsidP="008D2D27">
      <w:pPr>
        <w:rPr>
          <w:rFonts w:ascii="Arial" w:hAnsi="Arial" w:cs="Arial"/>
        </w:rPr>
      </w:pPr>
    </w:p>
    <w:p w14:paraId="05521247" w14:textId="77777777" w:rsidR="008D2D27" w:rsidRDefault="008D2D27" w:rsidP="008D2D27">
      <w:pPr>
        <w:pStyle w:val="ListParagraph"/>
        <w:numPr>
          <w:ilvl w:val="0"/>
          <w:numId w:val="4"/>
        </w:numPr>
        <w:autoSpaceDE w:val="0"/>
        <w:autoSpaceDN w:val="0"/>
        <w:adjustRightInd w:val="0"/>
        <w:spacing w:after="0" w:line="480" w:lineRule="auto"/>
        <w:rPr>
          <w:rFonts w:ascii="Arial" w:hAnsi="Arial" w:cs="Arial"/>
        </w:rPr>
      </w:pPr>
      <w:r w:rsidRPr="00E81E31">
        <w:rPr>
          <w:rFonts w:ascii="Arial" w:hAnsi="Arial" w:cs="Arial"/>
          <w:lang w:val="da-DK"/>
        </w:rPr>
        <w:t xml:space="preserve">Ramma L, Cox H, Wilkinson L, et al. </w:t>
      </w:r>
      <w:r w:rsidRPr="00875488">
        <w:rPr>
          <w:rFonts w:ascii="Arial" w:hAnsi="Arial" w:cs="Arial"/>
        </w:rPr>
        <w:t xml:space="preserve">Patients' costs associated with seeking and accessing treatment for drug-resistant tuberculosis in South Africa. Int J </w:t>
      </w:r>
      <w:proofErr w:type="spellStart"/>
      <w:r w:rsidRPr="00875488">
        <w:rPr>
          <w:rFonts w:ascii="Arial" w:hAnsi="Arial" w:cs="Arial"/>
        </w:rPr>
        <w:t>Tuberc</w:t>
      </w:r>
      <w:proofErr w:type="spellEnd"/>
      <w:r w:rsidRPr="00875488">
        <w:rPr>
          <w:rFonts w:ascii="Arial" w:hAnsi="Arial" w:cs="Arial"/>
        </w:rPr>
        <w:t xml:space="preserve"> Lung Dis. 2015;19(12):1513–1519. doi:10.5588/ijtld.15.0341</w:t>
      </w:r>
    </w:p>
    <w:p w14:paraId="3893DC66" w14:textId="77777777" w:rsidR="008D2D27" w:rsidRPr="00B25397" w:rsidRDefault="008D2D27" w:rsidP="008D2D27">
      <w:pPr>
        <w:autoSpaceDE w:val="0"/>
        <w:autoSpaceDN w:val="0"/>
        <w:adjustRightInd w:val="0"/>
        <w:spacing w:after="0" w:line="480" w:lineRule="auto"/>
        <w:rPr>
          <w:rFonts w:ascii="Arial" w:hAnsi="Arial" w:cs="Arial"/>
        </w:rPr>
      </w:pPr>
    </w:p>
    <w:p w14:paraId="1B7B0E26" w14:textId="77777777" w:rsidR="008D2D27" w:rsidRDefault="008D2D27" w:rsidP="008D2D27">
      <w:pPr>
        <w:pStyle w:val="ListParagraph"/>
        <w:numPr>
          <w:ilvl w:val="0"/>
          <w:numId w:val="4"/>
        </w:numPr>
        <w:autoSpaceDE w:val="0"/>
        <w:autoSpaceDN w:val="0"/>
        <w:adjustRightInd w:val="0"/>
        <w:spacing w:after="0" w:line="480" w:lineRule="auto"/>
        <w:rPr>
          <w:rFonts w:ascii="Arial" w:hAnsi="Arial" w:cs="Arial"/>
        </w:rPr>
      </w:pPr>
      <w:r w:rsidRPr="00815142">
        <w:rPr>
          <w:rFonts w:ascii="Arial" w:hAnsi="Arial" w:cs="Arial"/>
          <w:lang w:val="da-DK"/>
        </w:rPr>
        <w:t xml:space="preserve">Trebucq A. Schwoebel V, Kashongwe Z et al. </w:t>
      </w:r>
      <w:r w:rsidRPr="00C41C6F">
        <w:rPr>
          <w:rFonts w:ascii="Arial" w:hAnsi="Arial" w:cs="Arial"/>
        </w:rPr>
        <w:t xml:space="preserve">Treatment outcome with a short multidrug-resistant tuberculosis regimen in nine African countries. </w:t>
      </w:r>
      <w:r w:rsidRPr="008E5C4A">
        <w:rPr>
          <w:rFonts w:ascii="Arial" w:hAnsi="Arial" w:cs="Arial"/>
          <w:i/>
        </w:rPr>
        <w:t xml:space="preserve">International </w:t>
      </w:r>
      <w:r w:rsidRPr="008E5C4A">
        <w:rPr>
          <w:rFonts w:ascii="Arial" w:hAnsi="Arial" w:cs="Arial"/>
          <w:i/>
        </w:rPr>
        <w:lastRenderedPageBreak/>
        <w:t>Journal of Tuberculosis and Lung Disease</w:t>
      </w:r>
      <w:r w:rsidRPr="00C41C6F">
        <w:rPr>
          <w:rFonts w:ascii="Arial" w:hAnsi="Arial" w:cs="Arial"/>
        </w:rPr>
        <w:t xml:space="preserve"> 2018</w:t>
      </w:r>
      <w:r>
        <w:rPr>
          <w:rFonts w:ascii="Arial" w:hAnsi="Arial" w:cs="Arial"/>
        </w:rPr>
        <w:t>;</w:t>
      </w:r>
      <w:r w:rsidRPr="00C41C6F">
        <w:rPr>
          <w:rFonts w:ascii="Arial" w:hAnsi="Arial" w:cs="Arial"/>
        </w:rPr>
        <w:t xml:space="preserve"> 1;</w:t>
      </w:r>
      <w:r w:rsidRPr="008E5C4A">
        <w:rPr>
          <w:rFonts w:ascii="Arial" w:hAnsi="Arial" w:cs="Arial"/>
          <w:b/>
        </w:rPr>
        <w:t>22(1)</w:t>
      </w:r>
      <w:r w:rsidRPr="00C41C6F">
        <w:rPr>
          <w:rFonts w:ascii="Arial" w:hAnsi="Arial" w:cs="Arial"/>
        </w:rPr>
        <w:t>:17-25</w:t>
      </w:r>
      <w:r>
        <w:rPr>
          <w:rFonts w:ascii="Arial" w:hAnsi="Arial" w:cs="Arial"/>
        </w:rPr>
        <w:t xml:space="preserve">. </w:t>
      </w:r>
      <w:proofErr w:type="spellStart"/>
      <w:r>
        <w:rPr>
          <w:rFonts w:ascii="Arial" w:hAnsi="Arial" w:cs="Arial"/>
        </w:rPr>
        <w:t>doi</w:t>
      </w:r>
      <w:proofErr w:type="spellEnd"/>
      <w:r w:rsidRPr="002B5469">
        <w:rPr>
          <w:rFonts w:ascii="Arial" w:hAnsi="Arial" w:cs="Arial"/>
        </w:rPr>
        <w:t>: 10.5588/ijtld.17.0498</w:t>
      </w:r>
    </w:p>
    <w:p w14:paraId="5ADA7A28" w14:textId="77777777" w:rsidR="008D2D27" w:rsidRPr="008D25B3" w:rsidRDefault="008D2D27" w:rsidP="008D2D27">
      <w:pPr>
        <w:autoSpaceDE w:val="0"/>
        <w:autoSpaceDN w:val="0"/>
        <w:adjustRightInd w:val="0"/>
        <w:spacing w:after="0" w:line="480" w:lineRule="auto"/>
        <w:rPr>
          <w:rFonts w:ascii="Arial" w:hAnsi="Arial" w:cs="Arial"/>
        </w:rPr>
      </w:pPr>
    </w:p>
    <w:p w14:paraId="0A8D2CC6" w14:textId="77777777" w:rsidR="008D2D27" w:rsidRDefault="008D2D27" w:rsidP="008D2D27">
      <w:pPr>
        <w:pStyle w:val="ListParagraph"/>
        <w:numPr>
          <w:ilvl w:val="0"/>
          <w:numId w:val="4"/>
        </w:numPr>
        <w:autoSpaceDE w:val="0"/>
        <w:autoSpaceDN w:val="0"/>
        <w:adjustRightInd w:val="0"/>
        <w:spacing w:after="0" w:line="480" w:lineRule="auto"/>
        <w:rPr>
          <w:rFonts w:ascii="Arial" w:hAnsi="Arial" w:cs="Arial"/>
        </w:rPr>
      </w:pPr>
      <w:r w:rsidRPr="00C41C6F">
        <w:rPr>
          <w:rFonts w:ascii="Arial" w:hAnsi="Arial" w:cs="Arial"/>
        </w:rPr>
        <w:t xml:space="preserve">World Health Organization. The End TB Strategy: Global strategy targets for tuberculosis prevention, care and control after 2015, 2014. </w:t>
      </w:r>
    </w:p>
    <w:p w14:paraId="64FB4C0B" w14:textId="77777777" w:rsidR="008D2D27" w:rsidRPr="00744993" w:rsidRDefault="008D2D27" w:rsidP="008D2D27">
      <w:pPr>
        <w:pStyle w:val="ListParagraph"/>
        <w:rPr>
          <w:rFonts w:ascii="Arial" w:hAnsi="Arial" w:cs="Arial"/>
        </w:rPr>
      </w:pPr>
    </w:p>
    <w:p w14:paraId="17A130F8" w14:textId="77777777" w:rsidR="008D2D27" w:rsidRPr="00C41C6F" w:rsidRDefault="008D2D27" w:rsidP="008D2D27">
      <w:pPr>
        <w:pStyle w:val="ListParagraph"/>
        <w:numPr>
          <w:ilvl w:val="0"/>
          <w:numId w:val="4"/>
        </w:numPr>
        <w:autoSpaceDE w:val="0"/>
        <w:autoSpaceDN w:val="0"/>
        <w:adjustRightInd w:val="0"/>
        <w:spacing w:after="0" w:line="480" w:lineRule="auto"/>
        <w:rPr>
          <w:rFonts w:ascii="Arial" w:hAnsi="Arial" w:cs="Arial"/>
        </w:rPr>
      </w:pPr>
      <w:r>
        <w:rPr>
          <w:rFonts w:ascii="Arial" w:hAnsi="Arial" w:cs="Arial"/>
        </w:rPr>
        <w:t xml:space="preserve">Nunn A, Philips PPJ, Meredith S, et al. STREAM: A trial of a </w:t>
      </w:r>
      <w:proofErr w:type="gramStart"/>
      <w:r>
        <w:rPr>
          <w:rFonts w:ascii="Arial" w:hAnsi="Arial" w:cs="Arial"/>
        </w:rPr>
        <w:t>short standardized</w:t>
      </w:r>
      <w:proofErr w:type="gramEnd"/>
      <w:r>
        <w:rPr>
          <w:rFonts w:ascii="Arial" w:hAnsi="Arial" w:cs="Arial"/>
        </w:rPr>
        <w:t xml:space="preserve"> regimen for rifampicin-resistant tuberculosis. </w:t>
      </w:r>
      <w:r w:rsidRPr="0070731B">
        <w:rPr>
          <w:rFonts w:ascii="Arial" w:hAnsi="Arial" w:cs="Arial"/>
          <w:i/>
        </w:rPr>
        <w:t>New England Journal of Medicine</w:t>
      </w:r>
      <w:r>
        <w:rPr>
          <w:rFonts w:ascii="Arial" w:hAnsi="Arial" w:cs="Arial"/>
        </w:rPr>
        <w:t xml:space="preserve"> 2019; </w:t>
      </w:r>
      <w:r w:rsidRPr="0070731B">
        <w:rPr>
          <w:rFonts w:ascii="Arial" w:hAnsi="Arial" w:cs="Arial"/>
        </w:rPr>
        <w:t>380:1201-1213</w:t>
      </w:r>
      <w:r>
        <w:rPr>
          <w:rFonts w:ascii="Arial" w:hAnsi="Arial" w:cs="Arial"/>
        </w:rPr>
        <w:t xml:space="preserve">. </w:t>
      </w:r>
      <w:proofErr w:type="spellStart"/>
      <w:r>
        <w:rPr>
          <w:rFonts w:ascii="Arial" w:hAnsi="Arial" w:cs="Arial"/>
        </w:rPr>
        <w:t>doi</w:t>
      </w:r>
      <w:proofErr w:type="spellEnd"/>
      <w:r w:rsidRPr="0070731B">
        <w:rPr>
          <w:rFonts w:ascii="Arial" w:hAnsi="Arial" w:cs="Arial"/>
        </w:rPr>
        <w:t>: 10.1056/NEJMoa1811867</w:t>
      </w:r>
    </w:p>
    <w:p w14:paraId="1DE04DF2" w14:textId="77777777" w:rsidR="008D2D27" w:rsidRDefault="008D2D27" w:rsidP="008D2D27">
      <w:pPr>
        <w:autoSpaceDE w:val="0"/>
        <w:autoSpaceDN w:val="0"/>
        <w:adjustRightInd w:val="0"/>
        <w:spacing w:after="0" w:line="480" w:lineRule="auto"/>
        <w:rPr>
          <w:rFonts w:ascii="Arial" w:hAnsi="Arial" w:cs="Arial"/>
        </w:rPr>
      </w:pPr>
    </w:p>
    <w:p w14:paraId="411B0B11" w14:textId="77777777" w:rsidR="008D2D27" w:rsidRDefault="008D2D27" w:rsidP="008D2D27">
      <w:pPr>
        <w:pStyle w:val="ListParagraph"/>
        <w:numPr>
          <w:ilvl w:val="0"/>
          <w:numId w:val="4"/>
        </w:numPr>
        <w:autoSpaceDE w:val="0"/>
        <w:autoSpaceDN w:val="0"/>
        <w:adjustRightInd w:val="0"/>
        <w:spacing w:after="0" w:line="480" w:lineRule="auto"/>
        <w:rPr>
          <w:rFonts w:ascii="Arial" w:hAnsi="Arial" w:cs="Arial"/>
        </w:rPr>
      </w:pPr>
      <w:r w:rsidRPr="00815142">
        <w:rPr>
          <w:rFonts w:ascii="Arial" w:hAnsi="Arial" w:cs="Arial"/>
          <w:lang w:val="da-DK"/>
        </w:rPr>
        <w:t xml:space="preserve">Gama E, Madan J, Langley I, et al. </w:t>
      </w:r>
      <w:r w:rsidRPr="00C41C6F">
        <w:rPr>
          <w:rFonts w:ascii="Arial" w:hAnsi="Arial" w:cs="Arial"/>
        </w:rPr>
        <w:t xml:space="preserve">Economic evaluation of a shortened standardised treatment regimen of </w:t>
      </w:r>
      <w:proofErr w:type="spellStart"/>
      <w:r w:rsidRPr="00C41C6F">
        <w:rPr>
          <w:rFonts w:ascii="Arial" w:hAnsi="Arial" w:cs="Arial"/>
        </w:rPr>
        <w:t>antituberculosis</w:t>
      </w:r>
      <w:proofErr w:type="spellEnd"/>
      <w:r w:rsidRPr="00C41C6F">
        <w:rPr>
          <w:rFonts w:ascii="Arial" w:hAnsi="Arial" w:cs="Arial"/>
        </w:rPr>
        <w:t xml:space="preserve"> drugs for patients with multidrug-resistant tuberculosis (STREAM): study protocol. </w:t>
      </w:r>
      <w:r w:rsidRPr="00280569">
        <w:rPr>
          <w:rFonts w:ascii="Arial" w:hAnsi="Arial" w:cs="Arial"/>
          <w:i/>
        </w:rPr>
        <w:t>BMJ Open</w:t>
      </w:r>
      <w:r w:rsidRPr="00C41C6F">
        <w:rPr>
          <w:rFonts w:ascii="Arial" w:hAnsi="Arial" w:cs="Arial"/>
        </w:rPr>
        <w:t xml:space="preserve"> 2016;</w:t>
      </w:r>
      <w:r>
        <w:rPr>
          <w:rFonts w:ascii="Arial" w:hAnsi="Arial" w:cs="Arial"/>
        </w:rPr>
        <w:t xml:space="preserve"> </w:t>
      </w:r>
      <w:r w:rsidRPr="00280569">
        <w:rPr>
          <w:rFonts w:ascii="Arial" w:hAnsi="Arial" w:cs="Arial"/>
          <w:b/>
        </w:rPr>
        <w:t>6(10</w:t>
      </w:r>
      <w:proofErr w:type="gramStart"/>
      <w:r w:rsidRPr="00280569">
        <w:rPr>
          <w:rFonts w:ascii="Arial" w:hAnsi="Arial" w:cs="Arial"/>
          <w:b/>
        </w:rPr>
        <w:t>):</w:t>
      </w:r>
      <w:r w:rsidRPr="00C41C6F">
        <w:rPr>
          <w:rFonts w:ascii="Arial" w:hAnsi="Arial" w:cs="Arial"/>
        </w:rPr>
        <w:t>e</w:t>
      </w:r>
      <w:proofErr w:type="gramEnd"/>
      <w:r w:rsidRPr="00C41C6F">
        <w:rPr>
          <w:rFonts w:ascii="Arial" w:hAnsi="Arial" w:cs="Arial"/>
        </w:rPr>
        <w:t>014386.</w:t>
      </w:r>
      <w:r>
        <w:rPr>
          <w:rFonts w:ascii="Arial" w:hAnsi="Arial" w:cs="Arial"/>
        </w:rPr>
        <w:t xml:space="preserve"> </w:t>
      </w:r>
      <w:proofErr w:type="spellStart"/>
      <w:r w:rsidRPr="00CC5B83">
        <w:rPr>
          <w:rFonts w:ascii="Arial" w:hAnsi="Arial" w:cs="Arial"/>
        </w:rPr>
        <w:t>doi</w:t>
      </w:r>
      <w:proofErr w:type="spellEnd"/>
      <w:r w:rsidRPr="00CC5B83">
        <w:rPr>
          <w:rFonts w:ascii="Arial" w:hAnsi="Arial" w:cs="Arial"/>
        </w:rPr>
        <w:t>: 10.1136/bmjopen-2016-014386</w:t>
      </w:r>
    </w:p>
    <w:p w14:paraId="45844FF6" w14:textId="77777777" w:rsidR="008D2D27" w:rsidRPr="00FA2F90" w:rsidRDefault="008D2D27" w:rsidP="008D2D27">
      <w:pPr>
        <w:pStyle w:val="ListParagraph"/>
        <w:rPr>
          <w:rFonts w:ascii="Arial" w:hAnsi="Arial" w:cs="Arial"/>
        </w:rPr>
      </w:pPr>
    </w:p>
    <w:p w14:paraId="7FFC6076" w14:textId="781DD7C7" w:rsidR="008D2D27" w:rsidRDefault="008D2D27" w:rsidP="008D2D27">
      <w:pPr>
        <w:pStyle w:val="ListParagraph"/>
        <w:numPr>
          <w:ilvl w:val="0"/>
          <w:numId w:val="4"/>
        </w:numPr>
        <w:autoSpaceDE w:val="0"/>
        <w:autoSpaceDN w:val="0"/>
        <w:adjustRightInd w:val="0"/>
        <w:spacing w:after="0" w:line="480" w:lineRule="auto"/>
        <w:rPr>
          <w:rFonts w:ascii="Arial" w:hAnsi="Arial" w:cs="Arial"/>
        </w:rPr>
      </w:pPr>
      <w:r w:rsidRPr="00815142">
        <w:rPr>
          <w:rFonts w:ascii="Arial" w:hAnsi="Arial" w:cs="Arial"/>
          <w:lang w:val="da-DK"/>
        </w:rPr>
        <w:t xml:space="preserve">Nunn A, Rusen ID, Van Deun A, et al. </w:t>
      </w:r>
      <w:r w:rsidRPr="00815142">
        <w:rPr>
          <w:rFonts w:ascii="Arial" w:hAnsi="Arial" w:cs="Arial"/>
        </w:rPr>
        <w:t xml:space="preserve">Evaluation of a standardized treatment regimen of anti-tuberculosis drugs for patients with multi-drug-resistant tuberculosis (STREAM): study protocol for a randomized controlled trial. </w:t>
      </w:r>
      <w:r w:rsidRPr="00280569">
        <w:rPr>
          <w:rFonts w:ascii="Arial" w:hAnsi="Arial" w:cs="Arial"/>
          <w:i/>
        </w:rPr>
        <w:t>Trials</w:t>
      </w:r>
      <w:r w:rsidRPr="00815142">
        <w:rPr>
          <w:rFonts w:ascii="Arial" w:hAnsi="Arial" w:cs="Arial"/>
        </w:rPr>
        <w:t> </w:t>
      </w:r>
      <w:r w:rsidRPr="00280569">
        <w:rPr>
          <w:rFonts w:ascii="Arial" w:hAnsi="Arial" w:cs="Arial"/>
        </w:rPr>
        <w:t>2014;</w:t>
      </w:r>
      <w:r w:rsidRPr="00815142">
        <w:t> </w:t>
      </w:r>
      <w:r w:rsidRPr="00280569">
        <w:rPr>
          <w:rFonts w:ascii="Arial" w:hAnsi="Arial" w:cs="Arial"/>
          <w:b/>
        </w:rPr>
        <w:t>15</w:t>
      </w:r>
      <w:r>
        <w:rPr>
          <w:rFonts w:ascii="Arial" w:hAnsi="Arial" w:cs="Arial"/>
        </w:rPr>
        <w:t xml:space="preserve">: 353. </w:t>
      </w:r>
      <w:proofErr w:type="spellStart"/>
      <w:r w:rsidRPr="00CC5B83">
        <w:rPr>
          <w:rFonts w:ascii="Arial" w:hAnsi="Arial" w:cs="Arial"/>
        </w:rPr>
        <w:t>doi</w:t>
      </w:r>
      <w:proofErr w:type="spellEnd"/>
      <w:r w:rsidRPr="00CC5B83">
        <w:rPr>
          <w:rFonts w:ascii="Arial" w:hAnsi="Arial" w:cs="Arial"/>
        </w:rPr>
        <w:t>: 10.1186/1745-6215-15-353</w:t>
      </w:r>
    </w:p>
    <w:p w14:paraId="1273905F" w14:textId="77777777" w:rsidR="00CE2DF8" w:rsidRPr="001C7415" w:rsidRDefault="00CE2DF8" w:rsidP="001C7415">
      <w:pPr>
        <w:pStyle w:val="ListParagraph"/>
        <w:rPr>
          <w:rFonts w:ascii="Arial" w:hAnsi="Arial" w:cs="Arial"/>
        </w:rPr>
      </w:pPr>
    </w:p>
    <w:p w14:paraId="2BEBDC6A" w14:textId="58721640" w:rsidR="00CE2DF8" w:rsidRPr="001C7415" w:rsidRDefault="00CE2DF8" w:rsidP="001C7415">
      <w:pPr>
        <w:pStyle w:val="ListParagraph"/>
        <w:numPr>
          <w:ilvl w:val="0"/>
          <w:numId w:val="4"/>
        </w:numPr>
        <w:spacing w:line="480" w:lineRule="auto"/>
        <w:rPr>
          <w:rFonts w:ascii="Arial" w:hAnsi="Arial" w:cs="Arial"/>
        </w:rPr>
      </w:pPr>
      <w:r w:rsidRPr="007620E4">
        <w:rPr>
          <w:rFonts w:ascii="Arial" w:hAnsi="Arial" w:cs="Arial"/>
        </w:rPr>
        <w:t>Rapid communication: key changes to treatment of drug-resistant tuberculosis. Geneva: World Health Organization; 2019 (WHO/CDS/TB/2019.26). Licence: CC BY-NC-SA 3.0 IGO.</w:t>
      </w:r>
    </w:p>
    <w:p w14:paraId="100D95BE" w14:textId="77777777" w:rsidR="008D2D27" w:rsidRPr="0070731B" w:rsidRDefault="008D2D27" w:rsidP="008D2D27">
      <w:pPr>
        <w:pStyle w:val="ListParagraph"/>
        <w:rPr>
          <w:rFonts w:ascii="Arial" w:hAnsi="Arial" w:cs="Arial"/>
        </w:rPr>
      </w:pPr>
    </w:p>
    <w:p w14:paraId="74364BB3" w14:textId="77777777" w:rsidR="008D2D27" w:rsidRPr="00E81E31" w:rsidRDefault="008D2D27" w:rsidP="008D2D27">
      <w:pPr>
        <w:pStyle w:val="ListParagraph"/>
        <w:numPr>
          <w:ilvl w:val="0"/>
          <w:numId w:val="4"/>
        </w:numPr>
        <w:autoSpaceDE w:val="0"/>
        <w:autoSpaceDN w:val="0"/>
        <w:adjustRightInd w:val="0"/>
        <w:spacing w:after="0" w:line="480" w:lineRule="auto"/>
        <w:rPr>
          <w:rFonts w:ascii="Arial" w:hAnsi="Arial" w:cs="Arial"/>
        </w:rPr>
      </w:pPr>
      <w:r w:rsidRPr="00E81E31">
        <w:rPr>
          <w:rFonts w:ascii="Arial" w:hAnsi="Arial" w:cs="Arial"/>
        </w:rPr>
        <w:t>Wordsworth S et al. Collecting unit cost data in multicentre studies: Creating comparable methods. </w:t>
      </w:r>
      <w:r w:rsidRPr="00E81E31">
        <w:rPr>
          <w:rFonts w:ascii="Arial" w:hAnsi="Arial" w:cs="Arial"/>
          <w:i/>
        </w:rPr>
        <w:t>The European Journal of Health Economics</w:t>
      </w:r>
      <w:r w:rsidRPr="00E81E31">
        <w:rPr>
          <w:rFonts w:ascii="Arial" w:hAnsi="Arial" w:cs="Arial"/>
        </w:rPr>
        <w:t xml:space="preserve"> 2005; 50(1): 38–44. Available at: </w:t>
      </w:r>
      <w:hyperlink r:id="rId18" w:tgtFrame="_blank" w:history="1">
        <w:r w:rsidRPr="00E81E31">
          <w:rPr>
            <w:rFonts w:ascii="Arial" w:hAnsi="Arial" w:cs="Arial"/>
          </w:rPr>
          <w:t>http://www.ncbi.nlm.nih.gov/pubmed/15772871</w:t>
        </w:r>
      </w:hyperlink>
      <w:r w:rsidRPr="00E81E31">
        <w:rPr>
          <w:rFonts w:ascii="Arial" w:hAnsi="Arial" w:cs="Arial"/>
        </w:rPr>
        <w:t> [Accessed August 11, 2019].</w:t>
      </w:r>
    </w:p>
    <w:p w14:paraId="6202FC46" w14:textId="77777777" w:rsidR="008D2D27" w:rsidRPr="00FA2F90" w:rsidRDefault="008D2D27" w:rsidP="008D2D27">
      <w:pPr>
        <w:rPr>
          <w:rFonts w:ascii="Arial" w:hAnsi="Arial" w:cs="Arial"/>
        </w:rPr>
      </w:pPr>
    </w:p>
    <w:p w14:paraId="2794F926" w14:textId="77777777" w:rsidR="008D2D27" w:rsidRPr="00EA18AD" w:rsidRDefault="008D2D27" w:rsidP="008D2D27">
      <w:pPr>
        <w:pStyle w:val="ListParagraph"/>
        <w:numPr>
          <w:ilvl w:val="0"/>
          <w:numId w:val="4"/>
        </w:numPr>
        <w:autoSpaceDE w:val="0"/>
        <w:autoSpaceDN w:val="0"/>
        <w:adjustRightInd w:val="0"/>
        <w:spacing w:after="0" w:line="480" w:lineRule="auto"/>
        <w:rPr>
          <w:rFonts w:ascii="Arial" w:hAnsi="Arial" w:cs="Arial"/>
        </w:rPr>
      </w:pPr>
      <w:r w:rsidRPr="00815142">
        <w:rPr>
          <w:rFonts w:ascii="Arial" w:hAnsi="Arial" w:cs="Arial"/>
          <w:lang w:val="da-DK"/>
        </w:rPr>
        <w:lastRenderedPageBreak/>
        <w:t xml:space="preserve">Hendriks ME, Kundu P, Boers AC et al. </w:t>
      </w:r>
      <w:r w:rsidRPr="00815142">
        <w:rPr>
          <w:rFonts w:ascii="Arial" w:hAnsi="Arial" w:cs="Arial"/>
        </w:rPr>
        <w:t xml:space="preserve">Step-by-step guideline for disease-specific costing studies in low-and middle-income countries: a mixed methodology. </w:t>
      </w:r>
      <w:r w:rsidRPr="00280569">
        <w:rPr>
          <w:rFonts w:ascii="Arial" w:hAnsi="Arial" w:cs="Arial"/>
          <w:i/>
        </w:rPr>
        <w:t>Global Health Action</w:t>
      </w:r>
      <w:r w:rsidRPr="00815142">
        <w:rPr>
          <w:rFonts w:ascii="Arial" w:hAnsi="Arial" w:cs="Arial"/>
        </w:rPr>
        <w:t xml:space="preserve"> 2014</w:t>
      </w:r>
      <w:r>
        <w:rPr>
          <w:rFonts w:ascii="Arial" w:hAnsi="Arial" w:cs="Arial"/>
        </w:rPr>
        <w:t>;</w:t>
      </w:r>
      <w:r w:rsidRPr="00815142">
        <w:rPr>
          <w:rFonts w:ascii="Arial" w:hAnsi="Arial" w:cs="Arial"/>
        </w:rPr>
        <w:t xml:space="preserve"> </w:t>
      </w:r>
      <w:r w:rsidRPr="00280569">
        <w:rPr>
          <w:rFonts w:ascii="Arial" w:hAnsi="Arial" w:cs="Arial"/>
          <w:b/>
        </w:rPr>
        <w:t>7</w:t>
      </w:r>
      <w:r w:rsidRPr="00815142">
        <w:rPr>
          <w:rFonts w:ascii="Arial" w:hAnsi="Arial" w:cs="Arial"/>
        </w:rPr>
        <w:t>:1–10</w:t>
      </w:r>
      <w:r>
        <w:rPr>
          <w:rFonts w:ascii="Arial" w:hAnsi="Arial" w:cs="Arial"/>
        </w:rPr>
        <w:t xml:space="preserve">. </w:t>
      </w:r>
      <w:r w:rsidRPr="00CC5B83">
        <w:rPr>
          <w:rFonts w:ascii="Arial" w:hAnsi="Arial" w:cs="Arial"/>
          <w:lang w:val="da-DK"/>
        </w:rPr>
        <w:t>doi: 10.3402/gha.v7.23573</w:t>
      </w:r>
    </w:p>
    <w:p w14:paraId="1926F9FA" w14:textId="77777777" w:rsidR="008D2D27" w:rsidRPr="00EA18AD" w:rsidRDefault="008D2D27" w:rsidP="008D2D27">
      <w:pPr>
        <w:pStyle w:val="ListParagraph"/>
        <w:rPr>
          <w:rFonts w:ascii="Arial" w:hAnsi="Arial" w:cs="Arial"/>
        </w:rPr>
      </w:pPr>
    </w:p>
    <w:p w14:paraId="0750B721" w14:textId="77777777" w:rsidR="008D2D27" w:rsidRPr="007A72C1" w:rsidRDefault="008D2D27" w:rsidP="008D2D27">
      <w:pPr>
        <w:pStyle w:val="ListParagraph"/>
        <w:numPr>
          <w:ilvl w:val="0"/>
          <w:numId w:val="4"/>
        </w:numPr>
        <w:autoSpaceDE w:val="0"/>
        <w:autoSpaceDN w:val="0"/>
        <w:adjustRightInd w:val="0"/>
        <w:spacing w:after="0" w:line="480" w:lineRule="auto"/>
        <w:rPr>
          <w:rFonts w:ascii="Arial" w:hAnsi="Arial" w:cs="Arial"/>
        </w:rPr>
      </w:pPr>
      <w:r>
        <w:rPr>
          <w:rFonts w:ascii="Arial" w:hAnsi="Arial" w:cs="Arial"/>
        </w:rPr>
        <w:t xml:space="preserve">STREAM Health Economics supplementary appendix, </w:t>
      </w:r>
      <w:proofErr w:type="spellStart"/>
      <w:r>
        <w:rPr>
          <w:rFonts w:ascii="Arial" w:hAnsi="Arial" w:cs="Arial"/>
        </w:rPr>
        <w:t>Figshare</w:t>
      </w:r>
      <w:proofErr w:type="spellEnd"/>
      <w:r>
        <w:rPr>
          <w:rFonts w:ascii="Arial" w:hAnsi="Arial" w:cs="Arial"/>
        </w:rPr>
        <w:t xml:space="preserve">. Doi: </w:t>
      </w:r>
      <w:r w:rsidRPr="00EA18AD">
        <w:rPr>
          <w:rFonts w:ascii="Arial" w:hAnsi="Arial" w:cs="Arial"/>
        </w:rPr>
        <w:t>10.6084/m9.figshare.11368674</w:t>
      </w:r>
    </w:p>
    <w:p w14:paraId="3E8E0F28" w14:textId="77777777" w:rsidR="008D2D27" w:rsidRPr="007A72C1" w:rsidRDefault="008D2D27" w:rsidP="008D2D27">
      <w:pPr>
        <w:pStyle w:val="ListParagraph"/>
        <w:rPr>
          <w:rFonts w:ascii="Arial" w:hAnsi="Arial" w:cs="Arial"/>
        </w:rPr>
      </w:pPr>
    </w:p>
    <w:p w14:paraId="6AE844C6" w14:textId="1DBAEA80" w:rsidR="008D2D27" w:rsidRDefault="008D2D27" w:rsidP="008D2D27">
      <w:pPr>
        <w:pStyle w:val="ListParagraph"/>
        <w:numPr>
          <w:ilvl w:val="0"/>
          <w:numId w:val="4"/>
        </w:numPr>
        <w:autoSpaceDE w:val="0"/>
        <w:autoSpaceDN w:val="0"/>
        <w:adjustRightInd w:val="0"/>
        <w:spacing w:after="0" w:line="480" w:lineRule="auto"/>
        <w:rPr>
          <w:rFonts w:ascii="Arial" w:hAnsi="Arial" w:cs="Arial"/>
        </w:rPr>
      </w:pPr>
      <w:r>
        <w:rPr>
          <w:rFonts w:ascii="Arial" w:hAnsi="Arial" w:cs="Arial"/>
        </w:rPr>
        <w:t>European Medicines Agency. Clinical Safety Data Management: Definitions and Standards for Expedited Reporting, 1995</w:t>
      </w:r>
      <w:r w:rsidRPr="00957BBC">
        <w:rPr>
          <w:rFonts w:ascii="Arial" w:hAnsi="Arial" w:cs="Arial"/>
        </w:rPr>
        <w:t xml:space="preserve"> (</w:t>
      </w:r>
      <w:hyperlink r:id="rId19" w:history="1">
        <w:r>
          <w:rPr>
            <w:rStyle w:val="Hyperlink"/>
          </w:rPr>
          <w:t>https://www.ema.europa.eu/en</w:t>
        </w:r>
      </w:hyperlink>
      <w:r w:rsidRPr="00957BBC">
        <w:rPr>
          <w:rFonts w:ascii="Arial" w:hAnsi="Arial" w:cs="Arial"/>
        </w:rPr>
        <w:t>)</w:t>
      </w:r>
      <w:r>
        <w:rPr>
          <w:rFonts w:ascii="Arial" w:hAnsi="Arial" w:cs="Arial"/>
        </w:rPr>
        <w:t xml:space="preserve"> [Accessed 27.08.2019].</w:t>
      </w:r>
    </w:p>
    <w:p w14:paraId="1D1E2617" w14:textId="77777777" w:rsidR="00561504" w:rsidRPr="001C7415" w:rsidRDefault="00561504" w:rsidP="001C7415">
      <w:pPr>
        <w:pStyle w:val="ListParagraph"/>
        <w:rPr>
          <w:rFonts w:ascii="Arial" w:hAnsi="Arial" w:cs="Arial"/>
        </w:rPr>
      </w:pPr>
    </w:p>
    <w:p w14:paraId="26C2E028" w14:textId="110A2132" w:rsidR="00561504" w:rsidRPr="001C7415" w:rsidRDefault="00561504">
      <w:pPr>
        <w:pStyle w:val="ListParagraph"/>
        <w:numPr>
          <w:ilvl w:val="0"/>
          <w:numId w:val="4"/>
        </w:numPr>
        <w:autoSpaceDE w:val="0"/>
        <w:autoSpaceDN w:val="0"/>
        <w:adjustRightInd w:val="0"/>
        <w:spacing w:after="0" w:line="480" w:lineRule="auto"/>
        <w:rPr>
          <w:rFonts w:ascii="Arial" w:hAnsi="Arial" w:cs="Arial"/>
        </w:rPr>
      </w:pPr>
      <w:r w:rsidRPr="00B461D7">
        <w:rPr>
          <w:rFonts w:ascii="Arial" w:hAnsi="Arial" w:cs="Arial"/>
        </w:rPr>
        <w:t>Tool to estimate patients’ costs. STOP-TB Partnership. 2008</w:t>
      </w:r>
    </w:p>
    <w:p w14:paraId="6BA35890" w14:textId="77777777" w:rsidR="008D2D27" w:rsidRPr="007A72C1" w:rsidRDefault="008D2D27" w:rsidP="008D2D27">
      <w:pPr>
        <w:pStyle w:val="ListParagraph"/>
        <w:rPr>
          <w:rFonts w:ascii="Arial" w:hAnsi="Arial" w:cs="Arial"/>
        </w:rPr>
      </w:pPr>
    </w:p>
    <w:p w14:paraId="7489773B" w14:textId="77777777" w:rsidR="008D2D27" w:rsidRDefault="008D2D27" w:rsidP="008D2D27">
      <w:pPr>
        <w:pStyle w:val="ListParagraph"/>
        <w:numPr>
          <w:ilvl w:val="0"/>
          <w:numId w:val="4"/>
        </w:numPr>
        <w:autoSpaceDE w:val="0"/>
        <w:autoSpaceDN w:val="0"/>
        <w:adjustRightInd w:val="0"/>
        <w:spacing w:after="0" w:line="480" w:lineRule="auto"/>
        <w:rPr>
          <w:rFonts w:ascii="Arial" w:hAnsi="Arial" w:cs="Arial"/>
        </w:rPr>
      </w:pPr>
      <w:r w:rsidRPr="00AC69F8">
        <w:rPr>
          <w:rFonts w:ascii="Arial" w:hAnsi="Arial" w:cs="Arial"/>
        </w:rPr>
        <w:t>XE.com XE Currency Converter, 2019 (</w:t>
      </w:r>
      <w:hyperlink r:id="rId20" w:history="1">
        <w:r w:rsidRPr="00AC69F8">
          <w:rPr>
            <w:rFonts w:ascii="Arial" w:hAnsi="Arial" w:cs="Arial"/>
          </w:rPr>
          <w:t>https://www.xe.com/currencyconverter/</w:t>
        </w:r>
      </w:hyperlink>
      <w:r w:rsidRPr="00AC69F8">
        <w:rPr>
          <w:rFonts w:ascii="Arial" w:hAnsi="Arial" w:cs="Arial"/>
        </w:rPr>
        <w:t>) [Accessed 27.08.2019].</w:t>
      </w:r>
    </w:p>
    <w:p w14:paraId="58B01A6D" w14:textId="77777777" w:rsidR="008D2D27" w:rsidRPr="00256BFD" w:rsidRDefault="008D2D27" w:rsidP="008D2D27">
      <w:pPr>
        <w:pStyle w:val="ListParagraph"/>
        <w:rPr>
          <w:rFonts w:ascii="Arial" w:hAnsi="Arial" w:cs="Arial"/>
        </w:rPr>
      </w:pPr>
    </w:p>
    <w:p w14:paraId="76F2BB82" w14:textId="77777777" w:rsidR="008D2D27" w:rsidRPr="007A72C1" w:rsidRDefault="008D2D27" w:rsidP="008D2D27">
      <w:pPr>
        <w:pStyle w:val="ListParagraph"/>
        <w:numPr>
          <w:ilvl w:val="0"/>
          <w:numId w:val="4"/>
        </w:numPr>
        <w:autoSpaceDE w:val="0"/>
        <w:autoSpaceDN w:val="0"/>
        <w:adjustRightInd w:val="0"/>
        <w:spacing w:after="0" w:line="480" w:lineRule="auto"/>
        <w:rPr>
          <w:rFonts w:ascii="Arial" w:hAnsi="Arial" w:cs="Arial"/>
        </w:rPr>
      </w:pPr>
      <w:proofErr w:type="spellStart"/>
      <w:r w:rsidRPr="00256BFD">
        <w:rPr>
          <w:rFonts w:ascii="Arial" w:hAnsi="Arial" w:cs="Arial"/>
        </w:rPr>
        <w:t>Baio</w:t>
      </w:r>
      <w:proofErr w:type="spellEnd"/>
      <w:r w:rsidRPr="00256BFD">
        <w:rPr>
          <w:rFonts w:ascii="Arial" w:hAnsi="Arial" w:cs="Arial"/>
        </w:rPr>
        <w:t xml:space="preserve"> G, </w:t>
      </w:r>
      <w:proofErr w:type="spellStart"/>
      <w:r w:rsidRPr="00256BFD">
        <w:rPr>
          <w:rFonts w:ascii="Arial" w:hAnsi="Arial" w:cs="Arial"/>
        </w:rPr>
        <w:t>Dawid</w:t>
      </w:r>
      <w:proofErr w:type="spellEnd"/>
      <w:r w:rsidRPr="00256BFD">
        <w:rPr>
          <w:rFonts w:ascii="Arial" w:hAnsi="Arial" w:cs="Arial"/>
        </w:rPr>
        <w:t xml:space="preserve"> AP. Probabilistic sensitivity analysis in health economics. Statistical methods in medical research. 2015 Dec;24(6):615-34.</w:t>
      </w:r>
    </w:p>
    <w:p w14:paraId="59106A5A" w14:textId="77777777" w:rsidR="008D2D27" w:rsidRPr="007A72C1" w:rsidRDefault="008D2D27" w:rsidP="008D2D27">
      <w:pPr>
        <w:pStyle w:val="ListParagraph"/>
        <w:rPr>
          <w:rFonts w:ascii="Arial" w:hAnsi="Arial" w:cs="Arial"/>
        </w:rPr>
      </w:pPr>
    </w:p>
    <w:p w14:paraId="65CCEFE9" w14:textId="77777777" w:rsidR="008D2D27" w:rsidRDefault="008D2D27" w:rsidP="008D2D27">
      <w:pPr>
        <w:pStyle w:val="ListParagraph"/>
        <w:numPr>
          <w:ilvl w:val="0"/>
          <w:numId w:val="4"/>
        </w:numPr>
        <w:autoSpaceDE w:val="0"/>
        <w:autoSpaceDN w:val="0"/>
        <w:adjustRightInd w:val="0"/>
        <w:spacing w:after="0" w:line="480" w:lineRule="auto"/>
        <w:rPr>
          <w:rFonts w:ascii="Arial" w:hAnsi="Arial" w:cs="Arial"/>
        </w:rPr>
      </w:pPr>
      <w:r w:rsidRPr="000D5DCC">
        <w:rPr>
          <w:rFonts w:ascii="Arial" w:hAnsi="Arial" w:cs="Arial"/>
        </w:rPr>
        <w:t>Fenwick E, O'Brien BJ, Briggs A. Cost</w:t>
      </w:r>
      <w:r w:rsidRPr="000D5DCC">
        <w:rPr>
          <w:rFonts w:ascii="Cambria Math" w:hAnsi="Cambria Math" w:cs="Cambria Math"/>
        </w:rPr>
        <w:t>‐</w:t>
      </w:r>
      <w:r w:rsidRPr="000D5DCC">
        <w:rPr>
          <w:rFonts w:ascii="Arial" w:hAnsi="Arial" w:cs="Arial"/>
        </w:rPr>
        <w:t>effectiveness acceptability curves–facts, fallacies and frequently asked questions. Health economics 2004;13(5):405-15</w:t>
      </w:r>
    </w:p>
    <w:p w14:paraId="021CA919" w14:textId="77777777" w:rsidR="008D2D27" w:rsidRPr="00B21A83" w:rsidRDefault="008D2D27" w:rsidP="008D2D27">
      <w:pPr>
        <w:pStyle w:val="ListParagraph"/>
        <w:rPr>
          <w:rFonts w:ascii="Arial" w:hAnsi="Arial" w:cs="Arial"/>
        </w:rPr>
      </w:pPr>
    </w:p>
    <w:p w14:paraId="208FC354" w14:textId="77777777" w:rsidR="008D2D27" w:rsidRDefault="008D2D27" w:rsidP="008D2D27">
      <w:pPr>
        <w:pStyle w:val="ListParagraph"/>
        <w:numPr>
          <w:ilvl w:val="0"/>
          <w:numId w:val="4"/>
        </w:numPr>
        <w:autoSpaceDE w:val="0"/>
        <w:autoSpaceDN w:val="0"/>
        <w:adjustRightInd w:val="0"/>
        <w:spacing w:after="0" w:line="480" w:lineRule="auto"/>
        <w:rPr>
          <w:rFonts w:ascii="Arial" w:hAnsi="Arial" w:cs="Arial"/>
        </w:rPr>
      </w:pPr>
      <w:proofErr w:type="spellStart"/>
      <w:r>
        <w:rPr>
          <w:rFonts w:ascii="Arial" w:hAnsi="Arial" w:cs="Arial"/>
        </w:rPr>
        <w:t>Sinanovic</w:t>
      </w:r>
      <w:proofErr w:type="spellEnd"/>
      <w:r>
        <w:rPr>
          <w:rFonts w:ascii="Arial" w:hAnsi="Arial" w:cs="Arial"/>
        </w:rPr>
        <w:t xml:space="preserve"> E, </w:t>
      </w:r>
      <w:proofErr w:type="spellStart"/>
      <w:r>
        <w:rPr>
          <w:rFonts w:ascii="Arial" w:hAnsi="Arial" w:cs="Arial"/>
        </w:rPr>
        <w:t>Ramma</w:t>
      </w:r>
      <w:proofErr w:type="spellEnd"/>
      <w:r>
        <w:rPr>
          <w:rFonts w:ascii="Arial" w:hAnsi="Arial" w:cs="Arial"/>
        </w:rPr>
        <w:t xml:space="preserve"> L, </w:t>
      </w:r>
      <w:proofErr w:type="spellStart"/>
      <w:r>
        <w:rPr>
          <w:rFonts w:ascii="Arial" w:hAnsi="Arial" w:cs="Arial"/>
        </w:rPr>
        <w:t>Vassall</w:t>
      </w:r>
      <w:proofErr w:type="spellEnd"/>
      <w:r>
        <w:rPr>
          <w:rFonts w:ascii="Arial" w:hAnsi="Arial" w:cs="Arial"/>
        </w:rPr>
        <w:t xml:space="preserve"> A et al. Impact of reduced hospitalisation on the cost of treatment for drug-resistant tuberculosis in South Africa. </w:t>
      </w:r>
      <w:r w:rsidRPr="00280569">
        <w:rPr>
          <w:rFonts w:ascii="Arial" w:hAnsi="Arial" w:cs="Arial"/>
          <w:i/>
        </w:rPr>
        <w:t xml:space="preserve">Int J </w:t>
      </w:r>
      <w:proofErr w:type="spellStart"/>
      <w:r w:rsidRPr="00280569">
        <w:rPr>
          <w:rFonts w:ascii="Arial" w:hAnsi="Arial" w:cs="Arial"/>
          <w:i/>
        </w:rPr>
        <w:t>Tuberc</w:t>
      </w:r>
      <w:proofErr w:type="spellEnd"/>
      <w:r w:rsidRPr="00280569">
        <w:rPr>
          <w:rFonts w:ascii="Arial" w:hAnsi="Arial" w:cs="Arial"/>
          <w:i/>
        </w:rPr>
        <w:t xml:space="preserve"> Lung Dis</w:t>
      </w:r>
      <w:r w:rsidRPr="00322501">
        <w:rPr>
          <w:rFonts w:ascii="Arial" w:hAnsi="Arial" w:cs="Arial"/>
        </w:rPr>
        <w:t xml:space="preserve">. 2015; </w:t>
      </w:r>
      <w:r w:rsidRPr="00280569">
        <w:rPr>
          <w:rFonts w:ascii="Arial" w:hAnsi="Arial" w:cs="Arial"/>
          <w:b/>
        </w:rPr>
        <w:t>19(2)</w:t>
      </w:r>
      <w:r w:rsidRPr="00322501">
        <w:rPr>
          <w:rFonts w:ascii="Arial" w:hAnsi="Arial" w:cs="Arial"/>
        </w:rPr>
        <w:t>: 172–178. doi:10.5588/ijtld.14.0421</w:t>
      </w:r>
    </w:p>
    <w:p w14:paraId="46453D8B" w14:textId="77777777" w:rsidR="008D2D27" w:rsidRPr="00DA6171" w:rsidRDefault="008D2D27" w:rsidP="008D2D27">
      <w:pPr>
        <w:pStyle w:val="ListParagraph"/>
        <w:rPr>
          <w:rFonts w:ascii="Arial" w:hAnsi="Arial" w:cs="Arial"/>
        </w:rPr>
      </w:pPr>
    </w:p>
    <w:p w14:paraId="6956C7AC" w14:textId="77777777" w:rsidR="008D2D27" w:rsidRDefault="008D2D27" w:rsidP="008D2D27">
      <w:pPr>
        <w:pStyle w:val="ListParagraph"/>
        <w:numPr>
          <w:ilvl w:val="0"/>
          <w:numId w:val="4"/>
        </w:numPr>
        <w:autoSpaceDE w:val="0"/>
        <w:autoSpaceDN w:val="0"/>
        <w:adjustRightInd w:val="0"/>
        <w:spacing w:after="0" w:line="480" w:lineRule="auto"/>
        <w:rPr>
          <w:rFonts w:ascii="Arial" w:hAnsi="Arial" w:cs="Arial"/>
        </w:rPr>
      </w:pPr>
      <w:r w:rsidRPr="00570715">
        <w:rPr>
          <w:rFonts w:ascii="Arial" w:hAnsi="Arial" w:cs="Arial"/>
          <w:lang w:val="da-DK"/>
        </w:rPr>
        <w:t xml:space="preserve">Loveday M, Wallengren K, Reddy T, et al. </w:t>
      </w:r>
      <w:r w:rsidRPr="00766F91">
        <w:rPr>
          <w:rFonts w:ascii="Arial" w:hAnsi="Arial" w:cs="Arial"/>
        </w:rPr>
        <w:t>MDR-TB patients in KwaZulu-Natal, South Africa: Cost-effectiveness of 5 models of care. </w:t>
      </w:r>
      <w:proofErr w:type="spellStart"/>
      <w:r w:rsidRPr="00280569">
        <w:rPr>
          <w:rFonts w:ascii="Arial" w:hAnsi="Arial" w:cs="Arial"/>
          <w:i/>
        </w:rPr>
        <w:t>PLoS</w:t>
      </w:r>
      <w:proofErr w:type="spellEnd"/>
      <w:r w:rsidRPr="00280569">
        <w:rPr>
          <w:rFonts w:ascii="Arial" w:hAnsi="Arial" w:cs="Arial"/>
          <w:i/>
        </w:rPr>
        <w:t xml:space="preserve"> One</w:t>
      </w:r>
      <w:r>
        <w:rPr>
          <w:rFonts w:ascii="Arial" w:hAnsi="Arial" w:cs="Arial"/>
        </w:rPr>
        <w:t xml:space="preserve"> 2018; </w:t>
      </w:r>
      <w:r w:rsidRPr="00280569">
        <w:rPr>
          <w:rFonts w:ascii="Arial" w:hAnsi="Arial" w:cs="Arial"/>
          <w:b/>
        </w:rPr>
        <w:t>13(4</w:t>
      </w:r>
      <w:proofErr w:type="gramStart"/>
      <w:r w:rsidRPr="00280569">
        <w:rPr>
          <w:rFonts w:ascii="Arial" w:hAnsi="Arial" w:cs="Arial"/>
          <w:b/>
        </w:rPr>
        <w:t>)</w:t>
      </w:r>
      <w:r>
        <w:rPr>
          <w:rFonts w:ascii="Arial" w:hAnsi="Arial" w:cs="Arial"/>
        </w:rPr>
        <w:t>:e</w:t>
      </w:r>
      <w:proofErr w:type="gramEnd"/>
      <w:r>
        <w:rPr>
          <w:rFonts w:ascii="Arial" w:hAnsi="Arial" w:cs="Arial"/>
        </w:rPr>
        <w:t xml:space="preserve">0196003. </w:t>
      </w:r>
      <w:proofErr w:type="gramStart"/>
      <w:r w:rsidRPr="00766F91">
        <w:rPr>
          <w:rFonts w:ascii="Arial" w:hAnsi="Arial" w:cs="Arial"/>
        </w:rPr>
        <w:t>doi:10.1371/journal.pone</w:t>
      </w:r>
      <w:proofErr w:type="gramEnd"/>
      <w:r w:rsidRPr="00766F91">
        <w:rPr>
          <w:rFonts w:ascii="Arial" w:hAnsi="Arial" w:cs="Arial"/>
        </w:rPr>
        <w:t>.0196003</w:t>
      </w:r>
    </w:p>
    <w:p w14:paraId="41370AF2" w14:textId="77777777" w:rsidR="008D2D27" w:rsidRPr="00B21A83" w:rsidRDefault="008D2D27" w:rsidP="008D2D27">
      <w:pPr>
        <w:pStyle w:val="ListParagraph"/>
        <w:rPr>
          <w:rFonts w:ascii="Arial" w:hAnsi="Arial" w:cs="Arial"/>
        </w:rPr>
      </w:pPr>
    </w:p>
    <w:p w14:paraId="77ABAA3F" w14:textId="77777777" w:rsidR="008D2D27" w:rsidRDefault="008D2D27" w:rsidP="008D2D27">
      <w:pPr>
        <w:pStyle w:val="ListParagraph"/>
        <w:numPr>
          <w:ilvl w:val="0"/>
          <w:numId w:val="4"/>
        </w:numPr>
        <w:autoSpaceDE w:val="0"/>
        <w:autoSpaceDN w:val="0"/>
        <w:adjustRightInd w:val="0"/>
        <w:spacing w:after="0" w:line="480" w:lineRule="auto"/>
        <w:rPr>
          <w:rFonts w:ascii="Arial" w:hAnsi="Arial" w:cs="Arial"/>
        </w:rPr>
      </w:pPr>
      <w:r w:rsidRPr="00CC5B83">
        <w:rPr>
          <w:rFonts w:ascii="Arial" w:hAnsi="Arial" w:cs="Arial"/>
        </w:rPr>
        <w:t xml:space="preserve">Royston P. Multiple imputations of missing values. The Stata Journal 2004, </w:t>
      </w:r>
      <w:r w:rsidRPr="00280569">
        <w:rPr>
          <w:rFonts w:ascii="Arial" w:hAnsi="Arial" w:cs="Arial"/>
          <w:b/>
        </w:rPr>
        <w:t>3</w:t>
      </w:r>
      <w:r w:rsidRPr="00CC5B83">
        <w:rPr>
          <w:rFonts w:ascii="Arial" w:hAnsi="Arial" w:cs="Arial"/>
        </w:rPr>
        <w:t>:227-241.</w:t>
      </w:r>
    </w:p>
    <w:p w14:paraId="0FAF25E8" w14:textId="77777777" w:rsidR="008D2D27" w:rsidRPr="00B21A83" w:rsidRDefault="008D2D27" w:rsidP="008D2D27">
      <w:pPr>
        <w:pStyle w:val="ListParagraph"/>
        <w:rPr>
          <w:rFonts w:ascii="Arial" w:hAnsi="Arial" w:cs="Arial"/>
        </w:rPr>
      </w:pPr>
    </w:p>
    <w:p w14:paraId="4D4DE1DD" w14:textId="77777777" w:rsidR="008D2D27" w:rsidRDefault="008D2D27" w:rsidP="008D2D27">
      <w:pPr>
        <w:pStyle w:val="ListParagraph"/>
        <w:numPr>
          <w:ilvl w:val="0"/>
          <w:numId w:val="4"/>
        </w:numPr>
        <w:autoSpaceDE w:val="0"/>
        <w:autoSpaceDN w:val="0"/>
        <w:adjustRightInd w:val="0"/>
        <w:spacing w:after="0" w:line="480" w:lineRule="auto"/>
        <w:rPr>
          <w:rFonts w:ascii="Arial" w:hAnsi="Arial" w:cs="Arial"/>
        </w:rPr>
      </w:pPr>
      <w:r w:rsidRPr="00815142">
        <w:rPr>
          <w:rFonts w:ascii="Arial" w:hAnsi="Arial" w:cs="Arial"/>
        </w:rPr>
        <w:t xml:space="preserve">Van den Hof S, Collins D, </w:t>
      </w:r>
      <w:proofErr w:type="spellStart"/>
      <w:r w:rsidRPr="00815142">
        <w:rPr>
          <w:rFonts w:ascii="Arial" w:hAnsi="Arial" w:cs="Arial"/>
        </w:rPr>
        <w:t>Hafidz</w:t>
      </w:r>
      <w:proofErr w:type="spellEnd"/>
      <w:r w:rsidRPr="00815142">
        <w:rPr>
          <w:rFonts w:ascii="Arial" w:hAnsi="Arial" w:cs="Arial"/>
        </w:rPr>
        <w:t xml:space="preserve"> F, </w:t>
      </w:r>
      <w:proofErr w:type="spellStart"/>
      <w:r w:rsidRPr="00815142">
        <w:rPr>
          <w:rFonts w:ascii="Arial" w:hAnsi="Arial" w:cs="Arial"/>
        </w:rPr>
        <w:t>Beyene</w:t>
      </w:r>
      <w:proofErr w:type="spellEnd"/>
      <w:r w:rsidRPr="00815142">
        <w:rPr>
          <w:rFonts w:ascii="Arial" w:hAnsi="Arial" w:cs="Arial"/>
        </w:rPr>
        <w:t xml:space="preserve"> D, </w:t>
      </w:r>
      <w:proofErr w:type="spellStart"/>
      <w:r w:rsidRPr="00815142">
        <w:rPr>
          <w:rFonts w:ascii="Arial" w:hAnsi="Arial" w:cs="Arial"/>
        </w:rPr>
        <w:t>Tursynbayeva</w:t>
      </w:r>
      <w:proofErr w:type="spellEnd"/>
      <w:r w:rsidRPr="00815142">
        <w:rPr>
          <w:rFonts w:ascii="Arial" w:hAnsi="Arial" w:cs="Arial"/>
        </w:rPr>
        <w:t xml:space="preserve"> A, </w:t>
      </w:r>
      <w:proofErr w:type="spellStart"/>
      <w:r w:rsidRPr="00815142">
        <w:rPr>
          <w:rFonts w:ascii="Arial" w:hAnsi="Arial" w:cs="Arial"/>
        </w:rPr>
        <w:t>Tiemersma</w:t>
      </w:r>
      <w:proofErr w:type="spellEnd"/>
      <w:r w:rsidRPr="00815142">
        <w:rPr>
          <w:rFonts w:ascii="Arial" w:hAnsi="Arial" w:cs="Arial"/>
        </w:rPr>
        <w:t xml:space="preserve"> E. The socioeconomic impact of multidrug resistant tuberculosis on patients: results from Ethiopia, Indonesia and Kazakhstan. </w:t>
      </w:r>
      <w:r w:rsidRPr="00280569">
        <w:rPr>
          <w:rFonts w:ascii="Arial" w:hAnsi="Arial" w:cs="Arial"/>
          <w:i/>
        </w:rPr>
        <w:t>BMC Infectious Diseases</w:t>
      </w:r>
      <w:r>
        <w:rPr>
          <w:rFonts w:ascii="Arial" w:hAnsi="Arial" w:cs="Arial"/>
        </w:rPr>
        <w:t xml:space="preserve"> </w:t>
      </w:r>
      <w:r w:rsidRPr="00815142">
        <w:rPr>
          <w:rFonts w:ascii="Arial" w:hAnsi="Arial" w:cs="Arial"/>
        </w:rPr>
        <w:t>2016;</w:t>
      </w:r>
      <w:r>
        <w:rPr>
          <w:rFonts w:ascii="Arial" w:hAnsi="Arial" w:cs="Arial"/>
        </w:rPr>
        <w:t xml:space="preserve"> </w:t>
      </w:r>
      <w:r w:rsidRPr="00280569">
        <w:rPr>
          <w:rFonts w:ascii="Arial" w:hAnsi="Arial" w:cs="Arial"/>
          <w:b/>
        </w:rPr>
        <w:t>16(1)</w:t>
      </w:r>
      <w:r w:rsidRPr="00815142">
        <w:rPr>
          <w:rFonts w:ascii="Arial" w:hAnsi="Arial" w:cs="Arial"/>
        </w:rPr>
        <w:t>:470.</w:t>
      </w:r>
      <w:r>
        <w:rPr>
          <w:rFonts w:ascii="Arial" w:hAnsi="Arial" w:cs="Arial"/>
        </w:rPr>
        <w:t xml:space="preserve"> </w:t>
      </w:r>
      <w:proofErr w:type="spellStart"/>
      <w:r w:rsidRPr="00CC5B83">
        <w:rPr>
          <w:rFonts w:ascii="Arial" w:hAnsi="Arial" w:cs="Arial"/>
        </w:rPr>
        <w:t>doi</w:t>
      </w:r>
      <w:proofErr w:type="spellEnd"/>
      <w:r w:rsidRPr="00CC5B83">
        <w:rPr>
          <w:rFonts w:ascii="Arial" w:hAnsi="Arial" w:cs="Arial"/>
        </w:rPr>
        <w:t>:</w:t>
      </w:r>
      <w:r>
        <w:rPr>
          <w:rFonts w:ascii="Arial" w:hAnsi="Arial" w:cs="Arial"/>
          <w:color w:val="000000"/>
          <w:sz w:val="17"/>
          <w:szCs w:val="17"/>
          <w:shd w:val="clear" w:color="auto" w:fill="FFFFFF"/>
        </w:rPr>
        <w:t xml:space="preserve"> </w:t>
      </w:r>
      <w:r w:rsidRPr="00CC5B83">
        <w:rPr>
          <w:rFonts w:ascii="Arial" w:hAnsi="Arial" w:cs="Arial"/>
        </w:rPr>
        <w:t>10.1186/s12879-016-1802-x.</w:t>
      </w:r>
    </w:p>
    <w:p w14:paraId="3FDEB80C" w14:textId="77777777" w:rsidR="008D2D27" w:rsidRPr="00B21A83" w:rsidRDefault="008D2D27" w:rsidP="008D2D27">
      <w:pPr>
        <w:pStyle w:val="ListParagraph"/>
        <w:rPr>
          <w:rFonts w:ascii="Arial" w:hAnsi="Arial" w:cs="Arial"/>
        </w:rPr>
      </w:pPr>
    </w:p>
    <w:p w14:paraId="5E477940" w14:textId="77777777" w:rsidR="008D2D27" w:rsidRPr="00B21A83" w:rsidRDefault="008D2D27" w:rsidP="008D2D27">
      <w:pPr>
        <w:pStyle w:val="ListParagraph"/>
        <w:numPr>
          <w:ilvl w:val="0"/>
          <w:numId w:val="4"/>
        </w:numPr>
        <w:autoSpaceDE w:val="0"/>
        <w:autoSpaceDN w:val="0"/>
        <w:adjustRightInd w:val="0"/>
        <w:spacing w:after="0" w:line="480" w:lineRule="auto"/>
        <w:rPr>
          <w:rFonts w:ascii="Arial" w:hAnsi="Arial" w:cs="Arial"/>
        </w:rPr>
      </w:pPr>
      <w:r w:rsidRPr="006333A9">
        <w:rPr>
          <w:rFonts w:ascii="Arial" w:hAnsi="Arial" w:cs="Arial"/>
          <w:color w:val="000000"/>
          <w:shd w:val="clear" w:color="auto" w:fill="FFFFFF"/>
        </w:rPr>
        <w:t>WHO treatment g</w:t>
      </w:r>
      <w:r w:rsidRPr="006333A9">
        <w:rPr>
          <w:rStyle w:val="ref-journal"/>
          <w:rFonts w:ascii="Arial" w:hAnsi="Arial" w:cs="Arial"/>
          <w:color w:val="000000"/>
          <w:shd w:val="clear" w:color="auto" w:fill="FFFFFF"/>
        </w:rPr>
        <w:t>uidelines for drug-resistant tuberculosis.</w:t>
      </w:r>
      <w:r w:rsidRPr="006333A9">
        <w:rPr>
          <w:rFonts w:ascii="Arial" w:hAnsi="Arial" w:cs="Arial"/>
          <w:color w:val="000000"/>
          <w:shd w:val="clear" w:color="auto" w:fill="FFFFFF"/>
        </w:rPr>
        <w:t xml:space="preserve"> Geneva: World Health Organization 2016 update. </w:t>
      </w:r>
      <w:r>
        <w:rPr>
          <w:rFonts w:ascii="Arial" w:hAnsi="Arial" w:cs="Arial"/>
          <w:color w:val="000000"/>
          <w:shd w:val="clear" w:color="auto" w:fill="FFFFFF"/>
        </w:rPr>
        <w:t>(</w:t>
      </w:r>
      <w:hyperlink r:id="rId21" w:history="1">
        <w:r w:rsidRPr="000E03E5">
          <w:rPr>
            <w:rStyle w:val="Hyperlink"/>
            <w:rFonts w:ascii="Arial" w:hAnsi="Arial" w:cs="Arial"/>
            <w:shd w:val="clear" w:color="auto" w:fill="FFFFFF"/>
          </w:rPr>
          <w:t>https://apps.who.int/iris/bitstream/handle/10665/250125/9789241549639-eng.pdf;jsessionid=03C839DA84194B730355700282D2D9F7?sequence=1</w:t>
        </w:r>
      </w:hyperlink>
      <w:r>
        <w:rPr>
          <w:rFonts w:ascii="Arial" w:hAnsi="Arial" w:cs="Arial"/>
          <w:color w:val="000000"/>
          <w:shd w:val="clear" w:color="auto" w:fill="FFFFFF"/>
        </w:rPr>
        <w:t xml:space="preserve">) [Accessed 27.01.2019]. </w:t>
      </w:r>
    </w:p>
    <w:p w14:paraId="770384BB" w14:textId="77777777" w:rsidR="008D2D27" w:rsidRDefault="008D2D27" w:rsidP="008D2D27">
      <w:pPr>
        <w:pStyle w:val="ListParagraph"/>
        <w:rPr>
          <w:rFonts w:ascii="Arial" w:hAnsi="Arial" w:cs="Arial"/>
        </w:rPr>
      </w:pPr>
    </w:p>
    <w:p w14:paraId="5D07FD22" w14:textId="77777777" w:rsidR="008D2D27" w:rsidRDefault="008D2D27" w:rsidP="008D2D27">
      <w:pPr>
        <w:pStyle w:val="ListParagraph"/>
        <w:numPr>
          <w:ilvl w:val="0"/>
          <w:numId w:val="4"/>
        </w:numPr>
        <w:shd w:val="clear" w:color="auto" w:fill="FFFFFF"/>
        <w:spacing w:after="0" w:line="480" w:lineRule="auto"/>
        <w:rPr>
          <w:rFonts w:ascii="Arial" w:hAnsi="Arial" w:cs="Arial"/>
        </w:rPr>
      </w:pPr>
      <w:r w:rsidRPr="006333A9">
        <w:rPr>
          <w:rFonts w:ascii="Arial" w:hAnsi="Arial" w:cs="Arial"/>
        </w:rPr>
        <w:t>Meressa D, Hurtado RM, Andrews JR, et al</w:t>
      </w:r>
      <w:r>
        <w:rPr>
          <w:rFonts w:ascii="Arial" w:hAnsi="Arial" w:cs="Arial"/>
        </w:rPr>
        <w:t xml:space="preserve"> </w:t>
      </w:r>
      <w:r w:rsidRPr="006333A9">
        <w:rPr>
          <w:rFonts w:ascii="Arial" w:hAnsi="Arial" w:cs="Arial"/>
        </w:rPr>
        <w:t>Achieving high treatment success for</w:t>
      </w:r>
      <w:r>
        <w:rPr>
          <w:rFonts w:ascii="Arial" w:hAnsi="Arial" w:cs="Arial"/>
        </w:rPr>
        <w:t xml:space="preserve"> </w:t>
      </w:r>
      <w:r w:rsidRPr="006333A9">
        <w:rPr>
          <w:rFonts w:ascii="Arial" w:hAnsi="Arial" w:cs="Arial"/>
        </w:rPr>
        <w:t>multidrug-resistant TB in Africa: initiation and scale-up of MDR TB care in Ethiopia</w:t>
      </w:r>
      <w:r>
        <w:rPr>
          <w:rFonts w:ascii="Arial" w:hAnsi="Arial" w:cs="Arial"/>
        </w:rPr>
        <w:t>-</w:t>
      </w:r>
      <w:r w:rsidRPr="006333A9">
        <w:rPr>
          <w:rFonts w:ascii="Arial" w:hAnsi="Arial" w:cs="Arial"/>
        </w:rPr>
        <w:t>an observational cohort study</w:t>
      </w:r>
      <w:r>
        <w:rPr>
          <w:rFonts w:ascii="Arial" w:hAnsi="Arial" w:cs="Arial"/>
        </w:rPr>
        <w:t xml:space="preserve">, </w:t>
      </w:r>
      <w:r w:rsidRPr="006333A9">
        <w:rPr>
          <w:rFonts w:ascii="Arial" w:hAnsi="Arial" w:cs="Arial"/>
        </w:rPr>
        <w:t>Thorax 2015;70:1181-1188.</w:t>
      </w:r>
    </w:p>
    <w:bookmarkEnd w:id="26"/>
    <w:bookmarkEnd w:id="27"/>
    <w:p w14:paraId="74F7169C" w14:textId="673D1545" w:rsidR="00514FC6" w:rsidRPr="006C457B" w:rsidRDefault="00514FC6" w:rsidP="00B25397">
      <w:pPr>
        <w:autoSpaceDE w:val="0"/>
        <w:autoSpaceDN w:val="0"/>
        <w:adjustRightInd w:val="0"/>
        <w:spacing w:after="0" w:line="240" w:lineRule="auto"/>
      </w:pPr>
    </w:p>
    <w:sectPr w:rsidR="00514FC6" w:rsidRPr="006C457B" w:rsidSect="00C41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36F69" w14:textId="77777777" w:rsidR="00E672B5" w:rsidRDefault="00E672B5" w:rsidP="00887194">
      <w:pPr>
        <w:spacing w:after="0" w:line="240" w:lineRule="auto"/>
      </w:pPr>
      <w:r>
        <w:separator/>
      </w:r>
    </w:p>
  </w:endnote>
  <w:endnote w:type="continuationSeparator" w:id="0">
    <w:p w14:paraId="6ABEB6D3" w14:textId="77777777" w:rsidR="00E672B5" w:rsidRDefault="00E672B5" w:rsidP="00887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26101"/>
      <w:docPartObj>
        <w:docPartGallery w:val="Page Numbers (Bottom of Page)"/>
        <w:docPartUnique/>
      </w:docPartObj>
    </w:sdtPr>
    <w:sdtEndPr>
      <w:rPr>
        <w:noProof/>
      </w:rPr>
    </w:sdtEndPr>
    <w:sdtContent>
      <w:p w14:paraId="0327BAA6" w14:textId="77777777" w:rsidR="005F4AE6" w:rsidRDefault="005F4AE6">
        <w:pPr>
          <w:pStyle w:val="Footer"/>
          <w:jc w:val="right"/>
        </w:pPr>
      </w:p>
      <w:p w14:paraId="11AD15F1" w14:textId="1B0B9563" w:rsidR="005F4AE6" w:rsidRDefault="005F4AE6">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4A197760" w14:textId="77777777" w:rsidR="005F4AE6" w:rsidRDefault="005F4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A4346" w14:textId="77777777" w:rsidR="00E672B5" w:rsidRDefault="00E672B5" w:rsidP="00887194">
      <w:pPr>
        <w:spacing w:after="0" w:line="240" w:lineRule="auto"/>
      </w:pPr>
      <w:r>
        <w:separator/>
      </w:r>
    </w:p>
  </w:footnote>
  <w:footnote w:type="continuationSeparator" w:id="0">
    <w:p w14:paraId="1CD09BE5" w14:textId="77777777" w:rsidR="00E672B5" w:rsidRDefault="00E672B5" w:rsidP="00887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770A"/>
    <w:multiLevelType w:val="hybridMultilevel"/>
    <w:tmpl w:val="62641960"/>
    <w:lvl w:ilvl="0" w:tplc="E4F65E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903E87"/>
    <w:multiLevelType w:val="hybridMultilevel"/>
    <w:tmpl w:val="A5229B40"/>
    <w:lvl w:ilvl="0" w:tplc="4A76F6DA">
      <w:start w:val="1"/>
      <w:numFmt w:val="lowerRoman"/>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8D5A00"/>
    <w:multiLevelType w:val="hybridMultilevel"/>
    <w:tmpl w:val="2BA0FB04"/>
    <w:lvl w:ilvl="0" w:tplc="4C641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133C5"/>
    <w:multiLevelType w:val="hybridMultilevel"/>
    <w:tmpl w:val="69EC1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345EF8"/>
    <w:multiLevelType w:val="hybridMultilevel"/>
    <w:tmpl w:val="A5229B40"/>
    <w:lvl w:ilvl="0" w:tplc="4A76F6DA">
      <w:start w:val="1"/>
      <w:numFmt w:val="lowerRoman"/>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D50"/>
    <w:rsid w:val="000027BF"/>
    <w:rsid w:val="00003D66"/>
    <w:rsid w:val="00006A3E"/>
    <w:rsid w:val="00007EA7"/>
    <w:rsid w:val="0001145D"/>
    <w:rsid w:val="0001253F"/>
    <w:rsid w:val="000200B3"/>
    <w:rsid w:val="00024B2C"/>
    <w:rsid w:val="00024C64"/>
    <w:rsid w:val="00026A2A"/>
    <w:rsid w:val="00026B79"/>
    <w:rsid w:val="0002771B"/>
    <w:rsid w:val="000309E7"/>
    <w:rsid w:val="00031029"/>
    <w:rsid w:val="00031C4B"/>
    <w:rsid w:val="0003460C"/>
    <w:rsid w:val="000355B9"/>
    <w:rsid w:val="00035678"/>
    <w:rsid w:val="00035C0A"/>
    <w:rsid w:val="00043393"/>
    <w:rsid w:val="00047D39"/>
    <w:rsid w:val="00047E21"/>
    <w:rsid w:val="000538EF"/>
    <w:rsid w:val="00053F63"/>
    <w:rsid w:val="00054916"/>
    <w:rsid w:val="00056AF3"/>
    <w:rsid w:val="00066B8B"/>
    <w:rsid w:val="0007312E"/>
    <w:rsid w:val="0007470B"/>
    <w:rsid w:val="00075C4A"/>
    <w:rsid w:val="00076956"/>
    <w:rsid w:val="00077E3B"/>
    <w:rsid w:val="00080016"/>
    <w:rsid w:val="00081127"/>
    <w:rsid w:val="00081C64"/>
    <w:rsid w:val="00081CCF"/>
    <w:rsid w:val="00082DAB"/>
    <w:rsid w:val="00084094"/>
    <w:rsid w:val="000865AD"/>
    <w:rsid w:val="0008665D"/>
    <w:rsid w:val="000900CB"/>
    <w:rsid w:val="0009050D"/>
    <w:rsid w:val="000932BB"/>
    <w:rsid w:val="00097706"/>
    <w:rsid w:val="000A0802"/>
    <w:rsid w:val="000A1D5D"/>
    <w:rsid w:val="000A252A"/>
    <w:rsid w:val="000A34E1"/>
    <w:rsid w:val="000A38DE"/>
    <w:rsid w:val="000A5168"/>
    <w:rsid w:val="000A57CF"/>
    <w:rsid w:val="000A6D16"/>
    <w:rsid w:val="000B0976"/>
    <w:rsid w:val="000B1B83"/>
    <w:rsid w:val="000B3145"/>
    <w:rsid w:val="000B4471"/>
    <w:rsid w:val="000B556E"/>
    <w:rsid w:val="000B7119"/>
    <w:rsid w:val="000B7153"/>
    <w:rsid w:val="000C0828"/>
    <w:rsid w:val="000C0A4C"/>
    <w:rsid w:val="000C10E9"/>
    <w:rsid w:val="000C283D"/>
    <w:rsid w:val="000C362E"/>
    <w:rsid w:val="000D0AF5"/>
    <w:rsid w:val="000D1A82"/>
    <w:rsid w:val="000D235E"/>
    <w:rsid w:val="000D39CF"/>
    <w:rsid w:val="000D4E0B"/>
    <w:rsid w:val="000D79AE"/>
    <w:rsid w:val="000E0063"/>
    <w:rsid w:val="000E1ED9"/>
    <w:rsid w:val="000E43E8"/>
    <w:rsid w:val="000E730B"/>
    <w:rsid w:val="000E7F3B"/>
    <w:rsid w:val="000F0D44"/>
    <w:rsid w:val="000F347C"/>
    <w:rsid w:val="000F657B"/>
    <w:rsid w:val="000F7CEB"/>
    <w:rsid w:val="00101854"/>
    <w:rsid w:val="00104C72"/>
    <w:rsid w:val="00105463"/>
    <w:rsid w:val="00107CEA"/>
    <w:rsid w:val="00111E78"/>
    <w:rsid w:val="001138E9"/>
    <w:rsid w:val="0011495D"/>
    <w:rsid w:val="001154C9"/>
    <w:rsid w:val="001162B0"/>
    <w:rsid w:val="00122C9D"/>
    <w:rsid w:val="001241AF"/>
    <w:rsid w:val="0012540D"/>
    <w:rsid w:val="00126AD5"/>
    <w:rsid w:val="001310DC"/>
    <w:rsid w:val="00131433"/>
    <w:rsid w:val="00132300"/>
    <w:rsid w:val="001325CC"/>
    <w:rsid w:val="0013328F"/>
    <w:rsid w:val="00134FB2"/>
    <w:rsid w:val="00135403"/>
    <w:rsid w:val="001358CE"/>
    <w:rsid w:val="00136583"/>
    <w:rsid w:val="00141C02"/>
    <w:rsid w:val="00144284"/>
    <w:rsid w:val="0014627C"/>
    <w:rsid w:val="00151E21"/>
    <w:rsid w:val="00153B12"/>
    <w:rsid w:val="001559A5"/>
    <w:rsid w:val="00156D2F"/>
    <w:rsid w:val="00160405"/>
    <w:rsid w:val="00161834"/>
    <w:rsid w:val="00162FFF"/>
    <w:rsid w:val="00165B34"/>
    <w:rsid w:val="001668BB"/>
    <w:rsid w:val="00170C19"/>
    <w:rsid w:val="00171911"/>
    <w:rsid w:val="00175C4C"/>
    <w:rsid w:val="00177B84"/>
    <w:rsid w:val="00180E3B"/>
    <w:rsid w:val="00183165"/>
    <w:rsid w:val="00185097"/>
    <w:rsid w:val="0018509F"/>
    <w:rsid w:val="001870EF"/>
    <w:rsid w:val="00187562"/>
    <w:rsid w:val="001901EA"/>
    <w:rsid w:val="001913B7"/>
    <w:rsid w:val="00191888"/>
    <w:rsid w:val="00193080"/>
    <w:rsid w:val="001971AF"/>
    <w:rsid w:val="001A0258"/>
    <w:rsid w:val="001A094A"/>
    <w:rsid w:val="001A5347"/>
    <w:rsid w:val="001A7855"/>
    <w:rsid w:val="001B08AF"/>
    <w:rsid w:val="001B0D0E"/>
    <w:rsid w:val="001B2C70"/>
    <w:rsid w:val="001B34B9"/>
    <w:rsid w:val="001B4ECA"/>
    <w:rsid w:val="001B516B"/>
    <w:rsid w:val="001C18F6"/>
    <w:rsid w:val="001C330F"/>
    <w:rsid w:val="001C3FB1"/>
    <w:rsid w:val="001C7415"/>
    <w:rsid w:val="001C7B77"/>
    <w:rsid w:val="001D0635"/>
    <w:rsid w:val="001D1235"/>
    <w:rsid w:val="001D2950"/>
    <w:rsid w:val="001D431E"/>
    <w:rsid w:val="001E042F"/>
    <w:rsid w:val="001E55D0"/>
    <w:rsid w:val="001E55F9"/>
    <w:rsid w:val="001E6C0F"/>
    <w:rsid w:val="001E7C12"/>
    <w:rsid w:val="001F05E5"/>
    <w:rsid w:val="001F4C44"/>
    <w:rsid w:val="001F534E"/>
    <w:rsid w:val="001F5C7F"/>
    <w:rsid w:val="002002F0"/>
    <w:rsid w:val="00201475"/>
    <w:rsid w:val="00202679"/>
    <w:rsid w:val="00203EF0"/>
    <w:rsid w:val="002045C2"/>
    <w:rsid w:val="002051F8"/>
    <w:rsid w:val="00205FD7"/>
    <w:rsid w:val="00210E3D"/>
    <w:rsid w:val="00214ACE"/>
    <w:rsid w:val="00215616"/>
    <w:rsid w:val="002159BE"/>
    <w:rsid w:val="002166F3"/>
    <w:rsid w:val="0021680D"/>
    <w:rsid w:val="0022026D"/>
    <w:rsid w:val="00221F5C"/>
    <w:rsid w:val="00222A4E"/>
    <w:rsid w:val="00223603"/>
    <w:rsid w:val="0022387F"/>
    <w:rsid w:val="00225C43"/>
    <w:rsid w:val="00225E97"/>
    <w:rsid w:val="002268CD"/>
    <w:rsid w:val="002279BF"/>
    <w:rsid w:val="00230E81"/>
    <w:rsid w:val="002344DE"/>
    <w:rsid w:val="002355FF"/>
    <w:rsid w:val="002375ED"/>
    <w:rsid w:val="00240115"/>
    <w:rsid w:val="00240425"/>
    <w:rsid w:val="002420B3"/>
    <w:rsid w:val="00243E2E"/>
    <w:rsid w:val="00244DB9"/>
    <w:rsid w:val="002467A5"/>
    <w:rsid w:val="0025198D"/>
    <w:rsid w:val="00252503"/>
    <w:rsid w:val="00252516"/>
    <w:rsid w:val="00252D52"/>
    <w:rsid w:val="0025455E"/>
    <w:rsid w:val="0025483C"/>
    <w:rsid w:val="00255A8C"/>
    <w:rsid w:val="00256A5F"/>
    <w:rsid w:val="002579B9"/>
    <w:rsid w:val="00260A8F"/>
    <w:rsid w:val="00261BF9"/>
    <w:rsid w:val="00261E41"/>
    <w:rsid w:val="00264980"/>
    <w:rsid w:val="00265337"/>
    <w:rsid w:val="002654DA"/>
    <w:rsid w:val="00270357"/>
    <w:rsid w:val="0027241D"/>
    <w:rsid w:val="00274587"/>
    <w:rsid w:val="00274801"/>
    <w:rsid w:val="002763E5"/>
    <w:rsid w:val="00276786"/>
    <w:rsid w:val="00276E07"/>
    <w:rsid w:val="00280A61"/>
    <w:rsid w:val="0028229E"/>
    <w:rsid w:val="0028693A"/>
    <w:rsid w:val="00286E14"/>
    <w:rsid w:val="0028721E"/>
    <w:rsid w:val="00290DCD"/>
    <w:rsid w:val="00292DB1"/>
    <w:rsid w:val="00293346"/>
    <w:rsid w:val="00294377"/>
    <w:rsid w:val="002967FD"/>
    <w:rsid w:val="002A10A9"/>
    <w:rsid w:val="002A2DD4"/>
    <w:rsid w:val="002A37A9"/>
    <w:rsid w:val="002B0198"/>
    <w:rsid w:val="002B0347"/>
    <w:rsid w:val="002B1250"/>
    <w:rsid w:val="002B1384"/>
    <w:rsid w:val="002B3B7D"/>
    <w:rsid w:val="002B4A8F"/>
    <w:rsid w:val="002B5469"/>
    <w:rsid w:val="002B6FBB"/>
    <w:rsid w:val="002C0DFC"/>
    <w:rsid w:val="002C118D"/>
    <w:rsid w:val="002C41D9"/>
    <w:rsid w:val="002C446C"/>
    <w:rsid w:val="002C4D1F"/>
    <w:rsid w:val="002C51BE"/>
    <w:rsid w:val="002C70D1"/>
    <w:rsid w:val="002C7292"/>
    <w:rsid w:val="002C7481"/>
    <w:rsid w:val="002D0CB8"/>
    <w:rsid w:val="002D2433"/>
    <w:rsid w:val="002D3D5B"/>
    <w:rsid w:val="002D55D5"/>
    <w:rsid w:val="002E2814"/>
    <w:rsid w:val="002E2D99"/>
    <w:rsid w:val="002E483B"/>
    <w:rsid w:val="002E528C"/>
    <w:rsid w:val="002E600A"/>
    <w:rsid w:val="002E63DB"/>
    <w:rsid w:val="002F2D9F"/>
    <w:rsid w:val="002F3C13"/>
    <w:rsid w:val="002F3D54"/>
    <w:rsid w:val="002F402B"/>
    <w:rsid w:val="002F5ED9"/>
    <w:rsid w:val="002F67AF"/>
    <w:rsid w:val="002F7B73"/>
    <w:rsid w:val="002F7BB0"/>
    <w:rsid w:val="002F7D98"/>
    <w:rsid w:val="00301331"/>
    <w:rsid w:val="00302004"/>
    <w:rsid w:val="0030264E"/>
    <w:rsid w:val="0030473F"/>
    <w:rsid w:val="00305514"/>
    <w:rsid w:val="00307BE7"/>
    <w:rsid w:val="003104BB"/>
    <w:rsid w:val="00314D81"/>
    <w:rsid w:val="00314E47"/>
    <w:rsid w:val="0031629D"/>
    <w:rsid w:val="0032016D"/>
    <w:rsid w:val="00323FA7"/>
    <w:rsid w:val="00324E58"/>
    <w:rsid w:val="00325001"/>
    <w:rsid w:val="003312F4"/>
    <w:rsid w:val="00332A21"/>
    <w:rsid w:val="003359D5"/>
    <w:rsid w:val="00335BBD"/>
    <w:rsid w:val="00336427"/>
    <w:rsid w:val="00336654"/>
    <w:rsid w:val="00337D6B"/>
    <w:rsid w:val="00340474"/>
    <w:rsid w:val="00343A31"/>
    <w:rsid w:val="00346B45"/>
    <w:rsid w:val="0034749D"/>
    <w:rsid w:val="00355243"/>
    <w:rsid w:val="00355E39"/>
    <w:rsid w:val="0035687D"/>
    <w:rsid w:val="00357652"/>
    <w:rsid w:val="0036485D"/>
    <w:rsid w:val="00366185"/>
    <w:rsid w:val="00367331"/>
    <w:rsid w:val="00372E09"/>
    <w:rsid w:val="00373B92"/>
    <w:rsid w:val="00373C1B"/>
    <w:rsid w:val="00374EBB"/>
    <w:rsid w:val="00374FD1"/>
    <w:rsid w:val="00377492"/>
    <w:rsid w:val="00377776"/>
    <w:rsid w:val="00377E06"/>
    <w:rsid w:val="003803ED"/>
    <w:rsid w:val="00380BB4"/>
    <w:rsid w:val="00385A52"/>
    <w:rsid w:val="00385C51"/>
    <w:rsid w:val="00391B34"/>
    <w:rsid w:val="00393207"/>
    <w:rsid w:val="003946EF"/>
    <w:rsid w:val="00395546"/>
    <w:rsid w:val="003A0216"/>
    <w:rsid w:val="003A0A62"/>
    <w:rsid w:val="003A40A8"/>
    <w:rsid w:val="003A4F40"/>
    <w:rsid w:val="003A5B17"/>
    <w:rsid w:val="003B1CFC"/>
    <w:rsid w:val="003B2BBD"/>
    <w:rsid w:val="003B4EAF"/>
    <w:rsid w:val="003C1D21"/>
    <w:rsid w:val="003C286B"/>
    <w:rsid w:val="003C44DF"/>
    <w:rsid w:val="003D12F0"/>
    <w:rsid w:val="003D21A1"/>
    <w:rsid w:val="003D2741"/>
    <w:rsid w:val="003D3FF4"/>
    <w:rsid w:val="003D44CE"/>
    <w:rsid w:val="003E0130"/>
    <w:rsid w:val="003E09CF"/>
    <w:rsid w:val="003E1E03"/>
    <w:rsid w:val="003E2C66"/>
    <w:rsid w:val="003E3081"/>
    <w:rsid w:val="003E4B19"/>
    <w:rsid w:val="003E5761"/>
    <w:rsid w:val="003F12DD"/>
    <w:rsid w:val="003F2C6E"/>
    <w:rsid w:val="003F33A1"/>
    <w:rsid w:val="003F415B"/>
    <w:rsid w:val="003F42D0"/>
    <w:rsid w:val="003F59BC"/>
    <w:rsid w:val="003F6172"/>
    <w:rsid w:val="003F6590"/>
    <w:rsid w:val="003F7A20"/>
    <w:rsid w:val="00402CC9"/>
    <w:rsid w:val="0040578A"/>
    <w:rsid w:val="00405BF4"/>
    <w:rsid w:val="00406DB7"/>
    <w:rsid w:val="00410E07"/>
    <w:rsid w:val="00412652"/>
    <w:rsid w:val="00413A25"/>
    <w:rsid w:val="00413BB9"/>
    <w:rsid w:val="0041401D"/>
    <w:rsid w:val="00414155"/>
    <w:rsid w:val="00416477"/>
    <w:rsid w:val="00416D41"/>
    <w:rsid w:val="004173B8"/>
    <w:rsid w:val="00417965"/>
    <w:rsid w:val="00420E2B"/>
    <w:rsid w:val="00426F75"/>
    <w:rsid w:val="00432004"/>
    <w:rsid w:val="004321F0"/>
    <w:rsid w:val="00432FE9"/>
    <w:rsid w:val="00433EE5"/>
    <w:rsid w:val="00434556"/>
    <w:rsid w:val="00434F0F"/>
    <w:rsid w:val="00440068"/>
    <w:rsid w:val="004432AF"/>
    <w:rsid w:val="00445202"/>
    <w:rsid w:val="0044619F"/>
    <w:rsid w:val="004476CB"/>
    <w:rsid w:val="0045180B"/>
    <w:rsid w:val="004519C4"/>
    <w:rsid w:val="00451F74"/>
    <w:rsid w:val="004523A3"/>
    <w:rsid w:val="0045459C"/>
    <w:rsid w:val="00454DEE"/>
    <w:rsid w:val="00454F49"/>
    <w:rsid w:val="00454FEF"/>
    <w:rsid w:val="004569AC"/>
    <w:rsid w:val="00460932"/>
    <w:rsid w:val="004630D6"/>
    <w:rsid w:val="00463D41"/>
    <w:rsid w:val="00463E2C"/>
    <w:rsid w:val="004646D4"/>
    <w:rsid w:val="00464B86"/>
    <w:rsid w:val="00464DD1"/>
    <w:rsid w:val="00464E86"/>
    <w:rsid w:val="004749DC"/>
    <w:rsid w:val="00475D7B"/>
    <w:rsid w:val="00476413"/>
    <w:rsid w:val="00476A51"/>
    <w:rsid w:val="00477FEA"/>
    <w:rsid w:val="00480EC7"/>
    <w:rsid w:val="00482D4A"/>
    <w:rsid w:val="00484D74"/>
    <w:rsid w:val="00485809"/>
    <w:rsid w:val="00486773"/>
    <w:rsid w:val="00495082"/>
    <w:rsid w:val="0049536F"/>
    <w:rsid w:val="0049784C"/>
    <w:rsid w:val="004A079E"/>
    <w:rsid w:val="004A1C07"/>
    <w:rsid w:val="004A1DDE"/>
    <w:rsid w:val="004A2C5E"/>
    <w:rsid w:val="004A6024"/>
    <w:rsid w:val="004B0D2A"/>
    <w:rsid w:val="004B3788"/>
    <w:rsid w:val="004B3D73"/>
    <w:rsid w:val="004B5DAD"/>
    <w:rsid w:val="004B72E5"/>
    <w:rsid w:val="004C3495"/>
    <w:rsid w:val="004C493E"/>
    <w:rsid w:val="004C5A17"/>
    <w:rsid w:val="004C6C44"/>
    <w:rsid w:val="004C6D59"/>
    <w:rsid w:val="004C7A1A"/>
    <w:rsid w:val="004C7F44"/>
    <w:rsid w:val="004D0D05"/>
    <w:rsid w:val="004D17E7"/>
    <w:rsid w:val="004D1C2B"/>
    <w:rsid w:val="004D2919"/>
    <w:rsid w:val="004D3946"/>
    <w:rsid w:val="004D3A62"/>
    <w:rsid w:val="004D413D"/>
    <w:rsid w:val="004D6221"/>
    <w:rsid w:val="004D67E5"/>
    <w:rsid w:val="004E057E"/>
    <w:rsid w:val="004E1849"/>
    <w:rsid w:val="004E30F2"/>
    <w:rsid w:val="004E35D2"/>
    <w:rsid w:val="004E654C"/>
    <w:rsid w:val="004E6829"/>
    <w:rsid w:val="004E75F7"/>
    <w:rsid w:val="004E7C46"/>
    <w:rsid w:val="004F0BAC"/>
    <w:rsid w:val="004F205B"/>
    <w:rsid w:val="004F2690"/>
    <w:rsid w:val="004F2F42"/>
    <w:rsid w:val="004F379D"/>
    <w:rsid w:val="004F54F1"/>
    <w:rsid w:val="004F55AC"/>
    <w:rsid w:val="0050087D"/>
    <w:rsid w:val="005040B0"/>
    <w:rsid w:val="00504752"/>
    <w:rsid w:val="00504A96"/>
    <w:rsid w:val="00505E53"/>
    <w:rsid w:val="005106B5"/>
    <w:rsid w:val="00511390"/>
    <w:rsid w:val="00514FC6"/>
    <w:rsid w:val="0051732C"/>
    <w:rsid w:val="00520CD2"/>
    <w:rsid w:val="00521E72"/>
    <w:rsid w:val="0052530D"/>
    <w:rsid w:val="005265D7"/>
    <w:rsid w:val="0052751C"/>
    <w:rsid w:val="005316AB"/>
    <w:rsid w:val="00533273"/>
    <w:rsid w:val="00534AC5"/>
    <w:rsid w:val="00534EC1"/>
    <w:rsid w:val="005365AB"/>
    <w:rsid w:val="00547304"/>
    <w:rsid w:val="00550EDE"/>
    <w:rsid w:val="005518B0"/>
    <w:rsid w:val="005533AC"/>
    <w:rsid w:val="00554DEE"/>
    <w:rsid w:val="00556F3C"/>
    <w:rsid w:val="005600AA"/>
    <w:rsid w:val="00561504"/>
    <w:rsid w:val="005620DB"/>
    <w:rsid w:val="005622D7"/>
    <w:rsid w:val="00563980"/>
    <w:rsid w:val="00565263"/>
    <w:rsid w:val="00565604"/>
    <w:rsid w:val="00566C6E"/>
    <w:rsid w:val="00567C7F"/>
    <w:rsid w:val="00570A07"/>
    <w:rsid w:val="00571C29"/>
    <w:rsid w:val="00571E75"/>
    <w:rsid w:val="005726AF"/>
    <w:rsid w:val="005747E3"/>
    <w:rsid w:val="005823DC"/>
    <w:rsid w:val="00584453"/>
    <w:rsid w:val="00584E05"/>
    <w:rsid w:val="00592B31"/>
    <w:rsid w:val="00593D0A"/>
    <w:rsid w:val="00596394"/>
    <w:rsid w:val="00596A18"/>
    <w:rsid w:val="00596E8A"/>
    <w:rsid w:val="005979FB"/>
    <w:rsid w:val="005A4121"/>
    <w:rsid w:val="005A4A66"/>
    <w:rsid w:val="005A6BCC"/>
    <w:rsid w:val="005B4ED8"/>
    <w:rsid w:val="005C13F8"/>
    <w:rsid w:val="005C2ED3"/>
    <w:rsid w:val="005C3F38"/>
    <w:rsid w:val="005C44FE"/>
    <w:rsid w:val="005C53D4"/>
    <w:rsid w:val="005C5905"/>
    <w:rsid w:val="005C5DA8"/>
    <w:rsid w:val="005C660D"/>
    <w:rsid w:val="005C69AD"/>
    <w:rsid w:val="005C7B9D"/>
    <w:rsid w:val="005D2E66"/>
    <w:rsid w:val="005D4017"/>
    <w:rsid w:val="005D61CA"/>
    <w:rsid w:val="005D6538"/>
    <w:rsid w:val="005E1D4D"/>
    <w:rsid w:val="005E3DEC"/>
    <w:rsid w:val="005E44F1"/>
    <w:rsid w:val="005E59DE"/>
    <w:rsid w:val="005E5C8C"/>
    <w:rsid w:val="005E673F"/>
    <w:rsid w:val="005E6743"/>
    <w:rsid w:val="005E69B7"/>
    <w:rsid w:val="005F0D73"/>
    <w:rsid w:val="005F1154"/>
    <w:rsid w:val="005F1265"/>
    <w:rsid w:val="005F1446"/>
    <w:rsid w:val="005F4081"/>
    <w:rsid w:val="005F47B6"/>
    <w:rsid w:val="005F4AE6"/>
    <w:rsid w:val="005F59FF"/>
    <w:rsid w:val="006002EE"/>
    <w:rsid w:val="00601CB8"/>
    <w:rsid w:val="006023AA"/>
    <w:rsid w:val="00603839"/>
    <w:rsid w:val="0061191F"/>
    <w:rsid w:val="00613032"/>
    <w:rsid w:val="00613DE7"/>
    <w:rsid w:val="006143C9"/>
    <w:rsid w:val="006154C0"/>
    <w:rsid w:val="00615992"/>
    <w:rsid w:val="00617128"/>
    <w:rsid w:val="00620203"/>
    <w:rsid w:val="00621216"/>
    <w:rsid w:val="00621367"/>
    <w:rsid w:val="00621FC2"/>
    <w:rsid w:val="006224CB"/>
    <w:rsid w:val="00624D26"/>
    <w:rsid w:val="00625EA2"/>
    <w:rsid w:val="006268B7"/>
    <w:rsid w:val="00630207"/>
    <w:rsid w:val="00630A78"/>
    <w:rsid w:val="00632B6E"/>
    <w:rsid w:val="00634A06"/>
    <w:rsid w:val="00636666"/>
    <w:rsid w:val="00636A83"/>
    <w:rsid w:val="006405F6"/>
    <w:rsid w:val="006406DB"/>
    <w:rsid w:val="006424DD"/>
    <w:rsid w:val="0064282C"/>
    <w:rsid w:val="00642C9C"/>
    <w:rsid w:val="006445B2"/>
    <w:rsid w:val="006447C2"/>
    <w:rsid w:val="006479F2"/>
    <w:rsid w:val="00652DAE"/>
    <w:rsid w:val="00653006"/>
    <w:rsid w:val="00653148"/>
    <w:rsid w:val="006537EE"/>
    <w:rsid w:val="006561E0"/>
    <w:rsid w:val="0066177D"/>
    <w:rsid w:val="00663B85"/>
    <w:rsid w:val="00665121"/>
    <w:rsid w:val="00666F0E"/>
    <w:rsid w:val="006671B1"/>
    <w:rsid w:val="006675C9"/>
    <w:rsid w:val="00667A88"/>
    <w:rsid w:val="00667CAB"/>
    <w:rsid w:val="00671B43"/>
    <w:rsid w:val="00671EF6"/>
    <w:rsid w:val="0067291D"/>
    <w:rsid w:val="00673C07"/>
    <w:rsid w:val="0067708A"/>
    <w:rsid w:val="006867E2"/>
    <w:rsid w:val="00687174"/>
    <w:rsid w:val="00687A9A"/>
    <w:rsid w:val="0069013B"/>
    <w:rsid w:val="0069131B"/>
    <w:rsid w:val="00693534"/>
    <w:rsid w:val="006942A3"/>
    <w:rsid w:val="00696D21"/>
    <w:rsid w:val="00696FD6"/>
    <w:rsid w:val="006A03F8"/>
    <w:rsid w:val="006A0858"/>
    <w:rsid w:val="006A1534"/>
    <w:rsid w:val="006B117A"/>
    <w:rsid w:val="006B331F"/>
    <w:rsid w:val="006B4D4C"/>
    <w:rsid w:val="006B536B"/>
    <w:rsid w:val="006C269A"/>
    <w:rsid w:val="006C3A8F"/>
    <w:rsid w:val="006C457B"/>
    <w:rsid w:val="006C4791"/>
    <w:rsid w:val="006C6CC0"/>
    <w:rsid w:val="006D024E"/>
    <w:rsid w:val="006D4921"/>
    <w:rsid w:val="006D5117"/>
    <w:rsid w:val="006D61F6"/>
    <w:rsid w:val="006E04DC"/>
    <w:rsid w:val="006E1078"/>
    <w:rsid w:val="006E1479"/>
    <w:rsid w:val="006E1FFD"/>
    <w:rsid w:val="006E4652"/>
    <w:rsid w:val="006E5796"/>
    <w:rsid w:val="006E5DD1"/>
    <w:rsid w:val="006F1E13"/>
    <w:rsid w:val="006F6D9D"/>
    <w:rsid w:val="007022D4"/>
    <w:rsid w:val="0070249D"/>
    <w:rsid w:val="007025F0"/>
    <w:rsid w:val="00702D76"/>
    <w:rsid w:val="00704841"/>
    <w:rsid w:val="007051E5"/>
    <w:rsid w:val="00705ABF"/>
    <w:rsid w:val="00710FB4"/>
    <w:rsid w:val="00710FFE"/>
    <w:rsid w:val="00715F49"/>
    <w:rsid w:val="00717381"/>
    <w:rsid w:val="00717AD7"/>
    <w:rsid w:val="00717B95"/>
    <w:rsid w:val="00717FEE"/>
    <w:rsid w:val="0072036D"/>
    <w:rsid w:val="007209A8"/>
    <w:rsid w:val="00721C9B"/>
    <w:rsid w:val="007225DE"/>
    <w:rsid w:val="00724EA9"/>
    <w:rsid w:val="00725AE1"/>
    <w:rsid w:val="00725BCC"/>
    <w:rsid w:val="00726BDC"/>
    <w:rsid w:val="0073084B"/>
    <w:rsid w:val="00732D58"/>
    <w:rsid w:val="00735959"/>
    <w:rsid w:val="00736B77"/>
    <w:rsid w:val="00741F22"/>
    <w:rsid w:val="00747521"/>
    <w:rsid w:val="00747E32"/>
    <w:rsid w:val="0075233C"/>
    <w:rsid w:val="0075402D"/>
    <w:rsid w:val="00754158"/>
    <w:rsid w:val="0075743B"/>
    <w:rsid w:val="007609DC"/>
    <w:rsid w:val="007677F7"/>
    <w:rsid w:val="00770825"/>
    <w:rsid w:val="00770C5C"/>
    <w:rsid w:val="007718B3"/>
    <w:rsid w:val="007735F5"/>
    <w:rsid w:val="0077763A"/>
    <w:rsid w:val="007805F8"/>
    <w:rsid w:val="00781C98"/>
    <w:rsid w:val="007858DC"/>
    <w:rsid w:val="007872FB"/>
    <w:rsid w:val="00791A14"/>
    <w:rsid w:val="00791A6F"/>
    <w:rsid w:val="0079248E"/>
    <w:rsid w:val="00795676"/>
    <w:rsid w:val="007A0B38"/>
    <w:rsid w:val="007A26DF"/>
    <w:rsid w:val="007A2B1A"/>
    <w:rsid w:val="007A3CA3"/>
    <w:rsid w:val="007A4ED4"/>
    <w:rsid w:val="007B08A8"/>
    <w:rsid w:val="007B2116"/>
    <w:rsid w:val="007B2CE3"/>
    <w:rsid w:val="007B3502"/>
    <w:rsid w:val="007B5611"/>
    <w:rsid w:val="007B62D9"/>
    <w:rsid w:val="007B69FE"/>
    <w:rsid w:val="007C0816"/>
    <w:rsid w:val="007C1B96"/>
    <w:rsid w:val="007C59FD"/>
    <w:rsid w:val="007D1800"/>
    <w:rsid w:val="007D3B45"/>
    <w:rsid w:val="007D6481"/>
    <w:rsid w:val="007D7FDC"/>
    <w:rsid w:val="007E2226"/>
    <w:rsid w:val="007E7202"/>
    <w:rsid w:val="007F0AFD"/>
    <w:rsid w:val="007F302E"/>
    <w:rsid w:val="007F3607"/>
    <w:rsid w:val="007F3B1C"/>
    <w:rsid w:val="007F4645"/>
    <w:rsid w:val="007F6C6B"/>
    <w:rsid w:val="007F778A"/>
    <w:rsid w:val="008048CC"/>
    <w:rsid w:val="008052EF"/>
    <w:rsid w:val="00807EF8"/>
    <w:rsid w:val="00811614"/>
    <w:rsid w:val="008141F0"/>
    <w:rsid w:val="00815142"/>
    <w:rsid w:val="0081600C"/>
    <w:rsid w:val="00821F74"/>
    <w:rsid w:val="00821F7F"/>
    <w:rsid w:val="00822336"/>
    <w:rsid w:val="00824E5D"/>
    <w:rsid w:val="0082634F"/>
    <w:rsid w:val="00826FCC"/>
    <w:rsid w:val="00830E43"/>
    <w:rsid w:val="0083207F"/>
    <w:rsid w:val="0083328F"/>
    <w:rsid w:val="00836240"/>
    <w:rsid w:val="008363B4"/>
    <w:rsid w:val="008405D4"/>
    <w:rsid w:val="008419EA"/>
    <w:rsid w:val="008446FF"/>
    <w:rsid w:val="008469CB"/>
    <w:rsid w:val="0084791F"/>
    <w:rsid w:val="00851075"/>
    <w:rsid w:val="00851F35"/>
    <w:rsid w:val="00852D74"/>
    <w:rsid w:val="0085319D"/>
    <w:rsid w:val="00853CC9"/>
    <w:rsid w:val="00853D5E"/>
    <w:rsid w:val="0085423F"/>
    <w:rsid w:val="00854CB2"/>
    <w:rsid w:val="00856BA4"/>
    <w:rsid w:val="00860366"/>
    <w:rsid w:val="008604A3"/>
    <w:rsid w:val="008604F3"/>
    <w:rsid w:val="00860501"/>
    <w:rsid w:val="008607FA"/>
    <w:rsid w:val="00860AC6"/>
    <w:rsid w:val="00860C71"/>
    <w:rsid w:val="00861709"/>
    <w:rsid w:val="00861997"/>
    <w:rsid w:val="00863919"/>
    <w:rsid w:val="00864B9D"/>
    <w:rsid w:val="008660BE"/>
    <w:rsid w:val="008665EB"/>
    <w:rsid w:val="00866812"/>
    <w:rsid w:val="0086794C"/>
    <w:rsid w:val="00867ED7"/>
    <w:rsid w:val="008712AF"/>
    <w:rsid w:val="008748BB"/>
    <w:rsid w:val="00875447"/>
    <w:rsid w:val="00875988"/>
    <w:rsid w:val="0087655F"/>
    <w:rsid w:val="00880A58"/>
    <w:rsid w:val="00882548"/>
    <w:rsid w:val="00882D20"/>
    <w:rsid w:val="00882EF6"/>
    <w:rsid w:val="00883416"/>
    <w:rsid w:val="0088391C"/>
    <w:rsid w:val="008844F6"/>
    <w:rsid w:val="00885BB6"/>
    <w:rsid w:val="00887194"/>
    <w:rsid w:val="0089038B"/>
    <w:rsid w:val="00890F94"/>
    <w:rsid w:val="00891E0C"/>
    <w:rsid w:val="008A0A21"/>
    <w:rsid w:val="008A6A83"/>
    <w:rsid w:val="008A6BCF"/>
    <w:rsid w:val="008B167F"/>
    <w:rsid w:val="008B3245"/>
    <w:rsid w:val="008B48F0"/>
    <w:rsid w:val="008B5F9C"/>
    <w:rsid w:val="008B76DE"/>
    <w:rsid w:val="008C3897"/>
    <w:rsid w:val="008C3991"/>
    <w:rsid w:val="008C3E42"/>
    <w:rsid w:val="008C4969"/>
    <w:rsid w:val="008C53DD"/>
    <w:rsid w:val="008C6A76"/>
    <w:rsid w:val="008D0697"/>
    <w:rsid w:val="008D2AC2"/>
    <w:rsid w:val="008D2D27"/>
    <w:rsid w:val="008D4B99"/>
    <w:rsid w:val="008D576F"/>
    <w:rsid w:val="008D6B6A"/>
    <w:rsid w:val="008D6C35"/>
    <w:rsid w:val="008D7393"/>
    <w:rsid w:val="008E42B4"/>
    <w:rsid w:val="008E48B4"/>
    <w:rsid w:val="008E7154"/>
    <w:rsid w:val="008F3538"/>
    <w:rsid w:val="008F4BFF"/>
    <w:rsid w:val="008F5E11"/>
    <w:rsid w:val="008F6233"/>
    <w:rsid w:val="008F63DF"/>
    <w:rsid w:val="008F6951"/>
    <w:rsid w:val="008F6AFD"/>
    <w:rsid w:val="00901680"/>
    <w:rsid w:val="00901C4E"/>
    <w:rsid w:val="0090632D"/>
    <w:rsid w:val="00906934"/>
    <w:rsid w:val="00907249"/>
    <w:rsid w:val="00912256"/>
    <w:rsid w:val="009135A4"/>
    <w:rsid w:val="00913966"/>
    <w:rsid w:val="00917193"/>
    <w:rsid w:val="0092232C"/>
    <w:rsid w:val="0092233A"/>
    <w:rsid w:val="0092386D"/>
    <w:rsid w:val="00925E97"/>
    <w:rsid w:val="00926314"/>
    <w:rsid w:val="00926EC6"/>
    <w:rsid w:val="0093254F"/>
    <w:rsid w:val="00933FE6"/>
    <w:rsid w:val="009354C3"/>
    <w:rsid w:val="00941D50"/>
    <w:rsid w:val="00942CCC"/>
    <w:rsid w:val="00945353"/>
    <w:rsid w:val="0094637A"/>
    <w:rsid w:val="00946ACA"/>
    <w:rsid w:val="00946FA5"/>
    <w:rsid w:val="009476E2"/>
    <w:rsid w:val="00947AD0"/>
    <w:rsid w:val="00947B7B"/>
    <w:rsid w:val="009521E9"/>
    <w:rsid w:val="00956703"/>
    <w:rsid w:val="00957BBC"/>
    <w:rsid w:val="00957F75"/>
    <w:rsid w:val="009601C0"/>
    <w:rsid w:val="00960B06"/>
    <w:rsid w:val="0096205D"/>
    <w:rsid w:val="00962E0E"/>
    <w:rsid w:val="00963698"/>
    <w:rsid w:val="00966C2B"/>
    <w:rsid w:val="00967F00"/>
    <w:rsid w:val="009724E9"/>
    <w:rsid w:val="009738E7"/>
    <w:rsid w:val="009740FE"/>
    <w:rsid w:val="00975D97"/>
    <w:rsid w:val="00975F7E"/>
    <w:rsid w:val="00976A62"/>
    <w:rsid w:val="009774C2"/>
    <w:rsid w:val="0097755C"/>
    <w:rsid w:val="009805C0"/>
    <w:rsid w:val="0098309C"/>
    <w:rsid w:val="00985AA2"/>
    <w:rsid w:val="009876EC"/>
    <w:rsid w:val="00992AA3"/>
    <w:rsid w:val="00993ADE"/>
    <w:rsid w:val="00994534"/>
    <w:rsid w:val="00994877"/>
    <w:rsid w:val="00994BA0"/>
    <w:rsid w:val="0099551A"/>
    <w:rsid w:val="00996F3C"/>
    <w:rsid w:val="009A0567"/>
    <w:rsid w:val="009A1D12"/>
    <w:rsid w:val="009A2B6F"/>
    <w:rsid w:val="009A2CBC"/>
    <w:rsid w:val="009A327B"/>
    <w:rsid w:val="009A3D07"/>
    <w:rsid w:val="009A3ECB"/>
    <w:rsid w:val="009A54A1"/>
    <w:rsid w:val="009A5AD2"/>
    <w:rsid w:val="009A68BB"/>
    <w:rsid w:val="009B09FA"/>
    <w:rsid w:val="009B1E06"/>
    <w:rsid w:val="009B24CD"/>
    <w:rsid w:val="009B6C11"/>
    <w:rsid w:val="009C2E4C"/>
    <w:rsid w:val="009C38A3"/>
    <w:rsid w:val="009C3C11"/>
    <w:rsid w:val="009C56C8"/>
    <w:rsid w:val="009C5A36"/>
    <w:rsid w:val="009C6C33"/>
    <w:rsid w:val="009D2A13"/>
    <w:rsid w:val="009D3F36"/>
    <w:rsid w:val="009D4770"/>
    <w:rsid w:val="009D4940"/>
    <w:rsid w:val="009D520E"/>
    <w:rsid w:val="009D5636"/>
    <w:rsid w:val="009D636A"/>
    <w:rsid w:val="009E1289"/>
    <w:rsid w:val="009E18B6"/>
    <w:rsid w:val="009E5E79"/>
    <w:rsid w:val="009E6372"/>
    <w:rsid w:val="009E7A08"/>
    <w:rsid w:val="009F0D36"/>
    <w:rsid w:val="009F5D89"/>
    <w:rsid w:val="00A00CA4"/>
    <w:rsid w:val="00A016F9"/>
    <w:rsid w:val="00A0241A"/>
    <w:rsid w:val="00A07A6E"/>
    <w:rsid w:val="00A07F4E"/>
    <w:rsid w:val="00A14E0A"/>
    <w:rsid w:val="00A16065"/>
    <w:rsid w:val="00A17B71"/>
    <w:rsid w:val="00A21863"/>
    <w:rsid w:val="00A219AD"/>
    <w:rsid w:val="00A2241D"/>
    <w:rsid w:val="00A22DAC"/>
    <w:rsid w:val="00A2420D"/>
    <w:rsid w:val="00A25E3C"/>
    <w:rsid w:val="00A3064C"/>
    <w:rsid w:val="00A34019"/>
    <w:rsid w:val="00A42050"/>
    <w:rsid w:val="00A42D4A"/>
    <w:rsid w:val="00A440F2"/>
    <w:rsid w:val="00A50590"/>
    <w:rsid w:val="00A50E2F"/>
    <w:rsid w:val="00A53CF3"/>
    <w:rsid w:val="00A56A4E"/>
    <w:rsid w:val="00A60EFB"/>
    <w:rsid w:val="00A6232E"/>
    <w:rsid w:val="00A6242D"/>
    <w:rsid w:val="00A62A6F"/>
    <w:rsid w:val="00A637E9"/>
    <w:rsid w:val="00A63F64"/>
    <w:rsid w:val="00A64094"/>
    <w:rsid w:val="00A657AF"/>
    <w:rsid w:val="00A65F30"/>
    <w:rsid w:val="00A66C75"/>
    <w:rsid w:val="00A66D0F"/>
    <w:rsid w:val="00A677F4"/>
    <w:rsid w:val="00A71D1B"/>
    <w:rsid w:val="00A74A2C"/>
    <w:rsid w:val="00A74C1D"/>
    <w:rsid w:val="00A76189"/>
    <w:rsid w:val="00A76497"/>
    <w:rsid w:val="00A775FB"/>
    <w:rsid w:val="00A80117"/>
    <w:rsid w:val="00A904FC"/>
    <w:rsid w:val="00A90F7E"/>
    <w:rsid w:val="00A92FE3"/>
    <w:rsid w:val="00A9597D"/>
    <w:rsid w:val="00A95CC0"/>
    <w:rsid w:val="00A9627D"/>
    <w:rsid w:val="00AA0423"/>
    <w:rsid w:val="00AA149B"/>
    <w:rsid w:val="00AA28CE"/>
    <w:rsid w:val="00AA34E3"/>
    <w:rsid w:val="00AA6E26"/>
    <w:rsid w:val="00AB0F9A"/>
    <w:rsid w:val="00AB11D4"/>
    <w:rsid w:val="00AB27C1"/>
    <w:rsid w:val="00AB5B8B"/>
    <w:rsid w:val="00AC1A95"/>
    <w:rsid w:val="00AC327E"/>
    <w:rsid w:val="00AC37CE"/>
    <w:rsid w:val="00AC3A10"/>
    <w:rsid w:val="00AC430D"/>
    <w:rsid w:val="00AC440E"/>
    <w:rsid w:val="00AC69F8"/>
    <w:rsid w:val="00AC7E07"/>
    <w:rsid w:val="00AD3747"/>
    <w:rsid w:val="00AD491B"/>
    <w:rsid w:val="00AD52C9"/>
    <w:rsid w:val="00AD7BE7"/>
    <w:rsid w:val="00AE0C30"/>
    <w:rsid w:val="00AE0C78"/>
    <w:rsid w:val="00AE1F54"/>
    <w:rsid w:val="00AE47D1"/>
    <w:rsid w:val="00AE5108"/>
    <w:rsid w:val="00AE5622"/>
    <w:rsid w:val="00AE651E"/>
    <w:rsid w:val="00AE6A0C"/>
    <w:rsid w:val="00AE6FFD"/>
    <w:rsid w:val="00AF69A0"/>
    <w:rsid w:val="00B00581"/>
    <w:rsid w:val="00B03C73"/>
    <w:rsid w:val="00B03DBD"/>
    <w:rsid w:val="00B04038"/>
    <w:rsid w:val="00B047C5"/>
    <w:rsid w:val="00B050C3"/>
    <w:rsid w:val="00B0550F"/>
    <w:rsid w:val="00B0780B"/>
    <w:rsid w:val="00B137AF"/>
    <w:rsid w:val="00B13AB4"/>
    <w:rsid w:val="00B1430F"/>
    <w:rsid w:val="00B14858"/>
    <w:rsid w:val="00B15412"/>
    <w:rsid w:val="00B214F4"/>
    <w:rsid w:val="00B220AD"/>
    <w:rsid w:val="00B22B0E"/>
    <w:rsid w:val="00B23805"/>
    <w:rsid w:val="00B24F2D"/>
    <w:rsid w:val="00B250D1"/>
    <w:rsid w:val="00B25397"/>
    <w:rsid w:val="00B274E5"/>
    <w:rsid w:val="00B3271C"/>
    <w:rsid w:val="00B32BF8"/>
    <w:rsid w:val="00B33AAC"/>
    <w:rsid w:val="00B44272"/>
    <w:rsid w:val="00B45D2B"/>
    <w:rsid w:val="00B51D53"/>
    <w:rsid w:val="00B534D4"/>
    <w:rsid w:val="00B57409"/>
    <w:rsid w:val="00B61605"/>
    <w:rsid w:val="00B621CD"/>
    <w:rsid w:val="00B6389E"/>
    <w:rsid w:val="00B65659"/>
    <w:rsid w:val="00B65A43"/>
    <w:rsid w:val="00B6601A"/>
    <w:rsid w:val="00B660BA"/>
    <w:rsid w:val="00B67ABD"/>
    <w:rsid w:val="00B70A15"/>
    <w:rsid w:val="00B72386"/>
    <w:rsid w:val="00B74874"/>
    <w:rsid w:val="00B816CF"/>
    <w:rsid w:val="00B8440D"/>
    <w:rsid w:val="00B85349"/>
    <w:rsid w:val="00B86A86"/>
    <w:rsid w:val="00B9055F"/>
    <w:rsid w:val="00B9306A"/>
    <w:rsid w:val="00B95563"/>
    <w:rsid w:val="00B9562C"/>
    <w:rsid w:val="00B96B5E"/>
    <w:rsid w:val="00BA034D"/>
    <w:rsid w:val="00BA309D"/>
    <w:rsid w:val="00BA3D88"/>
    <w:rsid w:val="00BA4483"/>
    <w:rsid w:val="00BA636C"/>
    <w:rsid w:val="00BB192B"/>
    <w:rsid w:val="00BB4017"/>
    <w:rsid w:val="00BC1A73"/>
    <w:rsid w:val="00BC1F1E"/>
    <w:rsid w:val="00BC2412"/>
    <w:rsid w:val="00BC636C"/>
    <w:rsid w:val="00BC7602"/>
    <w:rsid w:val="00BC7840"/>
    <w:rsid w:val="00BD0F05"/>
    <w:rsid w:val="00BD2353"/>
    <w:rsid w:val="00BD34EF"/>
    <w:rsid w:val="00BD38D8"/>
    <w:rsid w:val="00BD45E9"/>
    <w:rsid w:val="00BD4B44"/>
    <w:rsid w:val="00BD57EE"/>
    <w:rsid w:val="00BE0D5F"/>
    <w:rsid w:val="00BE27A7"/>
    <w:rsid w:val="00BE397C"/>
    <w:rsid w:val="00BE70B2"/>
    <w:rsid w:val="00BE7B5C"/>
    <w:rsid w:val="00BF0A25"/>
    <w:rsid w:val="00BF0A9A"/>
    <w:rsid w:val="00BF143F"/>
    <w:rsid w:val="00BF1518"/>
    <w:rsid w:val="00BF1FD8"/>
    <w:rsid w:val="00BF3A1A"/>
    <w:rsid w:val="00BF3D54"/>
    <w:rsid w:val="00BF4245"/>
    <w:rsid w:val="00BF43A1"/>
    <w:rsid w:val="00BF5C7F"/>
    <w:rsid w:val="00BF6815"/>
    <w:rsid w:val="00BF720A"/>
    <w:rsid w:val="00BF72D9"/>
    <w:rsid w:val="00BF77F3"/>
    <w:rsid w:val="00C030ED"/>
    <w:rsid w:val="00C04018"/>
    <w:rsid w:val="00C100B1"/>
    <w:rsid w:val="00C1084C"/>
    <w:rsid w:val="00C14630"/>
    <w:rsid w:val="00C15965"/>
    <w:rsid w:val="00C169E3"/>
    <w:rsid w:val="00C20BEC"/>
    <w:rsid w:val="00C23FE2"/>
    <w:rsid w:val="00C3450A"/>
    <w:rsid w:val="00C36D62"/>
    <w:rsid w:val="00C3746C"/>
    <w:rsid w:val="00C37F6D"/>
    <w:rsid w:val="00C4093C"/>
    <w:rsid w:val="00C418DD"/>
    <w:rsid w:val="00C41C6F"/>
    <w:rsid w:val="00C4240C"/>
    <w:rsid w:val="00C436F8"/>
    <w:rsid w:val="00C446F2"/>
    <w:rsid w:val="00C461BA"/>
    <w:rsid w:val="00C4672F"/>
    <w:rsid w:val="00C50F02"/>
    <w:rsid w:val="00C521D4"/>
    <w:rsid w:val="00C56E11"/>
    <w:rsid w:val="00C57A0B"/>
    <w:rsid w:val="00C61DE1"/>
    <w:rsid w:val="00C66A0E"/>
    <w:rsid w:val="00C72C8D"/>
    <w:rsid w:val="00C750D8"/>
    <w:rsid w:val="00C7588E"/>
    <w:rsid w:val="00C801FA"/>
    <w:rsid w:val="00C90D8C"/>
    <w:rsid w:val="00C90E4C"/>
    <w:rsid w:val="00C95994"/>
    <w:rsid w:val="00C96A5F"/>
    <w:rsid w:val="00CA1D02"/>
    <w:rsid w:val="00CA21BA"/>
    <w:rsid w:val="00CA2D88"/>
    <w:rsid w:val="00CA37AE"/>
    <w:rsid w:val="00CA43E2"/>
    <w:rsid w:val="00CB2621"/>
    <w:rsid w:val="00CB43B4"/>
    <w:rsid w:val="00CB4B83"/>
    <w:rsid w:val="00CB509C"/>
    <w:rsid w:val="00CB577D"/>
    <w:rsid w:val="00CB5B34"/>
    <w:rsid w:val="00CB5F4E"/>
    <w:rsid w:val="00CB7522"/>
    <w:rsid w:val="00CB78DB"/>
    <w:rsid w:val="00CB799D"/>
    <w:rsid w:val="00CB7C72"/>
    <w:rsid w:val="00CC1CF0"/>
    <w:rsid w:val="00CC2491"/>
    <w:rsid w:val="00CC33A4"/>
    <w:rsid w:val="00CC44F6"/>
    <w:rsid w:val="00CC5B83"/>
    <w:rsid w:val="00CC722C"/>
    <w:rsid w:val="00CC7C3A"/>
    <w:rsid w:val="00CD198C"/>
    <w:rsid w:val="00CD3637"/>
    <w:rsid w:val="00CD444B"/>
    <w:rsid w:val="00CD4638"/>
    <w:rsid w:val="00CD598E"/>
    <w:rsid w:val="00CD652A"/>
    <w:rsid w:val="00CE0ABF"/>
    <w:rsid w:val="00CE17CE"/>
    <w:rsid w:val="00CE18D0"/>
    <w:rsid w:val="00CE2DF8"/>
    <w:rsid w:val="00CE3175"/>
    <w:rsid w:val="00CE3C5B"/>
    <w:rsid w:val="00CE4D1F"/>
    <w:rsid w:val="00CE70A6"/>
    <w:rsid w:val="00CE7482"/>
    <w:rsid w:val="00CF0FE9"/>
    <w:rsid w:val="00CF17F4"/>
    <w:rsid w:val="00CF7FB7"/>
    <w:rsid w:val="00CF7FCD"/>
    <w:rsid w:val="00D005F5"/>
    <w:rsid w:val="00D01A04"/>
    <w:rsid w:val="00D01FB0"/>
    <w:rsid w:val="00D03AF0"/>
    <w:rsid w:val="00D03D2F"/>
    <w:rsid w:val="00D04BAB"/>
    <w:rsid w:val="00D069D8"/>
    <w:rsid w:val="00D15871"/>
    <w:rsid w:val="00D16162"/>
    <w:rsid w:val="00D2299B"/>
    <w:rsid w:val="00D23473"/>
    <w:rsid w:val="00D2460C"/>
    <w:rsid w:val="00D25F1C"/>
    <w:rsid w:val="00D26F16"/>
    <w:rsid w:val="00D31FDB"/>
    <w:rsid w:val="00D33DC1"/>
    <w:rsid w:val="00D34D72"/>
    <w:rsid w:val="00D35471"/>
    <w:rsid w:val="00D35CB0"/>
    <w:rsid w:val="00D36CC5"/>
    <w:rsid w:val="00D37330"/>
    <w:rsid w:val="00D424E1"/>
    <w:rsid w:val="00D45DC0"/>
    <w:rsid w:val="00D45FE7"/>
    <w:rsid w:val="00D5034F"/>
    <w:rsid w:val="00D50C8E"/>
    <w:rsid w:val="00D51CD9"/>
    <w:rsid w:val="00D55091"/>
    <w:rsid w:val="00D570FC"/>
    <w:rsid w:val="00D61298"/>
    <w:rsid w:val="00D61FAE"/>
    <w:rsid w:val="00D63FA6"/>
    <w:rsid w:val="00D64C4D"/>
    <w:rsid w:val="00D6746E"/>
    <w:rsid w:val="00D67A87"/>
    <w:rsid w:val="00D702E4"/>
    <w:rsid w:val="00D71351"/>
    <w:rsid w:val="00D736E8"/>
    <w:rsid w:val="00D7640D"/>
    <w:rsid w:val="00D82C0D"/>
    <w:rsid w:val="00D84185"/>
    <w:rsid w:val="00D84918"/>
    <w:rsid w:val="00D84CA8"/>
    <w:rsid w:val="00D871C8"/>
    <w:rsid w:val="00D90437"/>
    <w:rsid w:val="00D9158A"/>
    <w:rsid w:val="00D9168C"/>
    <w:rsid w:val="00D92099"/>
    <w:rsid w:val="00D93AD6"/>
    <w:rsid w:val="00D9425E"/>
    <w:rsid w:val="00D953C7"/>
    <w:rsid w:val="00D96853"/>
    <w:rsid w:val="00D97F1B"/>
    <w:rsid w:val="00DB0680"/>
    <w:rsid w:val="00DB33C3"/>
    <w:rsid w:val="00DB53EB"/>
    <w:rsid w:val="00DB5A16"/>
    <w:rsid w:val="00DB5B13"/>
    <w:rsid w:val="00DB7BF5"/>
    <w:rsid w:val="00DB7D1F"/>
    <w:rsid w:val="00DD19C1"/>
    <w:rsid w:val="00DD1E2E"/>
    <w:rsid w:val="00DD342A"/>
    <w:rsid w:val="00DD437A"/>
    <w:rsid w:val="00DD4D02"/>
    <w:rsid w:val="00DD6C3D"/>
    <w:rsid w:val="00DD72A0"/>
    <w:rsid w:val="00DD7EBA"/>
    <w:rsid w:val="00DE0957"/>
    <w:rsid w:val="00DE0A9D"/>
    <w:rsid w:val="00DE1776"/>
    <w:rsid w:val="00DE21BF"/>
    <w:rsid w:val="00DE33A7"/>
    <w:rsid w:val="00DE3501"/>
    <w:rsid w:val="00DE40F0"/>
    <w:rsid w:val="00DE4335"/>
    <w:rsid w:val="00DE4F96"/>
    <w:rsid w:val="00DE5FB3"/>
    <w:rsid w:val="00DE6088"/>
    <w:rsid w:val="00DE624F"/>
    <w:rsid w:val="00DE7639"/>
    <w:rsid w:val="00DF16BD"/>
    <w:rsid w:val="00DF25D8"/>
    <w:rsid w:val="00DF33EC"/>
    <w:rsid w:val="00DF47E3"/>
    <w:rsid w:val="00DF509E"/>
    <w:rsid w:val="00DF5ACE"/>
    <w:rsid w:val="00E035DF"/>
    <w:rsid w:val="00E0625B"/>
    <w:rsid w:val="00E0758C"/>
    <w:rsid w:val="00E11E41"/>
    <w:rsid w:val="00E1488B"/>
    <w:rsid w:val="00E15738"/>
    <w:rsid w:val="00E1622D"/>
    <w:rsid w:val="00E16EBE"/>
    <w:rsid w:val="00E175EE"/>
    <w:rsid w:val="00E1798A"/>
    <w:rsid w:val="00E17B99"/>
    <w:rsid w:val="00E201ED"/>
    <w:rsid w:val="00E233F2"/>
    <w:rsid w:val="00E247ED"/>
    <w:rsid w:val="00E24999"/>
    <w:rsid w:val="00E2671D"/>
    <w:rsid w:val="00E26D98"/>
    <w:rsid w:val="00E30BCD"/>
    <w:rsid w:val="00E32372"/>
    <w:rsid w:val="00E32DE8"/>
    <w:rsid w:val="00E343EF"/>
    <w:rsid w:val="00E349BA"/>
    <w:rsid w:val="00E35C66"/>
    <w:rsid w:val="00E37006"/>
    <w:rsid w:val="00E379D3"/>
    <w:rsid w:val="00E40F6A"/>
    <w:rsid w:val="00E42AEC"/>
    <w:rsid w:val="00E457E6"/>
    <w:rsid w:val="00E57D3B"/>
    <w:rsid w:val="00E64493"/>
    <w:rsid w:val="00E64BF9"/>
    <w:rsid w:val="00E6712E"/>
    <w:rsid w:val="00E672B5"/>
    <w:rsid w:val="00E672C9"/>
    <w:rsid w:val="00E7403E"/>
    <w:rsid w:val="00E74B72"/>
    <w:rsid w:val="00E771A8"/>
    <w:rsid w:val="00E776F5"/>
    <w:rsid w:val="00E8059D"/>
    <w:rsid w:val="00E80F33"/>
    <w:rsid w:val="00E85519"/>
    <w:rsid w:val="00E876AF"/>
    <w:rsid w:val="00E90011"/>
    <w:rsid w:val="00E93210"/>
    <w:rsid w:val="00E95491"/>
    <w:rsid w:val="00E95DB7"/>
    <w:rsid w:val="00E96508"/>
    <w:rsid w:val="00E96728"/>
    <w:rsid w:val="00E9732A"/>
    <w:rsid w:val="00EA46F5"/>
    <w:rsid w:val="00EA6337"/>
    <w:rsid w:val="00EB2AAF"/>
    <w:rsid w:val="00EB2FEF"/>
    <w:rsid w:val="00EB415A"/>
    <w:rsid w:val="00EB4759"/>
    <w:rsid w:val="00EB7963"/>
    <w:rsid w:val="00EC0977"/>
    <w:rsid w:val="00EC457E"/>
    <w:rsid w:val="00EC46BA"/>
    <w:rsid w:val="00EC4B77"/>
    <w:rsid w:val="00EC506D"/>
    <w:rsid w:val="00EC685E"/>
    <w:rsid w:val="00EC7408"/>
    <w:rsid w:val="00EC7A28"/>
    <w:rsid w:val="00ED14AA"/>
    <w:rsid w:val="00ED15EA"/>
    <w:rsid w:val="00ED3598"/>
    <w:rsid w:val="00ED44D8"/>
    <w:rsid w:val="00ED4579"/>
    <w:rsid w:val="00ED5916"/>
    <w:rsid w:val="00ED7999"/>
    <w:rsid w:val="00ED7EE2"/>
    <w:rsid w:val="00EE0BC4"/>
    <w:rsid w:val="00EE0F27"/>
    <w:rsid w:val="00EE1073"/>
    <w:rsid w:val="00EE3D16"/>
    <w:rsid w:val="00EE43E3"/>
    <w:rsid w:val="00EE51F1"/>
    <w:rsid w:val="00EF1F45"/>
    <w:rsid w:val="00EF511D"/>
    <w:rsid w:val="00EF78EC"/>
    <w:rsid w:val="00EF7B92"/>
    <w:rsid w:val="00EF7CCD"/>
    <w:rsid w:val="00EF7E02"/>
    <w:rsid w:val="00EF7F97"/>
    <w:rsid w:val="00F00C18"/>
    <w:rsid w:val="00F01054"/>
    <w:rsid w:val="00F02309"/>
    <w:rsid w:val="00F031C6"/>
    <w:rsid w:val="00F03792"/>
    <w:rsid w:val="00F03B70"/>
    <w:rsid w:val="00F0717C"/>
    <w:rsid w:val="00F0798A"/>
    <w:rsid w:val="00F103D9"/>
    <w:rsid w:val="00F12841"/>
    <w:rsid w:val="00F12C81"/>
    <w:rsid w:val="00F13F81"/>
    <w:rsid w:val="00F14C7D"/>
    <w:rsid w:val="00F1510F"/>
    <w:rsid w:val="00F15689"/>
    <w:rsid w:val="00F1698A"/>
    <w:rsid w:val="00F220D5"/>
    <w:rsid w:val="00F222EF"/>
    <w:rsid w:val="00F256FE"/>
    <w:rsid w:val="00F2692F"/>
    <w:rsid w:val="00F27A86"/>
    <w:rsid w:val="00F30374"/>
    <w:rsid w:val="00F3103A"/>
    <w:rsid w:val="00F33FFD"/>
    <w:rsid w:val="00F3560B"/>
    <w:rsid w:val="00F3598D"/>
    <w:rsid w:val="00F405EB"/>
    <w:rsid w:val="00F424B5"/>
    <w:rsid w:val="00F446C8"/>
    <w:rsid w:val="00F44D75"/>
    <w:rsid w:val="00F47AC0"/>
    <w:rsid w:val="00F47FE1"/>
    <w:rsid w:val="00F50245"/>
    <w:rsid w:val="00F50502"/>
    <w:rsid w:val="00F51C0B"/>
    <w:rsid w:val="00F521AD"/>
    <w:rsid w:val="00F5392A"/>
    <w:rsid w:val="00F547FC"/>
    <w:rsid w:val="00F550F7"/>
    <w:rsid w:val="00F55669"/>
    <w:rsid w:val="00F556EC"/>
    <w:rsid w:val="00F5580B"/>
    <w:rsid w:val="00F56207"/>
    <w:rsid w:val="00F57333"/>
    <w:rsid w:val="00F573C5"/>
    <w:rsid w:val="00F6073D"/>
    <w:rsid w:val="00F6144E"/>
    <w:rsid w:val="00F621DA"/>
    <w:rsid w:val="00F62CE8"/>
    <w:rsid w:val="00F67416"/>
    <w:rsid w:val="00F70F4A"/>
    <w:rsid w:val="00F72865"/>
    <w:rsid w:val="00F72EF4"/>
    <w:rsid w:val="00F731DA"/>
    <w:rsid w:val="00F76B93"/>
    <w:rsid w:val="00F80742"/>
    <w:rsid w:val="00F81C66"/>
    <w:rsid w:val="00F8436E"/>
    <w:rsid w:val="00F8536E"/>
    <w:rsid w:val="00F85471"/>
    <w:rsid w:val="00F86212"/>
    <w:rsid w:val="00F86800"/>
    <w:rsid w:val="00F90DE1"/>
    <w:rsid w:val="00F9257A"/>
    <w:rsid w:val="00F9794C"/>
    <w:rsid w:val="00FA140F"/>
    <w:rsid w:val="00FA1ADE"/>
    <w:rsid w:val="00FA2A7C"/>
    <w:rsid w:val="00FA4356"/>
    <w:rsid w:val="00FA4ED8"/>
    <w:rsid w:val="00FB077E"/>
    <w:rsid w:val="00FB0C26"/>
    <w:rsid w:val="00FB377B"/>
    <w:rsid w:val="00FB40D1"/>
    <w:rsid w:val="00FB6BA8"/>
    <w:rsid w:val="00FB6D68"/>
    <w:rsid w:val="00FB703C"/>
    <w:rsid w:val="00FC03D5"/>
    <w:rsid w:val="00FC2FC7"/>
    <w:rsid w:val="00FC31A3"/>
    <w:rsid w:val="00FC3BFA"/>
    <w:rsid w:val="00FC4621"/>
    <w:rsid w:val="00FC63FA"/>
    <w:rsid w:val="00FC6B54"/>
    <w:rsid w:val="00FC6D4C"/>
    <w:rsid w:val="00FC725C"/>
    <w:rsid w:val="00FD1589"/>
    <w:rsid w:val="00FD3471"/>
    <w:rsid w:val="00FE664D"/>
    <w:rsid w:val="00FE6880"/>
    <w:rsid w:val="00FE75B6"/>
    <w:rsid w:val="00FE77DF"/>
    <w:rsid w:val="00FE7B4B"/>
    <w:rsid w:val="00FF00F1"/>
    <w:rsid w:val="00FF252F"/>
    <w:rsid w:val="00FF32AD"/>
    <w:rsid w:val="00FF408D"/>
    <w:rsid w:val="00FF698C"/>
    <w:rsid w:val="00FF7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C8CE1"/>
  <w15:docId w15:val="{6E52D45D-C5A5-4713-BDFE-4DFD3C63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5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87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194"/>
  </w:style>
  <w:style w:type="paragraph" w:styleId="Footer">
    <w:name w:val="footer"/>
    <w:basedOn w:val="Normal"/>
    <w:link w:val="FooterChar"/>
    <w:uiPriority w:val="99"/>
    <w:unhideWhenUsed/>
    <w:rsid w:val="00887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194"/>
  </w:style>
  <w:style w:type="character" w:styleId="Hyperlink">
    <w:name w:val="Hyperlink"/>
    <w:basedOn w:val="DefaultParagraphFont"/>
    <w:uiPriority w:val="99"/>
    <w:unhideWhenUsed/>
    <w:rsid w:val="00270357"/>
    <w:rPr>
      <w:color w:val="0563C1" w:themeColor="hyperlink"/>
      <w:u w:val="single"/>
    </w:rPr>
  </w:style>
  <w:style w:type="character" w:styleId="CommentReference">
    <w:name w:val="annotation reference"/>
    <w:basedOn w:val="DefaultParagraphFont"/>
    <w:uiPriority w:val="99"/>
    <w:semiHidden/>
    <w:unhideWhenUsed/>
    <w:rsid w:val="009740FE"/>
    <w:rPr>
      <w:sz w:val="16"/>
      <w:szCs w:val="16"/>
    </w:rPr>
  </w:style>
  <w:style w:type="paragraph" w:styleId="CommentText">
    <w:name w:val="annotation text"/>
    <w:basedOn w:val="Normal"/>
    <w:link w:val="CommentTextChar"/>
    <w:uiPriority w:val="99"/>
    <w:unhideWhenUsed/>
    <w:rsid w:val="009740FE"/>
    <w:pPr>
      <w:spacing w:line="240" w:lineRule="auto"/>
    </w:pPr>
    <w:rPr>
      <w:sz w:val="20"/>
      <w:szCs w:val="20"/>
    </w:rPr>
  </w:style>
  <w:style w:type="character" w:customStyle="1" w:styleId="CommentTextChar">
    <w:name w:val="Comment Text Char"/>
    <w:basedOn w:val="DefaultParagraphFont"/>
    <w:link w:val="CommentText"/>
    <w:uiPriority w:val="99"/>
    <w:rsid w:val="009740FE"/>
    <w:rPr>
      <w:sz w:val="20"/>
      <w:szCs w:val="20"/>
    </w:rPr>
  </w:style>
  <w:style w:type="paragraph" w:styleId="CommentSubject">
    <w:name w:val="annotation subject"/>
    <w:basedOn w:val="CommentText"/>
    <w:next w:val="CommentText"/>
    <w:link w:val="CommentSubjectChar"/>
    <w:uiPriority w:val="99"/>
    <w:semiHidden/>
    <w:unhideWhenUsed/>
    <w:rsid w:val="009740FE"/>
    <w:rPr>
      <w:b/>
      <w:bCs/>
    </w:rPr>
  </w:style>
  <w:style w:type="character" w:customStyle="1" w:styleId="CommentSubjectChar">
    <w:name w:val="Comment Subject Char"/>
    <w:basedOn w:val="CommentTextChar"/>
    <w:link w:val="CommentSubject"/>
    <w:uiPriority w:val="99"/>
    <w:semiHidden/>
    <w:rsid w:val="009740FE"/>
    <w:rPr>
      <w:b/>
      <w:bCs/>
      <w:sz w:val="20"/>
      <w:szCs w:val="20"/>
    </w:rPr>
  </w:style>
  <w:style w:type="paragraph" w:styleId="BalloonText">
    <w:name w:val="Balloon Text"/>
    <w:basedOn w:val="Normal"/>
    <w:link w:val="BalloonTextChar"/>
    <w:uiPriority w:val="99"/>
    <w:semiHidden/>
    <w:unhideWhenUsed/>
    <w:rsid w:val="00974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0FE"/>
    <w:rPr>
      <w:rFonts w:ascii="Segoe UI" w:hAnsi="Segoe UI" w:cs="Segoe UI"/>
      <w:sz w:val="18"/>
      <w:szCs w:val="18"/>
    </w:rPr>
  </w:style>
  <w:style w:type="character" w:styleId="FollowedHyperlink">
    <w:name w:val="FollowedHyperlink"/>
    <w:basedOn w:val="DefaultParagraphFont"/>
    <w:uiPriority w:val="99"/>
    <w:semiHidden/>
    <w:unhideWhenUsed/>
    <w:rsid w:val="00336654"/>
    <w:rPr>
      <w:color w:val="954F72" w:themeColor="followedHyperlink"/>
      <w:u w:val="single"/>
    </w:rPr>
  </w:style>
  <w:style w:type="paragraph" w:styleId="Revision">
    <w:name w:val="Revision"/>
    <w:hidden/>
    <w:uiPriority w:val="99"/>
    <w:semiHidden/>
    <w:rsid w:val="000D4E0B"/>
    <w:pPr>
      <w:spacing w:after="0" w:line="240" w:lineRule="auto"/>
    </w:pPr>
  </w:style>
  <w:style w:type="table" w:styleId="TableGrid">
    <w:name w:val="Table Grid"/>
    <w:basedOn w:val="TableNormal"/>
    <w:uiPriority w:val="39"/>
    <w:rsid w:val="00393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A86"/>
    <w:pPr>
      <w:ind w:left="720"/>
      <w:contextualSpacing/>
    </w:pPr>
  </w:style>
  <w:style w:type="character" w:customStyle="1" w:styleId="citation-publication-date">
    <w:name w:val="citation-publication-date"/>
    <w:basedOn w:val="DefaultParagraphFont"/>
    <w:rsid w:val="0084791F"/>
  </w:style>
  <w:style w:type="character" w:customStyle="1" w:styleId="UnresolvedMention1">
    <w:name w:val="Unresolved Mention1"/>
    <w:basedOn w:val="DefaultParagraphFont"/>
    <w:uiPriority w:val="99"/>
    <w:semiHidden/>
    <w:unhideWhenUsed/>
    <w:rsid w:val="00DE33A7"/>
    <w:rPr>
      <w:color w:val="808080"/>
      <w:shd w:val="clear" w:color="auto" w:fill="E6E6E6"/>
    </w:rPr>
  </w:style>
  <w:style w:type="character" w:customStyle="1" w:styleId="UnresolvedMention2">
    <w:name w:val="Unresolved Mention2"/>
    <w:basedOn w:val="DefaultParagraphFont"/>
    <w:uiPriority w:val="99"/>
    <w:semiHidden/>
    <w:unhideWhenUsed/>
    <w:rsid w:val="00F80742"/>
    <w:rPr>
      <w:color w:val="808080"/>
      <w:shd w:val="clear" w:color="auto" w:fill="E6E6E6"/>
    </w:rPr>
  </w:style>
  <w:style w:type="table" w:customStyle="1" w:styleId="GridTable6Colorful1">
    <w:name w:val="Grid Table 6 Colorful1"/>
    <w:basedOn w:val="TableNormal"/>
    <w:uiPriority w:val="51"/>
    <w:rsid w:val="00EC685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abel">
    <w:name w:val="label"/>
    <w:basedOn w:val="DefaultParagraphFont"/>
    <w:rsid w:val="00CC5B83"/>
  </w:style>
  <w:style w:type="character" w:customStyle="1" w:styleId="UnresolvedMention3">
    <w:name w:val="Unresolved Mention3"/>
    <w:basedOn w:val="DefaultParagraphFont"/>
    <w:uiPriority w:val="99"/>
    <w:semiHidden/>
    <w:unhideWhenUsed/>
    <w:rsid w:val="00DB7BF5"/>
    <w:rPr>
      <w:color w:val="808080"/>
      <w:shd w:val="clear" w:color="auto" w:fill="E6E6E6"/>
    </w:rPr>
  </w:style>
  <w:style w:type="character" w:customStyle="1" w:styleId="ref-journal">
    <w:name w:val="ref-journal"/>
    <w:basedOn w:val="DefaultParagraphFont"/>
    <w:rsid w:val="000B7153"/>
  </w:style>
  <w:style w:type="character" w:customStyle="1" w:styleId="UnresolvedMention4">
    <w:name w:val="Unresolved Mention4"/>
    <w:basedOn w:val="DefaultParagraphFont"/>
    <w:uiPriority w:val="99"/>
    <w:semiHidden/>
    <w:unhideWhenUsed/>
    <w:rsid w:val="000B7153"/>
    <w:rPr>
      <w:color w:val="605E5C"/>
      <w:shd w:val="clear" w:color="auto" w:fill="E1DFDD"/>
    </w:rPr>
  </w:style>
  <w:style w:type="character" w:styleId="LineNumber">
    <w:name w:val="line number"/>
    <w:basedOn w:val="DefaultParagraphFont"/>
    <w:uiPriority w:val="99"/>
    <w:semiHidden/>
    <w:unhideWhenUsed/>
    <w:rsid w:val="00913966"/>
  </w:style>
  <w:style w:type="character" w:customStyle="1" w:styleId="e24kjd">
    <w:name w:val="e24kjd"/>
    <w:basedOn w:val="DefaultParagraphFont"/>
    <w:rsid w:val="00377776"/>
  </w:style>
  <w:style w:type="character" w:customStyle="1" w:styleId="UnresolvedMention5">
    <w:name w:val="Unresolved Mention5"/>
    <w:basedOn w:val="DefaultParagraphFont"/>
    <w:uiPriority w:val="99"/>
    <w:semiHidden/>
    <w:unhideWhenUsed/>
    <w:rsid w:val="00AC6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801">
      <w:bodyDiv w:val="1"/>
      <w:marLeft w:val="0"/>
      <w:marRight w:val="0"/>
      <w:marTop w:val="0"/>
      <w:marBottom w:val="0"/>
      <w:divBdr>
        <w:top w:val="none" w:sz="0" w:space="0" w:color="auto"/>
        <w:left w:val="none" w:sz="0" w:space="0" w:color="auto"/>
        <w:bottom w:val="none" w:sz="0" w:space="0" w:color="auto"/>
        <w:right w:val="none" w:sz="0" w:space="0" w:color="auto"/>
      </w:divBdr>
    </w:div>
    <w:div w:id="65223138">
      <w:bodyDiv w:val="1"/>
      <w:marLeft w:val="0"/>
      <w:marRight w:val="0"/>
      <w:marTop w:val="0"/>
      <w:marBottom w:val="0"/>
      <w:divBdr>
        <w:top w:val="none" w:sz="0" w:space="0" w:color="auto"/>
        <w:left w:val="none" w:sz="0" w:space="0" w:color="auto"/>
        <w:bottom w:val="none" w:sz="0" w:space="0" w:color="auto"/>
        <w:right w:val="none" w:sz="0" w:space="0" w:color="auto"/>
      </w:divBdr>
    </w:div>
    <w:div w:id="115375122">
      <w:bodyDiv w:val="1"/>
      <w:marLeft w:val="0"/>
      <w:marRight w:val="0"/>
      <w:marTop w:val="0"/>
      <w:marBottom w:val="0"/>
      <w:divBdr>
        <w:top w:val="none" w:sz="0" w:space="0" w:color="auto"/>
        <w:left w:val="none" w:sz="0" w:space="0" w:color="auto"/>
        <w:bottom w:val="none" w:sz="0" w:space="0" w:color="auto"/>
        <w:right w:val="none" w:sz="0" w:space="0" w:color="auto"/>
      </w:divBdr>
    </w:div>
    <w:div w:id="122387750">
      <w:bodyDiv w:val="1"/>
      <w:marLeft w:val="0"/>
      <w:marRight w:val="0"/>
      <w:marTop w:val="0"/>
      <w:marBottom w:val="0"/>
      <w:divBdr>
        <w:top w:val="none" w:sz="0" w:space="0" w:color="auto"/>
        <w:left w:val="none" w:sz="0" w:space="0" w:color="auto"/>
        <w:bottom w:val="none" w:sz="0" w:space="0" w:color="auto"/>
        <w:right w:val="none" w:sz="0" w:space="0" w:color="auto"/>
      </w:divBdr>
    </w:div>
    <w:div w:id="153379742">
      <w:bodyDiv w:val="1"/>
      <w:marLeft w:val="0"/>
      <w:marRight w:val="0"/>
      <w:marTop w:val="0"/>
      <w:marBottom w:val="0"/>
      <w:divBdr>
        <w:top w:val="none" w:sz="0" w:space="0" w:color="auto"/>
        <w:left w:val="none" w:sz="0" w:space="0" w:color="auto"/>
        <w:bottom w:val="none" w:sz="0" w:space="0" w:color="auto"/>
        <w:right w:val="none" w:sz="0" w:space="0" w:color="auto"/>
      </w:divBdr>
    </w:div>
    <w:div w:id="155727807">
      <w:bodyDiv w:val="1"/>
      <w:marLeft w:val="0"/>
      <w:marRight w:val="0"/>
      <w:marTop w:val="0"/>
      <w:marBottom w:val="0"/>
      <w:divBdr>
        <w:top w:val="none" w:sz="0" w:space="0" w:color="auto"/>
        <w:left w:val="none" w:sz="0" w:space="0" w:color="auto"/>
        <w:bottom w:val="none" w:sz="0" w:space="0" w:color="auto"/>
        <w:right w:val="none" w:sz="0" w:space="0" w:color="auto"/>
      </w:divBdr>
    </w:div>
    <w:div w:id="191042500">
      <w:bodyDiv w:val="1"/>
      <w:marLeft w:val="0"/>
      <w:marRight w:val="0"/>
      <w:marTop w:val="0"/>
      <w:marBottom w:val="0"/>
      <w:divBdr>
        <w:top w:val="none" w:sz="0" w:space="0" w:color="auto"/>
        <w:left w:val="none" w:sz="0" w:space="0" w:color="auto"/>
        <w:bottom w:val="none" w:sz="0" w:space="0" w:color="auto"/>
        <w:right w:val="none" w:sz="0" w:space="0" w:color="auto"/>
      </w:divBdr>
    </w:div>
    <w:div w:id="213280236">
      <w:bodyDiv w:val="1"/>
      <w:marLeft w:val="0"/>
      <w:marRight w:val="0"/>
      <w:marTop w:val="0"/>
      <w:marBottom w:val="0"/>
      <w:divBdr>
        <w:top w:val="none" w:sz="0" w:space="0" w:color="auto"/>
        <w:left w:val="none" w:sz="0" w:space="0" w:color="auto"/>
        <w:bottom w:val="none" w:sz="0" w:space="0" w:color="auto"/>
        <w:right w:val="none" w:sz="0" w:space="0" w:color="auto"/>
      </w:divBdr>
    </w:div>
    <w:div w:id="234703169">
      <w:bodyDiv w:val="1"/>
      <w:marLeft w:val="0"/>
      <w:marRight w:val="0"/>
      <w:marTop w:val="0"/>
      <w:marBottom w:val="0"/>
      <w:divBdr>
        <w:top w:val="none" w:sz="0" w:space="0" w:color="auto"/>
        <w:left w:val="none" w:sz="0" w:space="0" w:color="auto"/>
        <w:bottom w:val="none" w:sz="0" w:space="0" w:color="auto"/>
        <w:right w:val="none" w:sz="0" w:space="0" w:color="auto"/>
      </w:divBdr>
    </w:div>
    <w:div w:id="246812429">
      <w:bodyDiv w:val="1"/>
      <w:marLeft w:val="0"/>
      <w:marRight w:val="0"/>
      <w:marTop w:val="0"/>
      <w:marBottom w:val="0"/>
      <w:divBdr>
        <w:top w:val="none" w:sz="0" w:space="0" w:color="auto"/>
        <w:left w:val="none" w:sz="0" w:space="0" w:color="auto"/>
        <w:bottom w:val="none" w:sz="0" w:space="0" w:color="auto"/>
        <w:right w:val="none" w:sz="0" w:space="0" w:color="auto"/>
      </w:divBdr>
    </w:div>
    <w:div w:id="280957757">
      <w:bodyDiv w:val="1"/>
      <w:marLeft w:val="0"/>
      <w:marRight w:val="0"/>
      <w:marTop w:val="0"/>
      <w:marBottom w:val="0"/>
      <w:divBdr>
        <w:top w:val="none" w:sz="0" w:space="0" w:color="auto"/>
        <w:left w:val="none" w:sz="0" w:space="0" w:color="auto"/>
        <w:bottom w:val="none" w:sz="0" w:space="0" w:color="auto"/>
        <w:right w:val="none" w:sz="0" w:space="0" w:color="auto"/>
      </w:divBdr>
      <w:divsChild>
        <w:div w:id="838620607">
          <w:marLeft w:val="0"/>
          <w:marRight w:val="0"/>
          <w:marTop w:val="0"/>
          <w:marBottom w:val="0"/>
          <w:divBdr>
            <w:top w:val="none" w:sz="0" w:space="0" w:color="auto"/>
            <w:left w:val="none" w:sz="0" w:space="0" w:color="auto"/>
            <w:bottom w:val="none" w:sz="0" w:space="0" w:color="auto"/>
            <w:right w:val="none" w:sz="0" w:space="0" w:color="auto"/>
          </w:divBdr>
        </w:div>
      </w:divsChild>
    </w:div>
    <w:div w:id="282808588">
      <w:bodyDiv w:val="1"/>
      <w:marLeft w:val="0"/>
      <w:marRight w:val="0"/>
      <w:marTop w:val="0"/>
      <w:marBottom w:val="0"/>
      <w:divBdr>
        <w:top w:val="none" w:sz="0" w:space="0" w:color="auto"/>
        <w:left w:val="none" w:sz="0" w:space="0" w:color="auto"/>
        <w:bottom w:val="none" w:sz="0" w:space="0" w:color="auto"/>
        <w:right w:val="none" w:sz="0" w:space="0" w:color="auto"/>
      </w:divBdr>
    </w:div>
    <w:div w:id="321548442">
      <w:bodyDiv w:val="1"/>
      <w:marLeft w:val="0"/>
      <w:marRight w:val="0"/>
      <w:marTop w:val="0"/>
      <w:marBottom w:val="0"/>
      <w:divBdr>
        <w:top w:val="none" w:sz="0" w:space="0" w:color="auto"/>
        <w:left w:val="none" w:sz="0" w:space="0" w:color="auto"/>
        <w:bottom w:val="none" w:sz="0" w:space="0" w:color="auto"/>
        <w:right w:val="none" w:sz="0" w:space="0" w:color="auto"/>
      </w:divBdr>
    </w:div>
    <w:div w:id="328489990">
      <w:bodyDiv w:val="1"/>
      <w:marLeft w:val="0"/>
      <w:marRight w:val="0"/>
      <w:marTop w:val="0"/>
      <w:marBottom w:val="0"/>
      <w:divBdr>
        <w:top w:val="none" w:sz="0" w:space="0" w:color="auto"/>
        <w:left w:val="none" w:sz="0" w:space="0" w:color="auto"/>
        <w:bottom w:val="none" w:sz="0" w:space="0" w:color="auto"/>
        <w:right w:val="none" w:sz="0" w:space="0" w:color="auto"/>
      </w:divBdr>
    </w:div>
    <w:div w:id="358548522">
      <w:bodyDiv w:val="1"/>
      <w:marLeft w:val="0"/>
      <w:marRight w:val="0"/>
      <w:marTop w:val="0"/>
      <w:marBottom w:val="0"/>
      <w:divBdr>
        <w:top w:val="none" w:sz="0" w:space="0" w:color="auto"/>
        <w:left w:val="none" w:sz="0" w:space="0" w:color="auto"/>
        <w:bottom w:val="none" w:sz="0" w:space="0" w:color="auto"/>
        <w:right w:val="none" w:sz="0" w:space="0" w:color="auto"/>
      </w:divBdr>
    </w:div>
    <w:div w:id="377053608">
      <w:bodyDiv w:val="1"/>
      <w:marLeft w:val="0"/>
      <w:marRight w:val="0"/>
      <w:marTop w:val="0"/>
      <w:marBottom w:val="0"/>
      <w:divBdr>
        <w:top w:val="none" w:sz="0" w:space="0" w:color="auto"/>
        <w:left w:val="none" w:sz="0" w:space="0" w:color="auto"/>
        <w:bottom w:val="none" w:sz="0" w:space="0" w:color="auto"/>
        <w:right w:val="none" w:sz="0" w:space="0" w:color="auto"/>
      </w:divBdr>
    </w:div>
    <w:div w:id="398018563">
      <w:bodyDiv w:val="1"/>
      <w:marLeft w:val="0"/>
      <w:marRight w:val="0"/>
      <w:marTop w:val="0"/>
      <w:marBottom w:val="0"/>
      <w:divBdr>
        <w:top w:val="none" w:sz="0" w:space="0" w:color="auto"/>
        <w:left w:val="none" w:sz="0" w:space="0" w:color="auto"/>
        <w:bottom w:val="none" w:sz="0" w:space="0" w:color="auto"/>
        <w:right w:val="none" w:sz="0" w:space="0" w:color="auto"/>
      </w:divBdr>
      <w:divsChild>
        <w:div w:id="1222786810">
          <w:marLeft w:val="0"/>
          <w:marRight w:val="0"/>
          <w:marTop w:val="0"/>
          <w:marBottom w:val="0"/>
          <w:divBdr>
            <w:top w:val="none" w:sz="0" w:space="0" w:color="auto"/>
            <w:left w:val="none" w:sz="0" w:space="0" w:color="auto"/>
            <w:bottom w:val="none" w:sz="0" w:space="0" w:color="auto"/>
            <w:right w:val="none" w:sz="0" w:space="0" w:color="auto"/>
          </w:divBdr>
        </w:div>
      </w:divsChild>
    </w:div>
    <w:div w:id="430904555">
      <w:bodyDiv w:val="1"/>
      <w:marLeft w:val="0"/>
      <w:marRight w:val="0"/>
      <w:marTop w:val="0"/>
      <w:marBottom w:val="0"/>
      <w:divBdr>
        <w:top w:val="none" w:sz="0" w:space="0" w:color="auto"/>
        <w:left w:val="none" w:sz="0" w:space="0" w:color="auto"/>
        <w:bottom w:val="none" w:sz="0" w:space="0" w:color="auto"/>
        <w:right w:val="none" w:sz="0" w:space="0" w:color="auto"/>
      </w:divBdr>
    </w:div>
    <w:div w:id="452018372">
      <w:bodyDiv w:val="1"/>
      <w:marLeft w:val="0"/>
      <w:marRight w:val="0"/>
      <w:marTop w:val="0"/>
      <w:marBottom w:val="0"/>
      <w:divBdr>
        <w:top w:val="none" w:sz="0" w:space="0" w:color="auto"/>
        <w:left w:val="none" w:sz="0" w:space="0" w:color="auto"/>
        <w:bottom w:val="none" w:sz="0" w:space="0" w:color="auto"/>
        <w:right w:val="none" w:sz="0" w:space="0" w:color="auto"/>
      </w:divBdr>
    </w:div>
    <w:div w:id="462045927">
      <w:bodyDiv w:val="1"/>
      <w:marLeft w:val="0"/>
      <w:marRight w:val="0"/>
      <w:marTop w:val="0"/>
      <w:marBottom w:val="0"/>
      <w:divBdr>
        <w:top w:val="none" w:sz="0" w:space="0" w:color="auto"/>
        <w:left w:val="none" w:sz="0" w:space="0" w:color="auto"/>
        <w:bottom w:val="none" w:sz="0" w:space="0" w:color="auto"/>
        <w:right w:val="none" w:sz="0" w:space="0" w:color="auto"/>
      </w:divBdr>
    </w:div>
    <w:div w:id="466581702">
      <w:bodyDiv w:val="1"/>
      <w:marLeft w:val="0"/>
      <w:marRight w:val="0"/>
      <w:marTop w:val="0"/>
      <w:marBottom w:val="0"/>
      <w:divBdr>
        <w:top w:val="none" w:sz="0" w:space="0" w:color="auto"/>
        <w:left w:val="none" w:sz="0" w:space="0" w:color="auto"/>
        <w:bottom w:val="none" w:sz="0" w:space="0" w:color="auto"/>
        <w:right w:val="none" w:sz="0" w:space="0" w:color="auto"/>
      </w:divBdr>
    </w:div>
    <w:div w:id="487130807">
      <w:bodyDiv w:val="1"/>
      <w:marLeft w:val="0"/>
      <w:marRight w:val="0"/>
      <w:marTop w:val="0"/>
      <w:marBottom w:val="0"/>
      <w:divBdr>
        <w:top w:val="none" w:sz="0" w:space="0" w:color="auto"/>
        <w:left w:val="none" w:sz="0" w:space="0" w:color="auto"/>
        <w:bottom w:val="none" w:sz="0" w:space="0" w:color="auto"/>
        <w:right w:val="none" w:sz="0" w:space="0" w:color="auto"/>
      </w:divBdr>
    </w:div>
    <w:div w:id="497617596">
      <w:bodyDiv w:val="1"/>
      <w:marLeft w:val="0"/>
      <w:marRight w:val="0"/>
      <w:marTop w:val="0"/>
      <w:marBottom w:val="0"/>
      <w:divBdr>
        <w:top w:val="none" w:sz="0" w:space="0" w:color="auto"/>
        <w:left w:val="none" w:sz="0" w:space="0" w:color="auto"/>
        <w:bottom w:val="none" w:sz="0" w:space="0" w:color="auto"/>
        <w:right w:val="none" w:sz="0" w:space="0" w:color="auto"/>
      </w:divBdr>
    </w:div>
    <w:div w:id="501966595">
      <w:bodyDiv w:val="1"/>
      <w:marLeft w:val="0"/>
      <w:marRight w:val="0"/>
      <w:marTop w:val="0"/>
      <w:marBottom w:val="0"/>
      <w:divBdr>
        <w:top w:val="none" w:sz="0" w:space="0" w:color="auto"/>
        <w:left w:val="none" w:sz="0" w:space="0" w:color="auto"/>
        <w:bottom w:val="none" w:sz="0" w:space="0" w:color="auto"/>
        <w:right w:val="none" w:sz="0" w:space="0" w:color="auto"/>
      </w:divBdr>
    </w:div>
    <w:div w:id="506529692">
      <w:bodyDiv w:val="1"/>
      <w:marLeft w:val="0"/>
      <w:marRight w:val="0"/>
      <w:marTop w:val="0"/>
      <w:marBottom w:val="0"/>
      <w:divBdr>
        <w:top w:val="none" w:sz="0" w:space="0" w:color="auto"/>
        <w:left w:val="none" w:sz="0" w:space="0" w:color="auto"/>
        <w:bottom w:val="none" w:sz="0" w:space="0" w:color="auto"/>
        <w:right w:val="none" w:sz="0" w:space="0" w:color="auto"/>
      </w:divBdr>
    </w:div>
    <w:div w:id="537543806">
      <w:bodyDiv w:val="1"/>
      <w:marLeft w:val="0"/>
      <w:marRight w:val="0"/>
      <w:marTop w:val="0"/>
      <w:marBottom w:val="0"/>
      <w:divBdr>
        <w:top w:val="none" w:sz="0" w:space="0" w:color="auto"/>
        <w:left w:val="none" w:sz="0" w:space="0" w:color="auto"/>
        <w:bottom w:val="none" w:sz="0" w:space="0" w:color="auto"/>
        <w:right w:val="none" w:sz="0" w:space="0" w:color="auto"/>
      </w:divBdr>
    </w:div>
    <w:div w:id="537667542">
      <w:bodyDiv w:val="1"/>
      <w:marLeft w:val="0"/>
      <w:marRight w:val="0"/>
      <w:marTop w:val="0"/>
      <w:marBottom w:val="0"/>
      <w:divBdr>
        <w:top w:val="none" w:sz="0" w:space="0" w:color="auto"/>
        <w:left w:val="none" w:sz="0" w:space="0" w:color="auto"/>
        <w:bottom w:val="none" w:sz="0" w:space="0" w:color="auto"/>
        <w:right w:val="none" w:sz="0" w:space="0" w:color="auto"/>
      </w:divBdr>
    </w:div>
    <w:div w:id="588394358">
      <w:bodyDiv w:val="1"/>
      <w:marLeft w:val="0"/>
      <w:marRight w:val="0"/>
      <w:marTop w:val="0"/>
      <w:marBottom w:val="0"/>
      <w:divBdr>
        <w:top w:val="none" w:sz="0" w:space="0" w:color="auto"/>
        <w:left w:val="none" w:sz="0" w:space="0" w:color="auto"/>
        <w:bottom w:val="none" w:sz="0" w:space="0" w:color="auto"/>
        <w:right w:val="none" w:sz="0" w:space="0" w:color="auto"/>
      </w:divBdr>
    </w:div>
    <w:div w:id="603461740">
      <w:bodyDiv w:val="1"/>
      <w:marLeft w:val="0"/>
      <w:marRight w:val="0"/>
      <w:marTop w:val="0"/>
      <w:marBottom w:val="0"/>
      <w:divBdr>
        <w:top w:val="none" w:sz="0" w:space="0" w:color="auto"/>
        <w:left w:val="none" w:sz="0" w:space="0" w:color="auto"/>
        <w:bottom w:val="none" w:sz="0" w:space="0" w:color="auto"/>
        <w:right w:val="none" w:sz="0" w:space="0" w:color="auto"/>
      </w:divBdr>
    </w:div>
    <w:div w:id="621763566">
      <w:bodyDiv w:val="1"/>
      <w:marLeft w:val="0"/>
      <w:marRight w:val="0"/>
      <w:marTop w:val="0"/>
      <w:marBottom w:val="0"/>
      <w:divBdr>
        <w:top w:val="none" w:sz="0" w:space="0" w:color="auto"/>
        <w:left w:val="none" w:sz="0" w:space="0" w:color="auto"/>
        <w:bottom w:val="none" w:sz="0" w:space="0" w:color="auto"/>
        <w:right w:val="none" w:sz="0" w:space="0" w:color="auto"/>
      </w:divBdr>
    </w:div>
    <w:div w:id="641546074">
      <w:bodyDiv w:val="1"/>
      <w:marLeft w:val="0"/>
      <w:marRight w:val="0"/>
      <w:marTop w:val="0"/>
      <w:marBottom w:val="0"/>
      <w:divBdr>
        <w:top w:val="none" w:sz="0" w:space="0" w:color="auto"/>
        <w:left w:val="none" w:sz="0" w:space="0" w:color="auto"/>
        <w:bottom w:val="none" w:sz="0" w:space="0" w:color="auto"/>
        <w:right w:val="none" w:sz="0" w:space="0" w:color="auto"/>
      </w:divBdr>
    </w:div>
    <w:div w:id="681128135">
      <w:bodyDiv w:val="1"/>
      <w:marLeft w:val="0"/>
      <w:marRight w:val="0"/>
      <w:marTop w:val="0"/>
      <w:marBottom w:val="0"/>
      <w:divBdr>
        <w:top w:val="none" w:sz="0" w:space="0" w:color="auto"/>
        <w:left w:val="none" w:sz="0" w:space="0" w:color="auto"/>
        <w:bottom w:val="none" w:sz="0" w:space="0" w:color="auto"/>
        <w:right w:val="none" w:sz="0" w:space="0" w:color="auto"/>
      </w:divBdr>
    </w:div>
    <w:div w:id="711535149">
      <w:bodyDiv w:val="1"/>
      <w:marLeft w:val="0"/>
      <w:marRight w:val="0"/>
      <w:marTop w:val="0"/>
      <w:marBottom w:val="0"/>
      <w:divBdr>
        <w:top w:val="none" w:sz="0" w:space="0" w:color="auto"/>
        <w:left w:val="none" w:sz="0" w:space="0" w:color="auto"/>
        <w:bottom w:val="none" w:sz="0" w:space="0" w:color="auto"/>
        <w:right w:val="none" w:sz="0" w:space="0" w:color="auto"/>
      </w:divBdr>
    </w:div>
    <w:div w:id="741298508">
      <w:bodyDiv w:val="1"/>
      <w:marLeft w:val="0"/>
      <w:marRight w:val="0"/>
      <w:marTop w:val="0"/>
      <w:marBottom w:val="0"/>
      <w:divBdr>
        <w:top w:val="none" w:sz="0" w:space="0" w:color="auto"/>
        <w:left w:val="none" w:sz="0" w:space="0" w:color="auto"/>
        <w:bottom w:val="none" w:sz="0" w:space="0" w:color="auto"/>
        <w:right w:val="none" w:sz="0" w:space="0" w:color="auto"/>
      </w:divBdr>
    </w:div>
    <w:div w:id="778599349">
      <w:bodyDiv w:val="1"/>
      <w:marLeft w:val="0"/>
      <w:marRight w:val="0"/>
      <w:marTop w:val="0"/>
      <w:marBottom w:val="0"/>
      <w:divBdr>
        <w:top w:val="none" w:sz="0" w:space="0" w:color="auto"/>
        <w:left w:val="none" w:sz="0" w:space="0" w:color="auto"/>
        <w:bottom w:val="none" w:sz="0" w:space="0" w:color="auto"/>
        <w:right w:val="none" w:sz="0" w:space="0" w:color="auto"/>
      </w:divBdr>
    </w:div>
    <w:div w:id="818573338">
      <w:bodyDiv w:val="1"/>
      <w:marLeft w:val="0"/>
      <w:marRight w:val="0"/>
      <w:marTop w:val="0"/>
      <w:marBottom w:val="0"/>
      <w:divBdr>
        <w:top w:val="none" w:sz="0" w:space="0" w:color="auto"/>
        <w:left w:val="none" w:sz="0" w:space="0" w:color="auto"/>
        <w:bottom w:val="none" w:sz="0" w:space="0" w:color="auto"/>
        <w:right w:val="none" w:sz="0" w:space="0" w:color="auto"/>
      </w:divBdr>
    </w:div>
    <w:div w:id="912473325">
      <w:bodyDiv w:val="1"/>
      <w:marLeft w:val="0"/>
      <w:marRight w:val="0"/>
      <w:marTop w:val="0"/>
      <w:marBottom w:val="0"/>
      <w:divBdr>
        <w:top w:val="none" w:sz="0" w:space="0" w:color="auto"/>
        <w:left w:val="none" w:sz="0" w:space="0" w:color="auto"/>
        <w:bottom w:val="none" w:sz="0" w:space="0" w:color="auto"/>
        <w:right w:val="none" w:sz="0" w:space="0" w:color="auto"/>
      </w:divBdr>
    </w:div>
    <w:div w:id="1025979238">
      <w:bodyDiv w:val="1"/>
      <w:marLeft w:val="0"/>
      <w:marRight w:val="0"/>
      <w:marTop w:val="0"/>
      <w:marBottom w:val="0"/>
      <w:divBdr>
        <w:top w:val="none" w:sz="0" w:space="0" w:color="auto"/>
        <w:left w:val="none" w:sz="0" w:space="0" w:color="auto"/>
        <w:bottom w:val="none" w:sz="0" w:space="0" w:color="auto"/>
        <w:right w:val="none" w:sz="0" w:space="0" w:color="auto"/>
      </w:divBdr>
    </w:div>
    <w:div w:id="1052535763">
      <w:bodyDiv w:val="1"/>
      <w:marLeft w:val="0"/>
      <w:marRight w:val="0"/>
      <w:marTop w:val="0"/>
      <w:marBottom w:val="0"/>
      <w:divBdr>
        <w:top w:val="none" w:sz="0" w:space="0" w:color="auto"/>
        <w:left w:val="none" w:sz="0" w:space="0" w:color="auto"/>
        <w:bottom w:val="none" w:sz="0" w:space="0" w:color="auto"/>
        <w:right w:val="none" w:sz="0" w:space="0" w:color="auto"/>
      </w:divBdr>
    </w:div>
    <w:div w:id="1095059068">
      <w:bodyDiv w:val="1"/>
      <w:marLeft w:val="0"/>
      <w:marRight w:val="0"/>
      <w:marTop w:val="0"/>
      <w:marBottom w:val="0"/>
      <w:divBdr>
        <w:top w:val="none" w:sz="0" w:space="0" w:color="auto"/>
        <w:left w:val="none" w:sz="0" w:space="0" w:color="auto"/>
        <w:bottom w:val="none" w:sz="0" w:space="0" w:color="auto"/>
        <w:right w:val="none" w:sz="0" w:space="0" w:color="auto"/>
      </w:divBdr>
    </w:div>
    <w:div w:id="1095327057">
      <w:bodyDiv w:val="1"/>
      <w:marLeft w:val="0"/>
      <w:marRight w:val="0"/>
      <w:marTop w:val="0"/>
      <w:marBottom w:val="0"/>
      <w:divBdr>
        <w:top w:val="none" w:sz="0" w:space="0" w:color="auto"/>
        <w:left w:val="none" w:sz="0" w:space="0" w:color="auto"/>
        <w:bottom w:val="none" w:sz="0" w:space="0" w:color="auto"/>
        <w:right w:val="none" w:sz="0" w:space="0" w:color="auto"/>
      </w:divBdr>
    </w:div>
    <w:div w:id="1111706726">
      <w:bodyDiv w:val="1"/>
      <w:marLeft w:val="0"/>
      <w:marRight w:val="0"/>
      <w:marTop w:val="0"/>
      <w:marBottom w:val="0"/>
      <w:divBdr>
        <w:top w:val="none" w:sz="0" w:space="0" w:color="auto"/>
        <w:left w:val="none" w:sz="0" w:space="0" w:color="auto"/>
        <w:bottom w:val="none" w:sz="0" w:space="0" w:color="auto"/>
        <w:right w:val="none" w:sz="0" w:space="0" w:color="auto"/>
      </w:divBdr>
    </w:div>
    <w:div w:id="1175650672">
      <w:bodyDiv w:val="1"/>
      <w:marLeft w:val="0"/>
      <w:marRight w:val="0"/>
      <w:marTop w:val="0"/>
      <w:marBottom w:val="0"/>
      <w:divBdr>
        <w:top w:val="none" w:sz="0" w:space="0" w:color="auto"/>
        <w:left w:val="none" w:sz="0" w:space="0" w:color="auto"/>
        <w:bottom w:val="none" w:sz="0" w:space="0" w:color="auto"/>
        <w:right w:val="none" w:sz="0" w:space="0" w:color="auto"/>
      </w:divBdr>
    </w:div>
    <w:div w:id="1179659341">
      <w:bodyDiv w:val="1"/>
      <w:marLeft w:val="0"/>
      <w:marRight w:val="0"/>
      <w:marTop w:val="0"/>
      <w:marBottom w:val="0"/>
      <w:divBdr>
        <w:top w:val="none" w:sz="0" w:space="0" w:color="auto"/>
        <w:left w:val="none" w:sz="0" w:space="0" w:color="auto"/>
        <w:bottom w:val="none" w:sz="0" w:space="0" w:color="auto"/>
        <w:right w:val="none" w:sz="0" w:space="0" w:color="auto"/>
      </w:divBdr>
    </w:div>
    <w:div w:id="1185823042">
      <w:bodyDiv w:val="1"/>
      <w:marLeft w:val="0"/>
      <w:marRight w:val="0"/>
      <w:marTop w:val="0"/>
      <w:marBottom w:val="0"/>
      <w:divBdr>
        <w:top w:val="none" w:sz="0" w:space="0" w:color="auto"/>
        <w:left w:val="none" w:sz="0" w:space="0" w:color="auto"/>
        <w:bottom w:val="none" w:sz="0" w:space="0" w:color="auto"/>
        <w:right w:val="none" w:sz="0" w:space="0" w:color="auto"/>
      </w:divBdr>
    </w:div>
    <w:div w:id="1203321025">
      <w:bodyDiv w:val="1"/>
      <w:marLeft w:val="0"/>
      <w:marRight w:val="0"/>
      <w:marTop w:val="0"/>
      <w:marBottom w:val="0"/>
      <w:divBdr>
        <w:top w:val="none" w:sz="0" w:space="0" w:color="auto"/>
        <w:left w:val="none" w:sz="0" w:space="0" w:color="auto"/>
        <w:bottom w:val="none" w:sz="0" w:space="0" w:color="auto"/>
        <w:right w:val="none" w:sz="0" w:space="0" w:color="auto"/>
      </w:divBdr>
    </w:div>
    <w:div w:id="1206794355">
      <w:bodyDiv w:val="1"/>
      <w:marLeft w:val="0"/>
      <w:marRight w:val="0"/>
      <w:marTop w:val="0"/>
      <w:marBottom w:val="0"/>
      <w:divBdr>
        <w:top w:val="none" w:sz="0" w:space="0" w:color="auto"/>
        <w:left w:val="none" w:sz="0" w:space="0" w:color="auto"/>
        <w:bottom w:val="none" w:sz="0" w:space="0" w:color="auto"/>
        <w:right w:val="none" w:sz="0" w:space="0" w:color="auto"/>
      </w:divBdr>
    </w:div>
    <w:div w:id="1216161351">
      <w:bodyDiv w:val="1"/>
      <w:marLeft w:val="0"/>
      <w:marRight w:val="0"/>
      <w:marTop w:val="0"/>
      <w:marBottom w:val="0"/>
      <w:divBdr>
        <w:top w:val="none" w:sz="0" w:space="0" w:color="auto"/>
        <w:left w:val="none" w:sz="0" w:space="0" w:color="auto"/>
        <w:bottom w:val="none" w:sz="0" w:space="0" w:color="auto"/>
        <w:right w:val="none" w:sz="0" w:space="0" w:color="auto"/>
      </w:divBdr>
    </w:div>
    <w:div w:id="1229001622">
      <w:bodyDiv w:val="1"/>
      <w:marLeft w:val="0"/>
      <w:marRight w:val="0"/>
      <w:marTop w:val="0"/>
      <w:marBottom w:val="0"/>
      <w:divBdr>
        <w:top w:val="none" w:sz="0" w:space="0" w:color="auto"/>
        <w:left w:val="none" w:sz="0" w:space="0" w:color="auto"/>
        <w:bottom w:val="none" w:sz="0" w:space="0" w:color="auto"/>
        <w:right w:val="none" w:sz="0" w:space="0" w:color="auto"/>
      </w:divBdr>
    </w:div>
    <w:div w:id="1244224370">
      <w:bodyDiv w:val="1"/>
      <w:marLeft w:val="0"/>
      <w:marRight w:val="0"/>
      <w:marTop w:val="0"/>
      <w:marBottom w:val="0"/>
      <w:divBdr>
        <w:top w:val="none" w:sz="0" w:space="0" w:color="auto"/>
        <w:left w:val="none" w:sz="0" w:space="0" w:color="auto"/>
        <w:bottom w:val="none" w:sz="0" w:space="0" w:color="auto"/>
        <w:right w:val="none" w:sz="0" w:space="0" w:color="auto"/>
      </w:divBdr>
    </w:div>
    <w:div w:id="1276447276">
      <w:bodyDiv w:val="1"/>
      <w:marLeft w:val="0"/>
      <w:marRight w:val="0"/>
      <w:marTop w:val="0"/>
      <w:marBottom w:val="0"/>
      <w:divBdr>
        <w:top w:val="none" w:sz="0" w:space="0" w:color="auto"/>
        <w:left w:val="none" w:sz="0" w:space="0" w:color="auto"/>
        <w:bottom w:val="none" w:sz="0" w:space="0" w:color="auto"/>
        <w:right w:val="none" w:sz="0" w:space="0" w:color="auto"/>
      </w:divBdr>
    </w:div>
    <w:div w:id="1295451332">
      <w:bodyDiv w:val="1"/>
      <w:marLeft w:val="0"/>
      <w:marRight w:val="0"/>
      <w:marTop w:val="0"/>
      <w:marBottom w:val="0"/>
      <w:divBdr>
        <w:top w:val="none" w:sz="0" w:space="0" w:color="auto"/>
        <w:left w:val="none" w:sz="0" w:space="0" w:color="auto"/>
        <w:bottom w:val="none" w:sz="0" w:space="0" w:color="auto"/>
        <w:right w:val="none" w:sz="0" w:space="0" w:color="auto"/>
      </w:divBdr>
    </w:div>
    <w:div w:id="1326013079">
      <w:bodyDiv w:val="1"/>
      <w:marLeft w:val="0"/>
      <w:marRight w:val="0"/>
      <w:marTop w:val="0"/>
      <w:marBottom w:val="0"/>
      <w:divBdr>
        <w:top w:val="none" w:sz="0" w:space="0" w:color="auto"/>
        <w:left w:val="none" w:sz="0" w:space="0" w:color="auto"/>
        <w:bottom w:val="none" w:sz="0" w:space="0" w:color="auto"/>
        <w:right w:val="none" w:sz="0" w:space="0" w:color="auto"/>
      </w:divBdr>
    </w:div>
    <w:div w:id="1326979899">
      <w:bodyDiv w:val="1"/>
      <w:marLeft w:val="0"/>
      <w:marRight w:val="0"/>
      <w:marTop w:val="0"/>
      <w:marBottom w:val="0"/>
      <w:divBdr>
        <w:top w:val="none" w:sz="0" w:space="0" w:color="auto"/>
        <w:left w:val="none" w:sz="0" w:space="0" w:color="auto"/>
        <w:bottom w:val="none" w:sz="0" w:space="0" w:color="auto"/>
        <w:right w:val="none" w:sz="0" w:space="0" w:color="auto"/>
      </w:divBdr>
    </w:div>
    <w:div w:id="1337459449">
      <w:bodyDiv w:val="1"/>
      <w:marLeft w:val="0"/>
      <w:marRight w:val="0"/>
      <w:marTop w:val="0"/>
      <w:marBottom w:val="0"/>
      <w:divBdr>
        <w:top w:val="none" w:sz="0" w:space="0" w:color="auto"/>
        <w:left w:val="none" w:sz="0" w:space="0" w:color="auto"/>
        <w:bottom w:val="none" w:sz="0" w:space="0" w:color="auto"/>
        <w:right w:val="none" w:sz="0" w:space="0" w:color="auto"/>
      </w:divBdr>
    </w:div>
    <w:div w:id="1350451453">
      <w:bodyDiv w:val="1"/>
      <w:marLeft w:val="0"/>
      <w:marRight w:val="0"/>
      <w:marTop w:val="0"/>
      <w:marBottom w:val="0"/>
      <w:divBdr>
        <w:top w:val="none" w:sz="0" w:space="0" w:color="auto"/>
        <w:left w:val="none" w:sz="0" w:space="0" w:color="auto"/>
        <w:bottom w:val="none" w:sz="0" w:space="0" w:color="auto"/>
        <w:right w:val="none" w:sz="0" w:space="0" w:color="auto"/>
      </w:divBdr>
      <w:divsChild>
        <w:div w:id="1096242604">
          <w:marLeft w:val="0"/>
          <w:marRight w:val="0"/>
          <w:marTop w:val="0"/>
          <w:marBottom w:val="0"/>
          <w:divBdr>
            <w:top w:val="none" w:sz="0" w:space="0" w:color="auto"/>
            <w:left w:val="none" w:sz="0" w:space="0" w:color="auto"/>
            <w:bottom w:val="none" w:sz="0" w:space="0" w:color="auto"/>
            <w:right w:val="none" w:sz="0" w:space="0" w:color="auto"/>
          </w:divBdr>
        </w:div>
      </w:divsChild>
    </w:div>
    <w:div w:id="1354191133">
      <w:bodyDiv w:val="1"/>
      <w:marLeft w:val="0"/>
      <w:marRight w:val="0"/>
      <w:marTop w:val="0"/>
      <w:marBottom w:val="0"/>
      <w:divBdr>
        <w:top w:val="none" w:sz="0" w:space="0" w:color="auto"/>
        <w:left w:val="none" w:sz="0" w:space="0" w:color="auto"/>
        <w:bottom w:val="none" w:sz="0" w:space="0" w:color="auto"/>
        <w:right w:val="none" w:sz="0" w:space="0" w:color="auto"/>
      </w:divBdr>
    </w:div>
    <w:div w:id="1363021104">
      <w:bodyDiv w:val="1"/>
      <w:marLeft w:val="0"/>
      <w:marRight w:val="0"/>
      <w:marTop w:val="0"/>
      <w:marBottom w:val="0"/>
      <w:divBdr>
        <w:top w:val="none" w:sz="0" w:space="0" w:color="auto"/>
        <w:left w:val="none" w:sz="0" w:space="0" w:color="auto"/>
        <w:bottom w:val="none" w:sz="0" w:space="0" w:color="auto"/>
        <w:right w:val="none" w:sz="0" w:space="0" w:color="auto"/>
      </w:divBdr>
    </w:div>
    <w:div w:id="1370685970">
      <w:bodyDiv w:val="1"/>
      <w:marLeft w:val="0"/>
      <w:marRight w:val="0"/>
      <w:marTop w:val="0"/>
      <w:marBottom w:val="0"/>
      <w:divBdr>
        <w:top w:val="none" w:sz="0" w:space="0" w:color="auto"/>
        <w:left w:val="none" w:sz="0" w:space="0" w:color="auto"/>
        <w:bottom w:val="none" w:sz="0" w:space="0" w:color="auto"/>
        <w:right w:val="none" w:sz="0" w:space="0" w:color="auto"/>
      </w:divBdr>
    </w:div>
    <w:div w:id="1377049808">
      <w:bodyDiv w:val="1"/>
      <w:marLeft w:val="0"/>
      <w:marRight w:val="0"/>
      <w:marTop w:val="0"/>
      <w:marBottom w:val="0"/>
      <w:divBdr>
        <w:top w:val="none" w:sz="0" w:space="0" w:color="auto"/>
        <w:left w:val="none" w:sz="0" w:space="0" w:color="auto"/>
        <w:bottom w:val="none" w:sz="0" w:space="0" w:color="auto"/>
        <w:right w:val="none" w:sz="0" w:space="0" w:color="auto"/>
      </w:divBdr>
    </w:div>
    <w:div w:id="1382438192">
      <w:bodyDiv w:val="1"/>
      <w:marLeft w:val="0"/>
      <w:marRight w:val="0"/>
      <w:marTop w:val="0"/>
      <w:marBottom w:val="0"/>
      <w:divBdr>
        <w:top w:val="none" w:sz="0" w:space="0" w:color="auto"/>
        <w:left w:val="none" w:sz="0" w:space="0" w:color="auto"/>
        <w:bottom w:val="none" w:sz="0" w:space="0" w:color="auto"/>
        <w:right w:val="none" w:sz="0" w:space="0" w:color="auto"/>
      </w:divBdr>
    </w:div>
    <w:div w:id="1392073481">
      <w:bodyDiv w:val="1"/>
      <w:marLeft w:val="0"/>
      <w:marRight w:val="0"/>
      <w:marTop w:val="0"/>
      <w:marBottom w:val="0"/>
      <w:divBdr>
        <w:top w:val="none" w:sz="0" w:space="0" w:color="auto"/>
        <w:left w:val="none" w:sz="0" w:space="0" w:color="auto"/>
        <w:bottom w:val="none" w:sz="0" w:space="0" w:color="auto"/>
        <w:right w:val="none" w:sz="0" w:space="0" w:color="auto"/>
      </w:divBdr>
    </w:div>
    <w:div w:id="1397359890">
      <w:bodyDiv w:val="1"/>
      <w:marLeft w:val="0"/>
      <w:marRight w:val="0"/>
      <w:marTop w:val="0"/>
      <w:marBottom w:val="0"/>
      <w:divBdr>
        <w:top w:val="none" w:sz="0" w:space="0" w:color="auto"/>
        <w:left w:val="none" w:sz="0" w:space="0" w:color="auto"/>
        <w:bottom w:val="none" w:sz="0" w:space="0" w:color="auto"/>
        <w:right w:val="none" w:sz="0" w:space="0" w:color="auto"/>
      </w:divBdr>
    </w:div>
    <w:div w:id="1431702484">
      <w:bodyDiv w:val="1"/>
      <w:marLeft w:val="0"/>
      <w:marRight w:val="0"/>
      <w:marTop w:val="0"/>
      <w:marBottom w:val="0"/>
      <w:divBdr>
        <w:top w:val="none" w:sz="0" w:space="0" w:color="auto"/>
        <w:left w:val="none" w:sz="0" w:space="0" w:color="auto"/>
        <w:bottom w:val="none" w:sz="0" w:space="0" w:color="auto"/>
        <w:right w:val="none" w:sz="0" w:space="0" w:color="auto"/>
      </w:divBdr>
    </w:div>
    <w:div w:id="1433354184">
      <w:bodyDiv w:val="1"/>
      <w:marLeft w:val="0"/>
      <w:marRight w:val="0"/>
      <w:marTop w:val="0"/>
      <w:marBottom w:val="0"/>
      <w:divBdr>
        <w:top w:val="none" w:sz="0" w:space="0" w:color="auto"/>
        <w:left w:val="none" w:sz="0" w:space="0" w:color="auto"/>
        <w:bottom w:val="none" w:sz="0" w:space="0" w:color="auto"/>
        <w:right w:val="none" w:sz="0" w:space="0" w:color="auto"/>
      </w:divBdr>
    </w:div>
    <w:div w:id="1443769552">
      <w:bodyDiv w:val="1"/>
      <w:marLeft w:val="0"/>
      <w:marRight w:val="0"/>
      <w:marTop w:val="0"/>
      <w:marBottom w:val="0"/>
      <w:divBdr>
        <w:top w:val="none" w:sz="0" w:space="0" w:color="auto"/>
        <w:left w:val="none" w:sz="0" w:space="0" w:color="auto"/>
        <w:bottom w:val="none" w:sz="0" w:space="0" w:color="auto"/>
        <w:right w:val="none" w:sz="0" w:space="0" w:color="auto"/>
      </w:divBdr>
    </w:div>
    <w:div w:id="1449663653">
      <w:bodyDiv w:val="1"/>
      <w:marLeft w:val="0"/>
      <w:marRight w:val="0"/>
      <w:marTop w:val="0"/>
      <w:marBottom w:val="0"/>
      <w:divBdr>
        <w:top w:val="none" w:sz="0" w:space="0" w:color="auto"/>
        <w:left w:val="none" w:sz="0" w:space="0" w:color="auto"/>
        <w:bottom w:val="none" w:sz="0" w:space="0" w:color="auto"/>
        <w:right w:val="none" w:sz="0" w:space="0" w:color="auto"/>
      </w:divBdr>
    </w:div>
    <w:div w:id="1451123525">
      <w:bodyDiv w:val="1"/>
      <w:marLeft w:val="0"/>
      <w:marRight w:val="0"/>
      <w:marTop w:val="0"/>
      <w:marBottom w:val="0"/>
      <w:divBdr>
        <w:top w:val="none" w:sz="0" w:space="0" w:color="auto"/>
        <w:left w:val="none" w:sz="0" w:space="0" w:color="auto"/>
        <w:bottom w:val="none" w:sz="0" w:space="0" w:color="auto"/>
        <w:right w:val="none" w:sz="0" w:space="0" w:color="auto"/>
      </w:divBdr>
    </w:div>
    <w:div w:id="1459374879">
      <w:bodyDiv w:val="1"/>
      <w:marLeft w:val="0"/>
      <w:marRight w:val="0"/>
      <w:marTop w:val="0"/>
      <w:marBottom w:val="0"/>
      <w:divBdr>
        <w:top w:val="none" w:sz="0" w:space="0" w:color="auto"/>
        <w:left w:val="none" w:sz="0" w:space="0" w:color="auto"/>
        <w:bottom w:val="none" w:sz="0" w:space="0" w:color="auto"/>
        <w:right w:val="none" w:sz="0" w:space="0" w:color="auto"/>
      </w:divBdr>
    </w:div>
    <w:div w:id="1478257857">
      <w:bodyDiv w:val="1"/>
      <w:marLeft w:val="0"/>
      <w:marRight w:val="0"/>
      <w:marTop w:val="0"/>
      <w:marBottom w:val="0"/>
      <w:divBdr>
        <w:top w:val="none" w:sz="0" w:space="0" w:color="auto"/>
        <w:left w:val="none" w:sz="0" w:space="0" w:color="auto"/>
        <w:bottom w:val="none" w:sz="0" w:space="0" w:color="auto"/>
        <w:right w:val="none" w:sz="0" w:space="0" w:color="auto"/>
      </w:divBdr>
    </w:div>
    <w:div w:id="1516114198">
      <w:bodyDiv w:val="1"/>
      <w:marLeft w:val="0"/>
      <w:marRight w:val="0"/>
      <w:marTop w:val="0"/>
      <w:marBottom w:val="0"/>
      <w:divBdr>
        <w:top w:val="none" w:sz="0" w:space="0" w:color="auto"/>
        <w:left w:val="none" w:sz="0" w:space="0" w:color="auto"/>
        <w:bottom w:val="none" w:sz="0" w:space="0" w:color="auto"/>
        <w:right w:val="none" w:sz="0" w:space="0" w:color="auto"/>
      </w:divBdr>
    </w:div>
    <w:div w:id="1566914242">
      <w:bodyDiv w:val="1"/>
      <w:marLeft w:val="0"/>
      <w:marRight w:val="0"/>
      <w:marTop w:val="0"/>
      <w:marBottom w:val="0"/>
      <w:divBdr>
        <w:top w:val="none" w:sz="0" w:space="0" w:color="auto"/>
        <w:left w:val="none" w:sz="0" w:space="0" w:color="auto"/>
        <w:bottom w:val="none" w:sz="0" w:space="0" w:color="auto"/>
        <w:right w:val="none" w:sz="0" w:space="0" w:color="auto"/>
      </w:divBdr>
    </w:div>
    <w:div w:id="1686252047">
      <w:bodyDiv w:val="1"/>
      <w:marLeft w:val="0"/>
      <w:marRight w:val="0"/>
      <w:marTop w:val="0"/>
      <w:marBottom w:val="0"/>
      <w:divBdr>
        <w:top w:val="none" w:sz="0" w:space="0" w:color="auto"/>
        <w:left w:val="none" w:sz="0" w:space="0" w:color="auto"/>
        <w:bottom w:val="none" w:sz="0" w:space="0" w:color="auto"/>
        <w:right w:val="none" w:sz="0" w:space="0" w:color="auto"/>
      </w:divBdr>
    </w:div>
    <w:div w:id="1690064170">
      <w:bodyDiv w:val="1"/>
      <w:marLeft w:val="0"/>
      <w:marRight w:val="0"/>
      <w:marTop w:val="0"/>
      <w:marBottom w:val="0"/>
      <w:divBdr>
        <w:top w:val="none" w:sz="0" w:space="0" w:color="auto"/>
        <w:left w:val="none" w:sz="0" w:space="0" w:color="auto"/>
        <w:bottom w:val="none" w:sz="0" w:space="0" w:color="auto"/>
        <w:right w:val="none" w:sz="0" w:space="0" w:color="auto"/>
      </w:divBdr>
    </w:div>
    <w:div w:id="1755779900">
      <w:bodyDiv w:val="1"/>
      <w:marLeft w:val="0"/>
      <w:marRight w:val="0"/>
      <w:marTop w:val="0"/>
      <w:marBottom w:val="0"/>
      <w:divBdr>
        <w:top w:val="none" w:sz="0" w:space="0" w:color="auto"/>
        <w:left w:val="none" w:sz="0" w:space="0" w:color="auto"/>
        <w:bottom w:val="none" w:sz="0" w:space="0" w:color="auto"/>
        <w:right w:val="none" w:sz="0" w:space="0" w:color="auto"/>
      </w:divBdr>
    </w:div>
    <w:div w:id="1787696716">
      <w:bodyDiv w:val="1"/>
      <w:marLeft w:val="0"/>
      <w:marRight w:val="0"/>
      <w:marTop w:val="0"/>
      <w:marBottom w:val="0"/>
      <w:divBdr>
        <w:top w:val="none" w:sz="0" w:space="0" w:color="auto"/>
        <w:left w:val="none" w:sz="0" w:space="0" w:color="auto"/>
        <w:bottom w:val="none" w:sz="0" w:space="0" w:color="auto"/>
        <w:right w:val="none" w:sz="0" w:space="0" w:color="auto"/>
      </w:divBdr>
    </w:div>
    <w:div w:id="1789592382">
      <w:bodyDiv w:val="1"/>
      <w:marLeft w:val="0"/>
      <w:marRight w:val="0"/>
      <w:marTop w:val="0"/>
      <w:marBottom w:val="0"/>
      <w:divBdr>
        <w:top w:val="none" w:sz="0" w:space="0" w:color="auto"/>
        <w:left w:val="none" w:sz="0" w:space="0" w:color="auto"/>
        <w:bottom w:val="none" w:sz="0" w:space="0" w:color="auto"/>
        <w:right w:val="none" w:sz="0" w:space="0" w:color="auto"/>
      </w:divBdr>
    </w:div>
    <w:div w:id="1829394316">
      <w:bodyDiv w:val="1"/>
      <w:marLeft w:val="0"/>
      <w:marRight w:val="0"/>
      <w:marTop w:val="0"/>
      <w:marBottom w:val="0"/>
      <w:divBdr>
        <w:top w:val="none" w:sz="0" w:space="0" w:color="auto"/>
        <w:left w:val="none" w:sz="0" w:space="0" w:color="auto"/>
        <w:bottom w:val="none" w:sz="0" w:space="0" w:color="auto"/>
        <w:right w:val="none" w:sz="0" w:space="0" w:color="auto"/>
      </w:divBdr>
    </w:div>
    <w:div w:id="1838425158">
      <w:bodyDiv w:val="1"/>
      <w:marLeft w:val="0"/>
      <w:marRight w:val="0"/>
      <w:marTop w:val="0"/>
      <w:marBottom w:val="0"/>
      <w:divBdr>
        <w:top w:val="none" w:sz="0" w:space="0" w:color="auto"/>
        <w:left w:val="none" w:sz="0" w:space="0" w:color="auto"/>
        <w:bottom w:val="none" w:sz="0" w:space="0" w:color="auto"/>
        <w:right w:val="none" w:sz="0" w:space="0" w:color="auto"/>
      </w:divBdr>
    </w:div>
    <w:div w:id="1876886868">
      <w:bodyDiv w:val="1"/>
      <w:marLeft w:val="0"/>
      <w:marRight w:val="0"/>
      <w:marTop w:val="0"/>
      <w:marBottom w:val="0"/>
      <w:divBdr>
        <w:top w:val="none" w:sz="0" w:space="0" w:color="auto"/>
        <w:left w:val="none" w:sz="0" w:space="0" w:color="auto"/>
        <w:bottom w:val="none" w:sz="0" w:space="0" w:color="auto"/>
        <w:right w:val="none" w:sz="0" w:space="0" w:color="auto"/>
      </w:divBdr>
    </w:div>
    <w:div w:id="1905531797">
      <w:bodyDiv w:val="1"/>
      <w:marLeft w:val="0"/>
      <w:marRight w:val="0"/>
      <w:marTop w:val="0"/>
      <w:marBottom w:val="0"/>
      <w:divBdr>
        <w:top w:val="none" w:sz="0" w:space="0" w:color="auto"/>
        <w:left w:val="none" w:sz="0" w:space="0" w:color="auto"/>
        <w:bottom w:val="none" w:sz="0" w:space="0" w:color="auto"/>
        <w:right w:val="none" w:sz="0" w:space="0" w:color="auto"/>
      </w:divBdr>
    </w:div>
    <w:div w:id="1961185099">
      <w:bodyDiv w:val="1"/>
      <w:marLeft w:val="0"/>
      <w:marRight w:val="0"/>
      <w:marTop w:val="0"/>
      <w:marBottom w:val="0"/>
      <w:divBdr>
        <w:top w:val="none" w:sz="0" w:space="0" w:color="auto"/>
        <w:left w:val="none" w:sz="0" w:space="0" w:color="auto"/>
        <w:bottom w:val="none" w:sz="0" w:space="0" w:color="auto"/>
        <w:right w:val="none" w:sz="0" w:space="0" w:color="auto"/>
      </w:divBdr>
    </w:div>
    <w:div w:id="1990937917">
      <w:bodyDiv w:val="1"/>
      <w:marLeft w:val="0"/>
      <w:marRight w:val="0"/>
      <w:marTop w:val="0"/>
      <w:marBottom w:val="0"/>
      <w:divBdr>
        <w:top w:val="none" w:sz="0" w:space="0" w:color="auto"/>
        <w:left w:val="none" w:sz="0" w:space="0" w:color="auto"/>
        <w:bottom w:val="none" w:sz="0" w:space="0" w:color="auto"/>
        <w:right w:val="none" w:sz="0" w:space="0" w:color="auto"/>
      </w:divBdr>
    </w:div>
    <w:div w:id="2034568866">
      <w:bodyDiv w:val="1"/>
      <w:marLeft w:val="0"/>
      <w:marRight w:val="0"/>
      <w:marTop w:val="0"/>
      <w:marBottom w:val="0"/>
      <w:divBdr>
        <w:top w:val="none" w:sz="0" w:space="0" w:color="auto"/>
        <w:left w:val="none" w:sz="0" w:space="0" w:color="auto"/>
        <w:bottom w:val="none" w:sz="0" w:space="0" w:color="auto"/>
        <w:right w:val="none" w:sz="0" w:space="0" w:color="auto"/>
      </w:divBdr>
    </w:div>
    <w:div w:id="2072843437">
      <w:bodyDiv w:val="1"/>
      <w:marLeft w:val="0"/>
      <w:marRight w:val="0"/>
      <w:marTop w:val="0"/>
      <w:marBottom w:val="0"/>
      <w:divBdr>
        <w:top w:val="none" w:sz="0" w:space="0" w:color="auto"/>
        <w:left w:val="none" w:sz="0" w:space="0" w:color="auto"/>
        <w:bottom w:val="none" w:sz="0" w:space="0" w:color="auto"/>
        <w:right w:val="none" w:sz="0" w:space="0" w:color="auto"/>
      </w:divBdr>
    </w:div>
    <w:div w:id="210495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tie.squire@lstmed.ac.uk" TargetMode="External"/><Relationship Id="rId13" Type="http://schemas.openxmlformats.org/officeDocument/2006/relationships/chart" Target="charts/chart1.xml"/><Relationship Id="rId18" Type="http://schemas.openxmlformats.org/officeDocument/2006/relationships/hyperlink" Target="http://www.ncbi.nlm.nih.gov/pubmed/15772871" TargetMode="External"/><Relationship Id="rId3" Type="http://schemas.openxmlformats.org/officeDocument/2006/relationships/styles" Target="styles.xml"/><Relationship Id="rId21" Type="http://schemas.openxmlformats.org/officeDocument/2006/relationships/hyperlink" Target="https://apps.who.int/iris/bitstream/handle/10665/250125/9789241549639-eng.pdf;jsessionid=03C839DA84194B730355700282D2D9F7?sequence=1"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apps.who.int/iris/bitstream/handle/10665/44597/9789241501583_eng.pdf?sequence=1"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xe.com/currencyconver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ema.europa.eu/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aura.Rosu\Desktop\STREAM1%20analyses\All%20final%20analyse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Cumulative supplementary</a:t>
            </a:r>
            <a:r>
              <a:rPr lang="en-GB" baseline="0"/>
              <a:t> food purchases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Supplements!$R$73</c:f>
              <c:strCache>
                <c:ptCount val="1"/>
                <c:pt idx="0">
                  <c:v>Short regimen</c:v>
                </c:pt>
              </c:strCache>
            </c:strRef>
          </c:tx>
          <c:spPr>
            <a:ln w="28575" cap="rnd">
              <a:solidFill>
                <a:schemeClr val="accent2"/>
              </a:solidFill>
              <a:round/>
            </a:ln>
            <a:effectLst/>
          </c:spPr>
          <c:marker>
            <c:symbol val="circle"/>
            <c:size val="5"/>
            <c:spPr>
              <a:solidFill>
                <a:schemeClr val="accent2"/>
              </a:solidFill>
              <a:ln w="9525">
                <a:noFill/>
              </a:ln>
              <a:effectLst/>
            </c:spPr>
          </c:marker>
          <c:cat>
            <c:numRef>
              <c:f>Supplements!$S$72:$AD$72</c:f>
              <c:numCache>
                <c:formatCode>#,##0</c:formatCode>
                <c:ptCount val="12"/>
                <c:pt idx="0" formatCode="0">
                  <c:v>0</c:v>
                </c:pt>
                <c:pt idx="1">
                  <c:v>12</c:v>
                </c:pt>
                <c:pt idx="2">
                  <c:v>24</c:v>
                </c:pt>
                <c:pt idx="3">
                  <c:v>36</c:v>
                </c:pt>
                <c:pt idx="4">
                  <c:v>48</c:v>
                </c:pt>
                <c:pt idx="5">
                  <c:v>60</c:v>
                </c:pt>
                <c:pt idx="6">
                  <c:v>72</c:v>
                </c:pt>
                <c:pt idx="7">
                  <c:v>84</c:v>
                </c:pt>
                <c:pt idx="8">
                  <c:v>96</c:v>
                </c:pt>
                <c:pt idx="9">
                  <c:v>108</c:v>
                </c:pt>
                <c:pt idx="10">
                  <c:v>120</c:v>
                </c:pt>
                <c:pt idx="11">
                  <c:v>132</c:v>
                </c:pt>
              </c:numCache>
            </c:numRef>
          </c:cat>
          <c:val>
            <c:numRef>
              <c:f>Supplements!$S$73:$AD$73</c:f>
              <c:numCache>
                <c:formatCode>0.00</c:formatCode>
                <c:ptCount val="12"/>
                <c:pt idx="0" formatCode="0">
                  <c:v>0</c:v>
                </c:pt>
                <c:pt idx="1">
                  <c:v>77.914074272727262</c:v>
                </c:pt>
                <c:pt idx="2">
                  <c:v>134.22458394999998</c:v>
                </c:pt>
                <c:pt idx="3">
                  <c:v>186.13162700909089</c:v>
                </c:pt>
                <c:pt idx="4">
                  <c:v>219.0807152363636</c:v>
                </c:pt>
                <c:pt idx="5">
                  <c:v>250.05634923636359</c:v>
                </c:pt>
                <c:pt idx="6">
                  <c:v>280.81667737272727</c:v>
                </c:pt>
                <c:pt idx="7">
                  <c:v>300.94849523636361</c:v>
                </c:pt>
                <c:pt idx="8">
                  <c:v>311.20275396363633</c:v>
                </c:pt>
                <c:pt idx="9">
                  <c:v>317.82244114545443</c:v>
                </c:pt>
                <c:pt idx="10">
                  <c:v>321.78854950909079</c:v>
                </c:pt>
                <c:pt idx="11">
                  <c:v>323.644996554545</c:v>
                </c:pt>
              </c:numCache>
            </c:numRef>
          </c:val>
          <c:smooth val="0"/>
          <c:extLst>
            <c:ext xmlns:c16="http://schemas.microsoft.com/office/drawing/2014/chart" uri="{C3380CC4-5D6E-409C-BE32-E72D297353CC}">
              <c16:uniqueId val="{00000000-D5B2-4DB9-A327-1F2BBDB8D424}"/>
            </c:ext>
          </c:extLst>
        </c:ser>
        <c:ser>
          <c:idx val="1"/>
          <c:order val="1"/>
          <c:tx>
            <c:strRef>
              <c:f>Supplements!$R$74</c:f>
              <c:strCache>
                <c:ptCount val="1"/>
                <c:pt idx="0">
                  <c:v>Long regimen</c:v>
                </c:pt>
              </c:strCache>
            </c:strRef>
          </c:tx>
          <c:spPr>
            <a:ln w="28575" cap="rnd">
              <a:solidFill>
                <a:schemeClr val="accent1"/>
              </a:solidFill>
              <a:round/>
            </a:ln>
            <a:effectLst/>
          </c:spPr>
          <c:marker>
            <c:symbol val="circle"/>
            <c:size val="5"/>
            <c:spPr>
              <a:solidFill>
                <a:schemeClr val="accent1"/>
              </a:solidFill>
              <a:ln w="9525">
                <a:noFill/>
              </a:ln>
              <a:effectLst/>
            </c:spPr>
          </c:marker>
          <c:cat>
            <c:numRef>
              <c:f>Supplements!$S$72:$AD$72</c:f>
              <c:numCache>
                <c:formatCode>#,##0</c:formatCode>
                <c:ptCount val="12"/>
                <c:pt idx="0" formatCode="0">
                  <c:v>0</c:v>
                </c:pt>
                <c:pt idx="1">
                  <c:v>12</c:v>
                </c:pt>
                <c:pt idx="2">
                  <c:v>24</c:v>
                </c:pt>
                <c:pt idx="3">
                  <c:v>36</c:v>
                </c:pt>
                <c:pt idx="4">
                  <c:v>48</c:v>
                </c:pt>
                <c:pt idx="5">
                  <c:v>60</c:v>
                </c:pt>
                <c:pt idx="6">
                  <c:v>72</c:v>
                </c:pt>
                <c:pt idx="7">
                  <c:v>84</c:v>
                </c:pt>
                <c:pt idx="8">
                  <c:v>96</c:v>
                </c:pt>
                <c:pt idx="9">
                  <c:v>108</c:v>
                </c:pt>
                <c:pt idx="10">
                  <c:v>120</c:v>
                </c:pt>
                <c:pt idx="11">
                  <c:v>132</c:v>
                </c:pt>
              </c:numCache>
            </c:numRef>
          </c:cat>
          <c:val>
            <c:numRef>
              <c:f>Supplements!$S$74:$AD$74</c:f>
              <c:numCache>
                <c:formatCode>0.00</c:formatCode>
                <c:ptCount val="12"/>
                <c:pt idx="0" formatCode="0">
                  <c:v>0</c:v>
                </c:pt>
                <c:pt idx="1">
                  <c:v>118.91304563636363</c:v>
                </c:pt>
                <c:pt idx="2">
                  <c:v>191.6161396</c:v>
                </c:pt>
                <c:pt idx="3">
                  <c:v>263.78348505454545</c:v>
                </c:pt>
                <c:pt idx="4">
                  <c:v>335.56849478181817</c:v>
                </c:pt>
                <c:pt idx="5">
                  <c:v>405.82596560000002</c:v>
                </c:pt>
                <c:pt idx="6">
                  <c:v>467.28631050909092</c:v>
                </c:pt>
                <c:pt idx="7">
                  <c:v>512.90580160000002</c:v>
                </c:pt>
                <c:pt idx="8">
                  <c:v>524.79680159999998</c:v>
                </c:pt>
                <c:pt idx="9">
                  <c:v>536.19290396363635</c:v>
                </c:pt>
                <c:pt idx="10">
                  <c:v>545.07012796363631</c:v>
                </c:pt>
                <c:pt idx="11">
                  <c:v>549.143470690909</c:v>
                </c:pt>
              </c:numCache>
            </c:numRef>
          </c:val>
          <c:smooth val="0"/>
          <c:extLst>
            <c:ext xmlns:c16="http://schemas.microsoft.com/office/drawing/2014/chart" uri="{C3380CC4-5D6E-409C-BE32-E72D297353CC}">
              <c16:uniqueId val="{00000001-D5B2-4DB9-A327-1F2BBDB8D424}"/>
            </c:ext>
          </c:extLst>
        </c:ser>
        <c:dLbls>
          <c:showLegendKey val="0"/>
          <c:showVal val="0"/>
          <c:showCatName val="0"/>
          <c:showSerName val="0"/>
          <c:showPercent val="0"/>
          <c:showBubbleSize val="0"/>
        </c:dLbls>
        <c:marker val="1"/>
        <c:smooth val="0"/>
        <c:axId val="522497064"/>
        <c:axId val="522494440"/>
      </c:lineChart>
      <c:catAx>
        <c:axId val="5224970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150"/>
                  <a:t>Data collection points</a:t>
                </a:r>
                <a:r>
                  <a:rPr lang="en-GB" sz="1150" baseline="0"/>
                  <a:t> (weeks from randomisation)</a:t>
                </a:r>
                <a:endParaRPr lang="en-GB" sz="1150"/>
              </a:p>
            </c:rich>
          </c:tx>
          <c:layout>
            <c:manualLayout>
              <c:xMode val="edge"/>
              <c:yMode val="edge"/>
              <c:x val="0.29244930402657016"/>
              <c:y val="0.835385550490399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494440"/>
        <c:crosses val="autoZero"/>
        <c:auto val="1"/>
        <c:lblAlgn val="ctr"/>
        <c:lblOffset val="100"/>
        <c:noMultiLvlLbl val="0"/>
      </c:catAx>
      <c:valAx>
        <c:axId val="522494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150"/>
                  <a:t>Cumulative</a:t>
                </a:r>
                <a:r>
                  <a:rPr lang="en-GB" sz="1150" baseline="0"/>
                  <a:t> supplementary food purchases ($)</a:t>
                </a:r>
                <a:endParaRPr lang="en-GB" sz="1150"/>
              </a:p>
            </c:rich>
          </c:tx>
          <c:layout>
            <c:manualLayout>
              <c:xMode val="edge"/>
              <c:yMode val="edge"/>
              <c:x val="1.1374407582938388E-2"/>
              <c:y val="9.856140350877194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497064"/>
        <c:crosses val="autoZero"/>
        <c:crossBetween val="midCat"/>
        <c:maj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0.36341</cdr:x>
      <cdr:y>0.12632</cdr:y>
    </cdr:from>
    <cdr:to>
      <cdr:x>0.36341</cdr:x>
      <cdr:y>0.75438</cdr:y>
    </cdr:to>
    <cdr:cxnSp macro="">
      <cdr:nvCxnSpPr>
        <cdr:cNvPr id="2" name="Straight Connector 1"/>
        <cdr:cNvCxnSpPr/>
      </cdr:nvCxnSpPr>
      <cdr:spPr>
        <a:xfrm xmlns:a="http://schemas.openxmlformats.org/drawingml/2006/main" flipV="1">
          <a:off x="2434562" y="457200"/>
          <a:ext cx="0" cy="2273294"/>
        </a:xfrm>
        <a:prstGeom xmlns:a="http://schemas.openxmlformats.org/drawingml/2006/main" prst="line">
          <a:avLst/>
        </a:prstGeom>
        <a:ln xmlns:a="http://schemas.openxmlformats.org/drawingml/2006/main" w="2857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0.67241</cdr:x>
      <cdr:y>0.13246</cdr:y>
    </cdr:from>
    <cdr:to>
      <cdr:x>0.67241</cdr:x>
      <cdr:y>0.76052</cdr:y>
    </cdr:to>
    <cdr:cxnSp macro="">
      <cdr:nvCxnSpPr>
        <cdr:cNvPr id="4" name="Straight Connector 3"/>
        <cdr:cNvCxnSpPr/>
      </cdr:nvCxnSpPr>
      <cdr:spPr>
        <a:xfrm xmlns:a="http://schemas.openxmlformats.org/drawingml/2006/main" flipV="1">
          <a:off x="4504662" y="479425"/>
          <a:ext cx="0" cy="2273294"/>
        </a:xfrm>
        <a:prstGeom xmlns:a="http://schemas.openxmlformats.org/drawingml/2006/main" prst="line">
          <a:avLst/>
        </a:prstGeom>
        <a:ln xmlns:a="http://schemas.openxmlformats.org/drawingml/2006/main" w="28575"/>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0.74834</cdr:x>
      <cdr:y>0</cdr:y>
    </cdr:from>
    <cdr:to>
      <cdr:x>0.78341</cdr:x>
      <cdr:y>0.1</cdr:y>
    </cdr:to>
    <cdr:sp macro="" textlink="">
      <cdr:nvSpPr>
        <cdr:cNvPr id="5" name="Text Box 7"/>
        <cdr:cNvSpPr txBox="1"/>
      </cdr:nvSpPr>
      <cdr:spPr>
        <a:xfrm xmlns:a="http://schemas.openxmlformats.org/drawingml/2006/main">
          <a:off x="5013325" y="-1257300"/>
          <a:ext cx="234950" cy="361949"/>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nSpc>
              <a:spcPct val="200000"/>
            </a:lnSpc>
            <a:spcAft>
              <a:spcPts val="800"/>
            </a:spcAft>
          </a:pPr>
          <a:r>
            <a:rPr lang="en-GB" sz="1050" i="1" baseline="30000">
              <a:solidFill>
                <a:srgbClr val="222222"/>
              </a:solidFill>
              <a:effectLst/>
              <a:latin typeface="Arial" panose="020B0604020202020204" pitchFamily="34" charset="0"/>
              <a:ea typeface="Calibri" panose="020F0502020204030204" pitchFamily="34" charset="0"/>
              <a:cs typeface="Times New Roman" panose="02020603050405020304" pitchFamily="18" charset="0"/>
            </a:rPr>
            <a:t>†</a:t>
          </a:r>
          <a:endParaRPr lang="en-GB" sz="1100">
            <a:effectLst/>
            <a:latin typeface="Calibri" panose="020F0502020204030204" pitchFamily="34" charset="0"/>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70A63-6268-4F8A-AD42-1BB2BF10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5978</Words>
  <Characters>34076</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 Jason</dc:creator>
  <cp:keywords/>
  <dc:description/>
  <cp:lastModifiedBy>Julie Franco</cp:lastModifiedBy>
  <cp:revision>2</cp:revision>
  <cp:lastPrinted>2018-11-30T11:12:00Z</cp:lastPrinted>
  <dcterms:created xsi:type="dcterms:W3CDTF">2020-01-07T10:05:00Z</dcterms:created>
  <dcterms:modified xsi:type="dcterms:W3CDTF">2020-01-07T10:05:00Z</dcterms:modified>
</cp:coreProperties>
</file>