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EFCC" w14:textId="23F5E922" w:rsidR="005507E7" w:rsidRPr="008361FE" w:rsidRDefault="005507E7" w:rsidP="005507E7">
      <w:pPr>
        <w:pStyle w:val="Title"/>
        <w:spacing w:line="480" w:lineRule="auto"/>
        <w:rPr>
          <w:rFonts w:ascii="Times New Roman" w:hAnsi="Times New Roman" w:cs="Times New Roman"/>
          <w:b/>
          <w:sz w:val="24"/>
          <w:szCs w:val="24"/>
        </w:rPr>
      </w:pPr>
      <w:r w:rsidRPr="005507E7">
        <w:rPr>
          <w:rFonts w:ascii="Times New Roman" w:hAnsi="Times New Roman" w:cs="Times New Roman"/>
          <w:b/>
          <w:sz w:val="28"/>
          <w:szCs w:val="24"/>
        </w:rPr>
        <w:t>Maternal morbidity: a longitudinal study of women’s health during and up to 22 months after pregnancy in Jamaica</w:t>
      </w:r>
    </w:p>
    <w:p w14:paraId="59FF5FD7" w14:textId="77777777" w:rsidR="005507E7" w:rsidRPr="00130D7C" w:rsidRDefault="005507E7" w:rsidP="005507E7">
      <w:pPr>
        <w:pStyle w:val="Heading3"/>
        <w:spacing w:before="0" w:line="480" w:lineRule="auto"/>
        <w:rPr>
          <w:rFonts w:cs="Times New Roman"/>
        </w:rPr>
      </w:pPr>
      <w:r w:rsidRPr="00130D7C">
        <w:rPr>
          <w:rFonts w:cs="Times New Roman"/>
        </w:rPr>
        <w:t xml:space="preserve">Abstract </w:t>
      </w:r>
    </w:p>
    <w:p w14:paraId="350CA953" w14:textId="2A5D423A" w:rsidR="005507E7" w:rsidRPr="00130D7C" w:rsidRDefault="005507E7" w:rsidP="005507E7">
      <w:pPr>
        <w:jc w:val="both"/>
        <w:rPr>
          <w:rFonts w:eastAsiaTheme="majorEastAsia"/>
          <w:bCs/>
        </w:rPr>
      </w:pPr>
      <w:r w:rsidRPr="00130D7C">
        <w:rPr>
          <w:rFonts w:eastAsiaTheme="majorEastAsia"/>
          <w:bCs/>
        </w:rPr>
        <w:t>The sustainable development goal</w:t>
      </w:r>
      <w:r w:rsidR="006B3976">
        <w:rPr>
          <w:rFonts w:eastAsiaTheme="majorEastAsia"/>
          <w:bCs/>
        </w:rPr>
        <w:t xml:space="preserve">s </w:t>
      </w:r>
      <w:r w:rsidRPr="00130D7C">
        <w:rPr>
          <w:rFonts w:eastAsiaTheme="majorEastAsia"/>
          <w:bCs/>
        </w:rPr>
        <w:t>aim to improve health and well-being for all. Our study sought to evaluate</w:t>
      </w:r>
      <w:r w:rsidRPr="00130D7C">
        <w:t xml:space="preserve"> factors associated with ill-health in women during and after pregnancy.</w:t>
      </w:r>
      <w:r w:rsidRPr="00130D7C">
        <w:rPr>
          <w:rFonts w:eastAsiaTheme="majorEastAsia"/>
          <w:bCs/>
        </w:rPr>
        <w:t xml:space="preserve">   A population-based longitudinal study of women who delivered a singleton live-born baby in a 3-month period across Jamaica was conducted. Socio-demographic factors, perception of health, chronic illnesses and frequency and reasons for hospital admission were assessed during pregnancy; within 24-48 hours after birth; up to 12 months and up to 22 months after childbirth. This study presents data for women participating in all four assessments. Relationships between ill-health and maternal characteristics were estimated using log-normal regression analysis</w:t>
      </w:r>
      <w:r w:rsidR="0022267C">
        <w:t xml:space="preserve">. Of </w:t>
      </w:r>
      <w:r w:rsidRPr="00130D7C">
        <w:t>9,742 women interviewed at birth, 1,311 were assessed at all four stages, 27.7% of whom reported ill-health at least once. Hospitalization rates were 2</w:t>
      </w:r>
      <w:r w:rsidR="007201A6">
        <w:t>0.9</w:t>
      </w:r>
      <w:r w:rsidRPr="00130D7C">
        <w:t>% during pregnancy, 6.1% up to 12 months and 0.</w:t>
      </w:r>
      <w:r w:rsidR="007201A6">
        <w:t>5</w:t>
      </w:r>
      <w:r w:rsidRPr="00130D7C">
        <w:t xml:space="preserve">% up to 22 months after childbirth. Complications related to pregnancy accounted for 69.3% of antenatal admissions. Ill-health, reported by </w:t>
      </w:r>
      <w:r>
        <w:t>11% of</w:t>
      </w:r>
      <w:r w:rsidRPr="00130D7C">
        <w:t xml:space="preserve"> women, was less likely with better education (RR=0.62, 95%; 0.42-0.84). Hospital admission was associated with a higher socio-economic status (RR=1.33, 95% 1.04-1.70) and d</w:t>
      </w:r>
      <w:r w:rsidR="00A94842">
        <w:t>elivery by Caesarean section [C</w:t>
      </w:r>
      <w:r w:rsidRPr="00130D7C">
        <w:t>S] (RR=1.57, 95%; 1.21-2.04). One in three (33.7%) women recorded ongoing chronic illnesses after childbirth. These were more likely with an increase in age and parity and was associa</w:t>
      </w:r>
      <w:r w:rsidR="00A94842">
        <w:t>ted with delivery by elective C</w:t>
      </w:r>
      <w:r w:rsidRPr="00130D7C">
        <w:t xml:space="preserve">S (RR=1.44, 95%; 1.20-1.73). In multivariable analyses, ill-health was more likely with chronic illness (RR=2.06, 95%; CI: 1.71-2.48) and hospital admission from 12 to 22 months after childbirth (RR=1.54, 95% CI: 1.12-2.12).   </w:t>
      </w:r>
      <w:r w:rsidRPr="00130D7C">
        <w:rPr>
          <w:rFonts w:eastAsiaTheme="majorEastAsia"/>
          <w:bCs/>
        </w:rPr>
        <w:t xml:space="preserve">Ill-health during pregnancy and after childbirth represent a significant burden of disease. A standardised comprehensive approach to measuring and </w:t>
      </w:r>
      <w:r w:rsidRPr="00130D7C">
        <w:rPr>
          <w:rFonts w:eastAsiaTheme="majorEastAsia"/>
          <w:bCs/>
        </w:rPr>
        <w:lastRenderedPageBreak/>
        <w:t xml:space="preserve">addressing this disease burden will ensure that women and their babies survive and thrive during and after pregnancy. </w:t>
      </w:r>
    </w:p>
    <w:p w14:paraId="41C8B669" w14:textId="77777777" w:rsidR="005507E7" w:rsidRPr="00130D7C" w:rsidRDefault="005507E7" w:rsidP="00F32964">
      <w:pPr>
        <w:jc w:val="both"/>
        <w:rPr>
          <w:rFonts w:eastAsiaTheme="majorEastAsia"/>
          <w:bCs/>
        </w:rPr>
      </w:pPr>
      <w:r w:rsidRPr="00130D7C">
        <w:rPr>
          <w:rStyle w:val="Heading3Char"/>
        </w:rPr>
        <w:t>Keywords</w:t>
      </w:r>
      <w:r w:rsidRPr="00130D7C">
        <w:rPr>
          <w:rStyle w:val="Heading2Char"/>
        </w:rPr>
        <w:t>:</w:t>
      </w:r>
      <w:r>
        <w:rPr>
          <w:rFonts w:eastAsiaTheme="majorEastAsia"/>
          <w:bCs/>
        </w:rPr>
        <w:t xml:space="preserve"> i</w:t>
      </w:r>
      <w:r w:rsidRPr="00130D7C">
        <w:rPr>
          <w:rFonts w:eastAsiaTheme="majorEastAsia"/>
          <w:bCs/>
        </w:rPr>
        <w:t>ndicators, maternal morbidity, pregnancy, postnatal, assessment.</w:t>
      </w:r>
    </w:p>
    <w:p w14:paraId="4C0AAB24" w14:textId="77777777" w:rsidR="005507E7" w:rsidRPr="00130D7C" w:rsidRDefault="005507E7" w:rsidP="00F32964">
      <w:pPr>
        <w:jc w:val="both"/>
      </w:pPr>
      <w:r w:rsidRPr="00130D7C">
        <w:rPr>
          <w:rStyle w:val="Heading3Char"/>
        </w:rPr>
        <w:t>Short Title:</w:t>
      </w:r>
      <w:r w:rsidRPr="00130D7C">
        <w:rPr>
          <w:rFonts w:eastAsiaTheme="majorEastAsia"/>
          <w:b/>
          <w:bCs/>
        </w:rPr>
        <w:t xml:space="preserve"> </w:t>
      </w:r>
      <w:r w:rsidRPr="00130D7C">
        <w:t>Maternal morbidity during pregnancy and up to 22 months after birth.</w:t>
      </w:r>
    </w:p>
    <w:p w14:paraId="50546B7A" w14:textId="77777777" w:rsidR="005507E7" w:rsidRDefault="005507E7" w:rsidP="005507E7">
      <w:pPr>
        <w:contextualSpacing/>
        <w:jc w:val="both"/>
        <w:rPr>
          <w:b/>
          <w:color w:val="000000"/>
        </w:rPr>
      </w:pPr>
    </w:p>
    <w:p w14:paraId="51AC1AA2" w14:textId="77777777" w:rsidR="005507E7" w:rsidRPr="008361FE" w:rsidRDefault="005507E7" w:rsidP="005507E7">
      <w:pPr>
        <w:contextualSpacing/>
        <w:jc w:val="both"/>
        <w:rPr>
          <w:color w:val="000000"/>
        </w:rPr>
      </w:pPr>
      <w:r>
        <w:rPr>
          <w:b/>
          <w:color w:val="000000"/>
        </w:rPr>
        <w:t>Ethical a</w:t>
      </w:r>
      <w:r w:rsidRPr="008361FE">
        <w:rPr>
          <w:b/>
          <w:color w:val="000000"/>
        </w:rPr>
        <w:t xml:space="preserve">pproval: </w:t>
      </w:r>
      <w:r w:rsidRPr="008361FE">
        <w:rPr>
          <w:color w:val="000000"/>
        </w:rPr>
        <w:t>Ethical approval was granted by the University of the West Indies Ethics Committee</w:t>
      </w:r>
      <w:r>
        <w:rPr>
          <w:color w:val="000000"/>
        </w:rPr>
        <w:t xml:space="preserve"> (Mona)</w:t>
      </w:r>
      <w:r w:rsidRPr="008361FE">
        <w:rPr>
          <w:color w:val="000000"/>
        </w:rPr>
        <w:t xml:space="preserve"> and the Ministry of Health's Advisory Panel on Medico - Legal Affairs</w:t>
      </w:r>
      <w:r>
        <w:rPr>
          <w:color w:val="000000"/>
        </w:rPr>
        <w:t>,</w:t>
      </w:r>
      <w:r w:rsidRPr="008361FE">
        <w:rPr>
          <w:color w:val="000000"/>
        </w:rPr>
        <w:t xml:space="preserve"> </w:t>
      </w:r>
      <w:r>
        <w:rPr>
          <w:color w:val="000000"/>
        </w:rPr>
        <w:t xml:space="preserve">Kingston, </w:t>
      </w:r>
      <w:r w:rsidRPr="008361FE">
        <w:rPr>
          <w:color w:val="000000"/>
        </w:rPr>
        <w:t>Jamaica.</w:t>
      </w:r>
    </w:p>
    <w:p w14:paraId="5286A798" w14:textId="77777777" w:rsidR="005507E7" w:rsidRDefault="005507E7" w:rsidP="005507E7">
      <w:pPr>
        <w:pStyle w:val="Heading1"/>
        <w:spacing w:before="0" w:after="0" w:line="480" w:lineRule="auto"/>
        <w:jc w:val="both"/>
        <w:rPr>
          <w:rFonts w:eastAsiaTheme="majorEastAsia" w:cs="Times New Roman"/>
          <w:szCs w:val="24"/>
        </w:rPr>
      </w:pPr>
    </w:p>
    <w:p w14:paraId="12D85DE5" w14:textId="77777777" w:rsidR="005507E7" w:rsidRDefault="005507E7" w:rsidP="005507E7">
      <w:pPr>
        <w:pStyle w:val="Heading1"/>
        <w:spacing w:before="0" w:after="0" w:line="480" w:lineRule="auto"/>
        <w:ind w:right="0"/>
        <w:jc w:val="both"/>
        <w:rPr>
          <w:rFonts w:cs="Times New Roman"/>
          <w:b w:val="0"/>
          <w:color w:val="000000"/>
          <w:szCs w:val="24"/>
        </w:rPr>
      </w:pPr>
      <w:r>
        <w:rPr>
          <w:rFonts w:eastAsiaTheme="majorEastAsia" w:cs="Times New Roman"/>
          <w:szCs w:val="24"/>
        </w:rPr>
        <w:t>Funding r</w:t>
      </w:r>
      <w:r w:rsidRPr="008361FE">
        <w:rPr>
          <w:rFonts w:eastAsiaTheme="majorEastAsia" w:cs="Times New Roman"/>
          <w:szCs w:val="24"/>
        </w:rPr>
        <w:t xml:space="preserve">eceived: </w:t>
      </w:r>
      <w:r w:rsidRPr="005507E7">
        <w:rPr>
          <w:rFonts w:cs="Times New Roman"/>
          <w:b w:val="0"/>
          <w:color w:val="000000"/>
          <w:szCs w:val="24"/>
        </w:rPr>
        <w:t>The JA Kids study was funded by a grant to the University of the West Indies from the Inter-American Development Bank (IDB) (Project number ATN/JF-12312-JA). Secondary data analysis at the Centre for Maternal and Newborn health in the UK was funded through a Global Health Grant (Project number OPP1033805) from the Bill and Melinda Gates Foundation and World Health Organization (WHO).</w:t>
      </w:r>
    </w:p>
    <w:p w14:paraId="1196CE58" w14:textId="7B235DC4" w:rsidR="005507E7" w:rsidRDefault="005507E7" w:rsidP="005507E7">
      <w:pPr>
        <w:pStyle w:val="Paragraph"/>
      </w:pPr>
      <w:r>
        <w:rPr>
          <w:b/>
        </w:rPr>
        <w:t>Disclosure statement</w:t>
      </w:r>
      <w:r w:rsidRPr="005507E7">
        <w:rPr>
          <w:b/>
        </w:rPr>
        <w:t>:</w:t>
      </w:r>
      <w:r>
        <w:t xml:space="preserve">  The authors declare they have no conflicts of interest.</w:t>
      </w:r>
    </w:p>
    <w:p w14:paraId="16D12B2E" w14:textId="58443E60" w:rsidR="00FD526D" w:rsidRDefault="00FD526D" w:rsidP="00FD526D">
      <w:pPr>
        <w:pStyle w:val="Newparagraph"/>
      </w:pPr>
    </w:p>
    <w:p w14:paraId="4D19C423" w14:textId="7A9B8B10" w:rsidR="00FD526D" w:rsidRPr="00DB1FD2" w:rsidRDefault="00FD526D" w:rsidP="00FD526D">
      <w:pPr>
        <w:pStyle w:val="Newparagraph"/>
        <w:ind w:firstLine="0"/>
        <w:jc w:val="both"/>
      </w:pPr>
      <w:r w:rsidRPr="00FD526D">
        <w:rPr>
          <w:b/>
        </w:rPr>
        <w:t xml:space="preserve">Word count: </w:t>
      </w:r>
      <w:r w:rsidR="00DB1FD2" w:rsidRPr="00DB1FD2">
        <w:t>3</w:t>
      </w:r>
      <w:r w:rsidR="006A310D">
        <w:t>619</w:t>
      </w:r>
    </w:p>
    <w:p w14:paraId="6176C9A1" w14:textId="77777777" w:rsidR="005507E7" w:rsidRDefault="005507E7" w:rsidP="00106DAF">
      <w:pPr>
        <w:pStyle w:val="Heading1"/>
      </w:pPr>
    </w:p>
    <w:p w14:paraId="25220027" w14:textId="77777777" w:rsidR="005507E7" w:rsidRDefault="005507E7" w:rsidP="00106DAF">
      <w:pPr>
        <w:pStyle w:val="Heading1"/>
      </w:pPr>
    </w:p>
    <w:p w14:paraId="246CA9C4" w14:textId="77777777" w:rsidR="005507E7" w:rsidRDefault="005507E7" w:rsidP="00106DAF">
      <w:pPr>
        <w:pStyle w:val="Heading1"/>
      </w:pPr>
    </w:p>
    <w:p w14:paraId="77B9969F" w14:textId="77777777" w:rsidR="005507E7" w:rsidRDefault="005507E7">
      <w:pPr>
        <w:spacing w:line="240" w:lineRule="auto"/>
        <w:rPr>
          <w:rFonts w:cs="Arial"/>
          <w:b/>
          <w:bCs/>
          <w:kern w:val="32"/>
          <w:szCs w:val="32"/>
        </w:rPr>
      </w:pPr>
      <w:r>
        <w:br w:type="page"/>
      </w:r>
    </w:p>
    <w:p w14:paraId="25D44A79" w14:textId="77777777" w:rsidR="005507E7" w:rsidRPr="008361FE" w:rsidRDefault="005507E7" w:rsidP="005507E7">
      <w:pPr>
        <w:pStyle w:val="Heading3"/>
        <w:spacing w:before="0" w:line="480" w:lineRule="auto"/>
        <w:jc w:val="both"/>
        <w:rPr>
          <w:rFonts w:cs="Times New Roman"/>
        </w:rPr>
      </w:pPr>
      <w:r w:rsidRPr="00117325">
        <w:rPr>
          <w:rFonts w:cs="Times New Roman"/>
          <w:b/>
          <w:i w:val="0"/>
        </w:rPr>
        <w:lastRenderedPageBreak/>
        <w:t>Introduction</w:t>
      </w:r>
      <w:r w:rsidRPr="008361FE">
        <w:rPr>
          <w:rFonts w:cs="Times New Roman"/>
        </w:rPr>
        <w:t xml:space="preserve"> </w:t>
      </w:r>
    </w:p>
    <w:p w14:paraId="5C39CF69" w14:textId="4B8B86A4" w:rsidR="005507E7" w:rsidRDefault="005507E7" w:rsidP="005507E7">
      <w:pPr>
        <w:jc w:val="both"/>
      </w:pPr>
      <w:r w:rsidRPr="008361FE">
        <w:rPr>
          <w:rFonts w:eastAsia="Arial Unicode MS"/>
          <w:bCs/>
        </w:rPr>
        <w:t>Wh</w:t>
      </w:r>
      <w:r w:rsidRPr="008361FE">
        <w:rPr>
          <w:spacing w:val="-2"/>
        </w:rPr>
        <w:t xml:space="preserve">ile maternal mortality has been decreasing in many settings globally, the burden of morbidity or ill-health is significant and may be underestimated, with chronic non-communicable diseases (NCDs) becoming proportionately more important </w:t>
      </w:r>
      <w:r>
        <w:rPr>
          <w:spacing w:val="-2"/>
        </w:rPr>
        <w:t>(</w:t>
      </w:r>
      <w:r w:rsidRPr="00572286">
        <w:rPr>
          <w:spacing w:val="-2"/>
          <w:shd w:val="clear" w:color="auto" w:fill="D9D9D9" w:themeFill="background1" w:themeFillShade="D9"/>
        </w:rPr>
        <w:t>G.B.D. Study, 2013</w:t>
      </w:r>
      <w:r>
        <w:rPr>
          <w:spacing w:val="-2"/>
        </w:rPr>
        <w:t>)</w:t>
      </w:r>
      <w:r w:rsidRPr="008361FE">
        <w:rPr>
          <w:spacing w:val="-2"/>
        </w:rPr>
        <w:t xml:space="preserve">. While </w:t>
      </w:r>
      <w:r w:rsidR="00117325">
        <w:rPr>
          <w:spacing w:val="-2"/>
        </w:rPr>
        <w:t xml:space="preserve">the causes of </w:t>
      </w:r>
      <w:r w:rsidRPr="008361FE">
        <w:rPr>
          <w:spacing w:val="-2"/>
        </w:rPr>
        <w:t xml:space="preserve">maternal </w:t>
      </w:r>
      <w:r w:rsidRPr="008361FE">
        <w:rPr>
          <w:rFonts w:eastAsia="Arial Unicode MS"/>
          <w:bCs/>
        </w:rPr>
        <w:t xml:space="preserve">deaths </w:t>
      </w:r>
      <w:r w:rsidR="00117325">
        <w:rPr>
          <w:rFonts w:eastAsia="Arial Unicode MS"/>
          <w:bCs/>
        </w:rPr>
        <w:t>have become clearer</w:t>
      </w:r>
      <w:r w:rsidRPr="008361FE">
        <w:rPr>
          <w:rFonts w:eastAsia="Arial Unicode MS"/>
          <w:bCs/>
        </w:rPr>
        <w:t xml:space="preserve">, the concept and true magnitude of underlying maternal </w:t>
      </w:r>
      <w:r>
        <w:rPr>
          <w:rFonts w:eastAsia="Arial Unicode MS"/>
          <w:bCs/>
        </w:rPr>
        <w:t>morbidity is poorly understood (</w:t>
      </w:r>
      <w:proofErr w:type="spellStart"/>
      <w:r w:rsidRPr="00572286">
        <w:rPr>
          <w:rFonts w:eastAsia="Arial Unicode MS"/>
          <w:bCs/>
          <w:shd w:val="clear" w:color="auto" w:fill="D9D9D9" w:themeFill="background1" w:themeFillShade="D9"/>
        </w:rPr>
        <w:t>Liskin</w:t>
      </w:r>
      <w:proofErr w:type="spellEnd"/>
      <w:r w:rsidRPr="00572286">
        <w:rPr>
          <w:rFonts w:eastAsia="Arial Unicode MS"/>
          <w:bCs/>
          <w:shd w:val="clear" w:color="auto" w:fill="D9D9D9" w:themeFill="background1" w:themeFillShade="D9"/>
        </w:rPr>
        <w:t>, 1992</w:t>
      </w:r>
      <w:r>
        <w:rPr>
          <w:rFonts w:eastAsia="Arial Unicode MS"/>
          <w:bCs/>
        </w:rPr>
        <w:t>)</w:t>
      </w:r>
      <w:r w:rsidRPr="008361FE">
        <w:rPr>
          <w:rFonts w:eastAsia="Arial Unicode MS"/>
          <w:bCs/>
        </w:rPr>
        <w:t xml:space="preserve">. </w:t>
      </w:r>
      <w:r w:rsidRPr="008361FE">
        <w:rPr>
          <w:spacing w:val="-2"/>
        </w:rPr>
        <w:t>M</w:t>
      </w:r>
      <w:r w:rsidRPr="008361FE">
        <w:t>uch research on maternal morbidity to date has focused on life threatening, severe acute maternal morbidity or ‘maternal near miss’, which has been well defined and usually assessed at seconda</w:t>
      </w:r>
      <w:r>
        <w:t>ry or tertiary care levels (</w:t>
      </w:r>
      <w:r w:rsidRPr="00572286">
        <w:rPr>
          <w:shd w:val="clear" w:color="auto" w:fill="D9D9D9" w:themeFill="background1" w:themeFillShade="D9"/>
        </w:rPr>
        <w:t>Mantel, et. al., 1998; Pattinson, et. al, 2009</w:t>
      </w:r>
      <w:r>
        <w:t>)</w:t>
      </w:r>
      <w:r w:rsidRPr="008361FE">
        <w:t>.</w:t>
      </w:r>
    </w:p>
    <w:p w14:paraId="30D6C59D" w14:textId="16AB8E93" w:rsidR="005507E7" w:rsidRPr="005507E7" w:rsidRDefault="005507E7" w:rsidP="00AC0B67">
      <w:pPr>
        <w:ind w:firstLine="720"/>
        <w:jc w:val="both"/>
        <w:rPr>
          <w:rFonts w:eastAsia="Arial Unicode MS"/>
          <w:bCs/>
          <w:sz w:val="40"/>
        </w:rPr>
      </w:pPr>
      <w:r w:rsidRPr="008361FE">
        <w:t>In contrast, morbidity which is not immediately life threatening, but experienced as ill-health by the woman during or after pregnancy or noted by her healthcare provider, because it impairs her wellbeing or is associated with adverse perinatal outcome, is less well documented</w:t>
      </w:r>
      <w:r>
        <w:t xml:space="preserve"> (</w:t>
      </w:r>
      <w:r w:rsidRPr="00D32E98">
        <w:rPr>
          <w:shd w:val="clear" w:color="auto" w:fill="D9D9D9" w:themeFill="background1" w:themeFillShade="D9"/>
        </w:rPr>
        <w:t>Zafar, et.al., 2015</w:t>
      </w:r>
      <w:r>
        <w:t>)</w:t>
      </w:r>
      <w:r w:rsidRPr="008361FE">
        <w:t xml:space="preserve">. </w:t>
      </w:r>
      <w:r w:rsidRPr="008361FE">
        <w:rPr>
          <w:shd w:val="clear" w:color="auto" w:fill="FFFFFF"/>
        </w:rPr>
        <w:t>N</w:t>
      </w:r>
      <w:r w:rsidRPr="008361FE">
        <w:t>on-severe maternal morbidity, has been defined as ‘any condition attributed to or aggrav</w:t>
      </w:r>
      <w:r w:rsidR="00AC0B67">
        <w:t>ated by pregnancy and child</w:t>
      </w:r>
      <w:r w:rsidRPr="008361FE">
        <w:t>birth which has a negative impact on the woman’s wellbeing a</w:t>
      </w:r>
      <w:r>
        <w:t>nd functioning’ (</w:t>
      </w:r>
      <w:r w:rsidRPr="00D32E98">
        <w:rPr>
          <w:shd w:val="clear" w:color="auto" w:fill="D9D9D9" w:themeFill="background1" w:themeFillShade="D9"/>
        </w:rPr>
        <w:t>Firoz, et al, 201</w:t>
      </w:r>
      <w:r>
        <w:t>3)</w:t>
      </w:r>
      <w:r w:rsidR="00AC0B67">
        <w:t>. This</w:t>
      </w:r>
      <w:r w:rsidRPr="008361FE">
        <w:t xml:space="preserve"> </w:t>
      </w:r>
      <w:r w:rsidRPr="008361FE">
        <w:rPr>
          <w:spacing w:val="-2"/>
        </w:rPr>
        <w:t xml:space="preserve">is in line with the concept of health as </w:t>
      </w:r>
      <w:r w:rsidRPr="008361FE">
        <w:rPr>
          <w:lang w:val="en-029"/>
        </w:rPr>
        <w:t>‘a complete state of physical, mental and social well-being, and not merely the a</w:t>
      </w:r>
      <w:r>
        <w:rPr>
          <w:lang w:val="en-029"/>
        </w:rPr>
        <w:t>bsence of disease or infirmity’ (W.H.O., 1948)</w:t>
      </w:r>
      <w:r w:rsidRPr="008361FE">
        <w:rPr>
          <w:rStyle w:val="CommentReference"/>
        </w:rPr>
        <w:t>.</w:t>
      </w:r>
      <w:r>
        <w:rPr>
          <w:rStyle w:val="CommentReference"/>
        </w:rPr>
        <w:t xml:space="preserve"> </w:t>
      </w:r>
      <w:r w:rsidRPr="005507E7">
        <w:rPr>
          <w:rStyle w:val="CommentReference"/>
          <w:sz w:val="24"/>
        </w:rPr>
        <w:t>To date, there is little information, regarding how women perceive or report ill-health during pre</w:t>
      </w:r>
      <w:r w:rsidR="00AC0B67">
        <w:rPr>
          <w:rStyle w:val="CommentReference"/>
          <w:sz w:val="24"/>
        </w:rPr>
        <w:t>gnancy and after childbirth,</w:t>
      </w:r>
      <w:r w:rsidRPr="005507E7">
        <w:rPr>
          <w:rStyle w:val="CommentReference"/>
          <w:sz w:val="24"/>
        </w:rPr>
        <w:t xml:space="preserve"> especially in low-and middle-income countries (LMIC) where the burden of disease is expected to be highest. </w:t>
      </w:r>
    </w:p>
    <w:p w14:paraId="3A67E30A" w14:textId="4DE802BE" w:rsidR="005507E7" w:rsidRPr="008361FE" w:rsidRDefault="005507E7" w:rsidP="00AC0B67">
      <w:pPr>
        <w:pStyle w:val="mainheader"/>
        <w:spacing w:before="0" w:beforeAutospacing="0" w:after="0" w:afterAutospacing="0" w:line="480" w:lineRule="auto"/>
        <w:ind w:firstLine="720"/>
        <w:jc w:val="both"/>
        <w:rPr>
          <w:rFonts w:ascii="Times New Roman" w:hAnsi="Times New Roman"/>
          <w:b w:val="0"/>
          <w:spacing w:val="-2"/>
          <w:sz w:val="24"/>
          <w:szCs w:val="24"/>
        </w:rPr>
      </w:pPr>
      <w:r w:rsidRPr="008361FE">
        <w:rPr>
          <w:rFonts w:ascii="Times New Roman" w:hAnsi="Times New Roman"/>
          <w:b w:val="0"/>
          <w:spacing w:val="-2"/>
          <w:sz w:val="24"/>
          <w:szCs w:val="24"/>
        </w:rPr>
        <w:t>In Australia, women were asked 2-4 weeks after childbirth to rate their health as excellent, very good, good, fair or poor. When responses were collapsed into a dichotomous variable of better (excellent, very good, good) or worse (fair, poor), 4.0% perceived their health as worse. This negative rating was associated with financial and social cha</w:t>
      </w:r>
      <w:r>
        <w:rPr>
          <w:rFonts w:ascii="Times New Roman" w:hAnsi="Times New Roman"/>
          <w:b w:val="0"/>
          <w:spacing w:val="-2"/>
          <w:sz w:val="24"/>
          <w:szCs w:val="24"/>
        </w:rPr>
        <w:t xml:space="preserve">llenges and emotional distress </w:t>
      </w:r>
      <w:r w:rsidRPr="002E4856">
        <w:rPr>
          <w:rFonts w:ascii="Times New Roman" w:hAnsi="Times New Roman"/>
          <w:b w:val="0"/>
          <w:spacing w:val="-2"/>
          <w:sz w:val="24"/>
          <w:szCs w:val="24"/>
        </w:rPr>
        <w:t>(</w:t>
      </w:r>
      <w:r w:rsidRPr="00D32E98">
        <w:rPr>
          <w:rStyle w:val="ff5"/>
          <w:rFonts w:ascii="Times New Roman" w:hAnsi="Times New Roman"/>
          <w:b w:val="0"/>
          <w:sz w:val="24"/>
          <w:szCs w:val="24"/>
          <w:shd w:val="clear" w:color="auto" w:fill="D9D9D9" w:themeFill="background1" w:themeFillShade="D9"/>
        </w:rPr>
        <w:t>Morgan &amp; Eastwood, 2014</w:t>
      </w:r>
      <w:r w:rsidRPr="002E4856">
        <w:rPr>
          <w:rStyle w:val="ff5"/>
          <w:rFonts w:ascii="Times New Roman" w:hAnsi="Times New Roman"/>
          <w:b w:val="0"/>
          <w:sz w:val="24"/>
          <w:szCs w:val="24"/>
        </w:rPr>
        <w:t>)</w:t>
      </w:r>
      <w:r w:rsidRPr="002E4856">
        <w:rPr>
          <w:rFonts w:ascii="Times New Roman" w:hAnsi="Times New Roman"/>
          <w:b w:val="0"/>
          <w:spacing w:val="-2"/>
          <w:sz w:val="24"/>
          <w:szCs w:val="24"/>
        </w:rPr>
        <w:t>.</w:t>
      </w:r>
      <w:r w:rsidR="005843DA">
        <w:rPr>
          <w:rFonts w:ascii="Times New Roman" w:hAnsi="Times New Roman"/>
          <w:b w:val="0"/>
          <w:spacing w:val="-2"/>
          <w:sz w:val="24"/>
          <w:szCs w:val="24"/>
        </w:rPr>
        <w:t xml:space="preserve"> </w:t>
      </w:r>
      <w:r w:rsidRPr="008361FE">
        <w:rPr>
          <w:rFonts w:ascii="Times New Roman" w:hAnsi="Times New Roman"/>
          <w:b w:val="0"/>
          <w:spacing w:val="-2"/>
          <w:sz w:val="24"/>
          <w:szCs w:val="24"/>
        </w:rPr>
        <w:t>In Lebanon, 13.1% of women rated their health as poor after childbir</w:t>
      </w:r>
      <w:r>
        <w:rPr>
          <w:rFonts w:ascii="Times New Roman" w:hAnsi="Times New Roman"/>
          <w:b w:val="0"/>
          <w:spacing w:val="-2"/>
          <w:sz w:val="24"/>
          <w:szCs w:val="24"/>
        </w:rPr>
        <w:t>th (</w:t>
      </w:r>
      <w:r w:rsidRPr="00D32E98">
        <w:rPr>
          <w:rStyle w:val="ff5"/>
          <w:rFonts w:ascii="Times New Roman" w:hAnsi="Times New Roman"/>
          <w:b w:val="0"/>
          <w:sz w:val="24"/>
          <w:szCs w:val="24"/>
          <w:shd w:val="clear" w:color="auto" w:fill="D9D9D9" w:themeFill="background1" w:themeFillShade="D9"/>
        </w:rPr>
        <w:t xml:space="preserve">Abdulrahim, &amp; El </w:t>
      </w:r>
      <w:proofErr w:type="spellStart"/>
      <w:r w:rsidRPr="00D32E98">
        <w:rPr>
          <w:rStyle w:val="ff5"/>
          <w:rFonts w:ascii="Times New Roman" w:hAnsi="Times New Roman"/>
          <w:b w:val="0"/>
          <w:sz w:val="24"/>
          <w:szCs w:val="24"/>
          <w:shd w:val="clear" w:color="auto" w:fill="D9D9D9" w:themeFill="background1" w:themeFillShade="D9"/>
        </w:rPr>
        <w:t>Asmar</w:t>
      </w:r>
      <w:proofErr w:type="spellEnd"/>
      <w:r w:rsidRPr="00D32E98">
        <w:rPr>
          <w:rStyle w:val="ff5"/>
          <w:rFonts w:ascii="Times New Roman" w:hAnsi="Times New Roman"/>
          <w:b w:val="0"/>
          <w:sz w:val="24"/>
          <w:szCs w:val="24"/>
          <w:shd w:val="clear" w:color="auto" w:fill="D9D9D9" w:themeFill="background1" w:themeFillShade="D9"/>
        </w:rPr>
        <w:t>, 2012</w:t>
      </w:r>
      <w:r w:rsidRPr="002E4856">
        <w:rPr>
          <w:rStyle w:val="ff5"/>
          <w:rFonts w:ascii="Times New Roman" w:hAnsi="Times New Roman"/>
          <w:b w:val="0"/>
          <w:sz w:val="24"/>
          <w:szCs w:val="24"/>
        </w:rPr>
        <w:t>)</w:t>
      </w:r>
      <w:r w:rsidRPr="002E4856">
        <w:rPr>
          <w:rFonts w:ascii="Times New Roman" w:hAnsi="Times New Roman"/>
          <w:b w:val="0"/>
          <w:spacing w:val="-2"/>
          <w:sz w:val="24"/>
          <w:szCs w:val="24"/>
        </w:rPr>
        <w:t>.</w:t>
      </w:r>
      <w:r w:rsidRPr="008361FE">
        <w:rPr>
          <w:rFonts w:ascii="Times New Roman" w:hAnsi="Times New Roman"/>
          <w:b w:val="0"/>
          <w:spacing w:val="-2"/>
          <w:sz w:val="24"/>
          <w:szCs w:val="24"/>
        </w:rPr>
        <w:t xml:space="preserve"> </w:t>
      </w:r>
      <w:r w:rsidR="00AC0B67">
        <w:rPr>
          <w:rFonts w:ascii="Times New Roman" w:hAnsi="Times New Roman"/>
          <w:b w:val="0"/>
          <w:spacing w:val="-2"/>
          <w:sz w:val="24"/>
          <w:szCs w:val="24"/>
        </w:rPr>
        <w:t>A</w:t>
      </w:r>
      <w:r w:rsidRPr="008361FE">
        <w:rPr>
          <w:rFonts w:ascii="Times New Roman" w:hAnsi="Times New Roman"/>
          <w:b w:val="0"/>
          <w:spacing w:val="-2"/>
          <w:sz w:val="24"/>
          <w:szCs w:val="24"/>
        </w:rPr>
        <w:t xml:space="preserve"> multi-country study </w:t>
      </w:r>
      <w:r w:rsidR="00AC0B67">
        <w:rPr>
          <w:rFonts w:ascii="Times New Roman" w:hAnsi="Times New Roman"/>
          <w:b w:val="0"/>
          <w:spacing w:val="-2"/>
          <w:sz w:val="24"/>
          <w:szCs w:val="24"/>
        </w:rPr>
        <w:t>of</w:t>
      </w:r>
      <w:r w:rsidRPr="008361FE">
        <w:rPr>
          <w:rFonts w:ascii="Times New Roman" w:hAnsi="Times New Roman"/>
          <w:b w:val="0"/>
          <w:spacing w:val="-2"/>
          <w:sz w:val="24"/>
          <w:szCs w:val="24"/>
        </w:rPr>
        <w:t xml:space="preserve"> 11,454 women across four LMIC settings</w:t>
      </w:r>
      <w:r>
        <w:rPr>
          <w:rFonts w:ascii="Times New Roman" w:hAnsi="Times New Roman"/>
          <w:b w:val="0"/>
          <w:spacing w:val="-2"/>
          <w:sz w:val="24"/>
          <w:szCs w:val="24"/>
        </w:rPr>
        <w:t xml:space="preserve"> </w:t>
      </w:r>
      <w:r w:rsidRPr="008361FE">
        <w:rPr>
          <w:rFonts w:ascii="Times New Roman" w:hAnsi="Times New Roman"/>
          <w:b w:val="0"/>
          <w:spacing w:val="-2"/>
          <w:sz w:val="24"/>
          <w:szCs w:val="24"/>
        </w:rPr>
        <w:t xml:space="preserve">found that </w:t>
      </w:r>
      <w:r>
        <w:rPr>
          <w:rFonts w:ascii="Times New Roman" w:hAnsi="Times New Roman"/>
          <w:b w:val="0"/>
          <w:spacing w:val="-2"/>
          <w:sz w:val="24"/>
          <w:szCs w:val="24"/>
        </w:rPr>
        <w:t>while</w:t>
      </w:r>
      <w:r w:rsidRPr="008361FE">
        <w:rPr>
          <w:rFonts w:ascii="Times New Roman" w:hAnsi="Times New Roman"/>
          <w:b w:val="0"/>
          <w:spacing w:val="-2"/>
          <w:sz w:val="24"/>
          <w:szCs w:val="24"/>
        </w:rPr>
        <w:t xml:space="preserve"> most women report</w:t>
      </w:r>
      <w:r>
        <w:rPr>
          <w:rFonts w:ascii="Times New Roman" w:hAnsi="Times New Roman"/>
          <w:b w:val="0"/>
          <w:spacing w:val="-2"/>
          <w:sz w:val="24"/>
          <w:szCs w:val="24"/>
        </w:rPr>
        <w:t>ed</w:t>
      </w:r>
      <w:r w:rsidRPr="008361FE">
        <w:rPr>
          <w:rFonts w:ascii="Times New Roman" w:hAnsi="Times New Roman"/>
          <w:b w:val="0"/>
          <w:spacing w:val="-2"/>
          <w:sz w:val="24"/>
          <w:szCs w:val="24"/>
        </w:rPr>
        <w:t xml:space="preserve"> good satisfaction with health and good quality of life, 9.0% had an identified infectious disease (HIV, malaria, syphilis, chest infection or tuberculosis)</w:t>
      </w:r>
      <w:r w:rsidR="006E07BF">
        <w:rPr>
          <w:rFonts w:ascii="Times New Roman" w:hAnsi="Times New Roman"/>
          <w:b w:val="0"/>
          <w:spacing w:val="-2"/>
          <w:sz w:val="24"/>
          <w:szCs w:val="24"/>
        </w:rPr>
        <w:t xml:space="preserve">, </w:t>
      </w:r>
      <w:r w:rsidR="006E07BF" w:rsidRPr="00D62E79">
        <w:rPr>
          <w:rFonts w:ascii="Times New Roman" w:hAnsi="Times New Roman"/>
          <w:b w:val="0"/>
          <w:color w:val="000000"/>
          <w:sz w:val="24"/>
        </w:rPr>
        <w:t xml:space="preserve">47.9% were anaemic, and 11.5% were diagnosed with other medical or obstetric morbidity. </w:t>
      </w:r>
      <w:r w:rsidRPr="005667B5">
        <w:rPr>
          <w:rFonts w:ascii="Times New Roman" w:hAnsi="Times New Roman"/>
          <w:b w:val="0"/>
          <w:spacing w:val="-2"/>
          <w:sz w:val="24"/>
          <w:szCs w:val="24"/>
        </w:rPr>
        <w:t>In addition, 25.1% of women screened positive for a</w:t>
      </w:r>
      <w:r w:rsidRPr="006F1D29">
        <w:rPr>
          <w:rFonts w:ascii="Times New Roman" w:hAnsi="Times New Roman"/>
          <w:b w:val="0"/>
          <w:spacing w:val="-2"/>
          <w:sz w:val="24"/>
          <w:szCs w:val="24"/>
        </w:rPr>
        <w:t xml:space="preserve"> psychological morbidity and 36.6% reported social</w:t>
      </w:r>
      <w:r w:rsidRPr="008361FE">
        <w:rPr>
          <w:rFonts w:ascii="Times New Roman" w:hAnsi="Times New Roman"/>
          <w:b w:val="0"/>
          <w:spacing w:val="-2"/>
          <w:sz w:val="24"/>
          <w:szCs w:val="24"/>
        </w:rPr>
        <w:t xml:space="preserve"> morbidit</w:t>
      </w:r>
      <w:r>
        <w:rPr>
          <w:rFonts w:ascii="Times New Roman" w:hAnsi="Times New Roman"/>
          <w:b w:val="0"/>
          <w:spacing w:val="-2"/>
          <w:sz w:val="24"/>
          <w:szCs w:val="24"/>
        </w:rPr>
        <w:t>ies</w:t>
      </w:r>
      <w:r w:rsidR="00AC0B67">
        <w:rPr>
          <w:rFonts w:ascii="Times New Roman" w:hAnsi="Times New Roman"/>
          <w:b w:val="0"/>
          <w:spacing w:val="-2"/>
          <w:sz w:val="24"/>
          <w:szCs w:val="24"/>
        </w:rPr>
        <w:t xml:space="preserve"> such as</w:t>
      </w:r>
      <w:r>
        <w:rPr>
          <w:rFonts w:ascii="Times New Roman" w:hAnsi="Times New Roman"/>
          <w:b w:val="0"/>
          <w:spacing w:val="-2"/>
          <w:sz w:val="24"/>
          <w:szCs w:val="24"/>
        </w:rPr>
        <w:t xml:space="preserve"> exposure to violence and substance misuse</w:t>
      </w:r>
      <w:r w:rsidRPr="008361FE">
        <w:rPr>
          <w:rFonts w:ascii="Times New Roman" w:hAnsi="Times New Roman"/>
          <w:b w:val="0"/>
          <w:spacing w:val="-2"/>
          <w:sz w:val="24"/>
          <w:szCs w:val="24"/>
        </w:rPr>
        <w:t xml:space="preserve"> </w:t>
      </w:r>
      <w:r>
        <w:rPr>
          <w:rFonts w:ascii="Times New Roman" w:hAnsi="Times New Roman"/>
          <w:b w:val="0"/>
          <w:spacing w:val="-2"/>
          <w:sz w:val="24"/>
          <w:szCs w:val="24"/>
        </w:rPr>
        <w:t>(</w:t>
      </w:r>
      <w:r w:rsidRPr="00D32E98">
        <w:rPr>
          <w:rFonts w:ascii="Times New Roman" w:hAnsi="Times New Roman"/>
          <w:b w:val="0"/>
          <w:sz w:val="24"/>
          <w:szCs w:val="24"/>
          <w:shd w:val="clear" w:color="auto" w:fill="D9D9D9" w:themeFill="background1" w:themeFillShade="D9"/>
        </w:rPr>
        <w:t>McCauley, et.al. 2018</w:t>
      </w:r>
      <w:r>
        <w:rPr>
          <w:rFonts w:ascii="Times New Roman" w:hAnsi="Times New Roman"/>
          <w:b w:val="0"/>
          <w:spacing w:val="-2"/>
          <w:sz w:val="24"/>
          <w:szCs w:val="24"/>
        </w:rPr>
        <w:t>)</w:t>
      </w:r>
      <w:r w:rsidRPr="008361FE">
        <w:rPr>
          <w:rFonts w:ascii="Times New Roman" w:hAnsi="Times New Roman"/>
          <w:b w:val="0"/>
          <w:spacing w:val="-2"/>
          <w:sz w:val="24"/>
          <w:szCs w:val="24"/>
        </w:rPr>
        <w:t xml:space="preserve">. </w:t>
      </w:r>
      <w:r>
        <w:rPr>
          <w:rFonts w:ascii="Times New Roman" w:hAnsi="Times New Roman"/>
          <w:b w:val="0"/>
          <w:spacing w:val="-2"/>
          <w:sz w:val="24"/>
          <w:szCs w:val="24"/>
        </w:rPr>
        <w:t>Ano</w:t>
      </w:r>
      <w:r w:rsidRPr="008361FE">
        <w:rPr>
          <w:rFonts w:ascii="Times New Roman" w:hAnsi="Times New Roman"/>
          <w:b w:val="0"/>
          <w:spacing w:val="-2"/>
          <w:sz w:val="24"/>
          <w:szCs w:val="24"/>
        </w:rPr>
        <w:t>ther</w:t>
      </w:r>
      <w:r w:rsidRPr="008361FE">
        <w:rPr>
          <w:rFonts w:ascii="Times New Roman" w:hAnsi="Times New Roman"/>
          <w:b w:val="0"/>
          <w:sz w:val="24"/>
          <w:szCs w:val="24"/>
        </w:rPr>
        <w:t xml:space="preserve"> stud</w:t>
      </w:r>
      <w:r>
        <w:rPr>
          <w:rFonts w:ascii="Times New Roman" w:hAnsi="Times New Roman"/>
          <w:b w:val="0"/>
          <w:sz w:val="24"/>
          <w:szCs w:val="24"/>
        </w:rPr>
        <w:t>y of three LMICs</w:t>
      </w:r>
      <w:r w:rsidRPr="008361FE">
        <w:rPr>
          <w:rFonts w:ascii="Times New Roman" w:hAnsi="Times New Roman"/>
          <w:b w:val="0"/>
          <w:sz w:val="24"/>
          <w:szCs w:val="24"/>
        </w:rPr>
        <w:t xml:space="preserve"> </w:t>
      </w:r>
      <w:r>
        <w:rPr>
          <w:rFonts w:ascii="Times New Roman" w:hAnsi="Times New Roman"/>
          <w:b w:val="0"/>
          <w:sz w:val="24"/>
          <w:szCs w:val="24"/>
        </w:rPr>
        <w:t>found</w:t>
      </w:r>
      <w:r w:rsidRPr="008361FE">
        <w:rPr>
          <w:rFonts w:ascii="Times New Roman" w:hAnsi="Times New Roman"/>
          <w:b w:val="0"/>
          <w:sz w:val="24"/>
          <w:szCs w:val="24"/>
        </w:rPr>
        <w:t xml:space="preserve"> that at least 30% of women suffer some form of morbidity during and after pregnancy</w:t>
      </w:r>
      <w:r>
        <w:rPr>
          <w:rFonts w:ascii="Times New Roman" w:hAnsi="Times New Roman"/>
          <w:b w:val="0"/>
          <w:sz w:val="24"/>
          <w:szCs w:val="24"/>
        </w:rPr>
        <w:t xml:space="preserve"> (</w:t>
      </w:r>
      <w:proofErr w:type="spellStart"/>
      <w:r w:rsidRPr="00D32E98">
        <w:rPr>
          <w:rFonts w:ascii="Times New Roman" w:hAnsi="Times New Roman"/>
          <w:b w:val="0"/>
          <w:sz w:val="24"/>
          <w:szCs w:val="24"/>
          <w:shd w:val="clear" w:color="auto" w:fill="D9D9D9" w:themeFill="background1" w:themeFillShade="D9"/>
        </w:rPr>
        <w:t>Barreix</w:t>
      </w:r>
      <w:proofErr w:type="spellEnd"/>
      <w:r w:rsidRPr="00D32E98">
        <w:rPr>
          <w:rFonts w:ascii="Times New Roman" w:hAnsi="Times New Roman"/>
          <w:b w:val="0"/>
          <w:sz w:val="24"/>
          <w:szCs w:val="24"/>
          <w:shd w:val="clear" w:color="auto" w:fill="D9D9D9" w:themeFill="background1" w:themeFillShade="D9"/>
        </w:rPr>
        <w:t>, et.al. 2018</w:t>
      </w:r>
      <w:r>
        <w:rPr>
          <w:rFonts w:ascii="Times New Roman" w:hAnsi="Times New Roman"/>
          <w:b w:val="0"/>
          <w:sz w:val="24"/>
          <w:szCs w:val="24"/>
        </w:rPr>
        <w:t>)</w:t>
      </w:r>
      <w:r w:rsidRPr="008361FE">
        <w:rPr>
          <w:rFonts w:ascii="Times New Roman" w:hAnsi="Times New Roman"/>
          <w:b w:val="0"/>
          <w:sz w:val="24"/>
          <w:szCs w:val="24"/>
        </w:rPr>
        <w:t xml:space="preserve">. </w:t>
      </w:r>
    </w:p>
    <w:p w14:paraId="5F3F6D9E" w14:textId="5FFD43AE" w:rsidR="005843DA" w:rsidRDefault="005507E7" w:rsidP="005507E7">
      <w:pPr>
        <w:jc w:val="both"/>
        <w:rPr>
          <w:spacing w:val="-2"/>
        </w:rPr>
      </w:pPr>
      <w:r w:rsidRPr="008361FE">
        <w:rPr>
          <w:spacing w:val="-2"/>
        </w:rPr>
        <w:t xml:space="preserve">The new Sustainable Development Goal three (SDG 3) aims to ‘ensure healthy lives and promote well-being for all at all ages’ and has been associated with a new international </w:t>
      </w:r>
      <w:r w:rsidRPr="008361FE">
        <w:rPr>
          <w:rFonts w:eastAsia="Arial Unicode MS"/>
          <w:lang w:eastAsia="zh-CN"/>
        </w:rPr>
        <w:t xml:space="preserve">priority to ensure that every </w:t>
      </w:r>
      <w:r w:rsidR="00AC0B67">
        <w:rPr>
          <w:rFonts w:eastAsia="Arial Unicode MS"/>
          <w:lang w:eastAsia="zh-CN"/>
        </w:rPr>
        <w:t>woman</w:t>
      </w:r>
      <w:r w:rsidRPr="008361FE">
        <w:rPr>
          <w:rFonts w:eastAsia="Arial Unicode MS"/>
          <w:lang w:eastAsia="zh-CN"/>
        </w:rPr>
        <w:t>, including pregnant women, have an equal chance not only to ‘survive, but to thrive’</w:t>
      </w:r>
      <w:r>
        <w:rPr>
          <w:rFonts w:eastAsia="Arial Unicode MS"/>
          <w:lang w:eastAsia="zh-CN"/>
        </w:rPr>
        <w:t xml:space="preserve"> (</w:t>
      </w:r>
      <w:r w:rsidRPr="00D32E98">
        <w:rPr>
          <w:rFonts w:eastAsia="Arial Unicode MS"/>
          <w:shd w:val="clear" w:color="auto" w:fill="D9D9D9" w:themeFill="background1" w:themeFillShade="D9"/>
          <w:lang w:eastAsia="zh-CN"/>
        </w:rPr>
        <w:t>U.N., 2015; U.N. &amp; W.H.O., 2015</w:t>
      </w:r>
      <w:r>
        <w:rPr>
          <w:rFonts w:eastAsia="Arial Unicode MS"/>
          <w:lang w:eastAsia="zh-CN"/>
        </w:rPr>
        <w:t>)</w:t>
      </w:r>
      <w:r w:rsidRPr="008361FE">
        <w:rPr>
          <w:rFonts w:eastAsia="Arial Unicode MS"/>
          <w:lang w:eastAsia="zh-CN"/>
        </w:rPr>
        <w:t xml:space="preserve">. </w:t>
      </w:r>
      <w:r w:rsidRPr="008361FE">
        <w:rPr>
          <w:spacing w:val="-2"/>
        </w:rPr>
        <w:t>There is thus a need to understand and document better the health needs of women during, immediately, and more long-term, after pregnancy. Furthermore, it is important to develop methods and tools to comprehensively assess and document health status, and where possible, identify indicators or markers that can be used as proxy measures for the burden of ill-</w:t>
      </w:r>
      <w:r w:rsidR="00AC0B67">
        <w:rPr>
          <w:spacing w:val="-2"/>
        </w:rPr>
        <w:t>health</w:t>
      </w:r>
      <w:r w:rsidRPr="008361FE">
        <w:rPr>
          <w:spacing w:val="-2"/>
        </w:rPr>
        <w:t xml:space="preserve"> not considered l</w:t>
      </w:r>
      <w:r w:rsidR="00AC0B67">
        <w:rPr>
          <w:spacing w:val="-2"/>
        </w:rPr>
        <w:t xml:space="preserve">ife-threatening or </w:t>
      </w:r>
      <w:r w:rsidR="00862742">
        <w:rPr>
          <w:spacing w:val="-2"/>
        </w:rPr>
        <w:t>severe,</w:t>
      </w:r>
      <w:r w:rsidRPr="008361FE">
        <w:rPr>
          <w:spacing w:val="-2"/>
        </w:rPr>
        <w:t xml:space="preserve"> but </w:t>
      </w:r>
      <w:r w:rsidR="00AC0B67">
        <w:rPr>
          <w:spacing w:val="-2"/>
        </w:rPr>
        <w:t xml:space="preserve">which </w:t>
      </w:r>
      <w:r w:rsidRPr="008361FE">
        <w:rPr>
          <w:spacing w:val="-2"/>
        </w:rPr>
        <w:t xml:space="preserve">is nevertheless of significance.  </w:t>
      </w:r>
    </w:p>
    <w:p w14:paraId="121A54FD" w14:textId="77777777" w:rsidR="00234151" w:rsidRPr="008361FE" w:rsidRDefault="00234151" w:rsidP="005507E7">
      <w:pPr>
        <w:jc w:val="both"/>
        <w:rPr>
          <w:spacing w:val="-2"/>
        </w:rPr>
      </w:pPr>
    </w:p>
    <w:p w14:paraId="7AADEF65" w14:textId="2CAF06CE" w:rsidR="005507E7" w:rsidRPr="008361FE" w:rsidRDefault="005507E7" w:rsidP="005507E7">
      <w:pPr>
        <w:jc w:val="both"/>
      </w:pPr>
      <w:r w:rsidRPr="008361FE">
        <w:rPr>
          <w:spacing w:val="-2"/>
        </w:rPr>
        <w:t xml:space="preserve">Our primary objective was to explore the self-reported health status of women who were assessed during pregnancy, after childbirth and up to 22 months after childbirth, as experienced and reported by women themselves. </w:t>
      </w:r>
      <w:r w:rsidR="00AC0B67">
        <w:rPr>
          <w:spacing w:val="-2"/>
        </w:rPr>
        <w:t xml:space="preserve">As a </w:t>
      </w:r>
      <w:r w:rsidRPr="008361FE">
        <w:rPr>
          <w:spacing w:val="-2"/>
        </w:rPr>
        <w:t xml:space="preserve">secondary objective </w:t>
      </w:r>
      <w:r w:rsidR="002A57A7">
        <w:rPr>
          <w:spacing w:val="-2"/>
        </w:rPr>
        <w:t xml:space="preserve">we </w:t>
      </w:r>
      <w:r w:rsidRPr="008361FE">
        <w:rPr>
          <w:spacing w:val="-2"/>
        </w:rPr>
        <w:t>assessed the number and reasons for hospital admission at each stage of pregnancy, the presence of underlying chronic illness, and the effect of socio-economic status (SES) and education on health. Finally, we examined if hospital admissions or presence of chroni</w:t>
      </w:r>
      <w:r w:rsidR="00AC0B67">
        <w:rPr>
          <w:spacing w:val="-2"/>
        </w:rPr>
        <w:t>c illness could be considered</w:t>
      </w:r>
      <w:r w:rsidRPr="008361FE">
        <w:rPr>
          <w:spacing w:val="-2"/>
        </w:rPr>
        <w:t xml:space="preserve"> proxy indicators for non-severe maternal morbidity.</w:t>
      </w:r>
    </w:p>
    <w:p w14:paraId="7DC5ECD3" w14:textId="77777777" w:rsidR="005507E7" w:rsidRDefault="005507E7" w:rsidP="005507E7">
      <w:pPr>
        <w:pStyle w:val="Heading3"/>
        <w:spacing w:before="0" w:line="480" w:lineRule="auto"/>
        <w:rPr>
          <w:rFonts w:cs="Times New Roman"/>
        </w:rPr>
      </w:pPr>
    </w:p>
    <w:p w14:paraId="2D1B53AA" w14:textId="77777777" w:rsidR="005507E7" w:rsidRPr="00AC0B67" w:rsidRDefault="005507E7" w:rsidP="005507E7">
      <w:pPr>
        <w:pStyle w:val="Heading3"/>
        <w:spacing w:before="0" w:line="480" w:lineRule="auto"/>
        <w:rPr>
          <w:rFonts w:cs="Times New Roman"/>
          <w:b/>
          <w:i w:val="0"/>
        </w:rPr>
      </w:pPr>
      <w:r w:rsidRPr="00AC0B67">
        <w:rPr>
          <w:rFonts w:cs="Times New Roman"/>
          <w:b/>
          <w:i w:val="0"/>
        </w:rPr>
        <w:t>Materials and Methods</w:t>
      </w:r>
    </w:p>
    <w:p w14:paraId="0C6561B9" w14:textId="77777777" w:rsidR="005507E7" w:rsidRPr="008361FE" w:rsidRDefault="005507E7" w:rsidP="005507E7">
      <w:pPr>
        <w:pStyle w:val="Heading3"/>
        <w:spacing w:before="0" w:line="480" w:lineRule="auto"/>
        <w:rPr>
          <w:rFonts w:cs="Times New Roman"/>
        </w:rPr>
      </w:pPr>
      <w:r w:rsidRPr="008361FE">
        <w:rPr>
          <w:rFonts w:cs="Times New Roman"/>
        </w:rPr>
        <w:t>Study design</w:t>
      </w:r>
    </w:p>
    <w:p w14:paraId="2862BC31" w14:textId="5CEB4E29" w:rsidR="005507E7" w:rsidRPr="008361FE" w:rsidRDefault="005507E7" w:rsidP="005507E7">
      <w:pPr>
        <w:jc w:val="both"/>
      </w:pPr>
      <w:r w:rsidRPr="008361FE">
        <w:t>Data on the health status of women during and after pregnancy were collected as part of the second Jama</w:t>
      </w:r>
      <w:r w:rsidR="00AC0B67">
        <w:t>ican Birth Cohort Study (JA KIDS</w:t>
      </w:r>
      <w:r w:rsidRPr="008361FE">
        <w:t>), a population-based observational study to investigate health, developmental and behavioural outcomes for livebirths occurring from July 1-September 30, 2011.  The methodology of the study is</w:t>
      </w:r>
      <w:r w:rsidR="00CF6120">
        <w:t xml:space="preserve"> </w:t>
      </w:r>
      <w:r w:rsidR="000466D2">
        <w:t>published elsewhere</w:t>
      </w:r>
      <w:r w:rsidR="00CF6120">
        <w:t xml:space="preserve"> </w:t>
      </w:r>
      <w:r w:rsidR="000466D2">
        <w:t>(JA KIDS</w:t>
      </w:r>
      <w:r w:rsidR="0003362D">
        <w:t xml:space="preserve"> 2011</w:t>
      </w:r>
      <w:r w:rsidR="000466D2">
        <w:t>)</w:t>
      </w:r>
      <w:r w:rsidR="00E35A82">
        <w:t>.</w:t>
      </w:r>
      <w:r w:rsidR="000466D2">
        <w:t xml:space="preserve"> </w:t>
      </w:r>
      <w:r w:rsidRPr="008361FE">
        <w:t xml:space="preserve">In brief, mothers of these children were assessed during pregnancy (after 28 weeks gestation) and 24–48 hours after childbirth. Efforts were made to follow up all mothers within 9-12 months of childbirth and a computer generated random sample (35%) was selected for follow-up when the children were 18-22 months old. For the purposes of this study, data relating only to women </w:t>
      </w:r>
      <w:r>
        <w:t xml:space="preserve">delivering singleton live births and </w:t>
      </w:r>
      <w:r w:rsidRPr="008361FE">
        <w:t xml:space="preserve">assessed at all four stages </w:t>
      </w:r>
      <w:r>
        <w:t>are</w:t>
      </w:r>
      <w:r w:rsidRPr="008361FE">
        <w:t xml:space="preserve"> presented, n=1,311.</w:t>
      </w:r>
    </w:p>
    <w:p w14:paraId="6EDA704D" w14:textId="77777777" w:rsidR="005507E7" w:rsidRPr="008361FE" w:rsidRDefault="005507E7" w:rsidP="005507E7">
      <w:pPr>
        <w:pStyle w:val="Heading3"/>
        <w:spacing w:before="0" w:line="480" w:lineRule="auto"/>
        <w:rPr>
          <w:rFonts w:cs="Times New Roman"/>
        </w:rPr>
      </w:pPr>
      <w:r w:rsidRPr="008361FE">
        <w:rPr>
          <w:rFonts w:cs="Times New Roman"/>
        </w:rPr>
        <w:t xml:space="preserve">Participation and refusal rates </w:t>
      </w:r>
    </w:p>
    <w:p w14:paraId="4D132545" w14:textId="6C6F80F9" w:rsidR="005507E7" w:rsidRPr="008361FE" w:rsidRDefault="005507E7" w:rsidP="005507E7">
      <w:pPr>
        <w:jc w:val="both"/>
      </w:pPr>
      <w:r w:rsidRPr="008361FE">
        <w:t>Most Jamaican women attend four or more antenatal visits (8</w:t>
      </w:r>
      <w:r>
        <w:t>6</w:t>
      </w:r>
      <w:r w:rsidRPr="008361FE">
        <w:t>%), with 9</w:t>
      </w:r>
      <w:r>
        <w:t>9</w:t>
      </w:r>
      <w:r w:rsidRPr="008361FE">
        <w:t xml:space="preserve">% of births attended by a skilled health attendant </w:t>
      </w:r>
      <w:r>
        <w:t>(STATIN, UNICEF, 2011)</w:t>
      </w:r>
      <w:r w:rsidRPr="008361FE">
        <w:t xml:space="preserve">.  Of 11,124 women who delivered a live-born baby between July 1 and September 30, 2011 and eligible for the study, 9,742 (87.5%) were assessed within 48 hours of childbirth (5% refusal rate; 7.5% discharged before invitation or too ill to participate).  Of these, 4,572 (46.9%) </w:t>
      </w:r>
      <w:r>
        <w:t xml:space="preserve">had </w:t>
      </w:r>
      <w:r w:rsidRPr="008361FE">
        <w:t xml:space="preserve">enrolled during pregnancy. All mothers were interviewed face-to-face using standardized questionnaires by trained interviewers. Questions were mainly closed ended but allowed for recording of options not listed on the schedule. </w:t>
      </w:r>
    </w:p>
    <w:p w14:paraId="7289A619" w14:textId="77777777" w:rsidR="005507E7" w:rsidRPr="008361FE" w:rsidRDefault="005507E7" w:rsidP="005507E7">
      <w:pPr>
        <w:pStyle w:val="Heading3"/>
        <w:spacing w:before="0" w:line="480" w:lineRule="auto"/>
        <w:rPr>
          <w:rFonts w:cs="Times New Roman"/>
        </w:rPr>
      </w:pPr>
      <w:r w:rsidRPr="008361FE">
        <w:rPr>
          <w:rFonts w:cs="Times New Roman"/>
        </w:rPr>
        <w:t xml:space="preserve">Socio-demographic variables </w:t>
      </w:r>
    </w:p>
    <w:p w14:paraId="25B60BB6" w14:textId="7AAF017A" w:rsidR="005507E7" w:rsidRPr="008361FE" w:rsidRDefault="005507E7" w:rsidP="005507E7">
      <w:pPr>
        <w:jc w:val="both"/>
      </w:pPr>
      <w:r w:rsidRPr="008361FE">
        <w:t>Available demographics include age, number of previous pregnancies and educational level and were assessed during pregnancy and within 48 hours after childbirth.  Socio-economic status (SES) was derived using a durable goods index proxy indicator which incorporates demographic variables such as age, previous pregnancies and education level, and information collected on a range of household items. The process employs principal components analysis to place participants in low, medium or high SES. Such indices are commonly used in LMICs where data describing income tends to be incomplete and unrelia</w:t>
      </w:r>
      <w:r>
        <w:t>ble (</w:t>
      </w:r>
      <w:r w:rsidRPr="00D32E98">
        <w:rPr>
          <w:shd w:val="clear" w:color="auto" w:fill="D9D9D9" w:themeFill="background1" w:themeFillShade="D9"/>
        </w:rPr>
        <w:t>Filmer &amp; Pritchett; 2001</w:t>
      </w:r>
      <w:r>
        <w:t>)</w:t>
      </w:r>
      <w:r w:rsidRPr="008361FE">
        <w:t>.</w:t>
      </w:r>
    </w:p>
    <w:p w14:paraId="53EC1E0E" w14:textId="77777777" w:rsidR="005507E7" w:rsidRPr="00AC0B67" w:rsidRDefault="005507E7" w:rsidP="005507E7">
      <w:pPr>
        <w:jc w:val="both"/>
        <w:rPr>
          <w:i/>
        </w:rPr>
      </w:pPr>
      <w:r w:rsidRPr="00AC0B67">
        <w:rPr>
          <w:i/>
        </w:rPr>
        <w:t>Rating of health status</w:t>
      </w:r>
    </w:p>
    <w:p w14:paraId="2449F03B" w14:textId="77777777" w:rsidR="005507E7" w:rsidRPr="008361FE" w:rsidRDefault="005507E7" w:rsidP="005507E7">
      <w:pPr>
        <w:jc w:val="both"/>
      </w:pPr>
      <w:r w:rsidRPr="008361FE">
        <w:t xml:space="preserve">At birth women were asked to rate their condition on a two-point scale as well (1) or ill (2). During pregnancy and at the two post-childbirth assessments women were asked to rate their health on a five-point scale: excellent (1), very good (2), average (3), fair (4) or poor (5). This latter scale was collapsed to good (1) or poor (2), with a score of ill (2) at birth or fair to poor (4-5) on other occasions considered to represent ill-health (2).  </w:t>
      </w:r>
    </w:p>
    <w:p w14:paraId="4391C58D" w14:textId="77777777" w:rsidR="005507E7" w:rsidRPr="008361FE" w:rsidRDefault="005507E7" w:rsidP="005507E7">
      <w:pPr>
        <w:pStyle w:val="Heading3"/>
        <w:spacing w:before="0" w:line="480" w:lineRule="auto"/>
        <w:rPr>
          <w:rFonts w:cs="Times New Roman"/>
        </w:rPr>
      </w:pPr>
      <w:r w:rsidRPr="008361FE">
        <w:rPr>
          <w:rFonts w:cs="Times New Roman"/>
        </w:rPr>
        <w:t>Obstetric and non-obstetric conditions including chronic diseases</w:t>
      </w:r>
    </w:p>
    <w:p w14:paraId="4A547BF4" w14:textId="77777777" w:rsidR="005507E7" w:rsidRPr="008361FE" w:rsidRDefault="005507E7" w:rsidP="005507E7">
      <w:pPr>
        <w:jc w:val="both"/>
      </w:pPr>
      <w:r w:rsidRPr="008361FE">
        <w:t xml:space="preserve">Women were asked to respond (yes/no) to a comprehensive listing of health conditions by health systems including: gastrointestinal, cardiovascular, respiratory, haematological, metabolic, neurological, musculoskeletal, psychological, dermatological, immunological, gynaecological and urogenital; and obstetric conditions such as hypertension, haemorrhage, and infections related to pregnancy and childbirth. In addition, women were asked to provide details on any known chronic illnesses at 9-12 and 18-22 months after childbirth. </w:t>
      </w:r>
    </w:p>
    <w:p w14:paraId="26240F4B" w14:textId="77777777" w:rsidR="005507E7" w:rsidRPr="008361FE" w:rsidRDefault="005507E7" w:rsidP="005507E7">
      <w:pPr>
        <w:pStyle w:val="Heading3"/>
        <w:spacing w:before="0" w:line="480" w:lineRule="auto"/>
        <w:rPr>
          <w:rFonts w:cs="Times New Roman"/>
        </w:rPr>
      </w:pPr>
      <w:r w:rsidRPr="008361FE">
        <w:rPr>
          <w:rFonts w:cs="Times New Roman"/>
        </w:rPr>
        <w:t xml:space="preserve">Admissions to hospital </w:t>
      </w:r>
    </w:p>
    <w:p w14:paraId="506B66F1" w14:textId="37A94F16" w:rsidR="005507E7" w:rsidRPr="008361FE" w:rsidRDefault="005507E7" w:rsidP="005507E7">
      <w:pPr>
        <w:jc w:val="both"/>
      </w:pPr>
      <w:r w:rsidRPr="008361FE">
        <w:t xml:space="preserve">Women were asked </w:t>
      </w:r>
      <w:r w:rsidR="00AC0B67">
        <w:t>about</w:t>
      </w:r>
      <w:r w:rsidRPr="008361FE">
        <w:t xml:space="preserve"> the number and reason for hospital admission during pregnancy, at 9-12 months (since childbirth) and at 18-22 months after childbirth </w:t>
      </w:r>
      <w:r w:rsidR="00AC0B67">
        <w:t>(</w:t>
      </w:r>
      <w:r w:rsidRPr="008361FE">
        <w:t xml:space="preserve">since child turned one). </w:t>
      </w:r>
    </w:p>
    <w:p w14:paraId="43591C51" w14:textId="77777777" w:rsidR="005507E7" w:rsidRPr="008361FE" w:rsidRDefault="005507E7" w:rsidP="005507E7">
      <w:pPr>
        <w:pStyle w:val="Heading3"/>
        <w:spacing w:before="0" w:line="480" w:lineRule="auto"/>
        <w:rPr>
          <w:rFonts w:cs="Times New Roman"/>
        </w:rPr>
      </w:pPr>
      <w:r w:rsidRPr="008361FE">
        <w:rPr>
          <w:rFonts w:cs="Times New Roman"/>
        </w:rPr>
        <w:t>Coding and classification of health conditions and rating of health status</w:t>
      </w:r>
    </w:p>
    <w:p w14:paraId="4CA0376D" w14:textId="0325AF10" w:rsidR="005507E7" w:rsidRPr="00C52861" w:rsidRDefault="005507E7" w:rsidP="00C52861">
      <w:pPr>
        <w:pStyle w:val="Heading3"/>
        <w:spacing w:before="0" w:line="480" w:lineRule="auto"/>
        <w:ind w:right="0"/>
        <w:jc w:val="both"/>
        <w:rPr>
          <w:rFonts w:cs="Times New Roman"/>
          <w:i w:val="0"/>
          <w:color w:val="000000" w:themeColor="text1"/>
        </w:rPr>
      </w:pPr>
      <w:r w:rsidRPr="00C52861">
        <w:rPr>
          <w:rFonts w:cs="Times New Roman"/>
          <w:i w:val="0"/>
          <w:color w:val="000000" w:themeColor="text1"/>
        </w:rPr>
        <w:t>The WHO ICD-MM classification framework (</w:t>
      </w:r>
      <w:r w:rsidRPr="00C52861">
        <w:rPr>
          <w:rFonts w:cs="Times New Roman"/>
          <w:i w:val="0"/>
          <w:color w:val="000000" w:themeColor="text1"/>
          <w:shd w:val="clear" w:color="auto" w:fill="D9D9D9" w:themeFill="background1" w:themeFillShade="D9"/>
        </w:rPr>
        <w:t>W.H.O., 2012</w:t>
      </w:r>
      <w:r w:rsidRPr="00C52861">
        <w:rPr>
          <w:rFonts w:cs="Times New Roman"/>
          <w:i w:val="0"/>
          <w:color w:val="000000" w:themeColor="text1"/>
        </w:rPr>
        <w:t>) was adapted to code the reason for hospital admission as: obstetric (complications related to pregnancy), indirect (non-commun</w:t>
      </w:r>
      <w:r w:rsidR="00AC0B67">
        <w:rPr>
          <w:rFonts w:cs="Times New Roman"/>
          <w:i w:val="0"/>
          <w:color w:val="000000" w:themeColor="text1"/>
        </w:rPr>
        <w:t>icable diseases or</w:t>
      </w:r>
      <w:r w:rsidRPr="00C52861">
        <w:rPr>
          <w:rFonts w:cs="Times New Roman"/>
          <w:i w:val="0"/>
          <w:color w:val="000000" w:themeColor="text1"/>
        </w:rPr>
        <w:t xml:space="preserve"> infections not related to pregnancy), co-incidental, (intentional or unintentional injuries) or unspecified (not documented).  The indirect category was expanded to detail four groups of NCDs (cardio-</w:t>
      </w:r>
      <w:proofErr w:type="spellStart"/>
      <w:r w:rsidRPr="00C52861">
        <w:rPr>
          <w:rFonts w:cs="Times New Roman"/>
          <w:i w:val="0"/>
          <w:color w:val="000000" w:themeColor="text1"/>
        </w:rPr>
        <w:t>cerebro</w:t>
      </w:r>
      <w:proofErr w:type="spellEnd"/>
      <w:r w:rsidRPr="00C52861">
        <w:rPr>
          <w:rFonts w:cs="Times New Roman"/>
          <w:i w:val="0"/>
          <w:color w:val="000000" w:themeColor="text1"/>
        </w:rPr>
        <w:t>-renovascular; haematological and immunological; endocrine and metabolic and other) and two categories of non-obstetric infections (HIV disease and other infections) (</w:t>
      </w:r>
      <w:proofErr w:type="spellStart"/>
      <w:r w:rsidRPr="00C52861">
        <w:rPr>
          <w:rFonts w:cs="Times New Roman"/>
          <w:i w:val="0"/>
          <w:color w:val="000000" w:themeColor="text1"/>
          <w:shd w:val="clear" w:color="auto" w:fill="D9D9D9" w:themeFill="background1" w:themeFillShade="D9"/>
        </w:rPr>
        <w:t>McCaw-Binns</w:t>
      </w:r>
      <w:proofErr w:type="spellEnd"/>
      <w:r w:rsidRPr="00C52861">
        <w:rPr>
          <w:rFonts w:cs="Times New Roman"/>
          <w:i w:val="0"/>
          <w:color w:val="000000" w:themeColor="text1"/>
          <w:shd w:val="clear" w:color="auto" w:fill="D9D9D9" w:themeFill="background1" w:themeFillShade="D9"/>
        </w:rPr>
        <w:t>, et. al., 2018</w:t>
      </w:r>
      <w:r w:rsidRPr="00C52861">
        <w:rPr>
          <w:rFonts w:cs="Times New Roman"/>
          <w:i w:val="0"/>
          <w:color w:val="000000" w:themeColor="text1"/>
        </w:rPr>
        <w:t>).</w:t>
      </w:r>
      <w:r w:rsidRPr="00C52861">
        <w:rPr>
          <w:rFonts w:cs="Times New Roman"/>
          <w:i w:val="0"/>
        </w:rPr>
        <w:t xml:space="preserve"> </w:t>
      </w:r>
      <w:r w:rsidRPr="00C52861">
        <w:rPr>
          <w:rFonts w:cs="Times New Roman"/>
          <w:i w:val="0"/>
          <w:color w:val="000000" w:themeColor="text1"/>
        </w:rPr>
        <w:t xml:space="preserve">Responses were coded into clinically relevant categories. </w:t>
      </w:r>
    </w:p>
    <w:p w14:paraId="397B2EEF" w14:textId="77777777" w:rsidR="005507E7" w:rsidRPr="008361FE" w:rsidRDefault="005507E7" w:rsidP="005507E7">
      <w:pPr>
        <w:pStyle w:val="Heading3"/>
        <w:spacing w:before="0" w:line="480" w:lineRule="auto"/>
        <w:rPr>
          <w:rFonts w:cs="Times New Roman"/>
        </w:rPr>
      </w:pPr>
      <w:r w:rsidRPr="008361FE">
        <w:rPr>
          <w:rFonts w:cs="Times New Roman"/>
        </w:rPr>
        <w:t>Statistical analysis</w:t>
      </w:r>
    </w:p>
    <w:p w14:paraId="45C4549A" w14:textId="194D1872" w:rsidR="005507E7" w:rsidRDefault="005507E7" w:rsidP="005507E7">
      <w:pPr>
        <w:jc w:val="both"/>
      </w:pPr>
      <w:r w:rsidRPr="008361FE">
        <w:t xml:space="preserve">Data analysis was performed using SPSS v21 and Stata v12.  P-values were derived using likelihood ratio test; a p-value of &lt;0.05 was considered statistically significant and estimates were derived with 95% confidence intervals. No adjustments for multiple comparisons were used. Relative risks were estimated (for the outcomes of ill-health, hospital admission and chronic illness) using univariable log binomial models for binary variables. Ill-health was also analysed using a multivariable log binomial model with hospital admissions and chronic illness as explanatory variables.  Variables statistically significant in univariable analyses (p&lt;0.10) were included in multivariable log-binomial regression analyses. </w:t>
      </w:r>
    </w:p>
    <w:p w14:paraId="3DAF81B7" w14:textId="77777777" w:rsidR="00234151" w:rsidRPr="008361FE" w:rsidRDefault="00234151" w:rsidP="005507E7">
      <w:pPr>
        <w:jc w:val="both"/>
        <w:rPr>
          <w:b/>
        </w:rPr>
      </w:pPr>
    </w:p>
    <w:p w14:paraId="17EE6041" w14:textId="77777777" w:rsidR="005507E7" w:rsidRPr="008361FE" w:rsidRDefault="005507E7" w:rsidP="005507E7">
      <w:pPr>
        <w:pStyle w:val="Heading3"/>
        <w:spacing w:before="0" w:line="480" w:lineRule="auto"/>
        <w:rPr>
          <w:rFonts w:cs="Times New Roman"/>
        </w:rPr>
      </w:pPr>
      <w:r w:rsidRPr="00C52861">
        <w:rPr>
          <w:rFonts w:cs="Times New Roman"/>
          <w:b/>
          <w:i w:val="0"/>
        </w:rPr>
        <w:t>Results</w:t>
      </w:r>
    </w:p>
    <w:p w14:paraId="2EEF5BF4" w14:textId="7EB0B0FF" w:rsidR="005507E7" w:rsidRPr="008361FE" w:rsidRDefault="005507E7" w:rsidP="005507E7">
      <w:pPr>
        <w:jc w:val="both"/>
        <w:rPr>
          <w:rFonts w:eastAsiaTheme="majorEastAsia"/>
          <w:bCs/>
        </w:rPr>
      </w:pPr>
      <w:r w:rsidRPr="008361FE">
        <w:t>O</w:t>
      </w:r>
      <w:r>
        <w:t xml:space="preserve">f the </w:t>
      </w:r>
      <w:r w:rsidRPr="008361FE">
        <w:t>9</w:t>
      </w:r>
      <w:r>
        <w:t>,</w:t>
      </w:r>
      <w:r w:rsidRPr="008361FE">
        <w:t>742 women assessed at least once during or after pregnancy</w:t>
      </w:r>
      <w:r>
        <w:t xml:space="preserve">, </w:t>
      </w:r>
      <w:r w:rsidR="00AC0B67">
        <w:t xml:space="preserve">79.5% </w:t>
      </w:r>
      <w:r w:rsidRPr="008361FE">
        <w:t>ha</w:t>
      </w:r>
      <w:r w:rsidR="00AC0B67">
        <w:t>d a normal vaginal birth,</w:t>
      </w:r>
      <w:r w:rsidRPr="008361FE">
        <w:t xml:space="preserve"> 19.4% delivered by caesarean section (CS) (12.3% elective, 7.1% emergency), w</w:t>
      </w:r>
      <w:r w:rsidR="00AC0B67">
        <w:t>hile</w:t>
      </w:r>
      <w:r w:rsidRPr="008361FE">
        <w:t xml:space="preserve"> less than 0.1% ha</w:t>
      </w:r>
      <w:r w:rsidR="00AC0B67">
        <w:t>d</w:t>
      </w:r>
      <w:r w:rsidRPr="008361FE">
        <w:t xml:space="preserve"> an instrumental vaginal childbirth.  No delivery information was available for 1.4%.  O</w:t>
      </w:r>
      <w:r>
        <w:t>f the</w:t>
      </w:r>
      <w:r w:rsidRPr="008361FE">
        <w:t xml:space="preserve"> </w:t>
      </w:r>
      <w:r w:rsidRPr="008361FE">
        <w:rPr>
          <w:rFonts w:eastAsiaTheme="majorEastAsia"/>
          <w:bCs/>
        </w:rPr>
        <w:t>1,311 women assessed at all four stages</w:t>
      </w:r>
      <w:r>
        <w:rPr>
          <w:rFonts w:eastAsiaTheme="majorEastAsia"/>
          <w:bCs/>
        </w:rPr>
        <w:t>, their</w:t>
      </w:r>
      <w:r w:rsidRPr="008361FE">
        <w:rPr>
          <w:rFonts w:eastAsiaTheme="majorEastAsia"/>
          <w:bCs/>
        </w:rPr>
        <w:t xml:space="preserve"> characteristics were </w:t>
      </w:r>
      <w:r>
        <w:rPr>
          <w:rFonts w:eastAsiaTheme="majorEastAsia"/>
          <w:bCs/>
        </w:rPr>
        <w:t>similar to</w:t>
      </w:r>
      <w:r w:rsidRPr="008361FE">
        <w:rPr>
          <w:rFonts w:eastAsiaTheme="majorEastAsia"/>
          <w:bCs/>
        </w:rPr>
        <w:t xml:space="preserve"> those not assessed on all occasions, </w:t>
      </w:r>
      <w:r>
        <w:rPr>
          <w:rFonts w:eastAsiaTheme="majorEastAsia"/>
          <w:bCs/>
        </w:rPr>
        <w:t>however</w:t>
      </w:r>
      <w:r w:rsidRPr="008361FE">
        <w:rPr>
          <w:rFonts w:eastAsiaTheme="majorEastAsia"/>
          <w:bCs/>
        </w:rPr>
        <w:t xml:space="preserve"> those </w:t>
      </w:r>
      <w:r>
        <w:rPr>
          <w:rFonts w:eastAsiaTheme="majorEastAsia"/>
          <w:bCs/>
        </w:rPr>
        <w:t>with</w:t>
      </w:r>
      <w:r w:rsidRPr="008361FE">
        <w:t xml:space="preserve"> all four contacts</w:t>
      </w:r>
      <w:r>
        <w:t xml:space="preserve"> were</w:t>
      </w:r>
      <w:r w:rsidRPr="008361FE">
        <w:t xml:space="preserve"> more likely to have secondary level education or vocational training (</w:t>
      </w:r>
      <w:r w:rsidRPr="008361FE">
        <w:rPr>
          <w:b/>
        </w:rPr>
        <w:t>Table 1</w:t>
      </w:r>
      <w:r w:rsidRPr="008361FE">
        <w:t xml:space="preserve">). </w:t>
      </w:r>
      <w:r w:rsidR="00704CC5">
        <w:t xml:space="preserve"> On each follow up occasion (9-12 and 18-22 months) women assessed were less likely to </w:t>
      </w:r>
      <w:r w:rsidR="00DD3DD1">
        <w:t>report ill-health</w:t>
      </w:r>
      <w:r w:rsidR="00315691">
        <w:t xml:space="preserve"> </w:t>
      </w:r>
      <w:r w:rsidR="00704CC5">
        <w:t>than those not assessed (3.0% for those assessed at 9-12 months</w:t>
      </w:r>
      <w:r w:rsidR="00AF470C">
        <w:t xml:space="preserve"> (p=0.004)</w:t>
      </w:r>
      <w:r w:rsidR="00704CC5">
        <w:t xml:space="preserve"> and 2.7% for those assessed at 18-22 months </w:t>
      </w:r>
      <w:r w:rsidR="00AF470C">
        <w:t xml:space="preserve">(p=0.02) </w:t>
      </w:r>
      <w:r w:rsidR="00704CC5">
        <w:t>compared, with 3.4% at delivery).</w:t>
      </w:r>
      <w:r w:rsidRPr="008361FE">
        <w:t>Further descriptive analyses are confined to the</w:t>
      </w:r>
      <w:r>
        <w:t>se</w:t>
      </w:r>
      <w:r w:rsidRPr="008361FE">
        <w:t xml:space="preserve"> 1,311 women</w:t>
      </w:r>
      <w:r w:rsidR="00AC0B67">
        <w:t>, who were on</w:t>
      </w:r>
      <w:r>
        <w:t xml:space="preserve"> average 25.9 (±</w:t>
      </w:r>
      <w:r w:rsidR="00AC0B67">
        <w:t>6.6) years,</w:t>
      </w:r>
      <w:r>
        <w:t xml:space="preserve"> all literate (7% tertiary education), 23% of whom were classified as low and 19% as high SES. </w:t>
      </w:r>
    </w:p>
    <w:p w14:paraId="2FA77E47" w14:textId="77777777" w:rsidR="005507E7" w:rsidRPr="00807636" w:rsidRDefault="005507E7" w:rsidP="005507E7">
      <w:pPr>
        <w:pStyle w:val="Heading3"/>
        <w:spacing w:before="0" w:line="480" w:lineRule="auto"/>
        <w:rPr>
          <w:rFonts w:cs="Times New Roman"/>
          <w:b/>
          <w:i w:val="0"/>
        </w:rPr>
      </w:pPr>
      <w:r w:rsidRPr="00DC284F">
        <w:rPr>
          <w:rFonts w:cs="Times New Roman"/>
          <w:b/>
          <w:i w:val="0"/>
        </w:rPr>
        <w:t>Insert Table 1 here</w:t>
      </w:r>
    </w:p>
    <w:p w14:paraId="47A42D14" w14:textId="77777777" w:rsidR="005507E7" w:rsidRPr="008361FE" w:rsidRDefault="005507E7" w:rsidP="005507E7">
      <w:pPr>
        <w:pStyle w:val="Heading3"/>
        <w:spacing w:before="0" w:line="480" w:lineRule="auto"/>
        <w:rPr>
          <w:rFonts w:cs="Times New Roman"/>
        </w:rPr>
      </w:pPr>
      <w:r w:rsidRPr="008361FE">
        <w:rPr>
          <w:rFonts w:cs="Times New Roman"/>
        </w:rPr>
        <w:t>Self-reported health</w:t>
      </w:r>
    </w:p>
    <w:p w14:paraId="00623674" w14:textId="77777777" w:rsidR="005507E7" w:rsidRPr="008361FE" w:rsidRDefault="005507E7" w:rsidP="005507E7">
      <w:pPr>
        <w:jc w:val="both"/>
      </w:pPr>
      <w:r w:rsidRPr="008361FE">
        <w:rPr>
          <w:rFonts w:eastAsiaTheme="majorEastAsia"/>
          <w:bCs/>
        </w:rPr>
        <w:t>At</w:t>
      </w:r>
      <w:r w:rsidRPr="008361FE">
        <w:t xml:space="preserve"> each assessment point (n=1,311), between 55.7% and 59.3% of women report</w:t>
      </w:r>
      <w:r>
        <w:t>ed</w:t>
      </w:r>
      <w:r w:rsidRPr="008361FE">
        <w:t xml:space="preserve"> excellent or very good health </w:t>
      </w:r>
      <w:r>
        <w:t>while</w:t>
      </w:r>
      <w:r w:rsidRPr="008361FE">
        <w:t xml:space="preserve"> up to 3.1% reported poor or ill health. Using the collapsed two-point scale, about one in ten women reported feeling either fair or poor/ill during pregnancy (11.3%), at 9-12 months (11.0%) and at 18-22 months (10.6%).   At the four time-points during and after pregnancy 73.4% always reported feeling well, with the remainder reporting ill-health on one or more occasion (19.8% reported ill-health during one of the four points, 5.2% for two and 1.5% for three or more assessment points) (</w:t>
      </w:r>
      <w:r w:rsidRPr="008361FE">
        <w:rPr>
          <w:b/>
        </w:rPr>
        <w:t>Figure 1</w:t>
      </w:r>
      <w:r w:rsidRPr="008361FE">
        <w:t>).</w:t>
      </w:r>
    </w:p>
    <w:p w14:paraId="52CFBFFB" w14:textId="77777777" w:rsidR="005507E7" w:rsidRPr="00AC0B67" w:rsidRDefault="005507E7" w:rsidP="005507E7">
      <w:pPr>
        <w:jc w:val="both"/>
        <w:rPr>
          <w:b/>
        </w:rPr>
      </w:pPr>
      <w:r w:rsidRPr="00DC284F">
        <w:rPr>
          <w:b/>
        </w:rPr>
        <w:t>Insert Figure 1 here</w:t>
      </w:r>
    </w:p>
    <w:p w14:paraId="0704D0BD" w14:textId="77777777" w:rsidR="005507E7" w:rsidRPr="00AC0B67" w:rsidRDefault="005507E7" w:rsidP="005507E7">
      <w:pPr>
        <w:jc w:val="both"/>
        <w:rPr>
          <w:i/>
        </w:rPr>
      </w:pPr>
      <w:r w:rsidRPr="00AC0B67">
        <w:rPr>
          <w:i/>
        </w:rPr>
        <w:t xml:space="preserve">Hospital admission </w:t>
      </w:r>
    </w:p>
    <w:p w14:paraId="5EC88846" w14:textId="2C6717FB" w:rsidR="005507E7" w:rsidRDefault="005507E7" w:rsidP="005507E7">
      <w:pPr>
        <w:jc w:val="both"/>
      </w:pPr>
      <w:r w:rsidRPr="008361FE">
        <w:t xml:space="preserve">Admission to hospital was reported </w:t>
      </w:r>
      <w:r w:rsidR="00807636">
        <w:t>by</w:t>
      </w:r>
      <w:r w:rsidRPr="008361FE">
        <w:rPr>
          <w:b/>
          <w:color w:val="1F497D" w:themeColor="text2"/>
        </w:rPr>
        <w:t xml:space="preserve"> </w:t>
      </w:r>
      <w:r w:rsidRPr="008361FE">
        <w:t>2</w:t>
      </w:r>
      <w:r w:rsidR="00CF39F3">
        <w:t>0.9</w:t>
      </w:r>
      <w:r w:rsidRPr="008361FE">
        <w:t>% of women during pregnancy, 6.1% in the first year after childbirth and 0.</w:t>
      </w:r>
      <w:r w:rsidR="00CF39F3">
        <w:t>5</w:t>
      </w:r>
      <w:r w:rsidRPr="008361FE">
        <w:t>% in months 12-22 after childbirth</w:t>
      </w:r>
      <w:r>
        <w:t>, with 31.0% admi</w:t>
      </w:r>
      <w:r w:rsidR="00234151">
        <w:t>tted at some point over the two-</w:t>
      </w:r>
      <w:r>
        <w:t>year review period (</w:t>
      </w:r>
      <w:r w:rsidRPr="00FF632D">
        <w:rPr>
          <w:b/>
        </w:rPr>
        <w:t>Table 2</w:t>
      </w:r>
      <w:r>
        <w:t>)</w:t>
      </w:r>
      <w:r w:rsidR="00AC0B67">
        <w:t>. Of</w:t>
      </w:r>
      <w:r w:rsidRPr="008361FE">
        <w:t xml:space="preserve"> the antepartum admissions (n=349) with details, 274 (78.5%) women were admitted once while 75 (21.5%) required</w:t>
      </w:r>
      <w:r w:rsidR="00AC0B67">
        <w:t xml:space="preserve"> two or more admissions.  Of</w:t>
      </w:r>
      <w:r w:rsidRPr="008361FE">
        <w:t xml:space="preserve"> 80 women admitted between childbirth and 9-12 months, 72 (90%) reported one and eight (10%) reported two or more admissions. At 18-22 months, 7 of the 13 women r</w:t>
      </w:r>
      <w:r w:rsidR="00AC0B67">
        <w:t>eported just one admission (53.8</w:t>
      </w:r>
      <w:r w:rsidRPr="008361FE">
        <w:t>%).  Complications of pregnancy (direct) were the most frequent reason for admissions during pregnancy (</w:t>
      </w:r>
      <w:r w:rsidR="00E36622">
        <w:t>68.3</w:t>
      </w:r>
      <w:r w:rsidRPr="008361FE">
        <w:t>%), with 60.</w:t>
      </w:r>
      <w:r w:rsidR="00E36622">
        <w:t>8</w:t>
      </w:r>
      <w:r w:rsidRPr="008361FE">
        <w:t>%</w:t>
      </w:r>
      <w:r w:rsidR="00AC0B67">
        <w:t xml:space="preserve"> of these</w:t>
      </w:r>
      <w:r w:rsidRPr="008361FE">
        <w:t xml:space="preserve"> classified as ‘other obstetric complications’ such as threatened preterm labour and pre-labour rupture of membranes </w:t>
      </w:r>
      <w:r w:rsidRPr="008361FE">
        <w:rPr>
          <w:b/>
        </w:rPr>
        <w:t>(Table 2</w:t>
      </w:r>
      <w:r w:rsidRPr="008361FE">
        <w:t xml:space="preserve">). </w:t>
      </w:r>
    </w:p>
    <w:p w14:paraId="4E20C650" w14:textId="4B19844E" w:rsidR="005507E7" w:rsidRPr="007F13C2" w:rsidRDefault="005507E7" w:rsidP="005507E7">
      <w:pPr>
        <w:jc w:val="both"/>
        <w:rPr>
          <w:b/>
        </w:rPr>
      </w:pPr>
      <w:r w:rsidRPr="007F13C2">
        <w:rPr>
          <w:b/>
        </w:rPr>
        <w:t>Insert Table</w:t>
      </w:r>
      <w:r>
        <w:rPr>
          <w:b/>
        </w:rPr>
        <w:t xml:space="preserve"> 2 </w:t>
      </w:r>
      <w:r w:rsidRPr="007F13C2">
        <w:rPr>
          <w:b/>
        </w:rPr>
        <w:t>here</w:t>
      </w:r>
    </w:p>
    <w:p w14:paraId="5A64BF95" w14:textId="77777777" w:rsidR="005507E7" w:rsidRPr="008361FE" w:rsidRDefault="005507E7" w:rsidP="005507E7">
      <w:pPr>
        <w:pStyle w:val="Heading3"/>
        <w:spacing w:before="0" w:line="480" w:lineRule="auto"/>
        <w:rPr>
          <w:rFonts w:cs="Times New Roman"/>
        </w:rPr>
      </w:pPr>
      <w:r w:rsidRPr="008361FE">
        <w:rPr>
          <w:rFonts w:cs="Times New Roman"/>
        </w:rPr>
        <w:t>Chronic illness</w:t>
      </w:r>
    </w:p>
    <w:p w14:paraId="66168CC5" w14:textId="0B2E32DF" w:rsidR="005507E7" w:rsidRDefault="005507E7" w:rsidP="005507E7">
      <w:pPr>
        <w:jc w:val="both"/>
      </w:pPr>
      <w:r w:rsidRPr="008361FE">
        <w:t xml:space="preserve">Women were asked </w:t>
      </w:r>
      <w:r>
        <w:t xml:space="preserve">to </w:t>
      </w:r>
      <w:r w:rsidRPr="008361FE">
        <w:t>detail specific chronic illnesses during pregnancy and after childbirth</w:t>
      </w:r>
      <w:r w:rsidR="00DA7E5B">
        <w:t xml:space="preserve">. </w:t>
      </w:r>
      <w:r w:rsidR="004C3EA6" w:rsidRPr="004C3EA6">
        <w:t>For the 1,311 women</w:t>
      </w:r>
      <w:r w:rsidR="00234151">
        <w:t xml:space="preserve"> who provided</w:t>
      </w:r>
      <w:r w:rsidR="004C3EA6" w:rsidRPr="004C3EA6">
        <w:t xml:space="preserve"> information at all four contact times, similar proportions reported essential hypertension (10.5–9.5%), asthma (4.4-3.2%), diabetes mellitus (1.3-1.0%) and sickle cell ana</w:t>
      </w:r>
      <w:r w:rsidR="008C1D87">
        <w:t xml:space="preserve">emia (0.7-0.7%) at the two </w:t>
      </w:r>
      <w:r w:rsidR="004C3EA6" w:rsidRPr="004C3EA6">
        <w:t>contacts</w:t>
      </w:r>
      <w:r w:rsidR="008C1D87">
        <w:t xml:space="preserve"> after childbirth</w:t>
      </w:r>
      <w:r w:rsidR="004C3EA6" w:rsidRPr="004C3EA6">
        <w:t>.  On both occasion</w:t>
      </w:r>
      <w:r w:rsidR="004C3EA6">
        <w:t>s</w:t>
      </w:r>
      <w:r w:rsidR="004C3EA6" w:rsidRPr="004C3EA6">
        <w:t xml:space="preserve"> 5.9% of the respondents reported other ‘unspecified conditions’</w:t>
      </w:r>
      <w:r w:rsidR="004C3EA6">
        <w:t xml:space="preserve">. </w:t>
      </w:r>
      <w:r w:rsidRPr="008361FE">
        <w:t>Women reporting c</w:t>
      </w:r>
      <w:r w:rsidR="00AC0B67">
        <w:t>hronic illnesses were older,</w:t>
      </w:r>
      <w:r w:rsidRPr="008361FE">
        <w:t xml:space="preserve"> more likely to have at least one previo</w:t>
      </w:r>
      <w:r w:rsidR="00AC0B67">
        <w:t>us pregnancy and to have only completed primary education</w:t>
      </w:r>
      <w:r w:rsidRPr="008361FE">
        <w:t xml:space="preserve"> (</w:t>
      </w:r>
      <w:r w:rsidRPr="008361FE">
        <w:rPr>
          <w:b/>
        </w:rPr>
        <w:t xml:space="preserve">Table </w:t>
      </w:r>
      <w:r w:rsidR="00E36622">
        <w:rPr>
          <w:b/>
        </w:rPr>
        <w:t>3</w:t>
      </w:r>
      <w:r w:rsidRPr="008361FE">
        <w:t xml:space="preserve">). </w:t>
      </w:r>
    </w:p>
    <w:p w14:paraId="7B7C0A10" w14:textId="56AB271F" w:rsidR="005C343A" w:rsidRPr="005C343A" w:rsidRDefault="005C343A" w:rsidP="005507E7">
      <w:pPr>
        <w:jc w:val="both"/>
        <w:rPr>
          <w:b/>
        </w:rPr>
      </w:pPr>
      <w:r w:rsidRPr="005C343A">
        <w:rPr>
          <w:b/>
        </w:rPr>
        <w:t>Insert Table 3 here</w:t>
      </w:r>
    </w:p>
    <w:p w14:paraId="0A235303" w14:textId="77777777" w:rsidR="005507E7" w:rsidRPr="008361FE" w:rsidRDefault="005507E7" w:rsidP="005507E7">
      <w:pPr>
        <w:pStyle w:val="Heading3"/>
        <w:spacing w:before="0" w:line="480" w:lineRule="auto"/>
        <w:rPr>
          <w:rFonts w:cs="Times New Roman"/>
        </w:rPr>
      </w:pPr>
      <w:r w:rsidRPr="008361FE">
        <w:rPr>
          <w:rFonts w:cs="Times New Roman"/>
        </w:rPr>
        <w:t>Associations between hospital admission, chronic illness and ill-health</w:t>
      </w:r>
    </w:p>
    <w:p w14:paraId="18ED8134" w14:textId="15FE840C" w:rsidR="00E36622" w:rsidRPr="00335E04" w:rsidRDefault="005507E7" w:rsidP="00335E04">
      <w:pPr>
        <w:pStyle w:val="PlainText"/>
        <w:spacing w:line="480" w:lineRule="auto"/>
        <w:jc w:val="both"/>
        <w:rPr>
          <w:rFonts w:ascii="Times New Roman" w:eastAsiaTheme="majorEastAsia" w:hAnsi="Times New Roman" w:cs="Times New Roman"/>
          <w:bCs/>
          <w:sz w:val="24"/>
          <w:szCs w:val="24"/>
        </w:rPr>
      </w:pPr>
      <w:r w:rsidRPr="008361FE">
        <w:rPr>
          <w:rFonts w:ascii="Times New Roman" w:eastAsiaTheme="majorEastAsia" w:hAnsi="Times New Roman" w:cs="Times New Roman"/>
          <w:bCs/>
          <w:sz w:val="24"/>
          <w:szCs w:val="24"/>
        </w:rPr>
        <w:t xml:space="preserve">Ill-health was less likely </w:t>
      </w:r>
      <w:r w:rsidR="00AC0B67">
        <w:rPr>
          <w:rFonts w:ascii="Times New Roman" w:eastAsiaTheme="majorEastAsia" w:hAnsi="Times New Roman" w:cs="Times New Roman"/>
          <w:bCs/>
          <w:sz w:val="24"/>
          <w:szCs w:val="24"/>
        </w:rPr>
        <w:t xml:space="preserve">as education increased </w:t>
      </w:r>
      <w:r w:rsidRPr="008361FE">
        <w:rPr>
          <w:rFonts w:ascii="Times New Roman" w:eastAsiaTheme="majorEastAsia" w:hAnsi="Times New Roman" w:cs="Times New Roman"/>
          <w:bCs/>
          <w:sz w:val="24"/>
          <w:szCs w:val="24"/>
        </w:rPr>
        <w:t>(RR=0.62, 95%; 0.42-0.84)</w:t>
      </w:r>
      <w:r w:rsidRPr="008361FE">
        <w:rPr>
          <w:rFonts w:ascii="Times New Roman" w:hAnsi="Times New Roman" w:cs="Times New Roman"/>
          <w:sz w:val="24"/>
          <w:szCs w:val="24"/>
        </w:rPr>
        <w:t>.</w:t>
      </w:r>
      <w:r w:rsidRPr="008361FE">
        <w:rPr>
          <w:rFonts w:ascii="Times New Roman" w:eastAsiaTheme="majorEastAsia" w:hAnsi="Times New Roman" w:cs="Times New Roman"/>
          <w:bCs/>
          <w:sz w:val="24"/>
          <w:szCs w:val="24"/>
        </w:rPr>
        <w:t xml:space="preserve"> Hospital admission was more likely with a higher </w:t>
      </w:r>
      <w:r w:rsidR="002F0DB6">
        <w:rPr>
          <w:rFonts w:ascii="Times New Roman" w:eastAsiaTheme="majorEastAsia" w:hAnsi="Times New Roman" w:cs="Times New Roman"/>
          <w:bCs/>
          <w:sz w:val="24"/>
          <w:szCs w:val="24"/>
        </w:rPr>
        <w:t xml:space="preserve">SES </w:t>
      </w:r>
      <w:r w:rsidRPr="008361FE">
        <w:rPr>
          <w:rFonts w:ascii="Times New Roman" w:eastAsiaTheme="majorEastAsia" w:hAnsi="Times New Roman" w:cs="Times New Roman"/>
          <w:bCs/>
          <w:sz w:val="24"/>
          <w:szCs w:val="24"/>
        </w:rPr>
        <w:t xml:space="preserve">(RR=1.33, 95% 1.04-1.70) and delivery by </w:t>
      </w:r>
      <w:r w:rsidR="00C93A9E">
        <w:rPr>
          <w:rFonts w:ascii="Times New Roman" w:eastAsiaTheme="majorEastAsia" w:hAnsi="Times New Roman" w:cs="Times New Roman"/>
          <w:bCs/>
          <w:sz w:val="24"/>
          <w:szCs w:val="24"/>
        </w:rPr>
        <w:t xml:space="preserve">emergency </w:t>
      </w:r>
      <w:r w:rsidRPr="008361FE">
        <w:rPr>
          <w:rFonts w:ascii="Times New Roman" w:eastAsiaTheme="majorEastAsia" w:hAnsi="Times New Roman" w:cs="Times New Roman"/>
          <w:bCs/>
          <w:sz w:val="24"/>
          <w:szCs w:val="24"/>
        </w:rPr>
        <w:t>C</w:t>
      </w:r>
      <w:r w:rsidR="00C93A9E">
        <w:rPr>
          <w:rFonts w:ascii="Times New Roman" w:eastAsiaTheme="majorEastAsia" w:hAnsi="Times New Roman" w:cs="Times New Roman"/>
          <w:bCs/>
          <w:sz w:val="24"/>
          <w:szCs w:val="24"/>
        </w:rPr>
        <w:t>S</w:t>
      </w:r>
      <w:r w:rsidRPr="008361FE">
        <w:rPr>
          <w:rFonts w:ascii="Times New Roman" w:eastAsiaTheme="majorEastAsia" w:hAnsi="Times New Roman" w:cs="Times New Roman"/>
          <w:bCs/>
          <w:sz w:val="24"/>
          <w:szCs w:val="24"/>
        </w:rPr>
        <w:t xml:space="preserve"> (RR=1.57, 95%; 1.21-2.04). Maternal assessment of </w:t>
      </w:r>
      <w:r>
        <w:rPr>
          <w:rFonts w:ascii="Times New Roman" w:eastAsiaTheme="majorEastAsia" w:hAnsi="Times New Roman" w:cs="Times New Roman"/>
          <w:bCs/>
          <w:sz w:val="24"/>
          <w:szCs w:val="24"/>
        </w:rPr>
        <w:t xml:space="preserve">any </w:t>
      </w:r>
      <w:r w:rsidRPr="008361FE">
        <w:rPr>
          <w:rFonts w:ascii="Times New Roman" w:eastAsiaTheme="majorEastAsia" w:hAnsi="Times New Roman" w:cs="Times New Roman"/>
          <w:bCs/>
          <w:sz w:val="24"/>
          <w:szCs w:val="24"/>
        </w:rPr>
        <w:t>poor health was not predictive of hospital admission in the two years after childbirth. Economically vulnerable women (primary education, low SES) were more likely to report being unwell than women with higher levels of education and SES.  Mode of childbirth was not associated with being unwell but correlated with admission for elective (RR 1.48, 95% CI: 1.21-1.81) and emergency C</w:t>
      </w:r>
      <w:r w:rsidR="002F0DB6">
        <w:rPr>
          <w:rFonts w:ascii="Times New Roman" w:eastAsiaTheme="majorEastAsia" w:hAnsi="Times New Roman" w:cs="Times New Roman"/>
          <w:bCs/>
          <w:sz w:val="24"/>
          <w:szCs w:val="24"/>
        </w:rPr>
        <w:t>S</w:t>
      </w:r>
      <w:r w:rsidRPr="008361FE">
        <w:rPr>
          <w:rFonts w:ascii="Times New Roman" w:eastAsiaTheme="majorEastAsia" w:hAnsi="Times New Roman" w:cs="Times New Roman"/>
          <w:bCs/>
          <w:sz w:val="24"/>
          <w:szCs w:val="24"/>
        </w:rPr>
        <w:t xml:space="preserve"> (RR 1.57, 95% CI: 1.21-2.04)</w:t>
      </w:r>
      <w:r w:rsidR="00C93A9E">
        <w:rPr>
          <w:rFonts w:ascii="Times New Roman" w:eastAsiaTheme="majorEastAsia" w:hAnsi="Times New Roman" w:cs="Times New Roman"/>
          <w:bCs/>
          <w:sz w:val="24"/>
          <w:szCs w:val="24"/>
        </w:rPr>
        <w:t>. Women reporting chronic illness</w:t>
      </w:r>
      <w:r w:rsidR="004E354B">
        <w:rPr>
          <w:rFonts w:ascii="Times New Roman" w:eastAsiaTheme="majorEastAsia" w:hAnsi="Times New Roman" w:cs="Times New Roman"/>
          <w:bCs/>
          <w:sz w:val="24"/>
          <w:szCs w:val="24"/>
        </w:rPr>
        <w:t xml:space="preserve"> </w:t>
      </w:r>
      <w:r w:rsidRPr="008361FE">
        <w:rPr>
          <w:rFonts w:ascii="Times New Roman" w:eastAsiaTheme="majorEastAsia" w:hAnsi="Times New Roman" w:cs="Times New Roman"/>
          <w:bCs/>
          <w:sz w:val="24"/>
          <w:szCs w:val="24"/>
        </w:rPr>
        <w:t xml:space="preserve">were more likely to be delivered by elective </w:t>
      </w:r>
      <w:r w:rsidR="002F0DB6">
        <w:rPr>
          <w:rFonts w:ascii="Times New Roman" w:eastAsiaTheme="majorEastAsia" w:hAnsi="Times New Roman" w:cs="Times New Roman"/>
          <w:bCs/>
          <w:sz w:val="24"/>
          <w:szCs w:val="24"/>
        </w:rPr>
        <w:t xml:space="preserve">CS </w:t>
      </w:r>
      <w:r w:rsidRPr="008361FE">
        <w:rPr>
          <w:rFonts w:ascii="Times New Roman" w:eastAsiaTheme="majorEastAsia" w:hAnsi="Times New Roman" w:cs="Times New Roman"/>
          <w:bCs/>
          <w:sz w:val="24"/>
          <w:szCs w:val="24"/>
        </w:rPr>
        <w:t xml:space="preserve">(RR 1.44, 95% CI: 1.20-1.73).  </w:t>
      </w:r>
      <w:r w:rsidRPr="008361FE">
        <w:rPr>
          <w:rFonts w:ascii="Times New Roman" w:hAnsi="Times New Roman" w:cs="Times New Roman"/>
          <w:sz w:val="24"/>
          <w:szCs w:val="24"/>
        </w:rPr>
        <w:t>At 9-12 and 18-22 months after childbirth, 24.0% and 20.6% of women reported ongoing chronic illness</w:t>
      </w:r>
      <w:r w:rsidR="00C93A9E">
        <w:rPr>
          <w:rFonts w:ascii="Times New Roman" w:hAnsi="Times New Roman" w:cs="Times New Roman"/>
          <w:sz w:val="24"/>
          <w:szCs w:val="24"/>
        </w:rPr>
        <w:t xml:space="preserve">, which </w:t>
      </w:r>
      <w:r w:rsidRPr="008361FE">
        <w:rPr>
          <w:rFonts w:ascii="Times New Roman" w:eastAsiaTheme="majorEastAsia" w:hAnsi="Times New Roman" w:cs="Times New Roman"/>
          <w:bCs/>
          <w:sz w:val="24"/>
          <w:szCs w:val="24"/>
        </w:rPr>
        <w:t>was</w:t>
      </w:r>
      <w:r w:rsidR="004E354B">
        <w:rPr>
          <w:rFonts w:ascii="Times New Roman" w:eastAsiaTheme="majorEastAsia" w:hAnsi="Times New Roman" w:cs="Times New Roman"/>
          <w:bCs/>
          <w:sz w:val="24"/>
          <w:szCs w:val="24"/>
        </w:rPr>
        <w:t xml:space="preserve"> </w:t>
      </w:r>
      <w:r w:rsidRPr="008361FE">
        <w:rPr>
          <w:rFonts w:ascii="Times New Roman" w:eastAsiaTheme="majorEastAsia" w:hAnsi="Times New Roman" w:cs="Times New Roman"/>
          <w:bCs/>
          <w:sz w:val="24"/>
          <w:szCs w:val="24"/>
        </w:rPr>
        <w:t>more likely with an increase in age (RR=2.01 95% CI: 1.41-2.86) and parity</w:t>
      </w:r>
      <w:r w:rsidRPr="008361FE">
        <w:rPr>
          <w:rFonts w:ascii="Times New Roman" w:hAnsi="Times New Roman" w:cs="Times New Roman"/>
          <w:sz w:val="24"/>
          <w:szCs w:val="24"/>
        </w:rPr>
        <w:t xml:space="preserve"> (</w:t>
      </w:r>
      <w:r w:rsidRPr="008361FE">
        <w:rPr>
          <w:rFonts w:ascii="Times New Roman" w:eastAsiaTheme="majorEastAsia" w:hAnsi="Times New Roman" w:cs="Times New Roman"/>
          <w:bCs/>
          <w:sz w:val="24"/>
          <w:szCs w:val="24"/>
        </w:rPr>
        <w:t>RR=1.49, 95% CI: 1.09-2.04).  Ill-health</w:t>
      </w:r>
      <w:r w:rsidRPr="008361FE">
        <w:rPr>
          <w:rFonts w:ascii="Times New Roman" w:hAnsi="Times New Roman" w:cs="Times New Roman"/>
          <w:sz w:val="24"/>
          <w:szCs w:val="24"/>
        </w:rPr>
        <w:t xml:space="preserve"> </w:t>
      </w:r>
      <w:r w:rsidR="00C93A9E">
        <w:rPr>
          <w:rFonts w:ascii="Times New Roman" w:hAnsi="Times New Roman" w:cs="Times New Roman"/>
          <w:sz w:val="24"/>
          <w:szCs w:val="24"/>
        </w:rPr>
        <w:t>at any time was associated with</w:t>
      </w:r>
      <w:r w:rsidR="00C93A9E" w:rsidRPr="008361FE">
        <w:rPr>
          <w:rFonts w:ascii="Times New Roman" w:hAnsi="Times New Roman" w:cs="Times New Roman"/>
          <w:sz w:val="24"/>
          <w:szCs w:val="24"/>
        </w:rPr>
        <w:t xml:space="preserve"> chronic illne</w:t>
      </w:r>
      <w:r w:rsidR="00C93A9E">
        <w:rPr>
          <w:rFonts w:ascii="Times New Roman" w:hAnsi="Times New Roman" w:cs="Times New Roman"/>
          <w:sz w:val="24"/>
          <w:szCs w:val="24"/>
        </w:rPr>
        <w:t>ss (RR=2.15, 95% CI:1.81-2.57); and admissions</w:t>
      </w:r>
      <w:r w:rsidRPr="008361FE">
        <w:rPr>
          <w:rFonts w:ascii="Times New Roman" w:hAnsi="Times New Roman" w:cs="Times New Roman"/>
          <w:sz w:val="24"/>
          <w:szCs w:val="24"/>
        </w:rPr>
        <w:t xml:space="preserve"> antenatally (RR=1.38, 95% CI: 1.14-1.66), during the first 12 months (RR=1.54, 95% CI:1.15-2.05) and between 12</w:t>
      </w:r>
      <w:r w:rsidR="00C93A9E">
        <w:rPr>
          <w:rFonts w:ascii="Times New Roman" w:hAnsi="Times New Roman" w:cs="Times New Roman"/>
          <w:sz w:val="24"/>
          <w:szCs w:val="24"/>
        </w:rPr>
        <w:t>-</w:t>
      </w:r>
      <w:r w:rsidRPr="008361FE">
        <w:rPr>
          <w:rFonts w:ascii="Times New Roman" w:hAnsi="Times New Roman" w:cs="Times New Roman"/>
          <w:sz w:val="24"/>
          <w:szCs w:val="24"/>
        </w:rPr>
        <w:t>22 months (RR=1.82, 95% CI: 1.30-2.54). In multivariable analyses, ill-health was more likely with chronic illness (RR=2.06, 95% CI: 1.71-2.48) and hospital admission from one year to 22 months after birth (RR=1.54, 95% CI: 1.12-2.12) (</w:t>
      </w:r>
      <w:r w:rsidRPr="008361FE">
        <w:rPr>
          <w:rFonts w:ascii="Times New Roman" w:hAnsi="Times New Roman" w:cs="Times New Roman"/>
          <w:b/>
          <w:sz w:val="24"/>
          <w:szCs w:val="24"/>
        </w:rPr>
        <w:t>Table 4</w:t>
      </w:r>
      <w:r w:rsidRPr="008361FE">
        <w:rPr>
          <w:rFonts w:ascii="Times New Roman" w:hAnsi="Times New Roman" w:cs="Times New Roman"/>
          <w:sz w:val="24"/>
          <w:szCs w:val="24"/>
        </w:rPr>
        <w:t xml:space="preserve">). </w:t>
      </w:r>
    </w:p>
    <w:p w14:paraId="1CE7A7D7" w14:textId="77777777" w:rsidR="005507E7" w:rsidRPr="008361FE" w:rsidRDefault="005507E7" w:rsidP="005507E7">
      <w:pPr>
        <w:pStyle w:val="Heading3"/>
        <w:spacing w:before="0" w:line="480" w:lineRule="auto"/>
        <w:rPr>
          <w:rFonts w:cs="Times New Roman"/>
        </w:rPr>
      </w:pPr>
      <w:r w:rsidRPr="00E36622">
        <w:rPr>
          <w:rFonts w:cs="Times New Roman"/>
          <w:b/>
          <w:i w:val="0"/>
        </w:rPr>
        <w:t>Discussion</w:t>
      </w:r>
      <w:r w:rsidRPr="008361FE">
        <w:rPr>
          <w:rFonts w:cs="Times New Roman"/>
        </w:rPr>
        <w:t xml:space="preserve"> </w:t>
      </w:r>
    </w:p>
    <w:p w14:paraId="7E1EA7F6" w14:textId="77777777" w:rsidR="005507E7" w:rsidRPr="008361FE" w:rsidRDefault="005507E7" w:rsidP="005507E7">
      <w:pPr>
        <w:pStyle w:val="Heading3"/>
        <w:spacing w:before="0" w:line="480" w:lineRule="auto"/>
        <w:rPr>
          <w:rFonts w:cs="Times New Roman"/>
        </w:rPr>
      </w:pPr>
      <w:r w:rsidRPr="008361FE">
        <w:rPr>
          <w:rFonts w:cs="Times New Roman"/>
        </w:rPr>
        <w:t>Principal findings</w:t>
      </w:r>
    </w:p>
    <w:p w14:paraId="791E85CB" w14:textId="6DBBEBAF" w:rsidR="005507E7" w:rsidRPr="008361FE" w:rsidRDefault="00C93A9E" w:rsidP="005507E7">
      <w:pPr>
        <w:autoSpaceDE w:val="0"/>
        <w:autoSpaceDN w:val="0"/>
        <w:adjustRightInd w:val="0"/>
        <w:jc w:val="both"/>
      </w:pPr>
      <w:r>
        <w:t>Of the</w:t>
      </w:r>
      <w:r w:rsidR="005507E7" w:rsidRPr="008361FE">
        <w:t xml:space="preserve"> women assessed at four stages during and after pregnancy in Jamaica, at least 10% reported ill-health in at least a</w:t>
      </w:r>
      <w:r>
        <w:t>t one stage, with a minority</w:t>
      </w:r>
      <w:r w:rsidR="005507E7" w:rsidRPr="008361FE">
        <w:t xml:space="preserve"> (3.1%) report</w:t>
      </w:r>
      <w:r w:rsidR="00CF39F3">
        <w:t>ing</w:t>
      </w:r>
      <w:r w:rsidR="005507E7" w:rsidRPr="008361FE">
        <w:t xml:space="preserve"> ill-health at all four stages. Admission was common during pregnancy with one in four women (26.6%) admitted to a hospital</w:t>
      </w:r>
      <w:r w:rsidR="00DA4279">
        <w:t>, two-thirds for</w:t>
      </w:r>
      <w:r w:rsidR="005507E7" w:rsidRPr="008361FE">
        <w:t xml:space="preserve"> problems related to the pregnancy. After childbirth</w:t>
      </w:r>
      <w:r w:rsidR="006F2966">
        <w:t>,</w:t>
      </w:r>
      <w:r w:rsidR="005507E7" w:rsidRPr="008361FE">
        <w:t xml:space="preserve"> </w:t>
      </w:r>
      <w:r>
        <w:t>hospital admission rates d</w:t>
      </w:r>
      <w:r w:rsidR="005507E7" w:rsidRPr="008361FE">
        <w:t>ecreased</w:t>
      </w:r>
      <w:r>
        <w:t xml:space="preserve"> to </w:t>
      </w:r>
      <w:r w:rsidR="005507E7" w:rsidRPr="008361FE">
        <w:t>6.1% in the first and 0.8% in the second year after childbirth. Overall, one in three women reported a chronic health condition (33.7%), mainly essential hypertension, asthma and diabetes mellitus, with the risk increasing with age.</w:t>
      </w:r>
    </w:p>
    <w:p w14:paraId="4868035E" w14:textId="77777777" w:rsidR="005507E7" w:rsidRPr="008361FE" w:rsidRDefault="005507E7" w:rsidP="005507E7">
      <w:pPr>
        <w:pStyle w:val="Heading3"/>
        <w:spacing w:before="0" w:line="480" w:lineRule="auto"/>
        <w:rPr>
          <w:rFonts w:cs="Times New Roman"/>
        </w:rPr>
      </w:pPr>
      <w:r w:rsidRPr="008361FE">
        <w:rPr>
          <w:rFonts w:cs="Times New Roman"/>
        </w:rPr>
        <w:t>Strengths and weaknesses</w:t>
      </w:r>
    </w:p>
    <w:p w14:paraId="784A6402" w14:textId="7785F606" w:rsidR="00085DCA" w:rsidRDefault="005507E7" w:rsidP="005507E7">
      <w:pPr>
        <w:autoSpaceDE w:val="0"/>
        <w:autoSpaceDN w:val="0"/>
        <w:adjustRightInd w:val="0"/>
        <w:jc w:val="both"/>
      </w:pPr>
      <w:r w:rsidRPr="008361FE">
        <w:t xml:space="preserve">To the best of our knowledge, this is the first study in a LMIC to </w:t>
      </w:r>
      <w:r w:rsidRPr="008361FE">
        <w:rPr>
          <w:spacing w:val="-2"/>
        </w:rPr>
        <w:t xml:space="preserve">explore women’s self-assessed health, beginning </w:t>
      </w:r>
      <w:r w:rsidR="00C93A9E">
        <w:rPr>
          <w:spacing w:val="-2"/>
        </w:rPr>
        <w:t>with</w:t>
      </w:r>
      <w:r w:rsidRPr="008361FE">
        <w:rPr>
          <w:spacing w:val="-2"/>
        </w:rPr>
        <w:t xml:space="preserve"> pregnancy and </w:t>
      </w:r>
      <w:r w:rsidR="00C93A9E">
        <w:rPr>
          <w:spacing w:val="-2"/>
        </w:rPr>
        <w:t xml:space="preserve">continuing </w:t>
      </w:r>
      <w:r w:rsidRPr="008361FE">
        <w:rPr>
          <w:spacing w:val="-2"/>
        </w:rPr>
        <w:t>up to 22 months after childbirth, and explore associated factors</w:t>
      </w:r>
      <w:r w:rsidR="00C93A9E">
        <w:rPr>
          <w:spacing w:val="-2"/>
        </w:rPr>
        <w:t xml:space="preserve"> such as</w:t>
      </w:r>
      <w:r w:rsidRPr="008361FE">
        <w:rPr>
          <w:spacing w:val="-2"/>
        </w:rPr>
        <w:t xml:space="preserve"> hospital admission and presence of chronic illness. Women included in this study were compared with women in the larger JA K</w:t>
      </w:r>
      <w:r w:rsidR="00C93A9E">
        <w:rPr>
          <w:spacing w:val="-2"/>
        </w:rPr>
        <w:t>IDS</w:t>
      </w:r>
      <w:r w:rsidRPr="008361FE">
        <w:rPr>
          <w:spacing w:val="-2"/>
        </w:rPr>
        <w:t xml:space="preserve"> study and there were little differences in the study populations, suggesting </w:t>
      </w:r>
      <w:r w:rsidRPr="008361FE">
        <w:t xml:space="preserve">the findings are generalizable to the Jamaican population.  This </w:t>
      </w:r>
      <w:r w:rsidR="00CF39F3">
        <w:t>paper</w:t>
      </w:r>
      <w:r w:rsidRPr="008361FE">
        <w:t xml:space="preserve"> </w:t>
      </w:r>
      <w:r w:rsidRPr="008361FE">
        <w:rPr>
          <w:spacing w:val="-2"/>
        </w:rPr>
        <w:t>only included women with a live singleton birth</w:t>
      </w:r>
      <w:r w:rsidR="00596A0A">
        <w:rPr>
          <w:spacing w:val="-2"/>
        </w:rPr>
        <w:t xml:space="preserve"> and </w:t>
      </w:r>
      <w:r w:rsidRPr="008361FE">
        <w:rPr>
          <w:spacing w:val="-2"/>
        </w:rPr>
        <w:t xml:space="preserve">may underestimate ill-health associated with stillbirth or multiple pregnancies. </w:t>
      </w:r>
      <w:r w:rsidR="00C91AFE">
        <w:t xml:space="preserve">This study focussed on women who were assessed at all four assessment contacts and </w:t>
      </w:r>
      <w:r w:rsidR="00AD2411" w:rsidRPr="008361FE">
        <w:rPr>
          <w:spacing w:val="-2"/>
        </w:rPr>
        <w:t>may underestimate ill-health</w:t>
      </w:r>
      <w:r w:rsidR="00596A0A">
        <w:rPr>
          <w:spacing w:val="-2"/>
        </w:rPr>
        <w:t>,</w:t>
      </w:r>
      <w:r w:rsidR="00AD2411" w:rsidRPr="008361FE">
        <w:rPr>
          <w:spacing w:val="-2"/>
        </w:rPr>
        <w:t xml:space="preserve"> </w:t>
      </w:r>
      <w:r w:rsidR="00157166">
        <w:rPr>
          <w:spacing w:val="-2"/>
        </w:rPr>
        <w:t xml:space="preserve">as </w:t>
      </w:r>
      <w:r w:rsidR="00C91AFE">
        <w:t>ill-health at the time of delivery could reduce the likelihood of a woman participating in both follow-up visits</w:t>
      </w:r>
      <w:r w:rsidR="00510031">
        <w:t>. Furthermore, a</w:t>
      </w:r>
      <w:r w:rsidR="00C93A9E">
        <w:t>s</w:t>
      </w:r>
      <w:r w:rsidRPr="008361FE">
        <w:t xml:space="preserve"> JA K</w:t>
      </w:r>
      <w:r w:rsidR="00C93A9E">
        <w:t>IDS</w:t>
      </w:r>
      <w:r w:rsidRPr="008361FE">
        <w:t xml:space="preserve"> excluded women with severe or life-threatening complications around birth, we report only on ill-health or non-severe maternal morbidity.</w:t>
      </w:r>
      <w:r w:rsidR="00EC0396">
        <w:t xml:space="preserve"> </w:t>
      </w:r>
      <w:r w:rsidR="002E0856">
        <w:t>A</w:t>
      </w:r>
      <w:r w:rsidR="002E0856" w:rsidRPr="008361FE">
        <w:rPr>
          <w:lang w:val="en-029"/>
        </w:rPr>
        <w:t xml:space="preserve"> </w:t>
      </w:r>
      <w:r w:rsidR="002E0856">
        <w:t>key strength</w:t>
      </w:r>
      <w:r w:rsidR="002E0856" w:rsidRPr="008361FE">
        <w:t xml:space="preserve"> </w:t>
      </w:r>
      <w:r w:rsidR="00EC0396">
        <w:t xml:space="preserve">of this study </w:t>
      </w:r>
      <w:r w:rsidR="002E0856" w:rsidRPr="008361FE">
        <w:t xml:space="preserve">is the long </w:t>
      </w:r>
      <w:r w:rsidR="002E0856">
        <w:t xml:space="preserve">follow-up </w:t>
      </w:r>
      <w:r w:rsidR="002E0856" w:rsidRPr="008361FE">
        <w:t>period</w:t>
      </w:r>
      <w:r w:rsidR="00C93A9E">
        <w:t xml:space="preserve">, continuing </w:t>
      </w:r>
      <w:r w:rsidR="002E0856" w:rsidRPr="008361FE">
        <w:t xml:space="preserve">to </w:t>
      </w:r>
      <w:r w:rsidR="00BB638A">
        <w:t>18-</w:t>
      </w:r>
      <w:r w:rsidR="002E0856" w:rsidRPr="008361FE">
        <w:t xml:space="preserve">22 months after childbirth. While not every woman recruited at each assessment </w:t>
      </w:r>
      <w:r w:rsidR="00C93A9E">
        <w:t>answered</w:t>
      </w:r>
      <w:r w:rsidR="002E0856" w:rsidRPr="008361FE">
        <w:t xml:space="preserve"> every question and </w:t>
      </w:r>
      <w:r w:rsidR="00C93A9E">
        <w:t>around</w:t>
      </w:r>
      <w:r w:rsidR="002E0856" w:rsidRPr="008361FE">
        <w:t xml:space="preserve"> 20% were not assessed at 9-12 months after childbirth, we report on a core group of 1,311 women evaluated at all stages. This ensures we are observing the health status of the same population of women over time.  </w:t>
      </w:r>
    </w:p>
    <w:p w14:paraId="69EDEF92" w14:textId="34E084A8" w:rsidR="005507E7" w:rsidRPr="008361FE" w:rsidRDefault="005507E7" w:rsidP="00C93A9E">
      <w:pPr>
        <w:autoSpaceDE w:val="0"/>
        <w:autoSpaceDN w:val="0"/>
        <w:adjustRightInd w:val="0"/>
        <w:ind w:firstLine="720"/>
        <w:jc w:val="both"/>
        <w:rPr>
          <w:lang w:val="en-029"/>
        </w:rPr>
      </w:pPr>
      <w:r w:rsidRPr="008361FE">
        <w:t xml:space="preserve">While the assessment of ill-health reported </w:t>
      </w:r>
      <w:r w:rsidRPr="008361FE">
        <w:rPr>
          <w:bCs/>
          <w:lang w:val="en-029"/>
        </w:rPr>
        <w:t xml:space="preserve">by women themselves was not ‘verified’ </w:t>
      </w:r>
      <w:r w:rsidR="00C93A9E">
        <w:rPr>
          <w:bCs/>
          <w:lang w:val="en-029"/>
        </w:rPr>
        <w:t>by</w:t>
      </w:r>
      <w:r w:rsidRPr="008361FE">
        <w:rPr>
          <w:bCs/>
          <w:lang w:val="en-029"/>
        </w:rPr>
        <w:t xml:space="preserve"> medical examination</w:t>
      </w:r>
      <w:r w:rsidR="00C93A9E">
        <w:rPr>
          <w:bCs/>
          <w:lang w:val="en-029"/>
        </w:rPr>
        <w:t>,</w:t>
      </w:r>
      <w:r w:rsidRPr="008361FE">
        <w:rPr>
          <w:bCs/>
          <w:lang w:val="en-029"/>
        </w:rPr>
        <w:t xml:space="preserve"> investigations and/or analyses of medical records, our prevalence rate of 10-11% is like findings from other developed and LMIC settings which range from 4% to </w:t>
      </w:r>
      <w:r>
        <w:rPr>
          <w:bCs/>
          <w:lang w:val="en-029"/>
        </w:rPr>
        <w:t>15% (Zafar et al, 2015</w:t>
      </w:r>
      <w:r w:rsidRPr="008361FE">
        <w:rPr>
          <w:bCs/>
          <w:lang w:val="en-029"/>
        </w:rPr>
        <w:t>,</w:t>
      </w:r>
      <w:r w:rsidRPr="00D32E98">
        <w:rPr>
          <w:rStyle w:val="ff5"/>
          <w:b/>
          <w:shd w:val="clear" w:color="auto" w:fill="D9D9D9" w:themeFill="background1" w:themeFillShade="D9"/>
        </w:rPr>
        <w:t xml:space="preserve"> </w:t>
      </w:r>
      <w:r w:rsidRPr="00A94A5E">
        <w:rPr>
          <w:rStyle w:val="ff5"/>
          <w:shd w:val="clear" w:color="auto" w:fill="D9D9D9" w:themeFill="background1" w:themeFillShade="D9"/>
        </w:rPr>
        <w:t>Morgan &amp; Eastwood, 2014</w:t>
      </w:r>
      <w:r>
        <w:rPr>
          <w:rStyle w:val="ff5"/>
          <w:shd w:val="clear" w:color="auto" w:fill="D9D9D9" w:themeFill="background1" w:themeFillShade="D9"/>
        </w:rPr>
        <w:t>)</w:t>
      </w:r>
      <w:r w:rsidRPr="008361FE">
        <w:rPr>
          <w:bCs/>
          <w:lang w:val="en-029"/>
        </w:rPr>
        <w:t xml:space="preserve">. </w:t>
      </w:r>
      <w:r w:rsidRPr="008361FE">
        <w:rPr>
          <w:bCs/>
          <w:vertAlign w:val="superscript"/>
          <w:lang w:val="en-029"/>
        </w:rPr>
        <w:t xml:space="preserve"> </w:t>
      </w:r>
      <w:r w:rsidRPr="008361FE">
        <w:rPr>
          <w:bCs/>
          <w:lang w:val="en-029"/>
        </w:rPr>
        <w:t>Self-reported perception or experience of health has been associated with objective clinical measures of morbidity, after controlling for a variety of physical, socio-demographic and psycho-social</w:t>
      </w:r>
      <w:r w:rsidR="00C93A9E">
        <w:rPr>
          <w:bCs/>
          <w:lang w:val="en-029"/>
        </w:rPr>
        <w:t xml:space="preserve"> health</w:t>
      </w:r>
      <w:r w:rsidRPr="008361FE">
        <w:rPr>
          <w:bCs/>
          <w:lang w:val="en-029"/>
        </w:rPr>
        <w:t xml:space="preserve"> indices</w:t>
      </w:r>
      <w:r>
        <w:rPr>
          <w:bCs/>
          <w:lang w:val="en-029"/>
        </w:rPr>
        <w:t xml:space="preserve"> (</w:t>
      </w:r>
      <w:r w:rsidRPr="00D32E98">
        <w:rPr>
          <w:bCs/>
          <w:shd w:val="clear" w:color="auto" w:fill="D9D9D9" w:themeFill="background1" w:themeFillShade="D9"/>
          <w:lang w:val="en-029"/>
        </w:rPr>
        <w:t>Eriksson, et</w:t>
      </w:r>
      <w:r>
        <w:rPr>
          <w:bCs/>
          <w:shd w:val="clear" w:color="auto" w:fill="D9D9D9" w:themeFill="background1" w:themeFillShade="D9"/>
          <w:lang w:val="en-029"/>
        </w:rPr>
        <w:t>.</w:t>
      </w:r>
      <w:r w:rsidRPr="00D32E98">
        <w:rPr>
          <w:bCs/>
          <w:shd w:val="clear" w:color="auto" w:fill="D9D9D9" w:themeFill="background1" w:themeFillShade="D9"/>
          <w:lang w:val="en-029"/>
        </w:rPr>
        <w:t xml:space="preserve"> al., 2001</w:t>
      </w:r>
      <w:r>
        <w:rPr>
          <w:bCs/>
          <w:lang w:val="en-029"/>
        </w:rPr>
        <w:t>)</w:t>
      </w:r>
      <w:r w:rsidRPr="008361FE">
        <w:rPr>
          <w:bCs/>
          <w:lang w:val="en-029"/>
        </w:rPr>
        <w:t>. Furthermore, women’s own experience and reporting of ill-health or non-wellbeing is increasingly being accep</w:t>
      </w:r>
      <w:r>
        <w:rPr>
          <w:bCs/>
          <w:lang w:val="en-029"/>
        </w:rPr>
        <w:t>ted as a valid outcome measure (</w:t>
      </w:r>
      <w:r w:rsidRPr="00D32E98">
        <w:rPr>
          <w:bCs/>
          <w:shd w:val="clear" w:color="auto" w:fill="D9D9D9" w:themeFill="background1" w:themeFillShade="D9"/>
          <w:lang w:val="en-029"/>
        </w:rPr>
        <w:t xml:space="preserve">Zafar et al, 2015; </w:t>
      </w:r>
      <w:r w:rsidR="00EA5E2C">
        <w:rPr>
          <w:bCs/>
          <w:shd w:val="clear" w:color="auto" w:fill="D9D9D9" w:themeFill="background1" w:themeFillShade="D9"/>
          <w:lang w:val="en-029"/>
        </w:rPr>
        <w:t xml:space="preserve">McCauley et al, 2018; </w:t>
      </w:r>
      <w:proofErr w:type="spellStart"/>
      <w:r w:rsidRPr="00D32E98">
        <w:rPr>
          <w:bCs/>
          <w:shd w:val="clear" w:color="auto" w:fill="D9D9D9" w:themeFill="background1" w:themeFillShade="D9"/>
          <w:lang w:val="en-029"/>
        </w:rPr>
        <w:t>Barreix</w:t>
      </w:r>
      <w:proofErr w:type="spellEnd"/>
      <w:r w:rsidRPr="00D32E98">
        <w:rPr>
          <w:bCs/>
          <w:shd w:val="clear" w:color="auto" w:fill="D9D9D9" w:themeFill="background1" w:themeFillShade="D9"/>
          <w:lang w:val="en-029"/>
        </w:rPr>
        <w:t>, et al, 2018</w:t>
      </w:r>
      <w:r>
        <w:rPr>
          <w:bCs/>
          <w:lang w:val="en-029"/>
        </w:rPr>
        <w:t>)</w:t>
      </w:r>
      <w:r w:rsidRPr="008361FE">
        <w:rPr>
          <w:bCs/>
          <w:lang w:val="en-029"/>
        </w:rPr>
        <w:t>.</w:t>
      </w:r>
    </w:p>
    <w:p w14:paraId="7D726624" w14:textId="04DF5C90" w:rsidR="002E0856" w:rsidRDefault="005507E7" w:rsidP="00C93A9E">
      <w:pPr>
        <w:autoSpaceDE w:val="0"/>
        <w:autoSpaceDN w:val="0"/>
        <w:adjustRightInd w:val="0"/>
        <w:ind w:firstLine="720"/>
        <w:jc w:val="both"/>
      </w:pPr>
      <w:r w:rsidRPr="008361FE">
        <w:t>A critical limitation of the lack of clinical examination</w:t>
      </w:r>
      <w:r w:rsidR="00C93A9E">
        <w:t xml:space="preserve"> (e.g. height, weight)</w:t>
      </w:r>
      <w:r w:rsidRPr="008361FE">
        <w:t xml:space="preserve"> was the</w:t>
      </w:r>
      <w:r w:rsidR="00C93A9E">
        <w:t xml:space="preserve"> inability to</w:t>
      </w:r>
      <w:r w:rsidRPr="008361FE">
        <w:t xml:space="preserve"> measure the contribution of obesity or possible malnutrition to maternal morbidity. A 2008 </w:t>
      </w:r>
      <w:r w:rsidR="00C93A9E">
        <w:t>national</w:t>
      </w:r>
      <w:r w:rsidRPr="008361FE">
        <w:t xml:space="preserve"> survey </w:t>
      </w:r>
      <w:r w:rsidR="00C93A9E">
        <w:t>found</w:t>
      </w:r>
      <w:r w:rsidRPr="008361FE">
        <w:t xml:space="preserve"> that 16.5%, 37.7% and 50.5% of </w:t>
      </w:r>
      <w:r w:rsidR="00C93A9E">
        <w:t xml:space="preserve">non-pregnant </w:t>
      </w:r>
      <w:r w:rsidRPr="008361FE">
        <w:t>Jamaican women 15-24, 25-34 and 35-44 years of age were obese. Underweight was found in 12.6% of 15-24-year old</w:t>
      </w:r>
      <w:r>
        <w:t>s but only 2.4% of older women (Wilks, et. al., 2012)</w:t>
      </w:r>
      <w:r w:rsidRPr="008361FE">
        <w:t>.</w:t>
      </w:r>
      <w:r w:rsidR="002E0856">
        <w:t xml:space="preserve"> </w:t>
      </w:r>
      <w:r w:rsidRPr="008361FE">
        <w:t xml:space="preserve">As the study was not designed to explore perinatal outcome, women with an adverse infant outcome were excluded, restricting our capacity to evaluate the relationship between maternal ill-health and perinatal loss.  </w:t>
      </w:r>
    </w:p>
    <w:p w14:paraId="043EC434" w14:textId="4C885836" w:rsidR="005507E7" w:rsidRPr="008361FE" w:rsidRDefault="005507E7" w:rsidP="00C93A9E">
      <w:pPr>
        <w:autoSpaceDE w:val="0"/>
        <w:autoSpaceDN w:val="0"/>
        <w:adjustRightInd w:val="0"/>
        <w:ind w:firstLine="720"/>
        <w:jc w:val="both"/>
      </w:pPr>
      <w:r w:rsidRPr="008361FE">
        <w:t>We included women who had given birt</w:t>
      </w:r>
      <w:r w:rsidR="00C93A9E">
        <w:t>h within 48 hours. We recognise</w:t>
      </w:r>
      <w:r w:rsidRPr="008361FE">
        <w:t xml:space="preserve"> that data collected at this time regarding complications duri</w:t>
      </w:r>
      <w:r w:rsidR="00C93A9E">
        <w:t>ng</w:t>
      </w:r>
      <w:r w:rsidRPr="008361FE">
        <w:t xml:space="preserve"> pregnancy and self-reporting of health may not be very reliable and biased. For example, </w:t>
      </w:r>
      <w:r w:rsidR="00C93A9E">
        <w:t>women who have just had a</w:t>
      </w:r>
      <w:r w:rsidRPr="008361FE">
        <w:t xml:space="preserve"> straightforward vaginal birth may be very happy and may under-report their other</w:t>
      </w:r>
      <w:r w:rsidR="00C93A9E">
        <w:t xml:space="preserve"> problems; whereas women who</w:t>
      </w:r>
      <w:r w:rsidRPr="008361FE">
        <w:t xml:space="preserve"> just had a difficult complication of labour and delivery (although a small component) may overstate the situation.   In future studies, it may be considered not to collect </w:t>
      </w:r>
      <w:r w:rsidR="00C93A9E">
        <w:t>such data</w:t>
      </w:r>
      <w:r w:rsidRPr="008361FE">
        <w:t xml:space="preserve"> at this stage, as maternal morbidity that arises because of the pregnancy and persists as a health problem could be better screened for during and after pregnancy. </w:t>
      </w:r>
    </w:p>
    <w:p w14:paraId="66DD338E" w14:textId="76FBE866" w:rsidR="005507E7" w:rsidRPr="008361FE" w:rsidRDefault="005507E7" w:rsidP="00C93A9E">
      <w:pPr>
        <w:autoSpaceDE w:val="0"/>
        <w:autoSpaceDN w:val="0"/>
        <w:adjustRightInd w:val="0"/>
        <w:ind w:firstLine="720"/>
        <w:jc w:val="both"/>
      </w:pPr>
      <w:r w:rsidRPr="008361FE">
        <w:t xml:space="preserve">In our study, some antenatal conditions may be misclassified; for example, vomiting could be classified as an obstetric complication due to hyperemesis or </w:t>
      </w:r>
      <w:r w:rsidR="00C93A9E">
        <w:t xml:space="preserve">as </w:t>
      </w:r>
      <w:r w:rsidRPr="008361FE">
        <w:t xml:space="preserve">vomiting secondary due </w:t>
      </w:r>
      <w:r w:rsidR="00C93A9E">
        <w:t>to gastroenteritis and</w:t>
      </w:r>
      <w:r w:rsidRPr="008361FE">
        <w:t xml:space="preserve"> class</w:t>
      </w:r>
      <w:r w:rsidR="00C93A9E">
        <w:t>ified as a non-obstetric</w:t>
      </w:r>
      <w:r w:rsidRPr="008361FE">
        <w:t xml:space="preserve"> complication. Furthermore, the data collection process did not distinguish between conditions diagnosed prior to pregnancy from those only identified during or since the index birth.</w:t>
      </w:r>
      <w:r w:rsidR="00CF39F3">
        <w:t xml:space="preserve">  This distinction may be difficult to make in many LMICs however as pre-existing conditions may only get diagnosed when women who consider themselves healthy interact with the health services for the first time during pregnancy. </w:t>
      </w:r>
    </w:p>
    <w:p w14:paraId="12B79BCA" w14:textId="755802D6" w:rsidR="005507E7" w:rsidRPr="008361FE" w:rsidRDefault="005507E7" w:rsidP="00712051">
      <w:pPr>
        <w:autoSpaceDE w:val="0"/>
        <w:autoSpaceDN w:val="0"/>
        <w:adjustRightInd w:val="0"/>
        <w:ind w:firstLine="720"/>
        <w:jc w:val="both"/>
      </w:pPr>
      <w:r w:rsidRPr="008361FE">
        <w:t>At the time of writing, there was no internationally agreed framework to classify and code medical conditions that contribute to non-severe maternal morbidity. W</w:t>
      </w:r>
      <w:r w:rsidR="00C93A9E">
        <w:t>hile</w:t>
      </w:r>
      <w:r w:rsidRPr="008361FE">
        <w:t xml:space="preserve"> ada</w:t>
      </w:r>
      <w:r>
        <w:t>pting the WHO ICD-MM framework (W.H.O., 2012)</w:t>
      </w:r>
      <w:r w:rsidRPr="008361FE">
        <w:t xml:space="preserve"> to maternal morbidity </w:t>
      </w:r>
      <w:r w:rsidR="00C93A9E">
        <w:t xml:space="preserve">was </w:t>
      </w:r>
      <w:r w:rsidRPr="008361FE">
        <w:t xml:space="preserve">appropriate and feasible, we recognize that the prevalence of some conditions (e.g. threatened preterm labour) differs remarkably from the </w:t>
      </w:r>
      <w:r w:rsidR="006850CF">
        <w:t xml:space="preserve">major causes of maternal death, </w:t>
      </w:r>
      <w:r w:rsidRPr="008361FE">
        <w:t xml:space="preserve">and may require expanding the “other obstetric complications” category further. Use of this adapted version of the WHO ICD-MM framework to maternal morbidities needs to be explored in further studies to enable realistic comparisons to be made.  </w:t>
      </w:r>
    </w:p>
    <w:p w14:paraId="28E04623" w14:textId="77777777" w:rsidR="005507E7" w:rsidRPr="008361FE" w:rsidRDefault="005507E7" w:rsidP="005507E7">
      <w:pPr>
        <w:pStyle w:val="Heading3"/>
        <w:spacing w:before="0" w:line="480" w:lineRule="auto"/>
        <w:rPr>
          <w:rFonts w:cs="Times New Roman"/>
        </w:rPr>
      </w:pPr>
      <w:r w:rsidRPr="008361FE">
        <w:rPr>
          <w:rFonts w:cs="Times New Roman"/>
        </w:rPr>
        <w:t>Meaning of the study</w:t>
      </w:r>
    </w:p>
    <w:p w14:paraId="3EEF7792" w14:textId="124F0CE4" w:rsidR="005507E7" w:rsidRPr="008361FE" w:rsidRDefault="005507E7" w:rsidP="005507E7">
      <w:pPr>
        <w:autoSpaceDE w:val="0"/>
        <w:autoSpaceDN w:val="0"/>
        <w:adjustRightInd w:val="0"/>
        <w:jc w:val="both"/>
      </w:pPr>
      <w:r w:rsidRPr="008361FE">
        <w:t>In our study 31.0% of women require hospitalisation at least once during or after pregnancy.  Our admission rate during pregnancy</w:t>
      </w:r>
      <w:r w:rsidRPr="00172889">
        <w:rPr>
          <w:color w:val="000000"/>
        </w:rPr>
        <w:t xml:space="preserve"> </w:t>
      </w:r>
      <w:r w:rsidR="00CF39F3">
        <w:t>(20.9%)</w:t>
      </w:r>
      <w:r w:rsidRPr="008361FE">
        <w:rPr>
          <w:color w:val="000000"/>
        </w:rPr>
        <w:t xml:space="preserve"> is </w:t>
      </w:r>
      <w:r w:rsidR="00CF39F3">
        <w:rPr>
          <w:color w:val="000000"/>
        </w:rPr>
        <w:t>less than</w:t>
      </w:r>
      <w:r w:rsidRPr="008361FE">
        <w:rPr>
          <w:color w:val="000000"/>
        </w:rPr>
        <w:t xml:space="preserve"> that for teenage girls (26.5%) and women aged 20 years or more (31.1%) from a previous study of</w:t>
      </w:r>
      <w:r>
        <w:t xml:space="preserve"> </w:t>
      </w:r>
      <w:r w:rsidR="00C93A9E">
        <w:t xml:space="preserve">Jamaican </w:t>
      </w:r>
      <w:r>
        <w:t>women (</w:t>
      </w:r>
      <w:r w:rsidRPr="00B90116">
        <w:rPr>
          <w:shd w:val="clear" w:color="auto" w:fill="D9D9D9" w:themeFill="background1" w:themeFillShade="D9"/>
        </w:rPr>
        <w:t>Ashley, et.al., 1994</w:t>
      </w:r>
      <w:r>
        <w:t>)</w:t>
      </w:r>
      <w:r w:rsidRPr="008361FE">
        <w:t xml:space="preserve">. </w:t>
      </w:r>
      <w:r w:rsidRPr="008361FE">
        <w:rPr>
          <w:color w:val="000000"/>
        </w:rPr>
        <w:t xml:space="preserve">In the USA, the proportion of pregnant women requiring admission was </w:t>
      </w:r>
      <w:r w:rsidRPr="008361FE">
        <w:t xml:space="preserve">12.8% in 2000, a decrease from 17.6% in 1991 </w:t>
      </w:r>
      <w:r>
        <w:t>(</w:t>
      </w:r>
      <w:proofErr w:type="spellStart"/>
      <w:r w:rsidRPr="00B90116">
        <w:rPr>
          <w:shd w:val="clear" w:color="auto" w:fill="D9D9D9" w:themeFill="background1" w:themeFillShade="D9"/>
        </w:rPr>
        <w:t>Bacak</w:t>
      </w:r>
      <w:proofErr w:type="spellEnd"/>
      <w:r w:rsidRPr="00B90116">
        <w:rPr>
          <w:shd w:val="clear" w:color="auto" w:fill="D9D9D9" w:themeFill="background1" w:themeFillShade="D9"/>
        </w:rPr>
        <w:t>, et.al., 2005</w:t>
      </w:r>
      <w:r>
        <w:t>)</w:t>
      </w:r>
      <w:r w:rsidRPr="008361FE">
        <w:t>. In the UK, the proportion of women requiring antenat</w:t>
      </w:r>
      <w:r>
        <w:t>al admission ranges from 16.4-22</w:t>
      </w:r>
      <w:r w:rsidRPr="008361FE">
        <w:t>.6%</w:t>
      </w:r>
      <w:r>
        <w:t xml:space="preserve"> (</w:t>
      </w:r>
      <w:r w:rsidRPr="00B90116">
        <w:rPr>
          <w:shd w:val="clear" w:color="auto" w:fill="D9D9D9" w:themeFill="background1" w:themeFillShade="D9"/>
        </w:rPr>
        <w:t>Sultan, et.al</w:t>
      </w:r>
      <w:r>
        <w:rPr>
          <w:shd w:val="clear" w:color="auto" w:fill="D9D9D9" w:themeFill="background1" w:themeFillShade="D9"/>
        </w:rPr>
        <w:t xml:space="preserve">., </w:t>
      </w:r>
      <w:r w:rsidRPr="00B90116">
        <w:rPr>
          <w:shd w:val="clear" w:color="auto" w:fill="D9D9D9" w:themeFill="background1" w:themeFillShade="D9"/>
        </w:rPr>
        <w:t xml:space="preserve">2013; </w:t>
      </w:r>
      <w:proofErr w:type="spellStart"/>
      <w:r w:rsidRPr="00B90116">
        <w:rPr>
          <w:shd w:val="clear" w:color="auto" w:fill="D9D9D9" w:themeFill="background1" w:themeFillShade="D9"/>
        </w:rPr>
        <w:t>Lindquest</w:t>
      </w:r>
      <w:proofErr w:type="spellEnd"/>
      <w:r w:rsidRPr="00B90116">
        <w:rPr>
          <w:shd w:val="clear" w:color="auto" w:fill="D9D9D9" w:themeFill="background1" w:themeFillShade="D9"/>
        </w:rPr>
        <w:t>, et. al., 2014</w:t>
      </w:r>
      <w:r>
        <w:t>)</w:t>
      </w:r>
      <w:r w:rsidRPr="008361FE">
        <w:rPr>
          <w:color w:val="000000"/>
        </w:rPr>
        <w:t xml:space="preserve">.  This constitutes a significant burden for the health system and understanding the reasons for ill-health leading to hospital admission may help develop more comprehensive care packages for use during ‘routine’ antenatal and postnatal care visits that can help reduce this burden. </w:t>
      </w:r>
      <w:r w:rsidRPr="008361FE">
        <w:t xml:space="preserve">In our study, 21.5% of admitted women required two or more hospital admissions during pregnancy. The reasons for recurrent admission require further investigation as this may indicate recurrent morbidity or inability to manage the first episode of ill-health effectively.  </w:t>
      </w:r>
    </w:p>
    <w:p w14:paraId="2D6523D2" w14:textId="7DAE54FA" w:rsidR="005507E7" w:rsidRPr="003947D6" w:rsidRDefault="005507E7" w:rsidP="003947D6">
      <w:pPr>
        <w:autoSpaceDE w:val="0"/>
        <w:autoSpaceDN w:val="0"/>
        <w:adjustRightInd w:val="0"/>
        <w:ind w:firstLine="720"/>
        <w:jc w:val="both"/>
      </w:pPr>
      <w:r w:rsidRPr="008361FE">
        <w:rPr>
          <w:color w:val="000000"/>
        </w:rPr>
        <w:t>To our knowledge, our study is the first to describe the occurrence of any hospital admission in the first year</w:t>
      </w:r>
      <w:r w:rsidR="005A55F0">
        <w:rPr>
          <w:color w:val="000000"/>
        </w:rPr>
        <w:t xml:space="preserve"> (6.1%) </w:t>
      </w:r>
      <w:r w:rsidRPr="008361FE">
        <w:rPr>
          <w:color w:val="000000"/>
        </w:rPr>
        <w:t>and up to 22 months childbirth</w:t>
      </w:r>
      <w:r w:rsidR="005A55F0">
        <w:rPr>
          <w:color w:val="000000"/>
        </w:rPr>
        <w:t xml:space="preserve"> (0.5%)</w:t>
      </w:r>
      <w:r w:rsidRPr="008361FE">
        <w:rPr>
          <w:color w:val="000000"/>
        </w:rPr>
        <w:t>, with 10.0% (8/80) and 46.1% (</w:t>
      </w:r>
      <w:r w:rsidR="00493298">
        <w:rPr>
          <w:color w:val="000000"/>
        </w:rPr>
        <w:t>66</w:t>
      </w:r>
      <w:r w:rsidRPr="008361FE">
        <w:rPr>
          <w:color w:val="000000"/>
        </w:rPr>
        <w:t xml:space="preserve">/13) of women admitted two or more times by 12 months and 22 months respectively. </w:t>
      </w:r>
      <w:r w:rsidRPr="008361FE">
        <w:t>Several studies describe the need and reason for admission in the early postnatal period and up to six weeks after childbirth; with 0.9% of women in the UK readmitted as an emergenc</w:t>
      </w:r>
      <w:r>
        <w:t>y within 30 days of childbirth (Sultan, et.al., 2013; Lindquist et.al. 2014)</w:t>
      </w:r>
      <w:r w:rsidRPr="008361FE">
        <w:t xml:space="preserve"> and 1.3% of women readmitted within 6 wee</w:t>
      </w:r>
      <w:r>
        <w:t>ks of childbirth in the Canada (Liu, et.al, 2002)</w:t>
      </w:r>
      <w:r w:rsidRPr="008361FE">
        <w:t>. A randomised controlled trial in Switzerland reported a higher rate of readmission</w:t>
      </w:r>
      <w:r>
        <w:t xml:space="preserve"> (3.5%)</w:t>
      </w:r>
      <w:r w:rsidRPr="008361FE">
        <w:t xml:space="preserve"> in the first six months after home-based care versus </w:t>
      </w:r>
      <w:r>
        <w:t xml:space="preserve">2.2% after </w:t>
      </w:r>
      <w:r w:rsidRPr="008361FE">
        <w:t>hospital-b</w:t>
      </w:r>
      <w:r>
        <w:t>ased care (</w:t>
      </w:r>
      <w:proofErr w:type="spellStart"/>
      <w:r>
        <w:t>Boulvain</w:t>
      </w:r>
      <w:proofErr w:type="spellEnd"/>
      <w:r>
        <w:t>, et.al. 2004)</w:t>
      </w:r>
      <w:r w:rsidRPr="008361FE">
        <w:t xml:space="preserve">. However, data on admission up to and after one-year childbirth is limited and primarily addresses mental health. </w:t>
      </w:r>
      <w:r w:rsidRPr="008361FE">
        <w:rPr>
          <w:color w:val="000000"/>
          <w:shd w:val="clear" w:color="auto" w:fill="FFFFFF"/>
        </w:rPr>
        <w:t>In Australia 1.7% of new mothers were admitted with a mental health diagnosis in t</w:t>
      </w:r>
      <w:r>
        <w:rPr>
          <w:color w:val="000000"/>
          <w:shd w:val="clear" w:color="auto" w:fill="FFFFFF"/>
        </w:rPr>
        <w:t>he first year after childbirth (Xu, et al; 2014)</w:t>
      </w:r>
      <w:r w:rsidRPr="008361FE">
        <w:rPr>
          <w:color w:val="000000"/>
          <w:shd w:val="clear" w:color="auto" w:fill="FFFFFF"/>
        </w:rPr>
        <w:t xml:space="preserve">.  </w:t>
      </w:r>
    </w:p>
    <w:p w14:paraId="1C1C08D5" w14:textId="04C92B59" w:rsidR="005507E7" w:rsidRPr="008361FE" w:rsidRDefault="005507E7" w:rsidP="003947D6">
      <w:pPr>
        <w:autoSpaceDE w:val="0"/>
        <w:autoSpaceDN w:val="0"/>
        <w:adjustRightInd w:val="0"/>
        <w:ind w:firstLine="720"/>
        <w:jc w:val="both"/>
        <w:rPr>
          <w:color w:val="000000"/>
          <w:shd w:val="clear" w:color="auto" w:fill="FFFFFF"/>
        </w:rPr>
      </w:pPr>
      <w:r w:rsidRPr="008361FE">
        <w:rPr>
          <w:color w:val="000000"/>
        </w:rPr>
        <w:t>The most common reason for admission in the first year was due to sequelae of the hypertensive disorders of pregnancy and this was also the most common self-reported ongoing chronic illness</w:t>
      </w:r>
      <w:r w:rsidR="0077529F">
        <w:rPr>
          <w:color w:val="000000"/>
        </w:rPr>
        <w:t xml:space="preserve"> after childbirth</w:t>
      </w:r>
      <w:r w:rsidRPr="008361FE">
        <w:rPr>
          <w:color w:val="000000"/>
        </w:rPr>
        <w:t>. It is unclear whether some are misclassified cases of essential hypertension first diagnosed during pregnancy.</w:t>
      </w:r>
      <w:r w:rsidRPr="008361FE">
        <w:rPr>
          <w:color w:val="000000"/>
          <w:shd w:val="clear" w:color="auto" w:fill="FFFFFF"/>
        </w:rPr>
        <w:t xml:space="preserve"> </w:t>
      </w:r>
      <w:r w:rsidR="003947D6">
        <w:t>Women</w:t>
      </w:r>
      <w:r w:rsidRPr="008361FE">
        <w:t xml:space="preserve"> report</w:t>
      </w:r>
      <w:r w:rsidR="003947D6">
        <w:t>ing</w:t>
      </w:r>
      <w:r w:rsidRPr="008361FE">
        <w:t xml:space="preserve"> chronic illness tend to be older, </w:t>
      </w:r>
      <w:r w:rsidR="003947D6">
        <w:t>higher parity, more likely</w:t>
      </w:r>
      <w:r w:rsidRPr="008361FE">
        <w:t xml:space="preserve"> delivered by elective CS and/or report ill-health. However, neither hospital admission nor reporting of ill-health are particularly good indicators or proxy markers of perceived maternal morbidity with a likelihood ratio of between 1.4 and 1.8 only.   </w:t>
      </w:r>
    </w:p>
    <w:p w14:paraId="4EDCF082" w14:textId="4E4AE250" w:rsidR="005507E7" w:rsidRPr="008361FE" w:rsidRDefault="003947D6" w:rsidP="00172889">
      <w:pPr>
        <w:autoSpaceDE w:val="0"/>
        <w:autoSpaceDN w:val="0"/>
        <w:adjustRightInd w:val="0"/>
        <w:ind w:firstLine="720"/>
        <w:jc w:val="both"/>
      </w:pPr>
      <w:r>
        <w:t xml:space="preserve">The documented </w:t>
      </w:r>
      <w:r w:rsidR="005507E7" w:rsidRPr="008361FE">
        <w:t>C</w:t>
      </w:r>
      <w:r>
        <w:t xml:space="preserve">S </w:t>
      </w:r>
      <w:r w:rsidR="005507E7" w:rsidRPr="008361FE">
        <w:t xml:space="preserve">rate (19.4%) </w:t>
      </w:r>
      <w:r>
        <w:t xml:space="preserve">for Jamaica </w:t>
      </w:r>
      <w:r w:rsidR="005507E7" w:rsidRPr="008361FE">
        <w:t xml:space="preserve">exceeds the </w:t>
      </w:r>
      <w:r>
        <w:t xml:space="preserve">15% </w:t>
      </w:r>
      <w:r w:rsidR="005507E7" w:rsidRPr="008361FE">
        <w:t>upper limit recommended by the WHO after which the benefit to mother or neonate</w:t>
      </w:r>
      <w:r w:rsidR="005507E7">
        <w:t xml:space="preserve"> cease to exceed the risk (Belfort, et.al.,</w:t>
      </w:r>
      <w:r>
        <w:t xml:space="preserve"> </w:t>
      </w:r>
      <w:r w:rsidR="005507E7">
        <w:t>2010; WHO, 2015)</w:t>
      </w:r>
      <w:r w:rsidR="005507E7" w:rsidRPr="008361FE">
        <w:t xml:space="preserve">.  US and Canadian women who had a CS were more likely to be readmitted than </w:t>
      </w:r>
      <w:r>
        <w:t>after</w:t>
      </w:r>
      <w:r w:rsidR="005507E7" w:rsidRPr="008361FE">
        <w:t xml:space="preserve"> a vaginal birth, with pregnancy-related infections common reasons for readm</w:t>
      </w:r>
      <w:r>
        <w:t xml:space="preserve">ission within six weeks of </w:t>
      </w:r>
      <w:r w:rsidR="005507E7" w:rsidRPr="008361FE">
        <w:t xml:space="preserve">birth in women with CS compared to </w:t>
      </w:r>
      <w:r w:rsidR="005507E7">
        <w:t>vaginal birth (</w:t>
      </w:r>
      <w:proofErr w:type="spellStart"/>
      <w:r w:rsidR="005507E7">
        <w:t>Bacak</w:t>
      </w:r>
      <w:proofErr w:type="spellEnd"/>
      <w:r w:rsidR="005507E7">
        <w:t>, et.al., 2005; Liu, et. al., 2002)</w:t>
      </w:r>
      <w:r w:rsidR="005507E7" w:rsidRPr="008361FE">
        <w:t xml:space="preserve">. </w:t>
      </w:r>
    </w:p>
    <w:p w14:paraId="0D038C0A" w14:textId="77777777" w:rsidR="005507E7" w:rsidRPr="008361FE" w:rsidRDefault="005507E7" w:rsidP="005507E7">
      <w:pPr>
        <w:pStyle w:val="Heading3"/>
        <w:spacing w:before="0" w:line="480" w:lineRule="auto"/>
        <w:rPr>
          <w:rFonts w:cs="Times New Roman"/>
          <w:color w:val="000000"/>
        </w:rPr>
      </w:pPr>
      <w:r w:rsidRPr="008361FE">
        <w:rPr>
          <w:rFonts w:cs="Times New Roman"/>
        </w:rPr>
        <w:t>Unanswered questions</w:t>
      </w:r>
    </w:p>
    <w:p w14:paraId="5C2002D2" w14:textId="4F179EA7" w:rsidR="005507E7" w:rsidRPr="008361FE" w:rsidRDefault="005507E7" w:rsidP="005507E7">
      <w:pPr>
        <w:autoSpaceDE w:val="0"/>
        <w:autoSpaceDN w:val="0"/>
        <w:adjustRightInd w:val="0"/>
        <w:jc w:val="both"/>
        <w:rPr>
          <w:spacing w:val="-2"/>
        </w:rPr>
      </w:pPr>
      <w:r w:rsidRPr="008361FE">
        <w:t xml:space="preserve">The </w:t>
      </w:r>
      <w:r w:rsidRPr="008361FE">
        <w:rPr>
          <w:rFonts w:eastAsia="Arial Unicode MS"/>
          <w:bCs/>
        </w:rPr>
        <w:t xml:space="preserve">current challenge is that estimates of non-severe maternal morbidity are not based on standardised, clear and concise definitions and methodology, and thus have limited utility and validity to inform efforts to measure and address the burden of ill-health during and after pregnancy </w:t>
      </w:r>
      <w:r w:rsidRPr="008361FE">
        <w:rPr>
          <w:spacing w:val="-2"/>
        </w:rPr>
        <w:t>and do not allow comparability across settings. Recent studies demonstrating the need to develop and test a standardized tool holds some pr</w:t>
      </w:r>
      <w:r>
        <w:rPr>
          <w:spacing w:val="-2"/>
        </w:rPr>
        <w:t xml:space="preserve">omise for the future (McCauley, et.al., 2018; </w:t>
      </w:r>
      <w:proofErr w:type="spellStart"/>
      <w:r w:rsidR="00A7414D">
        <w:rPr>
          <w:spacing w:val="-2"/>
        </w:rPr>
        <w:t>Barreix</w:t>
      </w:r>
      <w:proofErr w:type="spellEnd"/>
      <w:r>
        <w:rPr>
          <w:spacing w:val="-2"/>
        </w:rPr>
        <w:t>, et.al., 2018; Ye, et. al., 2015)</w:t>
      </w:r>
      <w:r w:rsidRPr="008361FE">
        <w:rPr>
          <w:spacing w:val="-2"/>
        </w:rPr>
        <w:t>.  This will complement existing guidelines for severe maternal morbidity or ‘near misses’</w:t>
      </w:r>
      <w:r>
        <w:rPr>
          <w:spacing w:val="-2"/>
        </w:rPr>
        <w:t xml:space="preserve"> (Chou, et. al., 2016; Say, et. al., 2009)</w:t>
      </w:r>
      <w:r w:rsidRPr="008361FE">
        <w:rPr>
          <w:spacing w:val="-2"/>
        </w:rPr>
        <w:t>.</w:t>
      </w:r>
    </w:p>
    <w:p w14:paraId="7E101F31" w14:textId="77777777" w:rsidR="00A7414D" w:rsidRDefault="00A7414D" w:rsidP="005507E7">
      <w:pPr>
        <w:pStyle w:val="Heading3"/>
        <w:spacing w:before="0" w:line="480" w:lineRule="auto"/>
        <w:rPr>
          <w:rFonts w:cs="Times New Roman"/>
          <w:b/>
          <w:i w:val="0"/>
        </w:rPr>
      </w:pPr>
    </w:p>
    <w:p w14:paraId="53190C0D" w14:textId="77777777" w:rsidR="005507E7" w:rsidRPr="008361FE" w:rsidRDefault="005507E7" w:rsidP="005507E7">
      <w:pPr>
        <w:pStyle w:val="Heading3"/>
        <w:spacing w:before="0" w:line="480" w:lineRule="auto"/>
        <w:rPr>
          <w:rFonts w:cs="Times New Roman"/>
          <w:color w:val="000000"/>
        </w:rPr>
      </w:pPr>
      <w:r w:rsidRPr="0069225F">
        <w:rPr>
          <w:rFonts w:cs="Times New Roman"/>
          <w:b/>
          <w:i w:val="0"/>
        </w:rPr>
        <w:t>Conclusions</w:t>
      </w:r>
    </w:p>
    <w:p w14:paraId="02F03FCB" w14:textId="4F578A39" w:rsidR="005507E7" w:rsidRPr="008361FE" w:rsidRDefault="005507E7" w:rsidP="005507E7">
      <w:pPr>
        <w:autoSpaceDE w:val="0"/>
        <w:autoSpaceDN w:val="0"/>
        <w:adjustRightInd w:val="0"/>
        <w:jc w:val="both"/>
        <w:rPr>
          <w:spacing w:val="-2"/>
        </w:rPr>
      </w:pPr>
      <w:r w:rsidRPr="008361FE">
        <w:rPr>
          <w:spacing w:val="-2"/>
        </w:rPr>
        <w:t xml:space="preserve">This longitudinal assessment of maternal health during pregnancy and up to </w:t>
      </w:r>
      <w:r w:rsidR="00292FB6">
        <w:rPr>
          <w:spacing w:val="-2"/>
        </w:rPr>
        <w:t>22  months</w:t>
      </w:r>
      <w:r w:rsidR="00FF1D36">
        <w:rPr>
          <w:spacing w:val="-2"/>
        </w:rPr>
        <w:t xml:space="preserve"> </w:t>
      </w:r>
      <w:r w:rsidRPr="008361FE">
        <w:rPr>
          <w:spacing w:val="-2"/>
        </w:rPr>
        <w:t>after childbirth among women delivering singleton livebirths in Jamaica indicates that one in 10 women did not assess their health status favourably during this period</w:t>
      </w:r>
      <w:r w:rsidR="007C1FC2">
        <w:rPr>
          <w:spacing w:val="-2"/>
        </w:rPr>
        <w:t>; and these w</w:t>
      </w:r>
      <w:r w:rsidRPr="008361FE">
        <w:rPr>
          <w:spacing w:val="-2"/>
        </w:rPr>
        <w:t xml:space="preserve">omen were more likely to be older, socially vulnerable and with a pre-existing chronic health condition.  Efforts </w:t>
      </w:r>
      <w:r w:rsidR="00376722">
        <w:rPr>
          <w:spacing w:val="-2"/>
        </w:rPr>
        <w:t>are</w:t>
      </w:r>
      <w:r w:rsidRPr="008361FE">
        <w:rPr>
          <w:spacing w:val="-2"/>
        </w:rPr>
        <w:t xml:space="preserve"> needed to promote global use of a standardized tool to measure and understand non-life threatening maternal ill-health co-existing with childbea</w:t>
      </w:r>
      <w:r w:rsidR="003947D6">
        <w:rPr>
          <w:spacing w:val="-2"/>
        </w:rPr>
        <w:t>ring.</w:t>
      </w:r>
      <w:r w:rsidR="005843DA">
        <w:rPr>
          <w:spacing w:val="-2"/>
        </w:rPr>
        <w:t xml:space="preserve"> </w:t>
      </w:r>
      <w:r w:rsidRPr="008361FE">
        <w:rPr>
          <w:spacing w:val="-2"/>
        </w:rPr>
        <w:t>Effective methodologies will benefit the family and the community by safeguarding the chances for both mother and baby to survive and thrive.</w:t>
      </w:r>
    </w:p>
    <w:p w14:paraId="57221AF5" w14:textId="77777777" w:rsidR="003947D6" w:rsidRDefault="003947D6" w:rsidP="005507E7">
      <w:pPr>
        <w:pStyle w:val="Heading3"/>
        <w:spacing w:before="0" w:line="480" w:lineRule="auto"/>
        <w:rPr>
          <w:rFonts w:cs="Times New Roman"/>
          <w:b/>
          <w:i w:val="0"/>
        </w:rPr>
      </w:pPr>
    </w:p>
    <w:p w14:paraId="55CC05E4" w14:textId="77777777" w:rsidR="005507E7" w:rsidRPr="0069225F" w:rsidRDefault="005507E7" w:rsidP="005507E7">
      <w:pPr>
        <w:pStyle w:val="Heading3"/>
        <w:spacing w:before="0" w:line="480" w:lineRule="auto"/>
        <w:rPr>
          <w:rFonts w:cs="Times New Roman"/>
          <w:b/>
          <w:i w:val="0"/>
          <w:spacing w:val="-2"/>
        </w:rPr>
      </w:pPr>
      <w:r w:rsidRPr="0069225F">
        <w:rPr>
          <w:rFonts w:cs="Times New Roman"/>
          <w:b/>
          <w:i w:val="0"/>
        </w:rPr>
        <w:t>Author’s contributions</w:t>
      </w:r>
    </w:p>
    <w:p w14:paraId="0F0AF00C" w14:textId="26684B2E" w:rsidR="005507E7" w:rsidRPr="008361FE" w:rsidRDefault="005507E7" w:rsidP="005507E7">
      <w:pPr>
        <w:jc w:val="both"/>
        <w:rPr>
          <w:color w:val="000000"/>
          <w:shd w:val="clear" w:color="auto" w:fill="FFFFFF"/>
        </w:rPr>
      </w:pPr>
      <w:r w:rsidRPr="008361FE">
        <w:rPr>
          <w:color w:val="000000"/>
          <w:shd w:val="clear" w:color="auto" w:fill="FFFFFF"/>
        </w:rPr>
        <w:t xml:space="preserve">AMB, MSV and </w:t>
      </w:r>
      <w:proofErr w:type="spellStart"/>
      <w:r w:rsidRPr="008361FE">
        <w:rPr>
          <w:color w:val="000000"/>
          <w:shd w:val="clear" w:color="auto" w:fill="FFFFFF"/>
        </w:rPr>
        <w:t>NvdB</w:t>
      </w:r>
      <w:proofErr w:type="spellEnd"/>
      <w:r w:rsidRPr="008361FE">
        <w:rPr>
          <w:color w:val="000000"/>
          <w:shd w:val="clear" w:color="auto" w:fill="FFFFFF"/>
        </w:rPr>
        <w:t xml:space="preserve"> conceived the study. MM, JAR and </w:t>
      </w:r>
      <w:proofErr w:type="spellStart"/>
      <w:r w:rsidRPr="008361FE">
        <w:rPr>
          <w:color w:val="000000"/>
          <w:shd w:val="clear" w:color="auto" w:fill="FFFFFF"/>
        </w:rPr>
        <w:t>NvdB</w:t>
      </w:r>
      <w:proofErr w:type="spellEnd"/>
      <w:r w:rsidRPr="008361FE">
        <w:rPr>
          <w:color w:val="000000"/>
          <w:shd w:val="clear" w:color="auto" w:fill="FFFFFF"/>
        </w:rPr>
        <w:t xml:space="preserve"> conceived the design of the secondary analysis and inclusion of variables. MM coded variables in the database. JAR cleaned the data and JAR and SW performed data analysis. MM interpreted the data and wrote the manuscript. JAR, SW,</w:t>
      </w:r>
      <w:r w:rsidR="003947D6">
        <w:rPr>
          <w:color w:val="000000"/>
          <w:shd w:val="clear" w:color="auto" w:fill="FFFFFF"/>
        </w:rPr>
        <w:t xml:space="preserve"> AMB, </w:t>
      </w:r>
      <w:proofErr w:type="spellStart"/>
      <w:r w:rsidR="003947D6">
        <w:rPr>
          <w:color w:val="000000"/>
          <w:shd w:val="clear" w:color="auto" w:fill="FFFFFF"/>
        </w:rPr>
        <w:t>NvdB</w:t>
      </w:r>
      <w:proofErr w:type="spellEnd"/>
      <w:r w:rsidR="003947D6">
        <w:rPr>
          <w:color w:val="000000"/>
          <w:shd w:val="clear" w:color="auto" w:fill="FFFFFF"/>
        </w:rPr>
        <w:t xml:space="preserve"> and MSV</w:t>
      </w:r>
      <w:r w:rsidRPr="008361FE">
        <w:rPr>
          <w:color w:val="000000"/>
          <w:shd w:val="clear" w:color="auto" w:fill="FFFFFF"/>
        </w:rPr>
        <w:t xml:space="preserve"> edited the manuscript and have approved it for submission.</w:t>
      </w:r>
    </w:p>
    <w:p w14:paraId="67633564" w14:textId="6D829BA6" w:rsidR="0069225F" w:rsidRDefault="005507E7" w:rsidP="005507E7">
      <w:pPr>
        <w:jc w:val="both"/>
        <w:rPr>
          <w:b/>
          <w:color w:val="000000"/>
        </w:rPr>
      </w:pPr>
      <w:r w:rsidRPr="008361FE">
        <w:rPr>
          <w:b/>
          <w:color w:val="000000"/>
        </w:rPr>
        <w:t xml:space="preserve">Ethical Approval </w:t>
      </w:r>
    </w:p>
    <w:p w14:paraId="31A7BC46" w14:textId="64043B35" w:rsidR="005507E7" w:rsidRPr="008361FE" w:rsidRDefault="005507E7" w:rsidP="005507E7">
      <w:pPr>
        <w:jc w:val="both"/>
        <w:rPr>
          <w:color w:val="000000"/>
        </w:rPr>
      </w:pPr>
      <w:r w:rsidRPr="008361FE">
        <w:rPr>
          <w:color w:val="000000"/>
        </w:rPr>
        <w:t>Ethical approval to conduct the study was granted by the University of the West Indies Ethics Committee and the Ministry of Health's Advisory Panel on Medico - Legal Affairs in Jamaica.</w:t>
      </w:r>
    </w:p>
    <w:p w14:paraId="46840855" w14:textId="0340FE51" w:rsidR="005507E7" w:rsidRPr="008361FE" w:rsidRDefault="005507E7" w:rsidP="00A7414D">
      <w:pPr>
        <w:jc w:val="both"/>
        <w:rPr>
          <w:rFonts w:eastAsia="Calibri"/>
        </w:rPr>
      </w:pPr>
      <w:r w:rsidRPr="008361FE">
        <w:rPr>
          <w:rFonts w:eastAsia="Calibri"/>
        </w:rPr>
        <w:t xml:space="preserve">a scientific paper.   </w:t>
      </w:r>
    </w:p>
    <w:p w14:paraId="52408190" w14:textId="77777777" w:rsidR="005507E7" w:rsidRPr="008361FE" w:rsidRDefault="005507E7" w:rsidP="005507E7">
      <w:pPr>
        <w:rPr>
          <w:rFonts w:eastAsia="Calibri"/>
          <w:b/>
        </w:rPr>
      </w:pPr>
    </w:p>
    <w:p w14:paraId="0FB7659B" w14:textId="39B7D9B9" w:rsidR="005507E7" w:rsidRPr="008361FE" w:rsidRDefault="005507E7" w:rsidP="005507E7">
      <w:pPr>
        <w:rPr>
          <w:rFonts w:eastAsia="Calibri"/>
        </w:rPr>
      </w:pPr>
      <w:r>
        <w:rPr>
          <w:rFonts w:eastAsia="Calibri"/>
          <w:b/>
        </w:rPr>
        <w:t>A</w:t>
      </w:r>
      <w:r w:rsidR="00DC284F">
        <w:rPr>
          <w:rFonts w:eastAsia="Calibri"/>
          <w:b/>
        </w:rPr>
        <w:t xml:space="preserve">cknowledgements </w:t>
      </w:r>
    </w:p>
    <w:p w14:paraId="09C19B31" w14:textId="4E67F36E" w:rsidR="005507E7" w:rsidRPr="003947D6" w:rsidRDefault="005507E7" w:rsidP="005507E7">
      <w:pPr>
        <w:jc w:val="both"/>
        <w:rPr>
          <w:color w:val="000000"/>
        </w:rPr>
      </w:pPr>
      <w:r w:rsidRPr="003606C6">
        <w:rPr>
          <w:iCs/>
          <w:lang w:val="en-JM"/>
        </w:rPr>
        <w:t>We are grateful to all the families who took part in this study, the</w:t>
      </w:r>
      <w:r w:rsidR="00A7414D" w:rsidRPr="003606C6">
        <w:rPr>
          <w:iCs/>
          <w:lang w:val="en-JM"/>
        </w:rPr>
        <w:t xml:space="preserve"> </w:t>
      </w:r>
      <w:r w:rsidRPr="003606C6">
        <w:rPr>
          <w:iCs/>
          <w:lang w:val="en-JM"/>
        </w:rPr>
        <w:t xml:space="preserve">staff in </w:t>
      </w:r>
      <w:r w:rsidR="00A7414D" w:rsidRPr="003606C6">
        <w:rPr>
          <w:iCs/>
          <w:lang w:val="en-JM"/>
        </w:rPr>
        <w:t xml:space="preserve">health centres </w:t>
      </w:r>
      <w:r w:rsidRPr="003606C6">
        <w:rPr>
          <w:iCs/>
          <w:lang w:val="en-JM"/>
        </w:rPr>
        <w:t xml:space="preserve">and hospitals throughout Jamaica for their help </w:t>
      </w:r>
      <w:r w:rsidR="00A7414D" w:rsidRPr="003606C6">
        <w:rPr>
          <w:iCs/>
          <w:lang w:val="en-JM"/>
        </w:rPr>
        <w:t>during</w:t>
      </w:r>
      <w:r w:rsidRPr="003606C6">
        <w:rPr>
          <w:iCs/>
          <w:lang w:val="en-JM"/>
        </w:rPr>
        <w:t xml:space="preserve"> recruit</w:t>
      </w:r>
      <w:r w:rsidR="00A7414D" w:rsidRPr="003606C6">
        <w:rPr>
          <w:iCs/>
          <w:lang w:val="en-JM"/>
        </w:rPr>
        <w:t>ment</w:t>
      </w:r>
      <w:r w:rsidRPr="003606C6">
        <w:rPr>
          <w:iCs/>
          <w:lang w:val="en-JM"/>
        </w:rPr>
        <w:t>, and the JA KIDS team</w:t>
      </w:r>
      <w:r w:rsidR="00A7414D" w:rsidRPr="003606C6">
        <w:rPr>
          <w:iCs/>
          <w:lang w:val="en-JM"/>
        </w:rPr>
        <w:t>,</w:t>
      </w:r>
      <w:r w:rsidRPr="003606C6">
        <w:rPr>
          <w:iCs/>
          <w:lang w:val="en-JM"/>
        </w:rPr>
        <w:t xml:space="preserve"> </w:t>
      </w:r>
      <w:r w:rsidR="00A7414D" w:rsidRPr="003606C6">
        <w:rPr>
          <w:iCs/>
          <w:lang w:val="en-JM"/>
        </w:rPr>
        <w:t>of</w:t>
      </w:r>
      <w:r w:rsidRPr="003606C6">
        <w:rPr>
          <w:iCs/>
          <w:lang w:val="en-JM"/>
        </w:rPr>
        <w:t xml:space="preserve"> interviewers, computer and laboratory technicians, clerical and administrative workers, research scientists, volunteers and managers</w:t>
      </w:r>
      <w:r w:rsidR="00A7414D" w:rsidRPr="003606C6">
        <w:rPr>
          <w:iCs/>
          <w:lang w:val="en-JM"/>
        </w:rPr>
        <w:t xml:space="preserve"> at the University of the West Indies (Mona)</w:t>
      </w:r>
      <w:r w:rsidRPr="003606C6">
        <w:rPr>
          <w:iCs/>
          <w:lang w:val="en-JM"/>
        </w:rPr>
        <w:t>.  The Inter-American Development Bank (Grant ref: ATN/JF-12312-JA; ATN/OC-14535-JA) and the University of the West Indies, Mona Campus provided core support for JA KIDS</w:t>
      </w:r>
      <w:r w:rsidRPr="003606C6">
        <w:rPr>
          <w:i/>
          <w:iCs/>
          <w:lang w:val="en-JM"/>
        </w:rPr>
        <w:t xml:space="preserve">.  </w:t>
      </w:r>
      <w:r w:rsidRPr="003606C6">
        <w:rPr>
          <w:color w:val="000000"/>
        </w:rPr>
        <w:t xml:space="preserve">Secondary data analysis at the Centre for Maternal and Newborn Health in the UK was funded through a Global Health Grant (Project number OPP1033805) from Bill and Melinda Gates Foundation and World Health Organization (WHO).  </w:t>
      </w:r>
      <w:r w:rsidRPr="003606C6">
        <w:rPr>
          <w:iCs/>
          <w:lang w:val="en-JM"/>
        </w:rPr>
        <w:t>Additional support was provided by the World Bank, UNICEF, the CHASE Fund, the National Health Fund, Parenting Partners Caribbean, the University of Nevada - Las Vegas, the University of Texas Health Science Centre at Houston and Michigan State University and its Partners. This publication is the work of the authors listed who will serve as guarantors for the contents of this paper.</w:t>
      </w:r>
      <w:r w:rsidRPr="003947D6">
        <w:rPr>
          <w:iCs/>
          <w:lang w:val="en-JM"/>
        </w:rPr>
        <w:t xml:space="preserve"> </w:t>
      </w:r>
    </w:p>
    <w:p w14:paraId="636B5CE6" w14:textId="77777777" w:rsidR="005507E7" w:rsidRPr="008361FE" w:rsidRDefault="005507E7" w:rsidP="005507E7">
      <w:pPr>
        <w:jc w:val="both"/>
        <w:rPr>
          <w:rFonts w:eastAsiaTheme="majorEastAsia"/>
          <w:b/>
          <w:bCs/>
        </w:rPr>
      </w:pPr>
    </w:p>
    <w:p w14:paraId="785E53CA" w14:textId="714A5E23" w:rsidR="005507E7" w:rsidRPr="003947D6" w:rsidRDefault="005507E7" w:rsidP="003947D6">
      <w:pPr>
        <w:jc w:val="both"/>
        <w:rPr>
          <w:rFonts w:eastAsiaTheme="majorEastAsia"/>
          <w:bCs/>
        </w:rPr>
      </w:pPr>
      <w:r w:rsidRPr="008361FE">
        <w:rPr>
          <w:rFonts w:eastAsiaTheme="majorEastAsia"/>
          <w:b/>
          <w:bCs/>
        </w:rPr>
        <w:t xml:space="preserve">Conflict of interest: </w:t>
      </w:r>
      <w:r w:rsidRPr="008361FE">
        <w:rPr>
          <w:rFonts w:eastAsiaTheme="majorEastAsia"/>
          <w:bCs/>
        </w:rPr>
        <w:t>The authors report no conflict of interest.</w:t>
      </w:r>
    </w:p>
    <w:p w14:paraId="2AA9C845" w14:textId="77777777" w:rsidR="00712051" w:rsidRDefault="00712051">
      <w:pPr>
        <w:spacing w:line="240" w:lineRule="auto"/>
        <w:rPr>
          <w:b/>
          <w:bCs/>
          <w:szCs w:val="26"/>
        </w:rPr>
      </w:pPr>
      <w:r>
        <w:rPr>
          <w:b/>
          <w:i/>
        </w:rPr>
        <w:br w:type="page"/>
      </w:r>
    </w:p>
    <w:p w14:paraId="55C16E15" w14:textId="35DE427F" w:rsidR="005507E7" w:rsidRPr="0071014B" w:rsidRDefault="005507E7" w:rsidP="005507E7">
      <w:pPr>
        <w:pStyle w:val="Heading3"/>
        <w:spacing w:after="240"/>
        <w:jc w:val="both"/>
        <w:rPr>
          <w:rFonts w:cs="Times New Roman"/>
        </w:rPr>
      </w:pPr>
      <w:r w:rsidRPr="0069225F">
        <w:rPr>
          <w:rFonts w:cs="Times New Roman"/>
          <w:b/>
          <w:i w:val="0"/>
        </w:rPr>
        <w:t>References</w:t>
      </w:r>
    </w:p>
    <w:p w14:paraId="78A905A6" w14:textId="1C221CD9" w:rsidR="005507E7" w:rsidRPr="0071014B" w:rsidRDefault="005507E7" w:rsidP="00FA4C19">
      <w:pPr>
        <w:spacing w:before="120" w:line="240" w:lineRule="auto"/>
        <w:jc w:val="both"/>
        <w:rPr>
          <w:rStyle w:val="ff5"/>
        </w:rPr>
      </w:pPr>
      <w:r w:rsidRPr="0071014B">
        <w:rPr>
          <w:rStyle w:val="ff5"/>
        </w:rPr>
        <w:t>Abdulrahim</w:t>
      </w:r>
      <w:r>
        <w:rPr>
          <w:rStyle w:val="ff5"/>
        </w:rPr>
        <w:t>,</w:t>
      </w:r>
      <w:r w:rsidRPr="0071014B">
        <w:rPr>
          <w:rStyle w:val="ff5"/>
        </w:rPr>
        <w:t xml:space="preserve"> S</w:t>
      </w:r>
      <w:r>
        <w:rPr>
          <w:rStyle w:val="ff5"/>
        </w:rPr>
        <w:t>.</w:t>
      </w:r>
      <w:r w:rsidRPr="0071014B">
        <w:rPr>
          <w:rStyle w:val="ff5"/>
        </w:rPr>
        <w:t xml:space="preserve">, El </w:t>
      </w:r>
      <w:proofErr w:type="spellStart"/>
      <w:r w:rsidRPr="0071014B">
        <w:rPr>
          <w:rStyle w:val="ff5"/>
        </w:rPr>
        <w:t>Asmar</w:t>
      </w:r>
      <w:proofErr w:type="spellEnd"/>
      <w:r>
        <w:rPr>
          <w:rStyle w:val="ff5"/>
        </w:rPr>
        <w:t>,</w:t>
      </w:r>
      <w:r w:rsidRPr="0071014B">
        <w:rPr>
          <w:rStyle w:val="ff5"/>
        </w:rPr>
        <w:t xml:space="preserve"> K. Is self-rated health a valid measure to use in social inequities and health research? Evidence from the PAPFAM women's data in six Arab countries. Int J Equity Health. 2012 Sep 17;11:53. </w:t>
      </w:r>
      <w:proofErr w:type="spellStart"/>
      <w:r w:rsidRPr="0071014B">
        <w:rPr>
          <w:rStyle w:val="ff5"/>
        </w:rPr>
        <w:t>doi</w:t>
      </w:r>
      <w:proofErr w:type="spellEnd"/>
      <w:r w:rsidRPr="0071014B">
        <w:rPr>
          <w:rStyle w:val="ff5"/>
        </w:rPr>
        <w:t>: 10.1186/1475-9276-11-53.</w:t>
      </w:r>
    </w:p>
    <w:p w14:paraId="074AB256" w14:textId="3F8B042C" w:rsidR="005507E7" w:rsidRPr="0071014B" w:rsidRDefault="005507E7" w:rsidP="00FA4C19">
      <w:pPr>
        <w:spacing w:before="120" w:line="240" w:lineRule="auto"/>
        <w:jc w:val="both"/>
        <w:rPr>
          <w:rStyle w:val="ff5"/>
        </w:rPr>
      </w:pPr>
      <w:r w:rsidRPr="0071014B">
        <w:rPr>
          <w:rStyle w:val="ff5"/>
        </w:rPr>
        <w:t>Ashley</w:t>
      </w:r>
      <w:r>
        <w:rPr>
          <w:rStyle w:val="ff5"/>
        </w:rPr>
        <w:t>,</w:t>
      </w:r>
      <w:r w:rsidRPr="0071014B">
        <w:rPr>
          <w:rStyle w:val="ff5"/>
        </w:rPr>
        <w:t xml:space="preserve"> D</w:t>
      </w:r>
      <w:r>
        <w:rPr>
          <w:rStyle w:val="ff5"/>
        </w:rPr>
        <w:t>.</w:t>
      </w:r>
      <w:r w:rsidRPr="0071014B">
        <w:rPr>
          <w:rStyle w:val="ff5"/>
        </w:rPr>
        <w:t xml:space="preserve">, </w:t>
      </w:r>
      <w:proofErr w:type="spellStart"/>
      <w:r w:rsidRPr="0071014B">
        <w:rPr>
          <w:rStyle w:val="ff5"/>
        </w:rPr>
        <w:t>McCaw-Binns</w:t>
      </w:r>
      <w:proofErr w:type="spellEnd"/>
      <w:r>
        <w:rPr>
          <w:rStyle w:val="ff5"/>
        </w:rPr>
        <w:t>,</w:t>
      </w:r>
      <w:r w:rsidRPr="0071014B">
        <w:rPr>
          <w:rStyle w:val="ff5"/>
        </w:rPr>
        <w:t xml:space="preserve"> A</w:t>
      </w:r>
      <w:r>
        <w:rPr>
          <w:rStyle w:val="ff5"/>
        </w:rPr>
        <w:t>.</w:t>
      </w:r>
      <w:r w:rsidRPr="0071014B">
        <w:rPr>
          <w:rStyle w:val="ff5"/>
        </w:rPr>
        <w:t>, Golding</w:t>
      </w:r>
      <w:r>
        <w:rPr>
          <w:rStyle w:val="ff5"/>
        </w:rPr>
        <w:t>,</w:t>
      </w:r>
      <w:r w:rsidRPr="0071014B">
        <w:rPr>
          <w:rStyle w:val="ff5"/>
        </w:rPr>
        <w:t xml:space="preserve"> J</w:t>
      </w:r>
      <w:r>
        <w:rPr>
          <w:rStyle w:val="ff5"/>
        </w:rPr>
        <w:t>.</w:t>
      </w:r>
      <w:r w:rsidRPr="0071014B">
        <w:rPr>
          <w:rStyle w:val="ff5"/>
        </w:rPr>
        <w:t>, Keeling</w:t>
      </w:r>
      <w:r>
        <w:rPr>
          <w:rStyle w:val="ff5"/>
        </w:rPr>
        <w:t>,</w:t>
      </w:r>
      <w:r w:rsidRPr="0071014B">
        <w:rPr>
          <w:rStyle w:val="ff5"/>
        </w:rPr>
        <w:t xml:space="preserve"> J</w:t>
      </w:r>
      <w:r>
        <w:rPr>
          <w:rStyle w:val="ff5"/>
        </w:rPr>
        <w:t>.</w:t>
      </w:r>
      <w:r w:rsidRPr="0071014B">
        <w:rPr>
          <w:rStyle w:val="ff5"/>
        </w:rPr>
        <w:t xml:space="preserve">, </w:t>
      </w:r>
      <w:proofErr w:type="spellStart"/>
      <w:r w:rsidRPr="0071014B">
        <w:rPr>
          <w:rStyle w:val="ff5"/>
        </w:rPr>
        <w:t>Escoffery</w:t>
      </w:r>
      <w:proofErr w:type="spellEnd"/>
      <w:r>
        <w:rPr>
          <w:rStyle w:val="ff5"/>
        </w:rPr>
        <w:t>,</w:t>
      </w:r>
      <w:r w:rsidRPr="0071014B">
        <w:rPr>
          <w:rStyle w:val="ff5"/>
        </w:rPr>
        <w:t xml:space="preserve"> C</w:t>
      </w:r>
      <w:r>
        <w:rPr>
          <w:rStyle w:val="ff5"/>
        </w:rPr>
        <w:t>.</w:t>
      </w:r>
      <w:r w:rsidRPr="0071014B">
        <w:rPr>
          <w:rStyle w:val="ff5"/>
        </w:rPr>
        <w:t xml:space="preserve">, </w:t>
      </w:r>
      <w:proofErr w:type="spellStart"/>
      <w:r w:rsidRPr="0071014B">
        <w:rPr>
          <w:rStyle w:val="ff5"/>
        </w:rPr>
        <w:t>Coard</w:t>
      </w:r>
      <w:proofErr w:type="spellEnd"/>
      <w:r>
        <w:rPr>
          <w:rStyle w:val="ff5"/>
        </w:rPr>
        <w:t>,</w:t>
      </w:r>
      <w:r w:rsidRPr="0071014B">
        <w:rPr>
          <w:rStyle w:val="ff5"/>
        </w:rPr>
        <w:t xml:space="preserve"> K</w:t>
      </w:r>
      <w:r>
        <w:rPr>
          <w:rStyle w:val="ff5"/>
        </w:rPr>
        <w:t>., Foster-Williams, K</w:t>
      </w:r>
      <w:r w:rsidRPr="0071014B">
        <w:rPr>
          <w:rStyle w:val="ff5"/>
        </w:rPr>
        <w:t xml:space="preserve">. Perinatal mortality survey in Jamaica: aims and methodology. </w:t>
      </w:r>
      <w:proofErr w:type="spellStart"/>
      <w:r w:rsidRPr="0071014B">
        <w:rPr>
          <w:rStyle w:val="ff5"/>
        </w:rPr>
        <w:t>Paediatr</w:t>
      </w:r>
      <w:proofErr w:type="spellEnd"/>
      <w:r w:rsidRPr="0071014B">
        <w:rPr>
          <w:rStyle w:val="ff5"/>
        </w:rPr>
        <w:t xml:space="preserve"> Perinat Ep. 1994; 8: S6-S16.</w:t>
      </w:r>
    </w:p>
    <w:p w14:paraId="57A838A0" w14:textId="36BC0B6F" w:rsidR="005507E7" w:rsidRPr="0071014B" w:rsidRDefault="005507E7" w:rsidP="00FA4C19">
      <w:pPr>
        <w:spacing w:before="120" w:line="240" w:lineRule="auto"/>
        <w:jc w:val="both"/>
        <w:rPr>
          <w:rStyle w:val="ff5"/>
        </w:rPr>
      </w:pPr>
      <w:proofErr w:type="spellStart"/>
      <w:r w:rsidRPr="0071014B">
        <w:rPr>
          <w:rStyle w:val="ff5"/>
        </w:rPr>
        <w:t>Bacak</w:t>
      </w:r>
      <w:proofErr w:type="spellEnd"/>
      <w:r>
        <w:rPr>
          <w:rStyle w:val="ff5"/>
        </w:rPr>
        <w:t>,</w:t>
      </w:r>
      <w:r w:rsidRPr="0071014B">
        <w:rPr>
          <w:rStyle w:val="ff5"/>
        </w:rPr>
        <w:t xml:space="preserve"> S</w:t>
      </w:r>
      <w:r>
        <w:rPr>
          <w:rStyle w:val="ff5"/>
        </w:rPr>
        <w:t>.</w:t>
      </w:r>
      <w:r w:rsidRPr="0071014B">
        <w:rPr>
          <w:rStyle w:val="ff5"/>
        </w:rPr>
        <w:t>J</w:t>
      </w:r>
      <w:r>
        <w:rPr>
          <w:rStyle w:val="ff5"/>
        </w:rPr>
        <w:t>.</w:t>
      </w:r>
      <w:r w:rsidRPr="0071014B">
        <w:rPr>
          <w:rStyle w:val="ff5"/>
        </w:rPr>
        <w:t>, Callaghan</w:t>
      </w:r>
      <w:r>
        <w:rPr>
          <w:rStyle w:val="ff5"/>
        </w:rPr>
        <w:t>,</w:t>
      </w:r>
      <w:r w:rsidRPr="0071014B">
        <w:rPr>
          <w:rStyle w:val="ff5"/>
        </w:rPr>
        <w:t xml:space="preserve"> W</w:t>
      </w:r>
      <w:r>
        <w:rPr>
          <w:rStyle w:val="ff5"/>
        </w:rPr>
        <w:t>.</w:t>
      </w:r>
      <w:r w:rsidRPr="0071014B">
        <w:rPr>
          <w:rStyle w:val="ff5"/>
        </w:rPr>
        <w:t>M</w:t>
      </w:r>
      <w:r>
        <w:rPr>
          <w:rStyle w:val="ff5"/>
        </w:rPr>
        <w:t>.</w:t>
      </w:r>
      <w:r w:rsidRPr="0071014B">
        <w:rPr>
          <w:rStyle w:val="ff5"/>
        </w:rPr>
        <w:t>, Dietz</w:t>
      </w:r>
      <w:r>
        <w:rPr>
          <w:rStyle w:val="ff5"/>
        </w:rPr>
        <w:t>,</w:t>
      </w:r>
      <w:r w:rsidRPr="0071014B">
        <w:rPr>
          <w:rStyle w:val="ff5"/>
        </w:rPr>
        <w:t xml:space="preserve"> P</w:t>
      </w:r>
      <w:r>
        <w:rPr>
          <w:rStyle w:val="ff5"/>
        </w:rPr>
        <w:t>.</w:t>
      </w:r>
      <w:r w:rsidRPr="0071014B">
        <w:rPr>
          <w:rStyle w:val="ff5"/>
        </w:rPr>
        <w:t>M</w:t>
      </w:r>
      <w:r>
        <w:rPr>
          <w:rStyle w:val="ff5"/>
        </w:rPr>
        <w:t>.</w:t>
      </w:r>
      <w:r w:rsidRPr="0071014B">
        <w:rPr>
          <w:rStyle w:val="ff5"/>
        </w:rPr>
        <w:t>, Crouse</w:t>
      </w:r>
      <w:r>
        <w:rPr>
          <w:rStyle w:val="ff5"/>
        </w:rPr>
        <w:t>,</w:t>
      </w:r>
      <w:r w:rsidRPr="0071014B">
        <w:rPr>
          <w:rStyle w:val="ff5"/>
        </w:rPr>
        <w:t xml:space="preserve"> C. Pregnancy-associated hospitalizations in the United States, 1999-2000. Am J </w:t>
      </w:r>
      <w:proofErr w:type="spellStart"/>
      <w:r w:rsidRPr="0071014B">
        <w:rPr>
          <w:rStyle w:val="ff5"/>
        </w:rPr>
        <w:t>Obstet</w:t>
      </w:r>
      <w:proofErr w:type="spellEnd"/>
      <w:r w:rsidRPr="0071014B">
        <w:rPr>
          <w:rStyle w:val="ff5"/>
        </w:rPr>
        <w:t xml:space="preserve"> Gynecol. 2005; 192: 592-597.</w:t>
      </w:r>
    </w:p>
    <w:p w14:paraId="6B91327B" w14:textId="4C326085" w:rsidR="005507E7" w:rsidRPr="0071014B" w:rsidRDefault="005507E7" w:rsidP="00FA4C19">
      <w:pPr>
        <w:spacing w:before="120" w:line="240" w:lineRule="auto"/>
        <w:jc w:val="both"/>
        <w:rPr>
          <w:rStyle w:val="ff5"/>
        </w:rPr>
      </w:pPr>
      <w:proofErr w:type="spellStart"/>
      <w:r w:rsidRPr="0071014B">
        <w:rPr>
          <w:rStyle w:val="ff5"/>
        </w:rPr>
        <w:t>Barreix</w:t>
      </w:r>
      <w:proofErr w:type="spellEnd"/>
      <w:r>
        <w:rPr>
          <w:rStyle w:val="ff5"/>
        </w:rPr>
        <w:t>,</w:t>
      </w:r>
      <w:r w:rsidRPr="0071014B">
        <w:rPr>
          <w:rStyle w:val="ff5"/>
        </w:rPr>
        <w:t xml:space="preserve"> M</w:t>
      </w:r>
      <w:r>
        <w:rPr>
          <w:rStyle w:val="ff5"/>
        </w:rPr>
        <w:t>.</w:t>
      </w:r>
      <w:r w:rsidRPr="0071014B">
        <w:rPr>
          <w:rStyle w:val="ff5"/>
        </w:rPr>
        <w:t>, Barbour</w:t>
      </w:r>
      <w:r>
        <w:rPr>
          <w:rStyle w:val="ff5"/>
        </w:rPr>
        <w:t>,</w:t>
      </w:r>
      <w:r w:rsidRPr="0071014B">
        <w:rPr>
          <w:rStyle w:val="ff5"/>
        </w:rPr>
        <w:t xml:space="preserve"> K</w:t>
      </w:r>
      <w:r>
        <w:rPr>
          <w:rStyle w:val="ff5"/>
        </w:rPr>
        <w:t>.</w:t>
      </w:r>
      <w:r w:rsidRPr="0071014B">
        <w:rPr>
          <w:rStyle w:val="ff5"/>
        </w:rPr>
        <w:t xml:space="preserve">, </w:t>
      </w:r>
      <w:proofErr w:type="spellStart"/>
      <w:r w:rsidRPr="0071014B">
        <w:rPr>
          <w:rStyle w:val="ff5"/>
        </w:rPr>
        <w:t>McCaw-Binns</w:t>
      </w:r>
      <w:proofErr w:type="spellEnd"/>
      <w:r>
        <w:rPr>
          <w:rStyle w:val="ff5"/>
        </w:rPr>
        <w:t>,</w:t>
      </w:r>
      <w:r w:rsidRPr="0071014B">
        <w:rPr>
          <w:rStyle w:val="ff5"/>
        </w:rPr>
        <w:t xml:space="preserve"> A</w:t>
      </w:r>
      <w:r>
        <w:rPr>
          <w:rStyle w:val="ff5"/>
        </w:rPr>
        <w:t>.</w:t>
      </w:r>
      <w:r w:rsidRPr="0071014B">
        <w:rPr>
          <w:rStyle w:val="ff5"/>
        </w:rPr>
        <w:t>, Chou</w:t>
      </w:r>
      <w:r>
        <w:rPr>
          <w:rStyle w:val="ff5"/>
        </w:rPr>
        <w:t>,</w:t>
      </w:r>
      <w:r w:rsidRPr="0071014B">
        <w:rPr>
          <w:rStyle w:val="ff5"/>
        </w:rPr>
        <w:t xml:space="preserve"> D</w:t>
      </w:r>
      <w:r>
        <w:rPr>
          <w:rStyle w:val="ff5"/>
        </w:rPr>
        <w:t>.</w:t>
      </w:r>
      <w:r w:rsidRPr="0071014B">
        <w:rPr>
          <w:rStyle w:val="ff5"/>
        </w:rPr>
        <w:t xml:space="preserve">, </w:t>
      </w:r>
      <w:proofErr w:type="spellStart"/>
      <w:r w:rsidRPr="0071014B">
        <w:rPr>
          <w:rStyle w:val="ff5"/>
        </w:rPr>
        <w:t>Petzold</w:t>
      </w:r>
      <w:proofErr w:type="spellEnd"/>
      <w:r>
        <w:rPr>
          <w:rStyle w:val="ff5"/>
        </w:rPr>
        <w:t>,</w:t>
      </w:r>
      <w:r w:rsidRPr="0071014B">
        <w:rPr>
          <w:rStyle w:val="ff5"/>
        </w:rPr>
        <w:t xml:space="preserve"> M</w:t>
      </w:r>
      <w:r>
        <w:rPr>
          <w:rStyle w:val="ff5"/>
        </w:rPr>
        <w:t>.</w:t>
      </w:r>
      <w:r w:rsidRPr="0071014B">
        <w:rPr>
          <w:rStyle w:val="ff5"/>
        </w:rPr>
        <w:t xml:space="preserve">, </w:t>
      </w:r>
      <w:proofErr w:type="spellStart"/>
      <w:r w:rsidRPr="0071014B">
        <w:rPr>
          <w:rStyle w:val="ff5"/>
        </w:rPr>
        <w:t>Gichuhi</w:t>
      </w:r>
      <w:proofErr w:type="spellEnd"/>
      <w:r>
        <w:rPr>
          <w:rStyle w:val="ff5"/>
        </w:rPr>
        <w:t>,</w:t>
      </w:r>
      <w:r w:rsidRPr="0071014B">
        <w:rPr>
          <w:rStyle w:val="ff5"/>
        </w:rPr>
        <w:t xml:space="preserve"> G</w:t>
      </w:r>
      <w:r>
        <w:rPr>
          <w:rStyle w:val="ff5"/>
        </w:rPr>
        <w:t>.</w:t>
      </w:r>
      <w:r w:rsidRPr="0071014B">
        <w:rPr>
          <w:rStyle w:val="ff5"/>
        </w:rPr>
        <w:t>N</w:t>
      </w:r>
      <w:r>
        <w:rPr>
          <w:rStyle w:val="ff5"/>
        </w:rPr>
        <w:t>.</w:t>
      </w:r>
      <w:r w:rsidRPr="0071014B">
        <w:rPr>
          <w:rStyle w:val="ff5"/>
        </w:rPr>
        <w:t xml:space="preserve">, </w:t>
      </w:r>
      <w:r>
        <w:rPr>
          <w:rStyle w:val="ff5"/>
        </w:rPr>
        <w:t>...</w:t>
      </w:r>
      <w:r w:rsidRPr="0071014B">
        <w:rPr>
          <w:rStyle w:val="ff5"/>
        </w:rPr>
        <w:t xml:space="preserve">, Say L; WHO Maternal Morbidity Working Group (MMWG). Standardizing the measurement of maternal morbidity: Pilot study results. Int J </w:t>
      </w:r>
      <w:proofErr w:type="spellStart"/>
      <w:r w:rsidRPr="0071014B">
        <w:rPr>
          <w:rStyle w:val="ff5"/>
        </w:rPr>
        <w:t>Gynaecol</w:t>
      </w:r>
      <w:proofErr w:type="spellEnd"/>
      <w:r w:rsidRPr="0071014B">
        <w:rPr>
          <w:rStyle w:val="ff5"/>
        </w:rPr>
        <w:t xml:space="preserve"> Obstet. 2018 May;141 </w:t>
      </w:r>
      <w:proofErr w:type="spellStart"/>
      <w:r w:rsidRPr="0071014B">
        <w:rPr>
          <w:rStyle w:val="ff5"/>
        </w:rPr>
        <w:t>Suppl</w:t>
      </w:r>
      <w:proofErr w:type="spellEnd"/>
      <w:r w:rsidRPr="0071014B">
        <w:rPr>
          <w:rStyle w:val="ff5"/>
        </w:rPr>
        <w:t xml:space="preserve"> 1:10-19. </w:t>
      </w:r>
      <w:proofErr w:type="spellStart"/>
      <w:r w:rsidRPr="0071014B">
        <w:rPr>
          <w:rStyle w:val="ff5"/>
        </w:rPr>
        <w:t>doi</w:t>
      </w:r>
      <w:proofErr w:type="spellEnd"/>
      <w:r w:rsidRPr="0071014B">
        <w:rPr>
          <w:rStyle w:val="ff5"/>
        </w:rPr>
        <w:t>: 10.1002/ijgo.12464.</w:t>
      </w:r>
    </w:p>
    <w:p w14:paraId="3C4A8927" w14:textId="5000432F" w:rsidR="005507E7" w:rsidRPr="0071014B" w:rsidRDefault="005507E7" w:rsidP="00FA4C19">
      <w:pPr>
        <w:spacing w:before="120" w:line="240" w:lineRule="auto"/>
        <w:jc w:val="both"/>
        <w:rPr>
          <w:rStyle w:val="ff5"/>
        </w:rPr>
      </w:pPr>
      <w:r w:rsidRPr="006C79F5">
        <w:rPr>
          <w:bCs/>
          <w:color w:val="000000"/>
          <w:shd w:val="clear" w:color="auto" w:fill="FFFFFF"/>
        </w:rPr>
        <w:t>Belfort</w:t>
      </w:r>
      <w:r>
        <w:rPr>
          <w:bCs/>
          <w:color w:val="000000"/>
          <w:shd w:val="clear" w:color="auto" w:fill="FFFFFF"/>
        </w:rPr>
        <w:t>,</w:t>
      </w:r>
      <w:r w:rsidRPr="006C79F5">
        <w:rPr>
          <w:bCs/>
          <w:color w:val="000000"/>
          <w:shd w:val="clear" w:color="auto" w:fill="FFFFFF"/>
        </w:rPr>
        <w:t xml:space="preserve"> M</w:t>
      </w:r>
      <w:r>
        <w:rPr>
          <w:bCs/>
          <w:color w:val="000000"/>
          <w:shd w:val="clear" w:color="auto" w:fill="FFFFFF"/>
        </w:rPr>
        <w:t>.</w:t>
      </w:r>
      <w:r w:rsidRPr="006C79F5">
        <w:rPr>
          <w:bCs/>
          <w:color w:val="000000"/>
          <w:shd w:val="clear" w:color="auto" w:fill="FFFFFF"/>
        </w:rPr>
        <w:t>A</w:t>
      </w:r>
      <w:r>
        <w:rPr>
          <w:bCs/>
          <w:color w:val="000000"/>
          <w:shd w:val="clear" w:color="auto" w:fill="FFFFFF"/>
        </w:rPr>
        <w:t>.</w:t>
      </w:r>
      <w:r w:rsidRPr="006C79F5">
        <w:rPr>
          <w:color w:val="000000"/>
          <w:shd w:val="clear" w:color="auto" w:fill="FFFFFF"/>
        </w:rPr>
        <w:t>, </w:t>
      </w:r>
      <w:r w:rsidRPr="006C79F5">
        <w:rPr>
          <w:bCs/>
          <w:color w:val="000000"/>
          <w:shd w:val="clear" w:color="auto" w:fill="FFFFFF"/>
        </w:rPr>
        <w:t>Clark</w:t>
      </w:r>
      <w:r>
        <w:rPr>
          <w:bCs/>
          <w:color w:val="000000"/>
          <w:shd w:val="clear" w:color="auto" w:fill="FFFFFF"/>
        </w:rPr>
        <w:t>,</w:t>
      </w:r>
      <w:r w:rsidRPr="006C79F5">
        <w:rPr>
          <w:bCs/>
          <w:color w:val="000000"/>
          <w:shd w:val="clear" w:color="auto" w:fill="FFFFFF"/>
        </w:rPr>
        <w:t xml:space="preserve"> S</w:t>
      </w:r>
      <w:r>
        <w:rPr>
          <w:bCs/>
          <w:color w:val="000000"/>
          <w:shd w:val="clear" w:color="auto" w:fill="FFFFFF"/>
        </w:rPr>
        <w:t>.</w:t>
      </w:r>
      <w:r w:rsidRPr="006C79F5">
        <w:rPr>
          <w:bCs/>
          <w:color w:val="000000"/>
          <w:shd w:val="clear" w:color="auto" w:fill="FFFFFF"/>
        </w:rPr>
        <w:t>L</w:t>
      </w:r>
      <w:r>
        <w:rPr>
          <w:bCs/>
          <w:color w:val="000000"/>
          <w:shd w:val="clear" w:color="auto" w:fill="FFFFFF"/>
        </w:rPr>
        <w:t>.</w:t>
      </w:r>
      <w:r w:rsidRPr="006C79F5">
        <w:rPr>
          <w:color w:val="000000"/>
          <w:shd w:val="clear" w:color="auto" w:fill="FFFFFF"/>
        </w:rPr>
        <w:t>, </w:t>
      </w:r>
      <w:proofErr w:type="spellStart"/>
      <w:r w:rsidRPr="006C79F5">
        <w:rPr>
          <w:bCs/>
          <w:color w:val="000000"/>
          <w:shd w:val="clear" w:color="auto" w:fill="FFFFFF"/>
        </w:rPr>
        <w:t>Saade</w:t>
      </w:r>
      <w:proofErr w:type="spellEnd"/>
      <w:r>
        <w:rPr>
          <w:bCs/>
          <w:color w:val="000000"/>
          <w:shd w:val="clear" w:color="auto" w:fill="FFFFFF"/>
        </w:rPr>
        <w:t>,</w:t>
      </w:r>
      <w:r w:rsidRPr="006C79F5">
        <w:rPr>
          <w:bCs/>
          <w:color w:val="000000"/>
          <w:shd w:val="clear" w:color="auto" w:fill="FFFFFF"/>
        </w:rPr>
        <w:t xml:space="preserve"> G</w:t>
      </w:r>
      <w:r>
        <w:rPr>
          <w:bCs/>
          <w:color w:val="000000"/>
          <w:shd w:val="clear" w:color="auto" w:fill="FFFFFF"/>
        </w:rPr>
        <w:t>.</w:t>
      </w:r>
      <w:r w:rsidRPr="006C79F5">
        <w:rPr>
          <w:bCs/>
          <w:color w:val="000000"/>
          <w:shd w:val="clear" w:color="auto" w:fill="FFFFFF"/>
        </w:rPr>
        <w:t>R</w:t>
      </w:r>
      <w:r>
        <w:rPr>
          <w:bCs/>
          <w:color w:val="000000"/>
          <w:shd w:val="clear" w:color="auto" w:fill="FFFFFF"/>
        </w:rPr>
        <w:t>.</w:t>
      </w:r>
      <w:r w:rsidRPr="006C79F5">
        <w:rPr>
          <w:color w:val="000000"/>
          <w:shd w:val="clear" w:color="auto" w:fill="FFFFFF"/>
        </w:rPr>
        <w:t xml:space="preserve">, </w:t>
      </w:r>
      <w:proofErr w:type="spellStart"/>
      <w:r w:rsidRPr="006C79F5">
        <w:rPr>
          <w:color w:val="000000"/>
          <w:shd w:val="clear" w:color="auto" w:fill="FFFFFF"/>
        </w:rPr>
        <w:t>Kleja</w:t>
      </w:r>
      <w:proofErr w:type="spellEnd"/>
      <w:r>
        <w:rPr>
          <w:color w:val="000000"/>
          <w:shd w:val="clear" w:color="auto" w:fill="FFFFFF"/>
        </w:rPr>
        <w:t>,</w:t>
      </w:r>
      <w:r w:rsidRPr="006C79F5">
        <w:rPr>
          <w:color w:val="000000"/>
          <w:shd w:val="clear" w:color="auto" w:fill="FFFFFF"/>
        </w:rPr>
        <w:t xml:space="preserve"> K</w:t>
      </w:r>
      <w:r>
        <w:rPr>
          <w:color w:val="000000"/>
          <w:shd w:val="clear" w:color="auto" w:fill="FFFFFF"/>
        </w:rPr>
        <w:t>.</w:t>
      </w:r>
      <w:r w:rsidRPr="006C79F5">
        <w:rPr>
          <w:color w:val="000000"/>
          <w:shd w:val="clear" w:color="auto" w:fill="FFFFFF"/>
        </w:rPr>
        <w:t xml:space="preserve">, </w:t>
      </w:r>
      <w:proofErr w:type="spellStart"/>
      <w:r w:rsidRPr="006C79F5">
        <w:rPr>
          <w:color w:val="000000"/>
          <w:shd w:val="clear" w:color="auto" w:fill="FFFFFF"/>
        </w:rPr>
        <w:t>Dildy</w:t>
      </w:r>
      <w:proofErr w:type="spellEnd"/>
      <w:r>
        <w:rPr>
          <w:color w:val="000000"/>
          <w:shd w:val="clear" w:color="auto" w:fill="FFFFFF"/>
        </w:rPr>
        <w:t>,</w:t>
      </w:r>
      <w:r w:rsidRPr="006C79F5">
        <w:rPr>
          <w:color w:val="000000"/>
          <w:shd w:val="clear" w:color="auto" w:fill="FFFFFF"/>
        </w:rPr>
        <w:t xml:space="preserve"> G</w:t>
      </w:r>
      <w:r>
        <w:rPr>
          <w:color w:val="000000"/>
          <w:shd w:val="clear" w:color="auto" w:fill="FFFFFF"/>
        </w:rPr>
        <w:t>.</w:t>
      </w:r>
      <w:r w:rsidRPr="006C79F5">
        <w:rPr>
          <w:color w:val="000000"/>
          <w:shd w:val="clear" w:color="auto" w:fill="FFFFFF"/>
        </w:rPr>
        <w:t>A</w:t>
      </w:r>
      <w:r>
        <w:rPr>
          <w:color w:val="000000"/>
          <w:shd w:val="clear" w:color="auto" w:fill="FFFFFF"/>
        </w:rPr>
        <w:t>.</w:t>
      </w:r>
      <w:r w:rsidRPr="006C79F5">
        <w:rPr>
          <w:color w:val="000000"/>
          <w:shd w:val="clear" w:color="auto" w:fill="FFFFFF"/>
        </w:rPr>
        <w:t xml:space="preserve"> 3rd, Van Veen</w:t>
      </w:r>
      <w:r>
        <w:rPr>
          <w:color w:val="000000"/>
          <w:shd w:val="clear" w:color="auto" w:fill="FFFFFF"/>
        </w:rPr>
        <w:t>,</w:t>
      </w:r>
      <w:r w:rsidRPr="006C79F5">
        <w:rPr>
          <w:color w:val="000000"/>
          <w:shd w:val="clear" w:color="auto" w:fill="FFFFFF"/>
        </w:rPr>
        <w:t xml:space="preserve"> T</w:t>
      </w:r>
      <w:r>
        <w:rPr>
          <w:color w:val="000000"/>
          <w:shd w:val="clear" w:color="auto" w:fill="FFFFFF"/>
        </w:rPr>
        <w:t>.</w:t>
      </w:r>
      <w:r w:rsidRPr="006C79F5">
        <w:rPr>
          <w:color w:val="000000"/>
          <w:shd w:val="clear" w:color="auto" w:fill="FFFFFF"/>
        </w:rPr>
        <w:t>R</w:t>
      </w:r>
      <w:r>
        <w:rPr>
          <w:color w:val="000000"/>
          <w:shd w:val="clear" w:color="auto" w:fill="FFFFFF"/>
        </w:rPr>
        <w:t>.</w:t>
      </w:r>
      <w:r w:rsidRPr="006C79F5">
        <w:rPr>
          <w:color w:val="000000"/>
          <w:shd w:val="clear" w:color="auto" w:fill="FFFFFF"/>
        </w:rPr>
        <w:t xml:space="preserve">, …, </w:t>
      </w:r>
      <w:proofErr w:type="spellStart"/>
      <w:r w:rsidRPr="006C79F5">
        <w:rPr>
          <w:color w:val="000000"/>
          <w:shd w:val="clear" w:color="auto" w:fill="FFFFFF"/>
        </w:rPr>
        <w:t>Kofford</w:t>
      </w:r>
      <w:proofErr w:type="spellEnd"/>
      <w:r>
        <w:rPr>
          <w:color w:val="000000"/>
          <w:shd w:val="clear" w:color="auto" w:fill="FFFFFF"/>
        </w:rPr>
        <w:t>,</w:t>
      </w:r>
      <w:r w:rsidRPr="006C79F5">
        <w:rPr>
          <w:color w:val="000000"/>
          <w:shd w:val="clear" w:color="auto" w:fill="FFFFFF"/>
        </w:rPr>
        <w:t xml:space="preserve"> </w:t>
      </w:r>
      <w:proofErr w:type="gramStart"/>
      <w:r w:rsidRPr="006C79F5">
        <w:rPr>
          <w:color w:val="000000"/>
          <w:shd w:val="clear" w:color="auto" w:fill="FFFFFF"/>
        </w:rPr>
        <w:t>S</w:t>
      </w:r>
      <w:r>
        <w:rPr>
          <w:color w:val="000000"/>
          <w:shd w:val="clear" w:color="auto" w:fill="FFFFFF"/>
        </w:rPr>
        <w:t>.</w:t>
      </w:r>
      <w:r w:rsidRPr="006C79F5">
        <w:rPr>
          <w:color w:val="000000"/>
          <w:shd w:val="clear" w:color="auto" w:fill="FFFFFF"/>
        </w:rPr>
        <w:t>.</w:t>
      </w:r>
      <w:proofErr w:type="gramEnd"/>
      <w:r w:rsidRPr="006C79F5">
        <w:rPr>
          <w:color w:val="000000"/>
          <w:shd w:val="clear" w:color="auto" w:fill="FFFFFF"/>
        </w:rPr>
        <w:t xml:space="preserve"> </w:t>
      </w:r>
      <w:r w:rsidRPr="006C79F5">
        <w:rPr>
          <w:rStyle w:val="ff5"/>
        </w:rPr>
        <w:t>Ho</w:t>
      </w:r>
      <w:r w:rsidRPr="0071014B">
        <w:rPr>
          <w:rStyle w:val="ff5"/>
        </w:rPr>
        <w:t xml:space="preserve">spital readmission after delivery: evidence for an increased incidence of non-urogenital infection in the immediate postpartum period. Am J </w:t>
      </w:r>
      <w:proofErr w:type="spellStart"/>
      <w:r w:rsidRPr="0071014B">
        <w:rPr>
          <w:rStyle w:val="ff5"/>
        </w:rPr>
        <w:t>Obstet</w:t>
      </w:r>
      <w:proofErr w:type="spellEnd"/>
      <w:r w:rsidRPr="0071014B">
        <w:rPr>
          <w:rStyle w:val="ff5"/>
        </w:rPr>
        <w:t xml:space="preserve"> Gynecol. 2010; 202: 35.e1-e7.</w:t>
      </w:r>
    </w:p>
    <w:p w14:paraId="127C6960" w14:textId="4E69F609" w:rsidR="005507E7" w:rsidRPr="0071014B" w:rsidRDefault="005507E7" w:rsidP="00FA4C19">
      <w:pPr>
        <w:spacing w:before="120" w:line="240" w:lineRule="auto"/>
        <w:jc w:val="both"/>
        <w:rPr>
          <w:rStyle w:val="ff5"/>
        </w:rPr>
      </w:pPr>
      <w:proofErr w:type="spellStart"/>
      <w:r w:rsidRPr="0071014B">
        <w:rPr>
          <w:rStyle w:val="ff5"/>
        </w:rPr>
        <w:t>Boulvain</w:t>
      </w:r>
      <w:proofErr w:type="spellEnd"/>
      <w:r>
        <w:rPr>
          <w:rStyle w:val="ff5"/>
        </w:rPr>
        <w:t>,</w:t>
      </w:r>
      <w:r w:rsidRPr="0071014B">
        <w:rPr>
          <w:rStyle w:val="ff5"/>
        </w:rPr>
        <w:t xml:space="preserve"> M</w:t>
      </w:r>
      <w:r>
        <w:rPr>
          <w:rStyle w:val="ff5"/>
        </w:rPr>
        <w:t>.</w:t>
      </w:r>
      <w:r w:rsidRPr="0071014B">
        <w:rPr>
          <w:rStyle w:val="ff5"/>
        </w:rPr>
        <w:t xml:space="preserve">, </w:t>
      </w:r>
      <w:proofErr w:type="spellStart"/>
      <w:r w:rsidRPr="0071014B">
        <w:rPr>
          <w:rStyle w:val="ff5"/>
        </w:rPr>
        <w:t>Perneger</w:t>
      </w:r>
      <w:proofErr w:type="spellEnd"/>
      <w:r>
        <w:rPr>
          <w:rStyle w:val="ff5"/>
        </w:rPr>
        <w:t>,</w:t>
      </w:r>
      <w:r w:rsidRPr="0071014B">
        <w:rPr>
          <w:rStyle w:val="ff5"/>
        </w:rPr>
        <w:t xml:space="preserve"> T</w:t>
      </w:r>
      <w:r>
        <w:rPr>
          <w:rStyle w:val="ff5"/>
        </w:rPr>
        <w:t>.</w:t>
      </w:r>
      <w:r w:rsidRPr="0071014B">
        <w:rPr>
          <w:rStyle w:val="ff5"/>
        </w:rPr>
        <w:t>V</w:t>
      </w:r>
      <w:r>
        <w:rPr>
          <w:rStyle w:val="ff5"/>
        </w:rPr>
        <w:t>.</w:t>
      </w:r>
      <w:r w:rsidRPr="0071014B">
        <w:rPr>
          <w:rStyle w:val="ff5"/>
        </w:rPr>
        <w:t xml:space="preserve">, </w:t>
      </w:r>
      <w:proofErr w:type="spellStart"/>
      <w:r w:rsidRPr="0071014B">
        <w:rPr>
          <w:rStyle w:val="ff5"/>
        </w:rPr>
        <w:t>Othenin</w:t>
      </w:r>
      <w:proofErr w:type="spellEnd"/>
      <w:r w:rsidRPr="0071014B">
        <w:rPr>
          <w:rStyle w:val="ff5"/>
        </w:rPr>
        <w:t>-Girard</w:t>
      </w:r>
      <w:r>
        <w:rPr>
          <w:rStyle w:val="ff5"/>
        </w:rPr>
        <w:t>,</w:t>
      </w:r>
      <w:r w:rsidRPr="0071014B">
        <w:rPr>
          <w:rStyle w:val="ff5"/>
        </w:rPr>
        <w:t xml:space="preserve"> V</w:t>
      </w:r>
      <w:r>
        <w:rPr>
          <w:rStyle w:val="ff5"/>
        </w:rPr>
        <w:t>.</w:t>
      </w:r>
      <w:r w:rsidRPr="0071014B">
        <w:rPr>
          <w:rStyle w:val="ff5"/>
        </w:rPr>
        <w:t xml:space="preserve">, </w:t>
      </w:r>
      <w:proofErr w:type="spellStart"/>
      <w:r w:rsidRPr="0071014B">
        <w:rPr>
          <w:rStyle w:val="ff5"/>
        </w:rPr>
        <w:t>Petrou</w:t>
      </w:r>
      <w:proofErr w:type="spellEnd"/>
      <w:r>
        <w:rPr>
          <w:rStyle w:val="ff5"/>
        </w:rPr>
        <w:t>,</w:t>
      </w:r>
      <w:r w:rsidRPr="0071014B">
        <w:rPr>
          <w:rStyle w:val="ff5"/>
        </w:rPr>
        <w:t xml:space="preserve"> S</w:t>
      </w:r>
      <w:r>
        <w:rPr>
          <w:rStyle w:val="ff5"/>
        </w:rPr>
        <w:t>.</w:t>
      </w:r>
      <w:r w:rsidRPr="0071014B">
        <w:rPr>
          <w:rStyle w:val="ff5"/>
        </w:rPr>
        <w:t>, Berner</w:t>
      </w:r>
      <w:r>
        <w:rPr>
          <w:rStyle w:val="ff5"/>
        </w:rPr>
        <w:t>,</w:t>
      </w:r>
      <w:r w:rsidRPr="0071014B">
        <w:rPr>
          <w:rStyle w:val="ff5"/>
        </w:rPr>
        <w:t xml:space="preserve"> M</w:t>
      </w:r>
      <w:r>
        <w:rPr>
          <w:rStyle w:val="ff5"/>
        </w:rPr>
        <w:t>.</w:t>
      </w:r>
      <w:r w:rsidRPr="0071014B">
        <w:rPr>
          <w:rStyle w:val="ff5"/>
        </w:rPr>
        <w:t xml:space="preserve">, </w:t>
      </w:r>
      <w:proofErr w:type="spellStart"/>
      <w:r w:rsidRPr="0071014B">
        <w:rPr>
          <w:rStyle w:val="ff5"/>
        </w:rPr>
        <w:t>Irion</w:t>
      </w:r>
      <w:proofErr w:type="spellEnd"/>
      <w:r>
        <w:rPr>
          <w:rStyle w:val="ff5"/>
        </w:rPr>
        <w:t>,</w:t>
      </w:r>
      <w:r w:rsidRPr="0071014B">
        <w:rPr>
          <w:rStyle w:val="ff5"/>
        </w:rPr>
        <w:t xml:space="preserve"> O. Home-based versus hospital-based postnatal care: a randomised trial. Brit J </w:t>
      </w:r>
      <w:proofErr w:type="spellStart"/>
      <w:r w:rsidRPr="0071014B">
        <w:rPr>
          <w:rStyle w:val="ff5"/>
        </w:rPr>
        <w:t>Obstet</w:t>
      </w:r>
      <w:proofErr w:type="spellEnd"/>
      <w:r w:rsidRPr="0071014B">
        <w:rPr>
          <w:rStyle w:val="ff5"/>
        </w:rPr>
        <w:t xml:space="preserve"> </w:t>
      </w:r>
      <w:proofErr w:type="spellStart"/>
      <w:r w:rsidRPr="0071014B">
        <w:rPr>
          <w:rStyle w:val="ff5"/>
        </w:rPr>
        <w:t>Gynaecol</w:t>
      </w:r>
      <w:proofErr w:type="spellEnd"/>
      <w:r w:rsidRPr="0071014B">
        <w:rPr>
          <w:rStyle w:val="ff5"/>
        </w:rPr>
        <w:t>. 2004; 111: 807-813.</w:t>
      </w:r>
    </w:p>
    <w:p w14:paraId="49E330EF" w14:textId="1A6AA85B" w:rsidR="005507E7" w:rsidRPr="0071014B" w:rsidRDefault="005507E7" w:rsidP="00FA4C19">
      <w:pPr>
        <w:spacing w:before="120" w:line="240" w:lineRule="auto"/>
        <w:jc w:val="both"/>
        <w:rPr>
          <w:rStyle w:val="ff5"/>
        </w:rPr>
      </w:pPr>
      <w:r w:rsidRPr="0071014B">
        <w:rPr>
          <w:rStyle w:val="ff5"/>
        </w:rPr>
        <w:t>Chou</w:t>
      </w:r>
      <w:r>
        <w:rPr>
          <w:rStyle w:val="ff5"/>
        </w:rPr>
        <w:t>,</w:t>
      </w:r>
      <w:r w:rsidRPr="0071014B">
        <w:rPr>
          <w:rStyle w:val="ff5"/>
        </w:rPr>
        <w:t xml:space="preserve"> D</w:t>
      </w:r>
      <w:r>
        <w:rPr>
          <w:rStyle w:val="ff5"/>
        </w:rPr>
        <w:t>.</w:t>
      </w:r>
      <w:r w:rsidRPr="0071014B">
        <w:rPr>
          <w:rStyle w:val="ff5"/>
        </w:rPr>
        <w:t xml:space="preserve">, </w:t>
      </w:r>
      <w:proofErr w:type="spellStart"/>
      <w:r w:rsidRPr="0071014B">
        <w:rPr>
          <w:rStyle w:val="ff5"/>
        </w:rPr>
        <w:t>Tunçalp</w:t>
      </w:r>
      <w:proofErr w:type="spellEnd"/>
      <w:r>
        <w:rPr>
          <w:rStyle w:val="ff5"/>
        </w:rPr>
        <w:t>,</w:t>
      </w:r>
      <w:r w:rsidRPr="0071014B">
        <w:rPr>
          <w:rStyle w:val="ff5"/>
        </w:rPr>
        <w:t xml:space="preserve"> Ö</w:t>
      </w:r>
      <w:r>
        <w:rPr>
          <w:rStyle w:val="ff5"/>
        </w:rPr>
        <w:t>.</w:t>
      </w:r>
      <w:r w:rsidRPr="0071014B">
        <w:rPr>
          <w:rStyle w:val="ff5"/>
        </w:rPr>
        <w:t>, Firoz</w:t>
      </w:r>
      <w:r>
        <w:rPr>
          <w:rStyle w:val="ff5"/>
        </w:rPr>
        <w:t>,</w:t>
      </w:r>
      <w:r w:rsidRPr="0071014B">
        <w:rPr>
          <w:rStyle w:val="ff5"/>
        </w:rPr>
        <w:t xml:space="preserve"> T</w:t>
      </w:r>
      <w:r>
        <w:rPr>
          <w:rStyle w:val="ff5"/>
        </w:rPr>
        <w:t>.</w:t>
      </w:r>
      <w:r w:rsidRPr="0071014B">
        <w:rPr>
          <w:rStyle w:val="ff5"/>
        </w:rPr>
        <w:t xml:space="preserve">, </w:t>
      </w:r>
      <w:proofErr w:type="spellStart"/>
      <w:r w:rsidRPr="0071014B">
        <w:rPr>
          <w:rStyle w:val="ff5"/>
        </w:rPr>
        <w:t>Barreix</w:t>
      </w:r>
      <w:proofErr w:type="spellEnd"/>
      <w:r>
        <w:rPr>
          <w:rStyle w:val="ff5"/>
        </w:rPr>
        <w:t>,</w:t>
      </w:r>
      <w:r w:rsidRPr="0071014B">
        <w:rPr>
          <w:rStyle w:val="ff5"/>
        </w:rPr>
        <w:t xml:space="preserve"> M</w:t>
      </w:r>
      <w:r>
        <w:rPr>
          <w:rStyle w:val="ff5"/>
        </w:rPr>
        <w:t>.</w:t>
      </w:r>
      <w:r w:rsidRPr="0071014B">
        <w:rPr>
          <w:rStyle w:val="ff5"/>
        </w:rPr>
        <w:t xml:space="preserve">, </w:t>
      </w:r>
      <w:proofErr w:type="spellStart"/>
      <w:r w:rsidRPr="0071014B">
        <w:rPr>
          <w:rStyle w:val="ff5"/>
        </w:rPr>
        <w:t>Filippi</w:t>
      </w:r>
      <w:proofErr w:type="spellEnd"/>
      <w:r>
        <w:rPr>
          <w:rStyle w:val="ff5"/>
        </w:rPr>
        <w:t>,</w:t>
      </w:r>
      <w:r w:rsidRPr="0071014B">
        <w:rPr>
          <w:rStyle w:val="ff5"/>
        </w:rPr>
        <w:t xml:space="preserve"> V</w:t>
      </w:r>
      <w:r>
        <w:rPr>
          <w:rStyle w:val="ff5"/>
        </w:rPr>
        <w:t>.</w:t>
      </w:r>
      <w:r w:rsidRPr="0071014B">
        <w:rPr>
          <w:rStyle w:val="ff5"/>
        </w:rPr>
        <w:t>, von Dadelszen</w:t>
      </w:r>
      <w:r>
        <w:rPr>
          <w:rStyle w:val="ff5"/>
        </w:rPr>
        <w:t>,</w:t>
      </w:r>
      <w:r w:rsidRPr="0071014B">
        <w:rPr>
          <w:rStyle w:val="ff5"/>
        </w:rPr>
        <w:t xml:space="preserve"> P</w:t>
      </w:r>
      <w:r>
        <w:rPr>
          <w:rStyle w:val="ff5"/>
        </w:rPr>
        <w:t>.</w:t>
      </w:r>
      <w:r w:rsidRPr="0071014B">
        <w:rPr>
          <w:rStyle w:val="ff5"/>
        </w:rPr>
        <w:t xml:space="preserve">, </w:t>
      </w:r>
      <w:r>
        <w:rPr>
          <w:rStyle w:val="ff5"/>
        </w:rPr>
        <w:t>...</w:t>
      </w:r>
      <w:r w:rsidRPr="0071014B">
        <w:rPr>
          <w:rStyle w:val="ff5"/>
        </w:rPr>
        <w:t xml:space="preserve">, Say L; Maternal Morbidity Working Group. Constructing maternal morbidity - towards a standard tool to measure and monitor maternal health beyond mortality. BMC Pregnancy Childbirth. 2016 Mar 2;16:45. </w:t>
      </w:r>
      <w:proofErr w:type="spellStart"/>
      <w:r w:rsidRPr="0071014B">
        <w:rPr>
          <w:rStyle w:val="ff5"/>
        </w:rPr>
        <w:t>doi</w:t>
      </w:r>
      <w:proofErr w:type="spellEnd"/>
      <w:r w:rsidRPr="0071014B">
        <w:rPr>
          <w:rStyle w:val="ff5"/>
        </w:rPr>
        <w:t>: 10.1186/s12884-015-0789-4.</w:t>
      </w:r>
    </w:p>
    <w:p w14:paraId="2BD92F58" w14:textId="042CD4A1" w:rsidR="005507E7" w:rsidRPr="0071014B" w:rsidRDefault="005507E7" w:rsidP="00FA4C19">
      <w:pPr>
        <w:spacing w:before="120" w:line="240" w:lineRule="auto"/>
        <w:jc w:val="both"/>
        <w:rPr>
          <w:rStyle w:val="ff5"/>
        </w:rPr>
      </w:pPr>
      <w:r w:rsidRPr="0071014B">
        <w:rPr>
          <w:rStyle w:val="ff5"/>
        </w:rPr>
        <w:t>Eriksson</w:t>
      </w:r>
      <w:r>
        <w:rPr>
          <w:rStyle w:val="ff5"/>
        </w:rPr>
        <w:t>,</w:t>
      </w:r>
      <w:r w:rsidRPr="0071014B">
        <w:rPr>
          <w:rStyle w:val="ff5"/>
        </w:rPr>
        <w:t xml:space="preserve"> I</w:t>
      </w:r>
      <w:r>
        <w:rPr>
          <w:rStyle w:val="ff5"/>
        </w:rPr>
        <w:t>.</w:t>
      </w:r>
      <w:r w:rsidRPr="0071014B">
        <w:rPr>
          <w:rStyle w:val="ff5"/>
        </w:rPr>
        <w:t xml:space="preserve">, </w:t>
      </w:r>
      <w:proofErr w:type="spellStart"/>
      <w:r w:rsidRPr="0071014B">
        <w:rPr>
          <w:rStyle w:val="ff5"/>
        </w:rPr>
        <w:t>Undén</w:t>
      </w:r>
      <w:proofErr w:type="spellEnd"/>
      <w:r>
        <w:rPr>
          <w:rStyle w:val="ff5"/>
        </w:rPr>
        <w:t>,</w:t>
      </w:r>
      <w:r w:rsidRPr="0071014B">
        <w:rPr>
          <w:rStyle w:val="ff5"/>
        </w:rPr>
        <w:t xml:space="preserve"> A</w:t>
      </w:r>
      <w:r>
        <w:rPr>
          <w:rStyle w:val="ff5"/>
        </w:rPr>
        <w:t>.</w:t>
      </w:r>
      <w:r w:rsidRPr="0071014B">
        <w:rPr>
          <w:rStyle w:val="ff5"/>
        </w:rPr>
        <w:t>-L</w:t>
      </w:r>
      <w:r>
        <w:rPr>
          <w:rStyle w:val="ff5"/>
        </w:rPr>
        <w:t>.</w:t>
      </w:r>
      <w:r w:rsidRPr="0071014B">
        <w:rPr>
          <w:rStyle w:val="ff5"/>
        </w:rPr>
        <w:t xml:space="preserve">, </w:t>
      </w:r>
      <w:proofErr w:type="spellStart"/>
      <w:r w:rsidRPr="0071014B">
        <w:rPr>
          <w:rStyle w:val="ff5"/>
        </w:rPr>
        <w:t>Elofsson</w:t>
      </w:r>
      <w:proofErr w:type="spellEnd"/>
      <w:r>
        <w:rPr>
          <w:rStyle w:val="ff5"/>
        </w:rPr>
        <w:t>,</w:t>
      </w:r>
      <w:r w:rsidRPr="0071014B">
        <w:rPr>
          <w:rStyle w:val="ff5"/>
        </w:rPr>
        <w:t xml:space="preserve"> S. Self-rated health. Comparisons between three different measures. Results from a population study. Int J </w:t>
      </w:r>
      <w:proofErr w:type="spellStart"/>
      <w:r w:rsidRPr="0071014B">
        <w:rPr>
          <w:rStyle w:val="ff5"/>
        </w:rPr>
        <w:t>Epidemiol</w:t>
      </w:r>
      <w:proofErr w:type="spellEnd"/>
      <w:r w:rsidRPr="0071014B">
        <w:rPr>
          <w:rStyle w:val="ff5"/>
        </w:rPr>
        <w:t>. 2001; 30: 326-333. doi:10.1093/</w:t>
      </w:r>
      <w:proofErr w:type="spellStart"/>
      <w:r w:rsidRPr="0071014B">
        <w:rPr>
          <w:rStyle w:val="ff5"/>
        </w:rPr>
        <w:t>ije</w:t>
      </w:r>
      <w:proofErr w:type="spellEnd"/>
      <w:r w:rsidRPr="0071014B">
        <w:rPr>
          <w:rStyle w:val="ff5"/>
        </w:rPr>
        <w:t>/30.2.326</w:t>
      </w:r>
    </w:p>
    <w:p w14:paraId="45FA19BC" w14:textId="5D4AD8BC" w:rsidR="005507E7" w:rsidRPr="0071014B" w:rsidRDefault="005507E7" w:rsidP="00FA4C19">
      <w:pPr>
        <w:spacing w:before="120" w:line="240" w:lineRule="auto"/>
        <w:jc w:val="both"/>
        <w:rPr>
          <w:rStyle w:val="ff5"/>
        </w:rPr>
      </w:pPr>
      <w:r w:rsidRPr="0071014B">
        <w:rPr>
          <w:rStyle w:val="ff5"/>
        </w:rPr>
        <w:t>Filmer</w:t>
      </w:r>
      <w:r>
        <w:rPr>
          <w:rStyle w:val="ff5"/>
        </w:rPr>
        <w:t>,</w:t>
      </w:r>
      <w:r w:rsidRPr="0071014B">
        <w:rPr>
          <w:rStyle w:val="ff5"/>
        </w:rPr>
        <w:t xml:space="preserve"> D</w:t>
      </w:r>
      <w:r>
        <w:rPr>
          <w:rStyle w:val="ff5"/>
        </w:rPr>
        <w:t>.</w:t>
      </w:r>
      <w:r w:rsidRPr="0071014B">
        <w:rPr>
          <w:rStyle w:val="ff5"/>
        </w:rPr>
        <w:t>, Pritchett</w:t>
      </w:r>
      <w:r>
        <w:rPr>
          <w:rStyle w:val="ff5"/>
        </w:rPr>
        <w:t>,</w:t>
      </w:r>
      <w:r w:rsidRPr="0071014B">
        <w:rPr>
          <w:rStyle w:val="ff5"/>
        </w:rPr>
        <w:t xml:space="preserve"> L. Estimating wealth effects without expenditure data - or tears: an application to educational </w:t>
      </w:r>
      <w:proofErr w:type="spellStart"/>
      <w:r w:rsidRPr="0071014B">
        <w:rPr>
          <w:rStyle w:val="ff5"/>
        </w:rPr>
        <w:t>enrollments</w:t>
      </w:r>
      <w:proofErr w:type="spellEnd"/>
      <w:r w:rsidRPr="0071014B">
        <w:rPr>
          <w:rStyle w:val="ff5"/>
        </w:rPr>
        <w:t xml:space="preserve"> in states of India. Demography. 2001; 38: 115-132.</w:t>
      </w:r>
    </w:p>
    <w:p w14:paraId="4EA408E2" w14:textId="54987883" w:rsidR="005507E7" w:rsidRPr="0071014B" w:rsidRDefault="005507E7" w:rsidP="00FA4C19">
      <w:pPr>
        <w:pStyle w:val="HTMLPreformatted"/>
        <w:spacing w:before="120"/>
        <w:jc w:val="both"/>
        <w:rPr>
          <w:rStyle w:val="ff5"/>
          <w:rFonts w:ascii="Times New Roman" w:hAnsi="Times New Roman" w:cs="Times New Roman"/>
          <w:sz w:val="24"/>
          <w:szCs w:val="24"/>
        </w:rPr>
      </w:pPr>
      <w:r w:rsidRPr="006C79F5">
        <w:rPr>
          <w:rFonts w:ascii="Times New Roman" w:hAnsi="Times New Roman" w:cs="Times New Roman"/>
          <w:color w:val="000000"/>
          <w:sz w:val="24"/>
        </w:rPr>
        <w:t xml:space="preserve">Firoz T, Chou D, von Dadelszen P, Agrawal P, </w:t>
      </w:r>
      <w:proofErr w:type="spellStart"/>
      <w:r w:rsidRPr="006C79F5">
        <w:rPr>
          <w:rFonts w:ascii="Times New Roman" w:hAnsi="Times New Roman" w:cs="Times New Roman"/>
          <w:color w:val="000000"/>
          <w:sz w:val="24"/>
        </w:rPr>
        <w:t>Vanderkruik</w:t>
      </w:r>
      <w:proofErr w:type="spellEnd"/>
      <w:r w:rsidRPr="006C79F5">
        <w:rPr>
          <w:rFonts w:ascii="Times New Roman" w:hAnsi="Times New Roman" w:cs="Times New Roman"/>
          <w:color w:val="000000"/>
          <w:sz w:val="24"/>
        </w:rPr>
        <w:t xml:space="preserve"> R, </w:t>
      </w:r>
      <w:proofErr w:type="spellStart"/>
      <w:r w:rsidRPr="006C79F5">
        <w:rPr>
          <w:rFonts w:ascii="Times New Roman" w:hAnsi="Times New Roman" w:cs="Times New Roman"/>
          <w:color w:val="000000"/>
          <w:sz w:val="24"/>
        </w:rPr>
        <w:t>Tunçalp</w:t>
      </w:r>
      <w:proofErr w:type="spellEnd"/>
      <w:r w:rsidRPr="006C79F5">
        <w:rPr>
          <w:rFonts w:ascii="Times New Roman" w:hAnsi="Times New Roman" w:cs="Times New Roman"/>
          <w:color w:val="000000"/>
          <w:sz w:val="24"/>
        </w:rPr>
        <w:t xml:space="preserve"> </w:t>
      </w:r>
      <w:r w:rsidRPr="0071014B">
        <w:rPr>
          <w:rStyle w:val="ff5"/>
          <w:rFonts w:ascii="Times New Roman" w:hAnsi="Times New Roman" w:cs="Times New Roman"/>
          <w:sz w:val="24"/>
          <w:szCs w:val="24"/>
        </w:rPr>
        <w:t>Ö</w:t>
      </w:r>
      <w:r w:rsidRPr="006C79F5">
        <w:rPr>
          <w:rFonts w:ascii="Times New Roman" w:hAnsi="Times New Roman" w:cs="Times New Roman"/>
          <w:color w:val="000000"/>
          <w:sz w:val="24"/>
        </w:rPr>
        <w:t>,</w:t>
      </w:r>
      <w:r>
        <w:rPr>
          <w:rFonts w:ascii="Times New Roman" w:hAnsi="Times New Roman" w:cs="Times New Roman"/>
          <w:color w:val="000000"/>
          <w:sz w:val="24"/>
        </w:rPr>
        <w:t xml:space="preserve"> …</w:t>
      </w:r>
      <w:r w:rsidRPr="006C79F5">
        <w:rPr>
          <w:rFonts w:ascii="Times New Roman" w:hAnsi="Times New Roman" w:cs="Times New Roman"/>
          <w:color w:val="000000"/>
          <w:sz w:val="24"/>
        </w:rPr>
        <w:t xml:space="preserve">, Say L; Maternal Morbidity Working Group. Measuring maternal health: focus on maternal morbidity. Bull World Health Organ. 2013 Oct 1;91(10):794-6. </w:t>
      </w:r>
      <w:proofErr w:type="spellStart"/>
      <w:r w:rsidRPr="006C79F5">
        <w:rPr>
          <w:rFonts w:ascii="Times New Roman" w:hAnsi="Times New Roman" w:cs="Times New Roman"/>
          <w:color w:val="000000"/>
          <w:sz w:val="24"/>
        </w:rPr>
        <w:t>doi</w:t>
      </w:r>
      <w:proofErr w:type="spellEnd"/>
      <w:r w:rsidRPr="006C79F5">
        <w:rPr>
          <w:rFonts w:ascii="Times New Roman" w:hAnsi="Times New Roman" w:cs="Times New Roman"/>
          <w:color w:val="000000"/>
          <w:sz w:val="24"/>
        </w:rPr>
        <w:t xml:space="preserve">: 10.2471/BLT.13.117564. </w:t>
      </w:r>
      <w:r>
        <w:rPr>
          <w:rFonts w:ascii="Times New Roman" w:hAnsi="Times New Roman" w:cs="Times New Roman"/>
          <w:color w:val="000000"/>
          <w:sz w:val="24"/>
        </w:rPr>
        <w:t xml:space="preserve"> </w:t>
      </w:r>
    </w:p>
    <w:p w14:paraId="3CBA9E91" w14:textId="162135D0" w:rsidR="005507E7" w:rsidRPr="00A3337B" w:rsidRDefault="005507E7" w:rsidP="00FA4C19">
      <w:pPr>
        <w:pStyle w:val="HTMLPreformatted"/>
        <w:spacing w:before="120"/>
        <w:jc w:val="both"/>
        <w:rPr>
          <w:rFonts w:ascii="Times New Roman" w:hAnsi="Times New Roman" w:cs="Times New Roman"/>
          <w:sz w:val="22"/>
          <w:szCs w:val="22"/>
        </w:rPr>
      </w:pPr>
      <w:r w:rsidRPr="00B737A7">
        <w:rPr>
          <w:rFonts w:ascii="Times New Roman" w:hAnsi="Times New Roman" w:cs="Times New Roman"/>
          <w:color w:val="000000"/>
          <w:sz w:val="24"/>
        </w:rPr>
        <w:t>Global Burden of Disease Study 2013 Collaborators. Global, regional, and</w:t>
      </w:r>
      <w:r>
        <w:rPr>
          <w:rFonts w:ascii="Times New Roman" w:hAnsi="Times New Roman" w:cs="Times New Roman"/>
          <w:color w:val="000000"/>
          <w:sz w:val="24"/>
        </w:rPr>
        <w:t xml:space="preserve"> </w:t>
      </w:r>
      <w:r w:rsidRPr="00B737A7">
        <w:rPr>
          <w:rFonts w:ascii="Times New Roman" w:hAnsi="Times New Roman" w:cs="Times New Roman"/>
          <w:color w:val="000000"/>
          <w:sz w:val="24"/>
        </w:rPr>
        <w:t xml:space="preserve">national </w:t>
      </w:r>
      <w:r>
        <w:rPr>
          <w:rFonts w:ascii="Times New Roman" w:hAnsi="Times New Roman" w:cs="Times New Roman"/>
          <w:color w:val="000000"/>
          <w:sz w:val="24"/>
        </w:rPr>
        <w:t>i</w:t>
      </w:r>
      <w:r w:rsidRPr="00B737A7">
        <w:rPr>
          <w:rFonts w:ascii="Times New Roman" w:hAnsi="Times New Roman" w:cs="Times New Roman"/>
          <w:color w:val="000000"/>
          <w:sz w:val="24"/>
        </w:rPr>
        <w:t xml:space="preserve">ncidence, prevalence, and years lived with disability for 301 acute and chronic diseases and injuries in 188 </w:t>
      </w:r>
      <w:r w:rsidRPr="00A3337B">
        <w:rPr>
          <w:rFonts w:ascii="Times New Roman" w:hAnsi="Times New Roman" w:cs="Times New Roman"/>
          <w:sz w:val="24"/>
        </w:rPr>
        <w:t xml:space="preserve">countries, 1990-2013: a systematic analysis for the Global Burden of Disease Study 2013. Lancet. </w:t>
      </w:r>
      <w:r w:rsidRPr="00A3337B">
        <w:rPr>
          <w:rFonts w:ascii="Times New Roman" w:hAnsi="Times New Roman" w:cs="Times New Roman"/>
          <w:sz w:val="22"/>
          <w:szCs w:val="22"/>
        </w:rPr>
        <w:t xml:space="preserve">2015 Aug 22;386(9995):743-800. </w:t>
      </w:r>
      <w:proofErr w:type="spellStart"/>
      <w:r w:rsidRPr="00A3337B">
        <w:rPr>
          <w:rFonts w:ascii="Times New Roman" w:hAnsi="Times New Roman" w:cs="Times New Roman"/>
          <w:sz w:val="22"/>
          <w:szCs w:val="22"/>
        </w:rPr>
        <w:t>doi</w:t>
      </w:r>
      <w:proofErr w:type="spellEnd"/>
      <w:r w:rsidRPr="00A3337B">
        <w:rPr>
          <w:rFonts w:ascii="Times New Roman" w:hAnsi="Times New Roman" w:cs="Times New Roman"/>
          <w:sz w:val="22"/>
          <w:szCs w:val="22"/>
        </w:rPr>
        <w:t xml:space="preserve">: 10.1016/S0140-6736(15)60692-4. </w:t>
      </w:r>
    </w:p>
    <w:p w14:paraId="53C26A66" w14:textId="37934CCF" w:rsidR="00A3337B" w:rsidRPr="00A3337B" w:rsidRDefault="00151CBE" w:rsidP="00FA4C19">
      <w:pPr>
        <w:pStyle w:val="HTMLPreformatted"/>
        <w:spacing w:before="120"/>
        <w:jc w:val="both"/>
        <w:rPr>
          <w:rStyle w:val="ff5"/>
          <w:rFonts w:ascii="Times New Roman" w:hAnsi="Times New Roman" w:cs="Times New Roman"/>
          <w:sz w:val="24"/>
          <w:szCs w:val="24"/>
        </w:rPr>
      </w:pPr>
      <w:r w:rsidRPr="00A3337B">
        <w:rPr>
          <w:rFonts w:ascii="Times New Roman" w:hAnsi="Times New Roman" w:cs="Times New Roman"/>
          <w:sz w:val="24"/>
          <w:szCs w:val="24"/>
          <w:shd w:val="clear" w:color="auto" w:fill="FFFFFF"/>
        </w:rPr>
        <w:t>The Jamaican Birth Cohort Study 2011</w:t>
      </w:r>
      <w:r w:rsidR="007E57E9" w:rsidRPr="00A3337B">
        <w:rPr>
          <w:rFonts w:ascii="Times New Roman" w:hAnsi="Times New Roman" w:cs="Times New Roman"/>
          <w:sz w:val="24"/>
          <w:szCs w:val="24"/>
          <w:shd w:val="clear" w:color="auto" w:fill="FFFFFF"/>
        </w:rPr>
        <w:t xml:space="preserve">. January 2019. </w:t>
      </w:r>
      <w:hyperlink r:id="rId11" w:history="1">
        <w:r w:rsidR="00A3337B" w:rsidRPr="00472F18">
          <w:rPr>
            <w:rStyle w:val="Hyperlink"/>
            <w:rFonts w:ascii="Times New Roman" w:hAnsi="Times New Roman" w:cs="Times New Roman"/>
            <w:sz w:val="24"/>
            <w:szCs w:val="24"/>
          </w:rPr>
          <w:t>https://www.mona.uwi.edu/fms/jakids/</w:t>
        </w:r>
      </w:hyperlink>
    </w:p>
    <w:p w14:paraId="5E61ED7A" w14:textId="326C7046" w:rsidR="005507E7" w:rsidRPr="00A3337B" w:rsidRDefault="005507E7" w:rsidP="00FA4C19">
      <w:pPr>
        <w:spacing w:before="120" w:line="240" w:lineRule="auto"/>
        <w:jc w:val="both"/>
        <w:rPr>
          <w:rStyle w:val="ff5"/>
        </w:rPr>
      </w:pPr>
      <w:r w:rsidRPr="00A3337B">
        <w:rPr>
          <w:rStyle w:val="ff5"/>
          <w:sz w:val="22"/>
          <w:szCs w:val="22"/>
        </w:rPr>
        <w:t xml:space="preserve">Lindquist, A., </w:t>
      </w:r>
      <w:proofErr w:type="spellStart"/>
      <w:r w:rsidRPr="00A3337B">
        <w:rPr>
          <w:rStyle w:val="ff5"/>
          <w:sz w:val="22"/>
          <w:szCs w:val="22"/>
        </w:rPr>
        <w:t>Kurinczuk</w:t>
      </w:r>
      <w:proofErr w:type="spellEnd"/>
      <w:r w:rsidRPr="00A3337B">
        <w:rPr>
          <w:rStyle w:val="ff5"/>
          <w:sz w:val="22"/>
          <w:szCs w:val="22"/>
        </w:rPr>
        <w:t xml:space="preserve">, J.J., </w:t>
      </w:r>
      <w:proofErr w:type="spellStart"/>
      <w:r w:rsidRPr="00A3337B">
        <w:rPr>
          <w:rStyle w:val="ff5"/>
          <w:sz w:val="22"/>
          <w:szCs w:val="22"/>
        </w:rPr>
        <w:t>Redshaw</w:t>
      </w:r>
      <w:proofErr w:type="spellEnd"/>
      <w:r w:rsidRPr="00A3337B">
        <w:rPr>
          <w:rStyle w:val="ff5"/>
          <w:sz w:val="22"/>
          <w:szCs w:val="22"/>
        </w:rPr>
        <w:t xml:space="preserve">, M., Knight, M. Experiences, utilisation and outcomes of maternity care in England among women from different socio-economic groups: findings from the 2010 National Maternity Survey. Brit J </w:t>
      </w:r>
      <w:proofErr w:type="spellStart"/>
      <w:r w:rsidRPr="00A3337B">
        <w:rPr>
          <w:rStyle w:val="ff5"/>
          <w:sz w:val="22"/>
          <w:szCs w:val="22"/>
        </w:rPr>
        <w:t>Obstet</w:t>
      </w:r>
      <w:proofErr w:type="spellEnd"/>
      <w:r w:rsidRPr="00A3337B">
        <w:rPr>
          <w:rStyle w:val="ff5"/>
        </w:rPr>
        <w:t xml:space="preserve"> </w:t>
      </w:r>
      <w:proofErr w:type="spellStart"/>
      <w:r w:rsidRPr="00A3337B">
        <w:rPr>
          <w:rStyle w:val="ff5"/>
        </w:rPr>
        <w:t>Gynaecol</w:t>
      </w:r>
      <w:proofErr w:type="spellEnd"/>
      <w:r w:rsidRPr="00A3337B">
        <w:rPr>
          <w:rStyle w:val="ff5"/>
        </w:rPr>
        <w:t>. 2014; 122: 1610-1617.</w:t>
      </w:r>
    </w:p>
    <w:p w14:paraId="6DE04220" w14:textId="117D6100" w:rsidR="005507E7" w:rsidRPr="0071014B" w:rsidRDefault="005507E7" w:rsidP="00FA4C19">
      <w:pPr>
        <w:spacing w:before="120" w:line="240" w:lineRule="auto"/>
        <w:jc w:val="both"/>
        <w:rPr>
          <w:rStyle w:val="ff5"/>
        </w:rPr>
      </w:pPr>
      <w:proofErr w:type="spellStart"/>
      <w:r w:rsidRPr="0071014B">
        <w:rPr>
          <w:rStyle w:val="ff5"/>
        </w:rPr>
        <w:t>Liskin</w:t>
      </w:r>
      <w:proofErr w:type="spellEnd"/>
      <w:r>
        <w:rPr>
          <w:rStyle w:val="ff5"/>
        </w:rPr>
        <w:t>,</w:t>
      </w:r>
      <w:r w:rsidRPr="0071014B">
        <w:rPr>
          <w:rStyle w:val="ff5"/>
        </w:rPr>
        <w:t xml:space="preserve"> L</w:t>
      </w:r>
      <w:r>
        <w:rPr>
          <w:rStyle w:val="ff5"/>
        </w:rPr>
        <w:t>.</w:t>
      </w:r>
      <w:r w:rsidRPr="0071014B">
        <w:rPr>
          <w:rStyle w:val="ff5"/>
        </w:rPr>
        <w:t xml:space="preserve">S. Maternal morbidity in developing countries: a review and comments. Int J </w:t>
      </w:r>
      <w:proofErr w:type="spellStart"/>
      <w:r w:rsidRPr="0071014B">
        <w:rPr>
          <w:rStyle w:val="ff5"/>
        </w:rPr>
        <w:t>Gynecol</w:t>
      </w:r>
      <w:proofErr w:type="spellEnd"/>
      <w:r w:rsidRPr="0071014B">
        <w:rPr>
          <w:rStyle w:val="ff5"/>
        </w:rPr>
        <w:t xml:space="preserve"> Obstet. 1992; 37: 77-87.</w:t>
      </w:r>
    </w:p>
    <w:p w14:paraId="26BBBCF9" w14:textId="62790B59" w:rsidR="005507E7" w:rsidRPr="0071014B" w:rsidRDefault="005507E7" w:rsidP="00FA4C19">
      <w:pPr>
        <w:pStyle w:val="HTMLPreformatted"/>
        <w:spacing w:before="120"/>
        <w:jc w:val="both"/>
        <w:rPr>
          <w:rStyle w:val="ff5"/>
          <w:rFonts w:ascii="Times New Roman" w:hAnsi="Times New Roman" w:cs="Times New Roman"/>
          <w:sz w:val="24"/>
          <w:szCs w:val="24"/>
        </w:rPr>
      </w:pPr>
      <w:r w:rsidRPr="002E4856">
        <w:rPr>
          <w:rFonts w:ascii="Times New Roman" w:hAnsi="Times New Roman" w:cs="Times New Roman"/>
          <w:color w:val="000000"/>
          <w:sz w:val="24"/>
        </w:rPr>
        <w:t>Liu</w:t>
      </w:r>
      <w:r>
        <w:rPr>
          <w:rFonts w:ascii="Times New Roman" w:hAnsi="Times New Roman" w:cs="Times New Roman"/>
          <w:color w:val="000000"/>
          <w:sz w:val="24"/>
        </w:rPr>
        <w:t>,</w:t>
      </w:r>
      <w:r w:rsidRPr="002E4856">
        <w:rPr>
          <w:rFonts w:ascii="Times New Roman" w:hAnsi="Times New Roman" w:cs="Times New Roman"/>
          <w:color w:val="000000"/>
          <w:sz w:val="24"/>
        </w:rPr>
        <w:t xml:space="preserve"> S</w:t>
      </w:r>
      <w:r>
        <w:rPr>
          <w:rFonts w:ascii="Times New Roman" w:hAnsi="Times New Roman" w:cs="Times New Roman"/>
          <w:color w:val="000000"/>
          <w:sz w:val="24"/>
        </w:rPr>
        <w:t>.</w:t>
      </w:r>
      <w:r w:rsidRPr="002E4856">
        <w:rPr>
          <w:rFonts w:ascii="Times New Roman" w:hAnsi="Times New Roman" w:cs="Times New Roman"/>
          <w:color w:val="000000"/>
          <w:sz w:val="24"/>
        </w:rPr>
        <w:t xml:space="preserve">, </w:t>
      </w:r>
      <w:proofErr w:type="spellStart"/>
      <w:r w:rsidRPr="002E4856">
        <w:rPr>
          <w:rFonts w:ascii="Times New Roman" w:hAnsi="Times New Roman" w:cs="Times New Roman"/>
          <w:color w:val="000000"/>
          <w:sz w:val="24"/>
        </w:rPr>
        <w:t>Heaman</w:t>
      </w:r>
      <w:proofErr w:type="spellEnd"/>
      <w:r>
        <w:rPr>
          <w:rFonts w:ascii="Times New Roman" w:hAnsi="Times New Roman" w:cs="Times New Roman"/>
          <w:color w:val="000000"/>
          <w:sz w:val="24"/>
        </w:rPr>
        <w:t>,</w:t>
      </w:r>
      <w:r w:rsidRPr="002E4856">
        <w:rPr>
          <w:rFonts w:ascii="Times New Roman" w:hAnsi="Times New Roman" w:cs="Times New Roman"/>
          <w:color w:val="000000"/>
          <w:sz w:val="24"/>
        </w:rPr>
        <w:t xml:space="preserve"> M</w:t>
      </w:r>
      <w:r>
        <w:rPr>
          <w:rFonts w:ascii="Times New Roman" w:hAnsi="Times New Roman" w:cs="Times New Roman"/>
          <w:color w:val="000000"/>
          <w:sz w:val="24"/>
        </w:rPr>
        <w:t>.</w:t>
      </w:r>
      <w:r w:rsidRPr="002E4856">
        <w:rPr>
          <w:rFonts w:ascii="Times New Roman" w:hAnsi="Times New Roman" w:cs="Times New Roman"/>
          <w:color w:val="000000"/>
          <w:sz w:val="24"/>
        </w:rPr>
        <w:t>, Kramer</w:t>
      </w:r>
      <w:r>
        <w:rPr>
          <w:rFonts w:ascii="Times New Roman" w:hAnsi="Times New Roman" w:cs="Times New Roman"/>
          <w:color w:val="000000"/>
          <w:sz w:val="24"/>
        </w:rPr>
        <w:t>,</w:t>
      </w:r>
      <w:r w:rsidRPr="002E4856">
        <w:rPr>
          <w:rFonts w:ascii="Times New Roman" w:hAnsi="Times New Roman" w:cs="Times New Roman"/>
          <w:color w:val="000000"/>
          <w:sz w:val="24"/>
        </w:rPr>
        <w:t xml:space="preserve"> M</w:t>
      </w:r>
      <w:r>
        <w:rPr>
          <w:rFonts w:ascii="Times New Roman" w:hAnsi="Times New Roman" w:cs="Times New Roman"/>
          <w:color w:val="000000"/>
          <w:sz w:val="24"/>
        </w:rPr>
        <w:t>.</w:t>
      </w:r>
      <w:r w:rsidRPr="002E4856">
        <w:rPr>
          <w:rFonts w:ascii="Times New Roman" w:hAnsi="Times New Roman" w:cs="Times New Roman"/>
          <w:color w:val="000000"/>
          <w:sz w:val="24"/>
        </w:rPr>
        <w:t>S</w:t>
      </w:r>
      <w:r>
        <w:rPr>
          <w:rFonts w:ascii="Times New Roman" w:hAnsi="Times New Roman" w:cs="Times New Roman"/>
          <w:color w:val="000000"/>
          <w:sz w:val="24"/>
        </w:rPr>
        <w:t>.</w:t>
      </w:r>
      <w:r w:rsidRPr="002E4856">
        <w:rPr>
          <w:rFonts w:ascii="Times New Roman" w:hAnsi="Times New Roman" w:cs="Times New Roman"/>
          <w:color w:val="000000"/>
          <w:sz w:val="24"/>
        </w:rPr>
        <w:t xml:space="preserve">, </w:t>
      </w:r>
      <w:proofErr w:type="spellStart"/>
      <w:r w:rsidRPr="002E4856">
        <w:rPr>
          <w:rFonts w:ascii="Times New Roman" w:hAnsi="Times New Roman" w:cs="Times New Roman"/>
          <w:color w:val="000000"/>
          <w:sz w:val="24"/>
        </w:rPr>
        <w:t>Demissie</w:t>
      </w:r>
      <w:proofErr w:type="spellEnd"/>
      <w:r>
        <w:rPr>
          <w:rFonts w:ascii="Times New Roman" w:hAnsi="Times New Roman" w:cs="Times New Roman"/>
          <w:color w:val="000000"/>
          <w:sz w:val="24"/>
        </w:rPr>
        <w:t>,</w:t>
      </w:r>
      <w:r w:rsidRPr="002E4856">
        <w:rPr>
          <w:rFonts w:ascii="Times New Roman" w:hAnsi="Times New Roman" w:cs="Times New Roman"/>
          <w:color w:val="000000"/>
          <w:sz w:val="24"/>
        </w:rPr>
        <w:t xml:space="preserve"> K</w:t>
      </w:r>
      <w:r>
        <w:rPr>
          <w:rFonts w:ascii="Times New Roman" w:hAnsi="Times New Roman" w:cs="Times New Roman"/>
          <w:color w:val="000000"/>
          <w:sz w:val="24"/>
        </w:rPr>
        <w:t>.</w:t>
      </w:r>
      <w:r w:rsidRPr="002E4856">
        <w:rPr>
          <w:rFonts w:ascii="Times New Roman" w:hAnsi="Times New Roman" w:cs="Times New Roman"/>
          <w:color w:val="000000"/>
          <w:sz w:val="24"/>
        </w:rPr>
        <w:t>, Wen</w:t>
      </w:r>
      <w:r>
        <w:rPr>
          <w:rFonts w:ascii="Times New Roman" w:hAnsi="Times New Roman" w:cs="Times New Roman"/>
          <w:color w:val="000000"/>
          <w:sz w:val="24"/>
        </w:rPr>
        <w:t>,</w:t>
      </w:r>
      <w:r w:rsidRPr="002E4856">
        <w:rPr>
          <w:rFonts w:ascii="Times New Roman" w:hAnsi="Times New Roman" w:cs="Times New Roman"/>
          <w:color w:val="000000"/>
          <w:sz w:val="24"/>
        </w:rPr>
        <w:t xml:space="preserve"> S</w:t>
      </w:r>
      <w:r>
        <w:rPr>
          <w:rFonts w:ascii="Times New Roman" w:hAnsi="Times New Roman" w:cs="Times New Roman"/>
          <w:color w:val="000000"/>
          <w:sz w:val="24"/>
        </w:rPr>
        <w:t>.</w:t>
      </w:r>
      <w:r w:rsidRPr="002E4856">
        <w:rPr>
          <w:rFonts w:ascii="Times New Roman" w:hAnsi="Times New Roman" w:cs="Times New Roman"/>
          <w:color w:val="000000"/>
          <w:sz w:val="24"/>
        </w:rPr>
        <w:t>W</w:t>
      </w:r>
      <w:r>
        <w:rPr>
          <w:rFonts w:ascii="Times New Roman" w:hAnsi="Times New Roman" w:cs="Times New Roman"/>
          <w:color w:val="000000"/>
          <w:sz w:val="24"/>
        </w:rPr>
        <w:t>.</w:t>
      </w:r>
      <w:r w:rsidRPr="002E4856">
        <w:rPr>
          <w:rFonts w:ascii="Times New Roman" w:hAnsi="Times New Roman" w:cs="Times New Roman"/>
          <w:color w:val="000000"/>
          <w:sz w:val="24"/>
        </w:rPr>
        <w:t>, Marcoux</w:t>
      </w:r>
      <w:r>
        <w:rPr>
          <w:rFonts w:ascii="Times New Roman" w:hAnsi="Times New Roman" w:cs="Times New Roman"/>
          <w:color w:val="000000"/>
          <w:sz w:val="24"/>
        </w:rPr>
        <w:t>,</w:t>
      </w:r>
      <w:r w:rsidRPr="002E4856">
        <w:rPr>
          <w:rFonts w:ascii="Times New Roman" w:hAnsi="Times New Roman" w:cs="Times New Roman"/>
          <w:color w:val="000000"/>
          <w:sz w:val="24"/>
        </w:rPr>
        <w:t xml:space="preserve"> S</w:t>
      </w:r>
      <w:r>
        <w:rPr>
          <w:rFonts w:ascii="Times New Roman" w:hAnsi="Times New Roman" w:cs="Times New Roman"/>
          <w:color w:val="000000"/>
          <w:sz w:val="24"/>
        </w:rPr>
        <w:t>.,</w:t>
      </w:r>
      <w:r w:rsidRPr="002E4856">
        <w:rPr>
          <w:rFonts w:ascii="Times New Roman" w:hAnsi="Times New Roman" w:cs="Times New Roman"/>
          <w:color w:val="000000"/>
          <w:sz w:val="24"/>
        </w:rPr>
        <w:t xml:space="preserve"> Maternal Health</w:t>
      </w:r>
      <w:r>
        <w:rPr>
          <w:rFonts w:ascii="Times New Roman" w:hAnsi="Times New Roman" w:cs="Times New Roman"/>
          <w:color w:val="000000"/>
          <w:sz w:val="24"/>
        </w:rPr>
        <w:t xml:space="preserve"> </w:t>
      </w:r>
      <w:r w:rsidRPr="002E4856">
        <w:rPr>
          <w:rFonts w:ascii="Times New Roman" w:hAnsi="Times New Roman" w:cs="Times New Roman"/>
          <w:color w:val="000000"/>
          <w:sz w:val="24"/>
        </w:rPr>
        <w:t xml:space="preserve">Study Group of the Canadian Perinatal Surveillance System. Length of hospital stay, obstetric conditions at childbirth, and maternal readmission: a population-based cohort study. Am J </w:t>
      </w:r>
      <w:proofErr w:type="spellStart"/>
      <w:r w:rsidRPr="002E4856">
        <w:rPr>
          <w:rFonts w:ascii="Times New Roman" w:hAnsi="Times New Roman" w:cs="Times New Roman"/>
          <w:color w:val="000000"/>
          <w:sz w:val="24"/>
        </w:rPr>
        <w:t>Obstet</w:t>
      </w:r>
      <w:proofErr w:type="spellEnd"/>
      <w:r w:rsidRPr="002E4856">
        <w:rPr>
          <w:rFonts w:ascii="Times New Roman" w:hAnsi="Times New Roman" w:cs="Times New Roman"/>
          <w:color w:val="000000"/>
          <w:sz w:val="24"/>
        </w:rPr>
        <w:t xml:space="preserve"> Gynecol. 2002 Sep;187(3):681-7.</w:t>
      </w:r>
      <w:r>
        <w:rPr>
          <w:rFonts w:ascii="Times New Roman" w:hAnsi="Times New Roman" w:cs="Times New Roman"/>
          <w:color w:val="000000"/>
          <w:sz w:val="24"/>
        </w:rPr>
        <w:t xml:space="preserve"> </w:t>
      </w:r>
    </w:p>
    <w:p w14:paraId="0B4D6E22" w14:textId="2233C033" w:rsidR="005507E7" w:rsidRPr="0071014B" w:rsidRDefault="005507E7" w:rsidP="00FA4C19">
      <w:pPr>
        <w:spacing w:before="120" w:line="240" w:lineRule="auto"/>
        <w:jc w:val="both"/>
        <w:rPr>
          <w:rStyle w:val="ff5"/>
        </w:rPr>
      </w:pPr>
      <w:r w:rsidRPr="0071014B">
        <w:rPr>
          <w:rStyle w:val="ff5"/>
        </w:rPr>
        <w:t>Mantel</w:t>
      </w:r>
      <w:r>
        <w:rPr>
          <w:rStyle w:val="ff5"/>
        </w:rPr>
        <w:t>,</w:t>
      </w:r>
      <w:r w:rsidRPr="0071014B">
        <w:rPr>
          <w:rStyle w:val="ff5"/>
        </w:rPr>
        <w:t xml:space="preserve"> G</w:t>
      </w:r>
      <w:r>
        <w:rPr>
          <w:rStyle w:val="ff5"/>
        </w:rPr>
        <w:t>.</w:t>
      </w:r>
      <w:r w:rsidRPr="0071014B">
        <w:rPr>
          <w:rStyle w:val="ff5"/>
        </w:rPr>
        <w:t>D</w:t>
      </w:r>
      <w:r>
        <w:rPr>
          <w:rStyle w:val="ff5"/>
        </w:rPr>
        <w:t>.</w:t>
      </w:r>
      <w:r w:rsidRPr="0071014B">
        <w:rPr>
          <w:rStyle w:val="ff5"/>
        </w:rPr>
        <w:t>, Buchmann</w:t>
      </w:r>
      <w:r>
        <w:rPr>
          <w:rStyle w:val="ff5"/>
        </w:rPr>
        <w:t>,</w:t>
      </w:r>
      <w:r w:rsidRPr="0071014B">
        <w:rPr>
          <w:rStyle w:val="ff5"/>
        </w:rPr>
        <w:t xml:space="preserve"> E</w:t>
      </w:r>
      <w:r>
        <w:rPr>
          <w:rStyle w:val="ff5"/>
        </w:rPr>
        <w:t>.</w:t>
      </w:r>
      <w:r w:rsidRPr="0071014B">
        <w:rPr>
          <w:rStyle w:val="ff5"/>
        </w:rPr>
        <w:t>, Rees</w:t>
      </w:r>
      <w:r>
        <w:rPr>
          <w:rStyle w:val="ff5"/>
        </w:rPr>
        <w:t>,</w:t>
      </w:r>
      <w:r w:rsidRPr="0071014B">
        <w:rPr>
          <w:rStyle w:val="ff5"/>
        </w:rPr>
        <w:t xml:space="preserve"> H</w:t>
      </w:r>
      <w:r>
        <w:rPr>
          <w:rStyle w:val="ff5"/>
        </w:rPr>
        <w:t>.</w:t>
      </w:r>
      <w:r w:rsidRPr="0071014B">
        <w:rPr>
          <w:rStyle w:val="ff5"/>
        </w:rPr>
        <w:t>, Pattinson</w:t>
      </w:r>
      <w:r>
        <w:rPr>
          <w:rStyle w:val="ff5"/>
        </w:rPr>
        <w:t>,</w:t>
      </w:r>
      <w:r w:rsidRPr="0071014B">
        <w:rPr>
          <w:rStyle w:val="ff5"/>
        </w:rPr>
        <w:t xml:space="preserve"> R</w:t>
      </w:r>
      <w:r>
        <w:rPr>
          <w:rStyle w:val="ff5"/>
        </w:rPr>
        <w:t>.</w:t>
      </w:r>
      <w:r w:rsidRPr="0071014B">
        <w:rPr>
          <w:rStyle w:val="ff5"/>
        </w:rPr>
        <w:t xml:space="preserve">C. Severe acute maternal morbidity: a pilot study of a definition for a near-miss. </w:t>
      </w:r>
      <w:proofErr w:type="spellStart"/>
      <w:r w:rsidRPr="0071014B">
        <w:rPr>
          <w:rStyle w:val="ff5"/>
        </w:rPr>
        <w:t>Bri</w:t>
      </w:r>
      <w:proofErr w:type="spellEnd"/>
      <w:r w:rsidRPr="0071014B">
        <w:rPr>
          <w:rStyle w:val="ff5"/>
        </w:rPr>
        <w:t xml:space="preserve"> J </w:t>
      </w:r>
      <w:proofErr w:type="spellStart"/>
      <w:r w:rsidRPr="0071014B">
        <w:rPr>
          <w:rStyle w:val="ff5"/>
        </w:rPr>
        <w:t>Obstet</w:t>
      </w:r>
      <w:proofErr w:type="spellEnd"/>
      <w:r w:rsidRPr="0071014B">
        <w:rPr>
          <w:rStyle w:val="ff5"/>
        </w:rPr>
        <w:t xml:space="preserve"> </w:t>
      </w:r>
      <w:proofErr w:type="spellStart"/>
      <w:r w:rsidRPr="0071014B">
        <w:rPr>
          <w:rStyle w:val="ff5"/>
        </w:rPr>
        <w:t>Gynaecol</w:t>
      </w:r>
      <w:proofErr w:type="spellEnd"/>
      <w:r w:rsidRPr="0071014B">
        <w:rPr>
          <w:rStyle w:val="ff5"/>
        </w:rPr>
        <w:t>. 1998; 105: 985-990.</w:t>
      </w:r>
    </w:p>
    <w:p w14:paraId="30B57477" w14:textId="2FAABC98" w:rsidR="005507E7" w:rsidRPr="0071014B" w:rsidRDefault="005507E7" w:rsidP="00FA4C19">
      <w:pPr>
        <w:pStyle w:val="HTMLPreformatted"/>
        <w:spacing w:before="120"/>
        <w:jc w:val="both"/>
        <w:rPr>
          <w:rStyle w:val="ff5"/>
          <w:rFonts w:ascii="Times New Roman" w:hAnsi="Times New Roman" w:cs="Times New Roman"/>
          <w:sz w:val="24"/>
          <w:szCs w:val="24"/>
        </w:rPr>
      </w:pPr>
      <w:r w:rsidRPr="002E4856">
        <w:rPr>
          <w:rFonts w:ascii="Times New Roman" w:hAnsi="Times New Roman" w:cs="Times New Roman"/>
          <w:color w:val="000000"/>
          <w:sz w:val="24"/>
        </w:rPr>
        <w:t>McCauley</w:t>
      </w:r>
      <w:r>
        <w:rPr>
          <w:rFonts w:ascii="Times New Roman" w:hAnsi="Times New Roman" w:cs="Times New Roman"/>
          <w:color w:val="000000"/>
          <w:sz w:val="24"/>
        </w:rPr>
        <w:t>,</w:t>
      </w:r>
      <w:r w:rsidRPr="002E4856">
        <w:rPr>
          <w:rFonts w:ascii="Times New Roman" w:hAnsi="Times New Roman" w:cs="Times New Roman"/>
          <w:color w:val="000000"/>
          <w:sz w:val="24"/>
        </w:rPr>
        <w:t xml:space="preserve"> M</w:t>
      </w:r>
      <w:r>
        <w:rPr>
          <w:rFonts w:ascii="Times New Roman" w:hAnsi="Times New Roman" w:cs="Times New Roman"/>
          <w:color w:val="000000"/>
          <w:sz w:val="24"/>
        </w:rPr>
        <w:t>.</w:t>
      </w:r>
      <w:r w:rsidRPr="002E4856">
        <w:rPr>
          <w:rFonts w:ascii="Times New Roman" w:hAnsi="Times New Roman" w:cs="Times New Roman"/>
          <w:color w:val="000000"/>
          <w:sz w:val="24"/>
        </w:rPr>
        <w:t>, Madaj</w:t>
      </w:r>
      <w:r>
        <w:rPr>
          <w:rFonts w:ascii="Times New Roman" w:hAnsi="Times New Roman" w:cs="Times New Roman"/>
          <w:color w:val="000000"/>
          <w:sz w:val="24"/>
        </w:rPr>
        <w:t>,</w:t>
      </w:r>
      <w:r w:rsidRPr="002E4856">
        <w:rPr>
          <w:rFonts w:ascii="Times New Roman" w:hAnsi="Times New Roman" w:cs="Times New Roman"/>
          <w:color w:val="000000"/>
          <w:sz w:val="24"/>
        </w:rPr>
        <w:t xml:space="preserve"> B</w:t>
      </w:r>
      <w:r>
        <w:rPr>
          <w:rFonts w:ascii="Times New Roman" w:hAnsi="Times New Roman" w:cs="Times New Roman"/>
          <w:color w:val="000000"/>
          <w:sz w:val="24"/>
        </w:rPr>
        <w:t>.</w:t>
      </w:r>
      <w:r w:rsidRPr="002E4856">
        <w:rPr>
          <w:rFonts w:ascii="Times New Roman" w:hAnsi="Times New Roman" w:cs="Times New Roman"/>
          <w:color w:val="000000"/>
          <w:sz w:val="24"/>
        </w:rPr>
        <w:t>, White</w:t>
      </w:r>
      <w:r>
        <w:rPr>
          <w:rFonts w:ascii="Times New Roman" w:hAnsi="Times New Roman" w:cs="Times New Roman"/>
          <w:color w:val="000000"/>
          <w:sz w:val="24"/>
        </w:rPr>
        <w:t>,</w:t>
      </w:r>
      <w:r w:rsidRPr="002E4856">
        <w:rPr>
          <w:rFonts w:ascii="Times New Roman" w:hAnsi="Times New Roman" w:cs="Times New Roman"/>
          <w:color w:val="000000"/>
          <w:sz w:val="24"/>
        </w:rPr>
        <w:t xml:space="preserve"> S</w:t>
      </w:r>
      <w:r>
        <w:rPr>
          <w:rFonts w:ascii="Times New Roman" w:hAnsi="Times New Roman" w:cs="Times New Roman"/>
          <w:color w:val="000000"/>
          <w:sz w:val="24"/>
        </w:rPr>
        <w:t>.</w:t>
      </w:r>
      <w:r w:rsidRPr="002E4856">
        <w:rPr>
          <w:rFonts w:ascii="Times New Roman" w:hAnsi="Times New Roman" w:cs="Times New Roman"/>
          <w:color w:val="000000"/>
          <w:sz w:val="24"/>
        </w:rPr>
        <w:t>A</w:t>
      </w:r>
      <w:r>
        <w:rPr>
          <w:rFonts w:ascii="Times New Roman" w:hAnsi="Times New Roman" w:cs="Times New Roman"/>
          <w:color w:val="000000"/>
          <w:sz w:val="24"/>
        </w:rPr>
        <w:t>.</w:t>
      </w:r>
      <w:r w:rsidRPr="002E4856">
        <w:rPr>
          <w:rFonts w:ascii="Times New Roman" w:hAnsi="Times New Roman" w:cs="Times New Roman"/>
          <w:color w:val="000000"/>
          <w:sz w:val="24"/>
        </w:rPr>
        <w:t>, Dickinson</w:t>
      </w:r>
      <w:r>
        <w:rPr>
          <w:rFonts w:ascii="Times New Roman" w:hAnsi="Times New Roman" w:cs="Times New Roman"/>
          <w:color w:val="000000"/>
          <w:sz w:val="24"/>
        </w:rPr>
        <w:t>,</w:t>
      </w:r>
      <w:r w:rsidRPr="002E4856">
        <w:rPr>
          <w:rFonts w:ascii="Times New Roman" w:hAnsi="Times New Roman" w:cs="Times New Roman"/>
          <w:color w:val="000000"/>
          <w:sz w:val="24"/>
        </w:rPr>
        <w:t xml:space="preserve"> F</w:t>
      </w:r>
      <w:r>
        <w:rPr>
          <w:rFonts w:ascii="Times New Roman" w:hAnsi="Times New Roman" w:cs="Times New Roman"/>
          <w:color w:val="000000"/>
          <w:sz w:val="24"/>
        </w:rPr>
        <w:t>.</w:t>
      </w:r>
      <w:r w:rsidRPr="002E4856">
        <w:rPr>
          <w:rFonts w:ascii="Times New Roman" w:hAnsi="Times New Roman" w:cs="Times New Roman"/>
          <w:color w:val="000000"/>
          <w:sz w:val="24"/>
        </w:rPr>
        <w:t>, Bar-Zev</w:t>
      </w:r>
      <w:r>
        <w:rPr>
          <w:rFonts w:ascii="Times New Roman" w:hAnsi="Times New Roman" w:cs="Times New Roman"/>
          <w:color w:val="000000"/>
          <w:sz w:val="24"/>
        </w:rPr>
        <w:t>,</w:t>
      </w:r>
      <w:r w:rsidRPr="002E4856">
        <w:rPr>
          <w:rFonts w:ascii="Times New Roman" w:hAnsi="Times New Roman" w:cs="Times New Roman"/>
          <w:color w:val="000000"/>
          <w:sz w:val="24"/>
        </w:rPr>
        <w:t xml:space="preserve"> S</w:t>
      </w:r>
      <w:r>
        <w:rPr>
          <w:rFonts w:ascii="Times New Roman" w:hAnsi="Times New Roman" w:cs="Times New Roman"/>
          <w:color w:val="000000"/>
          <w:sz w:val="24"/>
        </w:rPr>
        <w:t>.</w:t>
      </w:r>
      <w:r w:rsidRPr="002E4856">
        <w:rPr>
          <w:rFonts w:ascii="Times New Roman" w:hAnsi="Times New Roman" w:cs="Times New Roman"/>
          <w:color w:val="000000"/>
          <w:sz w:val="24"/>
        </w:rPr>
        <w:t>, Aminu</w:t>
      </w:r>
      <w:r>
        <w:rPr>
          <w:rFonts w:ascii="Times New Roman" w:hAnsi="Times New Roman" w:cs="Times New Roman"/>
          <w:color w:val="000000"/>
          <w:sz w:val="24"/>
        </w:rPr>
        <w:t>,</w:t>
      </w:r>
      <w:r w:rsidRPr="002E4856">
        <w:rPr>
          <w:rFonts w:ascii="Times New Roman" w:hAnsi="Times New Roman" w:cs="Times New Roman"/>
          <w:color w:val="000000"/>
          <w:sz w:val="24"/>
        </w:rPr>
        <w:t xml:space="preserve"> M</w:t>
      </w:r>
      <w:r>
        <w:rPr>
          <w:rFonts w:ascii="Times New Roman" w:hAnsi="Times New Roman" w:cs="Times New Roman"/>
          <w:color w:val="000000"/>
          <w:sz w:val="24"/>
        </w:rPr>
        <w:t>.</w:t>
      </w:r>
      <w:r w:rsidR="003F1EC2">
        <w:rPr>
          <w:rFonts w:ascii="Times New Roman" w:hAnsi="Times New Roman" w:cs="Times New Roman"/>
          <w:color w:val="000000"/>
          <w:sz w:val="24"/>
        </w:rPr>
        <w:t>, Mittal, P., Zafar, S.,</w:t>
      </w:r>
      <w:r w:rsidRPr="002E4856">
        <w:rPr>
          <w:rFonts w:ascii="Times New Roman" w:hAnsi="Times New Roman" w:cs="Times New Roman"/>
          <w:color w:val="000000"/>
          <w:sz w:val="24"/>
        </w:rPr>
        <w:t xml:space="preserve"> van den Broek N. Burden of physical, psychological and social ill-health during and after pregnancy among women in India, Pakistan, Kenya and Malawi. BMJ Glob Health. 2018 May 3;3(3):e000625. </w:t>
      </w:r>
      <w:proofErr w:type="spellStart"/>
      <w:r w:rsidRPr="002E4856">
        <w:rPr>
          <w:rFonts w:ascii="Times New Roman" w:hAnsi="Times New Roman" w:cs="Times New Roman"/>
          <w:color w:val="000000"/>
          <w:sz w:val="24"/>
        </w:rPr>
        <w:t>doi</w:t>
      </w:r>
      <w:proofErr w:type="spellEnd"/>
      <w:r w:rsidRPr="002E4856">
        <w:rPr>
          <w:rFonts w:ascii="Times New Roman" w:hAnsi="Times New Roman" w:cs="Times New Roman"/>
          <w:color w:val="000000"/>
          <w:sz w:val="24"/>
        </w:rPr>
        <w:t xml:space="preserve">: 10.1136/bmjgh-2017-000625. </w:t>
      </w:r>
      <w:proofErr w:type="spellStart"/>
      <w:r w:rsidRPr="002E4856">
        <w:rPr>
          <w:rFonts w:ascii="Times New Roman" w:hAnsi="Times New Roman" w:cs="Times New Roman"/>
          <w:color w:val="000000"/>
          <w:sz w:val="24"/>
        </w:rPr>
        <w:t>eCollection</w:t>
      </w:r>
      <w:proofErr w:type="spellEnd"/>
      <w:r w:rsidRPr="002E4856">
        <w:rPr>
          <w:rFonts w:ascii="Times New Roman" w:hAnsi="Times New Roman" w:cs="Times New Roman"/>
          <w:color w:val="000000"/>
          <w:sz w:val="24"/>
        </w:rPr>
        <w:t xml:space="preserve"> 2018.</w:t>
      </w:r>
      <w:r w:rsidRPr="002E4856">
        <w:rPr>
          <w:color w:val="000000"/>
          <w:sz w:val="24"/>
        </w:rPr>
        <w:t xml:space="preserve"> </w:t>
      </w:r>
      <w:r w:rsidRPr="002E4856">
        <w:rPr>
          <w:rStyle w:val="ff5"/>
          <w:rFonts w:ascii="Times New Roman" w:hAnsi="Times New Roman" w:cs="Times New Roman"/>
          <w:sz w:val="32"/>
          <w:szCs w:val="24"/>
        </w:rPr>
        <w:t xml:space="preserve"> </w:t>
      </w:r>
    </w:p>
    <w:p w14:paraId="3C41C4FC" w14:textId="461B1E5A" w:rsidR="005507E7" w:rsidRPr="0071014B" w:rsidRDefault="005507E7" w:rsidP="00FA4C19">
      <w:pPr>
        <w:spacing w:before="120" w:line="240" w:lineRule="auto"/>
        <w:jc w:val="both"/>
        <w:rPr>
          <w:rStyle w:val="ff5"/>
        </w:rPr>
      </w:pPr>
      <w:proofErr w:type="spellStart"/>
      <w:r w:rsidRPr="0071014B">
        <w:rPr>
          <w:rStyle w:val="ff5"/>
        </w:rPr>
        <w:t>McCaw-Binns</w:t>
      </w:r>
      <w:proofErr w:type="spellEnd"/>
      <w:r>
        <w:rPr>
          <w:rStyle w:val="ff5"/>
        </w:rPr>
        <w:t>,</w:t>
      </w:r>
      <w:r w:rsidRPr="0071014B">
        <w:rPr>
          <w:rStyle w:val="ff5"/>
        </w:rPr>
        <w:t xml:space="preserve"> A</w:t>
      </w:r>
      <w:r>
        <w:rPr>
          <w:rStyle w:val="ff5"/>
        </w:rPr>
        <w:t>.</w:t>
      </w:r>
      <w:r w:rsidRPr="0071014B">
        <w:rPr>
          <w:rStyle w:val="ff5"/>
        </w:rPr>
        <w:t>M</w:t>
      </w:r>
      <w:r>
        <w:rPr>
          <w:rStyle w:val="ff5"/>
        </w:rPr>
        <w:t>.</w:t>
      </w:r>
      <w:r w:rsidRPr="0071014B">
        <w:rPr>
          <w:rStyle w:val="ff5"/>
        </w:rPr>
        <w:t>, Campbell</w:t>
      </w:r>
      <w:r>
        <w:rPr>
          <w:rStyle w:val="ff5"/>
        </w:rPr>
        <w:t>,</w:t>
      </w:r>
      <w:r w:rsidRPr="0071014B">
        <w:rPr>
          <w:rStyle w:val="ff5"/>
        </w:rPr>
        <w:t xml:space="preserve"> L</w:t>
      </w:r>
      <w:r>
        <w:rPr>
          <w:rStyle w:val="ff5"/>
        </w:rPr>
        <w:t>.</w:t>
      </w:r>
      <w:r w:rsidRPr="0071014B">
        <w:rPr>
          <w:rStyle w:val="ff5"/>
        </w:rPr>
        <w:t>V</w:t>
      </w:r>
      <w:r>
        <w:rPr>
          <w:rStyle w:val="ff5"/>
        </w:rPr>
        <w:t>.</w:t>
      </w:r>
      <w:r w:rsidRPr="0071014B">
        <w:rPr>
          <w:rStyle w:val="ff5"/>
        </w:rPr>
        <w:t>, Spence S</w:t>
      </w:r>
      <w:r>
        <w:rPr>
          <w:rStyle w:val="ff5"/>
        </w:rPr>
        <w:t>.</w:t>
      </w:r>
      <w:r w:rsidRPr="0071014B">
        <w:rPr>
          <w:rStyle w:val="ff5"/>
        </w:rPr>
        <w:t xml:space="preserve">S. The evolving contribution of non-communicable diseases to maternal mortality in Jamaica, 1998-2015: a population-based study. BJOG. 2018 Feb 8. </w:t>
      </w:r>
      <w:proofErr w:type="spellStart"/>
      <w:r w:rsidRPr="0071014B">
        <w:rPr>
          <w:rStyle w:val="ff5"/>
        </w:rPr>
        <w:t>doi</w:t>
      </w:r>
      <w:proofErr w:type="spellEnd"/>
      <w:r w:rsidRPr="0071014B">
        <w:rPr>
          <w:rStyle w:val="ff5"/>
        </w:rPr>
        <w:t>: 10.1111/1471-0528.15154.</w:t>
      </w:r>
    </w:p>
    <w:p w14:paraId="422EC386" w14:textId="233DEAFF" w:rsidR="005507E7" w:rsidRPr="0071014B" w:rsidRDefault="005507E7" w:rsidP="00FA4C19">
      <w:pPr>
        <w:spacing w:before="120" w:line="240" w:lineRule="auto"/>
        <w:jc w:val="both"/>
        <w:rPr>
          <w:rStyle w:val="ff5"/>
        </w:rPr>
      </w:pPr>
      <w:r w:rsidRPr="0071014B">
        <w:rPr>
          <w:rStyle w:val="ff5"/>
        </w:rPr>
        <w:t>Morgan</w:t>
      </w:r>
      <w:r>
        <w:rPr>
          <w:rStyle w:val="ff5"/>
        </w:rPr>
        <w:t>,</w:t>
      </w:r>
      <w:r w:rsidRPr="0071014B">
        <w:rPr>
          <w:rStyle w:val="ff5"/>
        </w:rPr>
        <w:t xml:space="preserve"> K</w:t>
      </w:r>
      <w:r>
        <w:rPr>
          <w:rStyle w:val="ff5"/>
        </w:rPr>
        <w:t>.</w:t>
      </w:r>
      <w:r w:rsidRPr="0071014B">
        <w:rPr>
          <w:rStyle w:val="ff5"/>
        </w:rPr>
        <w:t>J</w:t>
      </w:r>
      <w:r>
        <w:rPr>
          <w:rStyle w:val="ff5"/>
        </w:rPr>
        <w:t>.</w:t>
      </w:r>
      <w:r w:rsidRPr="0071014B">
        <w:rPr>
          <w:rStyle w:val="ff5"/>
        </w:rPr>
        <w:t>, Eastwood</w:t>
      </w:r>
      <w:r>
        <w:rPr>
          <w:rStyle w:val="ff5"/>
        </w:rPr>
        <w:t>,</w:t>
      </w:r>
      <w:r w:rsidRPr="0071014B">
        <w:rPr>
          <w:rStyle w:val="ff5"/>
        </w:rPr>
        <w:t xml:space="preserve"> J</w:t>
      </w:r>
      <w:r>
        <w:rPr>
          <w:rStyle w:val="ff5"/>
        </w:rPr>
        <w:t>.</w:t>
      </w:r>
      <w:r w:rsidRPr="0071014B">
        <w:rPr>
          <w:rStyle w:val="ff5"/>
        </w:rPr>
        <w:t xml:space="preserve">G. Social determinants of maternal self-rated health in South Western Sydney, Australia. BMC Res Notes. 2014 Jan 21;7:51. </w:t>
      </w:r>
      <w:proofErr w:type="spellStart"/>
      <w:r w:rsidRPr="0071014B">
        <w:rPr>
          <w:rStyle w:val="ff5"/>
        </w:rPr>
        <w:t>doi</w:t>
      </w:r>
      <w:proofErr w:type="spellEnd"/>
      <w:r w:rsidRPr="0071014B">
        <w:rPr>
          <w:rStyle w:val="ff5"/>
        </w:rPr>
        <w:t>: 10.1186/1756-0500-7-51.</w:t>
      </w:r>
    </w:p>
    <w:p w14:paraId="170FCC91" w14:textId="6B4D7756" w:rsidR="005507E7" w:rsidRPr="0071014B" w:rsidRDefault="005507E7" w:rsidP="00FA4C19">
      <w:pPr>
        <w:spacing w:before="120" w:line="240" w:lineRule="auto"/>
        <w:jc w:val="both"/>
        <w:rPr>
          <w:rStyle w:val="ff5"/>
        </w:rPr>
      </w:pPr>
      <w:r w:rsidRPr="0071014B">
        <w:rPr>
          <w:rStyle w:val="ff5"/>
        </w:rPr>
        <w:t>Pattinson</w:t>
      </w:r>
      <w:r>
        <w:rPr>
          <w:rStyle w:val="ff5"/>
        </w:rPr>
        <w:t>,</w:t>
      </w:r>
      <w:r w:rsidRPr="0071014B">
        <w:rPr>
          <w:rStyle w:val="ff5"/>
        </w:rPr>
        <w:t xml:space="preserve"> R</w:t>
      </w:r>
      <w:r>
        <w:rPr>
          <w:rStyle w:val="ff5"/>
        </w:rPr>
        <w:t>.</w:t>
      </w:r>
      <w:r w:rsidRPr="0071014B">
        <w:rPr>
          <w:rStyle w:val="ff5"/>
        </w:rPr>
        <w:t>, Say</w:t>
      </w:r>
      <w:r>
        <w:rPr>
          <w:rStyle w:val="ff5"/>
        </w:rPr>
        <w:t>,</w:t>
      </w:r>
      <w:r w:rsidRPr="0071014B">
        <w:rPr>
          <w:rStyle w:val="ff5"/>
        </w:rPr>
        <w:t xml:space="preserve"> L</w:t>
      </w:r>
      <w:r>
        <w:rPr>
          <w:rStyle w:val="ff5"/>
        </w:rPr>
        <w:t>.</w:t>
      </w:r>
      <w:r w:rsidRPr="0071014B">
        <w:rPr>
          <w:rStyle w:val="ff5"/>
        </w:rPr>
        <w:t>, Souza</w:t>
      </w:r>
      <w:r>
        <w:rPr>
          <w:rStyle w:val="ff5"/>
        </w:rPr>
        <w:t>,</w:t>
      </w:r>
      <w:r w:rsidRPr="0071014B">
        <w:rPr>
          <w:rStyle w:val="ff5"/>
        </w:rPr>
        <w:t xml:space="preserve"> J</w:t>
      </w:r>
      <w:r>
        <w:rPr>
          <w:rStyle w:val="ff5"/>
        </w:rPr>
        <w:t>.</w:t>
      </w:r>
      <w:r w:rsidRPr="0071014B">
        <w:rPr>
          <w:rStyle w:val="ff5"/>
        </w:rPr>
        <w:t>P</w:t>
      </w:r>
      <w:r>
        <w:rPr>
          <w:rStyle w:val="ff5"/>
        </w:rPr>
        <w:t>.</w:t>
      </w:r>
      <w:r w:rsidRPr="0071014B">
        <w:rPr>
          <w:rStyle w:val="ff5"/>
        </w:rPr>
        <w:t>, van den Broek</w:t>
      </w:r>
      <w:r>
        <w:rPr>
          <w:rStyle w:val="ff5"/>
        </w:rPr>
        <w:t>,</w:t>
      </w:r>
      <w:r w:rsidRPr="0071014B">
        <w:rPr>
          <w:rStyle w:val="ff5"/>
        </w:rPr>
        <w:t xml:space="preserve"> N</w:t>
      </w:r>
      <w:r>
        <w:rPr>
          <w:rStyle w:val="ff5"/>
        </w:rPr>
        <w:t>.</w:t>
      </w:r>
      <w:r w:rsidRPr="0071014B">
        <w:rPr>
          <w:rStyle w:val="ff5"/>
        </w:rPr>
        <w:t>, Rooney</w:t>
      </w:r>
      <w:r>
        <w:rPr>
          <w:rStyle w:val="ff5"/>
        </w:rPr>
        <w:t>,</w:t>
      </w:r>
      <w:r w:rsidRPr="0071014B">
        <w:rPr>
          <w:rStyle w:val="ff5"/>
        </w:rPr>
        <w:t xml:space="preserve"> C. WHO maternal death and near-miss classifications. Bull World Health Organ. 2009; 87: 734-A.</w:t>
      </w:r>
    </w:p>
    <w:p w14:paraId="542784D5" w14:textId="59D0799B" w:rsidR="005507E7" w:rsidRPr="0071014B" w:rsidRDefault="005507E7" w:rsidP="00FA4C19">
      <w:pPr>
        <w:spacing w:before="120" w:line="240" w:lineRule="auto"/>
        <w:jc w:val="both"/>
        <w:rPr>
          <w:rStyle w:val="ff5"/>
        </w:rPr>
      </w:pPr>
      <w:r w:rsidRPr="0071014B">
        <w:rPr>
          <w:rStyle w:val="ff5"/>
        </w:rPr>
        <w:t>Say</w:t>
      </w:r>
      <w:r>
        <w:rPr>
          <w:rStyle w:val="ff5"/>
        </w:rPr>
        <w:t>,</w:t>
      </w:r>
      <w:r w:rsidRPr="0071014B">
        <w:rPr>
          <w:rStyle w:val="ff5"/>
        </w:rPr>
        <w:t xml:space="preserve"> L</w:t>
      </w:r>
      <w:r>
        <w:rPr>
          <w:rStyle w:val="ff5"/>
        </w:rPr>
        <w:t>.</w:t>
      </w:r>
      <w:r w:rsidRPr="0071014B">
        <w:rPr>
          <w:rStyle w:val="ff5"/>
        </w:rPr>
        <w:t>, Souza</w:t>
      </w:r>
      <w:r>
        <w:rPr>
          <w:rStyle w:val="ff5"/>
        </w:rPr>
        <w:t>,</w:t>
      </w:r>
      <w:r w:rsidRPr="0071014B">
        <w:rPr>
          <w:rStyle w:val="ff5"/>
        </w:rPr>
        <w:t xml:space="preserve"> J</w:t>
      </w:r>
      <w:r>
        <w:rPr>
          <w:rStyle w:val="ff5"/>
        </w:rPr>
        <w:t>.</w:t>
      </w:r>
      <w:r w:rsidRPr="0071014B">
        <w:rPr>
          <w:rStyle w:val="ff5"/>
        </w:rPr>
        <w:t>P</w:t>
      </w:r>
      <w:r>
        <w:rPr>
          <w:rStyle w:val="ff5"/>
        </w:rPr>
        <w:t>.</w:t>
      </w:r>
      <w:r w:rsidRPr="0071014B">
        <w:rPr>
          <w:rStyle w:val="ff5"/>
        </w:rPr>
        <w:t>, Pattinson</w:t>
      </w:r>
      <w:r>
        <w:rPr>
          <w:rStyle w:val="ff5"/>
        </w:rPr>
        <w:t>,</w:t>
      </w:r>
      <w:r w:rsidRPr="0071014B">
        <w:rPr>
          <w:rStyle w:val="ff5"/>
        </w:rPr>
        <w:t xml:space="preserve"> R</w:t>
      </w:r>
      <w:r>
        <w:rPr>
          <w:rStyle w:val="ff5"/>
        </w:rPr>
        <w:t>.</w:t>
      </w:r>
      <w:r w:rsidRPr="0071014B">
        <w:rPr>
          <w:rStyle w:val="ff5"/>
        </w:rPr>
        <w:t>C</w:t>
      </w:r>
      <w:r>
        <w:rPr>
          <w:rStyle w:val="ff5"/>
        </w:rPr>
        <w:t>.</w:t>
      </w:r>
      <w:r w:rsidRPr="0071014B">
        <w:rPr>
          <w:rStyle w:val="ff5"/>
        </w:rPr>
        <w:t xml:space="preserve">; WHO working group on Maternal Mortality and Morbidity classifications. Maternal near miss--towards a standard tool for monitoring quality of maternal health care. Best </w:t>
      </w:r>
      <w:proofErr w:type="spellStart"/>
      <w:r w:rsidRPr="0071014B">
        <w:rPr>
          <w:rStyle w:val="ff5"/>
        </w:rPr>
        <w:t>Pract</w:t>
      </w:r>
      <w:proofErr w:type="spellEnd"/>
      <w:r w:rsidRPr="0071014B">
        <w:rPr>
          <w:rStyle w:val="ff5"/>
        </w:rPr>
        <w:t xml:space="preserve"> Res Clin </w:t>
      </w:r>
      <w:proofErr w:type="spellStart"/>
      <w:r w:rsidRPr="0071014B">
        <w:rPr>
          <w:rStyle w:val="ff5"/>
        </w:rPr>
        <w:t>Obstet</w:t>
      </w:r>
      <w:proofErr w:type="spellEnd"/>
      <w:r w:rsidRPr="0071014B">
        <w:rPr>
          <w:rStyle w:val="ff5"/>
        </w:rPr>
        <w:t xml:space="preserve"> </w:t>
      </w:r>
      <w:proofErr w:type="spellStart"/>
      <w:r w:rsidRPr="0071014B">
        <w:rPr>
          <w:rStyle w:val="ff5"/>
        </w:rPr>
        <w:t>Gynaecol</w:t>
      </w:r>
      <w:proofErr w:type="spellEnd"/>
      <w:r w:rsidRPr="0071014B">
        <w:rPr>
          <w:rStyle w:val="ff5"/>
        </w:rPr>
        <w:t xml:space="preserve">. 2009 Jun;23(3):287-96. </w:t>
      </w:r>
      <w:proofErr w:type="spellStart"/>
      <w:r w:rsidRPr="0071014B">
        <w:rPr>
          <w:rStyle w:val="ff5"/>
        </w:rPr>
        <w:t>doi</w:t>
      </w:r>
      <w:proofErr w:type="spellEnd"/>
      <w:r w:rsidRPr="0071014B">
        <w:rPr>
          <w:rStyle w:val="ff5"/>
        </w:rPr>
        <w:t>: 10.1016/j.bpobgyn.2009.01.007.</w:t>
      </w:r>
    </w:p>
    <w:p w14:paraId="5A707242" w14:textId="77777777" w:rsidR="005507E7" w:rsidRDefault="005507E7" w:rsidP="00FA4C19">
      <w:pPr>
        <w:spacing w:before="120" w:line="240" w:lineRule="auto"/>
        <w:jc w:val="both"/>
        <w:rPr>
          <w:rStyle w:val="ff5"/>
        </w:rPr>
      </w:pPr>
      <w:r>
        <w:rPr>
          <w:rStyle w:val="ff5"/>
        </w:rPr>
        <w:t xml:space="preserve">Statistical Institute of Jamaica (STATIN), United Nations Children’s Fund (UNICEF).  Jamaica – Multiple Indicator Cluster Survey, 2011. January 2015. </w:t>
      </w:r>
      <w:hyperlink r:id="rId12" w:history="1">
        <w:r w:rsidRPr="00542B9A">
          <w:rPr>
            <w:rStyle w:val="Hyperlink"/>
          </w:rPr>
          <w:t>http://microdata.worldbank.org/index.php/catalog/2214/study-description</w:t>
        </w:r>
      </w:hyperlink>
    </w:p>
    <w:p w14:paraId="26DC27F8" w14:textId="39475C79" w:rsidR="005507E7" w:rsidRPr="0071014B" w:rsidRDefault="005507E7" w:rsidP="00FA4C19">
      <w:pPr>
        <w:spacing w:before="120" w:line="240" w:lineRule="auto"/>
        <w:jc w:val="both"/>
        <w:rPr>
          <w:rStyle w:val="ff5"/>
        </w:rPr>
      </w:pPr>
      <w:r w:rsidRPr="0071014B">
        <w:rPr>
          <w:rStyle w:val="ff5"/>
        </w:rPr>
        <w:t>Sultan</w:t>
      </w:r>
      <w:r>
        <w:rPr>
          <w:rStyle w:val="ff5"/>
        </w:rPr>
        <w:t>,</w:t>
      </w:r>
      <w:r w:rsidRPr="0071014B">
        <w:rPr>
          <w:rStyle w:val="ff5"/>
        </w:rPr>
        <w:t xml:space="preserve"> A</w:t>
      </w:r>
      <w:r>
        <w:rPr>
          <w:rStyle w:val="ff5"/>
        </w:rPr>
        <w:t>.</w:t>
      </w:r>
      <w:r w:rsidRPr="0071014B">
        <w:rPr>
          <w:rStyle w:val="ff5"/>
        </w:rPr>
        <w:t>A</w:t>
      </w:r>
      <w:r>
        <w:rPr>
          <w:rStyle w:val="ff5"/>
        </w:rPr>
        <w:t>.</w:t>
      </w:r>
      <w:r w:rsidRPr="0071014B">
        <w:rPr>
          <w:rStyle w:val="ff5"/>
        </w:rPr>
        <w:t>, West</w:t>
      </w:r>
      <w:r>
        <w:rPr>
          <w:rStyle w:val="ff5"/>
        </w:rPr>
        <w:t>,</w:t>
      </w:r>
      <w:r w:rsidRPr="0071014B">
        <w:rPr>
          <w:rStyle w:val="ff5"/>
        </w:rPr>
        <w:t xml:space="preserve"> J</w:t>
      </w:r>
      <w:r>
        <w:rPr>
          <w:rStyle w:val="ff5"/>
        </w:rPr>
        <w:t>.</w:t>
      </w:r>
      <w:r w:rsidRPr="0071014B">
        <w:rPr>
          <w:rStyle w:val="ff5"/>
        </w:rPr>
        <w:t>, Tata</w:t>
      </w:r>
      <w:r>
        <w:rPr>
          <w:rStyle w:val="ff5"/>
        </w:rPr>
        <w:t>,</w:t>
      </w:r>
      <w:r w:rsidRPr="0071014B">
        <w:rPr>
          <w:rStyle w:val="ff5"/>
        </w:rPr>
        <w:t xml:space="preserve"> L</w:t>
      </w:r>
      <w:r>
        <w:rPr>
          <w:rStyle w:val="ff5"/>
        </w:rPr>
        <w:t>.</w:t>
      </w:r>
      <w:r w:rsidRPr="0071014B">
        <w:rPr>
          <w:rStyle w:val="ff5"/>
        </w:rPr>
        <w:t>J</w:t>
      </w:r>
      <w:r>
        <w:rPr>
          <w:rStyle w:val="ff5"/>
        </w:rPr>
        <w:t>.</w:t>
      </w:r>
      <w:r w:rsidRPr="0071014B">
        <w:rPr>
          <w:rStyle w:val="ff5"/>
        </w:rPr>
        <w:t>, Fleming</w:t>
      </w:r>
      <w:r>
        <w:rPr>
          <w:rStyle w:val="ff5"/>
        </w:rPr>
        <w:t>,</w:t>
      </w:r>
      <w:r w:rsidRPr="0071014B">
        <w:rPr>
          <w:rStyle w:val="ff5"/>
        </w:rPr>
        <w:t xml:space="preserve"> K</w:t>
      </w:r>
      <w:r>
        <w:rPr>
          <w:rStyle w:val="ff5"/>
        </w:rPr>
        <w:t>.</w:t>
      </w:r>
      <w:r w:rsidRPr="0071014B">
        <w:rPr>
          <w:rStyle w:val="ff5"/>
        </w:rPr>
        <w:t>M</w:t>
      </w:r>
      <w:r>
        <w:rPr>
          <w:rStyle w:val="ff5"/>
        </w:rPr>
        <w:t>.</w:t>
      </w:r>
      <w:r w:rsidRPr="0071014B">
        <w:rPr>
          <w:rStyle w:val="ff5"/>
        </w:rPr>
        <w:t>, Nelson-Piercy</w:t>
      </w:r>
      <w:r>
        <w:rPr>
          <w:rStyle w:val="ff5"/>
        </w:rPr>
        <w:t>,</w:t>
      </w:r>
      <w:r w:rsidRPr="0071014B">
        <w:rPr>
          <w:rStyle w:val="ff5"/>
        </w:rPr>
        <w:t xml:space="preserve"> C</w:t>
      </w:r>
      <w:r>
        <w:rPr>
          <w:rStyle w:val="ff5"/>
        </w:rPr>
        <w:t>.</w:t>
      </w:r>
      <w:r w:rsidRPr="0071014B">
        <w:rPr>
          <w:rStyle w:val="ff5"/>
        </w:rPr>
        <w:t xml:space="preserve">, </w:t>
      </w:r>
      <w:proofErr w:type="spellStart"/>
      <w:r w:rsidRPr="0071014B">
        <w:rPr>
          <w:rStyle w:val="ff5"/>
        </w:rPr>
        <w:t>Grainge</w:t>
      </w:r>
      <w:proofErr w:type="spellEnd"/>
      <w:r>
        <w:rPr>
          <w:rStyle w:val="ff5"/>
        </w:rPr>
        <w:t>,</w:t>
      </w:r>
      <w:r w:rsidRPr="0071014B">
        <w:rPr>
          <w:rStyle w:val="ff5"/>
        </w:rPr>
        <w:t xml:space="preserve"> M</w:t>
      </w:r>
      <w:r>
        <w:rPr>
          <w:rStyle w:val="ff5"/>
        </w:rPr>
        <w:t>.</w:t>
      </w:r>
      <w:r w:rsidRPr="0071014B">
        <w:rPr>
          <w:rStyle w:val="ff5"/>
        </w:rPr>
        <w:t>J. Risk of first venous thromboembolism in pregnant women in hospital: population based cohort study from England. Brit Med J. 2013; 347: f6099.</w:t>
      </w:r>
    </w:p>
    <w:p w14:paraId="66F60E56" w14:textId="7386053B" w:rsidR="005507E7" w:rsidRPr="0071014B" w:rsidRDefault="005507E7" w:rsidP="00FA4C19">
      <w:pPr>
        <w:spacing w:before="120" w:line="240" w:lineRule="auto"/>
        <w:jc w:val="both"/>
        <w:rPr>
          <w:rStyle w:val="ff5"/>
        </w:rPr>
      </w:pPr>
      <w:r w:rsidRPr="0071014B">
        <w:rPr>
          <w:rStyle w:val="ff5"/>
        </w:rPr>
        <w:t xml:space="preserve">United Nations, World Health Organization. The Global Strategy for Women’s, Children’s and Adolescents’ Health 2016-2030. New York: United Nations; 2015. Available: </w:t>
      </w:r>
      <w:hyperlink r:id="rId13" w:history="1">
        <w:r w:rsidRPr="0071014B">
          <w:rPr>
            <w:rStyle w:val="ff5"/>
          </w:rPr>
          <w:t>http://www.who.int/life-course/partners/global-strategy/en/</w:t>
        </w:r>
      </w:hyperlink>
    </w:p>
    <w:p w14:paraId="0890F0C2" w14:textId="3C2E8483" w:rsidR="005507E7" w:rsidRPr="0071014B" w:rsidRDefault="005507E7" w:rsidP="00FA4C19">
      <w:pPr>
        <w:spacing w:before="120" w:line="240" w:lineRule="auto"/>
        <w:jc w:val="both"/>
        <w:rPr>
          <w:rStyle w:val="ff5"/>
        </w:rPr>
      </w:pPr>
      <w:r w:rsidRPr="0071014B">
        <w:rPr>
          <w:rStyle w:val="ff5"/>
        </w:rPr>
        <w:t xml:space="preserve">United Nations. Transforming our world: the 2030 Agenda for Sustainable Development. New York: United Nations; 2015. Available: </w:t>
      </w:r>
      <w:hyperlink r:id="rId14" w:history="1">
        <w:r w:rsidRPr="0071014B">
          <w:rPr>
            <w:rStyle w:val="ff5"/>
          </w:rPr>
          <w:t>https://sustainabledevelopment.un.org/content/ documents/7891Transforming%20Our%20World.pdf</w:t>
        </w:r>
      </w:hyperlink>
    </w:p>
    <w:p w14:paraId="3B70EB17" w14:textId="02363111" w:rsidR="005507E7" w:rsidRPr="0071014B" w:rsidRDefault="005507E7" w:rsidP="00FA4C19">
      <w:pPr>
        <w:spacing w:before="120" w:line="240" w:lineRule="auto"/>
        <w:jc w:val="both"/>
        <w:rPr>
          <w:rStyle w:val="ff5"/>
        </w:rPr>
      </w:pPr>
      <w:r w:rsidRPr="0071014B">
        <w:rPr>
          <w:rStyle w:val="ff5"/>
        </w:rPr>
        <w:t xml:space="preserve">Wilks, R., Younger, N., Tulloch-Reid, M., Shelly McFarlane, S., Francis, D. for the Jamaica Health and Lifestyle Survey Research Group.  Jamaica Health and Lifestyle Survey 2007-08: Technical Report. </w:t>
      </w:r>
      <w:hyperlink r:id="rId15" w:history="1">
        <w:r w:rsidRPr="0071014B">
          <w:rPr>
            <w:rStyle w:val="ff5"/>
          </w:rPr>
          <w:t>https://www.paho.org/hq/dmdocuments/2012/Jamaica-Health-LifeStyle-Report-2007.pdf</w:t>
        </w:r>
      </w:hyperlink>
      <w:r w:rsidRPr="0071014B">
        <w:rPr>
          <w:rStyle w:val="ff5"/>
        </w:rPr>
        <w:t xml:space="preserve"> </w:t>
      </w:r>
    </w:p>
    <w:p w14:paraId="75F79610" w14:textId="74476D92" w:rsidR="005507E7" w:rsidRPr="0071014B" w:rsidRDefault="005507E7" w:rsidP="00FA4C19">
      <w:pPr>
        <w:spacing w:before="120" w:line="240" w:lineRule="auto"/>
        <w:jc w:val="both"/>
        <w:rPr>
          <w:rStyle w:val="ff5"/>
        </w:rPr>
      </w:pPr>
      <w:r w:rsidRPr="0071014B">
        <w:rPr>
          <w:rStyle w:val="ff5"/>
        </w:rPr>
        <w:t>World Health Organization. Preamble to the Constitution of the World Health Organization as adopted by the International Health Conference, New York, 19-22 June 1946, and entered into force on 7 April 1948.</w:t>
      </w:r>
    </w:p>
    <w:p w14:paraId="3644D34F" w14:textId="42F80103" w:rsidR="005507E7" w:rsidRPr="0071014B" w:rsidRDefault="005507E7" w:rsidP="00FA4C19">
      <w:pPr>
        <w:spacing w:before="120" w:line="240" w:lineRule="auto"/>
        <w:jc w:val="both"/>
        <w:rPr>
          <w:rStyle w:val="ff5"/>
        </w:rPr>
      </w:pPr>
      <w:r w:rsidRPr="0071014B">
        <w:rPr>
          <w:rStyle w:val="ff5"/>
        </w:rPr>
        <w:t>World Health Organization. The WHO application of ICD-10 to deaths during pregnancy, childbirth and the puerperium: ICD-MM. Geneva: World Health</w:t>
      </w:r>
      <w:r>
        <w:rPr>
          <w:rStyle w:val="ff5"/>
        </w:rPr>
        <w:t xml:space="preserve"> Organization; 2012. </w:t>
      </w:r>
      <w:hyperlink r:id="rId16" w:history="1">
        <w:r w:rsidRPr="004C0F6B">
          <w:rPr>
            <w:rStyle w:val="Hyperlink"/>
          </w:rPr>
          <w:t>http://www.who.int/reproductivehealth/publications/monitoring/9789241548458/en/</w:t>
        </w:r>
      </w:hyperlink>
    </w:p>
    <w:p w14:paraId="096B3BF8" w14:textId="26C3C7BC" w:rsidR="005507E7" w:rsidRPr="0071014B" w:rsidRDefault="005507E7" w:rsidP="00FA4C19">
      <w:pPr>
        <w:spacing w:before="120" w:line="240" w:lineRule="auto"/>
        <w:jc w:val="both"/>
        <w:rPr>
          <w:rStyle w:val="ff5"/>
        </w:rPr>
      </w:pPr>
      <w:r w:rsidRPr="0071014B">
        <w:rPr>
          <w:rStyle w:val="ff5"/>
        </w:rPr>
        <w:t>W</w:t>
      </w:r>
      <w:r>
        <w:rPr>
          <w:rStyle w:val="ff5"/>
        </w:rPr>
        <w:t xml:space="preserve">orld </w:t>
      </w:r>
      <w:r w:rsidRPr="0071014B">
        <w:rPr>
          <w:rStyle w:val="ff5"/>
        </w:rPr>
        <w:t>H</w:t>
      </w:r>
      <w:r>
        <w:rPr>
          <w:rStyle w:val="ff5"/>
        </w:rPr>
        <w:t xml:space="preserve">ealth </w:t>
      </w:r>
      <w:r w:rsidRPr="0071014B">
        <w:rPr>
          <w:rStyle w:val="ff5"/>
        </w:rPr>
        <w:t>O</w:t>
      </w:r>
      <w:r>
        <w:rPr>
          <w:rStyle w:val="ff5"/>
        </w:rPr>
        <w:t xml:space="preserve">rganization, </w:t>
      </w:r>
      <w:r w:rsidRPr="0071014B">
        <w:rPr>
          <w:rStyle w:val="ff5"/>
        </w:rPr>
        <w:t xml:space="preserve">Department of Reproductive Health and Research. WHO Statement on Caesarean Section Rates. Geneva, 2015.  http://apps.who.int/iris/bitstream/handle/10665/161442/WHO_RHR_15.02_eng.pdf </w:t>
      </w:r>
    </w:p>
    <w:p w14:paraId="71E84A65" w14:textId="420E9D6C" w:rsidR="005507E7" w:rsidRPr="0071014B" w:rsidRDefault="005507E7" w:rsidP="00FA4C19">
      <w:pPr>
        <w:spacing w:before="120" w:line="240" w:lineRule="auto"/>
        <w:jc w:val="both"/>
        <w:rPr>
          <w:rStyle w:val="ff5"/>
        </w:rPr>
      </w:pPr>
      <w:r w:rsidRPr="0071014B">
        <w:rPr>
          <w:rStyle w:val="ff5"/>
        </w:rPr>
        <w:t>Xu</w:t>
      </w:r>
      <w:r>
        <w:rPr>
          <w:rStyle w:val="ff5"/>
        </w:rPr>
        <w:t>,</w:t>
      </w:r>
      <w:r w:rsidRPr="0071014B">
        <w:rPr>
          <w:rStyle w:val="ff5"/>
        </w:rPr>
        <w:t xml:space="preserve"> F</w:t>
      </w:r>
      <w:r>
        <w:rPr>
          <w:rStyle w:val="ff5"/>
        </w:rPr>
        <w:t>.</w:t>
      </w:r>
      <w:r w:rsidRPr="0071014B">
        <w:rPr>
          <w:rStyle w:val="ff5"/>
        </w:rPr>
        <w:t>, Sullivan</w:t>
      </w:r>
      <w:r>
        <w:rPr>
          <w:rStyle w:val="ff5"/>
        </w:rPr>
        <w:t>,</w:t>
      </w:r>
      <w:r w:rsidRPr="0071014B">
        <w:rPr>
          <w:rStyle w:val="ff5"/>
        </w:rPr>
        <w:t xml:space="preserve"> E</w:t>
      </w:r>
      <w:r>
        <w:rPr>
          <w:rStyle w:val="ff5"/>
        </w:rPr>
        <w:t>.</w:t>
      </w:r>
      <w:r w:rsidRPr="0071014B">
        <w:rPr>
          <w:rStyle w:val="ff5"/>
        </w:rPr>
        <w:t>A</w:t>
      </w:r>
      <w:r>
        <w:rPr>
          <w:rStyle w:val="ff5"/>
        </w:rPr>
        <w:t>.</w:t>
      </w:r>
      <w:r w:rsidRPr="0071014B">
        <w:rPr>
          <w:rStyle w:val="ff5"/>
        </w:rPr>
        <w:t>, Li</w:t>
      </w:r>
      <w:r>
        <w:rPr>
          <w:rStyle w:val="ff5"/>
        </w:rPr>
        <w:t>,</w:t>
      </w:r>
      <w:r w:rsidRPr="0071014B">
        <w:rPr>
          <w:rStyle w:val="ff5"/>
        </w:rPr>
        <w:t xml:space="preserve"> Z</w:t>
      </w:r>
      <w:r>
        <w:rPr>
          <w:rStyle w:val="ff5"/>
        </w:rPr>
        <w:t>.</w:t>
      </w:r>
      <w:r w:rsidRPr="0071014B">
        <w:rPr>
          <w:rStyle w:val="ff5"/>
        </w:rPr>
        <w:t>, Burns</w:t>
      </w:r>
      <w:r>
        <w:rPr>
          <w:rStyle w:val="ff5"/>
        </w:rPr>
        <w:t>,</w:t>
      </w:r>
      <w:r w:rsidRPr="0071014B">
        <w:rPr>
          <w:rStyle w:val="ff5"/>
        </w:rPr>
        <w:t xml:space="preserve"> L</w:t>
      </w:r>
      <w:r>
        <w:rPr>
          <w:rStyle w:val="ff5"/>
        </w:rPr>
        <w:t>.</w:t>
      </w:r>
      <w:r w:rsidRPr="0071014B">
        <w:rPr>
          <w:rStyle w:val="ff5"/>
        </w:rPr>
        <w:t>, Austin</w:t>
      </w:r>
      <w:r>
        <w:rPr>
          <w:rStyle w:val="ff5"/>
        </w:rPr>
        <w:t>,</w:t>
      </w:r>
      <w:r w:rsidRPr="0071014B">
        <w:rPr>
          <w:rStyle w:val="ff5"/>
        </w:rPr>
        <w:t xml:space="preserve"> M</w:t>
      </w:r>
      <w:r>
        <w:rPr>
          <w:rStyle w:val="ff5"/>
        </w:rPr>
        <w:t>.</w:t>
      </w:r>
      <w:r w:rsidRPr="0071014B">
        <w:rPr>
          <w:rStyle w:val="ff5"/>
        </w:rPr>
        <w:t>-P</w:t>
      </w:r>
      <w:r>
        <w:rPr>
          <w:rStyle w:val="ff5"/>
        </w:rPr>
        <w:t>.</w:t>
      </w:r>
      <w:r w:rsidRPr="0071014B">
        <w:rPr>
          <w:rStyle w:val="ff5"/>
        </w:rPr>
        <w:t>, Slade</w:t>
      </w:r>
      <w:r>
        <w:rPr>
          <w:rStyle w:val="ff5"/>
        </w:rPr>
        <w:t>,</w:t>
      </w:r>
      <w:r w:rsidRPr="0071014B">
        <w:rPr>
          <w:rStyle w:val="ff5"/>
        </w:rPr>
        <w:t xml:space="preserve"> T. The increased trend in mothers' hospital admissions for psychiatric disorders in the first year after birth between 2001 and 2010 in New South Wales, Australia. BMC </w:t>
      </w:r>
      <w:proofErr w:type="spellStart"/>
      <w:r w:rsidRPr="0071014B">
        <w:rPr>
          <w:rStyle w:val="ff5"/>
        </w:rPr>
        <w:t>Wom</w:t>
      </w:r>
      <w:proofErr w:type="spellEnd"/>
      <w:r w:rsidRPr="0071014B">
        <w:rPr>
          <w:rStyle w:val="ff5"/>
        </w:rPr>
        <w:t xml:space="preserve"> Heal. 2014; 14: 119.</w:t>
      </w:r>
    </w:p>
    <w:p w14:paraId="777AF275" w14:textId="7C52B14B" w:rsidR="005507E7" w:rsidRPr="0071014B" w:rsidRDefault="005507E7" w:rsidP="00FA4C19">
      <w:pPr>
        <w:spacing w:before="120" w:line="240" w:lineRule="auto"/>
        <w:jc w:val="both"/>
        <w:rPr>
          <w:rStyle w:val="ff5"/>
        </w:rPr>
      </w:pPr>
      <w:r w:rsidRPr="0071014B">
        <w:rPr>
          <w:rStyle w:val="ff5"/>
        </w:rPr>
        <w:t xml:space="preserve">Ye, J., Zhang, J., </w:t>
      </w:r>
      <w:proofErr w:type="spellStart"/>
      <w:r w:rsidRPr="0071014B">
        <w:rPr>
          <w:rStyle w:val="ff5"/>
        </w:rPr>
        <w:t>Mikolajczyk</w:t>
      </w:r>
      <w:proofErr w:type="spellEnd"/>
      <w:r w:rsidRPr="0071014B">
        <w:rPr>
          <w:rStyle w:val="ff5"/>
        </w:rPr>
        <w:t xml:space="preserve">, R., </w:t>
      </w:r>
      <w:proofErr w:type="spellStart"/>
      <w:r w:rsidRPr="0071014B">
        <w:rPr>
          <w:rStyle w:val="ff5"/>
        </w:rPr>
        <w:t>Torloni</w:t>
      </w:r>
      <w:proofErr w:type="spellEnd"/>
      <w:r w:rsidRPr="0071014B">
        <w:rPr>
          <w:rStyle w:val="ff5"/>
        </w:rPr>
        <w:t xml:space="preserve">, M.R., </w:t>
      </w:r>
      <w:proofErr w:type="spellStart"/>
      <w:r w:rsidRPr="0071014B">
        <w:rPr>
          <w:rStyle w:val="ff5"/>
        </w:rPr>
        <w:t>Gülmezoglu</w:t>
      </w:r>
      <w:proofErr w:type="spellEnd"/>
      <w:r w:rsidRPr="0071014B">
        <w:rPr>
          <w:rStyle w:val="ff5"/>
        </w:rPr>
        <w:t xml:space="preserve">, A.M., </w:t>
      </w:r>
      <w:proofErr w:type="spellStart"/>
      <w:r w:rsidRPr="0071014B">
        <w:rPr>
          <w:rStyle w:val="ff5"/>
        </w:rPr>
        <w:t>Betran</w:t>
      </w:r>
      <w:proofErr w:type="spellEnd"/>
      <w:r w:rsidRPr="0071014B">
        <w:rPr>
          <w:rStyle w:val="ff5"/>
        </w:rPr>
        <w:t xml:space="preserve">, A.P. Association between rates of caesarean section and maternal and neonatal mortality in the 21st century: a worldwide population-based ecological study with longitudinal data. BJOG. 2016 Apr;123(5):745-53. </w:t>
      </w:r>
      <w:proofErr w:type="spellStart"/>
      <w:r w:rsidRPr="0071014B">
        <w:rPr>
          <w:rStyle w:val="ff5"/>
        </w:rPr>
        <w:t>doi</w:t>
      </w:r>
      <w:proofErr w:type="spellEnd"/>
      <w:r w:rsidRPr="0071014B">
        <w:rPr>
          <w:rStyle w:val="ff5"/>
        </w:rPr>
        <w:t xml:space="preserve">: 10.1111/1471-0528.13592. </w:t>
      </w:r>
      <w:proofErr w:type="spellStart"/>
      <w:r w:rsidRPr="0071014B">
        <w:rPr>
          <w:rStyle w:val="ff5"/>
        </w:rPr>
        <w:t>Epub</w:t>
      </w:r>
      <w:proofErr w:type="spellEnd"/>
      <w:r w:rsidRPr="0071014B">
        <w:rPr>
          <w:rStyle w:val="ff5"/>
        </w:rPr>
        <w:t xml:space="preserve"> 2015 Aug 24.</w:t>
      </w:r>
    </w:p>
    <w:p w14:paraId="42B476C1" w14:textId="0EFDE3B0" w:rsidR="005507E7" w:rsidRPr="0071014B" w:rsidRDefault="005507E7" w:rsidP="00FA4C19">
      <w:pPr>
        <w:spacing w:before="120" w:line="240" w:lineRule="auto"/>
        <w:jc w:val="both"/>
        <w:rPr>
          <w:rStyle w:val="ff5"/>
        </w:rPr>
      </w:pPr>
      <w:r w:rsidRPr="0071014B">
        <w:rPr>
          <w:rStyle w:val="ff5"/>
        </w:rPr>
        <w:t xml:space="preserve">Zafar, S., Jean-Baptiste, R., Rahman, A., Neilson, J.P., van den Broek, N.R. Non-Life Threatening Maternal Morbidity: Cross Sectional Surveys from Malawi and Pakistan. </w:t>
      </w:r>
      <w:proofErr w:type="spellStart"/>
      <w:r w:rsidRPr="0071014B">
        <w:rPr>
          <w:rStyle w:val="ff5"/>
        </w:rPr>
        <w:t>PLoS</w:t>
      </w:r>
      <w:proofErr w:type="spellEnd"/>
      <w:r w:rsidRPr="0071014B">
        <w:rPr>
          <w:rStyle w:val="ff5"/>
        </w:rPr>
        <w:t xml:space="preserve"> One. 2015 Sep 21;10(9):e0138026. </w:t>
      </w:r>
      <w:proofErr w:type="spellStart"/>
      <w:r w:rsidRPr="0071014B">
        <w:rPr>
          <w:rStyle w:val="ff5"/>
        </w:rPr>
        <w:t>doi</w:t>
      </w:r>
      <w:proofErr w:type="spellEnd"/>
      <w:r w:rsidRPr="0071014B">
        <w:rPr>
          <w:rStyle w:val="ff5"/>
        </w:rPr>
        <w:t xml:space="preserve">: 10.1371/journal.pone.0138026. </w:t>
      </w:r>
      <w:proofErr w:type="spellStart"/>
      <w:r w:rsidRPr="0071014B">
        <w:rPr>
          <w:rStyle w:val="ff5"/>
        </w:rPr>
        <w:t>eCollection</w:t>
      </w:r>
      <w:proofErr w:type="spellEnd"/>
      <w:r w:rsidRPr="0071014B">
        <w:rPr>
          <w:rStyle w:val="ff5"/>
        </w:rPr>
        <w:t xml:space="preserve"> 2015. </w:t>
      </w:r>
    </w:p>
    <w:p w14:paraId="560C9191" w14:textId="77777777" w:rsidR="008265B3" w:rsidRDefault="008265B3" w:rsidP="00FA4C19">
      <w:pPr>
        <w:spacing w:line="240" w:lineRule="auto"/>
        <w:rPr>
          <w:bCs/>
          <w:i/>
          <w:szCs w:val="26"/>
        </w:rPr>
      </w:pPr>
      <w:bookmarkStart w:id="0" w:name="_Toc483210861"/>
      <w:r>
        <w:br w:type="page"/>
      </w:r>
      <w:bookmarkStart w:id="1" w:name="_GoBack"/>
      <w:bookmarkEnd w:id="1"/>
    </w:p>
    <w:p w14:paraId="4F1A73F4" w14:textId="012466D2" w:rsidR="005507E7" w:rsidRPr="0040494A" w:rsidRDefault="005507E7" w:rsidP="005507E7">
      <w:pPr>
        <w:pStyle w:val="Heading3"/>
        <w:jc w:val="both"/>
        <w:rPr>
          <w:rFonts w:cs="Times New Roman"/>
        </w:rPr>
      </w:pPr>
      <w:r w:rsidRPr="0040494A">
        <w:rPr>
          <w:rFonts w:cs="Times New Roman"/>
        </w:rPr>
        <w:t>List of tables and figures</w:t>
      </w:r>
      <w:bookmarkEnd w:id="0"/>
    </w:p>
    <w:p w14:paraId="729004CC" w14:textId="7F53DA85" w:rsidR="00536145" w:rsidRDefault="005C119E" w:rsidP="008265B3">
      <w:pPr>
        <w:spacing w:before="120" w:line="360" w:lineRule="auto"/>
        <w:jc w:val="both"/>
      </w:pPr>
      <w:r w:rsidRPr="0040494A">
        <w:rPr>
          <w:b/>
        </w:rPr>
        <w:t xml:space="preserve">Table </w:t>
      </w:r>
      <w:r>
        <w:rPr>
          <w:b/>
        </w:rPr>
        <w:t>11</w:t>
      </w:r>
      <w:r w:rsidRPr="0040494A">
        <w:rPr>
          <w:b/>
        </w:rPr>
        <w:t xml:space="preserve">: </w:t>
      </w:r>
      <w:r w:rsidRPr="0040494A">
        <w:t xml:space="preserve">Comparison of sociodemographic characteristics for all women assessed at childbirth and all women assessed at all four stages. </w:t>
      </w:r>
    </w:p>
    <w:p w14:paraId="7F94C403" w14:textId="77777777" w:rsidR="00C842BE" w:rsidRDefault="005C119E" w:rsidP="008265B3">
      <w:pPr>
        <w:spacing w:line="360" w:lineRule="auto"/>
        <w:jc w:val="both"/>
        <w:rPr>
          <w:b/>
          <w:u w:val="single"/>
        </w:rPr>
      </w:pPr>
      <w:r w:rsidRPr="0094749A">
        <w:rPr>
          <w:b/>
        </w:rPr>
        <w:t xml:space="preserve">Table </w:t>
      </w:r>
      <w:r>
        <w:rPr>
          <w:b/>
        </w:rPr>
        <w:t>2</w:t>
      </w:r>
      <w:r w:rsidRPr="0094749A">
        <w:rPr>
          <w:b/>
        </w:rPr>
        <w:t xml:space="preserve">: </w:t>
      </w:r>
      <w:r w:rsidRPr="0094749A">
        <w:t>Prevalence of hospital admission and cause, coded as per adapted WHO ICD-MM framework.</w:t>
      </w:r>
      <w:r w:rsidRPr="0094749A">
        <w:rPr>
          <w:b/>
        </w:rPr>
        <w:t xml:space="preserve"> </w:t>
      </w:r>
    </w:p>
    <w:p w14:paraId="00BE3495" w14:textId="77777777" w:rsidR="00C842BE" w:rsidRDefault="00C842BE" w:rsidP="008265B3">
      <w:pPr>
        <w:spacing w:line="360" w:lineRule="auto"/>
        <w:jc w:val="both"/>
      </w:pPr>
      <w:r>
        <w:rPr>
          <w:b/>
        </w:rPr>
        <w:t xml:space="preserve">Table </w:t>
      </w:r>
      <w:r w:rsidR="005C119E">
        <w:rPr>
          <w:b/>
        </w:rPr>
        <w:t>3</w:t>
      </w:r>
      <w:r w:rsidR="00A7414D" w:rsidRPr="0040494A">
        <w:rPr>
          <w:b/>
        </w:rPr>
        <w:t xml:space="preserve">: </w:t>
      </w:r>
      <w:r w:rsidR="00A7414D" w:rsidRPr="0040494A">
        <w:t xml:space="preserve">Associations between socio-demographic characteristics, ill-health, hospital admission and chronic illness (n=1,311). </w:t>
      </w:r>
    </w:p>
    <w:p w14:paraId="2E2A612C" w14:textId="77777777" w:rsidR="00C842BE" w:rsidRDefault="005507E7" w:rsidP="008265B3">
      <w:pPr>
        <w:spacing w:line="360" w:lineRule="auto"/>
        <w:jc w:val="both"/>
        <w:rPr>
          <w:b/>
          <w:u w:val="single"/>
        </w:rPr>
      </w:pPr>
      <w:r w:rsidRPr="0040494A">
        <w:rPr>
          <w:b/>
        </w:rPr>
        <w:t xml:space="preserve">Table 4: </w:t>
      </w:r>
      <w:r w:rsidRPr="0040494A">
        <w:t>Summary of univariable and multivariable analyses of association between ill-health, hospital admission and chronic illness for women assessed at all four assessment stages (n=1,311).</w:t>
      </w:r>
    </w:p>
    <w:p w14:paraId="04E96143" w14:textId="22623F7D" w:rsidR="008831DE" w:rsidRPr="00C842BE" w:rsidRDefault="005507E7" w:rsidP="008265B3">
      <w:pPr>
        <w:spacing w:line="360" w:lineRule="auto"/>
        <w:jc w:val="both"/>
        <w:rPr>
          <w:b/>
          <w:u w:val="single"/>
        </w:rPr>
      </w:pPr>
      <w:r w:rsidRPr="0040494A">
        <w:rPr>
          <w:b/>
        </w:rPr>
        <w:t xml:space="preserve">Figure 1: </w:t>
      </w:r>
      <w:r w:rsidRPr="0040494A">
        <w:t>Self-reported assessment of health during pregnancy and up to 22 months after birth (n=1,311)</w:t>
      </w:r>
    </w:p>
    <w:p w14:paraId="10D57C2A" w14:textId="296C930E" w:rsidR="001F2595" w:rsidRPr="004617ED" w:rsidRDefault="001F2595" w:rsidP="004617ED">
      <w:pPr>
        <w:spacing w:line="240" w:lineRule="auto"/>
        <w:rPr>
          <w:sz w:val="22"/>
        </w:rPr>
        <w:sectPr w:rsidR="001F2595" w:rsidRPr="004617ED" w:rsidSect="004064FC">
          <w:headerReference w:type="default" r:id="rId17"/>
          <w:footerReference w:type="default" r:id="rId18"/>
          <w:pgSz w:w="12240" w:h="15840" w:code="1"/>
          <w:pgMar w:top="1440" w:right="1440" w:bottom="1440" w:left="1440" w:header="720" w:footer="720" w:gutter="0"/>
          <w:lnNumType w:countBy="1" w:restart="continuous"/>
          <w:cols w:space="720"/>
          <w:docGrid w:linePitch="360"/>
        </w:sectPr>
      </w:pPr>
    </w:p>
    <w:p w14:paraId="3EC57A2A" w14:textId="77777777" w:rsidR="005507E7" w:rsidRPr="0069225F" w:rsidRDefault="005507E7" w:rsidP="0069225F">
      <w:pPr>
        <w:spacing w:line="240" w:lineRule="auto"/>
        <w:rPr>
          <w:b/>
        </w:rPr>
      </w:pPr>
      <w:r w:rsidRPr="0069225F">
        <w:rPr>
          <w:b/>
        </w:rPr>
        <w:t xml:space="preserve">Table 1: </w:t>
      </w:r>
      <w:r w:rsidRPr="0069225F">
        <w:t xml:space="preserve">Comparison of socio demographic characteristics for all possible women at each assessment point. </w:t>
      </w:r>
    </w:p>
    <w:tbl>
      <w:tblPr>
        <w:tblStyle w:val="TableGrid"/>
        <w:tblW w:w="12963" w:type="dxa"/>
        <w:tblInd w:w="-635" w:type="dxa"/>
        <w:tblLayout w:type="fixed"/>
        <w:tblLook w:val="04A0" w:firstRow="1" w:lastRow="0" w:firstColumn="1" w:lastColumn="0" w:noHBand="0" w:noVBand="1"/>
      </w:tblPr>
      <w:tblGrid>
        <w:gridCol w:w="3324"/>
        <w:gridCol w:w="1275"/>
        <w:gridCol w:w="1134"/>
        <w:gridCol w:w="993"/>
        <w:gridCol w:w="1134"/>
        <w:gridCol w:w="992"/>
        <w:gridCol w:w="1134"/>
        <w:gridCol w:w="992"/>
        <w:gridCol w:w="1134"/>
        <w:gridCol w:w="851"/>
        <w:tblGridChange w:id="2">
          <w:tblGrid>
            <w:gridCol w:w="3324"/>
            <w:gridCol w:w="1275"/>
            <w:gridCol w:w="1134"/>
            <w:gridCol w:w="993"/>
            <w:gridCol w:w="1134"/>
            <w:gridCol w:w="992"/>
            <w:gridCol w:w="1134"/>
            <w:gridCol w:w="992"/>
            <w:gridCol w:w="1134"/>
            <w:gridCol w:w="851"/>
          </w:tblGrid>
        </w:tblGridChange>
      </w:tblGrid>
      <w:tr w:rsidR="00E36622" w:rsidRPr="00372B2B" w14:paraId="1FD498B6" w14:textId="77777777" w:rsidTr="004A735F">
        <w:tc>
          <w:tcPr>
            <w:tcW w:w="3324" w:type="dxa"/>
            <w:vMerge w:val="restart"/>
            <w:vAlign w:val="center"/>
          </w:tcPr>
          <w:p w14:paraId="38EC77B2" w14:textId="77777777" w:rsidR="005507E7" w:rsidRPr="00372B2B" w:rsidRDefault="005507E7" w:rsidP="0069225F">
            <w:pPr>
              <w:spacing w:line="240" w:lineRule="auto"/>
              <w:rPr>
                <w:rFonts w:ascii="Times New Roman" w:eastAsia="Times New Roman" w:hAnsi="Times New Roman" w:cs="Times New Roman"/>
                <w:b/>
                <w:bCs/>
                <w:sz w:val="20"/>
                <w:szCs w:val="20"/>
                <w:lang w:val="en-029" w:eastAsia="en-029"/>
              </w:rPr>
            </w:pPr>
          </w:p>
          <w:p w14:paraId="62B8CAB8" w14:textId="77777777" w:rsidR="005507E7" w:rsidRPr="00372B2B" w:rsidRDefault="005507E7" w:rsidP="0069225F">
            <w:pPr>
              <w:spacing w:line="240" w:lineRule="auto"/>
              <w:rPr>
                <w:rFonts w:ascii="Times New Roman" w:hAnsi="Times New Roman" w:cs="Times New Roman"/>
                <w:b/>
                <w:sz w:val="20"/>
                <w:szCs w:val="20"/>
                <w:lang w:val="en-029"/>
              </w:rPr>
            </w:pPr>
            <w:r w:rsidRPr="00372B2B">
              <w:rPr>
                <w:rFonts w:ascii="Times New Roman" w:hAnsi="Times New Roman" w:cs="Times New Roman"/>
                <w:b/>
                <w:sz w:val="20"/>
                <w:szCs w:val="20"/>
              </w:rPr>
              <w:t>Socio-demographic characteristics</w:t>
            </w:r>
            <w:r w:rsidRPr="00372B2B">
              <w:rPr>
                <w:rFonts w:ascii="Times New Roman" w:eastAsia="Times New Roman" w:hAnsi="Times New Roman" w:cs="Times New Roman"/>
                <w:b/>
                <w:bCs/>
                <w:sz w:val="20"/>
                <w:szCs w:val="20"/>
                <w:lang w:val="en-029" w:eastAsia="en-029"/>
              </w:rPr>
              <w:t xml:space="preserve"> </w:t>
            </w:r>
          </w:p>
        </w:tc>
        <w:tc>
          <w:tcPr>
            <w:tcW w:w="9639" w:type="dxa"/>
            <w:gridSpan w:val="9"/>
            <w:vAlign w:val="center"/>
          </w:tcPr>
          <w:p w14:paraId="6645D3A0" w14:textId="20B5C423" w:rsidR="005507E7" w:rsidRPr="00372B2B" w:rsidRDefault="005507E7" w:rsidP="00172889">
            <w:pPr>
              <w:spacing w:line="240" w:lineRule="auto"/>
              <w:jc w:val="center"/>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Assessment point</w:t>
            </w:r>
          </w:p>
        </w:tc>
      </w:tr>
      <w:tr w:rsidR="00FC02D2" w:rsidRPr="00372B2B" w14:paraId="54632645" w14:textId="77777777" w:rsidTr="004A735F">
        <w:tc>
          <w:tcPr>
            <w:tcW w:w="3324" w:type="dxa"/>
            <w:vMerge/>
            <w:tcBorders>
              <w:bottom w:val="single" w:sz="12" w:space="0" w:color="auto"/>
            </w:tcBorders>
            <w:vAlign w:val="center"/>
          </w:tcPr>
          <w:p w14:paraId="39F35410" w14:textId="77777777" w:rsidR="005507E7" w:rsidRPr="00372B2B" w:rsidRDefault="005507E7" w:rsidP="0069225F">
            <w:pPr>
              <w:spacing w:line="240" w:lineRule="auto"/>
              <w:rPr>
                <w:rFonts w:ascii="Times New Roman" w:hAnsi="Times New Roman" w:cs="Times New Roman"/>
                <w:b/>
                <w:sz w:val="20"/>
                <w:szCs w:val="20"/>
              </w:rPr>
            </w:pPr>
          </w:p>
        </w:tc>
        <w:tc>
          <w:tcPr>
            <w:tcW w:w="1275" w:type="dxa"/>
            <w:tcBorders>
              <w:bottom w:val="single" w:sz="12" w:space="0" w:color="auto"/>
            </w:tcBorders>
            <w:vAlign w:val="center"/>
          </w:tcPr>
          <w:p w14:paraId="46ECAA67"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hAnsi="Times New Roman" w:cs="Times New Roman"/>
                <w:b/>
                <w:sz w:val="20"/>
                <w:szCs w:val="20"/>
              </w:rPr>
              <w:t>Within 48 hours after birth</w:t>
            </w:r>
          </w:p>
          <w:p w14:paraId="0051FAED"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hAnsi="Times New Roman" w:cs="Times New Roman"/>
                <w:b/>
                <w:sz w:val="20"/>
                <w:szCs w:val="20"/>
              </w:rPr>
              <w:t xml:space="preserve"> (n= 9,742)</w:t>
            </w:r>
          </w:p>
        </w:tc>
        <w:tc>
          <w:tcPr>
            <w:tcW w:w="2127" w:type="dxa"/>
            <w:gridSpan w:val="2"/>
            <w:tcBorders>
              <w:bottom w:val="single" w:sz="12" w:space="0" w:color="auto"/>
            </w:tcBorders>
            <w:vAlign w:val="center"/>
          </w:tcPr>
          <w:p w14:paraId="641410D7" w14:textId="77777777" w:rsidR="005507E7" w:rsidRPr="00372B2B" w:rsidRDefault="005507E7"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 xml:space="preserve">During pregnancy </w:t>
            </w:r>
          </w:p>
          <w:p w14:paraId="70D6F187" w14:textId="77777777" w:rsidR="005507E7" w:rsidRPr="00372B2B" w:rsidRDefault="005507E7" w:rsidP="0069225F">
            <w:pPr>
              <w:spacing w:line="240" w:lineRule="auto"/>
              <w:rPr>
                <w:rFonts w:ascii="Times New Roman" w:hAnsi="Times New Roman" w:cs="Times New Roman"/>
                <w:b/>
                <w:sz w:val="20"/>
                <w:szCs w:val="20"/>
                <w:lang w:val="en-029"/>
              </w:rPr>
            </w:pPr>
            <w:r w:rsidRPr="00372B2B">
              <w:rPr>
                <w:rFonts w:ascii="Times New Roman" w:eastAsia="Times New Roman" w:hAnsi="Times New Roman" w:cs="Times New Roman"/>
                <w:b/>
                <w:sz w:val="20"/>
                <w:szCs w:val="20"/>
                <w:lang w:val="en-029" w:eastAsia="en-029"/>
              </w:rPr>
              <w:t>(n = 4,576)</w:t>
            </w:r>
          </w:p>
        </w:tc>
        <w:tc>
          <w:tcPr>
            <w:tcW w:w="2126" w:type="dxa"/>
            <w:gridSpan w:val="2"/>
            <w:tcBorders>
              <w:bottom w:val="single" w:sz="12" w:space="0" w:color="auto"/>
            </w:tcBorders>
            <w:vAlign w:val="center"/>
          </w:tcPr>
          <w:p w14:paraId="7074BB64" w14:textId="77777777" w:rsidR="004A735F" w:rsidRPr="00372B2B" w:rsidRDefault="005507E7"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 xml:space="preserve">9-12 months after childbirth </w:t>
            </w:r>
          </w:p>
          <w:p w14:paraId="00FCC614" w14:textId="4C839EED" w:rsidR="005507E7" w:rsidRPr="00372B2B" w:rsidRDefault="005507E7" w:rsidP="0069225F">
            <w:pPr>
              <w:spacing w:line="240" w:lineRule="auto"/>
              <w:rPr>
                <w:rFonts w:ascii="Times New Roman" w:hAnsi="Times New Roman" w:cs="Times New Roman"/>
                <w:b/>
                <w:sz w:val="20"/>
                <w:szCs w:val="20"/>
                <w:lang w:val="en-029"/>
              </w:rPr>
            </w:pPr>
            <w:r w:rsidRPr="00372B2B">
              <w:rPr>
                <w:rFonts w:ascii="Times New Roman" w:eastAsia="Times New Roman" w:hAnsi="Times New Roman" w:cs="Times New Roman"/>
                <w:b/>
                <w:sz w:val="20"/>
                <w:szCs w:val="20"/>
                <w:lang w:val="en-029" w:eastAsia="en-029"/>
              </w:rPr>
              <w:t>(n= 7,609)</w:t>
            </w:r>
          </w:p>
        </w:tc>
        <w:tc>
          <w:tcPr>
            <w:tcW w:w="2126" w:type="dxa"/>
            <w:gridSpan w:val="2"/>
            <w:tcBorders>
              <w:bottom w:val="single" w:sz="12" w:space="0" w:color="auto"/>
              <w:right w:val="single" w:sz="12" w:space="0" w:color="auto"/>
            </w:tcBorders>
            <w:vAlign w:val="center"/>
          </w:tcPr>
          <w:p w14:paraId="38C6326D" w14:textId="77777777" w:rsidR="00E96273" w:rsidRPr="00372B2B" w:rsidRDefault="005507E7"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 xml:space="preserve">18-22 months after childbirth </w:t>
            </w:r>
          </w:p>
          <w:p w14:paraId="7C478E75" w14:textId="67EE3723" w:rsidR="005507E7" w:rsidRPr="00372B2B" w:rsidRDefault="005507E7" w:rsidP="0069225F">
            <w:pPr>
              <w:spacing w:line="240" w:lineRule="auto"/>
              <w:rPr>
                <w:rFonts w:ascii="Times New Roman" w:hAnsi="Times New Roman" w:cs="Times New Roman"/>
                <w:b/>
                <w:sz w:val="20"/>
                <w:szCs w:val="20"/>
                <w:lang w:val="en-029"/>
              </w:rPr>
            </w:pPr>
            <w:r w:rsidRPr="00372B2B">
              <w:rPr>
                <w:rFonts w:ascii="Times New Roman" w:eastAsia="Times New Roman" w:hAnsi="Times New Roman" w:cs="Times New Roman"/>
                <w:b/>
                <w:sz w:val="20"/>
                <w:szCs w:val="20"/>
                <w:lang w:val="en-029" w:eastAsia="en-029"/>
              </w:rPr>
              <w:t>(n = 3,381)</w:t>
            </w:r>
          </w:p>
        </w:tc>
        <w:tc>
          <w:tcPr>
            <w:tcW w:w="1985" w:type="dxa"/>
            <w:gridSpan w:val="2"/>
            <w:tcBorders>
              <w:left w:val="single" w:sz="12" w:space="0" w:color="auto"/>
              <w:bottom w:val="single" w:sz="12" w:space="0" w:color="auto"/>
            </w:tcBorders>
            <w:vAlign w:val="center"/>
          </w:tcPr>
          <w:p w14:paraId="60310A40" w14:textId="77777777" w:rsidR="005507E7" w:rsidRPr="00372B2B" w:rsidRDefault="005507E7"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 xml:space="preserve">Women assessed at all 4 times (n=1,311) </w:t>
            </w:r>
          </w:p>
        </w:tc>
      </w:tr>
      <w:tr w:rsidR="004A735F" w:rsidRPr="00372B2B" w14:paraId="40F211B2" w14:textId="77777777" w:rsidTr="004A735F">
        <w:trPr>
          <w:trHeight w:val="161"/>
        </w:trPr>
        <w:tc>
          <w:tcPr>
            <w:tcW w:w="3324" w:type="dxa"/>
            <w:tcBorders>
              <w:top w:val="single" w:sz="12" w:space="0" w:color="auto"/>
            </w:tcBorders>
            <w:vAlign w:val="center"/>
          </w:tcPr>
          <w:p w14:paraId="7AC009EB" w14:textId="77777777" w:rsidR="005507E7" w:rsidRPr="00372B2B" w:rsidRDefault="005507E7" w:rsidP="0069225F">
            <w:pPr>
              <w:spacing w:line="240" w:lineRule="auto"/>
              <w:rPr>
                <w:rFonts w:ascii="Times New Roman" w:hAnsi="Times New Roman" w:cs="Times New Roman"/>
                <w:b/>
                <w:sz w:val="20"/>
                <w:szCs w:val="20"/>
              </w:rPr>
            </w:pPr>
          </w:p>
        </w:tc>
        <w:tc>
          <w:tcPr>
            <w:tcW w:w="1275" w:type="dxa"/>
            <w:tcBorders>
              <w:top w:val="single" w:sz="12" w:space="0" w:color="auto"/>
            </w:tcBorders>
            <w:vAlign w:val="center"/>
          </w:tcPr>
          <w:p w14:paraId="344968F1" w14:textId="77777777" w:rsidR="005507E7" w:rsidRPr="00372B2B" w:rsidRDefault="005507E7" w:rsidP="0069225F">
            <w:pPr>
              <w:spacing w:line="240" w:lineRule="auto"/>
              <w:rPr>
                <w:rFonts w:ascii="Times New Roman" w:hAnsi="Times New Roman" w:cs="Times New Roman"/>
                <w:b/>
                <w:sz w:val="20"/>
                <w:szCs w:val="20"/>
              </w:rPr>
            </w:pPr>
          </w:p>
        </w:tc>
        <w:tc>
          <w:tcPr>
            <w:tcW w:w="1134" w:type="dxa"/>
            <w:tcBorders>
              <w:top w:val="single" w:sz="12" w:space="0" w:color="auto"/>
            </w:tcBorders>
            <w:vAlign w:val="center"/>
          </w:tcPr>
          <w:p w14:paraId="7F4BC707"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Statistic(s)</w:t>
            </w:r>
          </w:p>
        </w:tc>
        <w:tc>
          <w:tcPr>
            <w:tcW w:w="993" w:type="dxa"/>
            <w:tcBorders>
              <w:top w:val="single" w:sz="12" w:space="0" w:color="auto"/>
            </w:tcBorders>
            <w:vAlign w:val="center"/>
          </w:tcPr>
          <w:p w14:paraId="191F63D0"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p-</w:t>
            </w:r>
            <w:proofErr w:type="spellStart"/>
            <w:r w:rsidRPr="00372B2B">
              <w:rPr>
                <w:rFonts w:ascii="Times New Roman" w:eastAsia="Times New Roman" w:hAnsi="Times New Roman" w:cs="Times New Roman"/>
                <w:sz w:val="20"/>
                <w:szCs w:val="20"/>
                <w:lang w:val="en-029" w:eastAsia="en-029"/>
              </w:rPr>
              <w:t>value</w:t>
            </w:r>
            <w:r w:rsidRPr="00372B2B">
              <w:rPr>
                <w:rFonts w:ascii="Times New Roman" w:eastAsia="Times New Roman" w:hAnsi="Times New Roman" w:cs="Times New Roman"/>
                <w:sz w:val="20"/>
                <w:szCs w:val="20"/>
                <w:vertAlign w:val="superscript"/>
                <w:lang w:val="en-029" w:eastAsia="en-029"/>
              </w:rPr>
              <w:t>a</w:t>
            </w:r>
            <w:proofErr w:type="spellEnd"/>
          </w:p>
        </w:tc>
        <w:tc>
          <w:tcPr>
            <w:tcW w:w="1134" w:type="dxa"/>
            <w:tcBorders>
              <w:top w:val="single" w:sz="12" w:space="0" w:color="auto"/>
            </w:tcBorders>
            <w:vAlign w:val="center"/>
          </w:tcPr>
          <w:p w14:paraId="6444D73C"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Statistic(s)</w:t>
            </w:r>
          </w:p>
        </w:tc>
        <w:tc>
          <w:tcPr>
            <w:tcW w:w="992" w:type="dxa"/>
            <w:tcBorders>
              <w:top w:val="single" w:sz="12" w:space="0" w:color="auto"/>
            </w:tcBorders>
            <w:vAlign w:val="center"/>
          </w:tcPr>
          <w:p w14:paraId="40020D3C"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p-</w:t>
            </w:r>
            <w:proofErr w:type="spellStart"/>
            <w:r w:rsidRPr="00372B2B">
              <w:rPr>
                <w:rFonts w:ascii="Times New Roman" w:eastAsia="Times New Roman" w:hAnsi="Times New Roman" w:cs="Times New Roman"/>
                <w:sz w:val="20"/>
                <w:szCs w:val="20"/>
                <w:lang w:val="en-029" w:eastAsia="en-029"/>
              </w:rPr>
              <w:t>value</w:t>
            </w:r>
            <w:r w:rsidRPr="00372B2B">
              <w:rPr>
                <w:rFonts w:ascii="Times New Roman" w:eastAsia="Times New Roman" w:hAnsi="Times New Roman" w:cs="Times New Roman"/>
                <w:sz w:val="20"/>
                <w:szCs w:val="20"/>
                <w:vertAlign w:val="superscript"/>
                <w:lang w:val="en-029" w:eastAsia="en-029"/>
              </w:rPr>
              <w:t>a</w:t>
            </w:r>
            <w:proofErr w:type="spellEnd"/>
          </w:p>
        </w:tc>
        <w:tc>
          <w:tcPr>
            <w:tcW w:w="1134" w:type="dxa"/>
            <w:tcBorders>
              <w:top w:val="single" w:sz="12" w:space="0" w:color="auto"/>
            </w:tcBorders>
            <w:vAlign w:val="center"/>
          </w:tcPr>
          <w:p w14:paraId="29C29AFA"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Statistic(s)</w:t>
            </w:r>
          </w:p>
        </w:tc>
        <w:tc>
          <w:tcPr>
            <w:tcW w:w="992" w:type="dxa"/>
            <w:tcBorders>
              <w:top w:val="single" w:sz="12" w:space="0" w:color="auto"/>
              <w:right w:val="single" w:sz="12" w:space="0" w:color="auto"/>
            </w:tcBorders>
            <w:vAlign w:val="center"/>
          </w:tcPr>
          <w:p w14:paraId="29C03D0B"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p-</w:t>
            </w:r>
            <w:proofErr w:type="spellStart"/>
            <w:r w:rsidRPr="00372B2B">
              <w:rPr>
                <w:rFonts w:ascii="Times New Roman" w:eastAsia="Times New Roman" w:hAnsi="Times New Roman" w:cs="Times New Roman"/>
                <w:sz w:val="20"/>
                <w:szCs w:val="20"/>
                <w:lang w:val="en-029" w:eastAsia="en-029"/>
              </w:rPr>
              <w:t>value</w:t>
            </w:r>
            <w:r w:rsidRPr="00372B2B">
              <w:rPr>
                <w:rFonts w:ascii="Times New Roman" w:eastAsia="Times New Roman" w:hAnsi="Times New Roman" w:cs="Times New Roman"/>
                <w:sz w:val="20"/>
                <w:szCs w:val="20"/>
                <w:vertAlign w:val="superscript"/>
                <w:lang w:val="en-029" w:eastAsia="en-029"/>
              </w:rPr>
              <w:t>a</w:t>
            </w:r>
            <w:proofErr w:type="spellEnd"/>
          </w:p>
        </w:tc>
        <w:tc>
          <w:tcPr>
            <w:tcW w:w="1134" w:type="dxa"/>
            <w:tcBorders>
              <w:top w:val="single" w:sz="12" w:space="0" w:color="auto"/>
              <w:left w:val="single" w:sz="12" w:space="0" w:color="auto"/>
            </w:tcBorders>
            <w:vAlign w:val="center"/>
          </w:tcPr>
          <w:p w14:paraId="4EF288C4" w14:textId="77777777" w:rsidR="005507E7" w:rsidRPr="00372B2B" w:rsidRDefault="005507E7"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Statistic(s)</w:t>
            </w:r>
          </w:p>
        </w:tc>
        <w:tc>
          <w:tcPr>
            <w:tcW w:w="851" w:type="dxa"/>
            <w:tcBorders>
              <w:top w:val="single" w:sz="12" w:space="0" w:color="auto"/>
            </w:tcBorders>
            <w:vAlign w:val="center"/>
          </w:tcPr>
          <w:p w14:paraId="4975A2C4" w14:textId="77777777" w:rsidR="005507E7" w:rsidRPr="00372B2B" w:rsidRDefault="005507E7"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p-</w:t>
            </w:r>
            <w:proofErr w:type="spellStart"/>
            <w:r w:rsidRPr="00372B2B">
              <w:rPr>
                <w:rFonts w:ascii="Times New Roman" w:eastAsia="Times New Roman" w:hAnsi="Times New Roman" w:cs="Times New Roman"/>
                <w:sz w:val="20"/>
                <w:szCs w:val="20"/>
                <w:lang w:val="en-029" w:eastAsia="en-029"/>
              </w:rPr>
              <w:t>value</w:t>
            </w:r>
            <w:r w:rsidRPr="00372B2B">
              <w:rPr>
                <w:rFonts w:ascii="Times New Roman" w:eastAsia="Times New Roman" w:hAnsi="Times New Roman" w:cs="Times New Roman"/>
                <w:sz w:val="20"/>
                <w:szCs w:val="20"/>
                <w:vertAlign w:val="superscript"/>
                <w:lang w:val="en-029" w:eastAsia="en-029"/>
              </w:rPr>
              <w:t>a</w:t>
            </w:r>
            <w:proofErr w:type="spellEnd"/>
          </w:p>
        </w:tc>
      </w:tr>
      <w:tr w:rsidR="004A735F" w:rsidRPr="00372B2B" w14:paraId="43A4C383" w14:textId="77777777" w:rsidTr="004A735F">
        <w:trPr>
          <w:trHeight w:val="350"/>
        </w:trPr>
        <w:tc>
          <w:tcPr>
            <w:tcW w:w="3324" w:type="dxa"/>
            <w:vAlign w:val="center"/>
          </w:tcPr>
          <w:p w14:paraId="219DA0FF"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b/>
                <w:bCs/>
                <w:sz w:val="20"/>
                <w:szCs w:val="20"/>
                <w:lang w:val="en-029" w:eastAsia="en-029"/>
              </w:rPr>
              <w:t>Total women interviewed (n)</w:t>
            </w:r>
          </w:p>
        </w:tc>
        <w:tc>
          <w:tcPr>
            <w:tcW w:w="1275" w:type="dxa"/>
            <w:vAlign w:val="center"/>
          </w:tcPr>
          <w:p w14:paraId="37362D7B"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eastAsia="Times New Roman" w:hAnsi="Times New Roman" w:cs="Times New Roman"/>
                <w:sz w:val="20"/>
                <w:szCs w:val="20"/>
                <w:lang w:val="en-029" w:eastAsia="en-029"/>
              </w:rPr>
              <w:t>9,742</w:t>
            </w:r>
          </w:p>
        </w:tc>
        <w:tc>
          <w:tcPr>
            <w:tcW w:w="1134" w:type="dxa"/>
            <w:vAlign w:val="center"/>
          </w:tcPr>
          <w:p w14:paraId="347B8F2B"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eastAsia="Times New Roman" w:hAnsi="Times New Roman" w:cs="Times New Roman"/>
                <w:sz w:val="20"/>
                <w:szCs w:val="20"/>
                <w:lang w:val="en-029" w:eastAsia="en-029"/>
              </w:rPr>
              <w:t>4,576</w:t>
            </w:r>
          </w:p>
        </w:tc>
        <w:tc>
          <w:tcPr>
            <w:tcW w:w="993" w:type="dxa"/>
            <w:vAlign w:val="center"/>
          </w:tcPr>
          <w:p w14:paraId="0330230A" w14:textId="77777777" w:rsidR="005507E7" w:rsidRPr="00372B2B" w:rsidRDefault="005507E7" w:rsidP="0069225F">
            <w:pPr>
              <w:spacing w:line="240" w:lineRule="auto"/>
              <w:jc w:val="center"/>
              <w:rPr>
                <w:rFonts w:ascii="Times New Roman" w:hAnsi="Times New Roman" w:cs="Times New Roman"/>
                <w:sz w:val="20"/>
                <w:szCs w:val="20"/>
              </w:rPr>
            </w:pPr>
          </w:p>
        </w:tc>
        <w:tc>
          <w:tcPr>
            <w:tcW w:w="1134" w:type="dxa"/>
            <w:vAlign w:val="center"/>
          </w:tcPr>
          <w:p w14:paraId="68BCF5DF"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7,609</w:t>
            </w:r>
          </w:p>
        </w:tc>
        <w:tc>
          <w:tcPr>
            <w:tcW w:w="992" w:type="dxa"/>
            <w:vAlign w:val="center"/>
          </w:tcPr>
          <w:p w14:paraId="3431518B" w14:textId="77777777" w:rsidR="005507E7" w:rsidRPr="00372B2B" w:rsidRDefault="005507E7" w:rsidP="0069225F">
            <w:pPr>
              <w:spacing w:line="240" w:lineRule="auto"/>
              <w:jc w:val="center"/>
              <w:rPr>
                <w:rFonts w:ascii="Times New Roman" w:hAnsi="Times New Roman" w:cs="Times New Roman"/>
                <w:sz w:val="20"/>
                <w:szCs w:val="20"/>
              </w:rPr>
            </w:pPr>
          </w:p>
        </w:tc>
        <w:tc>
          <w:tcPr>
            <w:tcW w:w="1134" w:type="dxa"/>
            <w:vAlign w:val="center"/>
          </w:tcPr>
          <w:p w14:paraId="631210B2"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3,381</w:t>
            </w:r>
          </w:p>
        </w:tc>
        <w:tc>
          <w:tcPr>
            <w:tcW w:w="992" w:type="dxa"/>
            <w:tcBorders>
              <w:right w:val="single" w:sz="12" w:space="0" w:color="auto"/>
            </w:tcBorders>
            <w:vAlign w:val="center"/>
          </w:tcPr>
          <w:p w14:paraId="47175647" w14:textId="77777777" w:rsidR="005507E7" w:rsidRPr="00372B2B" w:rsidRDefault="005507E7" w:rsidP="0069225F">
            <w:pPr>
              <w:spacing w:line="240" w:lineRule="auto"/>
              <w:jc w:val="center"/>
              <w:rPr>
                <w:rFonts w:ascii="Times New Roman" w:hAnsi="Times New Roman" w:cs="Times New Roman"/>
                <w:sz w:val="20"/>
                <w:szCs w:val="20"/>
              </w:rPr>
            </w:pPr>
          </w:p>
        </w:tc>
        <w:tc>
          <w:tcPr>
            <w:tcW w:w="1134" w:type="dxa"/>
            <w:tcBorders>
              <w:left w:val="single" w:sz="12" w:space="0" w:color="auto"/>
            </w:tcBorders>
            <w:vAlign w:val="center"/>
          </w:tcPr>
          <w:p w14:paraId="6555C4EC"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1,311</w:t>
            </w:r>
          </w:p>
        </w:tc>
        <w:tc>
          <w:tcPr>
            <w:tcW w:w="851" w:type="dxa"/>
            <w:vAlign w:val="center"/>
          </w:tcPr>
          <w:p w14:paraId="2670777D" w14:textId="77777777" w:rsidR="005507E7" w:rsidRPr="00372B2B" w:rsidRDefault="005507E7" w:rsidP="0069225F">
            <w:pPr>
              <w:spacing w:line="240" w:lineRule="auto"/>
              <w:jc w:val="center"/>
              <w:rPr>
                <w:rFonts w:ascii="Times New Roman" w:hAnsi="Times New Roman" w:cs="Times New Roman"/>
                <w:b/>
                <w:sz w:val="20"/>
                <w:szCs w:val="20"/>
              </w:rPr>
            </w:pPr>
          </w:p>
        </w:tc>
      </w:tr>
      <w:tr w:rsidR="004A735F" w:rsidRPr="00372B2B" w14:paraId="561B382A" w14:textId="77777777" w:rsidTr="004A735F">
        <w:tc>
          <w:tcPr>
            <w:tcW w:w="3324" w:type="dxa"/>
            <w:vAlign w:val="center"/>
          </w:tcPr>
          <w:p w14:paraId="22ED4EE9"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b/>
                <w:bCs/>
                <w:sz w:val="20"/>
                <w:szCs w:val="20"/>
                <w:lang w:val="en-029" w:eastAsia="en-029"/>
              </w:rPr>
              <w:t>Age (women with data available)</w:t>
            </w:r>
          </w:p>
        </w:tc>
        <w:tc>
          <w:tcPr>
            <w:tcW w:w="1275" w:type="dxa"/>
            <w:vAlign w:val="center"/>
          </w:tcPr>
          <w:p w14:paraId="04F8FDB7"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9,626</w:t>
            </w:r>
          </w:p>
        </w:tc>
        <w:tc>
          <w:tcPr>
            <w:tcW w:w="1134" w:type="dxa"/>
            <w:vAlign w:val="center"/>
          </w:tcPr>
          <w:p w14:paraId="5F2A0A61"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3,899</w:t>
            </w:r>
          </w:p>
        </w:tc>
        <w:tc>
          <w:tcPr>
            <w:tcW w:w="993" w:type="dxa"/>
            <w:vAlign w:val="center"/>
          </w:tcPr>
          <w:p w14:paraId="6ADD0E37"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vAlign w:val="center"/>
          </w:tcPr>
          <w:p w14:paraId="3D775229"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7,364</w:t>
            </w:r>
          </w:p>
        </w:tc>
        <w:tc>
          <w:tcPr>
            <w:tcW w:w="992" w:type="dxa"/>
            <w:vAlign w:val="center"/>
          </w:tcPr>
          <w:p w14:paraId="2597C43D"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vAlign w:val="center"/>
          </w:tcPr>
          <w:p w14:paraId="4A502DBA"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3,246</w:t>
            </w:r>
          </w:p>
        </w:tc>
        <w:tc>
          <w:tcPr>
            <w:tcW w:w="992" w:type="dxa"/>
            <w:tcBorders>
              <w:right w:val="single" w:sz="12" w:space="0" w:color="auto"/>
            </w:tcBorders>
            <w:vAlign w:val="center"/>
          </w:tcPr>
          <w:p w14:paraId="00F7230C"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24083B1C"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1,294</w:t>
            </w:r>
          </w:p>
        </w:tc>
        <w:tc>
          <w:tcPr>
            <w:tcW w:w="851" w:type="dxa"/>
            <w:vAlign w:val="center"/>
          </w:tcPr>
          <w:p w14:paraId="6AD05A0B" w14:textId="77777777" w:rsidR="005507E7" w:rsidRPr="00372B2B" w:rsidRDefault="005507E7" w:rsidP="0069225F">
            <w:pPr>
              <w:spacing w:line="240" w:lineRule="auto"/>
              <w:jc w:val="center"/>
              <w:rPr>
                <w:rFonts w:ascii="Times New Roman" w:hAnsi="Times New Roman" w:cs="Times New Roman"/>
                <w:b/>
                <w:sz w:val="20"/>
                <w:szCs w:val="20"/>
              </w:rPr>
            </w:pPr>
          </w:p>
        </w:tc>
      </w:tr>
      <w:tr w:rsidR="004A735F" w:rsidRPr="00372B2B" w14:paraId="1EB02D67" w14:textId="77777777" w:rsidTr="004A735F">
        <w:tc>
          <w:tcPr>
            <w:tcW w:w="3324" w:type="dxa"/>
            <w:vAlign w:val="center"/>
          </w:tcPr>
          <w:p w14:paraId="10864705" w14:textId="77777777" w:rsidR="00FC02D2" w:rsidRPr="00372B2B" w:rsidRDefault="005507E7" w:rsidP="0069225F">
            <w:pPr>
              <w:spacing w:line="240" w:lineRule="auto"/>
              <w:rPr>
                <w:rFonts w:ascii="Times New Roman" w:eastAsia="Times New Roman" w:hAnsi="Times New Roman" w:cs="Times New Roman"/>
                <w:b/>
                <w:bCs/>
                <w:sz w:val="20"/>
                <w:szCs w:val="20"/>
                <w:lang w:val="en-029" w:eastAsia="en-029"/>
              </w:rPr>
            </w:pPr>
            <w:r w:rsidRPr="00372B2B">
              <w:rPr>
                <w:rFonts w:ascii="Times New Roman" w:eastAsia="Times New Roman" w:hAnsi="Times New Roman" w:cs="Times New Roman"/>
                <w:b/>
                <w:bCs/>
                <w:sz w:val="20"/>
                <w:szCs w:val="20"/>
                <w:lang w:val="en-029" w:eastAsia="en-029"/>
              </w:rPr>
              <w:t xml:space="preserve">Age (years) at delivery </w:t>
            </w:r>
          </w:p>
          <w:p w14:paraId="6D469585" w14:textId="25F3AED1"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b/>
                <w:bCs/>
                <w:sz w:val="20"/>
                <w:szCs w:val="20"/>
                <w:lang w:val="en-029" w:eastAsia="en-029"/>
              </w:rPr>
              <w:t>[Mean (</w:t>
            </w:r>
            <w:proofErr w:type="spellStart"/>
            <w:r w:rsidRPr="00372B2B">
              <w:rPr>
                <w:rFonts w:ascii="Times New Roman" w:eastAsia="Times New Roman" w:hAnsi="Times New Roman" w:cs="Times New Roman"/>
                <w:b/>
                <w:bCs/>
                <w:sz w:val="20"/>
                <w:szCs w:val="20"/>
                <w:lang w:val="en-029" w:eastAsia="en-029"/>
              </w:rPr>
              <w:t>sd</w:t>
            </w:r>
            <w:proofErr w:type="spellEnd"/>
            <w:r w:rsidRPr="00372B2B">
              <w:rPr>
                <w:rFonts w:ascii="Times New Roman" w:eastAsia="Times New Roman" w:hAnsi="Times New Roman" w:cs="Times New Roman"/>
                <w:b/>
                <w:bCs/>
                <w:sz w:val="20"/>
                <w:szCs w:val="20"/>
                <w:lang w:val="en-029" w:eastAsia="en-029"/>
              </w:rPr>
              <w:t xml:space="preserve">)] </w:t>
            </w:r>
          </w:p>
        </w:tc>
        <w:tc>
          <w:tcPr>
            <w:tcW w:w="1275" w:type="dxa"/>
            <w:vAlign w:val="center"/>
          </w:tcPr>
          <w:p w14:paraId="47E30F98"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26.3 (8.0)</w:t>
            </w:r>
          </w:p>
        </w:tc>
        <w:tc>
          <w:tcPr>
            <w:tcW w:w="1134" w:type="dxa"/>
            <w:vAlign w:val="center"/>
          </w:tcPr>
          <w:p w14:paraId="6CDA12DB"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25.4 (6.6)</w:t>
            </w:r>
          </w:p>
        </w:tc>
        <w:tc>
          <w:tcPr>
            <w:tcW w:w="993" w:type="dxa"/>
            <w:vAlign w:val="center"/>
          </w:tcPr>
          <w:p w14:paraId="05125732"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&lt;0.001</w:t>
            </w:r>
          </w:p>
        </w:tc>
        <w:tc>
          <w:tcPr>
            <w:tcW w:w="1134" w:type="dxa"/>
            <w:vAlign w:val="center"/>
          </w:tcPr>
          <w:p w14:paraId="2BA7C18D"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26.1 (6.7)</w:t>
            </w:r>
          </w:p>
        </w:tc>
        <w:tc>
          <w:tcPr>
            <w:tcW w:w="992" w:type="dxa"/>
            <w:vAlign w:val="center"/>
          </w:tcPr>
          <w:p w14:paraId="5DB91464"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0.30</w:t>
            </w:r>
          </w:p>
        </w:tc>
        <w:tc>
          <w:tcPr>
            <w:tcW w:w="1134" w:type="dxa"/>
            <w:vAlign w:val="center"/>
          </w:tcPr>
          <w:p w14:paraId="205015D3"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eastAsia="Times New Roman" w:hAnsi="Times New Roman" w:cs="Times New Roman"/>
                <w:sz w:val="20"/>
                <w:szCs w:val="20"/>
                <w:lang w:val="en-029" w:eastAsia="en-029"/>
              </w:rPr>
              <w:t>26.2 (6.7)</w:t>
            </w:r>
          </w:p>
        </w:tc>
        <w:tc>
          <w:tcPr>
            <w:tcW w:w="992" w:type="dxa"/>
            <w:tcBorders>
              <w:right w:val="single" w:sz="12" w:space="0" w:color="auto"/>
            </w:tcBorders>
            <w:vAlign w:val="center"/>
          </w:tcPr>
          <w:p w14:paraId="3B61FCCB"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0.18</w:t>
            </w:r>
          </w:p>
        </w:tc>
        <w:tc>
          <w:tcPr>
            <w:tcW w:w="1134" w:type="dxa"/>
            <w:tcBorders>
              <w:left w:val="single" w:sz="12" w:space="0" w:color="auto"/>
            </w:tcBorders>
            <w:vAlign w:val="center"/>
          </w:tcPr>
          <w:p w14:paraId="392BD9FA" w14:textId="77777777" w:rsidR="005507E7" w:rsidRPr="00372B2B" w:rsidRDefault="005507E7"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25.9 (6.6)</w:t>
            </w:r>
          </w:p>
        </w:tc>
        <w:tc>
          <w:tcPr>
            <w:tcW w:w="851" w:type="dxa"/>
            <w:vAlign w:val="center"/>
          </w:tcPr>
          <w:p w14:paraId="62562AAE" w14:textId="77777777" w:rsidR="005507E7" w:rsidRPr="00372B2B" w:rsidRDefault="005507E7"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0.49</w:t>
            </w:r>
          </w:p>
        </w:tc>
      </w:tr>
      <w:tr w:rsidR="004A735F" w:rsidRPr="00372B2B" w14:paraId="5547AA88" w14:textId="77777777" w:rsidTr="004A735F">
        <w:trPr>
          <w:trHeight w:val="477"/>
        </w:trPr>
        <w:tc>
          <w:tcPr>
            <w:tcW w:w="3324" w:type="dxa"/>
            <w:vAlign w:val="center"/>
          </w:tcPr>
          <w:p w14:paraId="67CA9A3D" w14:textId="77777777" w:rsidR="005507E7" w:rsidRPr="00372B2B" w:rsidRDefault="005507E7"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b/>
                <w:bCs/>
                <w:sz w:val="20"/>
                <w:szCs w:val="20"/>
                <w:lang w:val="en-029" w:eastAsia="en-029"/>
              </w:rPr>
              <w:t>Number of previous pregnancies (women with data available)</w:t>
            </w:r>
          </w:p>
        </w:tc>
        <w:tc>
          <w:tcPr>
            <w:tcW w:w="1275" w:type="dxa"/>
            <w:vAlign w:val="center"/>
          </w:tcPr>
          <w:p w14:paraId="628BFD7C" w14:textId="77777777" w:rsidR="005507E7" w:rsidRPr="00372B2B" w:rsidRDefault="005507E7" w:rsidP="0069225F">
            <w:pPr>
              <w:spacing w:line="240" w:lineRule="auto"/>
              <w:jc w:val="center"/>
              <w:rPr>
                <w:rFonts w:ascii="Times New Roman" w:eastAsia="Times New Roman" w:hAnsi="Times New Roman" w:cs="Times New Roman"/>
                <w:sz w:val="20"/>
                <w:szCs w:val="20"/>
                <w:lang w:val="en-029" w:eastAsia="en-029"/>
              </w:rPr>
            </w:pPr>
          </w:p>
          <w:p w14:paraId="2F886A65"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9,365</w:t>
            </w:r>
          </w:p>
        </w:tc>
        <w:tc>
          <w:tcPr>
            <w:tcW w:w="1134" w:type="dxa"/>
            <w:vAlign w:val="center"/>
          </w:tcPr>
          <w:p w14:paraId="1F667132" w14:textId="77777777" w:rsidR="005507E7" w:rsidRPr="00372B2B" w:rsidRDefault="005507E7" w:rsidP="0069225F">
            <w:pPr>
              <w:spacing w:line="240" w:lineRule="auto"/>
              <w:jc w:val="center"/>
              <w:rPr>
                <w:rFonts w:ascii="Times New Roman" w:eastAsia="Times New Roman" w:hAnsi="Times New Roman" w:cs="Times New Roman"/>
                <w:sz w:val="20"/>
                <w:szCs w:val="20"/>
                <w:lang w:val="en-029" w:eastAsia="en-029"/>
              </w:rPr>
            </w:pPr>
          </w:p>
          <w:p w14:paraId="38115019" w14:textId="77777777" w:rsidR="005507E7" w:rsidRPr="00372B2B" w:rsidRDefault="005507E7"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3,797</w:t>
            </w:r>
          </w:p>
        </w:tc>
        <w:tc>
          <w:tcPr>
            <w:tcW w:w="993" w:type="dxa"/>
            <w:vAlign w:val="center"/>
          </w:tcPr>
          <w:p w14:paraId="0B3AAD1F"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vAlign w:val="center"/>
          </w:tcPr>
          <w:p w14:paraId="65103029"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7,178</w:t>
            </w:r>
          </w:p>
        </w:tc>
        <w:tc>
          <w:tcPr>
            <w:tcW w:w="992" w:type="dxa"/>
            <w:vAlign w:val="center"/>
          </w:tcPr>
          <w:p w14:paraId="3914940C"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vAlign w:val="center"/>
          </w:tcPr>
          <w:p w14:paraId="65807390"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3,176</w:t>
            </w:r>
          </w:p>
        </w:tc>
        <w:tc>
          <w:tcPr>
            <w:tcW w:w="992" w:type="dxa"/>
            <w:tcBorders>
              <w:right w:val="single" w:sz="12" w:space="0" w:color="auto"/>
            </w:tcBorders>
            <w:vAlign w:val="center"/>
          </w:tcPr>
          <w:p w14:paraId="0BDE4809" w14:textId="77777777" w:rsidR="005507E7" w:rsidRPr="00372B2B" w:rsidRDefault="005507E7" w:rsidP="0069225F">
            <w:pPr>
              <w:spacing w:line="240" w:lineRule="auto"/>
              <w:jc w:val="center"/>
              <w:rPr>
                <w:rFonts w:ascii="Times New Roman" w:eastAsia="Times New Roman" w:hAnsi="Times New Roman" w:cs="Times New Roman"/>
                <w:sz w:val="20"/>
                <w:szCs w:val="20"/>
                <w:lang w:val="en-029" w:eastAsia="en-029"/>
              </w:rPr>
            </w:pPr>
          </w:p>
          <w:p w14:paraId="697E4A3F" w14:textId="77777777" w:rsidR="005507E7" w:rsidRPr="00372B2B" w:rsidRDefault="005507E7"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2CF34FF2" w14:textId="77777777" w:rsidR="005507E7" w:rsidRPr="00372B2B" w:rsidRDefault="005507E7" w:rsidP="0069225F">
            <w:pPr>
              <w:spacing w:line="240" w:lineRule="auto"/>
              <w:jc w:val="center"/>
              <w:rPr>
                <w:rFonts w:ascii="Times New Roman" w:hAnsi="Times New Roman" w:cs="Times New Roman"/>
                <w:sz w:val="20"/>
                <w:szCs w:val="20"/>
              </w:rPr>
            </w:pPr>
          </w:p>
          <w:p w14:paraId="0D4EB076" w14:textId="77777777" w:rsidR="005507E7" w:rsidRPr="00372B2B" w:rsidRDefault="005507E7"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1,268</w:t>
            </w:r>
          </w:p>
        </w:tc>
        <w:tc>
          <w:tcPr>
            <w:tcW w:w="851" w:type="dxa"/>
            <w:vAlign w:val="center"/>
          </w:tcPr>
          <w:p w14:paraId="1ED46587" w14:textId="77777777" w:rsidR="005507E7" w:rsidRPr="00372B2B" w:rsidRDefault="005507E7" w:rsidP="0069225F">
            <w:pPr>
              <w:spacing w:line="240" w:lineRule="auto"/>
              <w:jc w:val="center"/>
              <w:rPr>
                <w:rFonts w:ascii="Times New Roman" w:hAnsi="Times New Roman" w:cs="Times New Roman"/>
                <w:b/>
                <w:sz w:val="20"/>
                <w:szCs w:val="20"/>
              </w:rPr>
            </w:pPr>
          </w:p>
        </w:tc>
      </w:tr>
      <w:tr w:rsidR="004A735F" w:rsidRPr="00372B2B" w14:paraId="40B37F16" w14:textId="77777777" w:rsidTr="004A735F">
        <w:tc>
          <w:tcPr>
            <w:tcW w:w="3324" w:type="dxa"/>
            <w:vAlign w:val="center"/>
          </w:tcPr>
          <w:p w14:paraId="39660FFA" w14:textId="77777777" w:rsidR="00CC724D" w:rsidRPr="00372B2B" w:rsidRDefault="00CC724D" w:rsidP="0069225F">
            <w:pPr>
              <w:spacing w:line="240" w:lineRule="auto"/>
              <w:rPr>
                <w:rFonts w:ascii="Times New Roman" w:hAnsi="Times New Roman" w:cs="Times New Roman"/>
                <w:sz w:val="20"/>
                <w:szCs w:val="20"/>
                <w:lang w:val="en-029"/>
              </w:rPr>
            </w:pPr>
            <w:r w:rsidRPr="00372B2B">
              <w:rPr>
                <w:rFonts w:ascii="Times New Roman" w:eastAsia="Times New Roman" w:hAnsi="Times New Roman" w:cs="Times New Roman"/>
                <w:b/>
                <w:bCs/>
                <w:sz w:val="20"/>
                <w:szCs w:val="20"/>
                <w:lang w:val="en-029" w:eastAsia="en-029"/>
              </w:rPr>
              <w:t>Previous pregnancies (</w:t>
            </w:r>
            <w:r w:rsidRPr="00372B2B">
              <w:rPr>
                <w:rFonts w:ascii="Times New Roman" w:hAnsi="Times New Roman" w:cs="Times New Roman"/>
                <w:sz w:val="20"/>
                <w:szCs w:val="20"/>
                <w:lang w:val="en-029"/>
              </w:rPr>
              <w:t>% of women)</w:t>
            </w:r>
          </w:p>
          <w:p w14:paraId="1B7FCB3B" w14:textId="77777777" w:rsidR="00CC724D" w:rsidRPr="00372B2B" w:rsidRDefault="00CC724D" w:rsidP="0069225F">
            <w:pPr>
              <w:spacing w:line="240" w:lineRule="auto"/>
              <w:rPr>
                <w:rFonts w:ascii="Times New Roman" w:hAnsi="Times New Roman" w:cs="Times New Roman"/>
                <w:b/>
                <w:sz w:val="20"/>
                <w:szCs w:val="20"/>
              </w:rPr>
            </w:pPr>
            <w:r w:rsidRPr="00372B2B">
              <w:rPr>
                <w:rFonts w:ascii="Times New Roman" w:eastAsia="Times New Roman" w:hAnsi="Times New Roman" w:cs="Times New Roman"/>
                <w:bCs/>
                <w:sz w:val="20"/>
                <w:szCs w:val="20"/>
                <w:lang w:val="en-029" w:eastAsia="en-029"/>
              </w:rPr>
              <w:t>None</w:t>
            </w:r>
          </w:p>
        </w:tc>
        <w:tc>
          <w:tcPr>
            <w:tcW w:w="1275" w:type="dxa"/>
            <w:vAlign w:val="center"/>
          </w:tcPr>
          <w:p w14:paraId="10A44F02"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0A77B887"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36.1</w:t>
            </w:r>
          </w:p>
        </w:tc>
        <w:tc>
          <w:tcPr>
            <w:tcW w:w="1134" w:type="dxa"/>
            <w:vAlign w:val="center"/>
          </w:tcPr>
          <w:p w14:paraId="2DEEBA62"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3A7102F1"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38.7</w:t>
            </w:r>
          </w:p>
        </w:tc>
        <w:tc>
          <w:tcPr>
            <w:tcW w:w="993" w:type="dxa"/>
            <w:vMerge w:val="restart"/>
            <w:vAlign w:val="center"/>
          </w:tcPr>
          <w:p w14:paraId="1C8A9A04" w14:textId="7CB7AC3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&lt;0.001</w:t>
            </w:r>
          </w:p>
        </w:tc>
        <w:tc>
          <w:tcPr>
            <w:tcW w:w="1134" w:type="dxa"/>
            <w:vAlign w:val="center"/>
          </w:tcPr>
          <w:p w14:paraId="0C43435A"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0B7B9A82"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35.9</w:t>
            </w:r>
          </w:p>
        </w:tc>
        <w:tc>
          <w:tcPr>
            <w:tcW w:w="992" w:type="dxa"/>
            <w:vMerge w:val="restart"/>
            <w:vAlign w:val="center"/>
          </w:tcPr>
          <w:p w14:paraId="1FE3134B" w14:textId="4C9F0BB3"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0.002</w:t>
            </w:r>
          </w:p>
        </w:tc>
        <w:tc>
          <w:tcPr>
            <w:tcW w:w="1134" w:type="dxa"/>
            <w:vAlign w:val="center"/>
          </w:tcPr>
          <w:p w14:paraId="6567E236"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5D5E13C6"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36.0</w:t>
            </w:r>
          </w:p>
        </w:tc>
        <w:tc>
          <w:tcPr>
            <w:tcW w:w="992" w:type="dxa"/>
            <w:vMerge w:val="restart"/>
            <w:tcBorders>
              <w:right w:val="single" w:sz="12" w:space="0" w:color="auto"/>
            </w:tcBorders>
            <w:vAlign w:val="center"/>
          </w:tcPr>
          <w:p w14:paraId="7D296AD1" w14:textId="1B98E276"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0.37</w:t>
            </w:r>
          </w:p>
        </w:tc>
        <w:tc>
          <w:tcPr>
            <w:tcW w:w="1134" w:type="dxa"/>
            <w:tcBorders>
              <w:left w:val="single" w:sz="12" w:space="0" w:color="auto"/>
            </w:tcBorders>
            <w:vAlign w:val="center"/>
          </w:tcPr>
          <w:p w14:paraId="38F3D69A"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7D7CA364"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37.1</w:t>
            </w:r>
          </w:p>
        </w:tc>
        <w:tc>
          <w:tcPr>
            <w:tcW w:w="851" w:type="dxa"/>
            <w:vMerge w:val="restart"/>
            <w:vAlign w:val="center"/>
          </w:tcPr>
          <w:p w14:paraId="31951E2D" w14:textId="7F31286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0.34</w:t>
            </w:r>
          </w:p>
        </w:tc>
      </w:tr>
      <w:tr w:rsidR="004A735F" w:rsidRPr="00372B2B" w14:paraId="324A4777" w14:textId="77777777" w:rsidTr="004A735F">
        <w:tc>
          <w:tcPr>
            <w:tcW w:w="3324" w:type="dxa"/>
            <w:vAlign w:val="center"/>
          </w:tcPr>
          <w:p w14:paraId="411F478F" w14:textId="77777777" w:rsidR="00CC724D" w:rsidRPr="00372B2B" w:rsidRDefault="00CC724D" w:rsidP="0069225F">
            <w:pPr>
              <w:spacing w:line="240" w:lineRule="auto"/>
              <w:rPr>
                <w:rFonts w:ascii="Times New Roman" w:eastAsia="Times New Roman" w:hAnsi="Times New Roman" w:cs="Times New Roman"/>
                <w:b/>
                <w:bCs/>
                <w:sz w:val="20"/>
                <w:szCs w:val="20"/>
                <w:lang w:val="en-029" w:eastAsia="en-029"/>
              </w:rPr>
            </w:pPr>
            <w:r w:rsidRPr="00372B2B">
              <w:rPr>
                <w:rFonts w:ascii="Times New Roman" w:eastAsia="Times New Roman" w:hAnsi="Times New Roman" w:cs="Times New Roman"/>
                <w:bCs/>
                <w:sz w:val="20"/>
                <w:szCs w:val="20"/>
                <w:lang w:val="en-029" w:eastAsia="en-029"/>
              </w:rPr>
              <w:t xml:space="preserve">One to Four </w:t>
            </w:r>
          </w:p>
        </w:tc>
        <w:tc>
          <w:tcPr>
            <w:tcW w:w="1275" w:type="dxa"/>
            <w:vAlign w:val="center"/>
          </w:tcPr>
          <w:p w14:paraId="6809073F"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57.6</w:t>
            </w:r>
          </w:p>
        </w:tc>
        <w:tc>
          <w:tcPr>
            <w:tcW w:w="1134" w:type="dxa"/>
            <w:vAlign w:val="center"/>
          </w:tcPr>
          <w:p w14:paraId="3D67F4F9"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56.1</w:t>
            </w:r>
          </w:p>
        </w:tc>
        <w:tc>
          <w:tcPr>
            <w:tcW w:w="993" w:type="dxa"/>
            <w:vMerge/>
            <w:vAlign w:val="center"/>
          </w:tcPr>
          <w:p w14:paraId="582DBC50" w14:textId="33A93088"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6D9E2A51"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58.2</w:t>
            </w:r>
          </w:p>
        </w:tc>
        <w:tc>
          <w:tcPr>
            <w:tcW w:w="992" w:type="dxa"/>
            <w:vMerge/>
            <w:vAlign w:val="center"/>
          </w:tcPr>
          <w:p w14:paraId="67CA5CC9" w14:textId="78115962"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5956727F"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58.1</w:t>
            </w:r>
          </w:p>
        </w:tc>
        <w:tc>
          <w:tcPr>
            <w:tcW w:w="992" w:type="dxa"/>
            <w:vMerge/>
            <w:tcBorders>
              <w:right w:val="single" w:sz="12" w:space="0" w:color="auto"/>
            </w:tcBorders>
            <w:vAlign w:val="center"/>
          </w:tcPr>
          <w:p w14:paraId="6473460E" w14:textId="19A9A12C"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355371B6"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57.3</w:t>
            </w:r>
          </w:p>
        </w:tc>
        <w:tc>
          <w:tcPr>
            <w:tcW w:w="851" w:type="dxa"/>
            <w:vMerge/>
            <w:vAlign w:val="center"/>
          </w:tcPr>
          <w:p w14:paraId="5D3E18CD" w14:textId="556E2FEB"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tc>
      </w:tr>
      <w:tr w:rsidR="004A735F" w:rsidRPr="00372B2B" w14:paraId="65D2EEDB" w14:textId="77777777" w:rsidTr="004A735F">
        <w:tc>
          <w:tcPr>
            <w:tcW w:w="3324" w:type="dxa"/>
            <w:vAlign w:val="center"/>
          </w:tcPr>
          <w:p w14:paraId="66A475A6" w14:textId="77777777" w:rsidR="00CC724D" w:rsidRPr="00372B2B" w:rsidRDefault="00CC724D" w:rsidP="0069225F">
            <w:pPr>
              <w:spacing w:line="240" w:lineRule="auto"/>
              <w:rPr>
                <w:rFonts w:ascii="Times New Roman" w:eastAsia="Times New Roman" w:hAnsi="Times New Roman" w:cs="Times New Roman"/>
                <w:bCs/>
                <w:sz w:val="20"/>
                <w:szCs w:val="20"/>
                <w:lang w:val="en-029" w:eastAsia="en-029"/>
              </w:rPr>
            </w:pPr>
            <w:r w:rsidRPr="00372B2B">
              <w:rPr>
                <w:rFonts w:ascii="Times New Roman" w:eastAsia="Times New Roman" w:hAnsi="Times New Roman" w:cs="Times New Roman"/>
                <w:bCs/>
                <w:sz w:val="20"/>
                <w:szCs w:val="20"/>
                <w:lang w:val="en-029" w:eastAsia="en-029"/>
              </w:rPr>
              <w:t xml:space="preserve">Five or greater </w:t>
            </w:r>
          </w:p>
        </w:tc>
        <w:tc>
          <w:tcPr>
            <w:tcW w:w="1275" w:type="dxa"/>
            <w:vAlign w:val="center"/>
          </w:tcPr>
          <w:p w14:paraId="4E423DD7"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6.4</w:t>
            </w:r>
          </w:p>
        </w:tc>
        <w:tc>
          <w:tcPr>
            <w:tcW w:w="1134" w:type="dxa"/>
            <w:vAlign w:val="center"/>
          </w:tcPr>
          <w:p w14:paraId="5E4B4775"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5.3</w:t>
            </w:r>
          </w:p>
        </w:tc>
        <w:tc>
          <w:tcPr>
            <w:tcW w:w="993" w:type="dxa"/>
            <w:vMerge/>
            <w:vAlign w:val="center"/>
          </w:tcPr>
          <w:p w14:paraId="090131FE" w14:textId="77777777"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0DE792A0"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5.9</w:t>
            </w:r>
          </w:p>
        </w:tc>
        <w:tc>
          <w:tcPr>
            <w:tcW w:w="992" w:type="dxa"/>
            <w:vMerge/>
            <w:vAlign w:val="center"/>
          </w:tcPr>
          <w:p w14:paraId="07F0C431" w14:textId="77777777"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3AA34AE4"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5.9</w:t>
            </w:r>
          </w:p>
        </w:tc>
        <w:tc>
          <w:tcPr>
            <w:tcW w:w="992" w:type="dxa"/>
            <w:vMerge/>
            <w:tcBorders>
              <w:right w:val="single" w:sz="12" w:space="0" w:color="auto"/>
            </w:tcBorders>
            <w:vAlign w:val="center"/>
          </w:tcPr>
          <w:p w14:paraId="257CE46C" w14:textId="77777777"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4353C3AC"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5.5</w:t>
            </w:r>
          </w:p>
        </w:tc>
        <w:tc>
          <w:tcPr>
            <w:tcW w:w="851" w:type="dxa"/>
            <w:vMerge/>
            <w:vAlign w:val="center"/>
          </w:tcPr>
          <w:p w14:paraId="7F867F69" w14:textId="77777777" w:rsidR="00CC724D" w:rsidRPr="00372B2B" w:rsidRDefault="00CC724D" w:rsidP="0069225F">
            <w:pPr>
              <w:spacing w:line="240" w:lineRule="auto"/>
              <w:jc w:val="center"/>
              <w:rPr>
                <w:rFonts w:ascii="Times New Roman" w:hAnsi="Times New Roman" w:cs="Times New Roman"/>
                <w:b/>
                <w:sz w:val="20"/>
                <w:szCs w:val="20"/>
              </w:rPr>
            </w:pPr>
          </w:p>
        </w:tc>
      </w:tr>
      <w:tr w:rsidR="004A735F" w:rsidRPr="00372B2B" w14:paraId="6F2B9AF6" w14:textId="77777777" w:rsidTr="004A735F">
        <w:tc>
          <w:tcPr>
            <w:tcW w:w="3324" w:type="dxa"/>
            <w:vAlign w:val="center"/>
          </w:tcPr>
          <w:p w14:paraId="46C521EF" w14:textId="77777777" w:rsidR="00EA5E05" w:rsidRPr="00372B2B" w:rsidRDefault="00EA5E05" w:rsidP="0069225F">
            <w:pPr>
              <w:spacing w:line="240" w:lineRule="auto"/>
              <w:rPr>
                <w:rFonts w:ascii="Times New Roman" w:eastAsia="Times New Roman" w:hAnsi="Times New Roman" w:cs="Times New Roman"/>
                <w:b/>
                <w:bCs/>
                <w:sz w:val="20"/>
                <w:szCs w:val="20"/>
                <w:lang w:val="en-029" w:eastAsia="en-029"/>
              </w:rPr>
            </w:pPr>
            <w:r w:rsidRPr="00372B2B">
              <w:rPr>
                <w:rFonts w:ascii="Times New Roman" w:eastAsia="Times New Roman" w:hAnsi="Times New Roman" w:cs="Times New Roman"/>
                <w:b/>
                <w:bCs/>
                <w:sz w:val="20"/>
                <w:szCs w:val="20"/>
                <w:lang w:val="en-029" w:eastAsia="en-029"/>
              </w:rPr>
              <w:t>Education (women with data available)</w:t>
            </w:r>
          </w:p>
        </w:tc>
        <w:tc>
          <w:tcPr>
            <w:tcW w:w="1275" w:type="dxa"/>
            <w:vAlign w:val="center"/>
          </w:tcPr>
          <w:p w14:paraId="13B3B168" w14:textId="77777777" w:rsidR="00EA5E05" w:rsidRPr="00372B2B" w:rsidRDefault="00EA5E05"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9,547</w:t>
            </w:r>
          </w:p>
        </w:tc>
        <w:tc>
          <w:tcPr>
            <w:tcW w:w="1134" w:type="dxa"/>
            <w:vAlign w:val="center"/>
          </w:tcPr>
          <w:p w14:paraId="6FA9A59D" w14:textId="77777777" w:rsidR="00EA5E05" w:rsidRPr="00372B2B" w:rsidRDefault="00EA5E05"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3,856</w:t>
            </w:r>
          </w:p>
        </w:tc>
        <w:tc>
          <w:tcPr>
            <w:tcW w:w="993" w:type="dxa"/>
            <w:vAlign w:val="center"/>
          </w:tcPr>
          <w:p w14:paraId="32384122" w14:textId="77777777" w:rsidR="00EA5E05" w:rsidRPr="00372B2B" w:rsidRDefault="00EA5E05" w:rsidP="0069225F">
            <w:pPr>
              <w:spacing w:line="240" w:lineRule="auto"/>
              <w:jc w:val="center"/>
              <w:rPr>
                <w:sz w:val="20"/>
                <w:szCs w:val="20"/>
              </w:rPr>
            </w:pPr>
          </w:p>
        </w:tc>
        <w:tc>
          <w:tcPr>
            <w:tcW w:w="1134" w:type="dxa"/>
            <w:vAlign w:val="center"/>
          </w:tcPr>
          <w:p w14:paraId="5A437923" w14:textId="431FDFA8"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7,301</w:t>
            </w:r>
          </w:p>
        </w:tc>
        <w:tc>
          <w:tcPr>
            <w:tcW w:w="992" w:type="dxa"/>
            <w:vAlign w:val="center"/>
          </w:tcPr>
          <w:p w14:paraId="698B0C5A" w14:textId="33C33FCF" w:rsidR="00EA5E05" w:rsidRPr="00372B2B" w:rsidRDefault="00EA5E05" w:rsidP="0069225F">
            <w:pPr>
              <w:spacing w:line="240" w:lineRule="auto"/>
              <w:jc w:val="center"/>
              <w:rPr>
                <w:rFonts w:ascii="Times New Roman" w:hAnsi="Times New Roman" w:cs="Times New Roman"/>
                <w:b/>
                <w:sz w:val="20"/>
                <w:szCs w:val="20"/>
              </w:rPr>
            </w:pPr>
          </w:p>
        </w:tc>
        <w:tc>
          <w:tcPr>
            <w:tcW w:w="1134" w:type="dxa"/>
            <w:vAlign w:val="center"/>
          </w:tcPr>
          <w:p w14:paraId="1665D454" w14:textId="655ECFF2"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3,226</w:t>
            </w:r>
          </w:p>
        </w:tc>
        <w:tc>
          <w:tcPr>
            <w:tcW w:w="992" w:type="dxa"/>
            <w:tcBorders>
              <w:right w:val="single" w:sz="12" w:space="0" w:color="auto"/>
            </w:tcBorders>
            <w:vAlign w:val="center"/>
          </w:tcPr>
          <w:p w14:paraId="5B8F691D" w14:textId="6473AE68" w:rsidR="00EA5E05" w:rsidRPr="00372B2B" w:rsidRDefault="00EA5E05"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27C06C22" w14:textId="6E1F8A79"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1,282</w:t>
            </w:r>
          </w:p>
        </w:tc>
        <w:tc>
          <w:tcPr>
            <w:tcW w:w="851" w:type="dxa"/>
            <w:vAlign w:val="center"/>
          </w:tcPr>
          <w:p w14:paraId="1C010BBA" w14:textId="44F6AD30" w:rsidR="00EA5E05" w:rsidRPr="00372B2B" w:rsidRDefault="00EA5E05" w:rsidP="0069225F">
            <w:pPr>
              <w:spacing w:line="240" w:lineRule="auto"/>
              <w:jc w:val="center"/>
              <w:rPr>
                <w:rFonts w:ascii="Times New Roman" w:hAnsi="Times New Roman" w:cs="Times New Roman"/>
                <w:b/>
                <w:sz w:val="20"/>
                <w:szCs w:val="20"/>
              </w:rPr>
            </w:pPr>
          </w:p>
        </w:tc>
      </w:tr>
      <w:tr w:rsidR="004A735F" w:rsidRPr="00372B2B" w14:paraId="4F9E0976" w14:textId="77777777" w:rsidTr="004A735F">
        <w:tc>
          <w:tcPr>
            <w:tcW w:w="3324" w:type="dxa"/>
            <w:vAlign w:val="center"/>
          </w:tcPr>
          <w:p w14:paraId="76E4B8A3" w14:textId="77777777" w:rsidR="00CC724D" w:rsidRPr="00372B2B" w:rsidRDefault="00CC724D"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b/>
                <w:sz w:val="20"/>
                <w:szCs w:val="20"/>
                <w:lang w:val="en-029" w:eastAsia="en-029"/>
              </w:rPr>
              <w:t>Educational Level (</w:t>
            </w:r>
            <w:r w:rsidRPr="00372B2B">
              <w:rPr>
                <w:rFonts w:ascii="Times New Roman" w:hAnsi="Times New Roman" w:cs="Times New Roman"/>
                <w:sz w:val="20"/>
                <w:szCs w:val="20"/>
                <w:lang w:val="en-029"/>
              </w:rPr>
              <w:t>% of women)</w:t>
            </w:r>
            <w:r w:rsidRPr="00372B2B">
              <w:rPr>
                <w:rFonts w:ascii="Times New Roman" w:eastAsia="Times New Roman" w:hAnsi="Times New Roman" w:cs="Times New Roman"/>
                <w:b/>
                <w:sz w:val="20"/>
                <w:szCs w:val="20"/>
                <w:lang w:val="en-029" w:eastAsia="en-029"/>
              </w:rPr>
              <w:t xml:space="preserve"> </w:t>
            </w:r>
          </w:p>
          <w:p w14:paraId="3F8C4D5C" w14:textId="77777777" w:rsidR="00CC724D" w:rsidRPr="00372B2B" w:rsidRDefault="00CC724D"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sz w:val="20"/>
                <w:szCs w:val="20"/>
                <w:lang w:val="en-029" w:eastAsia="en-029"/>
              </w:rPr>
              <w:t>Primary/Junior High</w:t>
            </w:r>
          </w:p>
        </w:tc>
        <w:tc>
          <w:tcPr>
            <w:tcW w:w="1275" w:type="dxa"/>
            <w:vAlign w:val="center"/>
          </w:tcPr>
          <w:p w14:paraId="04809DEA"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5536C52A"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20.4</w:t>
            </w:r>
          </w:p>
        </w:tc>
        <w:tc>
          <w:tcPr>
            <w:tcW w:w="1134" w:type="dxa"/>
            <w:vAlign w:val="center"/>
          </w:tcPr>
          <w:p w14:paraId="3136CE13"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1E8C855F"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21.6</w:t>
            </w:r>
          </w:p>
        </w:tc>
        <w:tc>
          <w:tcPr>
            <w:tcW w:w="993" w:type="dxa"/>
            <w:vMerge w:val="restart"/>
            <w:vAlign w:val="center"/>
          </w:tcPr>
          <w:p w14:paraId="0FE55885" w14:textId="4DF1D4E9"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hAnsi="Times New Roman" w:cs="Times New Roman"/>
                <w:sz w:val="20"/>
                <w:szCs w:val="20"/>
              </w:rPr>
              <w:t>&lt;0.001</w:t>
            </w:r>
          </w:p>
        </w:tc>
        <w:tc>
          <w:tcPr>
            <w:tcW w:w="1134" w:type="dxa"/>
            <w:vAlign w:val="center"/>
          </w:tcPr>
          <w:p w14:paraId="6C8192F9"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41F03E30"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19.7</w:t>
            </w:r>
          </w:p>
        </w:tc>
        <w:tc>
          <w:tcPr>
            <w:tcW w:w="992" w:type="dxa"/>
            <w:vMerge w:val="restart"/>
            <w:vAlign w:val="center"/>
          </w:tcPr>
          <w:p w14:paraId="388E8849" w14:textId="4303CEE1"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0.001</w:t>
            </w:r>
          </w:p>
        </w:tc>
        <w:tc>
          <w:tcPr>
            <w:tcW w:w="1134" w:type="dxa"/>
            <w:vAlign w:val="center"/>
          </w:tcPr>
          <w:p w14:paraId="4F0F31FC"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14FD65BE"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18.5</w:t>
            </w:r>
          </w:p>
        </w:tc>
        <w:tc>
          <w:tcPr>
            <w:tcW w:w="992" w:type="dxa"/>
            <w:vMerge w:val="restart"/>
            <w:tcBorders>
              <w:right w:val="single" w:sz="12" w:space="0" w:color="auto"/>
            </w:tcBorders>
            <w:vAlign w:val="center"/>
          </w:tcPr>
          <w:p w14:paraId="5834F1A7" w14:textId="1D7DAEC9"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0.004</w:t>
            </w:r>
          </w:p>
        </w:tc>
        <w:tc>
          <w:tcPr>
            <w:tcW w:w="1134" w:type="dxa"/>
            <w:tcBorders>
              <w:left w:val="single" w:sz="12" w:space="0" w:color="auto"/>
            </w:tcBorders>
            <w:vAlign w:val="center"/>
          </w:tcPr>
          <w:p w14:paraId="02278663"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415B3AF6"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18.7</w:t>
            </w:r>
          </w:p>
        </w:tc>
        <w:tc>
          <w:tcPr>
            <w:tcW w:w="851" w:type="dxa"/>
            <w:vMerge w:val="restart"/>
            <w:vAlign w:val="center"/>
          </w:tcPr>
          <w:p w14:paraId="63F1D5A5" w14:textId="60909049"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0.002</w:t>
            </w:r>
          </w:p>
        </w:tc>
      </w:tr>
      <w:tr w:rsidR="004A735F" w:rsidRPr="00372B2B" w14:paraId="757B1D9E" w14:textId="77777777" w:rsidTr="004A735F">
        <w:tc>
          <w:tcPr>
            <w:tcW w:w="3324" w:type="dxa"/>
            <w:vAlign w:val="center"/>
          </w:tcPr>
          <w:p w14:paraId="7CDDCAA1" w14:textId="77777777" w:rsidR="00CC724D" w:rsidRPr="00372B2B" w:rsidRDefault="00CC724D"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sz w:val="20"/>
                <w:szCs w:val="20"/>
                <w:lang w:val="en-029" w:eastAsia="en-029"/>
              </w:rPr>
              <w:t xml:space="preserve">Secondary </w:t>
            </w:r>
          </w:p>
        </w:tc>
        <w:tc>
          <w:tcPr>
            <w:tcW w:w="1275" w:type="dxa"/>
            <w:vAlign w:val="center"/>
          </w:tcPr>
          <w:p w14:paraId="63B38FBA"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55.2</w:t>
            </w:r>
          </w:p>
        </w:tc>
        <w:tc>
          <w:tcPr>
            <w:tcW w:w="1134" w:type="dxa"/>
            <w:vAlign w:val="center"/>
          </w:tcPr>
          <w:p w14:paraId="7A9DBB8B"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56.4</w:t>
            </w:r>
          </w:p>
        </w:tc>
        <w:tc>
          <w:tcPr>
            <w:tcW w:w="993" w:type="dxa"/>
            <w:vMerge/>
            <w:vAlign w:val="center"/>
          </w:tcPr>
          <w:p w14:paraId="1030AFB2" w14:textId="0F731B7A"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36D0FE3B"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55.3</w:t>
            </w:r>
          </w:p>
        </w:tc>
        <w:tc>
          <w:tcPr>
            <w:tcW w:w="992" w:type="dxa"/>
            <w:vMerge/>
            <w:vAlign w:val="center"/>
          </w:tcPr>
          <w:p w14:paraId="0AB5EA9D" w14:textId="0B39C9EA"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7FF63FF4"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55.7</w:t>
            </w:r>
          </w:p>
        </w:tc>
        <w:tc>
          <w:tcPr>
            <w:tcW w:w="992" w:type="dxa"/>
            <w:vMerge/>
            <w:tcBorders>
              <w:right w:val="single" w:sz="12" w:space="0" w:color="auto"/>
            </w:tcBorders>
            <w:vAlign w:val="center"/>
          </w:tcPr>
          <w:p w14:paraId="25007951" w14:textId="74BD4E9C"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1E3ACDB4"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57.4</w:t>
            </w:r>
          </w:p>
        </w:tc>
        <w:tc>
          <w:tcPr>
            <w:tcW w:w="851" w:type="dxa"/>
            <w:vMerge/>
            <w:vAlign w:val="center"/>
          </w:tcPr>
          <w:p w14:paraId="50F22B7C" w14:textId="6B4C1362" w:rsidR="00CC724D" w:rsidRPr="00372B2B" w:rsidRDefault="00CC724D" w:rsidP="0069225F">
            <w:pPr>
              <w:spacing w:line="240" w:lineRule="auto"/>
              <w:jc w:val="center"/>
              <w:rPr>
                <w:rFonts w:ascii="Times New Roman" w:hAnsi="Times New Roman" w:cs="Times New Roman"/>
                <w:b/>
                <w:sz w:val="20"/>
                <w:szCs w:val="20"/>
              </w:rPr>
            </w:pPr>
          </w:p>
        </w:tc>
      </w:tr>
      <w:tr w:rsidR="004A735F" w:rsidRPr="00372B2B" w14:paraId="39A86A07" w14:textId="77777777" w:rsidTr="004A735F">
        <w:tc>
          <w:tcPr>
            <w:tcW w:w="3324" w:type="dxa"/>
            <w:vAlign w:val="center"/>
          </w:tcPr>
          <w:p w14:paraId="0F2C33FB" w14:textId="77777777" w:rsidR="00CC724D" w:rsidRPr="00372B2B" w:rsidRDefault="00CC724D"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 xml:space="preserve">Vocational </w:t>
            </w:r>
          </w:p>
        </w:tc>
        <w:tc>
          <w:tcPr>
            <w:tcW w:w="1275" w:type="dxa"/>
            <w:vAlign w:val="center"/>
          </w:tcPr>
          <w:p w14:paraId="2DD2E825"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14.8</w:t>
            </w:r>
          </w:p>
        </w:tc>
        <w:tc>
          <w:tcPr>
            <w:tcW w:w="1134" w:type="dxa"/>
            <w:vAlign w:val="center"/>
          </w:tcPr>
          <w:p w14:paraId="0F20A39E"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15.5</w:t>
            </w:r>
          </w:p>
        </w:tc>
        <w:tc>
          <w:tcPr>
            <w:tcW w:w="993" w:type="dxa"/>
            <w:vMerge/>
            <w:vAlign w:val="center"/>
          </w:tcPr>
          <w:p w14:paraId="7231A582" w14:textId="50A3EAA4"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75A76682"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15.4</w:t>
            </w:r>
          </w:p>
        </w:tc>
        <w:tc>
          <w:tcPr>
            <w:tcW w:w="992" w:type="dxa"/>
            <w:vMerge/>
            <w:vAlign w:val="center"/>
          </w:tcPr>
          <w:p w14:paraId="321473DA" w14:textId="268CD597"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55AD37F4"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15.6</w:t>
            </w:r>
          </w:p>
        </w:tc>
        <w:tc>
          <w:tcPr>
            <w:tcW w:w="992" w:type="dxa"/>
            <w:vMerge/>
            <w:tcBorders>
              <w:right w:val="single" w:sz="12" w:space="0" w:color="auto"/>
            </w:tcBorders>
            <w:vAlign w:val="center"/>
          </w:tcPr>
          <w:p w14:paraId="71486999" w14:textId="4F5B8851"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02080A3F"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16.5</w:t>
            </w:r>
          </w:p>
        </w:tc>
        <w:tc>
          <w:tcPr>
            <w:tcW w:w="851" w:type="dxa"/>
            <w:vMerge/>
            <w:vAlign w:val="center"/>
          </w:tcPr>
          <w:p w14:paraId="097DC983" w14:textId="7F96165B" w:rsidR="00CC724D" w:rsidRPr="00372B2B" w:rsidRDefault="00CC724D" w:rsidP="0069225F">
            <w:pPr>
              <w:spacing w:line="240" w:lineRule="auto"/>
              <w:jc w:val="center"/>
              <w:rPr>
                <w:rFonts w:ascii="Times New Roman" w:hAnsi="Times New Roman" w:cs="Times New Roman"/>
                <w:b/>
                <w:sz w:val="20"/>
                <w:szCs w:val="20"/>
              </w:rPr>
            </w:pPr>
          </w:p>
        </w:tc>
      </w:tr>
      <w:tr w:rsidR="004A735F" w:rsidRPr="00372B2B" w14:paraId="7359A41E" w14:textId="77777777" w:rsidTr="004A735F">
        <w:tc>
          <w:tcPr>
            <w:tcW w:w="3324" w:type="dxa"/>
            <w:vAlign w:val="center"/>
          </w:tcPr>
          <w:p w14:paraId="0CF86B4C" w14:textId="77777777" w:rsidR="00CC724D" w:rsidRPr="00372B2B" w:rsidRDefault="00CC724D"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Tertiary</w:t>
            </w:r>
          </w:p>
        </w:tc>
        <w:tc>
          <w:tcPr>
            <w:tcW w:w="1275" w:type="dxa"/>
            <w:vAlign w:val="center"/>
          </w:tcPr>
          <w:p w14:paraId="31390838"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9.6</w:t>
            </w:r>
          </w:p>
        </w:tc>
        <w:tc>
          <w:tcPr>
            <w:tcW w:w="1134" w:type="dxa"/>
            <w:vAlign w:val="center"/>
          </w:tcPr>
          <w:p w14:paraId="73FD1C5D"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6.6</w:t>
            </w:r>
          </w:p>
        </w:tc>
        <w:tc>
          <w:tcPr>
            <w:tcW w:w="993" w:type="dxa"/>
            <w:vMerge/>
            <w:vAlign w:val="center"/>
          </w:tcPr>
          <w:p w14:paraId="50361BB0" w14:textId="0B2FAAEE"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46D10B2D"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9.5</w:t>
            </w:r>
          </w:p>
        </w:tc>
        <w:tc>
          <w:tcPr>
            <w:tcW w:w="992" w:type="dxa"/>
            <w:vMerge/>
            <w:vAlign w:val="center"/>
          </w:tcPr>
          <w:p w14:paraId="5CA687D3" w14:textId="06EB44F7"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7BB5989E"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10.3</w:t>
            </w:r>
          </w:p>
        </w:tc>
        <w:tc>
          <w:tcPr>
            <w:tcW w:w="992" w:type="dxa"/>
            <w:vMerge/>
            <w:tcBorders>
              <w:right w:val="single" w:sz="12" w:space="0" w:color="auto"/>
            </w:tcBorders>
            <w:vAlign w:val="center"/>
          </w:tcPr>
          <w:p w14:paraId="00ACE5FB" w14:textId="79469779"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03FF75F9"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7.3</w:t>
            </w:r>
          </w:p>
        </w:tc>
        <w:tc>
          <w:tcPr>
            <w:tcW w:w="851" w:type="dxa"/>
            <w:vMerge/>
            <w:vAlign w:val="center"/>
          </w:tcPr>
          <w:p w14:paraId="7A5D963D" w14:textId="4E5294A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tc>
      </w:tr>
      <w:tr w:rsidR="004A735F" w:rsidRPr="00372B2B" w14:paraId="34D2F0FD" w14:textId="77777777" w:rsidTr="004A735F">
        <w:tc>
          <w:tcPr>
            <w:tcW w:w="3324" w:type="dxa"/>
            <w:vAlign w:val="center"/>
          </w:tcPr>
          <w:p w14:paraId="4FD15727" w14:textId="77777777" w:rsidR="00E5396E" w:rsidRPr="00372B2B" w:rsidRDefault="00EA5E05" w:rsidP="0069225F">
            <w:pPr>
              <w:spacing w:line="240" w:lineRule="auto"/>
              <w:rPr>
                <w:rFonts w:ascii="Times New Roman" w:eastAsia="Times New Roman" w:hAnsi="Times New Roman" w:cs="Times New Roman"/>
                <w:b/>
                <w:bCs/>
                <w:sz w:val="20"/>
                <w:szCs w:val="20"/>
                <w:lang w:val="en-029" w:eastAsia="en-029"/>
              </w:rPr>
            </w:pPr>
            <w:r w:rsidRPr="00372B2B">
              <w:rPr>
                <w:rFonts w:ascii="Times New Roman" w:eastAsia="Times New Roman" w:hAnsi="Times New Roman" w:cs="Times New Roman"/>
                <w:b/>
                <w:bCs/>
                <w:sz w:val="20"/>
                <w:szCs w:val="20"/>
                <w:lang w:val="en-029" w:eastAsia="en-029"/>
              </w:rPr>
              <w:t xml:space="preserve">Socioeconomic Status </w:t>
            </w:r>
          </w:p>
          <w:p w14:paraId="6798DC5B" w14:textId="415E0ACE" w:rsidR="00EA5E05" w:rsidRPr="00372B2B" w:rsidRDefault="00EA5E05" w:rsidP="0069225F">
            <w:pPr>
              <w:spacing w:line="240" w:lineRule="auto"/>
              <w:rPr>
                <w:rFonts w:ascii="Times New Roman" w:eastAsia="Times New Roman" w:hAnsi="Times New Roman" w:cs="Times New Roman"/>
                <w:b/>
                <w:bCs/>
                <w:sz w:val="20"/>
                <w:szCs w:val="20"/>
                <w:lang w:val="en-029" w:eastAsia="en-029"/>
              </w:rPr>
            </w:pPr>
            <w:r w:rsidRPr="00372B2B">
              <w:rPr>
                <w:rFonts w:ascii="Times New Roman" w:eastAsia="Times New Roman" w:hAnsi="Times New Roman" w:cs="Times New Roman"/>
                <w:b/>
                <w:bCs/>
                <w:sz w:val="20"/>
                <w:szCs w:val="20"/>
                <w:lang w:val="en-029" w:eastAsia="en-029"/>
              </w:rPr>
              <w:t>(women with data available)</w:t>
            </w:r>
          </w:p>
        </w:tc>
        <w:tc>
          <w:tcPr>
            <w:tcW w:w="1275" w:type="dxa"/>
            <w:vAlign w:val="center"/>
          </w:tcPr>
          <w:p w14:paraId="6E4A85E4" w14:textId="77777777" w:rsidR="00EA5E05" w:rsidRPr="00372B2B" w:rsidRDefault="00EA5E05"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9,742</w:t>
            </w:r>
          </w:p>
        </w:tc>
        <w:tc>
          <w:tcPr>
            <w:tcW w:w="1134" w:type="dxa"/>
            <w:vAlign w:val="center"/>
          </w:tcPr>
          <w:p w14:paraId="3BFF7F2E" w14:textId="77777777" w:rsidR="00EA5E05" w:rsidRPr="00372B2B" w:rsidRDefault="00EA5E05"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3,944</w:t>
            </w:r>
          </w:p>
        </w:tc>
        <w:tc>
          <w:tcPr>
            <w:tcW w:w="993" w:type="dxa"/>
            <w:vAlign w:val="center"/>
          </w:tcPr>
          <w:p w14:paraId="7D5000BF" w14:textId="77777777" w:rsidR="00EA5E05" w:rsidRPr="00372B2B" w:rsidRDefault="00EA5E05" w:rsidP="0069225F">
            <w:pPr>
              <w:spacing w:line="240" w:lineRule="auto"/>
              <w:jc w:val="center"/>
              <w:rPr>
                <w:sz w:val="20"/>
                <w:szCs w:val="20"/>
              </w:rPr>
            </w:pPr>
          </w:p>
        </w:tc>
        <w:tc>
          <w:tcPr>
            <w:tcW w:w="1134" w:type="dxa"/>
            <w:vAlign w:val="center"/>
          </w:tcPr>
          <w:p w14:paraId="53BECB38" w14:textId="623A7114" w:rsidR="00EA5E05" w:rsidRPr="00372B2B" w:rsidRDefault="00EA5E05" w:rsidP="0069225F">
            <w:pPr>
              <w:spacing w:line="240" w:lineRule="auto"/>
              <w:jc w:val="center"/>
              <w:rPr>
                <w:rFonts w:ascii="Times New Roman" w:hAnsi="Times New Roman" w:cs="Times New Roman"/>
                <w:sz w:val="20"/>
                <w:szCs w:val="20"/>
              </w:rPr>
            </w:pPr>
            <w:r w:rsidRPr="00372B2B">
              <w:rPr>
                <w:rFonts w:ascii="Times New Roman" w:hAnsi="Times New Roman" w:cs="Times New Roman"/>
                <w:sz w:val="20"/>
                <w:szCs w:val="20"/>
              </w:rPr>
              <w:t>7,439</w:t>
            </w:r>
          </w:p>
        </w:tc>
        <w:tc>
          <w:tcPr>
            <w:tcW w:w="992" w:type="dxa"/>
            <w:vAlign w:val="center"/>
          </w:tcPr>
          <w:p w14:paraId="5987166F" w14:textId="332976C7" w:rsidR="00EA5E05" w:rsidRPr="00372B2B" w:rsidRDefault="00EA5E05" w:rsidP="0069225F">
            <w:pPr>
              <w:spacing w:line="240" w:lineRule="auto"/>
              <w:jc w:val="center"/>
              <w:rPr>
                <w:rFonts w:ascii="Times New Roman" w:hAnsi="Times New Roman" w:cs="Times New Roman"/>
                <w:b/>
                <w:sz w:val="20"/>
                <w:szCs w:val="20"/>
              </w:rPr>
            </w:pPr>
          </w:p>
        </w:tc>
        <w:tc>
          <w:tcPr>
            <w:tcW w:w="1134" w:type="dxa"/>
            <w:vAlign w:val="center"/>
          </w:tcPr>
          <w:p w14:paraId="2E747A2A" w14:textId="4FAB153C" w:rsidR="00EA5E05" w:rsidRPr="00372B2B" w:rsidRDefault="00EA5E05"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3,284</w:t>
            </w:r>
          </w:p>
        </w:tc>
        <w:tc>
          <w:tcPr>
            <w:tcW w:w="992" w:type="dxa"/>
            <w:tcBorders>
              <w:right w:val="single" w:sz="12" w:space="0" w:color="auto"/>
            </w:tcBorders>
            <w:vAlign w:val="center"/>
          </w:tcPr>
          <w:p w14:paraId="457F6EEE" w14:textId="58BE72C1" w:rsidR="00EA5E05" w:rsidRPr="00372B2B" w:rsidRDefault="00EA5E05"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44CF79DA" w14:textId="488DF963" w:rsidR="00EA5E05" w:rsidRPr="00372B2B" w:rsidRDefault="00EA5E05" w:rsidP="0069225F">
            <w:pPr>
              <w:spacing w:line="240" w:lineRule="auto"/>
              <w:jc w:val="center"/>
              <w:rPr>
                <w:rFonts w:ascii="Times New Roman" w:hAnsi="Times New Roman" w:cs="Times New Roman"/>
                <w:sz w:val="20"/>
                <w:szCs w:val="20"/>
              </w:rPr>
            </w:pPr>
            <w:r w:rsidRPr="00372B2B">
              <w:rPr>
                <w:rFonts w:ascii="Times New Roman" w:eastAsia="Times New Roman" w:hAnsi="Times New Roman" w:cs="Times New Roman"/>
                <w:sz w:val="20"/>
                <w:szCs w:val="20"/>
                <w:lang w:val="en-029" w:eastAsia="en-029"/>
              </w:rPr>
              <w:t>1,311</w:t>
            </w:r>
          </w:p>
        </w:tc>
        <w:tc>
          <w:tcPr>
            <w:tcW w:w="851" w:type="dxa"/>
            <w:vAlign w:val="center"/>
          </w:tcPr>
          <w:p w14:paraId="66826E6B" w14:textId="1D453460" w:rsidR="00EA5E05" w:rsidRPr="00372B2B" w:rsidRDefault="00EA5E05" w:rsidP="0069225F">
            <w:pPr>
              <w:spacing w:line="240" w:lineRule="auto"/>
              <w:jc w:val="center"/>
              <w:rPr>
                <w:rFonts w:ascii="Times New Roman" w:hAnsi="Times New Roman" w:cs="Times New Roman"/>
                <w:b/>
                <w:sz w:val="20"/>
                <w:szCs w:val="20"/>
              </w:rPr>
            </w:pPr>
          </w:p>
        </w:tc>
      </w:tr>
      <w:tr w:rsidR="004A735F" w:rsidRPr="00372B2B" w14:paraId="28FA730F" w14:textId="77777777" w:rsidTr="004A735F">
        <w:tc>
          <w:tcPr>
            <w:tcW w:w="3324" w:type="dxa"/>
            <w:vAlign w:val="center"/>
          </w:tcPr>
          <w:p w14:paraId="1B73E5E4" w14:textId="77777777" w:rsidR="00CC724D" w:rsidRPr="00372B2B" w:rsidRDefault="00CC724D"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b/>
                <w:sz w:val="20"/>
                <w:szCs w:val="20"/>
                <w:lang w:val="en-029" w:eastAsia="en-029"/>
              </w:rPr>
              <w:t xml:space="preserve">Socioeconomic Status </w:t>
            </w:r>
            <w:r w:rsidRPr="00372B2B">
              <w:rPr>
                <w:rFonts w:ascii="Times New Roman" w:hAnsi="Times New Roman" w:cs="Times New Roman"/>
                <w:sz w:val="20"/>
                <w:szCs w:val="20"/>
                <w:lang w:val="en-029"/>
              </w:rPr>
              <w:t>(% of women)</w:t>
            </w:r>
            <w:r w:rsidRPr="00372B2B">
              <w:rPr>
                <w:rFonts w:ascii="Times New Roman" w:eastAsia="Times New Roman" w:hAnsi="Times New Roman" w:cs="Times New Roman"/>
                <w:sz w:val="20"/>
                <w:szCs w:val="20"/>
                <w:lang w:val="en-029" w:eastAsia="en-029"/>
              </w:rPr>
              <w:t xml:space="preserve"> </w:t>
            </w:r>
          </w:p>
          <w:p w14:paraId="48471659" w14:textId="77777777" w:rsidR="00CC724D" w:rsidRPr="00372B2B" w:rsidRDefault="00CC724D" w:rsidP="0069225F">
            <w:pPr>
              <w:spacing w:line="240" w:lineRule="auto"/>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Low</w:t>
            </w:r>
          </w:p>
        </w:tc>
        <w:tc>
          <w:tcPr>
            <w:tcW w:w="1275" w:type="dxa"/>
            <w:vAlign w:val="center"/>
          </w:tcPr>
          <w:p w14:paraId="6A3128D9"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7AF908D6"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24.1</w:t>
            </w:r>
          </w:p>
        </w:tc>
        <w:tc>
          <w:tcPr>
            <w:tcW w:w="1134" w:type="dxa"/>
            <w:vAlign w:val="center"/>
          </w:tcPr>
          <w:p w14:paraId="3ED4EB2F"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094F4437"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24.9</w:t>
            </w:r>
          </w:p>
        </w:tc>
        <w:tc>
          <w:tcPr>
            <w:tcW w:w="993" w:type="dxa"/>
            <w:vMerge w:val="restart"/>
            <w:vAlign w:val="center"/>
          </w:tcPr>
          <w:p w14:paraId="40F8B92A" w14:textId="12B4CBD0"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hAnsi="Times New Roman" w:cs="Times New Roman"/>
                <w:sz w:val="20"/>
                <w:szCs w:val="20"/>
              </w:rPr>
              <w:t>&lt;0.001</w:t>
            </w:r>
          </w:p>
        </w:tc>
        <w:tc>
          <w:tcPr>
            <w:tcW w:w="1134" w:type="dxa"/>
            <w:vAlign w:val="center"/>
          </w:tcPr>
          <w:p w14:paraId="20E4492A"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70D79FFB"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24.3</w:t>
            </w:r>
          </w:p>
        </w:tc>
        <w:tc>
          <w:tcPr>
            <w:tcW w:w="992" w:type="dxa"/>
            <w:vMerge w:val="restart"/>
            <w:vAlign w:val="center"/>
          </w:tcPr>
          <w:p w14:paraId="1B214437" w14:textId="2EE4436F"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0.84</w:t>
            </w:r>
          </w:p>
        </w:tc>
        <w:tc>
          <w:tcPr>
            <w:tcW w:w="1134" w:type="dxa"/>
            <w:vAlign w:val="center"/>
          </w:tcPr>
          <w:p w14:paraId="6642B856"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28A6AA96"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24.1</w:t>
            </w:r>
          </w:p>
        </w:tc>
        <w:tc>
          <w:tcPr>
            <w:tcW w:w="992" w:type="dxa"/>
            <w:vMerge w:val="restart"/>
            <w:tcBorders>
              <w:right w:val="single" w:sz="12" w:space="0" w:color="auto"/>
            </w:tcBorders>
            <w:vAlign w:val="center"/>
          </w:tcPr>
          <w:p w14:paraId="1CEB1330" w14:textId="33B79695"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hAnsi="Times New Roman" w:cs="Times New Roman"/>
                <w:sz w:val="20"/>
                <w:szCs w:val="20"/>
              </w:rPr>
              <w:t>0.06</w:t>
            </w:r>
          </w:p>
        </w:tc>
        <w:tc>
          <w:tcPr>
            <w:tcW w:w="1134" w:type="dxa"/>
            <w:tcBorders>
              <w:left w:val="single" w:sz="12" w:space="0" w:color="auto"/>
            </w:tcBorders>
            <w:vAlign w:val="center"/>
          </w:tcPr>
          <w:p w14:paraId="014BD1FD"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p w14:paraId="54C37734"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23.3</w:t>
            </w:r>
          </w:p>
        </w:tc>
        <w:tc>
          <w:tcPr>
            <w:tcW w:w="851" w:type="dxa"/>
            <w:vMerge w:val="restart"/>
            <w:vAlign w:val="center"/>
          </w:tcPr>
          <w:p w14:paraId="69C0EABE" w14:textId="545E1740"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0.21</w:t>
            </w:r>
          </w:p>
        </w:tc>
      </w:tr>
      <w:tr w:rsidR="004A735F" w:rsidRPr="00372B2B" w14:paraId="51CCFDD1" w14:textId="77777777" w:rsidTr="004A735F">
        <w:tc>
          <w:tcPr>
            <w:tcW w:w="3324" w:type="dxa"/>
            <w:vAlign w:val="center"/>
          </w:tcPr>
          <w:p w14:paraId="2B1CDFD7" w14:textId="77777777" w:rsidR="00CC724D" w:rsidRPr="00372B2B" w:rsidRDefault="00CC724D"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sz w:val="20"/>
                <w:szCs w:val="20"/>
                <w:lang w:val="en-029" w:eastAsia="en-029"/>
              </w:rPr>
              <w:t xml:space="preserve">Medium </w:t>
            </w:r>
          </w:p>
        </w:tc>
        <w:tc>
          <w:tcPr>
            <w:tcW w:w="1275" w:type="dxa"/>
            <w:vAlign w:val="center"/>
          </w:tcPr>
          <w:p w14:paraId="0DC40956"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55.2</w:t>
            </w:r>
          </w:p>
        </w:tc>
        <w:tc>
          <w:tcPr>
            <w:tcW w:w="1134" w:type="dxa"/>
            <w:vAlign w:val="center"/>
          </w:tcPr>
          <w:p w14:paraId="34A6CDA2"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57.8</w:t>
            </w:r>
          </w:p>
        </w:tc>
        <w:tc>
          <w:tcPr>
            <w:tcW w:w="993" w:type="dxa"/>
            <w:vMerge/>
            <w:vAlign w:val="center"/>
          </w:tcPr>
          <w:p w14:paraId="7E2B8BD3" w14:textId="05907A69"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67A024E5"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55.1</w:t>
            </w:r>
          </w:p>
        </w:tc>
        <w:tc>
          <w:tcPr>
            <w:tcW w:w="992" w:type="dxa"/>
            <w:vMerge/>
            <w:vAlign w:val="center"/>
          </w:tcPr>
          <w:p w14:paraId="05B46027" w14:textId="2222DF7B"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73D96E6A"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53.9</w:t>
            </w:r>
          </w:p>
        </w:tc>
        <w:tc>
          <w:tcPr>
            <w:tcW w:w="992" w:type="dxa"/>
            <w:vMerge/>
            <w:tcBorders>
              <w:right w:val="single" w:sz="12" w:space="0" w:color="auto"/>
            </w:tcBorders>
            <w:vAlign w:val="center"/>
          </w:tcPr>
          <w:p w14:paraId="776DC5D3" w14:textId="2D0F0174"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494B3074"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57.4</w:t>
            </w:r>
          </w:p>
        </w:tc>
        <w:tc>
          <w:tcPr>
            <w:tcW w:w="851" w:type="dxa"/>
            <w:vMerge/>
            <w:vAlign w:val="center"/>
          </w:tcPr>
          <w:p w14:paraId="648EB545" w14:textId="03D9C4C3" w:rsidR="00CC724D" w:rsidRPr="00372B2B" w:rsidRDefault="00CC724D" w:rsidP="0069225F">
            <w:pPr>
              <w:spacing w:line="240" w:lineRule="auto"/>
              <w:jc w:val="center"/>
              <w:rPr>
                <w:rFonts w:ascii="Times New Roman" w:hAnsi="Times New Roman" w:cs="Times New Roman"/>
                <w:b/>
                <w:sz w:val="20"/>
                <w:szCs w:val="20"/>
              </w:rPr>
            </w:pPr>
          </w:p>
        </w:tc>
      </w:tr>
      <w:tr w:rsidR="004A735F" w:rsidRPr="00372B2B" w14:paraId="5243063C" w14:textId="77777777" w:rsidTr="004A735F">
        <w:tc>
          <w:tcPr>
            <w:tcW w:w="3324" w:type="dxa"/>
            <w:vAlign w:val="center"/>
          </w:tcPr>
          <w:p w14:paraId="40322E64" w14:textId="77777777" w:rsidR="00CC724D" w:rsidRPr="00372B2B" w:rsidRDefault="00CC724D" w:rsidP="0069225F">
            <w:pPr>
              <w:spacing w:line="240" w:lineRule="auto"/>
              <w:rPr>
                <w:rFonts w:ascii="Times New Roman" w:eastAsia="Times New Roman" w:hAnsi="Times New Roman" w:cs="Times New Roman"/>
                <w:b/>
                <w:sz w:val="20"/>
                <w:szCs w:val="20"/>
                <w:lang w:val="en-029" w:eastAsia="en-029"/>
              </w:rPr>
            </w:pPr>
            <w:r w:rsidRPr="00372B2B">
              <w:rPr>
                <w:rFonts w:ascii="Times New Roman" w:eastAsia="Times New Roman" w:hAnsi="Times New Roman" w:cs="Times New Roman"/>
                <w:sz w:val="20"/>
                <w:szCs w:val="20"/>
                <w:lang w:val="en-029" w:eastAsia="en-029"/>
              </w:rPr>
              <w:t>High</w:t>
            </w:r>
          </w:p>
        </w:tc>
        <w:tc>
          <w:tcPr>
            <w:tcW w:w="1275" w:type="dxa"/>
            <w:vAlign w:val="center"/>
          </w:tcPr>
          <w:p w14:paraId="602A88A5"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20.6</w:t>
            </w:r>
          </w:p>
        </w:tc>
        <w:tc>
          <w:tcPr>
            <w:tcW w:w="1134" w:type="dxa"/>
            <w:vAlign w:val="center"/>
          </w:tcPr>
          <w:p w14:paraId="5AC9055F"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17.3</w:t>
            </w:r>
          </w:p>
        </w:tc>
        <w:tc>
          <w:tcPr>
            <w:tcW w:w="993" w:type="dxa"/>
            <w:vMerge/>
            <w:vAlign w:val="center"/>
          </w:tcPr>
          <w:p w14:paraId="6CDFE8C6" w14:textId="2F9A370C"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64F1D6E8"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20.7</w:t>
            </w:r>
          </w:p>
        </w:tc>
        <w:tc>
          <w:tcPr>
            <w:tcW w:w="992" w:type="dxa"/>
            <w:vMerge/>
            <w:vAlign w:val="center"/>
          </w:tcPr>
          <w:p w14:paraId="2CCE8089" w14:textId="5157FDFD" w:rsidR="00CC724D" w:rsidRPr="00372B2B" w:rsidRDefault="00CC724D" w:rsidP="0069225F">
            <w:pPr>
              <w:spacing w:line="240" w:lineRule="auto"/>
              <w:jc w:val="center"/>
              <w:rPr>
                <w:rFonts w:ascii="Times New Roman" w:hAnsi="Times New Roman" w:cs="Times New Roman"/>
                <w:b/>
                <w:sz w:val="20"/>
                <w:szCs w:val="20"/>
              </w:rPr>
            </w:pPr>
          </w:p>
        </w:tc>
        <w:tc>
          <w:tcPr>
            <w:tcW w:w="1134" w:type="dxa"/>
            <w:vAlign w:val="center"/>
          </w:tcPr>
          <w:p w14:paraId="0925E416" w14:textId="77777777" w:rsidR="00CC724D" w:rsidRPr="00372B2B" w:rsidRDefault="00CC724D" w:rsidP="0069225F">
            <w:pPr>
              <w:spacing w:line="240" w:lineRule="auto"/>
              <w:jc w:val="center"/>
              <w:rPr>
                <w:rFonts w:ascii="Times New Roman" w:hAnsi="Times New Roman" w:cs="Times New Roman"/>
                <w:b/>
                <w:sz w:val="20"/>
                <w:szCs w:val="20"/>
              </w:rPr>
            </w:pPr>
            <w:r w:rsidRPr="00372B2B">
              <w:rPr>
                <w:rFonts w:ascii="Times New Roman" w:eastAsia="Times New Roman" w:hAnsi="Times New Roman" w:cs="Times New Roman"/>
                <w:sz w:val="20"/>
                <w:szCs w:val="20"/>
                <w:lang w:val="en-029" w:eastAsia="en-029"/>
              </w:rPr>
              <w:t>22.0</w:t>
            </w:r>
          </w:p>
        </w:tc>
        <w:tc>
          <w:tcPr>
            <w:tcW w:w="992" w:type="dxa"/>
            <w:vMerge/>
            <w:tcBorders>
              <w:right w:val="single" w:sz="12" w:space="0" w:color="auto"/>
            </w:tcBorders>
            <w:vAlign w:val="center"/>
          </w:tcPr>
          <w:p w14:paraId="0DABCB14" w14:textId="345BC5B4" w:rsidR="00CC724D" w:rsidRPr="00372B2B" w:rsidRDefault="00CC724D" w:rsidP="0069225F">
            <w:pPr>
              <w:spacing w:line="240" w:lineRule="auto"/>
              <w:jc w:val="center"/>
              <w:rPr>
                <w:rFonts w:ascii="Times New Roman" w:hAnsi="Times New Roman" w:cs="Times New Roman"/>
                <w:b/>
                <w:sz w:val="20"/>
                <w:szCs w:val="20"/>
              </w:rPr>
            </w:pPr>
          </w:p>
        </w:tc>
        <w:tc>
          <w:tcPr>
            <w:tcW w:w="1134" w:type="dxa"/>
            <w:tcBorders>
              <w:left w:val="single" w:sz="12" w:space="0" w:color="auto"/>
            </w:tcBorders>
            <w:vAlign w:val="center"/>
          </w:tcPr>
          <w:p w14:paraId="129A82C1" w14:textId="77777777"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r w:rsidRPr="00372B2B">
              <w:rPr>
                <w:rFonts w:ascii="Times New Roman" w:eastAsia="Times New Roman" w:hAnsi="Times New Roman" w:cs="Times New Roman"/>
                <w:sz w:val="20"/>
                <w:szCs w:val="20"/>
                <w:lang w:val="en-029" w:eastAsia="en-029"/>
              </w:rPr>
              <w:t>19.3</w:t>
            </w:r>
          </w:p>
        </w:tc>
        <w:tc>
          <w:tcPr>
            <w:tcW w:w="851" w:type="dxa"/>
            <w:vMerge/>
            <w:vAlign w:val="center"/>
          </w:tcPr>
          <w:p w14:paraId="4C96DA56" w14:textId="0EBF9176" w:rsidR="00CC724D" w:rsidRPr="00372B2B" w:rsidRDefault="00CC724D" w:rsidP="0069225F">
            <w:pPr>
              <w:spacing w:line="240" w:lineRule="auto"/>
              <w:jc w:val="center"/>
              <w:rPr>
                <w:rFonts w:ascii="Times New Roman" w:eastAsia="Times New Roman" w:hAnsi="Times New Roman" w:cs="Times New Roman"/>
                <w:sz w:val="20"/>
                <w:szCs w:val="20"/>
                <w:lang w:val="en-029" w:eastAsia="en-029"/>
              </w:rPr>
            </w:pPr>
          </w:p>
        </w:tc>
      </w:tr>
      <w:tr w:rsidR="004A735F" w:rsidRPr="00372B2B" w14:paraId="00C9B33C" w14:textId="77777777" w:rsidTr="00B3039F">
        <w:tc>
          <w:tcPr>
            <w:tcW w:w="3324" w:type="dxa"/>
            <w:tcBorders>
              <w:bottom w:val="single" w:sz="4" w:space="0" w:color="auto"/>
            </w:tcBorders>
            <w:vAlign w:val="center"/>
          </w:tcPr>
          <w:p w14:paraId="15A46A81" w14:textId="77777777" w:rsidR="00B46A86" w:rsidRPr="00372B2B" w:rsidRDefault="00EA5E05" w:rsidP="0069225F">
            <w:pPr>
              <w:spacing w:line="240" w:lineRule="auto"/>
              <w:rPr>
                <w:rFonts w:ascii="Times New Roman" w:hAnsi="Times New Roman" w:cs="Times New Roman"/>
                <w:b/>
                <w:bCs/>
                <w:sz w:val="20"/>
                <w:szCs w:val="20"/>
                <w:lang w:val="en-029" w:eastAsia="en-029"/>
              </w:rPr>
            </w:pPr>
            <w:r w:rsidRPr="00372B2B">
              <w:rPr>
                <w:rFonts w:ascii="Times New Roman" w:hAnsi="Times New Roman" w:cs="Times New Roman"/>
                <w:b/>
                <w:bCs/>
                <w:sz w:val="20"/>
                <w:szCs w:val="20"/>
                <w:lang w:val="en-029" w:eastAsia="en-029"/>
              </w:rPr>
              <w:t xml:space="preserve">General health assessment after delivery </w:t>
            </w:r>
          </w:p>
          <w:p w14:paraId="36B116EE" w14:textId="6A77EBF8" w:rsidR="00EA5E05" w:rsidRPr="00372B2B" w:rsidRDefault="00EA5E05" w:rsidP="0069225F">
            <w:pPr>
              <w:spacing w:line="240" w:lineRule="auto"/>
              <w:rPr>
                <w:rFonts w:ascii="Times New Roman" w:hAnsi="Times New Roman" w:cs="Times New Roman"/>
                <w:b/>
                <w:bCs/>
                <w:sz w:val="20"/>
                <w:szCs w:val="20"/>
                <w:lang w:val="en-029" w:eastAsia="en-029"/>
              </w:rPr>
            </w:pPr>
            <w:r w:rsidRPr="00372B2B">
              <w:rPr>
                <w:rFonts w:ascii="Times New Roman" w:hAnsi="Times New Roman" w:cs="Times New Roman"/>
                <w:b/>
                <w:bCs/>
                <w:sz w:val="20"/>
                <w:szCs w:val="20"/>
                <w:lang w:val="en-029" w:eastAsia="en-029"/>
              </w:rPr>
              <w:t>(women with data available)</w:t>
            </w:r>
          </w:p>
        </w:tc>
        <w:tc>
          <w:tcPr>
            <w:tcW w:w="1275" w:type="dxa"/>
            <w:tcBorders>
              <w:bottom w:val="single" w:sz="4" w:space="0" w:color="auto"/>
            </w:tcBorders>
            <w:vAlign w:val="center"/>
          </w:tcPr>
          <w:p w14:paraId="42C98825" w14:textId="524A10C7"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9,068</w:t>
            </w:r>
          </w:p>
        </w:tc>
        <w:tc>
          <w:tcPr>
            <w:tcW w:w="1134" w:type="dxa"/>
            <w:tcBorders>
              <w:bottom w:val="single" w:sz="4" w:space="0" w:color="auto"/>
            </w:tcBorders>
            <w:vAlign w:val="center"/>
          </w:tcPr>
          <w:p w14:paraId="4878CB8F" w14:textId="784A627F" w:rsidR="00EA5E05" w:rsidRPr="00372B2B" w:rsidRDefault="00EA5E05" w:rsidP="0069225F">
            <w:pPr>
              <w:spacing w:line="240" w:lineRule="auto"/>
              <w:jc w:val="center"/>
              <w:rPr>
                <w:rFonts w:ascii="Times New Roman" w:hAnsi="Times New Roman" w:cs="Times New Roman"/>
                <w:bCs/>
                <w:sz w:val="20"/>
                <w:szCs w:val="20"/>
                <w:lang w:val="en-029" w:eastAsia="en-029"/>
              </w:rPr>
            </w:pPr>
            <w:r w:rsidRPr="00372B2B">
              <w:rPr>
                <w:rFonts w:ascii="Times New Roman" w:hAnsi="Times New Roman" w:cs="Times New Roman"/>
                <w:bCs/>
                <w:sz w:val="20"/>
                <w:szCs w:val="20"/>
                <w:lang w:val="en-029" w:eastAsia="en-029"/>
              </w:rPr>
              <w:t>3,681</w:t>
            </w:r>
          </w:p>
        </w:tc>
        <w:tc>
          <w:tcPr>
            <w:tcW w:w="993" w:type="dxa"/>
            <w:tcBorders>
              <w:bottom w:val="single" w:sz="4" w:space="0" w:color="auto"/>
            </w:tcBorders>
            <w:vAlign w:val="center"/>
          </w:tcPr>
          <w:p w14:paraId="29D5920C" w14:textId="77777777" w:rsidR="00EA5E05" w:rsidRPr="00372B2B" w:rsidRDefault="00EA5E05" w:rsidP="0069225F">
            <w:pPr>
              <w:spacing w:line="240" w:lineRule="auto"/>
              <w:jc w:val="center"/>
              <w:rPr>
                <w:rFonts w:ascii="Times New Roman" w:hAnsi="Times New Roman" w:cs="Times New Roman"/>
                <w:bCs/>
                <w:sz w:val="20"/>
                <w:szCs w:val="20"/>
              </w:rPr>
            </w:pPr>
          </w:p>
        </w:tc>
        <w:tc>
          <w:tcPr>
            <w:tcW w:w="1134" w:type="dxa"/>
            <w:tcBorders>
              <w:bottom w:val="single" w:sz="4" w:space="0" w:color="auto"/>
            </w:tcBorders>
            <w:vAlign w:val="center"/>
          </w:tcPr>
          <w:p w14:paraId="5D25F7CD" w14:textId="7188CE87"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6,954</w:t>
            </w:r>
          </w:p>
        </w:tc>
        <w:tc>
          <w:tcPr>
            <w:tcW w:w="992" w:type="dxa"/>
            <w:tcBorders>
              <w:bottom w:val="single" w:sz="4" w:space="0" w:color="auto"/>
            </w:tcBorders>
            <w:vAlign w:val="center"/>
          </w:tcPr>
          <w:p w14:paraId="14A05EEC" w14:textId="77777777" w:rsidR="00EA5E05" w:rsidRPr="00372B2B" w:rsidRDefault="00EA5E05" w:rsidP="0069225F">
            <w:pPr>
              <w:spacing w:line="240" w:lineRule="auto"/>
              <w:jc w:val="center"/>
              <w:rPr>
                <w:rFonts w:ascii="Times New Roman" w:hAnsi="Times New Roman" w:cs="Times New Roman"/>
                <w:bCs/>
                <w:sz w:val="20"/>
                <w:szCs w:val="20"/>
                <w:lang w:val="en-029" w:eastAsia="en-029"/>
              </w:rPr>
            </w:pPr>
          </w:p>
        </w:tc>
        <w:tc>
          <w:tcPr>
            <w:tcW w:w="1134" w:type="dxa"/>
            <w:tcBorders>
              <w:bottom w:val="single" w:sz="4" w:space="0" w:color="auto"/>
            </w:tcBorders>
            <w:vAlign w:val="center"/>
          </w:tcPr>
          <w:p w14:paraId="67664957" w14:textId="4036E499"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3,077</w:t>
            </w:r>
          </w:p>
        </w:tc>
        <w:tc>
          <w:tcPr>
            <w:tcW w:w="992" w:type="dxa"/>
            <w:tcBorders>
              <w:bottom w:val="single" w:sz="4" w:space="0" w:color="auto"/>
              <w:right w:val="single" w:sz="12" w:space="0" w:color="auto"/>
            </w:tcBorders>
            <w:vAlign w:val="center"/>
          </w:tcPr>
          <w:p w14:paraId="5A1884FE" w14:textId="77777777" w:rsidR="00EA5E05" w:rsidRPr="00372B2B" w:rsidRDefault="00EA5E05" w:rsidP="0069225F">
            <w:pPr>
              <w:spacing w:line="240" w:lineRule="auto"/>
              <w:jc w:val="center"/>
              <w:rPr>
                <w:rFonts w:ascii="Times New Roman" w:hAnsi="Times New Roman" w:cs="Times New Roman"/>
                <w:bCs/>
                <w:sz w:val="20"/>
                <w:szCs w:val="20"/>
                <w:lang w:val="en-029" w:eastAsia="en-029"/>
              </w:rPr>
            </w:pPr>
          </w:p>
        </w:tc>
        <w:tc>
          <w:tcPr>
            <w:tcW w:w="1134" w:type="dxa"/>
            <w:tcBorders>
              <w:left w:val="single" w:sz="12" w:space="0" w:color="auto"/>
              <w:bottom w:val="single" w:sz="4" w:space="0" w:color="auto"/>
            </w:tcBorders>
            <w:vAlign w:val="center"/>
          </w:tcPr>
          <w:p w14:paraId="79B2DDCF" w14:textId="4EF73A87" w:rsidR="00EA5E05" w:rsidRPr="00372B2B" w:rsidRDefault="00EA5E05" w:rsidP="0069225F">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1,222</w:t>
            </w:r>
          </w:p>
        </w:tc>
        <w:tc>
          <w:tcPr>
            <w:tcW w:w="851" w:type="dxa"/>
            <w:tcBorders>
              <w:bottom w:val="single" w:sz="4" w:space="0" w:color="auto"/>
            </w:tcBorders>
            <w:vAlign w:val="center"/>
          </w:tcPr>
          <w:p w14:paraId="5DF450B9" w14:textId="77777777" w:rsidR="00EA5E05" w:rsidRPr="00372B2B" w:rsidRDefault="00EA5E05" w:rsidP="0069225F">
            <w:pPr>
              <w:spacing w:line="240" w:lineRule="auto"/>
              <w:jc w:val="center"/>
              <w:rPr>
                <w:rFonts w:ascii="Times New Roman" w:hAnsi="Times New Roman" w:cs="Times New Roman"/>
                <w:bCs/>
                <w:sz w:val="20"/>
                <w:szCs w:val="20"/>
                <w:lang w:val="en-029" w:eastAsia="en-029"/>
              </w:rPr>
            </w:pPr>
          </w:p>
        </w:tc>
      </w:tr>
      <w:tr w:rsidR="004A735F" w:rsidRPr="00372B2B" w14:paraId="39C4E71F" w14:textId="77777777" w:rsidTr="00B3039F">
        <w:tc>
          <w:tcPr>
            <w:tcW w:w="3324" w:type="dxa"/>
            <w:tcBorders>
              <w:bottom w:val="single" w:sz="4" w:space="0" w:color="auto"/>
            </w:tcBorders>
            <w:vAlign w:val="center"/>
          </w:tcPr>
          <w:p w14:paraId="7E5B3F78" w14:textId="614B0B6F" w:rsidR="005164AE" w:rsidRPr="00372B2B" w:rsidRDefault="00EA5E05" w:rsidP="005164AE">
            <w:pPr>
              <w:spacing w:line="240" w:lineRule="auto"/>
              <w:rPr>
                <w:rFonts w:ascii="Times New Roman" w:eastAsia="Times New Roman" w:hAnsi="Times New Roman" w:cs="Times New Roman"/>
                <w:sz w:val="20"/>
                <w:szCs w:val="20"/>
                <w:lang w:val="en-029" w:eastAsia="en-029"/>
              </w:rPr>
            </w:pPr>
            <w:r w:rsidRPr="00372B2B">
              <w:rPr>
                <w:rFonts w:ascii="Times New Roman" w:hAnsi="Times New Roman" w:cs="Times New Roman"/>
                <w:sz w:val="20"/>
                <w:szCs w:val="20"/>
                <w:lang w:val="en-029" w:eastAsia="en-029"/>
              </w:rPr>
              <w:t>Il</w:t>
            </w:r>
            <w:r w:rsidR="005164AE" w:rsidRPr="00372B2B">
              <w:rPr>
                <w:rFonts w:ascii="Times New Roman" w:hAnsi="Times New Roman" w:cs="Times New Roman"/>
                <w:sz w:val="20"/>
                <w:szCs w:val="20"/>
                <w:lang w:val="en-029" w:eastAsia="en-029"/>
              </w:rPr>
              <w:t>l</w:t>
            </w:r>
            <w:r w:rsidR="00E5396E" w:rsidRPr="00372B2B">
              <w:rPr>
                <w:rFonts w:ascii="Times New Roman" w:hAnsi="Times New Roman" w:cs="Times New Roman"/>
                <w:sz w:val="20"/>
                <w:szCs w:val="20"/>
                <w:lang w:val="en-029" w:eastAsia="en-029"/>
              </w:rPr>
              <w:t xml:space="preserve">-health </w:t>
            </w:r>
            <w:r w:rsidR="00650673" w:rsidRPr="00372B2B">
              <w:rPr>
                <w:rFonts w:ascii="Times New Roman" w:hAnsi="Times New Roman" w:cs="Times New Roman"/>
                <w:sz w:val="20"/>
                <w:szCs w:val="20"/>
                <w:lang w:val="en-029" w:eastAsia="en-029"/>
              </w:rPr>
              <w:t xml:space="preserve"> </w:t>
            </w:r>
            <w:r w:rsidR="00650673" w:rsidRPr="00372B2B">
              <w:rPr>
                <w:rFonts w:ascii="Times New Roman" w:hAnsi="Times New Roman" w:cs="Times New Roman"/>
                <w:sz w:val="20"/>
                <w:szCs w:val="20"/>
                <w:lang w:val="en-029"/>
              </w:rPr>
              <w:t>(% of women)</w:t>
            </w:r>
            <w:r w:rsidR="00650673" w:rsidRPr="00372B2B">
              <w:rPr>
                <w:rFonts w:ascii="Times New Roman" w:eastAsia="Times New Roman" w:hAnsi="Times New Roman" w:cs="Times New Roman"/>
                <w:sz w:val="20"/>
                <w:szCs w:val="20"/>
                <w:lang w:val="en-029" w:eastAsia="en-029"/>
              </w:rPr>
              <w:t xml:space="preserve"> </w:t>
            </w:r>
          </w:p>
        </w:tc>
        <w:tc>
          <w:tcPr>
            <w:tcW w:w="1275" w:type="dxa"/>
            <w:tcBorders>
              <w:bottom w:val="single" w:sz="4" w:space="0" w:color="auto"/>
            </w:tcBorders>
            <w:vAlign w:val="center"/>
          </w:tcPr>
          <w:p w14:paraId="0D9ED86E" w14:textId="703514FE" w:rsidR="005164AE" w:rsidRPr="00372B2B" w:rsidRDefault="00EA5E05" w:rsidP="005164AE">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3.4</w:t>
            </w:r>
          </w:p>
        </w:tc>
        <w:tc>
          <w:tcPr>
            <w:tcW w:w="1134" w:type="dxa"/>
            <w:tcBorders>
              <w:bottom w:val="single" w:sz="4" w:space="0" w:color="auto"/>
            </w:tcBorders>
            <w:vAlign w:val="center"/>
          </w:tcPr>
          <w:p w14:paraId="21E1B4ED" w14:textId="220C1A85" w:rsidR="005164AE" w:rsidRPr="00372B2B" w:rsidRDefault="00EA5E05" w:rsidP="005164AE">
            <w:pPr>
              <w:spacing w:line="240" w:lineRule="auto"/>
              <w:jc w:val="center"/>
              <w:rPr>
                <w:rFonts w:ascii="Times New Roman" w:hAnsi="Times New Roman" w:cs="Times New Roman"/>
                <w:bCs/>
                <w:sz w:val="20"/>
                <w:szCs w:val="20"/>
                <w:lang w:val="en-029" w:eastAsia="en-029"/>
              </w:rPr>
            </w:pPr>
            <w:r w:rsidRPr="00372B2B">
              <w:rPr>
                <w:rFonts w:ascii="Times New Roman" w:hAnsi="Times New Roman" w:cs="Times New Roman"/>
                <w:bCs/>
                <w:sz w:val="20"/>
                <w:szCs w:val="20"/>
                <w:lang w:val="en-029" w:eastAsia="en-029"/>
              </w:rPr>
              <w:t>3.3</w:t>
            </w:r>
          </w:p>
        </w:tc>
        <w:tc>
          <w:tcPr>
            <w:tcW w:w="993" w:type="dxa"/>
            <w:tcBorders>
              <w:bottom w:val="single" w:sz="4" w:space="0" w:color="auto"/>
            </w:tcBorders>
            <w:vAlign w:val="center"/>
          </w:tcPr>
          <w:p w14:paraId="2AD65B51" w14:textId="3742EAD0" w:rsidR="005164AE" w:rsidRPr="00372B2B" w:rsidRDefault="00CC66A3" w:rsidP="005164AE">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0.77</w:t>
            </w:r>
          </w:p>
        </w:tc>
        <w:tc>
          <w:tcPr>
            <w:tcW w:w="1134" w:type="dxa"/>
            <w:tcBorders>
              <w:bottom w:val="single" w:sz="4" w:space="0" w:color="auto"/>
            </w:tcBorders>
            <w:vAlign w:val="center"/>
          </w:tcPr>
          <w:p w14:paraId="6AE6AE14" w14:textId="06B10123" w:rsidR="005164AE" w:rsidRPr="00372B2B" w:rsidRDefault="00EA5E05" w:rsidP="005164AE">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3.0</w:t>
            </w:r>
          </w:p>
        </w:tc>
        <w:tc>
          <w:tcPr>
            <w:tcW w:w="992" w:type="dxa"/>
            <w:tcBorders>
              <w:bottom w:val="single" w:sz="4" w:space="0" w:color="auto"/>
            </w:tcBorders>
            <w:vAlign w:val="center"/>
          </w:tcPr>
          <w:p w14:paraId="2EB12822" w14:textId="7D4BF6AA" w:rsidR="005164AE" w:rsidRPr="00372B2B" w:rsidRDefault="00CC66A3" w:rsidP="005164AE">
            <w:pPr>
              <w:spacing w:line="240" w:lineRule="auto"/>
              <w:jc w:val="center"/>
              <w:rPr>
                <w:rFonts w:ascii="Times New Roman" w:hAnsi="Times New Roman" w:cs="Times New Roman"/>
                <w:bCs/>
                <w:sz w:val="20"/>
                <w:szCs w:val="20"/>
                <w:lang w:val="en-029" w:eastAsia="en-029"/>
              </w:rPr>
            </w:pPr>
            <w:r w:rsidRPr="00372B2B">
              <w:rPr>
                <w:rFonts w:ascii="Times New Roman" w:hAnsi="Times New Roman" w:cs="Times New Roman"/>
                <w:bCs/>
                <w:sz w:val="20"/>
                <w:szCs w:val="20"/>
                <w:lang w:val="en-029" w:eastAsia="en-029"/>
              </w:rPr>
              <w:t>0.004</w:t>
            </w:r>
          </w:p>
        </w:tc>
        <w:tc>
          <w:tcPr>
            <w:tcW w:w="1134" w:type="dxa"/>
            <w:tcBorders>
              <w:bottom w:val="single" w:sz="4" w:space="0" w:color="auto"/>
            </w:tcBorders>
            <w:vAlign w:val="center"/>
          </w:tcPr>
          <w:p w14:paraId="5D5D655C" w14:textId="683AD94F" w:rsidR="005164AE" w:rsidRPr="00372B2B" w:rsidRDefault="00EA5E05" w:rsidP="005164AE">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2.7</w:t>
            </w:r>
          </w:p>
        </w:tc>
        <w:tc>
          <w:tcPr>
            <w:tcW w:w="992" w:type="dxa"/>
            <w:tcBorders>
              <w:bottom w:val="single" w:sz="4" w:space="0" w:color="auto"/>
              <w:right w:val="single" w:sz="12" w:space="0" w:color="auto"/>
            </w:tcBorders>
            <w:vAlign w:val="center"/>
          </w:tcPr>
          <w:p w14:paraId="63065F6C" w14:textId="285BE6BF" w:rsidR="005164AE" w:rsidRPr="00372B2B" w:rsidRDefault="00CC66A3" w:rsidP="005164AE">
            <w:pPr>
              <w:spacing w:line="240" w:lineRule="auto"/>
              <w:jc w:val="center"/>
              <w:rPr>
                <w:rFonts w:ascii="Times New Roman" w:hAnsi="Times New Roman" w:cs="Times New Roman"/>
                <w:bCs/>
                <w:sz w:val="20"/>
                <w:szCs w:val="20"/>
                <w:lang w:val="en-029" w:eastAsia="en-029"/>
              </w:rPr>
            </w:pPr>
            <w:r w:rsidRPr="00372B2B">
              <w:rPr>
                <w:rFonts w:ascii="Times New Roman" w:hAnsi="Times New Roman" w:cs="Times New Roman"/>
                <w:bCs/>
                <w:sz w:val="20"/>
                <w:szCs w:val="20"/>
                <w:lang w:val="en-029" w:eastAsia="en-029"/>
              </w:rPr>
              <w:t>0.02</w:t>
            </w:r>
          </w:p>
        </w:tc>
        <w:tc>
          <w:tcPr>
            <w:tcW w:w="1134" w:type="dxa"/>
            <w:tcBorders>
              <w:left w:val="single" w:sz="12" w:space="0" w:color="auto"/>
              <w:bottom w:val="single" w:sz="4" w:space="0" w:color="auto"/>
            </w:tcBorders>
            <w:vAlign w:val="center"/>
          </w:tcPr>
          <w:p w14:paraId="0687ACBF" w14:textId="001D2748" w:rsidR="005164AE" w:rsidRPr="00372B2B" w:rsidRDefault="00EA5E05" w:rsidP="005164AE">
            <w:pPr>
              <w:spacing w:line="240" w:lineRule="auto"/>
              <w:jc w:val="center"/>
              <w:rPr>
                <w:rFonts w:ascii="Times New Roman" w:hAnsi="Times New Roman" w:cs="Times New Roman"/>
                <w:bCs/>
                <w:sz w:val="20"/>
                <w:szCs w:val="20"/>
              </w:rPr>
            </w:pPr>
            <w:r w:rsidRPr="00372B2B">
              <w:rPr>
                <w:rFonts w:ascii="Times New Roman" w:hAnsi="Times New Roman" w:cs="Times New Roman"/>
                <w:bCs/>
                <w:sz w:val="20"/>
                <w:szCs w:val="20"/>
              </w:rPr>
              <w:t>2.9</w:t>
            </w:r>
          </w:p>
        </w:tc>
        <w:tc>
          <w:tcPr>
            <w:tcW w:w="851" w:type="dxa"/>
            <w:tcBorders>
              <w:bottom w:val="single" w:sz="4" w:space="0" w:color="auto"/>
            </w:tcBorders>
            <w:vAlign w:val="center"/>
          </w:tcPr>
          <w:p w14:paraId="1DFACE31" w14:textId="0E8D683F" w:rsidR="005164AE" w:rsidRPr="00372B2B" w:rsidRDefault="00CC66A3" w:rsidP="005164AE">
            <w:pPr>
              <w:spacing w:line="240" w:lineRule="auto"/>
              <w:jc w:val="center"/>
              <w:rPr>
                <w:rFonts w:ascii="Times New Roman" w:hAnsi="Times New Roman" w:cs="Times New Roman"/>
                <w:sz w:val="20"/>
                <w:szCs w:val="20"/>
                <w:lang w:val="en-029" w:eastAsia="en-029"/>
              </w:rPr>
            </w:pPr>
            <w:r w:rsidRPr="00372B2B">
              <w:rPr>
                <w:rFonts w:ascii="Times New Roman" w:hAnsi="Times New Roman" w:cs="Times New Roman"/>
                <w:sz w:val="20"/>
                <w:szCs w:val="20"/>
                <w:lang w:val="en-029" w:eastAsia="en-029"/>
              </w:rPr>
              <w:t>0.35</w:t>
            </w:r>
          </w:p>
        </w:tc>
      </w:tr>
      <w:tr w:rsidR="00B3039F" w:rsidRPr="00372B2B" w14:paraId="5DE73C4F" w14:textId="77777777" w:rsidTr="00B3039F">
        <w:tc>
          <w:tcPr>
            <w:tcW w:w="12963" w:type="dxa"/>
            <w:gridSpan w:val="10"/>
            <w:tcBorders>
              <w:top w:val="single" w:sz="4" w:space="0" w:color="auto"/>
              <w:left w:val="nil"/>
              <w:bottom w:val="nil"/>
              <w:right w:val="nil"/>
            </w:tcBorders>
            <w:vAlign w:val="center"/>
          </w:tcPr>
          <w:p w14:paraId="62C29551" w14:textId="23BD7179" w:rsidR="00B3039F" w:rsidRPr="00372B2B" w:rsidRDefault="00B3039F" w:rsidP="00B3039F">
            <w:pPr>
              <w:spacing w:line="240" w:lineRule="auto"/>
              <w:rPr>
                <w:rFonts w:ascii="Times New Roman" w:hAnsi="Times New Roman" w:cs="Times New Roman"/>
                <w:sz w:val="20"/>
                <w:szCs w:val="20"/>
                <w:lang w:val="en-029" w:eastAsia="en-029"/>
              </w:rPr>
            </w:pPr>
            <w:proofErr w:type="spellStart"/>
            <w:r w:rsidRPr="00372B2B">
              <w:rPr>
                <w:rFonts w:ascii="Times New Roman" w:hAnsi="Times New Roman" w:cs="Times New Roman"/>
                <w:sz w:val="20"/>
                <w:szCs w:val="20"/>
                <w:vertAlign w:val="superscript"/>
                <w:lang w:val="en-029" w:eastAsia="en-029"/>
              </w:rPr>
              <w:t>a</w:t>
            </w:r>
            <w:proofErr w:type="spellEnd"/>
            <w:r w:rsidRPr="00372B2B">
              <w:rPr>
                <w:rFonts w:ascii="Times New Roman" w:hAnsi="Times New Roman" w:cs="Times New Roman"/>
                <w:sz w:val="20"/>
                <w:szCs w:val="20"/>
                <w:vertAlign w:val="superscript"/>
                <w:lang w:val="en-029" w:eastAsia="en-029"/>
              </w:rPr>
              <w:t xml:space="preserve"> </w:t>
            </w:r>
            <w:r w:rsidRPr="00372B2B">
              <w:rPr>
                <w:rFonts w:ascii="Times New Roman" w:hAnsi="Times New Roman" w:cs="Times New Roman"/>
                <w:sz w:val="20"/>
                <w:szCs w:val="20"/>
                <w:lang w:val="en-029" w:eastAsia="en-029"/>
              </w:rPr>
              <w:t>for all comparisons, socio-demographic characteristics of  women assessed at each assessment point compared to those recruited within 24-48 hours after childbirth but not assessed at each assessment point.</w:t>
            </w:r>
          </w:p>
        </w:tc>
      </w:tr>
    </w:tbl>
    <w:p w14:paraId="6D377184" w14:textId="77777777" w:rsidR="00975F5F" w:rsidRDefault="00975F5F">
      <w:pPr>
        <w:spacing w:line="240" w:lineRule="auto"/>
        <w:rPr>
          <w:b/>
        </w:rPr>
        <w:sectPr w:rsidR="00975F5F" w:rsidSect="00880446">
          <w:headerReference w:type="default" r:id="rId19"/>
          <w:footerReference w:type="default" r:id="rId20"/>
          <w:pgSz w:w="16838" w:h="11906" w:orient="landscape"/>
          <w:pgMar w:top="1440" w:right="1440" w:bottom="1440" w:left="1440" w:header="706" w:footer="706" w:gutter="0"/>
          <w:cols w:space="708"/>
          <w:docGrid w:linePitch="360"/>
        </w:sectPr>
      </w:pPr>
    </w:p>
    <w:p w14:paraId="6340549A" w14:textId="77777777" w:rsidR="00975F5F" w:rsidRPr="0094749A" w:rsidRDefault="00975F5F" w:rsidP="00975F5F">
      <w:pPr>
        <w:autoSpaceDE w:val="0"/>
        <w:autoSpaceDN w:val="0"/>
        <w:adjustRightInd w:val="0"/>
        <w:spacing w:line="276" w:lineRule="auto"/>
        <w:jc w:val="both"/>
        <w:rPr>
          <w:b/>
        </w:rPr>
      </w:pPr>
      <w:r w:rsidRPr="0094749A">
        <w:rPr>
          <w:b/>
        </w:rPr>
        <w:t xml:space="preserve">Table </w:t>
      </w:r>
      <w:r>
        <w:rPr>
          <w:b/>
        </w:rPr>
        <w:t>2</w:t>
      </w:r>
      <w:r w:rsidRPr="0094749A">
        <w:rPr>
          <w:b/>
        </w:rPr>
        <w:t xml:space="preserve">: </w:t>
      </w:r>
      <w:r w:rsidRPr="0094749A">
        <w:t>Prevalence of hospital admission and cause, coded as per adapted WHO ICD-MM framework.</w:t>
      </w:r>
      <w:r w:rsidRPr="0094749A">
        <w:rPr>
          <w:b/>
        </w:rPr>
        <w:t xml:space="preserve"> </w:t>
      </w:r>
    </w:p>
    <w:tbl>
      <w:tblPr>
        <w:tblStyle w:val="GridTable1Light"/>
        <w:tblW w:w="10133" w:type="dxa"/>
        <w:tblLook w:val="04A0" w:firstRow="1" w:lastRow="0" w:firstColumn="1" w:lastColumn="0" w:noHBand="0" w:noVBand="1"/>
      </w:tblPr>
      <w:tblGrid>
        <w:gridCol w:w="4815"/>
        <w:gridCol w:w="1701"/>
        <w:gridCol w:w="1701"/>
        <w:gridCol w:w="1916"/>
      </w:tblGrid>
      <w:tr w:rsidR="00975F5F" w:rsidRPr="0094749A" w14:paraId="6ACECFE6" w14:textId="77777777" w:rsidTr="00821DE7">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4815" w:type="dxa"/>
          </w:tcPr>
          <w:p w14:paraId="35FA8B90" w14:textId="77777777" w:rsidR="00975F5F" w:rsidRPr="00AF0F65" w:rsidRDefault="00975F5F" w:rsidP="00372B2B">
            <w:pPr>
              <w:autoSpaceDE w:val="0"/>
              <w:autoSpaceDN w:val="0"/>
              <w:adjustRightInd w:val="0"/>
              <w:spacing w:line="240" w:lineRule="auto"/>
              <w:rPr>
                <w:rFonts w:ascii="Times New Roman" w:hAnsi="Times New Roman" w:cs="Times New Roman"/>
                <w:b w:val="0"/>
              </w:rPr>
            </w:pPr>
            <w:r w:rsidRPr="00AF0F65">
              <w:rPr>
                <w:rFonts w:ascii="Times New Roman" w:hAnsi="Times New Roman" w:cs="Times New Roman"/>
                <w:b w:val="0"/>
              </w:rPr>
              <w:t xml:space="preserve">Assessment point </w:t>
            </w:r>
          </w:p>
        </w:tc>
        <w:tc>
          <w:tcPr>
            <w:tcW w:w="1701" w:type="dxa"/>
          </w:tcPr>
          <w:p w14:paraId="67C8D133" w14:textId="77777777" w:rsidR="00975F5F" w:rsidRPr="00EB0452" w:rsidRDefault="00975F5F" w:rsidP="00372B2B">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0452">
              <w:rPr>
                <w:rFonts w:ascii="Times New Roman" w:hAnsi="Times New Roman" w:cs="Times New Roman"/>
                <w:b w:val="0"/>
              </w:rPr>
              <w:t>Any hospital admission during pregnancy</w:t>
            </w:r>
          </w:p>
          <w:p w14:paraId="1E0E9315" w14:textId="77777777" w:rsidR="00975F5F" w:rsidRPr="00EB0452" w:rsidRDefault="00975F5F" w:rsidP="00372B2B">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1701" w:type="dxa"/>
          </w:tcPr>
          <w:p w14:paraId="302D4247" w14:textId="77777777" w:rsidR="00975F5F" w:rsidRPr="00EB0452" w:rsidRDefault="00975F5F" w:rsidP="00372B2B">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B0452">
              <w:rPr>
                <w:rFonts w:ascii="Times New Roman" w:eastAsia="Times New Roman" w:hAnsi="Times New Roman" w:cs="Times New Roman"/>
                <w:b w:val="0"/>
                <w:lang w:val="en-029" w:eastAsia="en-029"/>
              </w:rPr>
              <w:t>Any hospital admission from birth to 12 months post childbirth</w:t>
            </w:r>
          </w:p>
        </w:tc>
        <w:tc>
          <w:tcPr>
            <w:tcW w:w="1916" w:type="dxa"/>
          </w:tcPr>
          <w:p w14:paraId="535479BB" w14:textId="77777777" w:rsidR="00975F5F" w:rsidRPr="00EB0452" w:rsidRDefault="00975F5F" w:rsidP="00372B2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B0452">
              <w:rPr>
                <w:rFonts w:ascii="Times New Roman" w:hAnsi="Times New Roman" w:cs="Times New Roman"/>
                <w:b w:val="0"/>
                <w:bCs w:val="0"/>
              </w:rPr>
              <w:t>Any hospital admission from one year to 22 months post childbirth</w:t>
            </w:r>
          </w:p>
        </w:tc>
      </w:tr>
      <w:tr w:rsidR="00975F5F" w:rsidRPr="0094749A" w14:paraId="43933535" w14:textId="77777777" w:rsidTr="00821DE7">
        <w:trPr>
          <w:trHeight w:val="452"/>
        </w:trPr>
        <w:tc>
          <w:tcPr>
            <w:cnfStyle w:val="001000000000" w:firstRow="0" w:lastRow="0" w:firstColumn="1" w:lastColumn="0" w:oddVBand="0" w:evenVBand="0" w:oddHBand="0" w:evenHBand="0" w:firstRowFirstColumn="0" w:firstRowLastColumn="0" w:lastRowFirstColumn="0" w:lastRowLastColumn="0"/>
            <w:tcW w:w="4815" w:type="dxa"/>
            <w:tcBorders>
              <w:top w:val="single" w:sz="12" w:space="0" w:color="666666" w:themeColor="text1" w:themeTint="99"/>
              <w:bottom w:val="single" w:sz="4" w:space="0" w:color="auto"/>
            </w:tcBorders>
          </w:tcPr>
          <w:p w14:paraId="1B0AAA03" w14:textId="77777777" w:rsidR="00975F5F" w:rsidRPr="00AF0F65" w:rsidRDefault="00975F5F" w:rsidP="00372B2B">
            <w:pPr>
              <w:autoSpaceDE w:val="0"/>
              <w:autoSpaceDN w:val="0"/>
              <w:adjustRightInd w:val="0"/>
              <w:spacing w:line="240" w:lineRule="auto"/>
              <w:rPr>
                <w:rFonts w:ascii="Times New Roman" w:hAnsi="Times New Roman" w:cs="Times New Roman"/>
                <w:b w:val="0"/>
              </w:rPr>
            </w:pPr>
            <w:r w:rsidRPr="00AF0F65">
              <w:rPr>
                <w:rFonts w:ascii="Times New Roman" w:hAnsi="Times New Roman" w:cs="Times New Roman"/>
                <w:b w:val="0"/>
              </w:rPr>
              <w:t xml:space="preserve">TOTAL NUMBER OF ADMISSIONS </w:t>
            </w:r>
          </w:p>
          <w:p w14:paraId="0328E785" w14:textId="77777777" w:rsidR="00975F5F" w:rsidRPr="00AF0F65" w:rsidRDefault="00975F5F" w:rsidP="00372B2B">
            <w:pPr>
              <w:autoSpaceDE w:val="0"/>
              <w:autoSpaceDN w:val="0"/>
              <w:adjustRightInd w:val="0"/>
              <w:spacing w:line="240" w:lineRule="auto"/>
              <w:rPr>
                <w:rFonts w:ascii="Times New Roman" w:hAnsi="Times New Roman" w:cs="Times New Roman"/>
                <w:b w:val="0"/>
              </w:rPr>
            </w:pPr>
            <w:r w:rsidRPr="00AF0F65">
              <w:rPr>
                <w:rFonts w:ascii="Times New Roman" w:hAnsi="Times New Roman" w:cs="Times New Roman"/>
                <w:b w:val="0"/>
              </w:rPr>
              <w:t xml:space="preserve">(including repeat admissions) </w:t>
            </w:r>
          </w:p>
        </w:tc>
        <w:tc>
          <w:tcPr>
            <w:tcW w:w="1701" w:type="dxa"/>
            <w:tcBorders>
              <w:top w:val="single" w:sz="12" w:space="0" w:color="666666" w:themeColor="text1" w:themeTint="99"/>
              <w:bottom w:val="single" w:sz="4" w:space="0" w:color="auto"/>
            </w:tcBorders>
          </w:tcPr>
          <w:p w14:paraId="53469628" w14:textId="77777777" w:rsidR="00975F5F" w:rsidRPr="00CC59A5"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59A5">
              <w:rPr>
                <w:rFonts w:ascii="Times New Roman" w:hAnsi="Times New Roman" w:cs="Times New Roman"/>
              </w:rPr>
              <w:t>349</w:t>
            </w:r>
          </w:p>
        </w:tc>
        <w:tc>
          <w:tcPr>
            <w:tcW w:w="1701" w:type="dxa"/>
            <w:tcBorders>
              <w:top w:val="single" w:sz="12" w:space="0" w:color="666666" w:themeColor="text1" w:themeTint="99"/>
              <w:bottom w:val="single" w:sz="4" w:space="0" w:color="auto"/>
            </w:tcBorders>
          </w:tcPr>
          <w:p w14:paraId="55FB6941" w14:textId="77777777" w:rsidR="00975F5F" w:rsidRPr="00CC59A5"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59A5">
              <w:rPr>
                <w:rFonts w:ascii="Times New Roman" w:hAnsi="Times New Roman" w:cs="Times New Roman"/>
              </w:rPr>
              <w:t>89</w:t>
            </w:r>
          </w:p>
        </w:tc>
        <w:tc>
          <w:tcPr>
            <w:tcW w:w="1916" w:type="dxa"/>
            <w:tcBorders>
              <w:top w:val="single" w:sz="12" w:space="0" w:color="666666" w:themeColor="text1" w:themeTint="99"/>
              <w:bottom w:val="single" w:sz="4" w:space="0" w:color="auto"/>
            </w:tcBorders>
          </w:tcPr>
          <w:p w14:paraId="2901C299" w14:textId="77777777" w:rsidR="00975F5F" w:rsidRPr="006A310D"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A310D">
              <w:rPr>
                <w:rFonts w:ascii="Times New Roman" w:hAnsi="Times New Roman" w:cs="Times New Roman"/>
                <w:sz w:val="22"/>
                <w:szCs w:val="22"/>
              </w:rPr>
              <w:t>13</w:t>
            </w:r>
          </w:p>
        </w:tc>
      </w:tr>
      <w:tr w:rsidR="00975F5F" w:rsidRPr="0094749A" w14:paraId="5CBE0873" w14:textId="77777777" w:rsidTr="00821DE7">
        <w:trPr>
          <w:trHeight w:val="37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tcPr>
          <w:p w14:paraId="016D12FE" w14:textId="77777777" w:rsidR="00975F5F" w:rsidRPr="0094749A" w:rsidRDefault="00975F5F" w:rsidP="00372B2B">
            <w:pPr>
              <w:autoSpaceDE w:val="0"/>
              <w:autoSpaceDN w:val="0"/>
              <w:adjustRightInd w:val="0"/>
              <w:spacing w:line="240" w:lineRule="auto"/>
              <w:rPr>
                <w:rFonts w:ascii="Times New Roman" w:hAnsi="Times New Roman" w:cs="Times New Roman"/>
              </w:rPr>
            </w:pPr>
            <w:r w:rsidRPr="0094749A">
              <w:rPr>
                <w:rFonts w:ascii="Times New Roman" w:hAnsi="Times New Roman" w:cs="Times New Roman"/>
              </w:rPr>
              <w:t>Number of women admitted at least once</w:t>
            </w:r>
          </w:p>
        </w:tc>
        <w:tc>
          <w:tcPr>
            <w:tcW w:w="1701" w:type="dxa"/>
            <w:tcBorders>
              <w:top w:val="single" w:sz="4" w:space="0" w:color="auto"/>
            </w:tcBorders>
          </w:tcPr>
          <w:p w14:paraId="507E3A7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274</w:t>
            </w:r>
          </w:p>
        </w:tc>
        <w:tc>
          <w:tcPr>
            <w:tcW w:w="1701" w:type="dxa"/>
            <w:tcBorders>
              <w:top w:val="single" w:sz="4" w:space="0" w:color="auto"/>
            </w:tcBorders>
          </w:tcPr>
          <w:p w14:paraId="1596D1AA"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80</w:t>
            </w:r>
          </w:p>
        </w:tc>
        <w:tc>
          <w:tcPr>
            <w:tcW w:w="1916" w:type="dxa"/>
            <w:tcBorders>
              <w:top w:val="single" w:sz="4" w:space="0" w:color="auto"/>
            </w:tcBorders>
          </w:tcPr>
          <w:p w14:paraId="55F61630"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7</w:t>
            </w:r>
          </w:p>
        </w:tc>
      </w:tr>
      <w:tr w:rsidR="00975F5F" w:rsidRPr="0094749A" w14:paraId="02B0DDF3" w14:textId="77777777" w:rsidTr="00821DE7">
        <w:trPr>
          <w:trHeight w:val="376"/>
        </w:trPr>
        <w:tc>
          <w:tcPr>
            <w:cnfStyle w:val="001000000000" w:firstRow="0" w:lastRow="0" w:firstColumn="1" w:lastColumn="0" w:oddVBand="0" w:evenVBand="0" w:oddHBand="0" w:evenHBand="0" w:firstRowFirstColumn="0" w:firstRowLastColumn="0" w:lastRowFirstColumn="0" w:lastRowLastColumn="0"/>
            <w:tcW w:w="4815" w:type="dxa"/>
            <w:tcBorders>
              <w:bottom w:val="single" w:sz="18" w:space="0" w:color="auto"/>
            </w:tcBorders>
            <w:shd w:val="clear" w:color="auto" w:fill="auto"/>
          </w:tcPr>
          <w:p w14:paraId="01571BE4" w14:textId="77777777" w:rsidR="00975F5F" w:rsidRPr="0094749A" w:rsidRDefault="00975F5F" w:rsidP="00372B2B">
            <w:pPr>
              <w:autoSpaceDE w:val="0"/>
              <w:autoSpaceDN w:val="0"/>
              <w:adjustRightInd w:val="0"/>
              <w:spacing w:line="240" w:lineRule="auto"/>
              <w:rPr>
                <w:rFonts w:ascii="Times New Roman" w:hAnsi="Times New Roman" w:cs="Times New Roman"/>
              </w:rPr>
            </w:pPr>
            <w:r w:rsidRPr="0094749A">
              <w:rPr>
                <w:rFonts w:ascii="Times New Roman" w:hAnsi="Times New Roman" w:cs="Times New Roman"/>
              </w:rPr>
              <w:t xml:space="preserve">Number of </w:t>
            </w:r>
            <w:r>
              <w:rPr>
                <w:rFonts w:ascii="Times New Roman" w:hAnsi="Times New Roman" w:cs="Times New Roman"/>
              </w:rPr>
              <w:t>admissions</w:t>
            </w:r>
            <w:r w:rsidRPr="0094749A">
              <w:rPr>
                <w:rFonts w:ascii="Times New Roman" w:hAnsi="Times New Roman" w:cs="Times New Roman"/>
              </w:rPr>
              <w:t xml:space="preserve"> with reasons for admission given</w:t>
            </w:r>
            <w:r>
              <w:rPr>
                <w:rFonts w:ascii="Times New Roman" w:hAnsi="Times New Roman" w:cs="Times New Roman"/>
              </w:rPr>
              <w:t>, including injuries</w:t>
            </w:r>
          </w:p>
        </w:tc>
        <w:tc>
          <w:tcPr>
            <w:tcW w:w="1701" w:type="dxa"/>
            <w:tcBorders>
              <w:bottom w:val="single" w:sz="18" w:space="0" w:color="auto"/>
            </w:tcBorders>
            <w:shd w:val="clear" w:color="auto" w:fill="auto"/>
          </w:tcPr>
          <w:p w14:paraId="05D5B3D4"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347</w:t>
            </w:r>
          </w:p>
        </w:tc>
        <w:tc>
          <w:tcPr>
            <w:tcW w:w="1701" w:type="dxa"/>
            <w:tcBorders>
              <w:bottom w:val="single" w:sz="18" w:space="0" w:color="auto"/>
            </w:tcBorders>
            <w:shd w:val="clear" w:color="auto" w:fill="auto"/>
          </w:tcPr>
          <w:p w14:paraId="72606FC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77</w:t>
            </w:r>
          </w:p>
        </w:tc>
        <w:tc>
          <w:tcPr>
            <w:tcW w:w="1916" w:type="dxa"/>
            <w:tcBorders>
              <w:bottom w:val="single" w:sz="18" w:space="0" w:color="auto"/>
            </w:tcBorders>
            <w:shd w:val="clear" w:color="auto" w:fill="auto"/>
          </w:tcPr>
          <w:p w14:paraId="78AC3D1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11</w:t>
            </w:r>
          </w:p>
        </w:tc>
      </w:tr>
      <w:tr w:rsidR="00975F5F" w:rsidRPr="0094749A" w14:paraId="6E485F4C" w14:textId="77777777" w:rsidTr="00821DE7">
        <w:trPr>
          <w:trHeight w:val="259"/>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bottom w:val="single" w:sz="18" w:space="0" w:color="auto"/>
            </w:tcBorders>
            <w:shd w:val="clear" w:color="auto" w:fill="auto"/>
          </w:tcPr>
          <w:p w14:paraId="563F5C1D" w14:textId="77777777" w:rsidR="00975F5F" w:rsidRPr="0094749A" w:rsidRDefault="00975F5F" w:rsidP="00372B2B">
            <w:pPr>
              <w:autoSpaceDE w:val="0"/>
              <w:autoSpaceDN w:val="0"/>
              <w:adjustRightInd w:val="0"/>
              <w:spacing w:line="240" w:lineRule="auto"/>
            </w:pPr>
            <w:r w:rsidRPr="0094749A">
              <w:rPr>
                <w:rFonts w:ascii="Times New Roman" w:hAnsi="Times New Roman" w:cs="Times New Roman"/>
              </w:rPr>
              <w:t>Total number of admissions due to DIRECT obstetric complications</w:t>
            </w:r>
          </w:p>
        </w:tc>
        <w:tc>
          <w:tcPr>
            <w:tcW w:w="1701" w:type="dxa"/>
            <w:tcBorders>
              <w:top w:val="single" w:sz="18" w:space="0" w:color="auto"/>
              <w:bottom w:val="single" w:sz="18" w:space="0" w:color="auto"/>
            </w:tcBorders>
            <w:shd w:val="clear" w:color="auto" w:fill="auto"/>
          </w:tcPr>
          <w:p w14:paraId="57BD9E2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237</w:t>
            </w:r>
            <w:r>
              <w:rPr>
                <w:rFonts w:ascii="Times New Roman" w:hAnsi="Times New Roman" w:cs="Times New Roman"/>
              </w:rPr>
              <w:t xml:space="preserve"> </w:t>
            </w:r>
            <w:r w:rsidRPr="0094749A">
              <w:rPr>
                <w:rFonts w:ascii="Times New Roman" w:hAnsi="Times New Roman" w:cs="Times New Roman"/>
              </w:rPr>
              <w:t xml:space="preserve"> </w:t>
            </w:r>
          </w:p>
        </w:tc>
        <w:tc>
          <w:tcPr>
            <w:tcW w:w="1701" w:type="dxa"/>
            <w:tcBorders>
              <w:top w:val="single" w:sz="18" w:space="0" w:color="auto"/>
              <w:bottom w:val="single" w:sz="18" w:space="0" w:color="auto"/>
            </w:tcBorders>
            <w:shd w:val="clear" w:color="auto" w:fill="auto"/>
          </w:tcPr>
          <w:p w14:paraId="206911F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54</w:t>
            </w:r>
          </w:p>
        </w:tc>
        <w:tc>
          <w:tcPr>
            <w:tcW w:w="1916" w:type="dxa"/>
            <w:tcBorders>
              <w:top w:val="single" w:sz="18" w:space="0" w:color="auto"/>
              <w:bottom w:val="single" w:sz="18" w:space="0" w:color="auto"/>
            </w:tcBorders>
            <w:shd w:val="clear" w:color="auto" w:fill="auto"/>
          </w:tcPr>
          <w:p w14:paraId="79E200DF"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 xml:space="preserve">11 </w:t>
            </w:r>
          </w:p>
        </w:tc>
      </w:tr>
      <w:tr w:rsidR="00975F5F" w:rsidRPr="0094749A" w14:paraId="07541CD2" w14:textId="77777777" w:rsidTr="00821DE7">
        <w:trPr>
          <w:trHeight w:val="259"/>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tcBorders>
          </w:tcPr>
          <w:p w14:paraId="697CE337"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 xml:space="preserve">Abortive outcome/ Early pregnancy complication </w:t>
            </w:r>
          </w:p>
        </w:tc>
        <w:tc>
          <w:tcPr>
            <w:tcW w:w="1701" w:type="dxa"/>
            <w:tcBorders>
              <w:top w:val="single" w:sz="18" w:space="0" w:color="auto"/>
            </w:tcBorders>
          </w:tcPr>
          <w:p w14:paraId="77259184"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3</w:t>
            </w:r>
          </w:p>
        </w:tc>
        <w:tc>
          <w:tcPr>
            <w:tcW w:w="1701" w:type="dxa"/>
            <w:tcBorders>
              <w:top w:val="single" w:sz="18" w:space="0" w:color="auto"/>
            </w:tcBorders>
          </w:tcPr>
          <w:p w14:paraId="774C5B4D"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c>
          <w:tcPr>
            <w:tcW w:w="1916" w:type="dxa"/>
            <w:tcBorders>
              <w:top w:val="single" w:sz="18" w:space="0" w:color="auto"/>
            </w:tcBorders>
          </w:tcPr>
          <w:p w14:paraId="47579DF8"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4DCCDA6E" w14:textId="77777777" w:rsidTr="00821DE7">
        <w:trPr>
          <w:trHeight w:val="323"/>
        </w:trPr>
        <w:tc>
          <w:tcPr>
            <w:cnfStyle w:val="001000000000" w:firstRow="0" w:lastRow="0" w:firstColumn="1" w:lastColumn="0" w:oddVBand="0" w:evenVBand="0" w:oddHBand="0" w:evenHBand="0" w:firstRowFirstColumn="0" w:firstRowLastColumn="0" w:lastRowFirstColumn="0" w:lastRowLastColumn="0"/>
            <w:tcW w:w="4815" w:type="dxa"/>
          </w:tcPr>
          <w:p w14:paraId="40E26314"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Hypertensive disorders of pregnancy</w:t>
            </w:r>
          </w:p>
        </w:tc>
        <w:tc>
          <w:tcPr>
            <w:tcW w:w="1701" w:type="dxa"/>
          </w:tcPr>
          <w:p w14:paraId="47FFD85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67</w:t>
            </w:r>
          </w:p>
        </w:tc>
        <w:tc>
          <w:tcPr>
            <w:tcW w:w="1701" w:type="dxa"/>
          </w:tcPr>
          <w:p w14:paraId="3D1B9F4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29</w:t>
            </w:r>
          </w:p>
        </w:tc>
        <w:tc>
          <w:tcPr>
            <w:tcW w:w="1916" w:type="dxa"/>
          </w:tcPr>
          <w:p w14:paraId="67B9610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23D12B2B" w14:textId="77777777" w:rsidTr="00821DE7">
        <w:trPr>
          <w:trHeight w:val="404"/>
        </w:trPr>
        <w:tc>
          <w:tcPr>
            <w:cnfStyle w:val="001000000000" w:firstRow="0" w:lastRow="0" w:firstColumn="1" w:lastColumn="0" w:oddVBand="0" w:evenVBand="0" w:oddHBand="0" w:evenHBand="0" w:firstRowFirstColumn="0" w:firstRowLastColumn="0" w:lastRowFirstColumn="0" w:lastRowLastColumn="0"/>
            <w:tcW w:w="4815" w:type="dxa"/>
          </w:tcPr>
          <w:p w14:paraId="46E49C55"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Obstetric haemorrhage</w:t>
            </w:r>
          </w:p>
        </w:tc>
        <w:tc>
          <w:tcPr>
            <w:tcW w:w="1701" w:type="dxa"/>
          </w:tcPr>
          <w:p w14:paraId="4B4E31B5"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21</w:t>
            </w:r>
          </w:p>
        </w:tc>
        <w:tc>
          <w:tcPr>
            <w:tcW w:w="1701" w:type="dxa"/>
          </w:tcPr>
          <w:p w14:paraId="11D5DBE0"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w:t>
            </w:r>
          </w:p>
        </w:tc>
        <w:tc>
          <w:tcPr>
            <w:tcW w:w="1916" w:type="dxa"/>
          </w:tcPr>
          <w:p w14:paraId="5460E22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322BF5C7" w14:textId="77777777" w:rsidTr="00821DE7">
        <w:trPr>
          <w:trHeight w:val="397"/>
        </w:trPr>
        <w:tc>
          <w:tcPr>
            <w:cnfStyle w:val="001000000000" w:firstRow="0" w:lastRow="0" w:firstColumn="1" w:lastColumn="0" w:oddVBand="0" w:evenVBand="0" w:oddHBand="0" w:evenHBand="0" w:firstRowFirstColumn="0" w:firstRowLastColumn="0" w:lastRowFirstColumn="0" w:lastRowLastColumn="0"/>
            <w:tcW w:w="4815" w:type="dxa"/>
          </w:tcPr>
          <w:p w14:paraId="2A71D628"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Pregnancy related infection</w:t>
            </w:r>
          </w:p>
        </w:tc>
        <w:tc>
          <w:tcPr>
            <w:tcW w:w="1701" w:type="dxa"/>
          </w:tcPr>
          <w:p w14:paraId="6C318595"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2</w:t>
            </w:r>
          </w:p>
        </w:tc>
        <w:tc>
          <w:tcPr>
            <w:tcW w:w="1701" w:type="dxa"/>
          </w:tcPr>
          <w:p w14:paraId="42DEA92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19</w:t>
            </w:r>
          </w:p>
        </w:tc>
        <w:tc>
          <w:tcPr>
            <w:tcW w:w="1916" w:type="dxa"/>
          </w:tcPr>
          <w:p w14:paraId="730C191A"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4A467A60"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Borders>
              <w:bottom w:val="single" w:sz="18" w:space="0" w:color="auto"/>
            </w:tcBorders>
          </w:tcPr>
          <w:p w14:paraId="5B80AC88"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Other obstetric complications</w:t>
            </w:r>
          </w:p>
        </w:tc>
        <w:tc>
          <w:tcPr>
            <w:tcW w:w="1701" w:type="dxa"/>
            <w:tcBorders>
              <w:bottom w:val="single" w:sz="18" w:space="0" w:color="auto"/>
            </w:tcBorders>
          </w:tcPr>
          <w:p w14:paraId="7267C40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144</w:t>
            </w:r>
          </w:p>
        </w:tc>
        <w:tc>
          <w:tcPr>
            <w:tcW w:w="1701" w:type="dxa"/>
            <w:tcBorders>
              <w:bottom w:val="single" w:sz="18" w:space="0" w:color="auto"/>
            </w:tcBorders>
          </w:tcPr>
          <w:p w14:paraId="11D9477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5</w:t>
            </w:r>
          </w:p>
        </w:tc>
        <w:tc>
          <w:tcPr>
            <w:tcW w:w="1916" w:type="dxa"/>
            <w:tcBorders>
              <w:bottom w:val="single" w:sz="18" w:space="0" w:color="auto"/>
            </w:tcBorders>
          </w:tcPr>
          <w:p w14:paraId="5796ABB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11</w:t>
            </w:r>
          </w:p>
        </w:tc>
      </w:tr>
      <w:tr w:rsidR="00975F5F" w:rsidRPr="00EE2302" w14:paraId="7AEB6AA0"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tcBorders>
          </w:tcPr>
          <w:p w14:paraId="0CD18820"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 xml:space="preserve">Labour / delivery / for </w:t>
            </w:r>
            <w:r>
              <w:rPr>
                <w:rFonts w:ascii="Times New Roman" w:hAnsi="Times New Roman" w:cs="Times New Roman"/>
                <w:b w:val="0"/>
                <w:sz w:val="22"/>
                <w:szCs w:val="22"/>
              </w:rPr>
              <w:t>CS</w:t>
            </w:r>
            <w:r w:rsidRPr="0094749A">
              <w:rPr>
                <w:rFonts w:ascii="Times New Roman" w:hAnsi="Times New Roman" w:cs="Times New Roman"/>
                <w:b w:val="0"/>
                <w:sz w:val="22"/>
                <w:szCs w:val="22"/>
              </w:rPr>
              <w:t xml:space="preserve"> </w:t>
            </w:r>
          </w:p>
        </w:tc>
        <w:tc>
          <w:tcPr>
            <w:tcW w:w="1701" w:type="dxa"/>
            <w:tcBorders>
              <w:top w:val="single" w:sz="18" w:space="0" w:color="auto"/>
            </w:tcBorders>
          </w:tcPr>
          <w:p w14:paraId="5D5FDF88"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11</w:t>
            </w:r>
          </w:p>
        </w:tc>
        <w:tc>
          <w:tcPr>
            <w:tcW w:w="1701" w:type="dxa"/>
            <w:tcBorders>
              <w:top w:val="single" w:sz="18" w:space="0" w:color="auto"/>
            </w:tcBorders>
          </w:tcPr>
          <w:p w14:paraId="420F4F2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c>
          <w:tcPr>
            <w:tcW w:w="1916" w:type="dxa"/>
            <w:tcBorders>
              <w:top w:val="single" w:sz="18" w:space="0" w:color="auto"/>
            </w:tcBorders>
          </w:tcPr>
          <w:p w14:paraId="605D6B54"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r>
      <w:tr w:rsidR="00975F5F" w:rsidRPr="00EE2302" w14:paraId="7A5502AC"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Pr>
          <w:p w14:paraId="346678A8"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Abdominal pain / contractions</w:t>
            </w:r>
          </w:p>
        </w:tc>
        <w:tc>
          <w:tcPr>
            <w:tcW w:w="1701" w:type="dxa"/>
          </w:tcPr>
          <w:p w14:paraId="5A2F9AAC"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52</w:t>
            </w:r>
          </w:p>
        </w:tc>
        <w:tc>
          <w:tcPr>
            <w:tcW w:w="1701" w:type="dxa"/>
          </w:tcPr>
          <w:p w14:paraId="6F4DA9EC"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4</w:t>
            </w:r>
          </w:p>
        </w:tc>
        <w:tc>
          <w:tcPr>
            <w:tcW w:w="1916" w:type="dxa"/>
          </w:tcPr>
          <w:p w14:paraId="117CC31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r>
      <w:tr w:rsidR="00975F5F" w:rsidRPr="00EE2302" w14:paraId="04A4D4E7"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Pr>
          <w:p w14:paraId="2A547EF7"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Preterm labour / for cervical suture</w:t>
            </w:r>
          </w:p>
        </w:tc>
        <w:tc>
          <w:tcPr>
            <w:tcW w:w="1701" w:type="dxa"/>
          </w:tcPr>
          <w:p w14:paraId="06979496"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21</w:t>
            </w:r>
          </w:p>
        </w:tc>
        <w:tc>
          <w:tcPr>
            <w:tcW w:w="1701" w:type="dxa"/>
          </w:tcPr>
          <w:p w14:paraId="002C0395"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c>
          <w:tcPr>
            <w:tcW w:w="1916" w:type="dxa"/>
          </w:tcPr>
          <w:p w14:paraId="33920A60"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r>
      <w:tr w:rsidR="00975F5F" w:rsidRPr="00EE2302" w14:paraId="013BD288"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Pr>
          <w:p w14:paraId="4288637B"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Rupture of membranes (preterm and term)</w:t>
            </w:r>
          </w:p>
        </w:tc>
        <w:tc>
          <w:tcPr>
            <w:tcW w:w="1701" w:type="dxa"/>
          </w:tcPr>
          <w:p w14:paraId="055D3D0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6</w:t>
            </w:r>
          </w:p>
        </w:tc>
        <w:tc>
          <w:tcPr>
            <w:tcW w:w="1701" w:type="dxa"/>
          </w:tcPr>
          <w:p w14:paraId="64FBED9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c>
          <w:tcPr>
            <w:tcW w:w="1916" w:type="dxa"/>
          </w:tcPr>
          <w:p w14:paraId="2FD7B4B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r>
      <w:tr w:rsidR="00975F5F" w:rsidRPr="00EE2302" w14:paraId="6B87456B"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Pr>
          <w:p w14:paraId="6F0851EB"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F</w:t>
            </w:r>
            <w:r>
              <w:rPr>
                <w:rFonts w:ascii="Times New Roman" w:hAnsi="Times New Roman" w:cs="Times New Roman"/>
                <w:b w:val="0"/>
                <w:sz w:val="22"/>
                <w:szCs w:val="22"/>
              </w:rPr>
              <w:t>o</w:t>
            </w:r>
            <w:r w:rsidRPr="0094749A">
              <w:rPr>
                <w:rFonts w:ascii="Times New Roman" w:hAnsi="Times New Roman" w:cs="Times New Roman"/>
                <w:b w:val="0"/>
                <w:sz w:val="22"/>
                <w:szCs w:val="22"/>
              </w:rPr>
              <w:t xml:space="preserve">etal / baby wellbeing concerns </w:t>
            </w:r>
          </w:p>
        </w:tc>
        <w:tc>
          <w:tcPr>
            <w:tcW w:w="1701" w:type="dxa"/>
          </w:tcPr>
          <w:p w14:paraId="2D3B8C26"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9</w:t>
            </w:r>
          </w:p>
        </w:tc>
        <w:tc>
          <w:tcPr>
            <w:tcW w:w="1701" w:type="dxa"/>
          </w:tcPr>
          <w:p w14:paraId="607C62D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c>
          <w:tcPr>
            <w:tcW w:w="1916" w:type="dxa"/>
          </w:tcPr>
          <w:p w14:paraId="1EE8FEE4"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3</w:t>
            </w:r>
          </w:p>
        </w:tc>
      </w:tr>
      <w:tr w:rsidR="00975F5F" w:rsidRPr="00EE2302" w14:paraId="23B55DDD"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Pr>
          <w:p w14:paraId="3F7F1CD9"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 xml:space="preserve">Back pain </w:t>
            </w:r>
          </w:p>
        </w:tc>
        <w:tc>
          <w:tcPr>
            <w:tcW w:w="1701" w:type="dxa"/>
          </w:tcPr>
          <w:p w14:paraId="0A8277C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8</w:t>
            </w:r>
          </w:p>
        </w:tc>
        <w:tc>
          <w:tcPr>
            <w:tcW w:w="1701" w:type="dxa"/>
          </w:tcPr>
          <w:p w14:paraId="4A3A5ABF"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1</w:t>
            </w:r>
          </w:p>
        </w:tc>
        <w:tc>
          <w:tcPr>
            <w:tcW w:w="1916" w:type="dxa"/>
          </w:tcPr>
          <w:p w14:paraId="3BB82D7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tc>
      </w:tr>
      <w:tr w:rsidR="00975F5F" w:rsidRPr="00EE2302" w14:paraId="1A0BB954" w14:textId="77777777" w:rsidTr="00821DE7">
        <w:trPr>
          <w:trHeight w:val="402"/>
        </w:trPr>
        <w:tc>
          <w:tcPr>
            <w:cnfStyle w:val="001000000000" w:firstRow="0" w:lastRow="0" w:firstColumn="1" w:lastColumn="0" w:oddVBand="0" w:evenVBand="0" w:oddHBand="0" w:evenHBand="0" w:firstRowFirstColumn="0" w:firstRowLastColumn="0" w:lastRowFirstColumn="0" w:lastRowLastColumn="0"/>
            <w:tcW w:w="4815" w:type="dxa"/>
            <w:tcBorders>
              <w:bottom w:val="single" w:sz="18" w:space="0" w:color="auto"/>
            </w:tcBorders>
          </w:tcPr>
          <w:p w14:paraId="7FDEB821" w14:textId="77777777" w:rsidR="00975F5F" w:rsidRPr="0094749A" w:rsidRDefault="00975F5F" w:rsidP="00372B2B">
            <w:pPr>
              <w:pStyle w:val="ListParagraph"/>
              <w:numPr>
                <w:ilvl w:val="0"/>
                <w:numId w:val="32"/>
              </w:numPr>
              <w:autoSpaceDE w:val="0"/>
              <w:autoSpaceDN w:val="0"/>
              <w:adjustRightInd w:val="0"/>
              <w:spacing w:after="0" w:line="240" w:lineRule="auto"/>
              <w:rPr>
                <w:rFonts w:ascii="Times New Roman" w:hAnsi="Times New Roman" w:cs="Times New Roman"/>
                <w:b w:val="0"/>
                <w:sz w:val="22"/>
                <w:szCs w:val="22"/>
              </w:rPr>
            </w:pPr>
            <w:r w:rsidRPr="0094749A">
              <w:rPr>
                <w:rFonts w:ascii="Times New Roman" w:hAnsi="Times New Roman" w:cs="Times New Roman"/>
                <w:b w:val="0"/>
                <w:sz w:val="22"/>
                <w:szCs w:val="22"/>
              </w:rPr>
              <w:t>Other</w:t>
            </w:r>
          </w:p>
        </w:tc>
        <w:tc>
          <w:tcPr>
            <w:tcW w:w="1701" w:type="dxa"/>
            <w:tcBorders>
              <w:bottom w:val="single" w:sz="18" w:space="0" w:color="auto"/>
            </w:tcBorders>
          </w:tcPr>
          <w:p w14:paraId="1E4AC9D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w:t>
            </w:r>
            <w:r w:rsidRPr="0094749A">
              <w:rPr>
                <w:rFonts w:ascii="Times New Roman" w:hAnsi="Times New Roman" w:cs="Times New Roman"/>
                <w:sz w:val="22"/>
                <w:szCs w:val="22"/>
              </w:rPr>
              <w:t>3</w:t>
            </w:r>
            <w:r>
              <w:rPr>
                <w:rFonts w:ascii="Times New Roman" w:hAnsi="Times New Roman" w:cs="Times New Roman"/>
                <w:sz w:val="22"/>
                <w:szCs w:val="22"/>
              </w:rPr>
              <w:t>7</w:t>
            </w:r>
          </w:p>
        </w:tc>
        <w:tc>
          <w:tcPr>
            <w:tcW w:w="1701" w:type="dxa"/>
            <w:tcBorders>
              <w:bottom w:val="single" w:sz="18" w:space="0" w:color="auto"/>
            </w:tcBorders>
          </w:tcPr>
          <w:p w14:paraId="362D2C45"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0</w:t>
            </w:r>
          </w:p>
        </w:tc>
        <w:tc>
          <w:tcPr>
            <w:tcW w:w="1916" w:type="dxa"/>
            <w:tcBorders>
              <w:bottom w:val="single" w:sz="18" w:space="0" w:color="auto"/>
            </w:tcBorders>
          </w:tcPr>
          <w:p w14:paraId="7E0828A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749A">
              <w:rPr>
                <w:rFonts w:ascii="Times New Roman" w:hAnsi="Times New Roman" w:cs="Times New Roman"/>
                <w:sz w:val="22"/>
                <w:szCs w:val="22"/>
              </w:rPr>
              <w:t>8</w:t>
            </w:r>
          </w:p>
        </w:tc>
      </w:tr>
      <w:tr w:rsidR="00975F5F" w:rsidRPr="0094749A" w14:paraId="72A5F977" w14:textId="77777777" w:rsidTr="00821DE7">
        <w:trPr>
          <w:trHeight w:val="362"/>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bottom w:val="single" w:sz="18" w:space="0" w:color="auto"/>
            </w:tcBorders>
          </w:tcPr>
          <w:p w14:paraId="4ED18356" w14:textId="77777777" w:rsidR="00975F5F" w:rsidRPr="0094749A" w:rsidRDefault="00975F5F" w:rsidP="00372B2B">
            <w:pPr>
              <w:autoSpaceDE w:val="0"/>
              <w:autoSpaceDN w:val="0"/>
              <w:adjustRightInd w:val="0"/>
              <w:spacing w:line="240" w:lineRule="auto"/>
            </w:pPr>
            <w:r w:rsidRPr="0094749A">
              <w:rPr>
                <w:rFonts w:ascii="Times New Roman" w:hAnsi="Times New Roman" w:cs="Times New Roman"/>
              </w:rPr>
              <w:t>Total number of admissions due to INDIRECT obstetric complications</w:t>
            </w:r>
          </w:p>
        </w:tc>
        <w:tc>
          <w:tcPr>
            <w:tcW w:w="1701" w:type="dxa"/>
            <w:tcBorders>
              <w:top w:val="single" w:sz="18" w:space="0" w:color="auto"/>
              <w:bottom w:val="single" w:sz="18" w:space="0" w:color="auto"/>
            </w:tcBorders>
          </w:tcPr>
          <w:p w14:paraId="56A8607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 xml:space="preserve">101 </w:t>
            </w:r>
          </w:p>
        </w:tc>
        <w:tc>
          <w:tcPr>
            <w:tcW w:w="1701" w:type="dxa"/>
            <w:tcBorders>
              <w:top w:val="single" w:sz="18" w:space="0" w:color="auto"/>
              <w:bottom w:val="single" w:sz="18" w:space="0" w:color="auto"/>
            </w:tcBorders>
          </w:tcPr>
          <w:p w14:paraId="1488C5F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 xml:space="preserve">20 </w:t>
            </w:r>
          </w:p>
        </w:tc>
        <w:tc>
          <w:tcPr>
            <w:tcW w:w="1916" w:type="dxa"/>
            <w:tcBorders>
              <w:top w:val="single" w:sz="18" w:space="0" w:color="auto"/>
              <w:bottom w:val="single" w:sz="18" w:space="0" w:color="auto"/>
            </w:tcBorders>
          </w:tcPr>
          <w:p w14:paraId="5E1F525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pPr>
            <w:r w:rsidRPr="0094749A">
              <w:rPr>
                <w:rFonts w:ascii="Times New Roman" w:hAnsi="Times New Roman" w:cs="Times New Roman"/>
              </w:rPr>
              <w:t>0</w:t>
            </w:r>
          </w:p>
        </w:tc>
      </w:tr>
      <w:tr w:rsidR="00975F5F" w:rsidRPr="0094749A" w14:paraId="6F067A45" w14:textId="77777777" w:rsidTr="00821DE7">
        <w:trPr>
          <w:trHeight w:val="362"/>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tcBorders>
          </w:tcPr>
          <w:p w14:paraId="646036BA"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Cardio-</w:t>
            </w:r>
            <w:proofErr w:type="spellStart"/>
            <w:r w:rsidRPr="00650A87">
              <w:rPr>
                <w:rFonts w:ascii="Times New Roman" w:hAnsi="Times New Roman" w:cs="Times New Roman"/>
                <w:b w:val="0"/>
              </w:rPr>
              <w:t>cerebro</w:t>
            </w:r>
            <w:proofErr w:type="spellEnd"/>
            <w:r w:rsidRPr="00650A87">
              <w:rPr>
                <w:rFonts w:ascii="Times New Roman" w:hAnsi="Times New Roman" w:cs="Times New Roman"/>
                <w:b w:val="0"/>
              </w:rPr>
              <w:t>-renovascular conditions</w:t>
            </w:r>
          </w:p>
        </w:tc>
        <w:tc>
          <w:tcPr>
            <w:tcW w:w="1701" w:type="dxa"/>
            <w:tcBorders>
              <w:top w:val="single" w:sz="18" w:space="0" w:color="auto"/>
            </w:tcBorders>
          </w:tcPr>
          <w:p w14:paraId="5A20580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10</w:t>
            </w:r>
          </w:p>
        </w:tc>
        <w:tc>
          <w:tcPr>
            <w:tcW w:w="1701" w:type="dxa"/>
            <w:tcBorders>
              <w:top w:val="single" w:sz="18" w:space="0" w:color="auto"/>
            </w:tcBorders>
          </w:tcPr>
          <w:p w14:paraId="25DD27C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13</w:t>
            </w:r>
          </w:p>
        </w:tc>
        <w:tc>
          <w:tcPr>
            <w:tcW w:w="1916" w:type="dxa"/>
            <w:tcBorders>
              <w:top w:val="single" w:sz="18" w:space="0" w:color="auto"/>
            </w:tcBorders>
          </w:tcPr>
          <w:p w14:paraId="304C027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46D6D40B" w14:textId="77777777" w:rsidTr="00821DE7">
        <w:trPr>
          <w:trHeight w:val="363"/>
        </w:trPr>
        <w:tc>
          <w:tcPr>
            <w:cnfStyle w:val="001000000000" w:firstRow="0" w:lastRow="0" w:firstColumn="1" w:lastColumn="0" w:oddVBand="0" w:evenVBand="0" w:oddHBand="0" w:evenHBand="0" w:firstRowFirstColumn="0" w:firstRowLastColumn="0" w:lastRowFirstColumn="0" w:lastRowLastColumn="0"/>
            <w:tcW w:w="4815" w:type="dxa"/>
          </w:tcPr>
          <w:p w14:paraId="668DA55F"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Haematological /immunological</w:t>
            </w:r>
          </w:p>
        </w:tc>
        <w:tc>
          <w:tcPr>
            <w:tcW w:w="1701" w:type="dxa"/>
          </w:tcPr>
          <w:p w14:paraId="630E148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10</w:t>
            </w:r>
          </w:p>
        </w:tc>
        <w:tc>
          <w:tcPr>
            <w:tcW w:w="1701" w:type="dxa"/>
          </w:tcPr>
          <w:p w14:paraId="2E36C29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5</w:t>
            </w:r>
          </w:p>
        </w:tc>
        <w:tc>
          <w:tcPr>
            <w:tcW w:w="1916" w:type="dxa"/>
          </w:tcPr>
          <w:p w14:paraId="05D4914C"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443C3050" w14:textId="77777777" w:rsidTr="00821DE7">
        <w:trPr>
          <w:trHeight w:val="438"/>
        </w:trPr>
        <w:tc>
          <w:tcPr>
            <w:cnfStyle w:val="001000000000" w:firstRow="0" w:lastRow="0" w:firstColumn="1" w:lastColumn="0" w:oddVBand="0" w:evenVBand="0" w:oddHBand="0" w:evenHBand="0" w:firstRowFirstColumn="0" w:firstRowLastColumn="0" w:lastRowFirstColumn="0" w:lastRowLastColumn="0"/>
            <w:tcW w:w="4815" w:type="dxa"/>
          </w:tcPr>
          <w:p w14:paraId="3A91961E"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Endocrine and metabolic</w:t>
            </w:r>
          </w:p>
        </w:tc>
        <w:tc>
          <w:tcPr>
            <w:tcW w:w="1701" w:type="dxa"/>
          </w:tcPr>
          <w:p w14:paraId="7E38DAD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19</w:t>
            </w:r>
          </w:p>
        </w:tc>
        <w:tc>
          <w:tcPr>
            <w:tcW w:w="1701" w:type="dxa"/>
          </w:tcPr>
          <w:p w14:paraId="6630FB38"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w:t>
            </w:r>
          </w:p>
        </w:tc>
        <w:tc>
          <w:tcPr>
            <w:tcW w:w="1916" w:type="dxa"/>
          </w:tcPr>
          <w:p w14:paraId="00227055"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7FF76F1F" w14:textId="77777777" w:rsidTr="00821DE7">
        <w:trPr>
          <w:trHeight w:val="312"/>
        </w:trPr>
        <w:tc>
          <w:tcPr>
            <w:cnfStyle w:val="001000000000" w:firstRow="0" w:lastRow="0" w:firstColumn="1" w:lastColumn="0" w:oddVBand="0" w:evenVBand="0" w:oddHBand="0" w:evenHBand="0" w:firstRowFirstColumn="0" w:firstRowLastColumn="0" w:lastRowFirstColumn="0" w:lastRowLastColumn="0"/>
            <w:tcW w:w="4815" w:type="dxa"/>
          </w:tcPr>
          <w:p w14:paraId="5416592F"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Other NCDs</w:t>
            </w:r>
          </w:p>
        </w:tc>
        <w:tc>
          <w:tcPr>
            <w:tcW w:w="1701" w:type="dxa"/>
          </w:tcPr>
          <w:p w14:paraId="78684C6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9</w:t>
            </w:r>
          </w:p>
        </w:tc>
        <w:tc>
          <w:tcPr>
            <w:tcW w:w="1701" w:type="dxa"/>
          </w:tcPr>
          <w:p w14:paraId="544897BC"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c>
          <w:tcPr>
            <w:tcW w:w="1916" w:type="dxa"/>
          </w:tcPr>
          <w:p w14:paraId="7FF1F2AA"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10D16916" w14:textId="77777777" w:rsidTr="00821DE7">
        <w:trPr>
          <w:trHeight w:val="356"/>
        </w:trPr>
        <w:tc>
          <w:tcPr>
            <w:cnfStyle w:val="001000000000" w:firstRow="0" w:lastRow="0" w:firstColumn="1" w:lastColumn="0" w:oddVBand="0" w:evenVBand="0" w:oddHBand="0" w:evenHBand="0" w:firstRowFirstColumn="0" w:firstRowLastColumn="0" w:lastRowFirstColumn="0" w:lastRowLastColumn="0"/>
            <w:tcW w:w="4815" w:type="dxa"/>
          </w:tcPr>
          <w:p w14:paraId="526EF2C5"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HIV disease</w:t>
            </w:r>
          </w:p>
        </w:tc>
        <w:tc>
          <w:tcPr>
            <w:tcW w:w="1701" w:type="dxa"/>
          </w:tcPr>
          <w:p w14:paraId="056448CF"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c>
          <w:tcPr>
            <w:tcW w:w="1701" w:type="dxa"/>
          </w:tcPr>
          <w:p w14:paraId="7349ED7C"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c>
          <w:tcPr>
            <w:tcW w:w="1916" w:type="dxa"/>
          </w:tcPr>
          <w:p w14:paraId="7628A867"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19577A99" w14:textId="77777777" w:rsidTr="00821DE7">
        <w:trPr>
          <w:trHeight w:val="452"/>
        </w:trPr>
        <w:tc>
          <w:tcPr>
            <w:cnfStyle w:val="001000000000" w:firstRow="0" w:lastRow="0" w:firstColumn="1" w:lastColumn="0" w:oddVBand="0" w:evenVBand="0" w:oddHBand="0" w:evenHBand="0" w:firstRowFirstColumn="0" w:firstRowLastColumn="0" w:lastRowFirstColumn="0" w:lastRowLastColumn="0"/>
            <w:tcW w:w="4815" w:type="dxa"/>
            <w:tcBorders>
              <w:bottom w:val="single" w:sz="18" w:space="0" w:color="auto"/>
            </w:tcBorders>
          </w:tcPr>
          <w:p w14:paraId="4CB93999" w14:textId="77777777" w:rsidR="00975F5F" w:rsidRPr="00650A87" w:rsidRDefault="00975F5F" w:rsidP="00372B2B">
            <w:pPr>
              <w:autoSpaceDE w:val="0"/>
              <w:autoSpaceDN w:val="0"/>
              <w:adjustRightInd w:val="0"/>
              <w:spacing w:line="240" w:lineRule="auto"/>
              <w:rPr>
                <w:rFonts w:ascii="Times New Roman" w:hAnsi="Times New Roman" w:cs="Times New Roman"/>
                <w:b w:val="0"/>
              </w:rPr>
            </w:pPr>
            <w:r w:rsidRPr="00650A87">
              <w:rPr>
                <w:rFonts w:ascii="Times New Roman" w:hAnsi="Times New Roman" w:cs="Times New Roman"/>
                <w:b w:val="0"/>
              </w:rPr>
              <w:t>Other non-obstetric infections</w:t>
            </w:r>
          </w:p>
        </w:tc>
        <w:tc>
          <w:tcPr>
            <w:tcW w:w="1701" w:type="dxa"/>
            <w:tcBorders>
              <w:bottom w:val="single" w:sz="18" w:space="0" w:color="auto"/>
            </w:tcBorders>
          </w:tcPr>
          <w:p w14:paraId="78E37CCB"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53</w:t>
            </w:r>
          </w:p>
        </w:tc>
        <w:tc>
          <w:tcPr>
            <w:tcW w:w="1701" w:type="dxa"/>
            <w:tcBorders>
              <w:bottom w:val="single" w:sz="18" w:space="0" w:color="auto"/>
            </w:tcBorders>
          </w:tcPr>
          <w:p w14:paraId="4A376C42"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1</w:t>
            </w:r>
          </w:p>
        </w:tc>
        <w:tc>
          <w:tcPr>
            <w:tcW w:w="1916" w:type="dxa"/>
            <w:tcBorders>
              <w:bottom w:val="single" w:sz="18" w:space="0" w:color="auto"/>
            </w:tcBorders>
          </w:tcPr>
          <w:p w14:paraId="4B410B33"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308861A4" w14:textId="77777777" w:rsidTr="00821DE7">
        <w:trPr>
          <w:trHeight w:val="388"/>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bottom w:val="single" w:sz="18" w:space="0" w:color="auto"/>
            </w:tcBorders>
          </w:tcPr>
          <w:p w14:paraId="4C06F59B" w14:textId="77777777" w:rsidR="00975F5F" w:rsidRPr="0094749A" w:rsidRDefault="00975F5F" w:rsidP="00372B2B">
            <w:pPr>
              <w:autoSpaceDE w:val="0"/>
              <w:autoSpaceDN w:val="0"/>
              <w:adjustRightInd w:val="0"/>
              <w:spacing w:line="240" w:lineRule="auto"/>
              <w:rPr>
                <w:rFonts w:ascii="Times New Roman" w:hAnsi="Times New Roman" w:cs="Times New Roman"/>
                <w:b w:val="0"/>
              </w:rPr>
            </w:pPr>
            <w:r w:rsidRPr="0094749A">
              <w:rPr>
                <w:rFonts w:ascii="Times New Roman" w:hAnsi="Times New Roman" w:cs="Times New Roman"/>
              </w:rPr>
              <w:t>INJURIES (intentional/ unintentional)</w:t>
            </w:r>
          </w:p>
        </w:tc>
        <w:tc>
          <w:tcPr>
            <w:tcW w:w="1701" w:type="dxa"/>
            <w:tcBorders>
              <w:top w:val="single" w:sz="18" w:space="0" w:color="auto"/>
              <w:bottom w:val="single" w:sz="18" w:space="0" w:color="auto"/>
            </w:tcBorders>
          </w:tcPr>
          <w:p w14:paraId="420913B9"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 xml:space="preserve">9 </w:t>
            </w:r>
          </w:p>
        </w:tc>
        <w:tc>
          <w:tcPr>
            <w:tcW w:w="1701" w:type="dxa"/>
            <w:tcBorders>
              <w:top w:val="single" w:sz="18" w:space="0" w:color="auto"/>
              <w:bottom w:val="single" w:sz="18" w:space="0" w:color="auto"/>
            </w:tcBorders>
          </w:tcPr>
          <w:p w14:paraId="714686EE"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3</w:t>
            </w:r>
          </w:p>
        </w:tc>
        <w:tc>
          <w:tcPr>
            <w:tcW w:w="1916" w:type="dxa"/>
            <w:tcBorders>
              <w:top w:val="single" w:sz="18" w:space="0" w:color="auto"/>
              <w:bottom w:val="single" w:sz="18" w:space="0" w:color="auto"/>
            </w:tcBorders>
          </w:tcPr>
          <w:p w14:paraId="39B359CA"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r w:rsidR="00975F5F" w:rsidRPr="0094749A" w14:paraId="43FD02DE" w14:textId="77777777" w:rsidTr="00821DE7">
        <w:trPr>
          <w:trHeight w:val="452"/>
        </w:trPr>
        <w:tc>
          <w:tcPr>
            <w:cnfStyle w:val="001000000000" w:firstRow="0" w:lastRow="0" w:firstColumn="1" w:lastColumn="0" w:oddVBand="0" w:evenVBand="0" w:oddHBand="0" w:evenHBand="0" w:firstRowFirstColumn="0" w:firstRowLastColumn="0" w:lastRowFirstColumn="0" w:lastRowLastColumn="0"/>
            <w:tcW w:w="4815" w:type="dxa"/>
            <w:tcBorders>
              <w:top w:val="single" w:sz="18" w:space="0" w:color="auto"/>
              <w:bottom w:val="single" w:sz="4" w:space="0" w:color="auto"/>
            </w:tcBorders>
          </w:tcPr>
          <w:p w14:paraId="7B16A073" w14:textId="77777777" w:rsidR="00975F5F" w:rsidRPr="0094749A" w:rsidRDefault="00975F5F" w:rsidP="00372B2B">
            <w:pPr>
              <w:autoSpaceDE w:val="0"/>
              <w:autoSpaceDN w:val="0"/>
              <w:adjustRightInd w:val="0"/>
              <w:spacing w:line="240" w:lineRule="auto"/>
              <w:rPr>
                <w:rFonts w:ascii="Times New Roman" w:hAnsi="Times New Roman" w:cs="Times New Roman"/>
                <w:b w:val="0"/>
              </w:rPr>
            </w:pPr>
            <w:r w:rsidRPr="0094749A">
              <w:rPr>
                <w:rFonts w:ascii="Times New Roman" w:hAnsi="Times New Roman" w:cs="Times New Roman"/>
              </w:rPr>
              <w:t xml:space="preserve">UNSPECIFIED CONDITIONS </w:t>
            </w:r>
          </w:p>
        </w:tc>
        <w:tc>
          <w:tcPr>
            <w:tcW w:w="1701" w:type="dxa"/>
            <w:tcBorders>
              <w:top w:val="single" w:sz="18" w:space="0" w:color="auto"/>
              <w:bottom w:val="single" w:sz="4" w:space="0" w:color="auto"/>
            </w:tcBorders>
          </w:tcPr>
          <w:p w14:paraId="2E164DBF"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701" w:type="dxa"/>
            <w:tcBorders>
              <w:top w:val="single" w:sz="18" w:space="0" w:color="auto"/>
              <w:bottom w:val="single" w:sz="4" w:space="0" w:color="auto"/>
            </w:tcBorders>
          </w:tcPr>
          <w:p w14:paraId="28B15681"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c>
          <w:tcPr>
            <w:tcW w:w="1916" w:type="dxa"/>
            <w:tcBorders>
              <w:top w:val="single" w:sz="18" w:space="0" w:color="auto"/>
              <w:bottom w:val="single" w:sz="4" w:space="0" w:color="auto"/>
            </w:tcBorders>
          </w:tcPr>
          <w:p w14:paraId="36505C98" w14:textId="77777777" w:rsidR="00975F5F" w:rsidRPr="0094749A" w:rsidRDefault="00975F5F" w:rsidP="00372B2B">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749A">
              <w:rPr>
                <w:rFonts w:ascii="Times New Roman" w:hAnsi="Times New Roman" w:cs="Times New Roman"/>
              </w:rPr>
              <w:t>0</w:t>
            </w:r>
          </w:p>
        </w:tc>
      </w:tr>
    </w:tbl>
    <w:p w14:paraId="110F731D" w14:textId="77777777" w:rsidR="00975F5F" w:rsidRDefault="00975F5F">
      <w:pPr>
        <w:spacing w:line="240" w:lineRule="auto"/>
        <w:rPr>
          <w:b/>
        </w:rPr>
        <w:sectPr w:rsidR="00975F5F" w:rsidSect="00975F5F">
          <w:pgSz w:w="11906" w:h="16838"/>
          <w:pgMar w:top="1440" w:right="1440" w:bottom="1440" w:left="1440" w:header="706" w:footer="706" w:gutter="0"/>
          <w:cols w:space="708"/>
          <w:docGrid w:linePitch="360"/>
        </w:sectPr>
      </w:pPr>
    </w:p>
    <w:p w14:paraId="51480140" w14:textId="372B2111" w:rsidR="005507E7" w:rsidRPr="0069225F" w:rsidRDefault="005507E7" w:rsidP="0069225F">
      <w:pPr>
        <w:spacing w:line="240" w:lineRule="auto"/>
        <w:rPr>
          <w:b/>
        </w:rPr>
      </w:pPr>
      <w:r w:rsidRPr="0069225F">
        <w:rPr>
          <w:b/>
        </w:rPr>
        <w:t xml:space="preserve">Table </w:t>
      </w:r>
      <w:r w:rsidR="00E36622">
        <w:rPr>
          <w:b/>
        </w:rPr>
        <w:t>3</w:t>
      </w:r>
      <w:r w:rsidRPr="0069225F">
        <w:rPr>
          <w:b/>
        </w:rPr>
        <w:t xml:space="preserve">: </w:t>
      </w:r>
      <w:r w:rsidRPr="0069225F">
        <w:t xml:space="preserve">Associations between socio-demographic characteristics, ill-health, hospital admission and chronic illness (n=1,311). </w:t>
      </w:r>
    </w:p>
    <w:tbl>
      <w:tblPr>
        <w:tblStyle w:val="TableGrid"/>
        <w:tblW w:w="14396" w:type="dxa"/>
        <w:tblLayout w:type="fixed"/>
        <w:tblLook w:val="04A0" w:firstRow="1" w:lastRow="0" w:firstColumn="1" w:lastColumn="0" w:noHBand="0" w:noVBand="1"/>
      </w:tblPr>
      <w:tblGrid>
        <w:gridCol w:w="1815"/>
        <w:gridCol w:w="877"/>
        <w:gridCol w:w="1067"/>
        <w:gridCol w:w="2127"/>
        <w:gridCol w:w="916"/>
        <w:gridCol w:w="1062"/>
        <w:gridCol w:w="2128"/>
        <w:gridCol w:w="1063"/>
        <w:gridCol w:w="1214"/>
        <w:gridCol w:w="2127"/>
      </w:tblGrid>
      <w:tr w:rsidR="00B12EA7" w:rsidRPr="0069225F" w14:paraId="48EB90A6" w14:textId="77777777" w:rsidTr="00AC0B67">
        <w:trPr>
          <w:trHeight w:val="373"/>
        </w:trPr>
        <w:tc>
          <w:tcPr>
            <w:tcW w:w="1816" w:type="dxa"/>
            <w:vMerge w:val="restart"/>
            <w:vAlign w:val="bottom"/>
          </w:tcPr>
          <w:p w14:paraId="5264E4DE" w14:textId="77777777" w:rsidR="005507E7" w:rsidRPr="0069225F" w:rsidRDefault="005507E7" w:rsidP="0069225F">
            <w:pPr>
              <w:spacing w:line="240" w:lineRule="auto"/>
              <w:jc w:val="both"/>
              <w:rPr>
                <w:rFonts w:ascii="Times New Roman" w:eastAsia="Times New Roman" w:hAnsi="Times New Roman" w:cs="Times New Roman"/>
                <w:b/>
                <w:bCs/>
                <w:sz w:val="22"/>
                <w:szCs w:val="22"/>
                <w:lang w:val="en-029" w:eastAsia="en-029"/>
              </w:rPr>
            </w:pPr>
          </w:p>
        </w:tc>
        <w:tc>
          <w:tcPr>
            <w:tcW w:w="4071" w:type="dxa"/>
            <w:gridSpan w:val="3"/>
            <w:vAlign w:val="center"/>
          </w:tcPr>
          <w:p w14:paraId="03ACF2B7"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Ill-health at any point</w:t>
            </w:r>
          </w:p>
        </w:tc>
        <w:tc>
          <w:tcPr>
            <w:tcW w:w="4105" w:type="dxa"/>
            <w:gridSpan w:val="3"/>
            <w:vAlign w:val="center"/>
          </w:tcPr>
          <w:p w14:paraId="1CE816B2"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Hospital admission at any point</w:t>
            </w:r>
          </w:p>
        </w:tc>
        <w:tc>
          <w:tcPr>
            <w:tcW w:w="4404" w:type="dxa"/>
            <w:gridSpan w:val="3"/>
            <w:vAlign w:val="center"/>
          </w:tcPr>
          <w:p w14:paraId="0EBB77B2" w14:textId="7F24C01C" w:rsidR="005507E7" w:rsidRPr="0069225F" w:rsidRDefault="00F73093" w:rsidP="006922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C</w:t>
            </w:r>
            <w:r w:rsidR="005507E7" w:rsidRPr="0069225F">
              <w:rPr>
                <w:rFonts w:ascii="Times New Roman" w:hAnsi="Times New Roman" w:cs="Times New Roman"/>
                <w:b/>
                <w:sz w:val="22"/>
                <w:szCs w:val="22"/>
              </w:rPr>
              <w:t xml:space="preserve">hronic illness reported after childbirth </w:t>
            </w:r>
          </w:p>
        </w:tc>
      </w:tr>
      <w:tr w:rsidR="00B12EA7" w:rsidRPr="0069225F" w14:paraId="3A363323" w14:textId="77777777" w:rsidTr="00AC0B67">
        <w:trPr>
          <w:trHeight w:val="277"/>
        </w:trPr>
        <w:tc>
          <w:tcPr>
            <w:tcW w:w="1816" w:type="dxa"/>
            <w:vMerge/>
            <w:vAlign w:val="bottom"/>
          </w:tcPr>
          <w:p w14:paraId="101917DC" w14:textId="77777777" w:rsidR="005507E7" w:rsidRPr="0069225F" w:rsidRDefault="005507E7" w:rsidP="0069225F">
            <w:pPr>
              <w:spacing w:line="240" w:lineRule="auto"/>
              <w:jc w:val="both"/>
              <w:rPr>
                <w:rFonts w:ascii="Times New Roman" w:eastAsia="Times New Roman" w:hAnsi="Times New Roman" w:cs="Times New Roman"/>
                <w:b/>
                <w:bCs/>
                <w:sz w:val="22"/>
                <w:szCs w:val="22"/>
                <w:lang w:val="en-029" w:eastAsia="en-029"/>
              </w:rPr>
            </w:pPr>
          </w:p>
        </w:tc>
        <w:tc>
          <w:tcPr>
            <w:tcW w:w="877" w:type="dxa"/>
            <w:vAlign w:val="center"/>
          </w:tcPr>
          <w:p w14:paraId="2DB50773"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w:t>
            </w:r>
          </w:p>
        </w:tc>
        <w:tc>
          <w:tcPr>
            <w:tcW w:w="1067" w:type="dxa"/>
            <w:vAlign w:val="center"/>
          </w:tcPr>
          <w:p w14:paraId="14EB86EB"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p-value</w:t>
            </w:r>
          </w:p>
        </w:tc>
        <w:tc>
          <w:tcPr>
            <w:tcW w:w="2126" w:type="dxa"/>
          </w:tcPr>
          <w:p w14:paraId="2AA3AB6E"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RR (95% CI)</w:t>
            </w:r>
          </w:p>
        </w:tc>
        <w:tc>
          <w:tcPr>
            <w:tcW w:w="916" w:type="dxa"/>
            <w:vAlign w:val="center"/>
          </w:tcPr>
          <w:p w14:paraId="63F46E6E"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w:t>
            </w:r>
          </w:p>
        </w:tc>
        <w:tc>
          <w:tcPr>
            <w:tcW w:w="1062" w:type="dxa"/>
            <w:vAlign w:val="center"/>
          </w:tcPr>
          <w:p w14:paraId="333D5923"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p-value</w:t>
            </w:r>
          </w:p>
        </w:tc>
        <w:tc>
          <w:tcPr>
            <w:tcW w:w="2126" w:type="dxa"/>
          </w:tcPr>
          <w:p w14:paraId="53917220"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RR (95% CI)</w:t>
            </w:r>
          </w:p>
        </w:tc>
        <w:tc>
          <w:tcPr>
            <w:tcW w:w="1063" w:type="dxa"/>
            <w:vAlign w:val="center"/>
          </w:tcPr>
          <w:p w14:paraId="0DD40A5F"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w:t>
            </w:r>
          </w:p>
        </w:tc>
        <w:tc>
          <w:tcPr>
            <w:tcW w:w="1214" w:type="dxa"/>
            <w:vAlign w:val="center"/>
          </w:tcPr>
          <w:p w14:paraId="1A9EA2B3"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p-value</w:t>
            </w:r>
          </w:p>
        </w:tc>
        <w:tc>
          <w:tcPr>
            <w:tcW w:w="2125" w:type="dxa"/>
          </w:tcPr>
          <w:p w14:paraId="52D46BBE"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color w:val="000000" w:themeColor="text1"/>
                <w:sz w:val="22"/>
                <w:szCs w:val="22"/>
              </w:rPr>
              <w:t>RR (95% CI)</w:t>
            </w:r>
          </w:p>
        </w:tc>
      </w:tr>
      <w:tr w:rsidR="00B12EA7" w:rsidRPr="0069225F" w14:paraId="7049258E" w14:textId="77777777" w:rsidTr="00AC0B67">
        <w:trPr>
          <w:trHeight w:val="273"/>
        </w:trPr>
        <w:tc>
          <w:tcPr>
            <w:tcW w:w="1816" w:type="dxa"/>
            <w:vAlign w:val="bottom"/>
          </w:tcPr>
          <w:p w14:paraId="4C549AC2"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All women</w:t>
            </w:r>
          </w:p>
        </w:tc>
        <w:tc>
          <w:tcPr>
            <w:tcW w:w="877" w:type="dxa"/>
            <w:vAlign w:val="center"/>
          </w:tcPr>
          <w:p w14:paraId="64C1E488"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27.7</w:t>
            </w:r>
          </w:p>
        </w:tc>
        <w:tc>
          <w:tcPr>
            <w:tcW w:w="1067" w:type="dxa"/>
            <w:vAlign w:val="center"/>
          </w:tcPr>
          <w:p w14:paraId="7D69305C"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p>
        </w:tc>
        <w:tc>
          <w:tcPr>
            <w:tcW w:w="2126" w:type="dxa"/>
          </w:tcPr>
          <w:p w14:paraId="47713C65"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p>
        </w:tc>
        <w:tc>
          <w:tcPr>
            <w:tcW w:w="916" w:type="dxa"/>
            <w:vAlign w:val="center"/>
          </w:tcPr>
          <w:p w14:paraId="5E26DC03"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31.0</w:t>
            </w:r>
          </w:p>
        </w:tc>
        <w:tc>
          <w:tcPr>
            <w:tcW w:w="1062" w:type="dxa"/>
            <w:vAlign w:val="center"/>
          </w:tcPr>
          <w:p w14:paraId="13D33975"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p>
        </w:tc>
        <w:tc>
          <w:tcPr>
            <w:tcW w:w="2126" w:type="dxa"/>
          </w:tcPr>
          <w:p w14:paraId="294FF33B"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p>
        </w:tc>
        <w:tc>
          <w:tcPr>
            <w:tcW w:w="1063" w:type="dxa"/>
            <w:vAlign w:val="center"/>
          </w:tcPr>
          <w:p w14:paraId="7B32DAF9" w14:textId="77777777" w:rsidR="005507E7" w:rsidRPr="0069225F" w:rsidRDefault="005507E7" w:rsidP="0069225F">
            <w:pPr>
              <w:spacing w:line="240" w:lineRule="auto"/>
              <w:jc w:val="center"/>
              <w:rPr>
                <w:rFonts w:ascii="Times New Roman" w:hAnsi="Times New Roman" w:cs="Times New Roman"/>
                <w:b/>
                <w:color w:val="000000" w:themeColor="text1"/>
                <w:sz w:val="22"/>
                <w:szCs w:val="22"/>
              </w:rPr>
            </w:pPr>
            <w:r w:rsidRPr="0069225F">
              <w:rPr>
                <w:rFonts w:ascii="Times New Roman" w:hAnsi="Times New Roman" w:cs="Times New Roman"/>
                <w:b/>
                <w:color w:val="000000" w:themeColor="text1"/>
                <w:sz w:val="22"/>
                <w:szCs w:val="22"/>
              </w:rPr>
              <w:t>33.7</w:t>
            </w:r>
          </w:p>
        </w:tc>
        <w:tc>
          <w:tcPr>
            <w:tcW w:w="1214" w:type="dxa"/>
          </w:tcPr>
          <w:p w14:paraId="690779AA"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5" w:type="dxa"/>
            <w:vAlign w:val="center"/>
          </w:tcPr>
          <w:p w14:paraId="5ED36EA9"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4E8F55AB" w14:textId="77777777" w:rsidTr="00AC0B67">
        <w:trPr>
          <w:gridAfter w:val="3"/>
          <w:wAfter w:w="4403" w:type="dxa"/>
          <w:trHeight w:val="239"/>
        </w:trPr>
        <w:tc>
          <w:tcPr>
            <w:tcW w:w="9993" w:type="dxa"/>
            <w:gridSpan w:val="7"/>
            <w:shd w:val="clear" w:color="auto" w:fill="auto"/>
            <w:vAlign w:val="bottom"/>
          </w:tcPr>
          <w:p w14:paraId="4132A276" w14:textId="77777777" w:rsidR="005507E7" w:rsidRPr="0069225F" w:rsidRDefault="005507E7" w:rsidP="0069225F">
            <w:pPr>
              <w:spacing w:line="240" w:lineRule="auto"/>
              <w:rPr>
                <w:rFonts w:ascii="Times New Roman" w:hAnsi="Times New Roman" w:cs="Times New Roman"/>
                <w:sz w:val="22"/>
                <w:szCs w:val="22"/>
              </w:rPr>
            </w:pPr>
            <w:r w:rsidRPr="0069225F">
              <w:rPr>
                <w:rFonts w:ascii="Times New Roman" w:eastAsia="Times New Roman" w:hAnsi="Times New Roman" w:cs="Times New Roman"/>
                <w:b/>
                <w:bCs/>
                <w:sz w:val="22"/>
                <w:szCs w:val="22"/>
                <w:lang w:val="en-029" w:eastAsia="en-029"/>
              </w:rPr>
              <w:t>Age (years)</w:t>
            </w:r>
          </w:p>
        </w:tc>
      </w:tr>
      <w:tr w:rsidR="00B12EA7" w:rsidRPr="0069225F" w14:paraId="3823D76A" w14:textId="77777777" w:rsidTr="00AC0B67">
        <w:trPr>
          <w:trHeight w:val="228"/>
        </w:trPr>
        <w:tc>
          <w:tcPr>
            <w:tcW w:w="1816" w:type="dxa"/>
            <w:vAlign w:val="bottom"/>
          </w:tcPr>
          <w:p w14:paraId="6BD661ED"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 xml:space="preserve">Overall </w:t>
            </w:r>
          </w:p>
        </w:tc>
        <w:tc>
          <w:tcPr>
            <w:tcW w:w="877" w:type="dxa"/>
            <w:vAlign w:val="bottom"/>
          </w:tcPr>
          <w:p w14:paraId="1A77B504" w14:textId="77777777" w:rsidR="005507E7" w:rsidRPr="0069225F" w:rsidRDefault="005507E7" w:rsidP="0069225F">
            <w:pPr>
              <w:spacing w:line="240" w:lineRule="auto"/>
              <w:jc w:val="center"/>
              <w:rPr>
                <w:rFonts w:ascii="Times New Roman" w:hAnsi="Times New Roman" w:cs="Times New Roman"/>
                <w:sz w:val="22"/>
                <w:szCs w:val="22"/>
              </w:rPr>
            </w:pPr>
          </w:p>
        </w:tc>
        <w:tc>
          <w:tcPr>
            <w:tcW w:w="1067" w:type="dxa"/>
          </w:tcPr>
          <w:p w14:paraId="7D680DED"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0.72</w:t>
            </w:r>
          </w:p>
        </w:tc>
        <w:tc>
          <w:tcPr>
            <w:tcW w:w="2126" w:type="dxa"/>
          </w:tcPr>
          <w:p w14:paraId="1BEB3523"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296232E4" w14:textId="77777777" w:rsidR="005507E7" w:rsidRPr="0069225F" w:rsidRDefault="005507E7" w:rsidP="0069225F">
            <w:pPr>
              <w:spacing w:line="240" w:lineRule="auto"/>
              <w:jc w:val="center"/>
              <w:rPr>
                <w:rFonts w:ascii="Times New Roman" w:hAnsi="Times New Roman" w:cs="Times New Roman"/>
                <w:sz w:val="22"/>
                <w:szCs w:val="22"/>
              </w:rPr>
            </w:pPr>
          </w:p>
        </w:tc>
        <w:tc>
          <w:tcPr>
            <w:tcW w:w="1062" w:type="dxa"/>
          </w:tcPr>
          <w:p w14:paraId="374730FE"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0.76</w:t>
            </w:r>
          </w:p>
        </w:tc>
        <w:tc>
          <w:tcPr>
            <w:tcW w:w="2126" w:type="dxa"/>
          </w:tcPr>
          <w:p w14:paraId="412F43C9"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4D4842BF" w14:textId="77777777" w:rsidR="005507E7" w:rsidRPr="0069225F" w:rsidRDefault="005507E7" w:rsidP="0069225F">
            <w:pPr>
              <w:spacing w:line="240" w:lineRule="auto"/>
              <w:jc w:val="center"/>
              <w:rPr>
                <w:rFonts w:ascii="Times New Roman" w:hAnsi="Times New Roman" w:cs="Times New Roman"/>
                <w:sz w:val="22"/>
                <w:szCs w:val="22"/>
              </w:rPr>
            </w:pPr>
          </w:p>
        </w:tc>
        <w:tc>
          <w:tcPr>
            <w:tcW w:w="1214" w:type="dxa"/>
          </w:tcPr>
          <w:p w14:paraId="68357339"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&lt;0.001</w:t>
            </w:r>
          </w:p>
        </w:tc>
        <w:tc>
          <w:tcPr>
            <w:tcW w:w="2125" w:type="dxa"/>
          </w:tcPr>
          <w:p w14:paraId="659249BD"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0A93565" w14:textId="77777777" w:rsidTr="00AC0B67">
        <w:trPr>
          <w:trHeight w:val="228"/>
        </w:trPr>
        <w:tc>
          <w:tcPr>
            <w:tcW w:w="1816" w:type="dxa"/>
            <w:vAlign w:val="bottom"/>
          </w:tcPr>
          <w:p w14:paraId="520BCBBB"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&lt;20</w:t>
            </w:r>
          </w:p>
        </w:tc>
        <w:tc>
          <w:tcPr>
            <w:tcW w:w="877" w:type="dxa"/>
            <w:vAlign w:val="bottom"/>
          </w:tcPr>
          <w:p w14:paraId="2993B70D"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27.9</w:t>
            </w:r>
          </w:p>
        </w:tc>
        <w:tc>
          <w:tcPr>
            <w:tcW w:w="1067" w:type="dxa"/>
          </w:tcPr>
          <w:p w14:paraId="22E239B4"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5BCC68E9"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4BE1872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32.1</w:t>
            </w:r>
          </w:p>
        </w:tc>
        <w:tc>
          <w:tcPr>
            <w:tcW w:w="1062" w:type="dxa"/>
          </w:tcPr>
          <w:p w14:paraId="260B2BE7"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15A00800"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375F9BA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26.7</w:t>
            </w:r>
          </w:p>
        </w:tc>
        <w:tc>
          <w:tcPr>
            <w:tcW w:w="1214" w:type="dxa"/>
          </w:tcPr>
          <w:p w14:paraId="69E228BB"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5" w:type="dxa"/>
          </w:tcPr>
          <w:p w14:paraId="24418572"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3546CD9C" w14:textId="77777777" w:rsidTr="00AC0B67">
        <w:trPr>
          <w:trHeight w:val="239"/>
        </w:trPr>
        <w:tc>
          <w:tcPr>
            <w:tcW w:w="1816" w:type="dxa"/>
            <w:vAlign w:val="bottom"/>
          </w:tcPr>
          <w:p w14:paraId="76720209"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20-29</w:t>
            </w:r>
          </w:p>
        </w:tc>
        <w:tc>
          <w:tcPr>
            <w:tcW w:w="877" w:type="dxa"/>
            <w:vAlign w:val="bottom"/>
          </w:tcPr>
          <w:p w14:paraId="0EC502C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27.8</w:t>
            </w:r>
          </w:p>
        </w:tc>
        <w:tc>
          <w:tcPr>
            <w:tcW w:w="1067" w:type="dxa"/>
            <w:vAlign w:val="bottom"/>
          </w:tcPr>
          <w:p w14:paraId="3707E302"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449C9A5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1.00 (0.78-1.27)</w:t>
            </w:r>
          </w:p>
        </w:tc>
        <w:tc>
          <w:tcPr>
            <w:tcW w:w="916" w:type="dxa"/>
            <w:vAlign w:val="bottom"/>
          </w:tcPr>
          <w:p w14:paraId="46D9FAE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30.1</w:t>
            </w:r>
          </w:p>
        </w:tc>
        <w:tc>
          <w:tcPr>
            <w:tcW w:w="1062" w:type="dxa"/>
            <w:vAlign w:val="bottom"/>
          </w:tcPr>
          <w:p w14:paraId="337B876D"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25071EB7"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0.94 (0.75-1.17)</w:t>
            </w:r>
          </w:p>
        </w:tc>
        <w:tc>
          <w:tcPr>
            <w:tcW w:w="1063" w:type="dxa"/>
            <w:vAlign w:val="bottom"/>
          </w:tcPr>
          <w:p w14:paraId="1D321C3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31.4</w:t>
            </w:r>
          </w:p>
        </w:tc>
        <w:tc>
          <w:tcPr>
            <w:tcW w:w="1214" w:type="dxa"/>
          </w:tcPr>
          <w:p w14:paraId="26711345"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center"/>
          </w:tcPr>
          <w:p w14:paraId="5AFCF4C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1.18 (0.92-1.50)</w:t>
            </w:r>
          </w:p>
        </w:tc>
      </w:tr>
      <w:tr w:rsidR="00B12EA7" w:rsidRPr="0069225F" w14:paraId="480EF7A8" w14:textId="77777777" w:rsidTr="00AC0B67">
        <w:trPr>
          <w:trHeight w:val="228"/>
        </w:trPr>
        <w:tc>
          <w:tcPr>
            <w:tcW w:w="1816" w:type="dxa"/>
            <w:vAlign w:val="bottom"/>
          </w:tcPr>
          <w:p w14:paraId="784A9B4E"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30-39</w:t>
            </w:r>
          </w:p>
        </w:tc>
        <w:tc>
          <w:tcPr>
            <w:tcW w:w="877" w:type="dxa"/>
            <w:vAlign w:val="bottom"/>
          </w:tcPr>
          <w:p w14:paraId="6135040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28.3</w:t>
            </w:r>
          </w:p>
        </w:tc>
        <w:tc>
          <w:tcPr>
            <w:tcW w:w="1067" w:type="dxa"/>
            <w:vAlign w:val="bottom"/>
          </w:tcPr>
          <w:p w14:paraId="49E89B1F"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7B93C38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1.01 (0.77–1.33)</w:t>
            </w:r>
          </w:p>
        </w:tc>
        <w:tc>
          <w:tcPr>
            <w:tcW w:w="916" w:type="dxa"/>
            <w:vAlign w:val="bottom"/>
          </w:tcPr>
          <w:p w14:paraId="6EC13F5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31.5</w:t>
            </w:r>
          </w:p>
        </w:tc>
        <w:tc>
          <w:tcPr>
            <w:tcW w:w="1062" w:type="dxa"/>
            <w:vAlign w:val="bottom"/>
          </w:tcPr>
          <w:p w14:paraId="06A83EC8"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7F7D457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0.98 (0.76-1.26)</w:t>
            </w:r>
          </w:p>
        </w:tc>
        <w:tc>
          <w:tcPr>
            <w:tcW w:w="1063" w:type="dxa"/>
            <w:vAlign w:val="bottom"/>
          </w:tcPr>
          <w:p w14:paraId="03DEB2A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40.4</w:t>
            </w:r>
          </w:p>
        </w:tc>
        <w:tc>
          <w:tcPr>
            <w:tcW w:w="1214" w:type="dxa"/>
          </w:tcPr>
          <w:p w14:paraId="1178BB5D"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center"/>
          </w:tcPr>
          <w:p w14:paraId="5FB89A9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1.51 (1.18-1.94)</w:t>
            </w:r>
          </w:p>
        </w:tc>
      </w:tr>
      <w:tr w:rsidR="00B12EA7" w:rsidRPr="0069225F" w14:paraId="76D70747" w14:textId="77777777" w:rsidTr="00AC0B67">
        <w:trPr>
          <w:trHeight w:val="228"/>
        </w:trPr>
        <w:tc>
          <w:tcPr>
            <w:tcW w:w="1816" w:type="dxa"/>
            <w:vAlign w:val="bottom"/>
          </w:tcPr>
          <w:p w14:paraId="013FC459"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40-49</w:t>
            </w:r>
          </w:p>
        </w:tc>
        <w:tc>
          <w:tcPr>
            <w:tcW w:w="877" w:type="dxa"/>
            <w:vAlign w:val="bottom"/>
          </w:tcPr>
          <w:p w14:paraId="065C356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20.0</w:t>
            </w:r>
          </w:p>
        </w:tc>
        <w:tc>
          <w:tcPr>
            <w:tcW w:w="1067" w:type="dxa"/>
            <w:vAlign w:val="bottom"/>
          </w:tcPr>
          <w:p w14:paraId="1A7A0E5C"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57859F2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0.72 (0.37-1.38)</w:t>
            </w:r>
          </w:p>
        </w:tc>
        <w:tc>
          <w:tcPr>
            <w:tcW w:w="916" w:type="dxa"/>
            <w:vAlign w:val="bottom"/>
          </w:tcPr>
          <w:p w14:paraId="3C37201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37.8</w:t>
            </w:r>
          </w:p>
        </w:tc>
        <w:tc>
          <w:tcPr>
            <w:tcW w:w="1062" w:type="dxa"/>
            <w:vAlign w:val="bottom"/>
          </w:tcPr>
          <w:p w14:paraId="29D719FA"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3C0C5CD2"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1.18 (0.75-1.85)</w:t>
            </w:r>
          </w:p>
        </w:tc>
        <w:tc>
          <w:tcPr>
            <w:tcW w:w="1063" w:type="dxa"/>
            <w:vAlign w:val="bottom"/>
          </w:tcPr>
          <w:p w14:paraId="4151A55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53.7</w:t>
            </w:r>
          </w:p>
        </w:tc>
        <w:tc>
          <w:tcPr>
            <w:tcW w:w="1214" w:type="dxa"/>
          </w:tcPr>
          <w:p w14:paraId="74405477"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center"/>
          </w:tcPr>
          <w:p w14:paraId="62F547F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2.01 (1.41-2.86)</w:t>
            </w:r>
          </w:p>
        </w:tc>
      </w:tr>
      <w:tr w:rsidR="00B12EA7" w:rsidRPr="0069225F" w14:paraId="396B8775" w14:textId="77777777" w:rsidTr="00AC0B67">
        <w:trPr>
          <w:gridAfter w:val="3"/>
          <w:wAfter w:w="4403" w:type="dxa"/>
          <w:trHeight w:val="228"/>
        </w:trPr>
        <w:tc>
          <w:tcPr>
            <w:tcW w:w="9993" w:type="dxa"/>
            <w:gridSpan w:val="7"/>
            <w:vAlign w:val="bottom"/>
          </w:tcPr>
          <w:p w14:paraId="323F173F" w14:textId="77777777" w:rsidR="005507E7" w:rsidRPr="0069225F" w:rsidRDefault="005507E7" w:rsidP="0069225F">
            <w:pPr>
              <w:spacing w:line="240" w:lineRule="auto"/>
              <w:rPr>
                <w:rFonts w:ascii="Times New Roman" w:hAnsi="Times New Roman" w:cs="Times New Roman"/>
                <w:b/>
                <w:sz w:val="22"/>
                <w:szCs w:val="22"/>
              </w:rPr>
            </w:pPr>
            <w:r w:rsidRPr="0069225F">
              <w:rPr>
                <w:rFonts w:ascii="Times New Roman" w:eastAsia="Times New Roman" w:hAnsi="Times New Roman" w:cs="Times New Roman"/>
                <w:b/>
                <w:bCs/>
                <w:sz w:val="22"/>
                <w:szCs w:val="22"/>
                <w:lang w:val="en-029" w:eastAsia="en-029"/>
              </w:rPr>
              <w:t>Number of all previous pregnancies</w:t>
            </w:r>
          </w:p>
        </w:tc>
      </w:tr>
      <w:tr w:rsidR="00B12EA7" w:rsidRPr="0069225F" w14:paraId="72BA5311" w14:textId="77777777" w:rsidTr="00AC0B67">
        <w:trPr>
          <w:trHeight w:val="228"/>
        </w:trPr>
        <w:tc>
          <w:tcPr>
            <w:tcW w:w="1816" w:type="dxa"/>
            <w:vAlign w:val="bottom"/>
          </w:tcPr>
          <w:p w14:paraId="6D38567D"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 xml:space="preserve">Overall </w:t>
            </w:r>
          </w:p>
        </w:tc>
        <w:tc>
          <w:tcPr>
            <w:tcW w:w="877" w:type="dxa"/>
            <w:vAlign w:val="bottom"/>
          </w:tcPr>
          <w:p w14:paraId="255AE216" w14:textId="77777777" w:rsidR="005507E7" w:rsidRPr="0069225F" w:rsidRDefault="005507E7" w:rsidP="0069225F">
            <w:pPr>
              <w:spacing w:line="240" w:lineRule="auto"/>
              <w:jc w:val="center"/>
              <w:rPr>
                <w:rFonts w:ascii="Times New Roman" w:hAnsi="Times New Roman" w:cs="Times New Roman"/>
                <w:sz w:val="22"/>
                <w:szCs w:val="22"/>
              </w:rPr>
            </w:pPr>
          </w:p>
        </w:tc>
        <w:tc>
          <w:tcPr>
            <w:tcW w:w="1067" w:type="dxa"/>
          </w:tcPr>
          <w:p w14:paraId="2AA0366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0.17</w:t>
            </w:r>
          </w:p>
        </w:tc>
        <w:tc>
          <w:tcPr>
            <w:tcW w:w="2126" w:type="dxa"/>
          </w:tcPr>
          <w:p w14:paraId="5F537058"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1F09CDE4" w14:textId="77777777" w:rsidR="005507E7" w:rsidRPr="0069225F" w:rsidRDefault="005507E7" w:rsidP="0069225F">
            <w:pPr>
              <w:spacing w:line="240" w:lineRule="auto"/>
              <w:jc w:val="center"/>
              <w:rPr>
                <w:rFonts w:ascii="Times New Roman" w:hAnsi="Times New Roman" w:cs="Times New Roman"/>
                <w:sz w:val="22"/>
                <w:szCs w:val="22"/>
              </w:rPr>
            </w:pPr>
          </w:p>
        </w:tc>
        <w:tc>
          <w:tcPr>
            <w:tcW w:w="1062" w:type="dxa"/>
          </w:tcPr>
          <w:p w14:paraId="562C693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0.43</w:t>
            </w:r>
          </w:p>
        </w:tc>
        <w:tc>
          <w:tcPr>
            <w:tcW w:w="2126" w:type="dxa"/>
          </w:tcPr>
          <w:p w14:paraId="00CD1E1A"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58088AFC" w14:textId="77777777" w:rsidR="005507E7" w:rsidRPr="0069225F" w:rsidRDefault="005507E7" w:rsidP="0069225F">
            <w:pPr>
              <w:spacing w:line="240" w:lineRule="auto"/>
              <w:jc w:val="center"/>
              <w:rPr>
                <w:rFonts w:ascii="Times New Roman" w:hAnsi="Times New Roman" w:cs="Times New Roman"/>
                <w:sz w:val="22"/>
                <w:szCs w:val="22"/>
              </w:rPr>
            </w:pPr>
          </w:p>
        </w:tc>
        <w:tc>
          <w:tcPr>
            <w:tcW w:w="1214" w:type="dxa"/>
          </w:tcPr>
          <w:p w14:paraId="5AC8C096"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0.008</w:t>
            </w:r>
          </w:p>
        </w:tc>
        <w:tc>
          <w:tcPr>
            <w:tcW w:w="2125" w:type="dxa"/>
          </w:tcPr>
          <w:p w14:paraId="62911408"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A77B5CE" w14:textId="77777777" w:rsidTr="00AC0B67">
        <w:trPr>
          <w:trHeight w:val="228"/>
        </w:trPr>
        <w:tc>
          <w:tcPr>
            <w:tcW w:w="1816" w:type="dxa"/>
            <w:vAlign w:val="bottom"/>
          </w:tcPr>
          <w:p w14:paraId="71119D0C" w14:textId="77777777" w:rsidR="005507E7" w:rsidRPr="0069225F" w:rsidRDefault="005507E7" w:rsidP="0069225F">
            <w:pPr>
              <w:spacing w:line="240" w:lineRule="auto"/>
              <w:jc w:val="both"/>
              <w:rPr>
                <w:rFonts w:ascii="Times New Roman" w:hAnsi="Times New Roman" w:cs="Times New Roman"/>
                <w:sz w:val="22"/>
                <w:szCs w:val="22"/>
              </w:rPr>
            </w:pPr>
            <w:r w:rsidRPr="0069225F">
              <w:rPr>
                <w:rFonts w:ascii="Times New Roman" w:eastAsia="Times New Roman" w:hAnsi="Times New Roman" w:cs="Times New Roman"/>
                <w:bCs/>
                <w:sz w:val="22"/>
                <w:szCs w:val="22"/>
                <w:lang w:val="en-029" w:eastAsia="en-029"/>
              </w:rPr>
              <w:t>None</w:t>
            </w:r>
          </w:p>
        </w:tc>
        <w:tc>
          <w:tcPr>
            <w:tcW w:w="877" w:type="dxa"/>
            <w:vAlign w:val="bottom"/>
          </w:tcPr>
          <w:p w14:paraId="4BC2C88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25.5</w:t>
            </w:r>
          </w:p>
        </w:tc>
        <w:tc>
          <w:tcPr>
            <w:tcW w:w="1067" w:type="dxa"/>
          </w:tcPr>
          <w:p w14:paraId="0A939D91"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5C1071D5"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7DEBCE0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30.4</w:t>
            </w:r>
          </w:p>
        </w:tc>
        <w:tc>
          <w:tcPr>
            <w:tcW w:w="1062" w:type="dxa"/>
          </w:tcPr>
          <w:p w14:paraId="5A4B8742"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1E90C91E"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33804B1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28.2</w:t>
            </w:r>
          </w:p>
        </w:tc>
        <w:tc>
          <w:tcPr>
            <w:tcW w:w="1214" w:type="dxa"/>
          </w:tcPr>
          <w:p w14:paraId="5BCD2D88"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5" w:type="dxa"/>
          </w:tcPr>
          <w:p w14:paraId="6958B07E"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EEF153C" w14:textId="77777777" w:rsidTr="00AC0B67">
        <w:trPr>
          <w:trHeight w:val="239"/>
        </w:trPr>
        <w:tc>
          <w:tcPr>
            <w:tcW w:w="1816" w:type="dxa"/>
            <w:vAlign w:val="bottom"/>
          </w:tcPr>
          <w:p w14:paraId="2D86661F" w14:textId="77777777" w:rsidR="005507E7" w:rsidRPr="0069225F" w:rsidRDefault="005507E7" w:rsidP="0069225F">
            <w:pPr>
              <w:spacing w:line="240" w:lineRule="auto"/>
              <w:jc w:val="both"/>
              <w:rPr>
                <w:rFonts w:ascii="Times New Roman" w:hAnsi="Times New Roman" w:cs="Times New Roman"/>
                <w:sz w:val="22"/>
                <w:szCs w:val="22"/>
              </w:rPr>
            </w:pPr>
            <w:r w:rsidRPr="0069225F">
              <w:rPr>
                <w:rFonts w:ascii="Times New Roman" w:eastAsia="Times New Roman" w:hAnsi="Times New Roman" w:cs="Times New Roman"/>
                <w:bCs/>
                <w:sz w:val="22"/>
                <w:szCs w:val="22"/>
                <w:lang w:val="en-029" w:eastAsia="en-029"/>
              </w:rPr>
              <w:t xml:space="preserve">One to Four </w:t>
            </w:r>
          </w:p>
        </w:tc>
        <w:tc>
          <w:tcPr>
            <w:tcW w:w="877" w:type="dxa"/>
            <w:vAlign w:val="bottom"/>
          </w:tcPr>
          <w:p w14:paraId="18087547"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28.1</w:t>
            </w:r>
          </w:p>
        </w:tc>
        <w:tc>
          <w:tcPr>
            <w:tcW w:w="1067" w:type="dxa"/>
            <w:vAlign w:val="bottom"/>
          </w:tcPr>
          <w:p w14:paraId="1787D93F"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51A5FF0E"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1.10 (0.90-1.34)</w:t>
            </w:r>
          </w:p>
        </w:tc>
        <w:tc>
          <w:tcPr>
            <w:tcW w:w="916" w:type="dxa"/>
            <w:vAlign w:val="bottom"/>
          </w:tcPr>
          <w:p w14:paraId="6836ACA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30.0</w:t>
            </w:r>
          </w:p>
        </w:tc>
        <w:tc>
          <w:tcPr>
            <w:tcW w:w="1062" w:type="dxa"/>
            <w:vAlign w:val="bottom"/>
          </w:tcPr>
          <w:p w14:paraId="14896F96"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778A91D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0.99 (0.82-1.19)</w:t>
            </w:r>
          </w:p>
        </w:tc>
        <w:tc>
          <w:tcPr>
            <w:tcW w:w="1063" w:type="dxa"/>
            <w:vAlign w:val="bottom"/>
          </w:tcPr>
          <w:p w14:paraId="1A093EA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35.8</w:t>
            </w:r>
          </w:p>
        </w:tc>
        <w:tc>
          <w:tcPr>
            <w:tcW w:w="1214" w:type="dxa"/>
          </w:tcPr>
          <w:p w14:paraId="6FB5F910"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3320DDF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1.27 (1.06-1.51)</w:t>
            </w:r>
          </w:p>
        </w:tc>
      </w:tr>
      <w:tr w:rsidR="00B12EA7" w:rsidRPr="0069225F" w14:paraId="20D1570F" w14:textId="77777777" w:rsidTr="00AC0B67">
        <w:trPr>
          <w:trHeight w:val="258"/>
        </w:trPr>
        <w:tc>
          <w:tcPr>
            <w:tcW w:w="1816" w:type="dxa"/>
            <w:vAlign w:val="bottom"/>
          </w:tcPr>
          <w:p w14:paraId="050E587F" w14:textId="77777777" w:rsidR="005507E7" w:rsidRPr="0069225F" w:rsidRDefault="005507E7" w:rsidP="0069225F">
            <w:pPr>
              <w:spacing w:line="240" w:lineRule="auto"/>
              <w:jc w:val="both"/>
              <w:rPr>
                <w:rFonts w:ascii="Times New Roman" w:hAnsi="Times New Roman" w:cs="Times New Roman"/>
                <w:sz w:val="22"/>
                <w:szCs w:val="22"/>
              </w:rPr>
            </w:pPr>
            <w:r w:rsidRPr="0069225F">
              <w:rPr>
                <w:rFonts w:ascii="Times New Roman" w:eastAsia="Times New Roman" w:hAnsi="Times New Roman" w:cs="Times New Roman"/>
                <w:bCs/>
                <w:sz w:val="22"/>
                <w:szCs w:val="22"/>
                <w:lang w:val="en-029" w:eastAsia="en-029"/>
              </w:rPr>
              <w:t xml:space="preserve">Five or greater </w:t>
            </w:r>
          </w:p>
        </w:tc>
        <w:tc>
          <w:tcPr>
            <w:tcW w:w="877" w:type="dxa"/>
            <w:vAlign w:val="bottom"/>
          </w:tcPr>
          <w:p w14:paraId="1265AE5F"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36.4</w:t>
            </w:r>
          </w:p>
        </w:tc>
        <w:tc>
          <w:tcPr>
            <w:tcW w:w="1067" w:type="dxa"/>
            <w:vAlign w:val="bottom"/>
          </w:tcPr>
          <w:p w14:paraId="61DF28C2"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492B87CC"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1.42 (1.00-2.04)</w:t>
            </w:r>
          </w:p>
        </w:tc>
        <w:tc>
          <w:tcPr>
            <w:tcW w:w="916" w:type="dxa"/>
            <w:vAlign w:val="bottom"/>
          </w:tcPr>
          <w:p w14:paraId="2605777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37.7</w:t>
            </w:r>
          </w:p>
        </w:tc>
        <w:tc>
          <w:tcPr>
            <w:tcW w:w="1062" w:type="dxa"/>
            <w:vAlign w:val="bottom"/>
          </w:tcPr>
          <w:p w14:paraId="3AC5390B"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3B2A3DE7"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1.24 (0.89-1.73)</w:t>
            </w:r>
          </w:p>
        </w:tc>
        <w:tc>
          <w:tcPr>
            <w:tcW w:w="1063" w:type="dxa"/>
            <w:vAlign w:val="bottom"/>
          </w:tcPr>
          <w:p w14:paraId="5E9597C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42.0</w:t>
            </w:r>
          </w:p>
        </w:tc>
        <w:tc>
          <w:tcPr>
            <w:tcW w:w="1214" w:type="dxa"/>
          </w:tcPr>
          <w:p w14:paraId="2BEC13AB"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1ABB5C5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1.49 (1.09-2.04)</w:t>
            </w:r>
          </w:p>
        </w:tc>
      </w:tr>
      <w:tr w:rsidR="00B12EA7" w:rsidRPr="0069225F" w14:paraId="65DCE3D5" w14:textId="77777777" w:rsidTr="00AC0B67">
        <w:trPr>
          <w:gridAfter w:val="3"/>
          <w:wAfter w:w="4403" w:type="dxa"/>
          <w:trHeight w:val="228"/>
        </w:trPr>
        <w:tc>
          <w:tcPr>
            <w:tcW w:w="9993" w:type="dxa"/>
            <w:gridSpan w:val="7"/>
            <w:vAlign w:val="bottom"/>
          </w:tcPr>
          <w:p w14:paraId="1A05A6CE" w14:textId="77777777" w:rsidR="005507E7" w:rsidRPr="0069225F" w:rsidRDefault="005507E7" w:rsidP="0069225F">
            <w:pPr>
              <w:spacing w:line="240" w:lineRule="auto"/>
              <w:rPr>
                <w:rFonts w:ascii="Times New Roman" w:hAnsi="Times New Roman" w:cs="Times New Roman"/>
                <w:b/>
                <w:sz w:val="22"/>
                <w:szCs w:val="22"/>
              </w:rPr>
            </w:pPr>
            <w:r w:rsidRPr="0069225F">
              <w:rPr>
                <w:rFonts w:ascii="Times New Roman" w:eastAsia="Times New Roman" w:hAnsi="Times New Roman" w:cs="Times New Roman"/>
                <w:b/>
                <w:bCs/>
                <w:sz w:val="22"/>
                <w:szCs w:val="22"/>
                <w:lang w:val="en-029" w:eastAsia="en-029"/>
              </w:rPr>
              <w:t>Educational Level</w:t>
            </w:r>
          </w:p>
        </w:tc>
      </w:tr>
      <w:tr w:rsidR="00B12EA7" w:rsidRPr="0069225F" w14:paraId="36A23AAA" w14:textId="77777777" w:rsidTr="00AC0B67">
        <w:trPr>
          <w:trHeight w:val="228"/>
        </w:trPr>
        <w:tc>
          <w:tcPr>
            <w:tcW w:w="1816" w:type="dxa"/>
            <w:vAlign w:val="bottom"/>
          </w:tcPr>
          <w:p w14:paraId="661D48A7"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 xml:space="preserve">Overall </w:t>
            </w:r>
          </w:p>
        </w:tc>
        <w:tc>
          <w:tcPr>
            <w:tcW w:w="877" w:type="dxa"/>
            <w:vAlign w:val="bottom"/>
          </w:tcPr>
          <w:p w14:paraId="0C792C8D" w14:textId="77777777" w:rsidR="005507E7" w:rsidRPr="0069225F" w:rsidRDefault="005507E7" w:rsidP="0069225F">
            <w:pPr>
              <w:spacing w:line="240" w:lineRule="auto"/>
              <w:jc w:val="center"/>
              <w:rPr>
                <w:rFonts w:ascii="Times New Roman" w:hAnsi="Times New Roman" w:cs="Times New Roman"/>
                <w:sz w:val="22"/>
                <w:szCs w:val="22"/>
              </w:rPr>
            </w:pPr>
          </w:p>
        </w:tc>
        <w:tc>
          <w:tcPr>
            <w:tcW w:w="1067" w:type="dxa"/>
          </w:tcPr>
          <w:p w14:paraId="1FAED6B2"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0.006</w:t>
            </w:r>
          </w:p>
        </w:tc>
        <w:tc>
          <w:tcPr>
            <w:tcW w:w="2126" w:type="dxa"/>
          </w:tcPr>
          <w:p w14:paraId="116F2A5B"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70B8A7AB" w14:textId="77777777" w:rsidR="005507E7" w:rsidRPr="0069225F" w:rsidRDefault="005507E7" w:rsidP="0069225F">
            <w:pPr>
              <w:spacing w:line="240" w:lineRule="auto"/>
              <w:jc w:val="center"/>
              <w:rPr>
                <w:rFonts w:ascii="Times New Roman" w:hAnsi="Times New Roman" w:cs="Times New Roman"/>
                <w:sz w:val="22"/>
                <w:szCs w:val="22"/>
              </w:rPr>
            </w:pPr>
          </w:p>
        </w:tc>
        <w:tc>
          <w:tcPr>
            <w:tcW w:w="1062" w:type="dxa"/>
          </w:tcPr>
          <w:p w14:paraId="7705375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0.90</w:t>
            </w:r>
          </w:p>
        </w:tc>
        <w:tc>
          <w:tcPr>
            <w:tcW w:w="2126" w:type="dxa"/>
          </w:tcPr>
          <w:p w14:paraId="1E28035B"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00158750" w14:textId="77777777" w:rsidR="005507E7" w:rsidRPr="0069225F" w:rsidRDefault="005507E7" w:rsidP="0069225F">
            <w:pPr>
              <w:spacing w:line="240" w:lineRule="auto"/>
              <w:jc w:val="center"/>
              <w:rPr>
                <w:rFonts w:ascii="Times New Roman" w:hAnsi="Times New Roman" w:cs="Times New Roman"/>
                <w:sz w:val="22"/>
                <w:szCs w:val="22"/>
              </w:rPr>
            </w:pPr>
          </w:p>
        </w:tc>
        <w:tc>
          <w:tcPr>
            <w:tcW w:w="1214" w:type="dxa"/>
          </w:tcPr>
          <w:p w14:paraId="54F4C5F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0.58</w:t>
            </w:r>
          </w:p>
        </w:tc>
        <w:tc>
          <w:tcPr>
            <w:tcW w:w="2125" w:type="dxa"/>
          </w:tcPr>
          <w:p w14:paraId="4D5AFCD4"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679CAC39" w14:textId="77777777" w:rsidTr="00AC0B67">
        <w:trPr>
          <w:trHeight w:val="228"/>
        </w:trPr>
        <w:tc>
          <w:tcPr>
            <w:tcW w:w="1816" w:type="dxa"/>
            <w:vAlign w:val="bottom"/>
          </w:tcPr>
          <w:p w14:paraId="08B169F2" w14:textId="77777777" w:rsidR="005507E7" w:rsidRPr="0069225F" w:rsidRDefault="005507E7" w:rsidP="0069225F">
            <w:pPr>
              <w:spacing w:line="240" w:lineRule="auto"/>
              <w:jc w:val="both"/>
              <w:rPr>
                <w:rFonts w:ascii="Times New Roman" w:hAnsi="Times New Roman" w:cs="Times New Roman"/>
                <w:sz w:val="22"/>
                <w:szCs w:val="22"/>
              </w:rPr>
            </w:pPr>
            <w:r w:rsidRPr="0069225F">
              <w:rPr>
                <w:rFonts w:ascii="Times New Roman" w:eastAsia="Times New Roman" w:hAnsi="Times New Roman" w:cs="Times New Roman"/>
                <w:sz w:val="22"/>
                <w:szCs w:val="22"/>
                <w:lang w:val="en-029" w:eastAsia="en-029"/>
              </w:rPr>
              <w:t xml:space="preserve">Primary </w:t>
            </w:r>
          </w:p>
        </w:tc>
        <w:tc>
          <w:tcPr>
            <w:tcW w:w="877" w:type="dxa"/>
            <w:vAlign w:val="bottom"/>
          </w:tcPr>
          <w:p w14:paraId="193A28C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35.8</w:t>
            </w:r>
          </w:p>
        </w:tc>
        <w:tc>
          <w:tcPr>
            <w:tcW w:w="1067" w:type="dxa"/>
          </w:tcPr>
          <w:p w14:paraId="673A44A9"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6" w:type="dxa"/>
          </w:tcPr>
          <w:p w14:paraId="4168EB59"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71199B02"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32.6</w:t>
            </w:r>
          </w:p>
        </w:tc>
        <w:tc>
          <w:tcPr>
            <w:tcW w:w="1062" w:type="dxa"/>
          </w:tcPr>
          <w:p w14:paraId="7E5C8838"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3EE2CD25"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1DE4E79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35.2</w:t>
            </w:r>
          </w:p>
        </w:tc>
        <w:tc>
          <w:tcPr>
            <w:tcW w:w="1214" w:type="dxa"/>
          </w:tcPr>
          <w:p w14:paraId="7194B1CA"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tcPr>
          <w:p w14:paraId="707585D8" w14:textId="77777777" w:rsidR="005507E7" w:rsidRPr="0069225F" w:rsidRDefault="005507E7" w:rsidP="0069225F">
            <w:pPr>
              <w:spacing w:line="240" w:lineRule="auto"/>
              <w:jc w:val="center"/>
              <w:rPr>
                <w:rFonts w:ascii="Times New Roman" w:hAnsi="Times New Roman" w:cs="Times New Roman"/>
                <w:sz w:val="22"/>
                <w:szCs w:val="22"/>
              </w:rPr>
            </w:pPr>
          </w:p>
        </w:tc>
      </w:tr>
      <w:tr w:rsidR="00B12EA7" w:rsidRPr="0069225F" w14:paraId="34367D6E" w14:textId="77777777" w:rsidTr="00AC0B67">
        <w:trPr>
          <w:trHeight w:val="239"/>
        </w:trPr>
        <w:tc>
          <w:tcPr>
            <w:tcW w:w="1816" w:type="dxa"/>
            <w:vAlign w:val="bottom"/>
          </w:tcPr>
          <w:p w14:paraId="0087F12F" w14:textId="77777777" w:rsidR="005507E7" w:rsidRPr="0069225F" w:rsidRDefault="005507E7" w:rsidP="0069225F">
            <w:pPr>
              <w:spacing w:line="240" w:lineRule="auto"/>
              <w:jc w:val="both"/>
              <w:rPr>
                <w:rFonts w:ascii="Times New Roman" w:hAnsi="Times New Roman" w:cs="Times New Roman"/>
                <w:sz w:val="22"/>
                <w:szCs w:val="22"/>
              </w:rPr>
            </w:pPr>
            <w:r w:rsidRPr="0069225F">
              <w:rPr>
                <w:rFonts w:ascii="Times New Roman" w:eastAsia="Times New Roman" w:hAnsi="Times New Roman" w:cs="Times New Roman"/>
                <w:sz w:val="22"/>
                <w:szCs w:val="22"/>
                <w:lang w:val="en-029" w:eastAsia="en-029"/>
              </w:rPr>
              <w:t xml:space="preserve">Secondary </w:t>
            </w:r>
          </w:p>
        </w:tc>
        <w:tc>
          <w:tcPr>
            <w:tcW w:w="877" w:type="dxa"/>
            <w:vAlign w:val="bottom"/>
          </w:tcPr>
          <w:p w14:paraId="7A3C4FD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27.4</w:t>
            </w:r>
          </w:p>
        </w:tc>
        <w:tc>
          <w:tcPr>
            <w:tcW w:w="1067" w:type="dxa"/>
            <w:vAlign w:val="bottom"/>
          </w:tcPr>
          <w:p w14:paraId="76CF0A85"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7FD396F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0.76 (0.62-0.94)</w:t>
            </w:r>
          </w:p>
        </w:tc>
        <w:tc>
          <w:tcPr>
            <w:tcW w:w="916" w:type="dxa"/>
            <w:vAlign w:val="bottom"/>
          </w:tcPr>
          <w:p w14:paraId="735344F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31.6</w:t>
            </w:r>
          </w:p>
        </w:tc>
        <w:tc>
          <w:tcPr>
            <w:tcW w:w="1062" w:type="dxa"/>
            <w:vAlign w:val="bottom"/>
          </w:tcPr>
          <w:p w14:paraId="5C88A8D7"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01C2317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0.97 (0.78-1.20)</w:t>
            </w:r>
          </w:p>
        </w:tc>
        <w:tc>
          <w:tcPr>
            <w:tcW w:w="1063" w:type="dxa"/>
            <w:vAlign w:val="bottom"/>
          </w:tcPr>
          <w:p w14:paraId="11F0C1F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34.0</w:t>
            </w:r>
          </w:p>
        </w:tc>
        <w:tc>
          <w:tcPr>
            <w:tcW w:w="1214" w:type="dxa"/>
          </w:tcPr>
          <w:p w14:paraId="5C4E778D"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494D440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0.97 (0.79-1.18)</w:t>
            </w:r>
          </w:p>
        </w:tc>
      </w:tr>
      <w:tr w:rsidR="00B12EA7" w:rsidRPr="0069225F" w14:paraId="06F987F2" w14:textId="77777777" w:rsidTr="00AC0B67">
        <w:trPr>
          <w:trHeight w:val="228"/>
        </w:trPr>
        <w:tc>
          <w:tcPr>
            <w:tcW w:w="1816" w:type="dxa"/>
            <w:vAlign w:val="bottom"/>
          </w:tcPr>
          <w:p w14:paraId="2976BF1A"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 xml:space="preserve">Vocational </w:t>
            </w:r>
          </w:p>
        </w:tc>
        <w:tc>
          <w:tcPr>
            <w:tcW w:w="877" w:type="dxa"/>
            <w:vAlign w:val="bottom"/>
          </w:tcPr>
          <w:p w14:paraId="4B8E0FA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21.1</w:t>
            </w:r>
          </w:p>
        </w:tc>
        <w:tc>
          <w:tcPr>
            <w:tcW w:w="1067" w:type="dxa"/>
            <w:vAlign w:val="bottom"/>
          </w:tcPr>
          <w:p w14:paraId="23FA5C65"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56B75E6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0.59 (0.38-0.91)</w:t>
            </w:r>
          </w:p>
        </w:tc>
        <w:tc>
          <w:tcPr>
            <w:tcW w:w="916" w:type="dxa"/>
            <w:vAlign w:val="bottom"/>
          </w:tcPr>
          <w:p w14:paraId="53ADEC8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31.5</w:t>
            </w:r>
          </w:p>
        </w:tc>
        <w:tc>
          <w:tcPr>
            <w:tcW w:w="1062" w:type="dxa"/>
            <w:vAlign w:val="bottom"/>
          </w:tcPr>
          <w:p w14:paraId="5258306A"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1C463AE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0.97 (0.67-1.38)</w:t>
            </w:r>
          </w:p>
        </w:tc>
        <w:tc>
          <w:tcPr>
            <w:tcW w:w="1063" w:type="dxa"/>
            <w:vAlign w:val="bottom"/>
          </w:tcPr>
          <w:p w14:paraId="4D4DCAE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34.4</w:t>
            </w:r>
          </w:p>
        </w:tc>
        <w:tc>
          <w:tcPr>
            <w:tcW w:w="1214" w:type="dxa"/>
          </w:tcPr>
          <w:p w14:paraId="3C6E528B"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6F6168AC"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0.98 (0.70-1.37)</w:t>
            </w:r>
          </w:p>
        </w:tc>
      </w:tr>
      <w:tr w:rsidR="00B12EA7" w:rsidRPr="0069225F" w14:paraId="0457C1AD" w14:textId="77777777" w:rsidTr="00AC0B67">
        <w:trPr>
          <w:trHeight w:val="228"/>
        </w:trPr>
        <w:tc>
          <w:tcPr>
            <w:tcW w:w="1816" w:type="dxa"/>
            <w:vAlign w:val="bottom"/>
          </w:tcPr>
          <w:p w14:paraId="2DE11353"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Tertiary</w:t>
            </w:r>
          </w:p>
        </w:tc>
        <w:tc>
          <w:tcPr>
            <w:tcW w:w="877" w:type="dxa"/>
            <w:vAlign w:val="bottom"/>
          </w:tcPr>
          <w:p w14:paraId="2EAF2AC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22.1</w:t>
            </w:r>
          </w:p>
        </w:tc>
        <w:tc>
          <w:tcPr>
            <w:tcW w:w="1067" w:type="dxa"/>
            <w:vAlign w:val="bottom"/>
          </w:tcPr>
          <w:p w14:paraId="1108BCAF"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173B3562"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0.62 (0.42-0.84)</w:t>
            </w:r>
          </w:p>
        </w:tc>
        <w:tc>
          <w:tcPr>
            <w:tcW w:w="916" w:type="dxa"/>
            <w:vAlign w:val="bottom"/>
          </w:tcPr>
          <w:p w14:paraId="557B9FB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29.3</w:t>
            </w:r>
          </w:p>
        </w:tc>
        <w:tc>
          <w:tcPr>
            <w:tcW w:w="1062" w:type="dxa"/>
            <w:vAlign w:val="bottom"/>
          </w:tcPr>
          <w:p w14:paraId="02ABAC71"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0F0326EC"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0.90 (0.68-1.20)</w:t>
            </w:r>
          </w:p>
        </w:tc>
        <w:tc>
          <w:tcPr>
            <w:tcW w:w="1063" w:type="dxa"/>
            <w:vAlign w:val="bottom"/>
          </w:tcPr>
          <w:p w14:paraId="06F8E43D"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29.4</w:t>
            </w:r>
          </w:p>
        </w:tc>
        <w:tc>
          <w:tcPr>
            <w:tcW w:w="1214" w:type="dxa"/>
          </w:tcPr>
          <w:p w14:paraId="15589AA1"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0330DB3F"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0.84 (0.64-1.10)</w:t>
            </w:r>
          </w:p>
        </w:tc>
      </w:tr>
      <w:tr w:rsidR="00B12EA7" w:rsidRPr="0069225F" w14:paraId="68082200" w14:textId="77777777" w:rsidTr="00AC0B67">
        <w:trPr>
          <w:gridAfter w:val="3"/>
          <w:wAfter w:w="4403" w:type="dxa"/>
          <w:trHeight w:val="228"/>
        </w:trPr>
        <w:tc>
          <w:tcPr>
            <w:tcW w:w="9993" w:type="dxa"/>
            <w:gridSpan w:val="7"/>
            <w:vAlign w:val="bottom"/>
          </w:tcPr>
          <w:p w14:paraId="35ADCFC2" w14:textId="77777777" w:rsidR="005507E7" w:rsidRPr="0069225F" w:rsidRDefault="005507E7" w:rsidP="0069225F">
            <w:pPr>
              <w:spacing w:line="240" w:lineRule="auto"/>
              <w:rPr>
                <w:rFonts w:ascii="Times New Roman" w:hAnsi="Times New Roman" w:cs="Times New Roman"/>
                <w:b/>
                <w:sz w:val="22"/>
                <w:szCs w:val="22"/>
              </w:rPr>
            </w:pPr>
            <w:r w:rsidRPr="0069225F">
              <w:rPr>
                <w:rFonts w:ascii="Times New Roman" w:eastAsia="Times New Roman" w:hAnsi="Times New Roman" w:cs="Times New Roman"/>
                <w:b/>
                <w:bCs/>
                <w:sz w:val="22"/>
                <w:szCs w:val="22"/>
                <w:lang w:val="en-029" w:eastAsia="en-029"/>
              </w:rPr>
              <w:t>Socioeconomic Status</w:t>
            </w:r>
          </w:p>
        </w:tc>
      </w:tr>
      <w:tr w:rsidR="00B12EA7" w:rsidRPr="0069225F" w14:paraId="3230C8F0" w14:textId="77777777" w:rsidTr="00AC0B67">
        <w:trPr>
          <w:trHeight w:val="228"/>
        </w:trPr>
        <w:tc>
          <w:tcPr>
            <w:tcW w:w="1816" w:type="dxa"/>
            <w:vAlign w:val="bottom"/>
          </w:tcPr>
          <w:p w14:paraId="1B0D576F"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 xml:space="preserve">Overall </w:t>
            </w:r>
          </w:p>
        </w:tc>
        <w:tc>
          <w:tcPr>
            <w:tcW w:w="877" w:type="dxa"/>
            <w:vAlign w:val="bottom"/>
          </w:tcPr>
          <w:p w14:paraId="69DFF358" w14:textId="77777777" w:rsidR="005507E7" w:rsidRPr="0069225F" w:rsidRDefault="005507E7" w:rsidP="0069225F">
            <w:pPr>
              <w:spacing w:line="240" w:lineRule="auto"/>
              <w:jc w:val="center"/>
              <w:rPr>
                <w:rFonts w:ascii="Times New Roman" w:hAnsi="Times New Roman" w:cs="Times New Roman"/>
                <w:sz w:val="22"/>
                <w:szCs w:val="22"/>
              </w:rPr>
            </w:pPr>
          </w:p>
        </w:tc>
        <w:tc>
          <w:tcPr>
            <w:tcW w:w="1067" w:type="dxa"/>
          </w:tcPr>
          <w:p w14:paraId="4F8775BF"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0.71</w:t>
            </w:r>
          </w:p>
        </w:tc>
        <w:tc>
          <w:tcPr>
            <w:tcW w:w="2126" w:type="dxa"/>
          </w:tcPr>
          <w:p w14:paraId="1ABD071E"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60C6BE7F" w14:textId="77777777" w:rsidR="005507E7" w:rsidRPr="0069225F" w:rsidRDefault="005507E7" w:rsidP="0069225F">
            <w:pPr>
              <w:spacing w:line="240" w:lineRule="auto"/>
              <w:jc w:val="center"/>
              <w:rPr>
                <w:rFonts w:ascii="Times New Roman" w:hAnsi="Times New Roman" w:cs="Times New Roman"/>
                <w:sz w:val="22"/>
                <w:szCs w:val="22"/>
              </w:rPr>
            </w:pPr>
          </w:p>
        </w:tc>
        <w:tc>
          <w:tcPr>
            <w:tcW w:w="1062" w:type="dxa"/>
          </w:tcPr>
          <w:p w14:paraId="4386FB9B"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0.03</w:t>
            </w:r>
          </w:p>
        </w:tc>
        <w:tc>
          <w:tcPr>
            <w:tcW w:w="2126" w:type="dxa"/>
          </w:tcPr>
          <w:p w14:paraId="2C6F519C"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459AA184" w14:textId="77777777" w:rsidR="005507E7" w:rsidRPr="0069225F" w:rsidRDefault="005507E7" w:rsidP="0069225F">
            <w:pPr>
              <w:spacing w:line="240" w:lineRule="auto"/>
              <w:jc w:val="center"/>
              <w:rPr>
                <w:rFonts w:ascii="Times New Roman" w:hAnsi="Times New Roman" w:cs="Times New Roman"/>
                <w:sz w:val="22"/>
                <w:szCs w:val="22"/>
              </w:rPr>
            </w:pPr>
          </w:p>
        </w:tc>
        <w:tc>
          <w:tcPr>
            <w:tcW w:w="1214" w:type="dxa"/>
          </w:tcPr>
          <w:p w14:paraId="5833289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0.87</w:t>
            </w:r>
          </w:p>
        </w:tc>
        <w:tc>
          <w:tcPr>
            <w:tcW w:w="2125" w:type="dxa"/>
          </w:tcPr>
          <w:p w14:paraId="3DA9B27A"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43767A3" w14:textId="77777777" w:rsidTr="00AC0B67">
        <w:trPr>
          <w:trHeight w:val="239"/>
        </w:trPr>
        <w:tc>
          <w:tcPr>
            <w:tcW w:w="1816" w:type="dxa"/>
            <w:vAlign w:val="bottom"/>
          </w:tcPr>
          <w:p w14:paraId="14997821" w14:textId="77777777" w:rsidR="005507E7" w:rsidRPr="0069225F" w:rsidRDefault="005507E7" w:rsidP="0069225F">
            <w:pPr>
              <w:spacing w:line="240" w:lineRule="auto"/>
              <w:jc w:val="both"/>
              <w:rPr>
                <w:rFonts w:ascii="Times New Roman" w:eastAsia="Times New Roman" w:hAnsi="Times New Roman" w:cs="Times New Roman"/>
                <w:b/>
                <w:bCs/>
                <w:sz w:val="22"/>
                <w:szCs w:val="22"/>
                <w:lang w:val="en-029" w:eastAsia="en-029"/>
              </w:rPr>
            </w:pPr>
            <w:r w:rsidRPr="0069225F">
              <w:rPr>
                <w:rFonts w:ascii="Times New Roman" w:eastAsia="Times New Roman" w:hAnsi="Times New Roman" w:cs="Times New Roman"/>
                <w:sz w:val="22"/>
                <w:szCs w:val="22"/>
                <w:lang w:val="en-029" w:eastAsia="en-029"/>
              </w:rPr>
              <w:t>Low</w:t>
            </w:r>
          </w:p>
        </w:tc>
        <w:tc>
          <w:tcPr>
            <w:tcW w:w="877" w:type="dxa"/>
            <w:vAlign w:val="bottom"/>
          </w:tcPr>
          <w:p w14:paraId="5EA254C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28.6</w:t>
            </w:r>
          </w:p>
        </w:tc>
        <w:tc>
          <w:tcPr>
            <w:tcW w:w="1067" w:type="dxa"/>
          </w:tcPr>
          <w:p w14:paraId="149AC7AF"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10EB4E4F"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2E27D5FC"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28.7</w:t>
            </w:r>
          </w:p>
        </w:tc>
        <w:tc>
          <w:tcPr>
            <w:tcW w:w="1062" w:type="dxa"/>
          </w:tcPr>
          <w:p w14:paraId="4949019C"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6" w:type="dxa"/>
          </w:tcPr>
          <w:p w14:paraId="10CF8814"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04A428E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34.2</w:t>
            </w:r>
          </w:p>
        </w:tc>
        <w:tc>
          <w:tcPr>
            <w:tcW w:w="1214" w:type="dxa"/>
          </w:tcPr>
          <w:p w14:paraId="28C20441"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tcPr>
          <w:p w14:paraId="3629FF64" w14:textId="77777777" w:rsidR="005507E7" w:rsidRPr="0069225F" w:rsidRDefault="005507E7" w:rsidP="0069225F">
            <w:pPr>
              <w:spacing w:line="240" w:lineRule="auto"/>
              <w:jc w:val="center"/>
              <w:rPr>
                <w:rFonts w:ascii="Times New Roman" w:hAnsi="Times New Roman" w:cs="Times New Roman"/>
                <w:sz w:val="22"/>
                <w:szCs w:val="22"/>
              </w:rPr>
            </w:pPr>
          </w:p>
        </w:tc>
      </w:tr>
      <w:tr w:rsidR="00B12EA7" w:rsidRPr="0069225F" w14:paraId="414A0353" w14:textId="77777777" w:rsidTr="00AC0B67">
        <w:trPr>
          <w:trHeight w:val="228"/>
        </w:trPr>
        <w:tc>
          <w:tcPr>
            <w:tcW w:w="1816" w:type="dxa"/>
            <w:vAlign w:val="bottom"/>
          </w:tcPr>
          <w:p w14:paraId="5C8F968E"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 xml:space="preserve">Medium </w:t>
            </w:r>
          </w:p>
        </w:tc>
        <w:tc>
          <w:tcPr>
            <w:tcW w:w="877" w:type="dxa"/>
            <w:vAlign w:val="bottom"/>
          </w:tcPr>
          <w:p w14:paraId="0B8FA43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28.0</w:t>
            </w:r>
          </w:p>
        </w:tc>
        <w:tc>
          <w:tcPr>
            <w:tcW w:w="1067" w:type="dxa"/>
            <w:vAlign w:val="bottom"/>
          </w:tcPr>
          <w:p w14:paraId="209BE1FF"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1739AB7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0.98 (0.79-1.21)</w:t>
            </w:r>
          </w:p>
        </w:tc>
        <w:tc>
          <w:tcPr>
            <w:tcW w:w="916" w:type="dxa"/>
            <w:vAlign w:val="bottom"/>
          </w:tcPr>
          <w:p w14:paraId="1A738DB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29.6</w:t>
            </w:r>
          </w:p>
        </w:tc>
        <w:tc>
          <w:tcPr>
            <w:tcW w:w="1062" w:type="dxa"/>
            <w:vAlign w:val="bottom"/>
          </w:tcPr>
          <w:p w14:paraId="5E10294D"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2D0D52EE"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1.03 (0.83-1.28)</w:t>
            </w:r>
          </w:p>
        </w:tc>
        <w:tc>
          <w:tcPr>
            <w:tcW w:w="1063" w:type="dxa"/>
            <w:vAlign w:val="bottom"/>
          </w:tcPr>
          <w:p w14:paraId="733333C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33.9</w:t>
            </w:r>
          </w:p>
        </w:tc>
        <w:tc>
          <w:tcPr>
            <w:tcW w:w="1214" w:type="dxa"/>
          </w:tcPr>
          <w:p w14:paraId="0E561F6E"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1900730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0.99 (0.82-1.19)</w:t>
            </w:r>
          </w:p>
        </w:tc>
      </w:tr>
      <w:tr w:rsidR="00B12EA7" w:rsidRPr="0069225F" w14:paraId="735B66C5" w14:textId="77777777" w:rsidTr="00AC0B67">
        <w:trPr>
          <w:trHeight w:val="228"/>
        </w:trPr>
        <w:tc>
          <w:tcPr>
            <w:tcW w:w="1816" w:type="dxa"/>
            <w:vAlign w:val="bottom"/>
          </w:tcPr>
          <w:p w14:paraId="4F6E65F0"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High</w:t>
            </w:r>
          </w:p>
        </w:tc>
        <w:tc>
          <w:tcPr>
            <w:tcW w:w="877" w:type="dxa"/>
            <w:vAlign w:val="bottom"/>
          </w:tcPr>
          <w:p w14:paraId="5949796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25.6</w:t>
            </w:r>
          </w:p>
        </w:tc>
        <w:tc>
          <w:tcPr>
            <w:tcW w:w="1067" w:type="dxa"/>
            <w:vAlign w:val="bottom"/>
          </w:tcPr>
          <w:p w14:paraId="72C38716"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52223DF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0.90 (0.68-1.18)</w:t>
            </w:r>
          </w:p>
        </w:tc>
        <w:tc>
          <w:tcPr>
            <w:tcW w:w="916" w:type="dxa"/>
            <w:vAlign w:val="bottom"/>
          </w:tcPr>
          <w:p w14:paraId="06AF369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38.1</w:t>
            </w:r>
          </w:p>
        </w:tc>
        <w:tc>
          <w:tcPr>
            <w:tcW w:w="1062" w:type="dxa"/>
            <w:vAlign w:val="bottom"/>
          </w:tcPr>
          <w:p w14:paraId="0ACD47B9"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00453F0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1.33 (1.04-1.70)</w:t>
            </w:r>
          </w:p>
        </w:tc>
        <w:tc>
          <w:tcPr>
            <w:tcW w:w="1063" w:type="dxa"/>
            <w:vAlign w:val="bottom"/>
          </w:tcPr>
          <w:p w14:paraId="7B8FB992"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32.3</w:t>
            </w:r>
          </w:p>
        </w:tc>
        <w:tc>
          <w:tcPr>
            <w:tcW w:w="1214" w:type="dxa"/>
          </w:tcPr>
          <w:p w14:paraId="53CF0190"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477BCC5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0.94 (0.74-1.20)</w:t>
            </w:r>
          </w:p>
        </w:tc>
      </w:tr>
      <w:tr w:rsidR="00B12EA7" w:rsidRPr="0069225F" w14:paraId="6C38AEAE" w14:textId="77777777" w:rsidTr="00AC0B67">
        <w:trPr>
          <w:gridAfter w:val="3"/>
          <w:wAfter w:w="4403" w:type="dxa"/>
          <w:trHeight w:val="228"/>
        </w:trPr>
        <w:tc>
          <w:tcPr>
            <w:tcW w:w="9993" w:type="dxa"/>
            <w:gridSpan w:val="7"/>
            <w:vAlign w:val="bottom"/>
          </w:tcPr>
          <w:p w14:paraId="148277C0" w14:textId="77777777" w:rsidR="005507E7" w:rsidRPr="0069225F" w:rsidRDefault="005507E7" w:rsidP="0069225F">
            <w:pPr>
              <w:spacing w:line="240" w:lineRule="auto"/>
              <w:rPr>
                <w:rFonts w:ascii="Times New Roman" w:hAnsi="Times New Roman" w:cs="Times New Roman"/>
                <w:sz w:val="22"/>
                <w:szCs w:val="22"/>
              </w:rPr>
            </w:pPr>
            <w:r w:rsidRPr="0069225F">
              <w:rPr>
                <w:rFonts w:ascii="Times New Roman" w:eastAsia="Times New Roman" w:hAnsi="Times New Roman" w:cs="Times New Roman"/>
                <w:b/>
                <w:sz w:val="22"/>
                <w:szCs w:val="22"/>
                <w:lang w:val="en-029" w:eastAsia="en-029"/>
              </w:rPr>
              <w:t>Mode of childbirth</w:t>
            </w:r>
          </w:p>
        </w:tc>
      </w:tr>
      <w:tr w:rsidR="00B12EA7" w:rsidRPr="0069225F" w14:paraId="45421747" w14:textId="77777777" w:rsidTr="00AC0B67">
        <w:trPr>
          <w:trHeight w:val="228"/>
        </w:trPr>
        <w:tc>
          <w:tcPr>
            <w:tcW w:w="1816" w:type="dxa"/>
            <w:vAlign w:val="bottom"/>
          </w:tcPr>
          <w:p w14:paraId="55923050" w14:textId="77777777" w:rsidR="005507E7" w:rsidRPr="0069225F" w:rsidRDefault="005507E7" w:rsidP="0069225F">
            <w:pPr>
              <w:spacing w:line="240" w:lineRule="auto"/>
              <w:jc w:val="both"/>
              <w:rPr>
                <w:rFonts w:ascii="Times New Roman" w:eastAsia="Times New Roman" w:hAnsi="Times New Roman" w:cs="Times New Roman"/>
                <w:bCs/>
                <w:sz w:val="22"/>
                <w:szCs w:val="22"/>
                <w:lang w:val="en-029" w:eastAsia="en-029"/>
              </w:rPr>
            </w:pPr>
            <w:r w:rsidRPr="0069225F">
              <w:rPr>
                <w:rFonts w:ascii="Times New Roman" w:eastAsia="Times New Roman" w:hAnsi="Times New Roman" w:cs="Times New Roman"/>
                <w:bCs/>
                <w:sz w:val="22"/>
                <w:szCs w:val="22"/>
                <w:lang w:val="en-029" w:eastAsia="en-029"/>
              </w:rPr>
              <w:t xml:space="preserve">Overall </w:t>
            </w:r>
          </w:p>
        </w:tc>
        <w:tc>
          <w:tcPr>
            <w:tcW w:w="877" w:type="dxa"/>
            <w:vAlign w:val="bottom"/>
          </w:tcPr>
          <w:p w14:paraId="64544480" w14:textId="77777777" w:rsidR="005507E7" w:rsidRPr="0069225F" w:rsidRDefault="005507E7" w:rsidP="0069225F">
            <w:pPr>
              <w:spacing w:line="240" w:lineRule="auto"/>
              <w:jc w:val="center"/>
              <w:rPr>
                <w:rFonts w:ascii="Times New Roman" w:hAnsi="Times New Roman" w:cs="Times New Roman"/>
                <w:sz w:val="22"/>
                <w:szCs w:val="22"/>
              </w:rPr>
            </w:pPr>
          </w:p>
        </w:tc>
        <w:tc>
          <w:tcPr>
            <w:tcW w:w="1067" w:type="dxa"/>
          </w:tcPr>
          <w:p w14:paraId="0FD4E1B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0.14</w:t>
            </w:r>
          </w:p>
        </w:tc>
        <w:tc>
          <w:tcPr>
            <w:tcW w:w="2126" w:type="dxa"/>
          </w:tcPr>
          <w:p w14:paraId="74E486BE"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7E120F9F" w14:textId="77777777" w:rsidR="005507E7" w:rsidRPr="0069225F" w:rsidRDefault="005507E7" w:rsidP="0069225F">
            <w:pPr>
              <w:spacing w:line="240" w:lineRule="auto"/>
              <w:jc w:val="center"/>
              <w:rPr>
                <w:rFonts w:ascii="Times New Roman" w:hAnsi="Times New Roman" w:cs="Times New Roman"/>
                <w:sz w:val="22"/>
                <w:szCs w:val="22"/>
              </w:rPr>
            </w:pPr>
          </w:p>
        </w:tc>
        <w:tc>
          <w:tcPr>
            <w:tcW w:w="1062" w:type="dxa"/>
          </w:tcPr>
          <w:p w14:paraId="15EE367C"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&lt;0.001</w:t>
            </w:r>
          </w:p>
        </w:tc>
        <w:tc>
          <w:tcPr>
            <w:tcW w:w="2126" w:type="dxa"/>
          </w:tcPr>
          <w:p w14:paraId="6EACDFED"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79177FBB" w14:textId="77777777" w:rsidR="005507E7" w:rsidRPr="0069225F" w:rsidRDefault="005507E7" w:rsidP="0069225F">
            <w:pPr>
              <w:spacing w:line="240" w:lineRule="auto"/>
              <w:jc w:val="center"/>
              <w:rPr>
                <w:rFonts w:ascii="Times New Roman" w:hAnsi="Times New Roman" w:cs="Times New Roman"/>
                <w:sz w:val="22"/>
                <w:szCs w:val="22"/>
              </w:rPr>
            </w:pPr>
          </w:p>
        </w:tc>
        <w:tc>
          <w:tcPr>
            <w:tcW w:w="1214" w:type="dxa"/>
          </w:tcPr>
          <w:p w14:paraId="158C13DC" w14:textId="77777777" w:rsidR="005507E7" w:rsidRPr="0069225F" w:rsidRDefault="005507E7" w:rsidP="0069225F">
            <w:pPr>
              <w:spacing w:line="240" w:lineRule="auto"/>
              <w:jc w:val="center"/>
              <w:rPr>
                <w:rFonts w:ascii="Times New Roman" w:hAnsi="Times New Roman" w:cs="Times New Roman"/>
                <w:b/>
                <w:sz w:val="22"/>
                <w:szCs w:val="22"/>
              </w:rPr>
            </w:pPr>
            <w:r w:rsidRPr="0069225F">
              <w:rPr>
                <w:rFonts w:ascii="Times New Roman" w:hAnsi="Times New Roman" w:cs="Times New Roman"/>
                <w:b/>
                <w:sz w:val="22"/>
                <w:szCs w:val="22"/>
              </w:rPr>
              <w:t>0.003</w:t>
            </w:r>
          </w:p>
        </w:tc>
        <w:tc>
          <w:tcPr>
            <w:tcW w:w="2125" w:type="dxa"/>
          </w:tcPr>
          <w:p w14:paraId="39E29A31"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DAE3CB5" w14:textId="77777777" w:rsidTr="00AC0B67">
        <w:trPr>
          <w:trHeight w:val="228"/>
        </w:trPr>
        <w:tc>
          <w:tcPr>
            <w:tcW w:w="1816" w:type="dxa"/>
          </w:tcPr>
          <w:p w14:paraId="1383D197"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Vaginal</w:t>
            </w:r>
          </w:p>
        </w:tc>
        <w:tc>
          <w:tcPr>
            <w:tcW w:w="877" w:type="dxa"/>
            <w:vAlign w:val="bottom"/>
          </w:tcPr>
          <w:p w14:paraId="430C5CAE"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26.8</w:t>
            </w:r>
          </w:p>
        </w:tc>
        <w:tc>
          <w:tcPr>
            <w:tcW w:w="1067" w:type="dxa"/>
            <w:vAlign w:val="bottom"/>
          </w:tcPr>
          <w:p w14:paraId="4C4C5C59"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287F93B5" w14:textId="77777777" w:rsidR="005507E7" w:rsidRPr="0069225F" w:rsidRDefault="005507E7" w:rsidP="0069225F">
            <w:pPr>
              <w:spacing w:line="240" w:lineRule="auto"/>
              <w:jc w:val="center"/>
              <w:rPr>
                <w:rFonts w:ascii="Times New Roman" w:hAnsi="Times New Roman" w:cs="Times New Roman"/>
                <w:sz w:val="22"/>
                <w:szCs w:val="22"/>
              </w:rPr>
            </w:pPr>
          </w:p>
        </w:tc>
        <w:tc>
          <w:tcPr>
            <w:tcW w:w="916" w:type="dxa"/>
            <w:vAlign w:val="bottom"/>
          </w:tcPr>
          <w:p w14:paraId="41524445"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28.0</w:t>
            </w:r>
          </w:p>
        </w:tc>
        <w:tc>
          <w:tcPr>
            <w:tcW w:w="1062" w:type="dxa"/>
            <w:vAlign w:val="bottom"/>
          </w:tcPr>
          <w:p w14:paraId="0C11E9C7"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tcPr>
          <w:p w14:paraId="2642418C" w14:textId="77777777" w:rsidR="005507E7" w:rsidRPr="0069225F" w:rsidRDefault="005507E7" w:rsidP="0069225F">
            <w:pPr>
              <w:spacing w:line="240" w:lineRule="auto"/>
              <w:jc w:val="center"/>
              <w:rPr>
                <w:rFonts w:ascii="Times New Roman" w:hAnsi="Times New Roman" w:cs="Times New Roman"/>
                <w:sz w:val="22"/>
                <w:szCs w:val="22"/>
              </w:rPr>
            </w:pPr>
          </w:p>
        </w:tc>
        <w:tc>
          <w:tcPr>
            <w:tcW w:w="1063" w:type="dxa"/>
            <w:vAlign w:val="bottom"/>
          </w:tcPr>
          <w:p w14:paraId="56D971EC"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31.7</w:t>
            </w:r>
          </w:p>
        </w:tc>
        <w:tc>
          <w:tcPr>
            <w:tcW w:w="1214" w:type="dxa"/>
          </w:tcPr>
          <w:p w14:paraId="6EF4514F" w14:textId="77777777" w:rsidR="005507E7" w:rsidRPr="0069225F" w:rsidRDefault="005507E7" w:rsidP="0069225F">
            <w:pPr>
              <w:spacing w:line="240" w:lineRule="auto"/>
              <w:jc w:val="center"/>
              <w:rPr>
                <w:rFonts w:ascii="Times New Roman" w:hAnsi="Times New Roman" w:cs="Times New Roman"/>
                <w:b/>
                <w:sz w:val="22"/>
                <w:szCs w:val="22"/>
              </w:rPr>
            </w:pPr>
          </w:p>
        </w:tc>
        <w:tc>
          <w:tcPr>
            <w:tcW w:w="2125" w:type="dxa"/>
            <w:vAlign w:val="bottom"/>
          </w:tcPr>
          <w:p w14:paraId="2DE03717" w14:textId="77777777" w:rsidR="005507E7" w:rsidRPr="0069225F" w:rsidRDefault="005507E7" w:rsidP="0069225F">
            <w:pPr>
              <w:spacing w:line="240" w:lineRule="auto"/>
              <w:jc w:val="center"/>
              <w:rPr>
                <w:rFonts w:ascii="Times New Roman" w:hAnsi="Times New Roman" w:cs="Times New Roman"/>
                <w:b/>
                <w:sz w:val="22"/>
                <w:szCs w:val="22"/>
              </w:rPr>
            </w:pPr>
          </w:p>
        </w:tc>
      </w:tr>
      <w:tr w:rsidR="00B12EA7" w:rsidRPr="0069225F" w14:paraId="0F7D3B3C" w14:textId="77777777" w:rsidTr="00AC0B67">
        <w:trPr>
          <w:trHeight w:val="228"/>
        </w:trPr>
        <w:tc>
          <w:tcPr>
            <w:tcW w:w="1816" w:type="dxa"/>
          </w:tcPr>
          <w:p w14:paraId="705BACF0" w14:textId="58D8C1F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 xml:space="preserve">Elective </w:t>
            </w:r>
            <w:r w:rsidR="00A94842">
              <w:rPr>
                <w:rFonts w:ascii="Times New Roman" w:eastAsia="Times New Roman" w:hAnsi="Times New Roman" w:cs="Times New Roman"/>
                <w:sz w:val="22"/>
                <w:szCs w:val="22"/>
                <w:lang w:val="en-029" w:eastAsia="en-029"/>
              </w:rPr>
              <w:t>CS</w:t>
            </w:r>
          </w:p>
        </w:tc>
        <w:tc>
          <w:tcPr>
            <w:tcW w:w="877" w:type="dxa"/>
            <w:vAlign w:val="bottom"/>
          </w:tcPr>
          <w:p w14:paraId="08067471"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32.8</w:t>
            </w:r>
          </w:p>
        </w:tc>
        <w:tc>
          <w:tcPr>
            <w:tcW w:w="1067" w:type="dxa"/>
            <w:vAlign w:val="bottom"/>
          </w:tcPr>
          <w:p w14:paraId="7AADD343"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798EA4B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1.22 (0.97-1.54)</w:t>
            </w:r>
          </w:p>
        </w:tc>
        <w:tc>
          <w:tcPr>
            <w:tcW w:w="916" w:type="dxa"/>
            <w:vAlign w:val="bottom"/>
          </w:tcPr>
          <w:p w14:paraId="7052694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41.5</w:t>
            </w:r>
          </w:p>
        </w:tc>
        <w:tc>
          <w:tcPr>
            <w:tcW w:w="1062" w:type="dxa"/>
            <w:vAlign w:val="bottom"/>
          </w:tcPr>
          <w:p w14:paraId="249DD6C9"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5645989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1.48 (1.21-1.81)</w:t>
            </w:r>
          </w:p>
        </w:tc>
        <w:tc>
          <w:tcPr>
            <w:tcW w:w="1063" w:type="dxa"/>
            <w:vAlign w:val="bottom"/>
          </w:tcPr>
          <w:p w14:paraId="46FB9BD7"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45.7</w:t>
            </w:r>
          </w:p>
        </w:tc>
        <w:tc>
          <w:tcPr>
            <w:tcW w:w="1214" w:type="dxa"/>
          </w:tcPr>
          <w:p w14:paraId="3D966FC8"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4F4B1BFB"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1.44 (1.20-1.73)</w:t>
            </w:r>
          </w:p>
        </w:tc>
      </w:tr>
      <w:tr w:rsidR="00B12EA7" w:rsidRPr="0069225F" w14:paraId="0BF24689" w14:textId="77777777" w:rsidTr="00AC0B67">
        <w:trPr>
          <w:trHeight w:val="228"/>
        </w:trPr>
        <w:tc>
          <w:tcPr>
            <w:tcW w:w="1816" w:type="dxa"/>
          </w:tcPr>
          <w:p w14:paraId="52563879" w14:textId="2B2A9FAB"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 xml:space="preserve">Emergency </w:t>
            </w:r>
            <w:r w:rsidR="00A94842">
              <w:rPr>
                <w:rFonts w:ascii="Times New Roman" w:eastAsia="Times New Roman" w:hAnsi="Times New Roman" w:cs="Times New Roman"/>
                <w:sz w:val="22"/>
                <w:szCs w:val="22"/>
                <w:lang w:val="en-029" w:eastAsia="en-029"/>
              </w:rPr>
              <w:t>CS</w:t>
            </w:r>
          </w:p>
        </w:tc>
        <w:tc>
          <w:tcPr>
            <w:tcW w:w="877" w:type="dxa"/>
            <w:vAlign w:val="bottom"/>
          </w:tcPr>
          <w:p w14:paraId="50C16554"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25.3</w:t>
            </w:r>
          </w:p>
        </w:tc>
        <w:tc>
          <w:tcPr>
            <w:tcW w:w="1067" w:type="dxa"/>
            <w:vAlign w:val="bottom"/>
          </w:tcPr>
          <w:p w14:paraId="26592C85"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460DBE7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0.94 (0.65-1.37)</w:t>
            </w:r>
          </w:p>
        </w:tc>
        <w:tc>
          <w:tcPr>
            <w:tcW w:w="916" w:type="dxa"/>
            <w:vAlign w:val="bottom"/>
          </w:tcPr>
          <w:p w14:paraId="18508E0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44.1</w:t>
            </w:r>
          </w:p>
        </w:tc>
        <w:tc>
          <w:tcPr>
            <w:tcW w:w="1062" w:type="dxa"/>
            <w:vAlign w:val="bottom"/>
          </w:tcPr>
          <w:p w14:paraId="6565A896"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080180F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1.57 (1.21-2.04)</w:t>
            </w:r>
          </w:p>
        </w:tc>
        <w:tc>
          <w:tcPr>
            <w:tcW w:w="1063" w:type="dxa"/>
            <w:vAlign w:val="bottom"/>
          </w:tcPr>
          <w:p w14:paraId="3CBD9B50"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29.2</w:t>
            </w:r>
          </w:p>
        </w:tc>
        <w:tc>
          <w:tcPr>
            <w:tcW w:w="1214" w:type="dxa"/>
          </w:tcPr>
          <w:p w14:paraId="50FC1125"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712AA46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0.92 (0.66-1.29)</w:t>
            </w:r>
          </w:p>
        </w:tc>
      </w:tr>
      <w:tr w:rsidR="00B12EA7" w:rsidRPr="0069225F" w14:paraId="5EF21EA6" w14:textId="77777777" w:rsidTr="00AC0B67">
        <w:trPr>
          <w:trHeight w:val="228"/>
        </w:trPr>
        <w:tc>
          <w:tcPr>
            <w:tcW w:w="1816" w:type="dxa"/>
          </w:tcPr>
          <w:p w14:paraId="6888A8F2" w14:textId="77777777" w:rsidR="005507E7" w:rsidRPr="0069225F" w:rsidRDefault="005507E7" w:rsidP="0069225F">
            <w:pPr>
              <w:spacing w:line="240" w:lineRule="auto"/>
              <w:jc w:val="both"/>
              <w:rPr>
                <w:rFonts w:ascii="Times New Roman" w:eastAsia="Times New Roman" w:hAnsi="Times New Roman" w:cs="Times New Roman"/>
                <w:sz w:val="22"/>
                <w:szCs w:val="22"/>
                <w:lang w:val="en-029" w:eastAsia="en-029"/>
              </w:rPr>
            </w:pPr>
            <w:r w:rsidRPr="0069225F">
              <w:rPr>
                <w:rFonts w:ascii="Times New Roman" w:eastAsia="Times New Roman" w:hAnsi="Times New Roman" w:cs="Times New Roman"/>
                <w:sz w:val="22"/>
                <w:szCs w:val="22"/>
                <w:lang w:val="en-029" w:eastAsia="en-029"/>
              </w:rPr>
              <w:t>Missing/other</w:t>
            </w:r>
          </w:p>
        </w:tc>
        <w:tc>
          <w:tcPr>
            <w:tcW w:w="877" w:type="dxa"/>
            <w:vAlign w:val="bottom"/>
          </w:tcPr>
          <w:p w14:paraId="5DC62813"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57.1</w:t>
            </w:r>
          </w:p>
        </w:tc>
        <w:tc>
          <w:tcPr>
            <w:tcW w:w="1067" w:type="dxa"/>
            <w:vAlign w:val="bottom"/>
          </w:tcPr>
          <w:p w14:paraId="15FC4AC7"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0ACD8106"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2.13 (1.11-4.08)</w:t>
            </w:r>
          </w:p>
        </w:tc>
        <w:tc>
          <w:tcPr>
            <w:tcW w:w="916" w:type="dxa"/>
            <w:vAlign w:val="bottom"/>
          </w:tcPr>
          <w:p w14:paraId="08DB76A9"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33.3</w:t>
            </w:r>
          </w:p>
        </w:tc>
        <w:tc>
          <w:tcPr>
            <w:tcW w:w="1062" w:type="dxa"/>
            <w:vAlign w:val="bottom"/>
          </w:tcPr>
          <w:p w14:paraId="6663DCB3" w14:textId="77777777" w:rsidR="005507E7" w:rsidRPr="0069225F" w:rsidRDefault="005507E7" w:rsidP="0069225F">
            <w:pPr>
              <w:spacing w:line="240" w:lineRule="auto"/>
              <w:jc w:val="center"/>
              <w:rPr>
                <w:rFonts w:ascii="Times New Roman" w:hAnsi="Times New Roman" w:cs="Times New Roman"/>
                <w:sz w:val="22"/>
                <w:szCs w:val="22"/>
              </w:rPr>
            </w:pPr>
          </w:p>
        </w:tc>
        <w:tc>
          <w:tcPr>
            <w:tcW w:w="2126" w:type="dxa"/>
            <w:vAlign w:val="bottom"/>
          </w:tcPr>
          <w:p w14:paraId="2016BEC8"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1.19 (0.38-3.71)</w:t>
            </w:r>
          </w:p>
        </w:tc>
        <w:tc>
          <w:tcPr>
            <w:tcW w:w="1063" w:type="dxa"/>
            <w:vAlign w:val="bottom"/>
          </w:tcPr>
          <w:p w14:paraId="23A1CCE2"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42.9</w:t>
            </w:r>
          </w:p>
        </w:tc>
        <w:tc>
          <w:tcPr>
            <w:tcW w:w="1214" w:type="dxa"/>
          </w:tcPr>
          <w:p w14:paraId="113DC5DB" w14:textId="77777777" w:rsidR="005507E7" w:rsidRPr="0069225F" w:rsidRDefault="005507E7" w:rsidP="0069225F">
            <w:pPr>
              <w:spacing w:line="240" w:lineRule="auto"/>
              <w:jc w:val="center"/>
              <w:rPr>
                <w:rFonts w:ascii="Times New Roman" w:hAnsi="Times New Roman" w:cs="Times New Roman"/>
                <w:sz w:val="22"/>
                <w:szCs w:val="22"/>
              </w:rPr>
            </w:pPr>
          </w:p>
        </w:tc>
        <w:tc>
          <w:tcPr>
            <w:tcW w:w="2125" w:type="dxa"/>
            <w:vAlign w:val="bottom"/>
          </w:tcPr>
          <w:p w14:paraId="09DC2E8A" w14:textId="77777777" w:rsidR="005507E7" w:rsidRPr="0069225F" w:rsidRDefault="005507E7" w:rsidP="0069225F">
            <w:pPr>
              <w:spacing w:line="240" w:lineRule="auto"/>
              <w:jc w:val="center"/>
              <w:rPr>
                <w:rFonts w:ascii="Times New Roman" w:hAnsi="Times New Roman" w:cs="Times New Roman"/>
                <w:sz w:val="22"/>
                <w:szCs w:val="22"/>
              </w:rPr>
            </w:pPr>
            <w:r w:rsidRPr="0069225F">
              <w:rPr>
                <w:rFonts w:ascii="Times New Roman" w:hAnsi="Times New Roman" w:cs="Times New Roman"/>
                <w:sz w:val="22"/>
                <w:szCs w:val="22"/>
              </w:rPr>
              <w:t>1.35 (0.57-3.20)</w:t>
            </w:r>
          </w:p>
        </w:tc>
      </w:tr>
    </w:tbl>
    <w:p w14:paraId="098EC131" w14:textId="77777777" w:rsidR="005507E7" w:rsidRPr="0069225F" w:rsidRDefault="005507E7" w:rsidP="0069225F">
      <w:pPr>
        <w:spacing w:line="240" w:lineRule="auto"/>
        <w:rPr>
          <w:b/>
        </w:rPr>
        <w:sectPr w:rsidR="005507E7" w:rsidRPr="0069225F" w:rsidSect="00880446">
          <w:pgSz w:w="16838" w:h="11906" w:orient="landscape"/>
          <w:pgMar w:top="1440" w:right="1440" w:bottom="1440" w:left="1440" w:header="706" w:footer="706" w:gutter="0"/>
          <w:cols w:space="708"/>
          <w:docGrid w:linePitch="360"/>
        </w:sectPr>
      </w:pPr>
    </w:p>
    <w:p w14:paraId="07622652" w14:textId="77777777" w:rsidR="005507E7" w:rsidRPr="0094749A" w:rsidRDefault="005507E7" w:rsidP="005507E7">
      <w:pPr>
        <w:spacing w:line="240" w:lineRule="auto"/>
        <w:jc w:val="both"/>
        <w:rPr>
          <w:b/>
        </w:rPr>
      </w:pPr>
    </w:p>
    <w:p w14:paraId="5B64C438" w14:textId="77777777" w:rsidR="005507E7" w:rsidRPr="0094749A" w:rsidRDefault="005507E7" w:rsidP="00C52861">
      <w:pPr>
        <w:spacing w:line="240" w:lineRule="auto"/>
        <w:jc w:val="both"/>
      </w:pPr>
      <w:r w:rsidRPr="0094749A">
        <w:rPr>
          <w:b/>
        </w:rPr>
        <w:t xml:space="preserve">Table 4: </w:t>
      </w:r>
      <w:r w:rsidRPr="0094749A">
        <w:t>Summary of univariable and multivariable analyses of association between ill-health and hospital admission and chronic illness for women assessed at all four assessment stages (n=1,311).</w:t>
      </w:r>
    </w:p>
    <w:tbl>
      <w:tblPr>
        <w:tblStyle w:val="TableGrid"/>
        <w:tblW w:w="14596" w:type="dxa"/>
        <w:tblLook w:val="04A0" w:firstRow="1" w:lastRow="0" w:firstColumn="1" w:lastColumn="0" w:noHBand="0" w:noVBand="1"/>
      </w:tblPr>
      <w:tblGrid>
        <w:gridCol w:w="1550"/>
        <w:gridCol w:w="1098"/>
        <w:gridCol w:w="1549"/>
        <w:gridCol w:w="1121"/>
        <w:gridCol w:w="1923"/>
        <w:gridCol w:w="2214"/>
        <w:gridCol w:w="2214"/>
        <w:gridCol w:w="1121"/>
        <w:gridCol w:w="1806"/>
      </w:tblGrid>
      <w:tr w:rsidR="005507E7" w:rsidRPr="0094749A" w14:paraId="3B3A9534" w14:textId="77777777" w:rsidTr="0081584E">
        <w:tc>
          <w:tcPr>
            <w:tcW w:w="1550" w:type="dxa"/>
            <w:vMerge w:val="restart"/>
            <w:vAlign w:val="bottom"/>
          </w:tcPr>
          <w:p w14:paraId="43C88D88" w14:textId="77777777" w:rsidR="005507E7" w:rsidRPr="0094749A" w:rsidRDefault="005507E7" w:rsidP="00ED3F95">
            <w:pPr>
              <w:spacing w:before="120" w:line="240" w:lineRule="auto"/>
              <w:jc w:val="both"/>
              <w:rPr>
                <w:rFonts w:ascii="Times New Roman" w:eastAsia="Times New Roman" w:hAnsi="Times New Roman" w:cs="Times New Roman"/>
                <w:b/>
                <w:bCs/>
                <w:lang w:val="en-029" w:eastAsia="en-029"/>
              </w:rPr>
            </w:pPr>
            <w:r w:rsidRPr="0094749A">
              <w:rPr>
                <w:rFonts w:ascii="Times New Roman" w:eastAsia="Times New Roman" w:hAnsi="Times New Roman" w:cs="Times New Roman"/>
                <w:b/>
                <w:bCs/>
                <w:lang w:val="en-029" w:eastAsia="en-029"/>
              </w:rPr>
              <w:t>Variable</w:t>
            </w:r>
          </w:p>
          <w:p w14:paraId="7FEA778A" w14:textId="77777777" w:rsidR="005507E7" w:rsidRPr="0094749A" w:rsidRDefault="005507E7" w:rsidP="00C52861">
            <w:pPr>
              <w:spacing w:line="240" w:lineRule="auto"/>
              <w:jc w:val="both"/>
              <w:rPr>
                <w:rFonts w:ascii="Times New Roman" w:hAnsi="Times New Roman" w:cs="Times New Roman"/>
                <w:b/>
              </w:rPr>
            </w:pPr>
          </w:p>
          <w:p w14:paraId="60F8E0DE" w14:textId="77777777" w:rsidR="005507E7" w:rsidRPr="0094749A" w:rsidRDefault="005507E7" w:rsidP="00C52861">
            <w:pPr>
              <w:spacing w:line="240" w:lineRule="auto"/>
              <w:jc w:val="both"/>
              <w:rPr>
                <w:rFonts w:ascii="Times New Roman" w:hAnsi="Times New Roman" w:cs="Times New Roman"/>
                <w:b/>
              </w:rPr>
            </w:pPr>
          </w:p>
          <w:p w14:paraId="46D788AD" w14:textId="77777777" w:rsidR="005507E7" w:rsidRPr="0094749A" w:rsidRDefault="005507E7" w:rsidP="00C52861">
            <w:pPr>
              <w:spacing w:line="240" w:lineRule="auto"/>
              <w:jc w:val="both"/>
              <w:rPr>
                <w:rFonts w:ascii="Times New Roman" w:hAnsi="Times New Roman" w:cs="Times New Roman"/>
                <w:b/>
              </w:rPr>
            </w:pPr>
          </w:p>
        </w:tc>
        <w:tc>
          <w:tcPr>
            <w:tcW w:w="1098" w:type="dxa"/>
            <w:vMerge w:val="restart"/>
            <w:vAlign w:val="bottom"/>
          </w:tcPr>
          <w:p w14:paraId="55A3417E" w14:textId="77777777" w:rsidR="005507E7" w:rsidRPr="0094749A" w:rsidRDefault="005507E7" w:rsidP="00C52861">
            <w:pPr>
              <w:spacing w:line="240" w:lineRule="auto"/>
              <w:jc w:val="both"/>
              <w:rPr>
                <w:rFonts w:ascii="Times New Roman" w:hAnsi="Times New Roman" w:cs="Times New Roman"/>
                <w:b/>
                <w:color w:val="000000" w:themeColor="text1"/>
              </w:rPr>
            </w:pPr>
            <w:r w:rsidRPr="0094749A">
              <w:rPr>
                <w:rFonts w:ascii="Times New Roman" w:hAnsi="Times New Roman" w:cs="Times New Roman"/>
                <w:b/>
                <w:color w:val="000000" w:themeColor="text1"/>
              </w:rPr>
              <w:t>Number included</w:t>
            </w:r>
          </w:p>
          <w:p w14:paraId="73146725" w14:textId="77777777" w:rsidR="005507E7" w:rsidRPr="0094749A" w:rsidRDefault="005507E7" w:rsidP="00C52861">
            <w:pPr>
              <w:spacing w:line="240" w:lineRule="auto"/>
              <w:jc w:val="both"/>
              <w:rPr>
                <w:rFonts w:ascii="Times New Roman" w:hAnsi="Times New Roman" w:cs="Times New Roman"/>
                <w:b/>
                <w:color w:val="000000" w:themeColor="text1"/>
              </w:rPr>
            </w:pPr>
          </w:p>
          <w:p w14:paraId="70C5F79D" w14:textId="77777777" w:rsidR="005507E7" w:rsidRPr="0094749A" w:rsidRDefault="005507E7" w:rsidP="00C52861">
            <w:pPr>
              <w:spacing w:line="240" w:lineRule="auto"/>
              <w:jc w:val="both"/>
              <w:rPr>
                <w:rFonts w:ascii="Times New Roman" w:hAnsi="Times New Roman" w:cs="Times New Roman"/>
                <w:b/>
                <w:color w:val="000000" w:themeColor="text1"/>
              </w:rPr>
            </w:pPr>
          </w:p>
        </w:tc>
        <w:tc>
          <w:tcPr>
            <w:tcW w:w="1549" w:type="dxa"/>
            <w:vMerge w:val="restart"/>
            <w:vAlign w:val="bottom"/>
          </w:tcPr>
          <w:p w14:paraId="75B947EE" w14:textId="77777777" w:rsidR="005507E7" w:rsidRPr="0094749A" w:rsidRDefault="005507E7" w:rsidP="00C52861">
            <w:pPr>
              <w:spacing w:line="240" w:lineRule="auto"/>
              <w:jc w:val="both"/>
              <w:rPr>
                <w:rFonts w:ascii="Times New Roman" w:hAnsi="Times New Roman" w:cs="Times New Roman"/>
                <w:b/>
              </w:rPr>
            </w:pPr>
            <w:r w:rsidRPr="0094749A">
              <w:rPr>
                <w:rFonts w:ascii="Times New Roman" w:hAnsi="Times New Roman" w:cs="Times New Roman"/>
                <w:b/>
                <w:color w:val="000000" w:themeColor="text1"/>
              </w:rPr>
              <w:t>Ill-health at any assessment point (%)</w:t>
            </w:r>
          </w:p>
        </w:tc>
        <w:tc>
          <w:tcPr>
            <w:tcW w:w="1121" w:type="dxa"/>
            <w:vMerge w:val="restart"/>
            <w:vAlign w:val="bottom"/>
          </w:tcPr>
          <w:p w14:paraId="60096614" w14:textId="77777777" w:rsidR="005507E7" w:rsidRPr="0094749A" w:rsidRDefault="005507E7" w:rsidP="00C52861">
            <w:pPr>
              <w:spacing w:line="240" w:lineRule="auto"/>
              <w:jc w:val="center"/>
              <w:rPr>
                <w:rFonts w:ascii="Times New Roman" w:hAnsi="Times New Roman" w:cs="Times New Roman"/>
                <w:b/>
                <w:color w:val="000000" w:themeColor="text1"/>
              </w:rPr>
            </w:pPr>
            <w:r w:rsidRPr="0094749A">
              <w:rPr>
                <w:rFonts w:ascii="Times New Roman" w:hAnsi="Times New Roman" w:cs="Times New Roman"/>
                <w:b/>
                <w:color w:val="000000" w:themeColor="text1"/>
              </w:rPr>
              <w:t>p-value</w:t>
            </w:r>
          </w:p>
          <w:p w14:paraId="639DE767" w14:textId="77777777" w:rsidR="005507E7" w:rsidRPr="0094749A" w:rsidRDefault="005507E7" w:rsidP="00C52861">
            <w:pPr>
              <w:spacing w:line="240" w:lineRule="auto"/>
              <w:jc w:val="center"/>
              <w:rPr>
                <w:rFonts w:ascii="Times New Roman" w:hAnsi="Times New Roman" w:cs="Times New Roman"/>
                <w:b/>
                <w:color w:val="000000" w:themeColor="text1"/>
              </w:rPr>
            </w:pPr>
          </w:p>
          <w:p w14:paraId="3BC347F7" w14:textId="77777777" w:rsidR="005507E7" w:rsidRPr="0094749A" w:rsidRDefault="005507E7" w:rsidP="00C52861">
            <w:pPr>
              <w:spacing w:line="240" w:lineRule="auto"/>
              <w:jc w:val="center"/>
              <w:rPr>
                <w:rFonts w:ascii="Times New Roman" w:hAnsi="Times New Roman" w:cs="Times New Roman"/>
                <w:b/>
              </w:rPr>
            </w:pPr>
          </w:p>
        </w:tc>
        <w:tc>
          <w:tcPr>
            <w:tcW w:w="1923" w:type="dxa"/>
            <w:vMerge w:val="restart"/>
            <w:vAlign w:val="bottom"/>
          </w:tcPr>
          <w:p w14:paraId="4DAC97A3" w14:textId="77777777" w:rsidR="005507E7" w:rsidRPr="0094749A" w:rsidRDefault="005507E7" w:rsidP="00C52861">
            <w:pPr>
              <w:spacing w:line="240" w:lineRule="auto"/>
              <w:jc w:val="center"/>
              <w:rPr>
                <w:rFonts w:ascii="Times New Roman" w:hAnsi="Times New Roman" w:cs="Times New Roman"/>
                <w:b/>
                <w:color w:val="000000" w:themeColor="text1"/>
              </w:rPr>
            </w:pPr>
            <w:r w:rsidRPr="0094749A">
              <w:rPr>
                <w:rFonts w:ascii="Times New Roman" w:hAnsi="Times New Roman" w:cs="Times New Roman"/>
                <w:b/>
                <w:color w:val="000000" w:themeColor="text1"/>
              </w:rPr>
              <w:t>RR (95% CI)</w:t>
            </w:r>
          </w:p>
          <w:p w14:paraId="714217F0" w14:textId="77777777" w:rsidR="005507E7" w:rsidRPr="0094749A" w:rsidRDefault="005507E7" w:rsidP="00C52861">
            <w:pPr>
              <w:spacing w:line="240" w:lineRule="auto"/>
              <w:jc w:val="center"/>
              <w:rPr>
                <w:rFonts w:ascii="Times New Roman" w:hAnsi="Times New Roman" w:cs="Times New Roman"/>
                <w:b/>
                <w:color w:val="000000" w:themeColor="text1"/>
              </w:rPr>
            </w:pPr>
          </w:p>
          <w:p w14:paraId="0F9D3638" w14:textId="77777777" w:rsidR="005507E7" w:rsidRPr="0094749A" w:rsidRDefault="005507E7" w:rsidP="00C52861">
            <w:pPr>
              <w:spacing w:line="240" w:lineRule="auto"/>
              <w:jc w:val="center"/>
              <w:rPr>
                <w:rFonts w:ascii="Times New Roman" w:hAnsi="Times New Roman" w:cs="Times New Roman"/>
                <w:b/>
              </w:rPr>
            </w:pPr>
          </w:p>
        </w:tc>
        <w:tc>
          <w:tcPr>
            <w:tcW w:w="4428" w:type="dxa"/>
            <w:gridSpan w:val="2"/>
            <w:vAlign w:val="bottom"/>
          </w:tcPr>
          <w:p w14:paraId="1D35C8B4" w14:textId="77777777" w:rsidR="005507E7" w:rsidRPr="0094749A" w:rsidRDefault="005507E7" w:rsidP="00C52861">
            <w:pPr>
              <w:spacing w:line="240" w:lineRule="auto"/>
              <w:jc w:val="center"/>
              <w:rPr>
                <w:rFonts w:ascii="Times New Roman" w:hAnsi="Times New Roman" w:cs="Times New Roman"/>
                <w:b/>
              </w:rPr>
            </w:pPr>
            <w:r w:rsidRPr="0094749A">
              <w:rPr>
                <w:rFonts w:ascii="Times New Roman" w:hAnsi="Times New Roman" w:cs="Times New Roman"/>
                <w:b/>
              </w:rPr>
              <w:t>Diagnostic accuracy</w:t>
            </w:r>
          </w:p>
        </w:tc>
        <w:tc>
          <w:tcPr>
            <w:tcW w:w="2927" w:type="dxa"/>
            <w:gridSpan w:val="2"/>
            <w:vAlign w:val="bottom"/>
          </w:tcPr>
          <w:p w14:paraId="33616A5F" w14:textId="77777777" w:rsidR="005507E7" w:rsidRPr="0094749A" w:rsidRDefault="005507E7" w:rsidP="00C52861">
            <w:pPr>
              <w:spacing w:line="240" w:lineRule="auto"/>
              <w:jc w:val="center"/>
              <w:rPr>
                <w:rFonts w:ascii="Times New Roman" w:hAnsi="Times New Roman" w:cs="Times New Roman"/>
                <w:b/>
              </w:rPr>
            </w:pPr>
            <w:r w:rsidRPr="0094749A">
              <w:rPr>
                <w:rFonts w:ascii="Times New Roman" w:hAnsi="Times New Roman" w:cs="Times New Roman"/>
                <w:b/>
                <w:color w:val="000000" w:themeColor="text1"/>
              </w:rPr>
              <w:t>Multivariable analysis</w:t>
            </w:r>
          </w:p>
        </w:tc>
      </w:tr>
      <w:tr w:rsidR="005507E7" w:rsidRPr="0094749A" w14:paraId="3EF696D8" w14:textId="77777777" w:rsidTr="0081584E">
        <w:tc>
          <w:tcPr>
            <w:tcW w:w="1550" w:type="dxa"/>
            <w:vMerge/>
          </w:tcPr>
          <w:p w14:paraId="517ACBCC" w14:textId="77777777" w:rsidR="005507E7" w:rsidRPr="00FF632D" w:rsidRDefault="005507E7" w:rsidP="00C52861">
            <w:pPr>
              <w:spacing w:line="240" w:lineRule="auto"/>
              <w:jc w:val="both"/>
              <w:rPr>
                <w:rFonts w:ascii="Times New Roman" w:hAnsi="Times New Roman" w:cs="Times New Roman"/>
                <w:b/>
              </w:rPr>
            </w:pPr>
          </w:p>
        </w:tc>
        <w:tc>
          <w:tcPr>
            <w:tcW w:w="1098" w:type="dxa"/>
            <w:vMerge/>
          </w:tcPr>
          <w:p w14:paraId="6EE93E21" w14:textId="77777777" w:rsidR="005507E7" w:rsidRPr="00FF632D" w:rsidRDefault="005507E7" w:rsidP="00C52861">
            <w:pPr>
              <w:spacing w:line="240" w:lineRule="auto"/>
              <w:jc w:val="both"/>
              <w:rPr>
                <w:rFonts w:ascii="Times New Roman" w:hAnsi="Times New Roman" w:cs="Times New Roman"/>
                <w:b/>
              </w:rPr>
            </w:pPr>
          </w:p>
        </w:tc>
        <w:tc>
          <w:tcPr>
            <w:tcW w:w="1549" w:type="dxa"/>
            <w:vMerge/>
          </w:tcPr>
          <w:p w14:paraId="05015CD8" w14:textId="77777777" w:rsidR="005507E7" w:rsidRPr="00FF632D" w:rsidRDefault="005507E7" w:rsidP="00C52861">
            <w:pPr>
              <w:spacing w:line="240" w:lineRule="auto"/>
              <w:jc w:val="both"/>
              <w:rPr>
                <w:rFonts w:ascii="Times New Roman" w:hAnsi="Times New Roman" w:cs="Times New Roman"/>
                <w:b/>
              </w:rPr>
            </w:pPr>
          </w:p>
        </w:tc>
        <w:tc>
          <w:tcPr>
            <w:tcW w:w="1121" w:type="dxa"/>
            <w:vMerge/>
            <w:vAlign w:val="bottom"/>
          </w:tcPr>
          <w:p w14:paraId="205390D4" w14:textId="77777777" w:rsidR="005507E7" w:rsidRPr="00FF632D" w:rsidRDefault="005507E7" w:rsidP="00C52861">
            <w:pPr>
              <w:spacing w:line="240" w:lineRule="auto"/>
              <w:jc w:val="center"/>
              <w:rPr>
                <w:rFonts w:ascii="Times New Roman" w:hAnsi="Times New Roman" w:cs="Times New Roman"/>
                <w:b/>
              </w:rPr>
            </w:pPr>
          </w:p>
        </w:tc>
        <w:tc>
          <w:tcPr>
            <w:tcW w:w="1923" w:type="dxa"/>
            <w:vMerge/>
            <w:vAlign w:val="bottom"/>
          </w:tcPr>
          <w:p w14:paraId="40E7DDFF" w14:textId="77777777" w:rsidR="005507E7" w:rsidRPr="00FF632D" w:rsidRDefault="005507E7" w:rsidP="00C52861">
            <w:pPr>
              <w:spacing w:line="240" w:lineRule="auto"/>
              <w:jc w:val="center"/>
              <w:rPr>
                <w:rFonts w:ascii="Times New Roman" w:hAnsi="Times New Roman" w:cs="Times New Roman"/>
                <w:b/>
              </w:rPr>
            </w:pPr>
          </w:p>
        </w:tc>
        <w:tc>
          <w:tcPr>
            <w:tcW w:w="2214" w:type="dxa"/>
            <w:vAlign w:val="bottom"/>
          </w:tcPr>
          <w:p w14:paraId="1A3C5655" w14:textId="77777777" w:rsidR="005507E7" w:rsidRPr="00FF632D" w:rsidRDefault="005507E7" w:rsidP="00C52861">
            <w:pPr>
              <w:spacing w:line="240" w:lineRule="auto"/>
              <w:jc w:val="center"/>
              <w:rPr>
                <w:rFonts w:ascii="Times New Roman" w:hAnsi="Times New Roman" w:cs="Times New Roman"/>
                <w:b/>
                <w:color w:val="000000" w:themeColor="text1"/>
              </w:rPr>
            </w:pPr>
            <w:r w:rsidRPr="00FF632D">
              <w:rPr>
                <w:rFonts w:ascii="Times New Roman" w:hAnsi="Times New Roman" w:cs="Times New Roman"/>
                <w:b/>
                <w:color w:val="000000" w:themeColor="text1"/>
              </w:rPr>
              <w:t>Sensitivity (95% CI); LR+</w:t>
            </w:r>
          </w:p>
          <w:p w14:paraId="17C8B46D" w14:textId="77777777" w:rsidR="005507E7" w:rsidRPr="00FF632D" w:rsidRDefault="005507E7" w:rsidP="00C52861">
            <w:pPr>
              <w:spacing w:line="240" w:lineRule="auto"/>
              <w:jc w:val="center"/>
              <w:rPr>
                <w:rFonts w:ascii="Times New Roman" w:hAnsi="Times New Roman" w:cs="Times New Roman"/>
                <w:b/>
              </w:rPr>
            </w:pPr>
          </w:p>
        </w:tc>
        <w:tc>
          <w:tcPr>
            <w:tcW w:w="2214" w:type="dxa"/>
            <w:vAlign w:val="bottom"/>
          </w:tcPr>
          <w:p w14:paraId="09BE8042" w14:textId="77777777" w:rsidR="005507E7" w:rsidRPr="00FF632D" w:rsidRDefault="005507E7" w:rsidP="00C52861">
            <w:pPr>
              <w:spacing w:line="240" w:lineRule="auto"/>
              <w:jc w:val="center"/>
              <w:rPr>
                <w:rFonts w:ascii="Times New Roman" w:hAnsi="Times New Roman" w:cs="Times New Roman"/>
                <w:b/>
                <w:color w:val="000000" w:themeColor="text1"/>
              </w:rPr>
            </w:pPr>
            <w:r w:rsidRPr="00FF632D">
              <w:rPr>
                <w:rFonts w:ascii="Times New Roman" w:hAnsi="Times New Roman" w:cs="Times New Roman"/>
                <w:b/>
                <w:color w:val="000000" w:themeColor="text1"/>
              </w:rPr>
              <w:t>Specificity (95% CI); LR-</w:t>
            </w:r>
          </w:p>
          <w:p w14:paraId="6C4B2277" w14:textId="77777777" w:rsidR="005507E7" w:rsidRPr="00FF632D" w:rsidRDefault="005507E7" w:rsidP="00C52861">
            <w:pPr>
              <w:spacing w:line="240" w:lineRule="auto"/>
              <w:jc w:val="center"/>
              <w:rPr>
                <w:rFonts w:ascii="Times New Roman" w:hAnsi="Times New Roman" w:cs="Times New Roman"/>
                <w:b/>
              </w:rPr>
            </w:pPr>
          </w:p>
        </w:tc>
        <w:tc>
          <w:tcPr>
            <w:tcW w:w="1121" w:type="dxa"/>
            <w:vAlign w:val="bottom"/>
          </w:tcPr>
          <w:p w14:paraId="19761BCE" w14:textId="77777777" w:rsidR="005507E7" w:rsidRPr="00FF632D" w:rsidRDefault="005507E7" w:rsidP="00C52861">
            <w:pPr>
              <w:spacing w:line="240" w:lineRule="auto"/>
              <w:jc w:val="center"/>
              <w:rPr>
                <w:rFonts w:ascii="Times New Roman" w:hAnsi="Times New Roman" w:cs="Times New Roman"/>
                <w:b/>
                <w:color w:val="000000" w:themeColor="text1"/>
              </w:rPr>
            </w:pPr>
            <w:r w:rsidRPr="00FF632D">
              <w:rPr>
                <w:rFonts w:ascii="Times New Roman" w:hAnsi="Times New Roman" w:cs="Times New Roman"/>
                <w:b/>
                <w:color w:val="000000" w:themeColor="text1"/>
              </w:rPr>
              <w:t>p-value</w:t>
            </w:r>
          </w:p>
          <w:p w14:paraId="631568F4" w14:textId="77777777" w:rsidR="005507E7" w:rsidRPr="00FF632D" w:rsidRDefault="005507E7" w:rsidP="00C52861">
            <w:pPr>
              <w:spacing w:line="240" w:lineRule="auto"/>
              <w:rPr>
                <w:rFonts w:ascii="Times New Roman" w:hAnsi="Times New Roman" w:cs="Times New Roman"/>
                <w:b/>
              </w:rPr>
            </w:pPr>
          </w:p>
        </w:tc>
        <w:tc>
          <w:tcPr>
            <w:tcW w:w="1806" w:type="dxa"/>
            <w:vAlign w:val="bottom"/>
          </w:tcPr>
          <w:p w14:paraId="47683E8B" w14:textId="77777777" w:rsidR="005507E7" w:rsidRPr="00FF632D" w:rsidRDefault="005507E7" w:rsidP="00C52861">
            <w:pPr>
              <w:spacing w:line="240" w:lineRule="auto"/>
              <w:jc w:val="center"/>
              <w:rPr>
                <w:rFonts w:ascii="Times New Roman" w:hAnsi="Times New Roman" w:cs="Times New Roman"/>
                <w:b/>
                <w:color w:val="000000" w:themeColor="text1"/>
              </w:rPr>
            </w:pPr>
            <w:r w:rsidRPr="00FF632D">
              <w:rPr>
                <w:rFonts w:ascii="Times New Roman" w:hAnsi="Times New Roman" w:cs="Times New Roman"/>
                <w:b/>
                <w:color w:val="000000" w:themeColor="text1"/>
              </w:rPr>
              <w:t>RR (95% CI)</w:t>
            </w:r>
          </w:p>
          <w:p w14:paraId="0534358A" w14:textId="77777777" w:rsidR="005507E7" w:rsidRPr="00FF632D" w:rsidRDefault="005507E7" w:rsidP="00C52861">
            <w:pPr>
              <w:spacing w:line="240" w:lineRule="auto"/>
              <w:jc w:val="center"/>
              <w:rPr>
                <w:rFonts w:ascii="Times New Roman" w:hAnsi="Times New Roman" w:cs="Times New Roman"/>
                <w:b/>
              </w:rPr>
            </w:pPr>
          </w:p>
        </w:tc>
      </w:tr>
      <w:tr w:rsidR="005507E7" w:rsidRPr="0094749A" w14:paraId="18BC7487" w14:textId="77777777" w:rsidTr="0081584E">
        <w:tc>
          <w:tcPr>
            <w:tcW w:w="14596" w:type="dxa"/>
            <w:gridSpan w:val="9"/>
          </w:tcPr>
          <w:p w14:paraId="1505C0A7" w14:textId="77777777" w:rsidR="005507E7" w:rsidRPr="00FF632D" w:rsidRDefault="005507E7" w:rsidP="00ED3F95">
            <w:pPr>
              <w:spacing w:before="120" w:line="240" w:lineRule="auto"/>
              <w:jc w:val="both"/>
              <w:rPr>
                <w:rFonts w:ascii="Times New Roman" w:hAnsi="Times New Roman" w:cs="Times New Roman"/>
              </w:rPr>
            </w:pPr>
            <w:r w:rsidRPr="00FF632D">
              <w:rPr>
                <w:rFonts w:ascii="Times New Roman" w:eastAsia="Times New Roman" w:hAnsi="Times New Roman" w:cs="Times New Roman"/>
                <w:b/>
                <w:lang w:val="en-029" w:eastAsia="en-029"/>
              </w:rPr>
              <w:t>Hospital admission in the antenatal period</w:t>
            </w:r>
          </w:p>
        </w:tc>
      </w:tr>
      <w:tr w:rsidR="005507E7" w:rsidRPr="0094749A" w14:paraId="02B5BCFF" w14:textId="77777777" w:rsidTr="0081584E">
        <w:tc>
          <w:tcPr>
            <w:tcW w:w="1550" w:type="dxa"/>
          </w:tcPr>
          <w:p w14:paraId="10CF18D1"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No</w:t>
            </w:r>
          </w:p>
        </w:tc>
        <w:tc>
          <w:tcPr>
            <w:tcW w:w="1098" w:type="dxa"/>
            <w:vAlign w:val="bottom"/>
          </w:tcPr>
          <w:p w14:paraId="73F7BF1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939</w:t>
            </w:r>
          </w:p>
        </w:tc>
        <w:tc>
          <w:tcPr>
            <w:tcW w:w="1549" w:type="dxa"/>
            <w:vAlign w:val="bottom"/>
          </w:tcPr>
          <w:p w14:paraId="026C071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25.6%</w:t>
            </w:r>
          </w:p>
        </w:tc>
        <w:tc>
          <w:tcPr>
            <w:tcW w:w="1121" w:type="dxa"/>
            <w:vMerge w:val="restart"/>
            <w:vAlign w:val="bottom"/>
          </w:tcPr>
          <w:p w14:paraId="0559D14F"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0.002</w:t>
            </w:r>
          </w:p>
        </w:tc>
        <w:tc>
          <w:tcPr>
            <w:tcW w:w="1923" w:type="dxa"/>
            <w:vAlign w:val="bottom"/>
          </w:tcPr>
          <w:p w14:paraId="61BF7B26"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1.0</w:t>
            </w:r>
          </w:p>
        </w:tc>
        <w:tc>
          <w:tcPr>
            <w:tcW w:w="2214" w:type="dxa"/>
            <w:vMerge w:val="restart"/>
            <w:vAlign w:val="bottom"/>
          </w:tcPr>
          <w:p w14:paraId="09E43B2A"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30.0 (25.2, 35.2); 1.40</w:t>
            </w:r>
          </w:p>
        </w:tc>
        <w:tc>
          <w:tcPr>
            <w:tcW w:w="2214" w:type="dxa"/>
            <w:vMerge w:val="restart"/>
            <w:vAlign w:val="bottom"/>
          </w:tcPr>
          <w:p w14:paraId="13BE60B3"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78.7 (75.9, 81.3); 0.89</w:t>
            </w:r>
          </w:p>
        </w:tc>
        <w:tc>
          <w:tcPr>
            <w:tcW w:w="1121" w:type="dxa"/>
            <w:vMerge w:val="restart"/>
            <w:vAlign w:val="bottom"/>
          </w:tcPr>
          <w:p w14:paraId="09906D7A"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0.07</w:t>
            </w:r>
          </w:p>
        </w:tc>
        <w:tc>
          <w:tcPr>
            <w:tcW w:w="1806" w:type="dxa"/>
            <w:vAlign w:val="bottom"/>
          </w:tcPr>
          <w:p w14:paraId="04C48883" w14:textId="3E078DCF" w:rsidR="005507E7" w:rsidRPr="00FF632D" w:rsidRDefault="00C52861" w:rsidP="00C52861">
            <w:pPr>
              <w:spacing w:line="240" w:lineRule="auto"/>
              <w:jc w:val="center"/>
              <w:rPr>
                <w:rFonts w:ascii="Times New Roman" w:hAnsi="Times New Roman" w:cs="Times New Roman"/>
                <w:b/>
              </w:rPr>
            </w:pPr>
            <w:r>
              <w:rPr>
                <w:rFonts w:ascii="Times New Roman" w:hAnsi="Times New Roman" w:cs="Times New Roman"/>
                <w:b/>
              </w:rPr>
              <w:t>1.0</w:t>
            </w:r>
          </w:p>
        </w:tc>
      </w:tr>
      <w:tr w:rsidR="005507E7" w:rsidRPr="0094749A" w14:paraId="09C202D9" w14:textId="77777777" w:rsidTr="0081584E">
        <w:tc>
          <w:tcPr>
            <w:tcW w:w="1550" w:type="dxa"/>
          </w:tcPr>
          <w:p w14:paraId="112026FB"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Yes</w:t>
            </w:r>
          </w:p>
        </w:tc>
        <w:tc>
          <w:tcPr>
            <w:tcW w:w="1098" w:type="dxa"/>
            <w:vAlign w:val="bottom"/>
          </w:tcPr>
          <w:p w14:paraId="19842256"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293</w:t>
            </w:r>
          </w:p>
        </w:tc>
        <w:tc>
          <w:tcPr>
            <w:tcW w:w="1549" w:type="dxa"/>
            <w:vAlign w:val="bottom"/>
          </w:tcPr>
          <w:p w14:paraId="7D25FBBB"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35.2%</w:t>
            </w:r>
          </w:p>
        </w:tc>
        <w:tc>
          <w:tcPr>
            <w:tcW w:w="1121" w:type="dxa"/>
            <w:vMerge/>
            <w:vAlign w:val="bottom"/>
          </w:tcPr>
          <w:p w14:paraId="35372181"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1F0D3359"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1.38 (1.14-1.66)</w:t>
            </w:r>
          </w:p>
        </w:tc>
        <w:tc>
          <w:tcPr>
            <w:tcW w:w="2214" w:type="dxa"/>
            <w:vMerge/>
            <w:vAlign w:val="bottom"/>
          </w:tcPr>
          <w:p w14:paraId="58779CDF" w14:textId="77777777" w:rsidR="005507E7" w:rsidRPr="00FF632D" w:rsidRDefault="005507E7" w:rsidP="00C52861">
            <w:pPr>
              <w:spacing w:line="240" w:lineRule="auto"/>
              <w:jc w:val="center"/>
              <w:rPr>
                <w:rFonts w:ascii="Times New Roman" w:hAnsi="Times New Roman" w:cs="Times New Roman"/>
                <w:b/>
              </w:rPr>
            </w:pPr>
          </w:p>
        </w:tc>
        <w:tc>
          <w:tcPr>
            <w:tcW w:w="2214" w:type="dxa"/>
            <w:vMerge/>
            <w:vAlign w:val="bottom"/>
          </w:tcPr>
          <w:p w14:paraId="7FC9F20C" w14:textId="77777777" w:rsidR="005507E7" w:rsidRPr="00FF632D" w:rsidRDefault="005507E7" w:rsidP="00C52861">
            <w:pPr>
              <w:spacing w:line="240" w:lineRule="auto"/>
              <w:jc w:val="center"/>
              <w:rPr>
                <w:rFonts w:ascii="Times New Roman" w:hAnsi="Times New Roman" w:cs="Times New Roman"/>
                <w:b/>
              </w:rPr>
            </w:pPr>
          </w:p>
        </w:tc>
        <w:tc>
          <w:tcPr>
            <w:tcW w:w="1121" w:type="dxa"/>
            <w:vMerge/>
            <w:vAlign w:val="bottom"/>
          </w:tcPr>
          <w:p w14:paraId="0157AACD"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1B403871"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1.20 (0.99-1.45)</w:t>
            </w:r>
          </w:p>
        </w:tc>
      </w:tr>
      <w:tr w:rsidR="005507E7" w:rsidRPr="0094749A" w14:paraId="151211E3" w14:textId="77777777" w:rsidTr="0081584E">
        <w:tc>
          <w:tcPr>
            <w:tcW w:w="14596" w:type="dxa"/>
            <w:gridSpan w:val="9"/>
            <w:vAlign w:val="bottom"/>
          </w:tcPr>
          <w:p w14:paraId="72F3FBDC" w14:textId="5DD51001" w:rsidR="005507E7" w:rsidRPr="00FF632D" w:rsidRDefault="005507E7" w:rsidP="00ED3F95">
            <w:pPr>
              <w:spacing w:before="120" w:line="240" w:lineRule="auto"/>
              <w:jc w:val="both"/>
              <w:rPr>
                <w:rFonts w:ascii="Times New Roman" w:eastAsia="Times New Roman" w:hAnsi="Times New Roman" w:cs="Times New Roman"/>
                <w:b/>
                <w:lang w:val="en-029" w:eastAsia="en-029"/>
              </w:rPr>
            </w:pPr>
            <w:r w:rsidRPr="00FF632D">
              <w:rPr>
                <w:rFonts w:ascii="Times New Roman" w:eastAsia="Times New Roman" w:hAnsi="Times New Roman" w:cs="Times New Roman"/>
                <w:b/>
                <w:lang w:val="en-029" w:eastAsia="en-029"/>
              </w:rPr>
              <w:t>Hospital admission from birth to 12 months post</w:t>
            </w:r>
            <w:r w:rsidR="00D97E25">
              <w:rPr>
                <w:rFonts w:ascii="Times New Roman" w:eastAsia="Times New Roman" w:hAnsi="Times New Roman" w:cs="Times New Roman"/>
                <w:b/>
                <w:lang w:val="en-029" w:eastAsia="en-029"/>
              </w:rPr>
              <w:t xml:space="preserve"> </w:t>
            </w:r>
            <w:r w:rsidRPr="00FF632D">
              <w:rPr>
                <w:rFonts w:ascii="Times New Roman" w:eastAsia="Times New Roman" w:hAnsi="Times New Roman" w:cs="Times New Roman"/>
                <w:b/>
                <w:lang w:val="en-029" w:eastAsia="en-029"/>
              </w:rPr>
              <w:t xml:space="preserve">childbirth </w:t>
            </w:r>
          </w:p>
        </w:tc>
      </w:tr>
      <w:tr w:rsidR="005507E7" w:rsidRPr="0094749A" w14:paraId="6E503E91" w14:textId="77777777" w:rsidTr="0081584E">
        <w:tc>
          <w:tcPr>
            <w:tcW w:w="1550" w:type="dxa"/>
          </w:tcPr>
          <w:p w14:paraId="7144DCF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No</w:t>
            </w:r>
          </w:p>
        </w:tc>
        <w:tc>
          <w:tcPr>
            <w:tcW w:w="1098" w:type="dxa"/>
            <w:vAlign w:val="bottom"/>
          </w:tcPr>
          <w:p w14:paraId="79DF10EE"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1,134</w:t>
            </w:r>
          </w:p>
        </w:tc>
        <w:tc>
          <w:tcPr>
            <w:tcW w:w="1549" w:type="dxa"/>
            <w:vAlign w:val="bottom"/>
          </w:tcPr>
          <w:p w14:paraId="7D9962A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26.9%</w:t>
            </w:r>
          </w:p>
        </w:tc>
        <w:tc>
          <w:tcPr>
            <w:tcW w:w="1121" w:type="dxa"/>
            <w:vMerge w:val="restart"/>
            <w:vAlign w:val="bottom"/>
          </w:tcPr>
          <w:p w14:paraId="006BC6E5"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0.009</w:t>
            </w:r>
          </w:p>
        </w:tc>
        <w:tc>
          <w:tcPr>
            <w:tcW w:w="1923" w:type="dxa"/>
            <w:vAlign w:val="bottom"/>
          </w:tcPr>
          <w:p w14:paraId="41B9E149"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1.0</w:t>
            </w:r>
          </w:p>
        </w:tc>
        <w:tc>
          <w:tcPr>
            <w:tcW w:w="2214" w:type="dxa"/>
            <w:vMerge w:val="restart"/>
            <w:vAlign w:val="bottom"/>
          </w:tcPr>
          <w:p w14:paraId="130479CD"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 xml:space="preserve">9.2 (6.4, 12.8); </w:t>
            </w:r>
          </w:p>
          <w:p w14:paraId="2DC168F8"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1.83</w:t>
            </w:r>
          </w:p>
        </w:tc>
        <w:tc>
          <w:tcPr>
            <w:tcW w:w="2214" w:type="dxa"/>
            <w:vMerge w:val="restart"/>
            <w:vAlign w:val="bottom"/>
          </w:tcPr>
          <w:p w14:paraId="6FE4AE1C"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95.0 (93.3, 96.3); 0.96</w:t>
            </w:r>
          </w:p>
        </w:tc>
        <w:tc>
          <w:tcPr>
            <w:tcW w:w="1121" w:type="dxa"/>
            <w:vMerge w:val="restart"/>
            <w:vAlign w:val="bottom"/>
          </w:tcPr>
          <w:p w14:paraId="32F854F8"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0.23</w:t>
            </w:r>
          </w:p>
        </w:tc>
        <w:tc>
          <w:tcPr>
            <w:tcW w:w="1806" w:type="dxa"/>
            <w:vAlign w:val="bottom"/>
          </w:tcPr>
          <w:p w14:paraId="7BE07E0A" w14:textId="42D8120B" w:rsidR="005507E7" w:rsidRPr="00FF632D" w:rsidRDefault="00C52861" w:rsidP="00C52861">
            <w:pPr>
              <w:spacing w:line="240" w:lineRule="auto"/>
              <w:jc w:val="center"/>
              <w:rPr>
                <w:rFonts w:ascii="Times New Roman" w:hAnsi="Times New Roman" w:cs="Times New Roman"/>
                <w:b/>
              </w:rPr>
            </w:pPr>
            <w:r>
              <w:rPr>
                <w:rFonts w:ascii="Times New Roman" w:hAnsi="Times New Roman" w:cs="Times New Roman"/>
                <w:b/>
              </w:rPr>
              <w:t>1.0</w:t>
            </w:r>
          </w:p>
        </w:tc>
      </w:tr>
      <w:tr w:rsidR="005507E7" w:rsidRPr="0094749A" w14:paraId="2116AA8C" w14:textId="77777777" w:rsidTr="0081584E">
        <w:tc>
          <w:tcPr>
            <w:tcW w:w="1550" w:type="dxa"/>
          </w:tcPr>
          <w:p w14:paraId="177D211C"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Yes</w:t>
            </w:r>
          </w:p>
        </w:tc>
        <w:tc>
          <w:tcPr>
            <w:tcW w:w="1098" w:type="dxa"/>
            <w:vAlign w:val="bottom"/>
          </w:tcPr>
          <w:p w14:paraId="366C0052"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75</w:t>
            </w:r>
          </w:p>
        </w:tc>
        <w:tc>
          <w:tcPr>
            <w:tcW w:w="1549" w:type="dxa"/>
            <w:vAlign w:val="bottom"/>
          </w:tcPr>
          <w:p w14:paraId="685518C3"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41.3%</w:t>
            </w:r>
          </w:p>
        </w:tc>
        <w:tc>
          <w:tcPr>
            <w:tcW w:w="1121" w:type="dxa"/>
            <w:vMerge/>
            <w:vAlign w:val="bottom"/>
          </w:tcPr>
          <w:p w14:paraId="23A3DBEA"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60386923"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1.54 (1.15-2.05)</w:t>
            </w:r>
          </w:p>
        </w:tc>
        <w:tc>
          <w:tcPr>
            <w:tcW w:w="2214" w:type="dxa"/>
            <w:vMerge/>
            <w:vAlign w:val="bottom"/>
          </w:tcPr>
          <w:p w14:paraId="6F264857" w14:textId="77777777" w:rsidR="005507E7" w:rsidRPr="00FF632D" w:rsidRDefault="005507E7" w:rsidP="00C52861">
            <w:pPr>
              <w:spacing w:line="240" w:lineRule="auto"/>
              <w:jc w:val="center"/>
              <w:rPr>
                <w:rFonts w:ascii="Times New Roman" w:hAnsi="Times New Roman" w:cs="Times New Roman"/>
                <w:b/>
              </w:rPr>
            </w:pPr>
          </w:p>
        </w:tc>
        <w:tc>
          <w:tcPr>
            <w:tcW w:w="2214" w:type="dxa"/>
            <w:vMerge/>
            <w:vAlign w:val="bottom"/>
          </w:tcPr>
          <w:p w14:paraId="2AB22FA3" w14:textId="77777777" w:rsidR="005507E7" w:rsidRPr="00FF632D" w:rsidRDefault="005507E7" w:rsidP="00C52861">
            <w:pPr>
              <w:spacing w:line="240" w:lineRule="auto"/>
              <w:jc w:val="center"/>
              <w:rPr>
                <w:rFonts w:ascii="Times New Roman" w:hAnsi="Times New Roman" w:cs="Times New Roman"/>
                <w:b/>
              </w:rPr>
            </w:pPr>
          </w:p>
        </w:tc>
        <w:tc>
          <w:tcPr>
            <w:tcW w:w="1121" w:type="dxa"/>
            <w:vMerge/>
            <w:vAlign w:val="bottom"/>
          </w:tcPr>
          <w:p w14:paraId="10DA47C6"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21003C51"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1.20 (0.91-1.57)</w:t>
            </w:r>
          </w:p>
        </w:tc>
      </w:tr>
      <w:tr w:rsidR="005507E7" w:rsidRPr="0094749A" w14:paraId="04463019" w14:textId="77777777" w:rsidTr="0081584E">
        <w:tc>
          <w:tcPr>
            <w:tcW w:w="14596" w:type="dxa"/>
            <w:gridSpan w:val="9"/>
          </w:tcPr>
          <w:p w14:paraId="7D997C65" w14:textId="51D3E149" w:rsidR="005507E7" w:rsidRPr="00FF632D" w:rsidRDefault="005507E7" w:rsidP="00ED3F95">
            <w:pPr>
              <w:spacing w:before="120" w:line="240" w:lineRule="auto"/>
              <w:jc w:val="both"/>
              <w:rPr>
                <w:rFonts w:ascii="Times New Roman" w:hAnsi="Times New Roman" w:cs="Times New Roman"/>
                <w:b/>
              </w:rPr>
            </w:pPr>
            <w:r w:rsidRPr="00FF632D">
              <w:rPr>
                <w:rFonts w:ascii="Times New Roman" w:hAnsi="Times New Roman" w:cs="Times New Roman"/>
                <w:b/>
              </w:rPr>
              <w:t>Hospital admission from one year to 22 months post</w:t>
            </w:r>
            <w:r w:rsidR="00D97E25">
              <w:rPr>
                <w:rFonts w:ascii="Times New Roman" w:hAnsi="Times New Roman" w:cs="Times New Roman"/>
                <w:b/>
              </w:rPr>
              <w:t xml:space="preserve"> </w:t>
            </w:r>
            <w:r w:rsidRPr="00FF632D">
              <w:rPr>
                <w:rFonts w:ascii="Times New Roman" w:hAnsi="Times New Roman" w:cs="Times New Roman"/>
                <w:b/>
              </w:rPr>
              <w:t>childbirth</w:t>
            </w:r>
          </w:p>
        </w:tc>
      </w:tr>
      <w:tr w:rsidR="005507E7" w:rsidRPr="0094749A" w14:paraId="4F00B679" w14:textId="77777777" w:rsidTr="0081584E">
        <w:tc>
          <w:tcPr>
            <w:tcW w:w="1550" w:type="dxa"/>
          </w:tcPr>
          <w:p w14:paraId="13AFD6D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No</w:t>
            </w:r>
          </w:p>
        </w:tc>
        <w:tc>
          <w:tcPr>
            <w:tcW w:w="1098" w:type="dxa"/>
            <w:vAlign w:val="bottom"/>
          </w:tcPr>
          <w:p w14:paraId="5BD2EDCB"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1,197</w:t>
            </w:r>
          </w:p>
        </w:tc>
        <w:tc>
          <w:tcPr>
            <w:tcW w:w="1549" w:type="dxa"/>
            <w:vAlign w:val="bottom"/>
          </w:tcPr>
          <w:p w14:paraId="45F97B35"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26.8%</w:t>
            </w:r>
          </w:p>
        </w:tc>
        <w:tc>
          <w:tcPr>
            <w:tcW w:w="1121" w:type="dxa"/>
            <w:vMerge w:val="restart"/>
            <w:vAlign w:val="bottom"/>
          </w:tcPr>
          <w:p w14:paraId="0EF880C4"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0.004</w:t>
            </w:r>
          </w:p>
        </w:tc>
        <w:tc>
          <w:tcPr>
            <w:tcW w:w="1923" w:type="dxa"/>
            <w:vAlign w:val="bottom"/>
          </w:tcPr>
          <w:p w14:paraId="6E7090E1"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1.0</w:t>
            </w:r>
          </w:p>
        </w:tc>
        <w:tc>
          <w:tcPr>
            <w:tcW w:w="2214" w:type="dxa"/>
            <w:vMerge w:val="restart"/>
            <w:vAlign w:val="bottom"/>
          </w:tcPr>
          <w:p w14:paraId="6F72F1FC"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5.6 (3.4, 8.6);</w:t>
            </w:r>
          </w:p>
          <w:p w14:paraId="27BA4044"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2.51</w:t>
            </w:r>
          </w:p>
        </w:tc>
        <w:tc>
          <w:tcPr>
            <w:tcW w:w="2214" w:type="dxa"/>
            <w:vMerge w:val="restart"/>
            <w:vAlign w:val="bottom"/>
          </w:tcPr>
          <w:p w14:paraId="2F4043F3"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97.7 (96.5, 98.5); 0.97</w:t>
            </w:r>
          </w:p>
        </w:tc>
        <w:tc>
          <w:tcPr>
            <w:tcW w:w="1121" w:type="dxa"/>
            <w:vMerge w:val="restart"/>
            <w:vAlign w:val="bottom"/>
          </w:tcPr>
          <w:p w14:paraId="4F7B938C"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0.03</w:t>
            </w:r>
          </w:p>
        </w:tc>
        <w:tc>
          <w:tcPr>
            <w:tcW w:w="1806" w:type="dxa"/>
            <w:vAlign w:val="bottom"/>
          </w:tcPr>
          <w:p w14:paraId="52D84CA2" w14:textId="763913A6" w:rsidR="005507E7" w:rsidRPr="00FF632D" w:rsidRDefault="00C52861" w:rsidP="00C52861">
            <w:pPr>
              <w:spacing w:line="240" w:lineRule="auto"/>
              <w:jc w:val="center"/>
              <w:rPr>
                <w:rFonts w:ascii="Times New Roman" w:hAnsi="Times New Roman" w:cs="Times New Roman"/>
                <w:b/>
              </w:rPr>
            </w:pPr>
            <w:r>
              <w:rPr>
                <w:rFonts w:ascii="Times New Roman" w:hAnsi="Times New Roman" w:cs="Times New Roman"/>
                <w:b/>
              </w:rPr>
              <w:t>1.0</w:t>
            </w:r>
          </w:p>
        </w:tc>
      </w:tr>
      <w:tr w:rsidR="005507E7" w:rsidRPr="0094749A" w14:paraId="517ED6EC" w14:textId="77777777" w:rsidTr="0081584E">
        <w:tc>
          <w:tcPr>
            <w:tcW w:w="1550" w:type="dxa"/>
          </w:tcPr>
          <w:p w14:paraId="69650EB4"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Yes</w:t>
            </w:r>
          </w:p>
        </w:tc>
        <w:tc>
          <w:tcPr>
            <w:tcW w:w="1098" w:type="dxa"/>
            <w:vAlign w:val="bottom"/>
          </w:tcPr>
          <w:p w14:paraId="64F20BEB"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39</w:t>
            </w:r>
          </w:p>
        </w:tc>
        <w:tc>
          <w:tcPr>
            <w:tcW w:w="1549" w:type="dxa"/>
            <w:vAlign w:val="bottom"/>
          </w:tcPr>
          <w:p w14:paraId="34C0323B"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48.7%</w:t>
            </w:r>
          </w:p>
        </w:tc>
        <w:tc>
          <w:tcPr>
            <w:tcW w:w="1121" w:type="dxa"/>
            <w:vMerge/>
            <w:vAlign w:val="bottom"/>
          </w:tcPr>
          <w:p w14:paraId="4C53BE93"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43C2EFA2"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1.82 (1.30-2.54)</w:t>
            </w:r>
          </w:p>
        </w:tc>
        <w:tc>
          <w:tcPr>
            <w:tcW w:w="2214" w:type="dxa"/>
            <w:vMerge/>
          </w:tcPr>
          <w:p w14:paraId="286FF8B6" w14:textId="77777777" w:rsidR="005507E7" w:rsidRPr="00FF632D" w:rsidRDefault="005507E7" w:rsidP="00C52861">
            <w:pPr>
              <w:spacing w:line="240" w:lineRule="auto"/>
              <w:jc w:val="center"/>
              <w:rPr>
                <w:rFonts w:ascii="Times New Roman" w:hAnsi="Times New Roman" w:cs="Times New Roman"/>
                <w:b/>
              </w:rPr>
            </w:pPr>
          </w:p>
        </w:tc>
        <w:tc>
          <w:tcPr>
            <w:tcW w:w="2214" w:type="dxa"/>
            <w:vMerge/>
          </w:tcPr>
          <w:p w14:paraId="6AA5364E" w14:textId="77777777" w:rsidR="005507E7" w:rsidRPr="00FF632D" w:rsidRDefault="005507E7" w:rsidP="00C52861">
            <w:pPr>
              <w:spacing w:line="240" w:lineRule="auto"/>
              <w:jc w:val="center"/>
              <w:rPr>
                <w:rFonts w:ascii="Times New Roman" w:hAnsi="Times New Roman" w:cs="Times New Roman"/>
                <w:b/>
              </w:rPr>
            </w:pPr>
          </w:p>
        </w:tc>
        <w:tc>
          <w:tcPr>
            <w:tcW w:w="1121" w:type="dxa"/>
            <w:vMerge/>
            <w:vAlign w:val="bottom"/>
          </w:tcPr>
          <w:p w14:paraId="5F214685"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1A9B43A5"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1.54 (1.12-2.12)</w:t>
            </w:r>
          </w:p>
        </w:tc>
      </w:tr>
      <w:tr w:rsidR="005507E7" w:rsidRPr="0094749A" w14:paraId="7224EEE0" w14:textId="77777777" w:rsidTr="0081584E">
        <w:tc>
          <w:tcPr>
            <w:tcW w:w="14596" w:type="dxa"/>
            <w:gridSpan w:val="9"/>
          </w:tcPr>
          <w:p w14:paraId="0A080E9A" w14:textId="77777777" w:rsidR="005507E7" w:rsidRPr="00FF632D" w:rsidRDefault="005507E7" w:rsidP="00C52861">
            <w:pPr>
              <w:spacing w:before="120" w:line="240" w:lineRule="auto"/>
              <w:jc w:val="both"/>
              <w:rPr>
                <w:rFonts w:ascii="Times New Roman" w:hAnsi="Times New Roman" w:cs="Times New Roman"/>
                <w:b/>
              </w:rPr>
            </w:pPr>
            <w:r w:rsidRPr="00FF632D">
              <w:rPr>
                <w:rFonts w:ascii="Times New Roman" w:eastAsia="Times New Roman" w:hAnsi="Times New Roman" w:cs="Times New Roman"/>
                <w:b/>
                <w:lang w:val="en-029" w:eastAsia="en-029"/>
              </w:rPr>
              <w:t>Chronic illness (reported at any stage after childbirth)</w:t>
            </w:r>
          </w:p>
        </w:tc>
      </w:tr>
      <w:tr w:rsidR="005507E7" w:rsidRPr="0094749A" w14:paraId="50174ECE" w14:textId="77777777" w:rsidTr="0081584E">
        <w:tc>
          <w:tcPr>
            <w:tcW w:w="1550" w:type="dxa"/>
          </w:tcPr>
          <w:p w14:paraId="0DED0BC7"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No</w:t>
            </w:r>
          </w:p>
        </w:tc>
        <w:tc>
          <w:tcPr>
            <w:tcW w:w="1098" w:type="dxa"/>
            <w:vAlign w:val="bottom"/>
          </w:tcPr>
          <w:p w14:paraId="59E98345"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817</w:t>
            </w:r>
          </w:p>
        </w:tc>
        <w:tc>
          <w:tcPr>
            <w:tcW w:w="1549" w:type="dxa"/>
            <w:vAlign w:val="bottom"/>
          </w:tcPr>
          <w:p w14:paraId="6E5DCDD2"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20.0%</w:t>
            </w:r>
          </w:p>
        </w:tc>
        <w:tc>
          <w:tcPr>
            <w:tcW w:w="1121" w:type="dxa"/>
            <w:vMerge w:val="restart"/>
            <w:vAlign w:val="bottom"/>
          </w:tcPr>
          <w:p w14:paraId="1FADF6BD" w14:textId="77777777" w:rsidR="005507E7" w:rsidRPr="00FF632D" w:rsidRDefault="005507E7" w:rsidP="00C52861">
            <w:pPr>
              <w:spacing w:line="240" w:lineRule="auto"/>
              <w:jc w:val="center"/>
              <w:rPr>
                <w:rFonts w:ascii="Times New Roman" w:hAnsi="Times New Roman" w:cs="Times New Roman"/>
                <w:b/>
              </w:rPr>
            </w:pPr>
          </w:p>
          <w:p w14:paraId="6FDF7777"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&lt;0.001</w:t>
            </w:r>
          </w:p>
        </w:tc>
        <w:tc>
          <w:tcPr>
            <w:tcW w:w="1923" w:type="dxa"/>
            <w:vAlign w:val="bottom"/>
          </w:tcPr>
          <w:p w14:paraId="6AF70305"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1.0</w:t>
            </w:r>
          </w:p>
        </w:tc>
        <w:tc>
          <w:tcPr>
            <w:tcW w:w="2214" w:type="dxa"/>
            <w:vMerge w:val="restart"/>
            <w:vAlign w:val="bottom"/>
          </w:tcPr>
          <w:p w14:paraId="213BBB26"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52.6 (47.2, 58.0);</w:t>
            </w:r>
          </w:p>
          <w:p w14:paraId="0B875CAD"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 xml:space="preserve"> 1.96</w:t>
            </w:r>
          </w:p>
        </w:tc>
        <w:tc>
          <w:tcPr>
            <w:tcW w:w="2214" w:type="dxa"/>
            <w:vMerge w:val="restart"/>
            <w:vAlign w:val="bottom"/>
          </w:tcPr>
          <w:p w14:paraId="62FB1157"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73.2 (70.1, 76.0); 0.65</w:t>
            </w:r>
          </w:p>
        </w:tc>
        <w:tc>
          <w:tcPr>
            <w:tcW w:w="1121" w:type="dxa"/>
            <w:vMerge w:val="restart"/>
            <w:vAlign w:val="bottom"/>
          </w:tcPr>
          <w:p w14:paraId="54D53529"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b/>
              </w:rPr>
              <w:t>&lt;0.001</w:t>
            </w:r>
          </w:p>
        </w:tc>
        <w:tc>
          <w:tcPr>
            <w:tcW w:w="1806" w:type="dxa"/>
            <w:vAlign w:val="bottom"/>
          </w:tcPr>
          <w:p w14:paraId="126537B8" w14:textId="06B3B77A" w:rsidR="005507E7" w:rsidRPr="00FF632D" w:rsidRDefault="00C52861" w:rsidP="00C52861">
            <w:pPr>
              <w:spacing w:line="240" w:lineRule="auto"/>
              <w:jc w:val="center"/>
              <w:rPr>
                <w:rFonts w:ascii="Times New Roman" w:hAnsi="Times New Roman" w:cs="Times New Roman"/>
                <w:b/>
              </w:rPr>
            </w:pPr>
            <w:r>
              <w:rPr>
                <w:rFonts w:ascii="Times New Roman" w:hAnsi="Times New Roman" w:cs="Times New Roman"/>
                <w:b/>
              </w:rPr>
              <w:t>1.0</w:t>
            </w:r>
          </w:p>
        </w:tc>
      </w:tr>
      <w:tr w:rsidR="005507E7" w:rsidRPr="0094749A" w14:paraId="3FF88093" w14:textId="77777777" w:rsidTr="0081584E">
        <w:tc>
          <w:tcPr>
            <w:tcW w:w="1550" w:type="dxa"/>
          </w:tcPr>
          <w:p w14:paraId="2937212F"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eastAsia="Times New Roman" w:hAnsi="Times New Roman" w:cs="Times New Roman"/>
                <w:lang w:val="en-029" w:eastAsia="en-029"/>
              </w:rPr>
              <w:t>Yes</w:t>
            </w:r>
          </w:p>
        </w:tc>
        <w:tc>
          <w:tcPr>
            <w:tcW w:w="1098" w:type="dxa"/>
            <w:vAlign w:val="bottom"/>
          </w:tcPr>
          <w:p w14:paraId="4300D493"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421</w:t>
            </w:r>
          </w:p>
        </w:tc>
        <w:tc>
          <w:tcPr>
            <w:tcW w:w="1549" w:type="dxa"/>
            <w:vAlign w:val="bottom"/>
          </w:tcPr>
          <w:p w14:paraId="11E7F6B4" w14:textId="77777777" w:rsidR="005507E7" w:rsidRPr="00FF632D" w:rsidRDefault="005507E7" w:rsidP="00C52861">
            <w:pPr>
              <w:spacing w:line="240" w:lineRule="auto"/>
              <w:jc w:val="both"/>
              <w:rPr>
                <w:rFonts w:ascii="Times New Roman" w:hAnsi="Times New Roman" w:cs="Times New Roman"/>
                <w:b/>
              </w:rPr>
            </w:pPr>
            <w:r w:rsidRPr="00FF632D">
              <w:rPr>
                <w:rFonts w:ascii="Times New Roman" w:hAnsi="Times New Roman" w:cs="Times New Roman"/>
              </w:rPr>
              <w:t>42.9%</w:t>
            </w:r>
          </w:p>
        </w:tc>
        <w:tc>
          <w:tcPr>
            <w:tcW w:w="1121" w:type="dxa"/>
            <w:vMerge/>
            <w:vAlign w:val="bottom"/>
          </w:tcPr>
          <w:p w14:paraId="0AF00F11"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367EB114"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2.15 (1.81-2.57)</w:t>
            </w:r>
          </w:p>
        </w:tc>
        <w:tc>
          <w:tcPr>
            <w:tcW w:w="2214" w:type="dxa"/>
            <w:vMerge/>
          </w:tcPr>
          <w:p w14:paraId="355C250E" w14:textId="77777777" w:rsidR="005507E7" w:rsidRPr="00FF632D" w:rsidRDefault="005507E7" w:rsidP="00C52861">
            <w:pPr>
              <w:spacing w:line="240" w:lineRule="auto"/>
              <w:jc w:val="center"/>
              <w:rPr>
                <w:rFonts w:ascii="Times New Roman" w:hAnsi="Times New Roman" w:cs="Times New Roman"/>
                <w:b/>
              </w:rPr>
            </w:pPr>
          </w:p>
        </w:tc>
        <w:tc>
          <w:tcPr>
            <w:tcW w:w="2214" w:type="dxa"/>
            <w:vMerge/>
          </w:tcPr>
          <w:p w14:paraId="2B066D4B" w14:textId="77777777" w:rsidR="005507E7" w:rsidRPr="00FF632D" w:rsidRDefault="005507E7" w:rsidP="00C52861">
            <w:pPr>
              <w:spacing w:line="240" w:lineRule="auto"/>
              <w:jc w:val="center"/>
              <w:rPr>
                <w:rFonts w:ascii="Times New Roman" w:hAnsi="Times New Roman" w:cs="Times New Roman"/>
                <w:b/>
              </w:rPr>
            </w:pPr>
          </w:p>
        </w:tc>
        <w:tc>
          <w:tcPr>
            <w:tcW w:w="1121" w:type="dxa"/>
            <w:vMerge/>
            <w:vAlign w:val="bottom"/>
          </w:tcPr>
          <w:p w14:paraId="309B9C9B"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5CD3AF4A" w14:textId="77777777" w:rsidR="005507E7" w:rsidRPr="00FF632D" w:rsidRDefault="005507E7" w:rsidP="00C52861">
            <w:pPr>
              <w:spacing w:line="240" w:lineRule="auto"/>
              <w:jc w:val="center"/>
              <w:rPr>
                <w:rFonts w:ascii="Times New Roman" w:hAnsi="Times New Roman" w:cs="Times New Roman"/>
                <w:b/>
              </w:rPr>
            </w:pPr>
            <w:r w:rsidRPr="00FF632D">
              <w:rPr>
                <w:rFonts w:ascii="Times New Roman" w:hAnsi="Times New Roman" w:cs="Times New Roman"/>
              </w:rPr>
              <w:t>2.06 (1.71-2.48)</w:t>
            </w:r>
          </w:p>
        </w:tc>
      </w:tr>
      <w:tr w:rsidR="005507E7" w:rsidRPr="0094749A" w14:paraId="55AD2EB8" w14:textId="77777777" w:rsidTr="0081584E">
        <w:trPr>
          <w:trHeight w:val="251"/>
        </w:trPr>
        <w:tc>
          <w:tcPr>
            <w:tcW w:w="14596" w:type="dxa"/>
            <w:gridSpan w:val="9"/>
          </w:tcPr>
          <w:p w14:paraId="3B696750" w14:textId="77777777" w:rsidR="005507E7" w:rsidRPr="00FF632D" w:rsidRDefault="005507E7" w:rsidP="00C52861">
            <w:pPr>
              <w:spacing w:before="120" w:line="240" w:lineRule="auto"/>
              <w:rPr>
                <w:rFonts w:ascii="Times New Roman" w:hAnsi="Times New Roman" w:cs="Times New Roman"/>
                <w:b/>
              </w:rPr>
            </w:pPr>
            <w:r w:rsidRPr="00FF632D">
              <w:rPr>
                <w:rFonts w:ascii="Times New Roman" w:eastAsia="Times New Roman" w:hAnsi="Times New Roman" w:cs="Times New Roman"/>
                <w:b/>
                <w:lang w:val="en-029" w:eastAsia="en-029"/>
              </w:rPr>
              <w:t>Mode of childbirth</w:t>
            </w:r>
          </w:p>
        </w:tc>
      </w:tr>
      <w:tr w:rsidR="005507E7" w:rsidRPr="0094749A" w14:paraId="27C1D6DF" w14:textId="77777777" w:rsidTr="0081584E">
        <w:tc>
          <w:tcPr>
            <w:tcW w:w="1550" w:type="dxa"/>
          </w:tcPr>
          <w:p w14:paraId="6FE62DB2" w14:textId="77777777" w:rsidR="005507E7" w:rsidRPr="00FF632D" w:rsidRDefault="005507E7" w:rsidP="00C52861">
            <w:pPr>
              <w:spacing w:line="240" w:lineRule="auto"/>
              <w:jc w:val="both"/>
              <w:rPr>
                <w:rFonts w:ascii="Times New Roman" w:eastAsia="Times New Roman" w:hAnsi="Times New Roman" w:cs="Times New Roman"/>
                <w:lang w:val="en-029" w:eastAsia="en-029"/>
              </w:rPr>
            </w:pPr>
            <w:r w:rsidRPr="00FF632D">
              <w:rPr>
                <w:rFonts w:ascii="Times New Roman" w:eastAsia="Times New Roman" w:hAnsi="Times New Roman" w:cs="Times New Roman"/>
                <w:lang w:val="en-029" w:eastAsia="en-029"/>
              </w:rPr>
              <w:t>Vaginal</w:t>
            </w:r>
          </w:p>
        </w:tc>
        <w:tc>
          <w:tcPr>
            <w:tcW w:w="1098" w:type="dxa"/>
            <w:vAlign w:val="bottom"/>
          </w:tcPr>
          <w:p w14:paraId="6C73F23C"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981</w:t>
            </w:r>
          </w:p>
        </w:tc>
        <w:tc>
          <w:tcPr>
            <w:tcW w:w="1549" w:type="dxa"/>
            <w:vAlign w:val="bottom"/>
          </w:tcPr>
          <w:p w14:paraId="3720C948"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26.8%</w:t>
            </w:r>
          </w:p>
        </w:tc>
        <w:tc>
          <w:tcPr>
            <w:tcW w:w="1121" w:type="dxa"/>
            <w:vMerge w:val="restart"/>
            <w:vAlign w:val="bottom"/>
          </w:tcPr>
          <w:p w14:paraId="7FD68EC4"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0.14</w:t>
            </w:r>
          </w:p>
        </w:tc>
        <w:tc>
          <w:tcPr>
            <w:tcW w:w="1923" w:type="dxa"/>
            <w:vAlign w:val="bottom"/>
          </w:tcPr>
          <w:p w14:paraId="652FFD92"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1.0</w:t>
            </w:r>
          </w:p>
        </w:tc>
        <w:tc>
          <w:tcPr>
            <w:tcW w:w="2214" w:type="dxa"/>
          </w:tcPr>
          <w:p w14:paraId="7D1FBA5A" w14:textId="77777777" w:rsidR="005507E7" w:rsidRPr="00FF632D" w:rsidRDefault="005507E7" w:rsidP="00C52861">
            <w:pPr>
              <w:spacing w:line="240" w:lineRule="auto"/>
              <w:jc w:val="center"/>
              <w:rPr>
                <w:rFonts w:ascii="Times New Roman" w:hAnsi="Times New Roman" w:cs="Times New Roman"/>
                <w:b/>
              </w:rPr>
            </w:pPr>
          </w:p>
        </w:tc>
        <w:tc>
          <w:tcPr>
            <w:tcW w:w="2214" w:type="dxa"/>
          </w:tcPr>
          <w:p w14:paraId="453D199D" w14:textId="77777777" w:rsidR="005507E7" w:rsidRPr="00FF632D" w:rsidRDefault="005507E7" w:rsidP="00C52861">
            <w:pPr>
              <w:spacing w:line="240" w:lineRule="auto"/>
              <w:jc w:val="center"/>
              <w:rPr>
                <w:rFonts w:ascii="Times New Roman" w:hAnsi="Times New Roman" w:cs="Times New Roman"/>
                <w:b/>
              </w:rPr>
            </w:pPr>
          </w:p>
        </w:tc>
        <w:tc>
          <w:tcPr>
            <w:tcW w:w="1121" w:type="dxa"/>
            <w:vAlign w:val="bottom"/>
          </w:tcPr>
          <w:p w14:paraId="540C6CE2"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7BB9F390" w14:textId="77777777" w:rsidR="005507E7" w:rsidRPr="00FF632D" w:rsidRDefault="005507E7" w:rsidP="00C52861">
            <w:pPr>
              <w:spacing w:line="240" w:lineRule="auto"/>
              <w:jc w:val="center"/>
              <w:rPr>
                <w:rFonts w:ascii="Times New Roman" w:hAnsi="Times New Roman" w:cs="Times New Roman"/>
              </w:rPr>
            </w:pPr>
          </w:p>
        </w:tc>
      </w:tr>
      <w:tr w:rsidR="005507E7" w:rsidRPr="0094749A" w14:paraId="0650DE13" w14:textId="77777777" w:rsidTr="0081584E">
        <w:tc>
          <w:tcPr>
            <w:tcW w:w="1550" w:type="dxa"/>
          </w:tcPr>
          <w:p w14:paraId="525CF0B8" w14:textId="29D3685C" w:rsidR="005507E7" w:rsidRPr="00FF632D" w:rsidRDefault="005507E7" w:rsidP="00C52861">
            <w:pPr>
              <w:spacing w:line="240" w:lineRule="auto"/>
              <w:jc w:val="both"/>
              <w:rPr>
                <w:rFonts w:ascii="Times New Roman" w:eastAsia="Times New Roman" w:hAnsi="Times New Roman" w:cs="Times New Roman"/>
                <w:lang w:val="en-029" w:eastAsia="en-029"/>
              </w:rPr>
            </w:pPr>
            <w:r w:rsidRPr="00FF632D">
              <w:rPr>
                <w:rFonts w:ascii="Times New Roman" w:eastAsia="Times New Roman" w:hAnsi="Times New Roman" w:cs="Times New Roman"/>
                <w:lang w:val="en-029" w:eastAsia="en-029"/>
              </w:rPr>
              <w:t xml:space="preserve">Elective </w:t>
            </w:r>
            <w:r w:rsidR="00A94842">
              <w:rPr>
                <w:rFonts w:ascii="Times New Roman" w:eastAsia="Times New Roman" w:hAnsi="Times New Roman" w:cs="Times New Roman"/>
                <w:lang w:val="en-029" w:eastAsia="en-029"/>
              </w:rPr>
              <w:t>CS</w:t>
            </w:r>
          </w:p>
        </w:tc>
        <w:tc>
          <w:tcPr>
            <w:tcW w:w="1098" w:type="dxa"/>
            <w:vAlign w:val="bottom"/>
          </w:tcPr>
          <w:p w14:paraId="528B962A"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180</w:t>
            </w:r>
          </w:p>
        </w:tc>
        <w:tc>
          <w:tcPr>
            <w:tcW w:w="1549" w:type="dxa"/>
            <w:vAlign w:val="bottom"/>
          </w:tcPr>
          <w:p w14:paraId="500CA27F"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32.8%</w:t>
            </w:r>
          </w:p>
        </w:tc>
        <w:tc>
          <w:tcPr>
            <w:tcW w:w="1121" w:type="dxa"/>
            <w:vMerge/>
            <w:vAlign w:val="bottom"/>
          </w:tcPr>
          <w:p w14:paraId="0FC2C8CB"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3E9DC161"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1.22 (0.97-1.54)</w:t>
            </w:r>
          </w:p>
        </w:tc>
        <w:tc>
          <w:tcPr>
            <w:tcW w:w="2214" w:type="dxa"/>
          </w:tcPr>
          <w:p w14:paraId="45107177" w14:textId="77777777" w:rsidR="005507E7" w:rsidRPr="00FF632D" w:rsidRDefault="005507E7" w:rsidP="00C52861">
            <w:pPr>
              <w:spacing w:line="240" w:lineRule="auto"/>
              <w:jc w:val="center"/>
              <w:rPr>
                <w:rFonts w:ascii="Times New Roman" w:hAnsi="Times New Roman" w:cs="Times New Roman"/>
                <w:b/>
              </w:rPr>
            </w:pPr>
          </w:p>
        </w:tc>
        <w:tc>
          <w:tcPr>
            <w:tcW w:w="2214" w:type="dxa"/>
          </w:tcPr>
          <w:p w14:paraId="22DDCA28" w14:textId="77777777" w:rsidR="005507E7" w:rsidRPr="00FF632D" w:rsidRDefault="005507E7" w:rsidP="00C52861">
            <w:pPr>
              <w:spacing w:line="240" w:lineRule="auto"/>
              <w:jc w:val="center"/>
              <w:rPr>
                <w:rFonts w:ascii="Times New Roman" w:hAnsi="Times New Roman" w:cs="Times New Roman"/>
                <w:b/>
              </w:rPr>
            </w:pPr>
          </w:p>
        </w:tc>
        <w:tc>
          <w:tcPr>
            <w:tcW w:w="1121" w:type="dxa"/>
            <w:vAlign w:val="bottom"/>
          </w:tcPr>
          <w:p w14:paraId="31A137E6"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10EA4474" w14:textId="77777777" w:rsidR="005507E7" w:rsidRPr="00FF632D" w:rsidRDefault="005507E7" w:rsidP="00C52861">
            <w:pPr>
              <w:spacing w:line="240" w:lineRule="auto"/>
              <w:jc w:val="center"/>
              <w:rPr>
                <w:rFonts w:ascii="Times New Roman" w:hAnsi="Times New Roman" w:cs="Times New Roman"/>
              </w:rPr>
            </w:pPr>
          </w:p>
        </w:tc>
      </w:tr>
      <w:tr w:rsidR="005507E7" w:rsidRPr="0094749A" w14:paraId="18B8E152" w14:textId="77777777" w:rsidTr="0081584E">
        <w:tc>
          <w:tcPr>
            <w:tcW w:w="1550" w:type="dxa"/>
          </w:tcPr>
          <w:p w14:paraId="676440C3" w14:textId="6B085785" w:rsidR="005507E7" w:rsidRPr="00FF632D" w:rsidRDefault="005507E7" w:rsidP="00C52861">
            <w:pPr>
              <w:spacing w:line="240" w:lineRule="auto"/>
              <w:jc w:val="both"/>
              <w:rPr>
                <w:rFonts w:ascii="Times New Roman" w:eastAsia="Times New Roman" w:hAnsi="Times New Roman" w:cs="Times New Roman"/>
                <w:lang w:val="en-029" w:eastAsia="en-029"/>
              </w:rPr>
            </w:pPr>
            <w:r w:rsidRPr="00FF632D">
              <w:rPr>
                <w:rFonts w:ascii="Times New Roman" w:eastAsia="Times New Roman" w:hAnsi="Times New Roman" w:cs="Times New Roman"/>
                <w:lang w:val="en-029" w:eastAsia="en-029"/>
              </w:rPr>
              <w:t xml:space="preserve">Emergency </w:t>
            </w:r>
            <w:r w:rsidR="00A94842">
              <w:rPr>
                <w:rFonts w:ascii="Times New Roman" w:eastAsia="Times New Roman" w:hAnsi="Times New Roman" w:cs="Times New Roman"/>
                <w:lang w:val="en-029" w:eastAsia="en-029"/>
              </w:rPr>
              <w:t>CS</w:t>
            </w:r>
          </w:p>
        </w:tc>
        <w:tc>
          <w:tcPr>
            <w:tcW w:w="1098" w:type="dxa"/>
            <w:vAlign w:val="bottom"/>
          </w:tcPr>
          <w:p w14:paraId="0C156C15"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87</w:t>
            </w:r>
          </w:p>
        </w:tc>
        <w:tc>
          <w:tcPr>
            <w:tcW w:w="1549" w:type="dxa"/>
            <w:vAlign w:val="bottom"/>
          </w:tcPr>
          <w:p w14:paraId="2CE0230B"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25.3%</w:t>
            </w:r>
          </w:p>
        </w:tc>
        <w:tc>
          <w:tcPr>
            <w:tcW w:w="1121" w:type="dxa"/>
            <w:vMerge/>
            <w:vAlign w:val="bottom"/>
          </w:tcPr>
          <w:p w14:paraId="2DAD266D"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66A7FDBC"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0.94 (0.65-1.37)</w:t>
            </w:r>
          </w:p>
        </w:tc>
        <w:tc>
          <w:tcPr>
            <w:tcW w:w="2214" w:type="dxa"/>
          </w:tcPr>
          <w:p w14:paraId="55BE02D7" w14:textId="77777777" w:rsidR="005507E7" w:rsidRPr="00FF632D" w:rsidRDefault="005507E7" w:rsidP="00C52861">
            <w:pPr>
              <w:spacing w:line="240" w:lineRule="auto"/>
              <w:jc w:val="center"/>
              <w:rPr>
                <w:rFonts w:ascii="Times New Roman" w:hAnsi="Times New Roman" w:cs="Times New Roman"/>
                <w:b/>
              </w:rPr>
            </w:pPr>
          </w:p>
        </w:tc>
        <w:tc>
          <w:tcPr>
            <w:tcW w:w="2214" w:type="dxa"/>
          </w:tcPr>
          <w:p w14:paraId="757FE15F" w14:textId="77777777" w:rsidR="005507E7" w:rsidRPr="00FF632D" w:rsidRDefault="005507E7" w:rsidP="00C52861">
            <w:pPr>
              <w:spacing w:line="240" w:lineRule="auto"/>
              <w:jc w:val="center"/>
              <w:rPr>
                <w:rFonts w:ascii="Times New Roman" w:hAnsi="Times New Roman" w:cs="Times New Roman"/>
                <w:b/>
              </w:rPr>
            </w:pPr>
          </w:p>
        </w:tc>
        <w:tc>
          <w:tcPr>
            <w:tcW w:w="1121" w:type="dxa"/>
            <w:vAlign w:val="bottom"/>
          </w:tcPr>
          <w:p w14:paraId="45F5EF99"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06F5A49D" w14:textId="77777777" w:rsidR="005507E7" w:rsidRPr="00FF632D" w:rsidRDefault="005507E7" w:rsidP="00C52861">
            <w:pPr>
              <w:spacing w:line="240" w:lineRule="auto"/>
              <w:jc w:val="center"/>
              <w:rPr>
                <w:rFonts w:ascii="Times New Roman" w:hAnsi="Times New Roman" w:cs="Times New Roman"/>
              </w:rPr>
            </w:pPr>
          </w:p>
        </w:tc>
      </w:tr>
      <w:tr w:rsidR="005507E7" w:rsidRPr="0094749A" w14:paraId="19AB5C6A" w14:textId="77777777" w:rsidTr="0081584E">
        <w:tc>
          <w:tcPr>
            <w:tcW w:w="1550" w:type="dxa"/>
          </w:tcPr>
          <w:p w14:paraId="07A8C8CE" w14:textId="77777777" w:rsidR="005507E7" w:rsidRPr="00FF632D" w:rsidRDefault="005507E7" w:rsidP="00C52861">
            <w:pPr>
              <w:spacing w:line="240" w:lineRule="auto"/>
              <w:jc w:val="both"/>
              <w:rPr>
                <w:rFonts w:ascii="Times New Roman" w:eastAsia="Times New Roman" w:hAnsi="Times New Roman" w:cs="Times New Roman"/>
                <w:lang w:val="en-029" w:eastAsia="en-029"/>
              </w:rPr>
            </w:pPr>
            <w:r w:rsidRPr="00FF632D">
              <w:rPr>
                <w:rFonts w:ascii="Times New Roman" w:eastAsia="Times New Roman" w:hAnsi="Times New Roman" w:cs="Times New Roman"/>
                <w:lang w:val="en-029" w:eastAsia="en-029"/>
              </w:rPr>
              <w:t>Other</w:t>
            </w:r>
          </w:p>
        </w:tc>
        <w:tc>
          <w:tcPr>
            <w:tcW w:w="1098" w:type="dxa"/>
            <w:vAlign w:val="bottom"/>
          </w:tcPr>
          <w:p w14:paraId="712C3B48"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7</w:t>
            </w:r>
          </w:p>
        </w:tc>
        <w:tc>
          <w:tcPr>
            <w:tcW w:w="1549" w:type="dxa"/>
            <w:vAlign w:val="bottom"/>
          </w:tcPr>
          <w:p w14:paraId="48EB3F0E" w14:textId="77777777" w:rsidR="005507E7" w:rsidRPr="00FF632D" w:rsidRDefault="005507E7" w:rsidP="00C52861">
            <w:pPr>
              <w:spacing w:line="240" w:lineRule="auto"/>
              <w:jc w:val="both"/>
              <w:rPr>
                <w:rFonts w:ascii="Times New Roman" w:hAnsi="Times New Roman" w:cs="Times New Roman"/>
              </w:rPr>
            </w:pPr>
            <w:r w:rsidRPr="00FF632D">
              <w:rPr>
                <w:rFonts w:ascii="Times New Roman" w:hAnsi="Times New Roman" w:cs="Times New Roman"/>
              </w:rPr>
              <w:t>57.1%</w:t>
            </w:r>
          </w:p>
        </w:tc>
        <w:tc>
          <w:tcPr>
            <w:tcW w:w="1121" w:type="dxa"/>
            <w:vMerge/>
            <w:vAlign w:val="bottom"/>
          </w:tcPr>
          <w:p w14:paraId="03DEC658" w14:textId="77777777" w:rsidR="005507E7" w:rsidRPr="00FF632D" w:rsidRDefault="005507E7" w:rsidP="00C52861">
            <w:pPr>
              <w:spacing w:line="240" w:lineRule="auto"/>
              <w:jc w:val="center"/>
              <w:rPr>
                <w:rFonts w:ascii="Times New Roman" w:hAnsi="Times New Roman" w:cs="Times New Roman"/>
                <w:b/>
              </w:rPr>
            </w:pPr>
          </w:p>
        </w:tc>
        <w:tc>
          <w:tcPr>
            <w:tcW w:w="1923" w:type="dxa"/>
            <w:vAlign w:val="bottom"/>
          </w:tcPr>
          <w:p w14:paraId="146BD1AC" w14:textId="77777777" w:rsidR="005507E7" w:rsidRPr="00FF632D" w:rsidRDefault="005507E7" w:rsidP="00C52861">
            <w:pPr>
              <w:spacing w:line="240" w:lineRule="auto"/>
              <w:jc w:val="center"/>
              <w:rPr>
                <w:rFonts w:ascii="Times New Roman" w:hAnsi="Times New Roman" w:cs="Times New Roman"/>
              </w:rPr>
            </w:pPr>
            <w:r w:rsidRPr="00FF632D">
              <w:rPr>
                <w:rFonts w:ascii="Times New Roman" w:hAnsi="Times New Roman" w:cs="Times New Roman"/>
              </w:rPr>
              <w:t>2.13 (1.11-4.08)</w:t>
            </w:r>
          </w:p>
        </w:tc>
        <w:tc>
          <w:tcPr>
            <w:tcW w:w="2214" w:type="dxa"/>
          </w:tcPr>
          <w:p w14:paraId="075773B4" w14:textId="77777777" w:rsidR="005507E7" w:rsidRPr="00FF632D" w:rsidRDefault="005507E7" w:rsidP="00C52861">
            <w:pPr>
              <w:spacing w:line="240" w:lineRule="auto"/>
              <w:jc w:val="center"/>
              <w:rPr>
                <w:rFonts w:ascii="Times New Roman" w:hAnsi="Times New Roman" w:cs="Times New Roman"/>
                <w:b/>
              </w:rPr>
            </w:pPr>
          </w:p>
        </w:tc>
        <w:tc>
          <w:tcPr>
            <w:tcW w:w="2214" w:type="dxa"/>
          </w:tcPr>
          <w:p w14:paraId="40FE670E" w14:textId="77777777" w:rsidR="005507E7" w:rsidRPr="00FF632D" w:rsidRDefault="005507E7" w:rsidP="00C52861">
            <w:pPr>
              <w:spacing w:line="240" w:lineRule="auto"/>
              <w:jc w:val="center"/>
              <w:rPr>
                <w:rFonts w:ascii="Times New Roman" w:hAnsi="Times New Roman" w:cs="Times New Roman"/>
                <w:b/>
              </w:rPr>
            </w:pPr>
          </w:p>
        </w:tc>
        <w:tc>
          <w:tcPr>
            <w:tcW w:w="1121" w:type="dxa"/>
            <w:vAlign w:val="bottom"/>
          </w:tcPr>
          <w:p w14:paraId="7AC4536F" w14:textId="77777777" w:rsidR="005507E7" w:rsidRPr="00FF632D" w:rsidRDefault="005507E7" w:rsidP="00C52861">
            <w:pPr>
              <w:spacing w:line="240" w:lineRule="auto"/>
              <w:jc w:val="center"/>
              <w:rPr>
                <w:rFonts w:ascii="Times New Roman" w:hAnsi="Times New Roman" w:cs="Times New Roman"/>
                <w:b/>
              </w:rPr>
            </w:pPr>
          </w:p>
        </w:tc>
        <w:tc>
          <w:tcPr>
            <w:tcW w:w="1806" w:type="dxa"/>
            <w:vAlign w:val="bottom"/>
          </w:tcPr>
          <w:p w14:paraId="58C1B0E0" w14:textId="77777777" w:rsidR="005507E7" w:rsidRPr="00FF632D" w:rsidRDefault="005507E7" w:rsidP="00C52861">
            <w:pPr>
              <w:spacing w:line="240" w:lineRule="auto"/>
              <w:jc w:val="center"/>
              <w:rPr>
                <w:rFonts w:ascii="Times New Roman" w:hAnsi="Times New Roman" w:cs="Times New Roman"/>
              </w:rPr>
            </w:pPr>
          </w:p>
        </w:tc>
      </w:tr>
    </w:tbl>
    <w:p w14:paraId="5E051C95" w14:textId="77777777" w:rsidR="005507E7" w:rsidRPr="00FF632D" w:rsidRDefault="005507E7" w:rsidP="005507E7">
      <w:pPr>
        <w:rPr>
          <w:b/>
          <w:u w:val="single"/>
        </w:rPr>
        <w:sectPr w:rsidR="005507E7" w:rsidRPr="00FF632D" w:rsidSect="00AC0B67">
          <w:headerReference w:type="default" r:id="rId21"/>
          <w:footerReference w:type="default" r:id="rId22"/>
          <w:pgSz w:w="16838" w:h="11906" w:orient="landscape"/>
          <w:pgMar w:top="1440" w:right="1440" w:bottom="1440" w:left="1440" w:header="708" w:footer="708" w:gutter="0"/>
          <w:cols w:space="708"/>
          <w:docGrid w:linePitch="360"/>
        </w:sectPr>
      </w:pPr>
    </w:p>
    <w:p w14:paraId="7675746D" w14:textId="27423755" w:rsidR="00FE4713" w:rsidRDefault="00FE4713" w:rsidP="003947D6">
      <w:pPr>
        <w:pStyle w:val="Footnotes"/>
        <w:ind w:left="0" w:firstLine="0"/>
      </w:pPr>
    </w:p>
    <w:sectPr w:rsidR="00FE4713" w:rsidSect="005507E7">
      <w:pgSz w:w="11901" w:h="16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E9BC" w14:textId="77777777" w:rsidR="00DB4180" w:rsidRDefault="00DB4180" w:rsidP="00AF2C92">
      <w:r>
        <w:separator/>
      </w:r>
    </w:p>
  </w:endnote>
  <w:endnote w:type="continuationSeparator" w:id="0">
    <w:p w14:paraId="521FADE4" w14:textId="77777777" w:rsidR="00DB4180" w:rsidRDefault="00DB4180" w:rsidP="00AF2C92">
      <w:r>
        <w:continuationSeparator/>
      </w:r>
    </w:p>
  </w:endnote>
  <w:endnote w:type="continuationNotice" w:id="1">
    <w:p w14:paraId="675F0FCC" w14:textId="77777777" w:rsidR="00DB4180" w:rsidRDefault="00DB41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824461"/>
      <w:docPartObj>
        <w:docPartGallery w:val="Page Numbers (Bottom of Page)"/>
        <w:docPartUnique/>
      </w:docPartObj>
    </w:sdtPr>
    <w:sdtEndPr>
      <w:rPr>
        <w:noProof/>
      </w:rPr>
    </w:sdtEndPr>
    <w:sdtContent>
      <w:p w14:paraId="2309DF81" w14:textId="77777777" w:rsidR="00AF470C" w:rsidRDefault="00AF470C">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4CD00B7D" w14:textId="77777777" w:rsidR="00AF470C" w:rsidRDefault="00AF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025621"/>
      <w:docPartObj>
        <w:docPartGallery w:val="Page Numbers (Bottom of Page)"/>
        <w:docPartUnique/>
      </w:docPartObj>
    </w:sdtPr>
    <w:sdtEndPr>
      <w:rPr>
        <w:noProof/>
      </w:rPr>
    </w:sdtEndPr>
    <w:sdtContent>
      <w:p w14:paraId="29D4689F" w14:textId="77777777" w:rsidR="00AF470C" w:rsidRDefault="00AF470C">
        <w:pPr>
          <w:pStyle w:val="Footer"/>
          <w:jc w:val="right"/>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14:paraId="54BE6E8E" w14:textId="77777777" w:rsidR="00AF470C" w:rsidRDefault="00AF4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90064"/>
      <w:docPartObj>
        <w:docPartGallery w:val="Page Numbers (Bottom of Page)"/>
        <w:docPartUnique/>
      </w:docPartObj>
    </w:sdtPr>
    <w:sdtEndPr>
      <w:rPr>
        <w:noProof/>
      </w:rPr>
    </w:sdtEndPr>
    <w:sdtContent>
      <w:p w14:paraId="232B5B5F" w14:textId="77777777" w:rsidR="00AF470C" w:rsidRDefault="00AF470C">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515D15C4" w14:textId="77777777" w:rsidR="00AF470C" w:rsidRDefault="00AF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475C" w14:textId="77777777" w:rsidR="00DB4180" w:rsidRDefault="00DB4180" w:rsidP="00AF2C92">
      <w:r>
        <w:separator/>
      </w:r>
    </w:p>
  </w:footnote>
  <w:footnote w:type="continuationSeparator" w:id="0">
    <w:p w14:paraId="6A616621" w14:textId="77777777" w:rsidR="00DB4180" w:rsidRDefault="00DB4180" w:rsidP="00AF2C92">
      <w:r>
        <w:continuationSeparator/>
      </w:r>
    </w:p>
  </w:footnote>
  <w:footnote w:type="continuationNotice" w:id="1">
    <w:p w14:paraId="1F277932" w14:textId="77777777" w:rsidR="00DB4180" w:rsidRDefault="00DB41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4F22" w14:textId="77777777" w:rsidR="00AF470C" w:rsidRDefault="00AF470C">
    <w:pPr>
      <w:pStyle w:val="Header"/>
      <w:jc w:val="right"/>
    </w:pPr>
  </w:p>
  <w:p w14:paraId="16C1C75C" w14:textId="77777777" w:rsidR="00AF470C" w:rsidRDefault="00AF470C" w:rsidP="00AC0B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F422" w14:textId="77777777" w:rsidR="00AF470C" w:rsidRDefault="00AF470C">
    <w:pPr>
      <w:pStyle w:val="Header"/>
      <w:jc w:val="right"/>
    </w:pPr>
  </w:p>
  <w:p w14:paraId="2CA1A674" w14:textId="77777777" w:rsidR="00AF470C" w:rsidRDefault="00AF470C" w:rsidP="00AC0B6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B311" w14:textId="77777777" w:rsidR="00AF470C" w:rsidRDefault="00AF470C">
    <w:pPr>
      <w:pStyle w:val="Header"/>
      <w:jc w:val="right"/>
    </w:pPr>
  </w:p>
  <w:p w14:paraId="39AE648C" w14:textId="77777777" w:rsidR="00AF470C" w:rsidRDefault="00AF470C" w:rsidP="00AC0B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307670"/>
    <w:multiLevelType w:val="multilevel"/>
    <w:tmpl w:val="DBD64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A7085F"/>
    <w:multiLevelType w:val="multilevel"/>
    <w:tmpl w:val="B6D22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3C3170"/>
    <w:multiLevelType w:val="hybridMultilevel"/>
    <w:tmpl w:val="02908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42625"/>
    <w:multiLevelType w:val="hybridMultilevel"/>
    <w:tmpl w:val="6204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50386E"/>
    <w:multiLevelType w:val="multilevel"/>
    <w:tmpl w:val="30FA45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2"/>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1"/>
  </w:num>
  <w:num w:numId="26">
    <w:abstractNumId w:val="26"/>
  </w:num>
  <w:num w:numId="27">
    <w:abstractNumId w:val="28"/>
  </w:num>
  <w:num w:numId="28">
    <w:abstractNumId w:val="24"/>
  </w:num>
  <w:num w:numId="29">
    <w:abstractNumId w:val="15"/>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01"/>
    <w:rsid w:val="00001899"/>
    <w:rsid w:val="0000336A"/>
    <w:rsid w:val="000049AD"/>
    <w:rsid w:val="0000681B"/>
    <w:rsid w:val="00012494"/>
    <w:rsid w:val="000133C0"/>
    <w:rsid w:val="00014C4E"/>
    <w:rsid w:val="00017107"/>
    <w:rsid w:val="000202E2"/>
    <w:rsid w:val="00022441"/>
    <w:rsid w:val="0002261E"/>
    <w:rsid w:val="00024839"/>
    <w:rsid w:val="00026871"/>
    <w:rsid w:val="0003362D"/>
    <w:rsid w:val="0003684B"/>
    <w:rsid w:val="00037A98"/>
    <w:rsid w:val="000427FB"/>
    <w:rsid w:val="0004455E"/>
    <w:rsid w:val="000466D2"/>
    <w:rsid w:val="00047CB5"/>
    <w:rsid w:val="00051FAA"/>
    <w:rsid w:val="000572A9"/>
    <w:rsid w:val="00061325"/>
    <w:rsid w:val="00072E19"/>
    <w:rsid w:val="000733AC"/>
    <w:rsid w:val="00074B81"/>
    <w:rsid w:val="00074D22"/>
    <w:rsid w:val="00075081"/>
    <w:rsid w:val="0007528A"/>
    <w:rsid w:val="000811AB"/>
    <w:rsid w:val="000820B5"/>
    <w:rsid w:val="00083C5F"/>
    <w:rsid w:val="00085DCA"/>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2505"/>
    <w:rsid w:val="000C554F"/>
    <w:rsid w:val="000D0DC5"/>
    <w:rsid w:val="000D15FF"/>
    <w:rsid w:val="000D28DF"/>
    <w:rsid w:val="000D488B"/>
    <w:rsid w:val="000D58A5"/>
    <w:rsid w:val="000D68DF"/>
    <w:rsid w:val="000E138D"/>
    <w:rsid w:val="000E187A"/>
    <w:rsid w:val="000E2D61"/>
    <w:rsid w:val="000E450E"/>
    <w:rsid w:val="000E6259"/>
    <w:rsid w:val="000F4677"/>
    <w:rsid w:val="000F5BE0"/>
    <w:rsid w:val="00100587"/>
    <w:rsid w:val="001027FA"/>
    <w:rsid w:val="0010284E"/>
    <w:rsid w:val="00103122"/>
    <w:rsid w:val="0010336A"/>
    <w:rsid w:val="001050F1"/>
    <w:rsid w:val="00105AEA"/>
    <w:rsid w:val="00106DAF"/>
    <w:rsid w:val="00114ABE"/>
    <w:rsid w:val="00116023"/>
    <w:rsid w:val="00117325"/>
    <w:rsid w:val="00134A51"/>
    <w:rsid w:val="00134C33"/>
    <w:rsid w:val="00140727"/>
    <w:rsid w:val="00151CBE"/>
    <w:rsid w:val="00157166"/>
    <w:rsid w:val="00160628"/>
    <w:rsid w:val="00161344"/>
    <w:rsid w:val="00162195"/>
    <w:rsid w:val="0016322A"/>
    <w:rsid w:val="00165A21"/>
    <w:rsid w:val="001705CE"/>
    <w:rsid w:val="00172889"/>
    <w:rsid w:val="0017714B"/>
    <w:rsid w:val="001804DF"/>
    <w:rsid w:val="00181BDC"/>
    <w:rsid w:val="00181DB0"/>
    <w:rsid w:val="0018263F"/>
    <w:rsid w:val="001829E3"/>
    <w:rsid w:val="001841FA"/>
    <w:rsid w:val="00190CBA"/>
    <w:rsid w:val="001924C0"/>
    <w:rsid w:val="0019731E"/>
    <w:rsid w:val="001A09FE"/>
    <w:rsid w:val="001A438E"/>
    <w:rsid w:val="001A67C9"/>
    <w:rsid w:val="001A69DE"/>
    <w:rsid w:val="001A713C"/>
    <w:rsid w:val="001B1C7C"/>
    <w:rsid w:val="001B398F"/>
    <w:rsid w:val="001B41C7"/>
    <w:rsid w:val="001B46C6"/>
    <w:rsid w:val="001B4B48"/>
    <w:rsid w:val="001B4D1F"/>
    <w:rsid w:val="001B7681"/>
    <w:rsid w:val="001B7CAE"/>
    <w:rsid w:val="001C0772"/>
    <w:rsid w:val="001C0D4F"/>
    <w:rsid w:val="001C1BA3"/>
    <w:rsid w:val="001C1DEC"/>
    <w:rsid w:val="001C5736"/>
    <w:rsid w:val="001D51F4"/>
    <w:rsid w:val="001D647F"/>
    <w:rsid w:val="001D6857"/>
    <w:rsid w:val="001E0572"/>
    <w:rsid w:val="001E0A67"/>
    <w:rsid w:val="001E1028"/>
    <w:rsid w:val="001E14E2"/>
    <w:rsid w:val="001E6302"/>
    <w:rsid w:val="001E7DCB"/>
    <w:rsid w:val="001F2595"/>
    <w:rsid w:val="001F3411"/>
    <w:rsid w:val="001F4287"/>
    <w:rsid w:val="001F4DBA"/>
    <w:rsid w:val="0020415E"/>
    <w:rsid w:val="00204FF4"/>
    <w:rsid w:val="0021056E"/>
    <w:rsid w:val="0021075D"/>
    <w:rsid w:val="0021165A"/>
    <w:rsid w:val="00211BC9"/>
    <w:rsid w:val="0021620C"/>
    <w:rsid w:val="00216E78"/>
    <w:rsid w:val="00217275"/>
    <w:rsid w:val="0022267C"/>
    <w:rsid w:val="00234151"/>
    <w:rsid w:val="00236F4B"/>
    <w:rsid w:val="00242B0D"/>
    <w:rsid w:val="002467C6"/>
    <w:rsid w:val="0024692A"/>
    <w:rsid w:val="00252BBA"/>
    <w:rsid w:val="00253123"/>
    <w:rsid w:val="00264001"/>
    <w:rsid w:val="00266354"/>
    <w:rsid w:val="00267A18"/>
    <w:rsid w:val="002726B4"/>
    <w:rsid w:val="00273462"/>
    <w:rsid w:val="0027395B"/>
    <w:rsid w:val="00275854"/>
    <w:rsid w:val="00283B41"/>
    <w:rsid w:val="0028590B"/>
    <w:rsid w:val="00285F28"/>
    <w:rsid w:val="00286398"/>
    <w:rsid w:val="00291C6C"/>
    <w:rsid w:val="002929BF"/>
    <w:rsid w:val="00292FB6"/>
    <w:rsid w:val="002A3C42"/>
    <w:rsid w:val="002A57A7"/>
    <w:rsid w:val="002A5D75"/>
    <w:rsid w:val="002B1B1A"/>
    <w:rsid w:val="002B33F3"/>
    <w:rsid w:val="002B7228"/>
    <w:rsid w:val="002C53EE"/>
    <w:rsid w:val="002D24F7"/>
    <w:rsid w:val="002D2799"/>
    <w:rsid w:val="002D2CD7"/>
    <w:rsid w:val="002D4DDC"/>
    <w:rsid w:val="002D4F75"/>
    <w:rsid w:val="002D6493"/>
    <w:rsid w:val="002D7AB6"/>
    <w:rsid w:val="002E06D0"/>
    <w:rsid w:val="002E0856"/>
    <w:rsid w:val="002E3C27"/>
    <w:rsid w:val="002E403A"/>
    <w:rsid w:val="002E7F3A"/>
    <w:rsid w:val="002F0DB6"/>
    <w:rsid w:val="002F4EDB"/>
    <w:rsid w:val="002F6054"/>
    <w:rsid w:val="00310E13"/>
    <w:rsid w:val="00315691"/>
    <w:rsid w:val="00315713"/>
    <w:rsid w:val="0031686C"/>
    <w:rsid w:val="00316FE0"/>
    <w:rsid w:val="003204D2"/>
    <w:rsid w:val="0032605E"/>
    <w:rsid w:val="003275D1"/>
    <w:rsid w:val="00330B2A"/>
    <w:rsid w:val="00331E17"/>
    <w:rsid w:val="00333063"/>
    <w:rsid w:val="00335E04"/>
    <w:rsid w:val="003408E3"/>
    <w:rsid w:val="00343480"/>
    <w:rsid w:val="00345E89"/>
    <w:rsid w:val="003522A1"/>
    <w:rsid w:val="0035254B"/>
    <w:rsid w:val="00353555"/>
    <w:rsid w:val="003565D4"/>
    <w:rsid w:val="003606C6"/>
    <w:rsid w:val="003607FB"/>
    <w:rsid w:val="00360FD5"/>
    <w:rsid w:val="003620CA"/>
    <w:rsid w:val="0036340D"/>
    <w:rsid w:val="003634A5"/>
    <w:rsid w:val="00366868"/>
    <w:rsid w:val="00367506"/>
    <w:rsid w:val="00370085"/>
    <w:rsid w:val="00372B2B"/>
    <w:rsid w:val="003744A7"/>
    <w:rsid w:val="00376235"/>
    <w:rsid w:val="00376722"/>
    <w:rsid w:val="00381892"/>
    <w:rsid w:val="00381FB6"/>
    <w:rsid w:val="00382494"/>
    <w:rsid w:val="003836D3"/>
    <w:rsid w:val="00383A52"/>
    <w:rsid w:val="00383BCF"/>
    <w:rsid w:val="00390BE3"/>
    <w:rsid w:val="00391652"/>
    <w:rsid w:val="003947D6"/>
    <w:rsid w:val="0039507F"/>
    <w:rsid w:val="003A1260"/>
    <w:rsid w:val="003A1F47"/>
    <w:rsid w:val="003A295F"/>
    <w:rsid w:val="003A41DD"/>
    <w:rsid w:val="003A7033"/>
    <w:rsid w:val="003B47FE"/>
    <w:rsid w:val="003B5673"/>
    <w:rsid w:val="003B6287"/>
    <w:rsid w:val="003B62C9"/>
    <w:rsid w:val="003C7176"/>
    <w:rsid w:val="003D0929"/>
    <w:rsid w:val="003D4706"/>
    <w:rsid w:val="003D4729"/>
    <w:rsid w:val="003D7DD6"/>
    <w:rsid w:val="003E3E4C"/>
    <w:rsid w:val="003E5AAF"/>
    <w:rsid w:val="003E600D"/>
    <w:rsid w:val="003E64DF"/>
    <w:rsid w:val="003E6A5D"/>
    <w:rsid w:val="003F193A"/>
    <w:rsid w:val="003F1EC2"/>
    <w:rsid w:val="003F4207"/>
    <w:rsid w:val="003F5C46"/>
    <w:rsid w:val="003F5E22"/>
    <w:rsid w:val="003F7CBB"/>
    <w:rsid w:val="003F7D34"/>
    <w:rsid w:val="004064FC"/>
    <w:rsid w:val="00410A31"/>
    <w:rsid w:val="00412C8E"/>
    <w:rsid w:val="0041518D"/>
    <w:rsid w:val="0042221D"/>
    <w:rsid w:val="00424DD3"/>
    <w:rsid w:val="004269C5"/>
    <w:rsid w:val="0043327E"/>
    <w:rsid w:val="00434EF4"/>
    <w:rsid w:val="00435939"/>
    <w:rsid w:val="00437CC7"/>
    <w:rsid w:val="00442B9C"/>
    <w:rsid w:val="00445EFA"/>
    <w:rsid w:val="0044738A"/>
    <w:rsid w:val="004473D3"/>
    <w:rsid w:val="00450475"/>
    <w:rsid w:val="00450E56"/>
    <w:rsid w:val="00452231"/>
    <w:rsid w:val="00460C13"/>
    <w:rsid w:val="004617ED"/>
    <w:rsid w:val="00463228"/>
    <w:rsid w:val="00463782"/>
    <w:rsid w:val="004667E0"/>
    <w:rsid w:val="0046760E"/>
    <w:rsid w:val="00470E10"/>
    <w:rsid w:val="00477A97"/>
    <w:rsid w:val="0048093B"/>
    <w:rsid w:val="00481343"/>
    <w:rsid w:val="0048549E"/>
    <w:rsid w:val="00485671"/>
    <w:rsid w:val="00493298"/>
    <w:rsid w:val="00493347"/>
    <w:rsid w:val="00496092"/>
    <w:rsid w:val="004A08DB"/>
    <w:rsid w:val="004A25D0"/>
    <w:rsid w:val="004A37E8"/>
    <w:rsid w:val="004A735F"/>
    <w:rsid w:val="004A7549"/>
    <w:rsid w:val="004B09D4"/>
    <w:rsid w:val="004B309D"/>
    <w:rsid w:val="004B330A"/>
    <w:rsid w:val="004B766A"/>
    <w:rsid w:val="004B7C8E"/>
    <w:rsid w:val="004C2185"/>
    <w:rsid w:val="004C3D3C"/>
    <w:rsid w:val="004C3EA6"/>
    <w:rsid w:val="004D053F"/>
    <w:rsid w:val="004D0EDC"/>
    <w:rsid w:val="004D1220"/>
    <w:rsid w:val="004D14B3"/>
    <w:rsid w:val="004D1529"/>
    <w:rsid w:val="004D2253"/>
    <w:rsid w:val="004D5514"/>
    <w:rsid w:val="004D56C3"/>
    <w:rsid w:val="004E0338"/>
    <w:rsid w:val="004E354B"/>
    <w:rsid w:val="004E4FF3"/>
    <w:rsid w:val="004E56A8"/>
    <w:rsid w:val="004F3B55"/>
    <w:rsid w:val="004F4E46"/>
    <w:rsid w:val="004F6B7D"/>
    <w:rsid w:val="005015F6"/>
    <w:rsid w:val="00502F24"/>
    <w:rsid w:val="005030C4"/>
    <w:rsid w:val="005031C5"/>
    <w:rsid w:val="00504FDC"/>
    <w:rsid w:val="00510031"/>
    <w:rsid w:val="005120CC"/>
    <w:rsid w:val="00512B7B"/>
    <w:rsid w:val="00514EA1"/>
    <w:rsid w:val="005164AE"/>
    <w:rsid w:val="00517252"/>
    <w:rsid w:val="0051798B"/>
    <w:rsid w:val="00521F5A"/>
    <w:rsid w:val="00525E06"/>
    <w:rsid w:val="00526454"/>
    <w:rsid w:val="00527F08"/>
    <w:rsid w:val="00531823"/>
    <w:rsid w:val="00534ECC"/>
    <w:rsid w:val="00536145"/>
    <w:rsid w:val="0053720D"/>
    <w:rsid w:val="00540EF5"/>
    <w:rsid w:val="00541BF3"/>
    <w:rsid w:val="00541CD3"/>
    <w:rsid w:val="005476FA"/>
    <w:rsid w:val="005507E7"/>
    <w:rsid w:val="0055595E"/>
    <w:rsid w:val="00557988"/>
    <w:rsid w:val="00562C49"/>
    <w:rsid w:val="00562DEF"/>
    <w:rsid w:val="0056321A"/>
    <w:rsid w:val="00563A35"/>
    <w:rsid w:val="00566596"/>
    <w:rsid w:val="005667B5"/>
    <w:rsid w:val="005741E9"/>
    <w:rsid w:val="005748CF"/>
    <w:rsid w:val="00580FD7"/>
    <w:rsid w:val="00584270"/>
    <w:rsid w:val="005843DA"/>
    <w:rsid w:val="00584738"/>
    <w:rsid w:val="005920B0"/>
    <w:rsid w:val="0059380D"/>
    <w:rsid w:val="00595A8F"/>
    <w:rsid w:val="00596A0A"/>
    <w:rsid w:val="005977C2"/>
    <w:rsid w:val="00597BF2"/>
    <w:rsid w:val="005A55F0"/>
    <w:rsid w:val="005B134E"/>
    <w:rsid w:val="005B2039"/>
    <w:rsid w:val="005B344F"/>
    <w:rsid w:val="005B3FBA"/>
    <w:rsid w:val="005B4A1D"/>
    <w:rsid w:val="005B674D"/>
    <w:rsid w:val="005C0CBE"/>
    <w:rsid w:val="005C119E"/>
    <w:rsid w:val="005C1FCF"/>
    <w:rsid w:val="005C343A"/>
    <w:rsid w:val="005C4A17"/>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0673"/>
    <w:rsid w:val="00650A87"/>
    <w:rsid w:val="0065293D"/>
    <w:rsid w:val="00653EFC"/>
    <w:rsid w:val="00654021"/>
    <w:rsid w:val="00661045"/>
    <w:rsid w:val="006617B1"/>
    <w:rsid w:val="00666DA8"/>
    <w:rsid w:val="00667B31"/>
    <w:rsid w:val="00671057"/>
    <w:rsid w:val="00675AAF"/>
    <w:rsid w:val="0068031A"/>
    <w:rsid w:val="00681B2F"/>
    <w:rsid w:val="0068335F"/>
    <w:rsid w:val="006850CF"/>
    <w:rsid w:val="00687217"/>
    <w:rsid w:val="00690A39"/>
    <w:rsid w:val="00690EF6"/>
    <w:rsid w:val="0069225F"/>
    <w:rsid w:val="00693302"/>
    <w:rsid w:val="00695277"/>
    <w:rsid w:val="0069640B"/>
    <w:rsid w:val="006971D9"/>
    <w:rsid w:val="006A1B83"/>
    <w:rsid w:val="006A21CD"/>
    <w:rsid w:val="006A310D"/>
    <w:rsid w:val="006A5918"/>
    <w:rsid w:val="006B21B2"/>
    <w:rsid w:val="006B3976"/>
    <w:rsid w:val="006B4A4A"/>
    <w:rsid w:val="006C19B2"/>
    <w:rsid w:val="006C4409"/>
    <w:rsid w:val="006C5BB8"/>
    <w:rsid w:val="006C6936"/>
    <w:rsid w:val="006C7B01"/>
    <w:rsid w:val="006D0FE8"/>
    <w:rsid w:val="006D4B2B"/>
    <w:rsid w:val="006D4F3C"/>
    <w:rsid w:val="006D5C66"/>
    <w:rsid w:val="006E07BF"/>
    <w:rsid w:val="006E1B3C"/>
    <w:rsid w:val="006E23FB"/>
    <w:rsid w:val="006E325A"/>
    <w:rsid w:val="006E33EC"/>
    <w:rsid w:val="006E3802"/>
    <w:rsid w:val="006E6C02"/>
    <w:rsid w:val="006F1D29"/>
    <w:rsid w:val="006F231A"/>
    <w:rsid w:val="006F2966"/>
    <w:rsid w:val="006F6B55"/>
    <w:rsid w:val="006F788D"/>
    <w:rsid w:val="006F78E1"/>
    <w:rsid w:val="00701072"/>
    <w:rsid w:val="00702054"/>
    <w:rsid w:val="00703522"/>
    <w:rsid w:val="007035A4"/>
    <w:rsid w:val="00704CC5"/>
    <w:rsid w:val="00711799"/>
    <w:rsid w:val="00712051"/>
    <w:rsid w:val="00712B78"/>
    <w:rsid w:val="007130A5"/>
    <w:rsid w:val="0071393B"/>
    <w:rsid w:val="00713EE2"/>
    <w:rsid w:val="007158A4"/>
    <w:rsid w:val="00717073"/>
    <w:rsid w:val="007177FC"/>
    <w:rsid w:val="007201A6"/>
    <w:rsid w:val="00720C5E"/>
    <w:rsid w:val="00721701"/>
    <w:rsid w:val="00731835"/>
    <w:rsid w:val="007341F8"/>
    <w:rsid w:val="00734372"/>
    <w:rsid w:val="00734EB8"/>
    <w:rsid w:val="00735F8B"/>
    <w:rsid w:val="00742D1F"/>
    <w:rsid w:val="00743EBA"/>
    <w:rsid w:val="00744C8E"/>
    <w:rsid w:val="0074707E"/>
    <w:rsid w:val="00750D48"/>
    <w:rsid w:val="007516DC"/>
    <w:rsid w:val="00752E58"/>
    <w:rsid w:val="007530CA"/>
    <w:rsid w:val="00754B80"/>
    <w:rsid w:val="00761918"/>
    <w:rsid w:val="00762F03"/>
    <w:rsid w:val="0076413B"/>
    <w:rsid w:val="007648AE"/>
    <w:rsid w:val="00764BF8"/>
    <w:rsid w:val="0076514D"/>
    <w:rsid w:val="00766639"/>
    <w:rsid w:val="00773D59"/>
    <w:rsid w:val="0077529F"/>
    <w:rsid w:val="00781003"/>
    <w:rsid w:val="00782840"/>
    <w:rsid w:val="007862B5"/>
    <w:rsid w:val="007911FD"/>
    <w:rsid w:val="00793930"/>
    <w:rsid w:val="00793DD1"/>
    <w:rsid w:val="00794FEC"/>
    <w:rsid w:val="007A003E"/>
    <w:rsid w:val="007A1965"/>
    <w:rsid w:val="007A1D49"/>
    <w:rsid w:val="007A2ED1"/>
    <w:rsid w:val="007A4BE6"/>
    <w:rsid w:val="007B0324"/>
    <w:rsid w:val="007B0DC6"/>
    <w:rsid w:val="007B1094"/>
    <w:rsid w:val="007B1762"/>
    <w:rsid w:val="007B3320"/>
    <w:rsid w:val="007C1FC2"/>
    <w:rsid w:val="007C301F"/>
    <w:rsid w:val="007C4540"/>
    <w:rsid w:val="007C65AF"/>
    <w:rsid w:val="007D135D"/>
    <w:rsid w:val="007D730F"/>
    <w:rsid w:val="007D7CD8"/>
    <w:rsid w:val="007E3AA7"/>
    <w:rsid w:val="007E57E9"/>
    <w:rsid w:val="007E5F16"/>
    <w:rsid w:val="007F737D"/>
    <w:rsid w:val="0080308E"/>
    <w:rsid w:val="00805303"/>
    <w:rsid w:val="00806705"/>
    <w:rsid w:val="00806738"/>
    <w:rsid w:val="00807636"/>
    <w:rsid w:val="0081584E"/>
    <w:rsid w:val="008216D5"/>
    <w:rsid w:val="008249CE"/>
    <w:rsid w:val="008265B3"/>
    <w:rsid w:val="00831A50"/>
    <w:rsid w:val="00831B3C"/>
    <w:rsid w:val="00831C89"/>
    <w:rsid w:val="00832114"/>
    <w:rsid w:val="00834C46"/>
    <w:rsid w:val="00836D96"/>
    <w:rsid w:val="0084093E"/>
    <w:rsid w:val="00841CE1"/>
    <w:rsid w:val="00842A08"/>
    <w:rsid w:val="008473D8"/>
    <w:rsid w:val="008528DC"/>
    <w:rsid w:val="00852B8C"/>
    <w:rsid w:val="00854981"/>
    <w:rsid w:val="00862742"/>
    <w:rsid w:val="00864B2E"/>
    <w:rsid w:val="00865963"/>
    <w:rsid w:val="00871C1D"/>
    <w:rsid w:val="0087450E"/>
    <w:rsid w:val="00875A82"/>
    <w:rsid w:val="00875CE2"/>
    <w:rsid w:val="00876CA3"/>
    <w:rsid w:val="008772FE"/>
    <w:rsid w:val="008775F1"/>
    <w:rsid w:val="00880446"/>
    <w:rsid w:val="008821AE"/>
    <w:rsid w:val="008831DE"/>
    <w:rsid w:val="00883D3A"/>
    <w:rsid w:val="00885453"/>
    <w:rsid w:val="008854F7"/>
    <w:rsid w:val="00885A9D"/>
    <w:rsid w:val="0088705C"/>
    <w:rsid w:val="008929D2"/>
    <w:rsid w:val="00893636"/>
    <w:rsid w:val="00893B94"/>
    <w:rsid w:val="00896E9D"/>
    <w:rsid w:val="00896F11"/>
    <w:rsid w:val="008A1049"/>
    <w:rsid w:val="008A1581"/>
    <w:rsid w:val="008A1C98"/>
    <w:rsid w:val="008A322D"/>
    <w:rsid w:val="008A4D72"/>
    <w:rsid w:val="008A6285"/>
    <w:rsid w:val="008A63B2"/>
    <w:rsid w:val="008B345D"/>
    <w:rsid w:val="008C1D87"/>
    <w:rsid w:val="008C1FC2"/>
    <w:rsid w:val="008C2980"/>
    <w:rsid w:val="008C4DD6"/>
    <w:rsid w:val="008C5AFB"/>
    <w:rsid w:val="008D07FB"/>
    <w:rsid w:val="008D0C02"/>
    <w:rsid w:val="008D357D"/>
    <w:rsid w:val="008D435A"/>
    <w:rsid w:val="008D4552"/>
    <w:rsid w:val="008E387B"/>
    <w:rsid w:val="008E6087"/>
    <w:rsid w:val="008E758D"/>
    <w:rsid w:val="008F0F01"/>
    <w:rsid w:val="008F10A7"/>
    <w:rsid w:val="008F6AB3"/>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833"/>
    <w:rsid w:val="00942BBC"/>
    <w:rsid w:val="00944180"/>
    <w:rsid w:val="00944AA0"/>
    <w:rsid w:val="00947DA2"/>
    <w:rsid w:val="00951177"/>
    <w:rsid w:val="009673E8"/>
    <w:rsid w:val="00974DB8"/>
    <w:rsid w:val="00975F5F"/>
    <w:rsid w:val="00980661"/>
    <w:rsid w:val="0098093B"/>
    <w:rsid w:val="009876D4"/>
    <w:rsid w:val="009914A5"/>
    <w:rsid w:val="0099548E"/>
    <w:rsid w:val="00996456"/>
    <w:rsid w:val="00996A12"/>
    <w:rsid w:val="00997B0F"/>
    <w:rsid w:val="009A0CC3"/>
    <w:rsid w:val="009A1CAD"/>
    <w:rsid w:val="009A1E59"/>
    <w:rsid w:val="009A3440"/>
    <w:rsid w:val="009A5832"/>
    <w:rsid w:val="009A6838"/>
    <w:rsid w:val="009B24B5"/>
    <w:rsid w:val="009B4EBC"/>
    <w:rsid w:val="009B5ABB"/>
    <w:rsid w:val="009B73CE"/>
    <w:rsid w:val="009C2461"/>
    <w:rsid w:val="009C2B86"/>
    <w:rsid w:val="009C6FE2"/>
    <w:rsid w:val="009C7674"/>
    <w:rsid w:val="009D004A"/>
    <w:rsid w:val="009D5880"/>
    <w:rsid w:val="009E1FD4"/>
    <w:rsid w:val="009E3B07"/>
    <w:rsid w:val="009E51D1"/>
    <w:rsid w:val="009E5531"/>
    <w:rsid w:val="009E7617"/>
    <w:rsid w:val="009F171E"/>
    <w:rsid w:val="009F3D2F"/>
    <w:rsid w:val="009F7052"/>
    <w:rsid w:val="009F74D2"/>
    <w:rsid w:val="00A02668"/>
    <w:rsid w:val="00A02801"/>
    <w:rsid w:val="00A06A39"/>
    <w:rsid w:val="00A07F58"/>
    <w:rsid w:val="00A131CB"/>
    <w:rsid w:val="00A14847"/>
    <w:rsid w:val="00A16D6D"/>
    <w:rsid w:val="00A21383"/>
    <w:rsid w:val="00A2199F"/>
    <w:rsid w:val="00A21B31"/>
    <w:rsid w:val="00A2360E"/>
    <w:rsid w:val="00A26E0C"/>
    <w:rsid w:val="00A32FCB"/>
    <w:rsid w:val="00A3337B"/>
    <w:rsid w:val="00A34C25"/>
    <w:rsid w:val="00A3507D"/>
    <w:rsid w:val="00A3717A"/>
    <w:rsid w:val="00A4088C"/>
    <w:rsid w:val="00A4456B"/>
    <w:rsid w:val="00A448D4"/>
    <w:rsid w:val="00A452E0"/>
    <w:rsid w:val="00A51EA5"/>
    <w:rsid w:val="00A522D7"/>
    <w:rsid w:val="00A53742"/>
    <w:rsid w:val="00A557A1"/>
    <w:rsid w:val="00A56916"/>
    <w:rsid w:val="00A578A0"/>
    <w:rsid w:val="00A63059"/>
    <w:rsid w:val="00A63AE3"/>
    <w:rsid w:val="00A651A4"/>
    <w:rsid w:val="00A71361"/>
    <w:rsid w:val="00A722CA"/>
    <w:rsid w:val="00A7414D"/>
    <w:rsid w:val="00A746E2"/>
    <w:rsid w:val="00A81FF2"/>
    <w:rsid w:val="00A83904"/>
    <w:rsid w:val="00A90A79"/>
    <w:rsid w:val="00A94842"/>
    <w:rsid w:val="00A96B30"/>
    <w:rsid w:val="00AA1E9F"/>
    <w:rsid w:val="00AA59B5"/>
    <w:rsid w:val="00AA7777"/>
    <w:rsid w:val="00AA7B84"/>
    <w:rsid w:val="00AC0B4C"/>
    <w:rsid w:val="00AC0B67"/>
    <w:rsid w:val="00AC1164"/>
    <w:rsid w:val="00AC2296"/>
    <w:rsid w:val="00AC2754"/>
    <w:rsid w:val="00AC48B0"/>
    <w:rsid w:val="00AC4ACD"/>
    <w:rsid w:val="00AC5DFB"/>
    <w:rsid w:val="00AD13DC"/>
    <w:rsid w:val="00AD2411"/>
    <w:rsid w:val="00AD6DE2"/>
    <w:rsid w:val="00AE0A40"/>
    <w:rsid w:val="00AE1ED4"/>
    <w:rsid w:val="00AE21E1"/>
    <w:rsid w:val="00AE2F8D"/>
    <w:rsid w:val="00AE3BAE"/>
    <w:rsid w:val="00AE6A21"/>
    <w:rsid w:val="00AF0F65"/>
    <w:rsid w:val="00AF1C8F"/>
    <w:rsid w:val="00AF2B68"/>
    <w:rsid w:val="00AF2C92"/>
    <w:rsid w:val="00AF3EC1"/>
    <w:rsid w:val="00AF470C"/>
    <w:rsid w:val="00AF5025"/>
    <w:rsid w:val="00AF519F"/>
    <w:rsid w:val="00AF5387"/>
    <w:rsid w:val="00AF55F5"/>
    <w:rsid w:val="00AF7E86"/>
    <w:rsid w:val="00B024B9"/>
    <w:rsid w:val="00B077FA"/>
    <w:rsid w:val="00B127D7"/>
    <w:rsid w:val="00B12EA7"/>
    <w:rsid w:val="00B13B0C"/>
    <w:rsid w:val="00B1453A"/>
    <w:rsid w:val="00B20F82"/>
    <w:rsid w:val="00B25BD5"/>
    <w:rsid w:val="00B3039F"/>
    <w:rsid w:val="00B30B86"/>
    <w:rsid w:val="00B34079"/>
    <w:rsid w:val="00B350BB"/>
    <w:rsid w:val="00B3793A"/>
    <w:rsid w:val="00B401BA"/>
    <w:rsid w:val="00B407E4"/>
    <w:rsid w:val="00B425B6"/>
    <w:rsid w:val="00B42A72"/>
    <w:rsid w:val="00B43A08"/>
    <w:rsid w:val="00B441AE"/>
    <w:rsid w:val="00B45A65"/>
    <w:rsid w:val="00B45F33"/>
    <w:rsid w:val="00B46A86"/>
    <w:rsid w:val="00B46D50"/>
    <w:rsid w:val="00B53170"/>
    <w:rsid w:val="00B548B9"/>
    <w:rsid w:val="00B56DBE"/>
    <w:rsid w:val="00B62999"/>
    <w:rsid w:val="00B63BE3"/>
    <w:rsid w:val="00B64885"/>
    <w:rsid w:val="00B66810"/>
    <w:rsid w:val="00B72BE3"/>
    <w:rsid w:val="00B73B80"/>
    <w:rsid w:val="00B770C7"/>
    <w:rsid w:val="00B80F26"/>
    <w:rsid w:val="00B822BD"/>
    <w:rsid w:val="00B825B6"/>
    <w:rsid w:val="00B842F4"/>
    <w:rsid w:val="00B870ED"/>
    <w:rsid w:val="00B91A7B"/>
    <w:rsid w:val="00B929DD"/>
    <w:rsid w:val="00B93AF6"/>
    <w:rsid w:val="00B93EC4"/>
    <w:rsid w:val="00B95405"/>
    <w:rsid w:val="00B963F1"/>
    <w:rsid w:val="00BA020A"/>
    <w:rsid w:val="00BB025A"/>
    <w:rsid w:val="00BB02A4"/>
    <w:rsid w:val="00BB1270"/>
    <w:rsid w:val="00BB1E44"/>
    <w:rsid w:val="00BB5267"/>
    <w:rsid w:val="00BB52B8"/>
    <w:rsid w:val="00BB59D8"/>
    <w:rsid w:val="00BB638A"/>
    <w:rsid w:val="00BB7E69"/>
    <w:rsid w:val="00BC0E51"/>
    <w:rsid w:val="00BC3C1F"/>
    <w:rsid w:val="00BC7CE7"/>
    <w:rsid w:val="00BD295E"/>
    <w:rsid w:val="00BD4664"/>
    <w:rsid w:val="00BE1193"/>
    <w:rsid w:val="00BF4849"/>
    <w:rsid w:val="00BF4EA7"/>
    <w:rsid w:val="00BF5D53"/>
    <w:rsid w:val="00BF7DE8"/>
    <w:rsid w:val="00C00EDB"/>
    <w:rsid w:val="00C02863"/>
    <w:rsid w:val="00C0383A"/>
    <w:rsid w:val="00C067FF"/>
    <w:rsid w:val="00C12862"/>
    <w:rsid w:val="00C13D28"/>
    <w:rsid w:val="00C14585"/>
    <w:rsid w:val="00C165A0"/>
    <w:rsid w:val="00C216CE"/>
    <w:rsid w:val="00C2184F"/>
    <w:rsid w:val="00C22A65"/>
    <w:rsid w:val="00C22A78"/>
    <w:rsid w:val="00C23C7E"/>
    <w:rsid w:val="00C246C5"/>
    <w:rsid w:val="00C25A82"/>
    <w:rsid w:val="00C30A2A"/>
    <w:rsid w:val="00C33993"/>
    <w:rsid w:val="00C351EA"/>
    <w:rsid w:val="00C4069E"/>
    <w:rsid w:val="00C41ADC"/>
    <w:rsid w:val="00C44149"/>
    <w:rsid w:val="00C44410"/>
    <w:rsid w:val="00C44A15"/>
    <w:rsid w:val="00C4630A"/>
    <w:rsid w:val="00C523F0"/>
    <w:rsid w:val="00C526D2"/>
    <w:rsid w:val="00C52861"/>
    <w:rsid w:val="00C53A91"/>
    <w:rsid w:val="00C5794E"/>
    <w:rsid w:val="00C60968"/>
    <w:rsid w:val="00C63D39"/>
    <w:rsid w:val="00C63EDD"/>
    <w:rsid w:val="00C64A2B"/>
    <w:rsid w:val="00C65B36"/>
    <w:rsid w:val="00C7292E"/>
    <w:rsid w:val="00C74E88"/>
    <w:rsid w:val="00C80924"/>
    <w:rsid w:val="00C8286B"/>
    <w:rsid w:val="00C842BE"/>
    <w:rsid w:val="00C91AFE"/>
    <w:rsid w:val="00C938B8"/>
    <w:rsid w:val="00C93A9E"/>
    <w:rsid w:val="00C947F8"/>
    <w:rsid w:val="00C9515F"/>
    <w:rsid w:val="00C95F71"/>
    <w:rsid w:val="00C963C5"/>
    <w:rsid w:val="00CA030C"/>
    <w:rsid w:val="00CA1F41"/>
    <w:rsid w:val="00CA32EE"/>
    <w:rsid w:val="00CA5771"/>
    <w:rsid w:val="00CA6A1A"/>
    <w:rsid w:val="00CA7D44"/>
    <w:rsid w:val="00CB61C3"/>
    <w:rsid w:val="00CC1E75"/>
    <w:rsid w:val="00CC2E0E"/>
    <w:rsid w:val="00CC361C"/>
    <w:rsid w:val="00CC474B"/>
    <w:rsid w:val="00CC59A5"/>
    <w:rsid w:val="00CC658C"/>
    <w:rsid w:val="00CC66A3"/>
    <w:rsid w:val="00CC67BF"/>
    <w:rsid w:val="00CC724D"/>
    <w:rsid w:val="00CD0843"/>
    <w:rsid w:val="00CD4E31"/>
    <w:rsid w:val="00CD5A78"/>
    <w:rsid w:val="00CD7345"/>
    <w:rsid w:val="00CE372E"/>
    <w:rsid w:val="00CF0A1B"/>
    <w:rsid w:val="00CF19F6"/>
    <w:rsid w:val="00CF2F4F"/>
    <w:rsid w:val="00CF39F3"/>
    <w:rsid w:val="00CF536D"/>
    <w:rsid w:val="00CF6120"/>
    <w:rsid w:val="00D02E9D"/>
    <w:rsid w:val="00D10CB8"/>
    <w:rsid w:val="00D12806"/>
    <w:rsid w:val="00D12D44"/>
    <w:rsid w:val="00D15018"/>
    <w:rsid w:val="00D158AC"/>
    <w:rsid w:val="00D1694C"/>
    <w:rsid w:val="00D20D46"/>
    <w:rsid w:val="00D20F5E"/>
    <w:rsid w:val="00D23B76"/>
    <w:rsid w:val="00D24B4A"/>
    <w:rsid w:val="00D3196D"/>
    <w:rsid w:val="00D34EE5"/>
    <w:rsid w:val="00D379A3"/>
    <w:rsid w:val="00D45FF3"/>
    <w:rsid w:val="00D512CF"/>
    <w:rsid w:val="00D528B9"/>
    <w:rsid w:val="00D53186"/>
    <w:rsid w:val="00D5487D"/>
    <w:rsid w:val="00D60140"/>
    <w:rsid w:val="00D6024A"/>
    <w:rsid w:val="00D608B5"/>
    <w:rsid w:val="00D62E79"/>
    <w:rsid w:val="00D64739"/>
    <w:rsid w:val="00D654D0"/>
    <w:rsid w:val="00D66949"/>
    <w:rsid w:val="00D71F99"/>
    <w:rsid w:val="00D73CA4"/>
    <w:rsid w:val="00D73D71"/>
    <w:rsid w:val="00D74396"/>
    <w:rsid w:val="00D763D7"/>
    <w:rsid w:val="00D80284"/>
    <w:rsid w:val="00D81881"/>
    <w:rsid w:val="00D81F71"/>
    <w:rsid w:val="00D8642D"/>
    <w:rsid w:val="00D875DE"/>
    <w:rsid w:val="00D90A5E"/>
    <w:rsid w:val="00D91A68"/>
    <w:rsid w:val="00D95A68"/>
    <w:rsid w:val="00D97E25"/>
    <w:rsid w:val="00DA17C7"/>
    <w:rsid w:val="00DA4279"/>
    <w:rsid w:val="00DA6A9A"/>
    <w:rsid w:val="00DA7E5B"/>
    <w:rsid w:val="00DB1EFD"/>
    <w:rsid w:val="00DB1FD2"/>
    <w:rsid w:val="00DB3EAF"/>
    <w:rsid w:val="00DB4180"/>
    <w:rsid w:val="00DB46C6"/>
    <w:rsid w:val="00DC284F"/>
    <w:rsid w:val="00DC3203"/>
    <w:rsid w:val="00DC3C99"/>
    <w:rsid w:val="00DC52F5"/>
    <w:rsid w:val="00DC5917"/>
    <w:rsid w:val="00DC5FD0"/>
    <w:rsid w:val="00DD02AC"/>
    <w:rsid w:val="00DD0354"/>
    <w:rsid w:val="00DD0377"/>
    <w:rsid w:val="00DD112C"/>
    <w:rsid w:val="00DD27D7"/>
    <w:rsid w:val="00DD3DD1"/>
    <w:rsid w:val="00DD458C"/>
    <w:rsid w:val="00DD72E9"/>
    <w:rsid w:val="00DD7605"/>
    <w:rsid w:val="00DE2020"/>
    <w:rsid w:val="00DE3476"/>
    <w:rsid w:val="00DE7BEA"/>
    <w:rsid w:val="00DF5B84"/>
    <w:rsid w:val="00DF6D5B"/>
    <w:rsid w:val="00DF771B"/>
    <w:rsid w:val="00DF7EE2"/>
    <w:rsid w:val="00E01BAA"/>
    <w:rsid w:val="00E0282A"/>
    <w:rsid w:val="00E02F9B"/>
    <w:rsid w:val="00E03C65"/>
    <w:rsid w:val="00E07A53"/>
    <w:rsid w:val="00E07E14"/>
    <w:rsid w:val="00E14F94"/>
    <w:rsid w:val="00E17336"/>
    <w:rsid w:val="00E17D15"/>
    <w:rsid w:val="00E22B95"/>
    <w:rsid w:val="00E30331"/>
    <w:rsid w:val="00E30BB8"/>
    <w:rsid w:val="00E31D09"/>
    <w:rsid w:val="00E31F9C"/>
    <w:rsid w:val="00E35A82"/>
    <w:rsid w:val="00E36622"/>
    <w:rsid w:val="00E40488"/>
    <w:rsid w:val="00E46A2A"/>
    <w:rsid w:val="00E50367"/>
    <w:rsid w:val="00E51ABA"/>
    <w:rsid w:val="00E524CB"/>
    <w:rsid w:val="00E5396E"/>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6273"/>
    <w:rsid w:val="00E97E4E"/>
    <w:rsid w:val="00EA1CC2"/>
    <w:rsid w:val="00EA2D76"/>
    <w:rsid w:val="00EA4644"/>
    <w:rsid w:val="00EA5E05"/>
    <w:rsid w:val="00EA5E2C"/>
    <w:rsid w:val="00EA61C2"/>
    <w:rsid w:val="00EA758A"/>
    <w:rsid w:val="00EB0452"/>
    <w:rsid w:val="00EB096F"/>
    <w:rsid w:val="00EB199F"/>
    <w:rsid w:val="00EB27C4"/>
    <w:rsid w:val="00EB5387"/>
    <w:rsid w:val="00EB5C10"/>
    <w:rsid w:val="00EB7322"/>
    <w:rsid w:val="00EC0396"/>
    <w:rsid w:val="00EC0FE9"/>
    <w:rsid w:val="00EC198B"/>
    <w:rsid w:val="00EC426D"/>
    <w:rsid w:val="00EC571B"/>
    <w:rsid w:val="00EC57D7"/>
    <w:rsid w:val="00EC6385"/>
    <w:rsid w:val="00ED1DE9"/>
    <w:rsid w:val="00ED23D4"/>
    <w:rsid w:val="00ED3F95"/>
    <w:rsid w:val="00ED5E0B"/>
    <w:rsid w:val="00EE37B6"/>
    <w:rsid w:val="00EE595E"/>
    <w:rsid w:val="00EF0F45"/>
    <w:rsid w:val="00EF7463"/>
    <w:rsid w:val="00EF7971"/>
    <w:rsid w:val="00F002EF"/>
    <w:rsid w:val="00F01EE9"/>
    <w:rsid w:val="00F04900"/>
    <w:rsid w:val="00F065A4"/>
    <w:rsid w:val="00F126B9"/>
    <w:rsid w:val="00F12715"/>
    <w:rsid w:val="00F13CAF"/>
    <w:rsid w:val="00F144D5"/>
    <w:rsid w:val="00F146F0"/>
    <w:rsid w:val="00F15039"/>
    <w:rsid w:val="00F20FF3"/>
    <w:rsid w:val="00F2190B"/>
    <w:rsid w:val="00F228B5"/>
    <w:rsid w:val="00F2389C"/>
    <w:rsid w:val="00F25C67"/>
    <w:rsid w:val="00F30DFF"/>
    <w:rsid w:val="00F32964"/>
    <w:rsid w:val="00F32B80"/>
    <w:rsid w:val="00F340EB"/>
    <w:rsid w:val="00F35285"/>
    <w:rsid w:val="00F43B9D"/>
    <w:rsid w:val="00F44D5E"/>
    <w:rsid w:val="00F46342"/>
    <w:rsid w:val="00F53A35"/>
    <w:rsid w:val="00F55A3D"/>
    <w:rsid w:val="00F5744B"/>
    <w:rsid w:val="00F61209"/>
    <w:rsid w:val="00F6259E"/>
    <w:rsid w:val="00F648EB"/>
    <w:rsid w:val="00F65DD4"/>
    <w:rsid w:val="00F672B2"/>
    <w:rsid w:val="00F73093"/>
    <w:rsid w:val="00F80053"/>
    <w:rsid w:val="00F83973"/>
    <w:rsid w:val="00F87FA3"/>
    <w:rsid w:val="00F9019B"/>
    <w:rsid w:val="00F902B8"/>
    <w:rsid w:val="00F93D8C"/>
    <w:rsid w:val="00F96B8F"/>
    <w:rsid w:val="00FA3102"/>
    <w:rsid w:val="00FA48D4"/>
    <w:rsid w:val="00FA4C19"/>
    <w:rsid w:val="00FA54FA"/>
    <w:rsid w:val="00FA6D39"/>
    <w:rsid w:val="00FB227E"/>
    <w:rsid w:val="00FB3C0A"/>
    <w:rsid w:val="00FB3D61"/>
    <w:rsid w:val="00FB44CE"/>
    <w:rsid w:val="00FB5009"/>
    <w:rsid w:val="00FB76AB"/>
    <w:rsid w:val="00FC02D2"/>
    <w:rsid w:val="00FD03FE"/>
    <w:rsid w:val="00FD126E"/>
    <w:rsid w:val="00FD3C36"/>
    <w:rsid w:val="00FD4D81"/>
    <w:rsid w:val="00FD526D"/>
    <w:rsid w:val="00FD7498"/>
    <w:rsid w:val="00FD7FB3"/>
    <w:rsid w:val="00FE4713"/>
    <w:rsid w:val="00FF1D36"/>
    <w:rsid w:val="00FF1F44"/>
    <w:rsid w:val="00FF225E"/>
    <w:rsid w:val="00FF672C"/>
    <w:rsid w:val="00FF691B"/>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A5F7"/>
  <w15:docId w15:val="{9AE9E780-D1AD-4733-9E80-71248C5A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99"/>
    <w:lsdException w:name="Plain Table 2" w:uiPriority="99"/>
    <w:lsdException w:name="Plain Table 3" w:uiPriority="43"/>
    <w:lsdException w:name="Plain Table 4" w:uiPriority="99"/>
    <w:lsdException w:name="Plain Table 5" w:uiPriority="45"/>
    <w:lsdException w:name="Grid Table Light" w:uiPriority="40"/>
    <w:lsdException w:name="Grid Table 1 Light" w:uiPriority="99"/>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unhideWhenUsed/>
    <w:qFormat/>
    <w:rsid w:val="005507E7"/>
    <w:pPr>
      <w:keepNext/>
      <w:keepLines/>
      <w:spacing w:before="40" w:line="264" w:lineRule="auto"/>
      <w:outlineLvl w:val="4"/>
    </w:pPr>
    <w:rPr>
      <w:rFonts w:asciiTheme="majorHAnsi" w:eastAsiaTheme="majorEastAsia" w:hAnsiTheme="majorHAnsi" w:cstheme="majorBidi"/>
      <w:color w:val="1F497D" w:themeColor="text2"/>
      <w:sz w:val="22"/>
      <w:szCs w:val="22"/>
      <w:lang w:eastAsia="en-US"/>
    </w:rPr>
  </w:style>
  <w:style w:type="paragraph" w:styleId="Heading6">
    <w:name w:val="heading 6"/>
    <w:basedOn w:val="Normal"/>
    <w:next w:val="Normal"/>
    <w:link w:val="Heading6Char"/>
    <w:uiPriority w:val="9"/>
    <w:unhideWhenUsed/>
    <w:qFormat/>
    <w:rsid w:val="005507E7"/>
    <w:pPr>
      <w:keepNext/>
      <w:keepLines/>
      <w:spacing w:before="40" w:line="264" w:lineRule="auto"/>
      <w:outlineLvl w:val="5"/>
    </w:pPr>
    <w:rPr>
      <w:rFonts w:asciiTheme="majorHAnsi" w:eastAsiaTheme="majorEastAsia" w:hAnsiTheme="majorHAnsi" w:cstheme="majorBidi"/>
      <w:i/>
      <w:iCs/>
      <w:color w:val="1F497D" w:themeColor="text2"/>
      <w:sz w:val="21"/>
      <w:szCs w:val="21"/>
      <w:lang w:eastAsia="en-US"/>
    </w:rPr>
  </w:style>
  <w:style w:type="paragraph" w:styleId="Heading7">
    <w:name w:val="heading 7"/>
    <w:basedOn w:val="Normal"/>
    <w:next w:val="Normal"/>
    <w:link w:val="Heading7Char"/>
    <w:uiPriority w:val="9"/>
    <w:semiHidden/>
    <w:unhideWhenUsed/>
    <w:qFormat/>
    <w:rsid w:val="005507E7"/>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eastAsia="en-US"/>
    </w:rPr>
  </w:style>
  <w:style w:type="paragraph" w:styleId="Heading8">
    <w:name w:val="heading 8"/>
    <w:basedOn w:val="Normal"/>
    <w:next w:val="Normal"/>
    <w:link w:val="Heading8Char"/>
    <w:uiPriority w:val="9"/>
    <w:semiHidden/>
    <w:unhideWhenUsed/>
    <w:qFormat/>
    <w:rsid w:val="005507E7"/>
    <w:pPr>
      <w:keepNext/>
      <w:keepLines/>
      <w:spacing w:before="40" w:line="264" w:lineRule="auto"/>
      <w:outlineLvl w:val="7"/>
    </w:pPr>
    <w:rPr>
      <w:rFonts w:asciiTheme="majorHAnsi" w:eastAsiaTheme="majorEastAsia" w:hAnsiTheme="majorHAnsi" w:cstheme="majorBidi"/>
      <w:b/>
      <w:bCs/>
      <w:color w:val="1F497D" w:themeColor="text2"/>
      <w:sz w:val="20"/>
      <w:szCs w:val="20"/>
      <w:lang w:eastAsia="en-US"/>
    </w:rPr>
  </w:style>
  <w:style w:type="paragraph" w:styleId="Heading9">
    <w:name w:val="heading 9"/>
    <w:basedOn w:val="Normal"/>
    <w:next w:val="Normal"/>
    <w:link w:val="Heading9Char"/>
    <w:uiPriority w:val="9"/>
    <w:semiHidden/>
    <w:unhideWhenUsed/>
    <w:qFormat/>
    <w:rsid w:val="005507E7"/>
    <w:pPr>
      <w:keepNext/>
      <w:keepLines/>
      <w:spacing w:before="40" w:line="264" w:lineRule="auto"/>
      <w:outlineLvl w:val="8"/>
    </w:pPr>
    <w:rPr>
      <w:rFonts w:asciiTheme="majorHAnsi" w:eastAsiaTheme="majorEastAsia" w:hAnsiTheme="majorHAnsi" w:cstheme="majorBidi"/>
      <w:b/>
      <w:bCs/>
      <w:i/>
      <w:iCs/>
      <w:color w:val="1F497D" w:themeColor="text2"/>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5507E7"/>
    <w:rPr>
      <w:color w:val="0000FF" w:themeColor="hyperlink"/>
      <w:u w:val="single"/>
    </w:rPr>
  </w:style>
  <w:style w:type="paragraph" w:styleId="BalloonText">
    <w:name w:val="Balloon Text"/>
    <w:basedOn w:val="Normal"/>
    <w:link w:val="BalloonTextChar"/>
    <w:uiPriority w:val="99"/>
    <w:semiHidden/>
    <w:unhideWhenUsed/>
    <w:rsid w:val="005507E7"/>
    <w:pPr>
      <w:spacing w:line="240" w:lineRule="auto"/>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5507E7"/>
    <w:rPr>
      <w:rFonts w:ascii="Tahoma" w:eastAsiaTheme="minorEastAsia" w:hAnsi="Tahoma" w:cs="Tahoma"/>
      <w:sz w:val="16"/>
      <w:szCs w:val="16"/>
      <w:lang w:eastAsia="en-US"/>
    </w:rPr>
  </w:style>
  <w:style w:type="paragraph" w:styleId="Title">
    <w:name w:val="Title"/>
    <w:basedOn w:val="Normal"/>
    <w:next w:val="Normal"/>
    <w:link w:val="TitleChar"/>
    <w:uiPriority w:val="10"/>
    <w:qFormat/>
    <w:rsid w:val="005507E7"/>
    <w:pPr>
      <w:spacing w:line="240" w:lineRule="auto"/>
      <w:contextualSpacing/>
    </w:pPr>
    <w:rPr>
      <w:rFonts w:asciiTheme="majorHAnsi" w:eastAsiaTheme="majorEastAsia" w:hAnsiTheme="majorHAnsi" w:cstheme="majorBidi"/>
      <w:color w:val="4F81BD" w:themeColor="accent1"/>
      <w:spacing w:val="-10"/>
      <w:sz w:val="32"/>
      <w:szCs w:val="56"/>
      <w:lang w:eastAsia="en-US"/>
    </w:rPr>
  </w:style>
  <w:style w:type="character" w:customStyle="1" w:styleId="TitleChar">
    <w:name w:val="Title Char"/>
    <w:basedOn w:val="DefaultParagraphFont"/>
    <w:link w:val="Title"/>
    <w:uiPriority w:val="10"/>
    <w:rsid w:val="005507E7"/>
    <w:rPr>
      <w:rFonts w:asciiTheme="majorHAnsi" w:eastAsiaTheme="majorEastAsia" w:hAnsiTheme="majorHAnsi" w:cstheme="majorBidi"/>
      <w:color w:val="4F81BD" w:themeColor="accent1"/>
      <w:spacing w:val="-10"/>
      <w:sz w:val="32"/>
      <w:szCs w:val="56"/>
      <w:lang w:eastAsia="en-US"/>
    </w:rPr>
  </w:style>
  <w:style w:type="character" w:styleId="CommentReference">
    <w:name w:val="annotation reference"/>
    <w:basedOn w:val="DefaultParagraphFont"/>
    <w:uiPriority w:val="99"/>
    <w:semiHidden/>
    <w:unhideWhenUsed/>
    <w:rsid w:val="005507E7"/>
    <w:rPr>
      <w:sz w:val="16"/>
      <w:szCs w:val="16"/>
    </w:rPr>
  </w:style>
  <w:style w:type="paragraph" w:styleId="CommentText">
    <w:name w:val="annotation text"/>
    <w:basedOn w:val="Normal"/>
    <w:link w:val="CommentTextChar"/>
    <w:uiPriority w:val="99"/>
    <w:unhideWhenUsed/>
    <w:rsid w:val="005507E7"/>
    <w:pPr>
      <w:spacing w:after="120" w:line="240" w:lineRule="auto"/>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5507E7"/>
    <w:rPr>
      <w:rFonts w:asciiTheme="minorHAnsi" w:eastAsiaTheme="minorEastAsia" w:hAnsiTheme="minorHAnsi" w:cstheme="minorBidi"/>
      <w:lang w:eastAsia="en-US"/>
    </w:rPr>
  </w:style>
  <w:style w:type="paragraph" w:styleId="PlainText">
    <w:name w:val="Plain Text"/>
    <w:basedOn w:val="Normal"/>
    <w:link w:val="PlainTextChar"/>
    <w:uiPriority w:val="99"/>
    <w:unhideWhenUsed/>
    <w:rsid w:val="005507E7"/>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7E7"/>
    <w:rPr>
      <w:rFonts w:ascii="Calibri" w:eastAsiaTheme="minorHAnsi" w:hAnsi="Calibri" w:cstheme="minorBidi"/>
      <w:sz w:val="22"/>
      <w:szCs w:val="21"/>
      <w:lang w:eastAsia="en-US"/>
    </w:rPr>
  </w:style>
  <w:style w:type="paragraph" w:customStyle="1" w:styleId="mainheader">
    <w:name w:val="mainheader"/>
    <w:basedOn w:val="Normal"/>
    <w:rsid w:val="005507E7"/>
    <w:pPr>
      <w:spacing w:before="100" w:beforeAutospacing="1" w:after="100" w:afterAutospacing="1" w:line="240" w:lineRule="auto"/>
    </w:pPr>
    <w:rPr>
      <w:rFonts w:ascii="Verdana" w:hAnsi="Verdana"/>
      <w:b/>
      <w:bCs/>
      <w:sz w:val="27"/>
      <w:szCs w:val="27"/>
    </w:rPr>
  </w:style>
  <w:style w:type="character" w:customStyle="1" w:styleId="ff5">
    <w:name w:val="ff5"/>
    <w:basedOn w:val="DefaultParagraphFont"/>
    <w:rsid w:val="005507E7"/>
  </w:style>
  <w:style w:type="character" w:styleId="LineNumber">
    <w:name w:val="line number"/>
    <w:basedOn w:val="DefaultParagraphFont"/>
    <w:uiPriority w:val="99"/>
    <w:semiHidden/>
    <w:unhideWhenUsed/>
    <w:rsid w:val="005507E7"/>
  </w:style>
  <w:style w:type="character" w:customStyle="1" w:styleId="Heading5Char">
    <w:name w:val="Heading 5 Char"/>
    <w:basedOn w:val="DefaultParagraphFont"/>
    <w:link w:val="Heading5"/>
    <w:uiPriority w:val="9"/>
    <w:rsid w:val="005507E7"/>
    <w:rPr>
      <w:rFonts w:asciiTheme="majorHAnsi" w:eastAsiaTheme="majorEastAsia" w:hAnsiTheme="majorHAnsi" w:cstheme="majorBidi"/>
      <w:color w:val="1F497D" w:themeColor="text2"/>
      <w:sz w:val="22"/>
      <w:szCs w:val="22"/>
      <w:lang w:eastAsia="en-US"/>
    </w:rPr>
  </w:style>
  <w:style w:type="character" w:customStyle="1" w:styleId="Heading6Char">
    <w:name w:val="Heading 6 Char"/>
    <w:basedOn w:val="DefaultParagraphFont"/>
    <w:link w:val="Heading6"/>
    <w:uiPriority w:val="9"/>
    <w:rsid w:val="005507E7"/>
    <w:rPr>
      <w:rFonts w:asciiTheme="majorHAnsi" w:eastAsiaTheme="majorEastAsia" w:hAnsiTheme="majorHAnsi" w:cstheme="majorBidi"/>
      <w:i/>
      <w:iCs/>
      <w:color w:val="1F497D" w:themeColor="text2"/>
      <w:sz w:val="21"/>
      <w:szCs w:val="21"/>
      <w:lang w:eastAsia="en-US"/>
    </w:rPr>
  </w:style>
  <w:style w:type="character" w:customStyle="1" w:styleId="Heading7Char">
    <w:name w:val="Heading 7 Char"/>
    <w:basedOn w:val="DefaultParagraphFont"/>
    <w:link w:val="Heading7"/>
    <w:uiPriority w:val="9"/>
    <w:semiHidden/>
    <w:rsid w:val="005507E7"/>
    <w:rPr>
      <w:rFonts w:asciiTheme="majorHAnsi" w:eastAsiaTheme="majorEastAsia" w:hAnsiTheme="majorHAnsi" w:cstheme="majorBidi"/>
      <w:i/>
      <w:iCs/>
      <w:color w:val="244061" w:themeColor="accent1" w:themeShade="80"/>
      <w:sz w:val="21"/>
      <w:szCs w:val="21"/>
      <w:lang w:eastAsia="en-US"/>
    </w:rPr>
  </w:style>
  <w:style w:type="character" w:customStyle="1" w:styleId="Heading8Char">
    <w:name w:val="Heading 8 Char"/>
    <w:basedOn w:val="DefaultParagraphFont"/>
    <w:link w:val="Heading8"/>
    <w:uiPriority w:val="9"/>
    <w:semiHidden/>
    <w:rsid w:val="005507E7"/>
    <w:rPr>
      <w:rFonts w:asciiTheme="majorHAnsi" w:eastAsiaTheme="majorEastAsia" w:hAnsiTheme="majorHAnsi" w:cstheme="majorBidi"/>
      <w:b/>
      <w:bCs/>
      <w:color w:val="1F497D" w:themeColor="text2"/>
      <w:lang w:eastAsia="en-US"/>
    </w:rPr>
  </w:style>
  <w:style w:type="character" w:customStyle="1" w:styleId="Heading9Char">
    <w:name w:val="Heading 9 Char"/>
    <w:basedOn w:val="DefaultParagraphFont"/>
    <w:link w:val="Heading9"/>
    <w:uiPriority w:val="9"/>
    <w:semiHidden/>
    <w:rsid w:val="005507E7"/>
    <w:rPr>
      <w:rFonts w:asciiTheme="majorHAnsi" w:eastAsiaTheme="majorEastAsia" w:hAnsiTheme="majorHAnsi" w:cstheme="majorBidi"/>
      <w:b/>
      <w:bCs/>
      <w:i/>
      <w:iCs/>
      <w:color w:val="1F497D" w:themeColor="text2"/>
      <w:lang w:eastAsia="en-US"/>
    </w:rPr>
  </w:style>
  <w:style w:type="paragraph" w:styleId="ListParagraph">
    <w:name w:val="List Paragraph"/>
    <w:basedOn w:val="Normal"/>
    <w:uiPriority w:val="34"/>
    <w:qFormat/>
    <w:rsid w:val="005507E7"/>
    <w:pPr>
      <w:spacing w:after="120" w:line="264" w:lineRule="auto"/>
      <w:ind w:left="720"/>
      <w:contextualSpacing/>
    </w:pPr>
    <w:rPr>
      <w:rFonts w:asciiTheme="minorHAnsi" w:eastAsiaTheme="minorEastAsia" w:hAnsiTheme="minorHAnsi" w:cstheme="minorBidi"/>
      <w:sz w:val="20"/>
      <w:szCs w:val="20"/>
      <w:lang w:eastAsia="en-US"/>
    </w:rPr>
  </w:style>
  <w:style w:type="paragraph" w:styleId="NoSpacing">
    <w:name w:val="No Spacing"/>
    <w:uiPriority w:val="1"/>
    <w:qFormat/>
    <w:rsid w:val="005507E7"/>
    <w:rPr>
      <w:rFonts w:asciiTheme="minorHAnsi" w:eastAsiaTheme="minorEastAsia" w:hAnsiTheme="minorHAnsi" w:cstheme="minorBidi"/>
      <w:lang w:eastAsia="en-US"/>
    </w:rPr>
  </w:style>
  <w:style w:type="paragraph" w:styleId="Caption">
    <w:name w:val="caption"/>
    <w:basedOn w:val="Normal"/>
    <w:next w:val="Normal"/>
    <w:uiPriority w:val="35"/>
    <w:unhideWhenUsed/>
    <w:qFormat/>
    <w:rsid w:val="005507E7"/>
    <w:pPr>
      <w:spacing w:after="120" w:line="240" w:lineRule="auto"/>
    </w:pPr>
    <w:rPr>
      <w:rFonts w:asciiTheme="minorHAnsi" w:eastAsiaTheme="minorEastAsia" w:hAnsiTheme="minorHAnsi" w:cstheme="minorBidi"/>
      <w:b/>
      <w:bCs/>
      <w:smallCaps/>
      <w:color w:val="595959" w:themeColor="text1" w:themeTint="A6"/>
      <w:spacing w:val="6"/>
      <w:sz w:val="20"/>
      <w:szCs w:val="20"/>
      <w:lang w:eastAsia="en-US"/>
    </w:rPr>
  </w:style>
  <w:style w:type="character" w:customStyle="1" w:styleId="apple-converted-space">
    <w:name w:val="apple-converted-space"/>
    <w:rsid w:val="005507E7"/>
  </w:style>
  <w:style w:type="paragraph" w:customStyle="1" w:styleId="Default">
    <w:name w:val="Default"/>
    <w:rsid w:val="005507E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507E7"/>
    <w:pPr>
      <w:spacing w:before="100" w:beforeAutospacing="1" w:after="100" w:afterAutospacing="1" w:line="240" w:lineRule="auto"/>
    </w:pPr>
  </w:style>
  <w:style w:type="paragraph" w:styleId="TOCHeading">
    <w:name w:val="TOC Heading"/>
    <w:basedOn w:val="Heading1"/>
    <w:next w:val="Normal"/>
    <w:uiPriority w:val="39"/>
    <w:unhideWhenUsed/>
    <w:qFormat/>
    <w:rsid w:val="005507E7"/>
    <w:pPr>
      <w:keepLines/>
      <w:spacing w:before="320" w:after="0" w:line="240" w:lineRule="auto"/>
      <w:ind w:right="0"/>
      <w:contextualSpacing w:val="0"/>
      <w:outlineLvl w:val="9"/>
    </w:pPr>
    <w:rPr>
      <w:rFonts w:asciiTheme="majorHAnsi" w:eastAsiaTheme="majorEastAsia" w:hAnsiTheme="majorHAnsi" w:cstheme="majorBidi"/>
      <w:b w:val="0"/>
      <w:bCs w:val="0"/>
      <w:color w:val="365F91" w:themeColor="accent1" w:themeShade="BF"/>
      <w:kern w:val="0"/>
      <w:sz w:val="32"/>
      <w:lang w:eastAsia="en-US"/>
    </w:rPr>
  </w:style>
  <w:style w:type="paragraph" w:styleId="TOC1">
    <w:name w:val="toc 1"/>
    <w:basedOn w:val="Normal"/>
    <w:next w:val="Normal"/>
    <w:autoRedefine/>
    <w:uiPriority w:val="39"/>
    <w:unhideWhenUsed/>
    <w:rsid w:val="005507E7"/>
    <w:pPr>
      <w:spacing w:after="100" w:line="264" w:lineRule="auto"/>
    </w:pPr>
    <w:rPr>
      <w:rFonts w:asciiTheme="minorHAnsi" w:eastAsiaTheme="minorEastAsia" w:hAnsiTheme="minorHAnsi" w:cstheme="minorBidi"/>
      <w:sz w:val="20"/>
      <w:szCs w:val="20"/>
      <w:lang w:eastAsia="en-US"/>
    </w:rPr>
  </w:style>
  <w:style w:type="character" w:customStyle="1" w:styleId="EquationCaption">
    <w:name w:val="_Equation Caption"/>
    <w:rsid w:val="005507E7"/>
  </w:style>
  <w:style w:type="table" w:styleId="TableGrid">
    <w:name w:val="Table Grid"/>
    <w:basedOn w:val="TableNormal"/>
    <w:uiPriority w:val="39"/>
    <w:rsid w:val="005507E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507E7"/>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Q1-FirstLevelQuestion">
    <w:name w:val="Q1-First Level Question"/>
    <w:link w:val="Q1-FirstLevelQuestionChar"/>
    <w:uiPriority w:val="99"/>
    <w:rsid w:val="005507E7"/>
    <w:pPr>
      <w:tabs>
        <w:tab w:val="left" w:pos="720"/>
      </w:tabs>
      <w:spacing w:line="240" w:lineRule="atLeast"/>
      <w:ind w:left="720" w:hanging="720"/>
      <w:jc w:val="both"/>
    </w:pPr>
    <w:rPr>
      <w:rFonts w:ascii="Arial" w:hAnsi="Arial"/>
      <w:sz w:val="18"/>
      <w:lang w:val="en-US" w:eastAsia="en-US"/>
    </w:rPr>
  </w:style>
  <w:style w:type="character" w:customStyle="1" w:styleId="Q1-FirstLevelQuestionChar">
    <w:name w:val="Q1-First Level Question Char"/>
    <w:link w:val="Q1-FirstLevelQuestion"/>
    <w:uiPriority w:val="99"/>
    <w:locked/>
    <w:rsid w:val="005507E7"/>
    <w:rPr>
      <w:rFonts w:ascii="Arial" w:hAnsi="Arial"/>
      <w:sz w:val="18"/>
      <w:lang w:val="en-US" w:eastAsia="en-US"/>
    </w:rPr>
  </w:style>
  <w:style w:type="numbering" w:customStyle="1" w:styleId="NoList1">
    <w:name w:val="No List1"/>
    <w:next w:val="NoList"/>
    <w:uiPriority w:val="99"/>
    <w:semiHidden/>
    <w:unhideWhenUsed/>
    <w:rsid w:val="005507E7"/>
  </w:style>
  <w:style w:type="numbering" w:customStyle="1" w:styleId="NoList2">
    <w:name w:val="No List2"/>
    <w:next w:val="NoList"/>
    <w:uiPriority w:val="99"/>
    <w:semiHidden/>
    <w:unhideWhenUsed/>
    <w:rsid w:val="005507E7"/>
  </w:style>
  <w:style w:type="numbering" w:customStyle="1" w:styleId="NoList3">
    <w:name w:val="No List3"/>
    <w:next w:val="NoList"/>
    <w:uiPriority w:val="99"/>
    <w:semiHidden/>
    <w:unhideWhenUsed/>
    <w:rsid w:val="005507E7"/>
  </w:style>
  <w:style w:type="numbering" w:customStyle="1" w:styleId="NoList4">
    <w:name w:val="No List4"/>
    <w:next w:val="NoList"/>
    <w:uiPriority w:val="99"/>
    <w:semiHidden/>
    <w:unhideWhenUsed/>
    <w:rsid w:val="005507E7"/>
  </w:style>
  <w:style w:type="character" w:styleId="PlaceholderText">
    <w:name w:val="Placeholder Text"/>
    <w:basedOn w:val="DefaultParagraphFont"/>
    <w:uiPriority w:val="99"/>
    <w:rsid w:val="005507E7"/>
    <w:rPr>
      <w:color w:val="808080"/>
    </w:rPr>
  </w:style>
  <w:style w:type="table" w:customStyle="1" w:styleId="TableGrid1">
    <w:name w:val="Table Grid1"/>
    <w:basedOn w:val="TableNormal"/>
    <w:next w:val="TableGrid"/>
    <w:uiPriority w:val="39"/>
    <w:rsid w:val="005507E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07E7"/>
    <w:rPr>
      <w:b/>
      <w:bCs/>
    </w:rPr>
  </w:style>
  <w:style w:type="character" w:customStyle="1" w:styleId="CommentSubjectChar">
    <w:name w:val="Comment Subject Char"/>
    <w:basedOn w:val="CommentTextChar"/>
    <w:link w:val="CommentSubject"/>
    <w:uiPriority w:val="99"/>
    <w:semiHidden/>
    <w:rsid w:val="005507E7"/>
    <w:rPr>
      <w:rFonts w:asciiTheme="minorHAnsi" w:eastAsiaTheme="minorEastAsia" w:hAnsiTheme="minorHAnsi" w:cstheme="minorBidi"/>
      <w:b/>
      <w:bCs/>
      <w:lang w:eastAsia="en-US"/>
    </w:rPr>
  </w:style>
  <w:style w:type="character" w:styleId="Emphasis">
    <w:name w:val="Emphasis"/>
    <w:basedOn w:val="DefaultParagraphFont"/>
    <w:uiPriority w:val="20"/>
    <w:qFormat/>
    <w:rsid w:val="005507E7"/>
    <w:rPr>
      <w:i/>
      <w:iCs/>
    </w:rPr>
  </w:style>
  <w:style w:type="character" w:customStyle="1" w:styleId="ref-journal">
    <w:name w:val="ref-journal"/>
    <w:basedOn w:val="DefaultParagraphFont"/>
    <w:rsid w:val="005507E7"/>
  </w:style>
  <w:style w:type="character" w:customStyle="1" w:styleId="ref-vol">
    <w:name w:val="ref-vol"/>
    <w:basedOn w:val="DefaultParagraphFont"/>
    <w:rsid w:val="005507E7"/>
  </w:style>
  <w:style w:type="character" w:customStyle="1" w:styleId="jrnl">
    <w:name w:val="jrnl"/>
    <w:basedOn w:val="DefaultParagraphFont"/>
    <w:rsid w:val="005507E7"/>
  </w:style>
  <w:style w:type="character" w:customStyle="1" w:styleId="rprtid">
    <w:name w:val="rprtid"/>
    <w:basedOn w:val="DefaultParagraphFont"/>
    <w:rsid w:val="005507E7"/>
  </w:style>
  <w:style w:type="paragraph" w:styleId="Revision">
    <w:name w:val="Revision"/>
    <w:hidden/>
    <w:uiPriority w:val="99"/>
    <w:semiHidden/>
    <w:rsid w:val="005507E7"/>
    <w:rPr>
      <w:rFonts w:asciiTheme="minorHAnsi" w:eastAsiaTheme="minorEastAsia" w:hAnsiTheme="minorHAnsi" w:cstheme="minorBidi"/>
      <w:lang w:eastAsia="en-US"/>
    </w:rPr>
  </w:style>
  <w:style w:type="paragraph" w:styleId="Subtitle">
    <w:name w:val="Subtitle"/>
    <w:basedOn w:val="Normal"/>
    <w:next w:val="Normal"/>
    <w:link w:val="SubtitleChar"/>
    <w:uiPriority w:val="11"/>
    <w:qFormat/>
    <w:rsid w:val="005507E7"/>
    <w:pPr>
      <w:numPr>
        <w:ilvl w:val="1"/>
      </w:numPr>
      <w:spacing w:after="120" w:line="240" w:lineRule="auto"/>
    </w:pPr>
    <w:rPr>
      <w:rFonts w:asciiTheme="majorHAnsi" w:eastAsiaTheme="majorEastAsia" w:hAnsiTheme="majorHAnsi" w:cstheme="majorBidi"/>
      <w:lang w:eastAsia="en-US"/>
    </w:rPr>
  </w:style>
  <w:style w:type="character" w:customStyle="1" w:styleId="SubtitleChar">
    <w:name w:val="Subtitle Char"/>
    <w:basedOn w:val="DefaultParagraphFont"/>
    <w:link w:val="Subtitle"/>
    <w:uiPriority w:val="11"/>
    <w:rsid w:val="005507E7"/>
    <w:rPr>
      <w:rFonts w:asciiTheme="majorHAnsi" w:eastAsiaTheme="majorEastAsia" w:hAnsiTheme="majorHAnsi" w:cstheme="majorBidi"/>
      <w:sz w:val="24"/>
      <w:szCs w:val="24"/>
      <w:lang w:eastAsia="en-US"/>
    </w:rPr>
  </w:style>
  <w:style w:type="character" w:styleId="Strong">
    <w:name w:val="Strong"/>
    <w:basedOn w:val="DefaultParagraphFont"/>
    <w:uiPriority w:val="22"/>
    <w:qFormat/>
    <w:rsid w:val="005507E7"/>
    <w:rPr>
      <w:b/>
      <w:bCs/>
    </w:rPr>
  </w:style>
  <w:style w:type="paragraph" w:styleId="Quote">
    <w:name w:val="Quote"/>
    <w:basedOn w:val="Normal"/>
    <w:next w:val="Normal"/>
    <w:link w:val="QuoteChar"/>
    <w:uiPriority w:val="29"/>
    <w:qFormat/>
    <w:rsid w:val="005507E7"/>
    <w:pPr>
      <w:spacing w:before="160" w:after="120" w:line="264" w:lineRule="auto"/>
      <w:ind w:left="720" w:right="720"/>
    </w:pPr>
    <w:rPr>
      <w:rFonts w:asciiTheme="minorHAnsi" w:eastAsiaTheme="minorEastAsia" w:hAnsiTheme="minorHAnsi" w:cstheme="minorBidi"/>
      <w:i/>
      <w:iCs/>
      <w:color w:val="404040" w:themeColor="text1" w:themeTint="BF"/>
      <w:sz w:val="20"/>
      <w:szCs w:val="20"/>
      <w:lang w:eastAsia="en-US"/>
    </w:rPr>
  </w:style>
  <w:style w:type="character" w:customStyle="1" w:styleId="QuoteChar">
    <w:name w:val="Quote Char"/>
    <w:basedOn w:val="DefaultParagraphFont"/>
    <w:link w:val="Quote"/>
    <w:uiPriority w:val="29"/>
    <w:rsid w:val="005507E7"/>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5507E7"/>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eastAsia="en-US"/>
    </w:rPr>
  </w:style>
  <w:style w:type="character" w:customStyle="1" w:styleId="IntenseQuoteChar">
    <w:name w:val="Intense Quote Char"/>
    <w:basedOn w:val="DefaultParagraphFont"/>
    <w:link w:val="IntenseQuote"/>
    <w:uiPriority w:val="30"/>
    <w:rsid w:val="005507E7"/>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rsid w:val="005507E7"/>
    <w:rPr>
      <w:i/>
      <w:iCs/>
      <w:color w:val="404040" w:themeColor="text1" w:themeTint="BF"/>
    </w:rPr>
  </w:style>
  <w:style w:type="character" w:styleId="IntenseEmphasis">
    <w:name w:val="Intense Emphasis"/>
    <w:basedOn w:val="DefaultParagraphFont"/>
    <w:uiPriority w:val="21"/>
    <w:qFormat/>
    <w:rsid w:val="005507E7"/>
    <w:rPr>
      <w:b/>
      <w:bCs/>
      <w:i/>
      <w:iCs/>
    </w:rPr>
  </w:style>
  <w:style w:type="character" w:styleId="SubtleReference">
    <w:name w:val="Subtle Reference"/>
    <w:basedOn w:val="DefaultParagraphFont"/>
    <w:uiPriority w:val="31"/>
    <w:qFormat/>
    <w:rsid w:val="005507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07E7"/>
    <w:rPr>
      <w:b/>
      <w:bCs/>
      <w:smallCaps/>
      <w:spacing w:val="5"/>
      <w:u w:val="single"/>
    </w:rPr>
  </w:style>
  <w:style w:type="character" w:styleId="BookTitle">
    <w:name w:val="Book Title"/>
    <w:basedOn w:val="DefaultParagraphFont"/>
    <w:uiPriority w:val="33"/>
    <w:qFormat/>
    <w:rsid w:val="005507E7"/>
    <w:rPr>
      <w:b/>
      <w:bCs/>
      <w:smallCaps/>
    </w:rPr>
  </w:style>
  <w:style w:type="character" w:customStyle="1" w:styleId="highwire-cite-doi">
    <w:name w:val="highwire-cite-doi"/>
    <w:basedOn w:val="DefaultParagraphFont"/>
    <w:rsid w:val="005507E7"/>
  </w:style>
  <w:style w:type="character" w:customStyle="1" w:styleId="pseudotab3">
    <w:name w:val="pseudotab3"/>
    <w:basedOn w:val="DefaultParagraphFont"/>
    <w:rsid w:val="005507E7"/>
  </w:style>
  <w:style w:type="character" w:customStyle="1" w:styleId="yiv9413879236">
    <w:name w:val="yiv9413879236"/>
    <w:basedOn w:val="DefaultParagraphFont"/>
    <w:rsid w:val="005507E7"/>
  </w:style>
  <w:style w:type="table" w:styleId="PlainTable1">
    <w:name w:val="Plain Table 1"/>
    <w:basedOn w:val="TableNormal"/>
    <w:uiPriority w:val="99"/>
    <w:rsid w:val="005507E7"/>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5507E7"/>
    <w:rPr>
      <w:rFonts w:asciiTheme="minorHAnsi" w:eastAsiaTheme="minorEastAsia"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5507E7"/>
    <w:rPr>
      <w:rFonts w:asciiTheme="minorHAnsi" w:eastAsiaTheme="minorEastAsia"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507E7"/>
    <w:rPr>
      <w:rFonts w:asciiTheme="minorHAnsi" w:eastAsiaTheme="minorEastAsia"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99"/>
    <w:rsid w:val="005507E7"/>
    <w:rPr>
      <w:rFonts w:asciiTheme="minorHAnsi" w:eastAsiaTheme="minorEastAsia"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5507E7"/>
    <w:rPr>
      <w:rFonts w:asciiTheme="minorHAnsi" w:eastAsiaTheme="minorEastAsia" w:hAnsi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507E7"/>
    <w:rPr>
      <w:rFonts w:asciiTheme="minorHAnsi" w:eastAsiaTheme="minorEastAsia" w:hAnsi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5">
    <w:name w:val="Grid Table 6 Colorful Accent 5"/>
    <w:basedOn w:val="TableNormal"/>
    <w:uiPriority w:val="51"/>
    <w:rsid w:val="005507E7"/>
    <w:rPr>
      <w:rFonts w:asciiTheme="minorHAnsi" w:eastAsiaTheme="minorEastAsia" w:hAnsi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urrent-selection">
    <w:name w:val="current-selection"/>
    <w:basedOn w:val="DefaultParagraphFont"/>
    <w:rsid w:val="005507E7"/>
  </w:style>
  <w:style w:type="character" w:customStyle="1" w:styleId="a">
    <w:name w:val="_"/>
    <w:basedOn w:val="DefaultParagraphFont"/>
    <w:rsid w:val="005507E7"/>
  </w:style>
  <w:style w:type="paragraph" w:styleId="HTMLPreformatted">
    <w:name w:val="HTML Preformatted"/>
    <w:basedOn w:val="Normal"/>
    <w:link w:val="HTMLPreformattedChar"/>
    <w:uiPriority w:val="99"/>
    <w:unhideWhenUsed/>
    <w:rsid w:val="0055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5507E7"/>
    <w:rPr>
      <w:rFonts w:ascii="Courier New" w:hAnsi="Courier New" w:cs="Courier New"/>
      <w:lang w:val="en-US" w:eastAsia="en-US"/>
    </w:rPr>
  </w:style>
  <w:style w:type="character" w:customStyle="1" w:styleId="ref-title">
    <w:name w:val="ref-title"/>
    <w:basedOn w:val="DefaultParagraphFont"/>
    <w:rsid w:val="005507E7"/>
  </w:style>
  <w:style w:type="character" w:customStyle="1" w:styleId="ref-iss">
    <w:name w:val="ref-iss"/>
    <w:basedOn w:val="DefaultParagraphFont"/>
    <w:rsid w:val="005507E7"/>
  </w:style>
  <w:style w:type="table" w:styleId="PlainTable4">
    <w:name w:val="Plain Table 4"/>
    <w:basedOn w:val="TableNormal"/>
    <w:uiPriority w:val="99"/>
    <w:rsid w:val="005507E7"/>
    <w:rPr>
      <w:rFonts w:asciiTheme="minorHAnsi" w:eastAsiaTheme="minorEastAsia"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5507E7"/>
    <w:rPr>
      <w:color w:val="808080"/>
      <w:shd w:val="clear" w:color="auto" w:fill="E6E6E6"/>
    </w:rPr>
  </w:style>
  <w:style w:type="table" w:customStyle="1" w:styleId="TableGrid2">
    <w:name w:val="Table Grid2"/>
    <w:basedOn w:val="TableNormal"/>
    <w:next w:val="TableGrid"/>
    <w:uiPriority w:val="39"/>
    <w:rsid w:val="005507E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07E7"/>
    <w:rPr>
      <w:color w:val="800080" w:themeColor="followedHyperlink"/>
      <w:u w:val="single"/>
    </w:rPr>
  </w:style>
  <w:style w:type="table" w:styleId="TableGridLight">
    <w:name w:val="Grid Table Light"/>
    <w:basedOn w:val="TableNormal"/>
    <w:uiPriority w:val="40"/>
    <w:rsid w:val="00AF0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AF0F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F0F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rsid w:val="0075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life-course/partners/global-strategy/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microdata.worldbank.org/index.php/catalog/2214/study-descrip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o.int/reproductivehealth/publications/monitoring/9789241548458/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a.uwi.edu/fms/jaki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ho.org/hq/dmdocuments/2012/Jamaica-Health-LifeStyle-Report-200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stainabledevelopment.un.org/content/%20documents/7891Transforming%20Our%20World.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fette\AppData\Local\Temp\Rar$DIa9276.21351\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580478BC85641BA3E79A4DB5C4BCE" ma:contentTypeVersion="11" ma:contentTypeDescription="Create a new document." ma:contentTypeScope="" ma:versionID="6bd3bca42d70d80ca832de3bdb8708db">
  <xsd:schema xmlns:xsd="http://www.w3.org/2001/XMLSchema" xmlns:xs="http://www.w3.org/2001/XMLSchema" xmlns:p="http://schemas.microsoft.com/office/2006/metadata/properties" xmlns:ns3="2e9d9ab6-41d2-40d0-ac48-25ae841091d8" xmlns:ns4="f32fe000-2209-433a-bc91-53753c88dd45" targetNamespace="http://schemas.microsoft.com/office/2006/metadata/properties" ma:root="true" ma:fieldsID="2ca53e99650b2f34eb8e646d5fd9d72e" ns3:_="" ns4:_="">
    <xsd:import namespace="2e9d9ab6-41d2-40d0-ac48-25ae841091d8"/>
    <xsd:import namespace="f32fe000-2209-433a-bc91-53753c88dd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d9ab6-41d2-40d0-ac48-25ae841091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fe000-2209-433a-bc91-53753c88dd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FA48-3989-4A37-9D7F-DDBA6291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d9ab6-41d2-40d0-ac48-25ae841091d8"/>
    <ds:schemaRef ds:uri="f32fe000-2209-433a-bc91-53753c88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0B085-4F0F-4848-866C-36AD47B1E0DC}">
  <ds:schemaRefs>
    <ds:schemaRef ds:uri="http://schemas.microsoft.com/sharepoint/v3/contenttype/forms"/>
  </ds:schemaRefs>
</ds:datastoreItem>
</file>

<file path=customXml/itemProps3.xml><?xml version="1.0" encoding="utf-8"?>
<ds:datastoreItem xmlns:ds="http://schemas.openxmlformats.org/officeDocument/2006/customXml" ds:itemID="{FF1298BE-EF67-46A2-9072-A0F40EBB93F2}">
  <ds:schemaRefs>
    <ds:schemaRef ds:uri="http://schemas.microsoft.com/office/2006/documentManagement/types"/>
    <ds:schemaRef ds:uri="2e9d9ab6-41d2-40d0-ac48-25ae841091d8"/>
    <ds:schemaRef ds:uri="http://purl.org/dc/elements/1.1/"/>
    <ds:schemaRef ds:uri="http://schemas.microsoft.com/office/2006/metadata/properties"/>
    <ds:schemaRef ds:uri="f32fe000-2209-433a-bc91-53753c88dd4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FD14ACA-F384-4C03-8B51-2C96428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15</TotalTime>
  <Pages>26</Pages>
  <Words>6580</Words>
  <Characters>37509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subject/>
  <dc:creator>Affette</dc:creator>
  <cp:keywords/>
  <dc:description/>
  <cp:lastModifiedBy>Mary McCauley</cp:lastModifiedBy>
  <cp:revision>25</cp:revision>
  <cp:lastPrinted>2018-12-06T15:47:00Z</cp:lastPrinted>
  <dcterms:created xsi:type="dcterms:W3CDTF">2019-09-05T13:55:00Z</dcterms:created>
  <dcterms:modified xsi:type="dcterms:W3CDTF">2019-09-05T14:10:00Z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0x01010040D580478BC85641BA3E79A4DB5C4BCE</vt:lpwstr>
  </property>
</Properties>
</file>