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7A04" w14:textId="329706D5" w:rsidR="00C34819" w:rsidRPr="007C2683" w:rsidRDefault="002F1C73" w:rsidP="002F1C73">
      <w:pPr>
        <w:rPr>
          <w:rFonts w:ascii="Calibri" w:hAnsi="Calibri" w:cs="Calibri"/>
          <w:lang w:val="en-US"/>
        </w:rPr>
      </w:pPr>
      <w:r w:rsidRPr="007C2683">
        <w:rPr>
          <w:rFonts w:eastAsia="Times New Roman"/>
          <w:b/>
          <w:color w:val="000000"/>
        </w:rPr>
        <w:t>Title:</w:t>
      </w:r>
      <w:r w:rsidRPr="007C2683">
        <w:rPr>
          <w:rFonts w:eastAsia="Times New Roman"/>
          <w:color w:val="000000"/>
        </w:rPr>
        <w:t xml:space="preserve"> </w:t>
      </w:r>
      <w:r w:rsidR="00C34819">
        <w:rPr>
          <w:rFonts w:ascii="Calibri" w:hAnsi="Calibri" w:cs="Calibri"/>
          <w:lang w:val="en-US"/>
        </w:rPr>
        <w:t>A sensory appendage protein protects malaria vectors from pyrethroids</w:t>
      </w:r>
    </w:p>
    <w:p w14:paraId="1BDC0846" w14:textId="77777777" w:rsidR="00DE7E80" w:rsidRPr="007C2683" w:rsidRDefault="00DE7E80" w:rsidP="00DE7E80">
      <w:pPr>
        <w:rPr>
          <w:b/>
        </w:rPr>
      </w:pPr>
      <w:r w:rsidRPr="007C2683">
        <w:rPr>
          <w:b/>
        </w:rPr>
        <w:t>Authors:</w:t>
      </w:r>
    </w:p>
    <w:p w14:paraId="633636E0" w14:textId="77777777" w:rsidR="00DE7E80" w:rsidRPr="007C2683" w:rsidRDefault="00DE7E80" w:rsidP="00DE7E80">
      <w:pPr>
        <w:rPr>
          <w:vertAlign w:val="superscript"/>
        </w:rPr>
      </w:pPr>
      <w:r w:rsidRPr="007C2683">
        <w:t xml:space="preserve">V </w:t>
      </w:r>
      <w:proofErr w:type="gramStart"/>
      <w:r w:rsidRPr="007C2683">
        <w:t>A</w:t>
      </w:r>
      <w:proofErr w:type="gramEnd"/>
      <w:r w:rsidRPr="007C2683">
        <w:t xml:space="preserve"> Ingham, A Anthousi,</w:t>
      </w:r>
      <w:r w:rsidRPr="007C2683">
        <w:rPr>
          <w:vertAlign w:val="superscript"/>
        </w:rPr>
        <w:t xml:space="preserve"> </w:t>
      </w:r>
      <w:r w:rsidRPr="007C2683">
        <w:t>V Douris, N J Harding, G Lycett, M Morris,</w:t>
      </w:r>
      <w:r w:rsidRPr="007C2683">
        <w:rPr>
          <w:vertAlign w:val="superscript"/>
        </w:rPr>
        <w:t xml:space="preserve"> </w:t>
      </w:r>
      <w:r w:rsidRPr="007C2683">
        <w:t>J Vontas and H Ranson</w:t>
      </w:r>
    </w:p>
    <w:p w14:paraId="31E41A39" w14:textId="37F20215" w:rsidR="00F30C9F" w:rsidRPr="007C2683" w:rsidRDefault="000D3D84" w:rsidP="00F30C9F">
      <w:pPr>
        <w:rPr>
          <w:b/>
        </w:rPr>
      </w:pPr>
      <w:r>
        <w:rPr>
          <w:b/>
        </w:rPr>
        <w:t>Summary Paragraph</w:t>
      </w:r>
    </w:p>
    <w:p w14:paraId="16CED74C" w14:textId="7D6DDCCF" w:rsidR="00840347" w:rsidRDefault="00F30C9F">
      <w:pPr>
        <w:rPr>
          <w:b/>
        </w:rPr>
      </w:pPr>
      <w:r w:rsidRPr="007C2683">
        <w:rPr>
          <w:b/>
        </w:rPr>
        <w:t>Pyrethroid</w:t>
      </w:r>
      <w:r w:rsidR="00C34149" w:rsidRPr="007C2683">
        <w:rPr>
          <w:b/>
        </w:rPr>
        <w:t>-</w:t>
      </w:r>
      <w:r w:rsidRPr="007C2683">
        <w:rPr>
          <w:b/>
        </w:rPr>
        <w:t xml:space="preserve">impregnated bednets have driven </w:t>
      </w:r>
      <w:r w:rsidR="00C34149" w:rsidRPr="007C2683">
        <w:rPr>
          <w:b/>
        </w:rPr>
        <w:t xml:space="preserve">significant </w:t>
      </w:r>
      <w:r w:rsidRPr="007C2683">
        <w:rPr>
          <w:b/>
        </w:rPr>
        <w:t xml:space="preserve">reductions in malaria morbidity and mortality </w:t>
      </w:r>
      <w:r w:rsidR="00B04821" w:rsidRPr="007C2683">
        <w:rPr>
          <w:b/>
        </w:rPr>
        <w:t xml:space="preserve">in Africa </w:t>
      </w:r>
      <w:r w:rsidRPr="007C2683">
        <w:rPr>
          <w:b/>
        </w:rPr>
        <w:t>since the beginning of the century</w:t>
      </w:r>
      <w:r w:rsidR="0019420D">
        <w:rPr>
          <w:b/>
        </w:rPr>
        <w:t xml:space="preserve"> </w:t>
      </w:r>
      <w:r w:rsidR="0019420D" w:rsidRPr="007C2683">
        <w:fldChar w:fldCharType="begin" w:fldLock="1"/>
      </w:r>
      <w:r w:rsidR="0019420D" w:rsidRPr="007C2683">
        <w:instrText>ADDIN CSL_CITATION {"citationItems":[{"id":"ITEM-1","itemData":{"ISSN":"0028-0836","author":[{"dropping-particle":"","family":"Bhatt","given":"S","non-dropping-particle":"","parse-names":false,"suffix":""},{"dropping-particle":"","family":"Weiss","given":"D J","non-dropping-particle":"","parse-names":false,"suffix":""},{"dropping-particle":"","family":"Cameron","given":"E","non-dropping-particle":"","parse-names":false,"suffix":""},{"dropping-particle":"","family":"Bisanzio","given":"D","non-dropping-particle":"","parse-names":false,"suffix":""},{"dropping-particle":"","family":"Mappin","given":"B","non-dropping-particle":"","parse-names":false,"suffix":""},{"dropping-particle":"","family":"Dalrymple","given":"U","non-dropping-particle":"","parse-names":false,"suffix":""},{"dropping-particle":"","family":"Battle","given":"K E","non-dropping-particle":"","parse-names":false,"suffix":""},{"dropping-particle":"","family":"Moyes","given":"C L","non-dropping-particle":"","parse-names":false,"suffix":""},{"dropping-particle":"","family":"Henry","given":"A","non-dropping-particle":"","parse-names":false,"suffix":""},{"dropping-particle":"","family":"Eckhoff","given":"P A","non-dropping-particle":"","parse-names":false,"suffix":""}],"container-title":"Nature","id":"ITEM-1","issue":"7572","issued":{"date-parts":[["2015"]]},"page":"207-211","publisher":"Nature Publishing Group","title":"The effect of malaria control on Plasmodium falciparum in Africa between 2000 and 2015","type":"article-journal","volume":"526"},"uris":["http://www.mendeley.com/documents/?uuid=7322ac4c-ff31-4f89-af72-935831552a44"]}],"mendeley":{"formattedCitation":"&lt;sup&gt;1&lt;/sup&gt;","plainTextFormattedCitation":"1","previouslyFormattedCitation":"&lt;sup&gt;1&lt;/sup&gt;"},"properties":{"noteIndex":0},"schema":"https://github.com/citation-style-language/schema/raw/master/csl-citation.json"}</w:instrText>
      </w:r>
      <w:r w:rsidR="0019420D" w:rsidRPr="007C2683">
        <w:fldChar w:fldCharType="separate"/>
      </w:r>
      <w:r w:rsidR="0019420D" w:rsidRPr="007C2683">
        <w:rPr>
          <w:noProof/>
          <w:vertAlign w:val="superscript"/>
        </w:rPr>
        <w:t>1</w:t>
      </w:r>
      <w:r w:rsidR="0019420D" w:rsidRPr="007C2683">
        <w:fldChar w:fldCharType="end"/>
      </w:r>
      <w:r w:rsidRPr="007C2683">
        <w:rPr>
          <w:b/>
        </w:rPr>
        <w:t xml:space="preserve">. The intense selection pressure exerted by bednets </w:t>
      </w:r>
      <w:r w:rsidR="00B04821" w:rsidRPr="007C2683">
        <w:rPr>
          <w:b/>
        </w:rPr>
        <w:t xml:space="preserve">has </w:t>
      </w:r>
      <w:r w:rsidR="004B2BB7" w:rsidRPr="007C2683">
        <w:rPr>
          <w:b/>
        </w:rPr>
        <w:t>precipitated</w:t>
      </w:r>
      <w:r w:rsidR="00C34149" w:rsidRPr="007C2683">
        <w:rPr>
          <w:b/>
        </w:rPr>
        <w:t xml:space="preserve"> </w:t>
      </w:r>
      <w:r w:rsidRPr="007C2683">
        <w:rPr>
          <w:b/>
        </w:rPr>
        <w:t xml:space="preserve">widespread and escalating </w:t>
      </w:r>
      <w:r w:rsidR="00B04821" w:rsidRPr="007C2683">
        <w:rPr>
          <w:b/>
        </w:rPr>
        <w:t xml:space="preserve">pyrethroid </w:t>
      </w:r>
      <w:r w:rsidRPr="007C2683">
        <w:rPr>
          <w:b/>
        </w:rPr>
        <w:t xml:space="preserve">resistance in African </w:t>
      </w:r>
      <w:r w:rsidRPr="007C2683">
        <w:rPr>
          <w:b/>
          <w:i/>
        </w:rPr>
        <w:t xml:space="preserve">Anopheles </w:t>
      </w:r>
      <w:r w:rsidRPr="007C2683">
        <w:rPr>
          <w:b/>
        </w:rPr>
        <w:t xml:space="preserve">populations, threatening to reverse gains made </w:t>
      </w:r>
      <w:r w:rsidR="0060014A" w:rsidRPr="007C2683">
        <w:rPr>
          <w:b/>
        </w:rPr>
        <w:t>by</w:t>
      </w:r>
      <w:r w:rsidRPr="007C2683">
        <w:rPr>
          <w:b/>
        </w:rPr>
        <w:t xml:space="preserve"> malaria control</w:t>
      </w:r>
      <w:r w:rsidR="0019420D">
        <w:rPr>
          <w:b/>
        </w:rPr>
        <w:t xml:space="preserve"> </w:t>
      </w:r>
      <w:r w:rsidR="0019420D" w:rsidRPr="007C2683">
        <w:fldChar w:fldCharType="begin" w:fldLock="1"/>
      </w:r>
      <w:r w:rsidR="0019420D" w:rsidRPr="007C2683">
        <w:instrText>ADDIN CSL_CITATION {"citationItems":[{"id":"ITEM-1","itemData":{"id":"ITEM-1","issued":{"date-parts":[["0"]]},"title":"WHO. World Malaria Report. Geneva; 2018.","type":"article"},"uris":["http://www.mendeley.com/documents/?uuid=7d574d65-0e74-44e6-9b4c-54aa3c868a90"]}],"mendeley":{"formattedCitation":"&lt;sup&gt;2&lt;/sup&gt;","plainTextFormattedCitation":"2","previouslyFormattedCitation":"&lt;sup&gt;2&lt;/sup&gt;"},"properties":{"noteIndex":0},"schema":"https://github.com/citation-style-language/schema/raw/master/csl-citation.json"}</w:instrText>
      </w:r>
      <w:r w:rsidR="0019420D" w:rsidRPr="007C2683">
        <w:fldChar w:fldCharType="separate"/>
      </w:r>
      <w:r w:rsidR="0019420D" w:rsidRPr="007C2683">
        <w:rPr>
          <w:noProof/>
          <w:vertAlign w:val="superscript"/>
        </w:rPr>
        <w:t>2</w:t>
      </w:r>
      <w:r w:rsidR="0019420D" w:rsidRPr="007C2683">
        <w:fldChar w:fldCharType="end"/>
      </w:r>
      <w:r w:rsidRPr="007C2683">
        <w:rPr>
          <w:b/>
        </w:rPr>
        <w:t xml:space="preserve">. </w:t>
      </w:r>
      <w:r w:rsidR="002F1C73" w:rsidRPr="007C2683">
        <w:rPr>
          <w:b/>
        </w:rPr>
        <w:t>Here we show</w:t>
      </w:r>
      <w:r w:rsidRPr="007C2683">
        <w:rPr>
          <w:b/>
        </w:rPr>
        <w:t xml:space="preserve"> </w:t>
      </w:r>
      <w:r w:rsidR="00C34149" w:rsidRPr="007C2683">
        <w:rPr>
          <w:b/>
        </w:rPr>
        <w:t>that</w:t>
      </w:r>
      <w:r w:rsidRPr="007C2683">
        <w:rPr>
          <w:b/>
        </w:rPr>
        <w:t xml:space="preserve"> a leg</w:t>
      </w:r>
      <w:r w:rsidR="00F67FED" w:rsidRPr="007C2683">
        <w:rPr>
          <w:b/>
        </w:rPr>
        <w:t>-</w:t>
      </w:r>
      <w:r w:rsidRPr="007C2683">
        <w:rPr>
          <w:b/>
        </w:rPr>
        <w:t xml:space="preserve">enriched sensory appendage protein, </w:t>
      </w:r>
      <w:r w:rsidRPr="007C2683">
        <w:rPr>
          <w:b/>
          <w:i/>
        </w:rPr>
        <w:t>SAP2</w:t>
      </w:r>
      <w:r w:rsidRPr="007C2683">
        <w:rPr>
          <w:b/>
        </w:rPr>
        <w:t xml:space="preserve">, </w:t>
      </w:r>
      <w:r w:rsidR="004F3DD1" w:rsidRPr="007C2683">
        <w:rPr>
          <w:b/>
        </w:rPr>
        <w:t>confers</w:t>
      </w:r>
      <w:r w:rsidRPr="007C2683">
        <w:rPr>
          <w:b/>
        </w:rPr>
        <w:t xml:space="preserve"> pyrethroid resistance in</w:t>
      </w:r>
      <w:r w:rsidR="00331EC4" w:rsidRPr="007C2683">
        <w:rPr>
          <w:b/>
        </w:rPr>
        <w:t xml:space="preserve"> </w:t>
      </w:r>
      <w:r w:rsidRPr="007C2683">
        <w:rPr>
          <w:b/>
          <w:i/>
        </w:rPr>
        <w:t>Anopheles gambiae. SAP2</w:t>
      </w:r>
      <w:r w:rsidRPr="007C2683">
        <w:rPr>
          <w:b/>
        </w:rPr>
        <w:t xml:space="preserve"> expression is </w:t>
      </w:r>
      <w:r w:rsidR="00C34149" w:rsidRPr="007C2683">
        <w:rPr>
          <w:b/>
        </w:rPr>
        <w:t xml:space="preserve">elevated in insecticide-resistant populations and is </w:t>
      </w:r>
      <w:r w:rsidR="00F67FED" w:rsidRPr="007C2683">
        <w:rPr>
          <w:b/>
        </w:rPr>
        <w:t xml:space="preserve">further </w:t>
      </w:r>
      <w:r w:rsidRPr="007C2683">
        <w:rPr>
          <w:b/>
        </w:rPr>
        <w:t xml:space="preserve">induced </w:t>
      </w:r>
      <w:r w:rsidR="00C34149" w:rsidRPr="007C2683">
        <w:rPr>
          <w:b/>
        </w:rPr>
        <w:t>upon</w:t>
      </w:r>
      <w:r w:rsidRPr="007C2683">
        <w:rPr>
          <w:b/>
        </w:rPr>
        <w:t xml:space="preserve"> </w:t>
      </w:r>
      <w:r w:rsidR="00C34149" w:rsidRPr="007C2683">
        <w:rPr>
          <w:b/>
        </w:rPr>
        <w:t xml:space="preserve">mosquito </w:t>
      </w:r>
      <w:r w:rsidRPr="007C2683">
        <w:rPr>
          <w:b/>
        </w:rPr>
        <w:t>contact with pyrethroid</w:t>
      </w:r>
      <w:r w:rsidR="00C34149" w:rsidRPr="007C2683">
        <w:rPr>
          <w:b/>
        </w:rPr>
        <w:t>s</w:t>
      </w:r>
      <w:r w:rsidRPr="007C2683">
        <w:rPr>
          <w:b/>
        </w:rPr>
        <w:t xml:space="preserve">. </w:t>
      </w:r>
      <w:r w:rsidRPr="007C2683">
        <w:rPr>
          <w:b/>
          <w:i/>
        </w:rPr>
        <w:t xml:space="preserve">SAP2 </w:t>
      </w:r>
      <w:r w:rsidR="00C34149" w:rsidRPr="007C2683">
        <w:rPr>
          <w:b/>
        </w:rPr>
        <w:t>silencing</w:t>
      </w:r>
      <w:r w:rsidR="00C34149" w:rsidRPr="007C2683">
        <w:rPr>
          <w:b/>
          <w:i/>
        </w:rPr>
        <w:t xml:space="preserve"> </w:t>
      </w:r>
      <w:r w:rsidR="00C34149" w:rsidRPr="007C2683">
        <w:rPr>
          <w:b/>
        </w:rPr>
        <w:t xml:space="preserve">fully restores </w:t>
      </w:r>
      <w:r w:rsidR="001D44ED" w:rsidRPr="007C2683">
        <w:rPr>
          <w:b/>
        </w:rPr>
        <w:t xml:space="preserve">mosquito </w:t>
      </w:r>
      <w:r w:rsidR="00C34149" w:rsidRPr="007C2683">
        <w:rPr>
          <w:b/>
        </w:rPr>
        <w:t>mortality</w:t>
      </w:r>
      <w:r w:rsidRPr="007C2683">
        <w:rPr>
          <w:b/>
        </w:rPr>
        <w:t>, whilst</w:t>
      </w:r>
      <w:r w:rsidR="001D44ED" w:rsidRPr="007C2683">
        <w:rPr>
          <w:b/>
        </w:rPr>
        <w:t xml:space="preserve"> </w:t>
      </w:r>
      <w:r w:rsidR="00E67661" w:rsidRPr="007C2683">
        <w:rPr>
          <w:b/>
        </w:rPr>
        <w:t xml:space="preserve">its </w:t>
      </w:r>
      <w:r w:rsidRPr="007C2683">
        <w:rPr>
          <w:b/>
        </w:rPr>
        <w:t>overexpression</w:t>
      </w:r>
      <w:r w:rsidR="002F1C73" w:rsidRPr="007C2683">
        <w:rPr>
          <w:b/>
        </w:rPr>
        <w:t xml:space="preserve"> </w:t>
      </w:r>
      <w:r w:rsidRPr="007C2683">
        <w:rPr>
          <w:b/>
        </w:rPr>
        <w:t>results in increased resistance</w:t>
      </w:r>
      <w:r w:rsidR="0060014A" w:rsidRPr="007C2683">
        <w:rPr>
          <w:b/>
        </w:rPr>
        <w:t>,</w:t>
      </w:r>
      <w:r w:rsidR="00D07975" w:rsidRPr="007C2683">
        <w:rPr>
          <w:b/>
          <w:i/>
        </w:rPr>
        <w:t xml:space="preserve"> </w:t>
      </w:r>
      <w:r w:rsidR="00C34149" w:rsidRPr="007C2683">
        <w:rPr>
          <w:b/>
        </w:rPr>
        <w:t>likely</w:t>
      </w:r>
      <w:r w:rsidR="00C34149" w:rsidRPr="007C2683">
        <w:rPr>
          <w:b/>
          <w:i/>
        </w:rPr>
        <w:t xml:space="preserve"> </w:t>
      </w:r>
      <w:r w:rsidR="00C34149" w:rsidRPr="007C2683">
        <w:rPr>
          <w:b/>
        </w:rPr>
        <w:t xml:space="preserve">due to </w:t>
      </w:r>
      <w:r w:rsidR="00791972" w:rsidRPr="007C2683">
        <w:rPr>
          <w:b/>
        </w:rPr>
        <w:t xml:space="preserve">the </w:t>
      </w:r>
      <w:r w:rsidR="00C34149" w:rsidRPr="007C2683">
        <w:rPr>
          <w:b/>
        </w:rPr>
        <w:t xml:space="preserve">high-affinity </w:t>
      </w:r>
      <w:r w:rsidR="001D44ED" w:rsidRPr="007C2683">
        <w:rPr>
          <w:b/>
          <w:i/>
        </w:rPr>
        <w:t>SAP2</w:t>
      </w:r>
      <w:r w:rsidR="001D44ED" w:rsidRPr="007C2683">
        <w:rPr>
          <w:b/>
        </w:rPr>
        <w:t xml:space="preserve"> </w:t>
      </w:r>
      <w:r w:rsidR="00D07975" w:rsidRPr="007C2683">
        <w:rPr>
          <w:b/>
        </w:rPr>
        <w:t>bind</w:t>
      </w:r>
      <w:r w:rsidR="00C34149" w:rsidRPr="007C2683">
        <w:rPr>
          <w:b/>
        </w:rPr>
        <w:t>ing</w:t>
      </w:r>
      <w:r w:rsidR="00D07975" w:rsidRPr="007C2683">
        <w:rPr>
          <w:b/>
        </w:rPr>
        <w:t xml:space="preserve"> </w:t>
      </w:r>
      <w:r w:rsidR="00C34149" w:rsidRPr="007C2683">
        <w:rPr>
          <w:b/>
        </w:rPr>
        <w:t xml:space="preserve">to </w:t>
      </w:r>
      <w:r w:rsidR="00D07975" w:rsidRPr="007C2683">
        <w:rPr>
          <w:b/>
        </w:rPr>
        <w:t>pyrethroid insecticides</w:t>
      </w:r>
      <w:r w:rsidRPr="007C2683">
        <w:rPr>
          <w:b/>
        </w:rPr>
        <w:t xml:space="preserve">. </w:t>
      </w:r>
      <w:r w:rsidR="00C34149" w:rsidRPr="007C2683">
        <w:rPr>
          <w:b/>
        </w:rPr>
        <w:t>Mining of g</w:t>
      </w:r>
      <w:r w:rsidRPr="007C2683">
        <w:rPr>
          <w:b/>
        </w:rPr>
        <w:t>enome sequence data reveal</w:t>
      </w:r>
      <w:r w:rsidR="00F67FED" w:rsidRPr="007C2683">
        <w:rPr>
          <w:b/>
        </w:rPr>
        <w:t>s</w:t>
      </w:r>
      <w:r w:rsidRPr="007C2683">
        <w:rPr>
          <w:b/>
        </w:rPr>
        <w:t xml:space="preserve"> a selective sweep near the </w:t>
      </w:r>
      <w:r w:rsidR="004F3DD1" w:rsidRPr="007C2683">
        <w:rPr>
          <w:b/>
          <w:i/>
        </w:rPr>
        <w:t>SAP2</w:t>
      </w:r>
      <w:r w:rsidR="004F3DD1" w:rsidRPr="007C2683">
        <w:rPr>
          <w:b/>
        </w:rPr>
        <w:t xml:space="preserve"> </w:t>
      </w:r>
      <w:r w:rsidRPr="007C2683">
        <w:rPr>
          <w:b/>
        </w:rPr>
        <w:t>locus in three West African countries</w:t>
      </w:r>
      <w:r w:rsidR="00F67FED" w:rsidRPr="007C2683">
        <w:rPr>
          <w:b/>
        </w:rPr>
        <w:t xml:space="preserve">, </w:t>
      </w:r>
      <w:r w:rsidR="001D44ED" w:rsidRPr="007C2683">
        <w:rPr>
          <w:b/>
        </w:rPr>
        <w:t xml:space="preserve">with </w:t>
      </w:r>
      <w:r w:rsidR="00F67FED" w:rsidRPr="007C2683">
        <w:rPr>
          <w:b/>
        </w:rPr>
        <w:t>the observed increase in h</w:t>
      </w:r>
      <w:r w:rsidRPr="007C2683">
        <w:rPr>
          <w:b/>
        </w:rPr>
        <w:t xml:space="preserve">aplotype associated SNPs </w:t>
      </w:r>
      <w:r w:rsidR="00F67FED" w:rsidRPr="007C2683">
        <w:rPr>
          <w:b/>
        </w:rPr>
        <w:t>mirror</w:t>
      </w:r>
      <w:r w:rsidR="001D44ED" w:rsidRPr="007C2683">
        <w:rPr>
          <w:b/>
        </w:rPr>
        <w:t>ing</w:t>
      </w:r>
      <w:r w:rsidR="00F67FED" w:rsidRPr="007C2683">
        <w:rPr>
          <w:b/>
        </w:rPr>
        <w:t xml:space="preserve"> </w:t>
      </w:r>
      <w:r w:rsidR="005628C4" w:rsidRPr="007C2683">
        <w:rPr>
          <w:b/>
        </w:rPr>
        <w:t>increasing resistance</w:t>
      </w:r>
      <w:r w:rsidR="00F67FED" w:rsidRPr="007C2683">
        <w:rPr>
          <w:b/>
        </w:rPr>
        <w:t xml:space="preserve"> reported </w:t>
      </w:r>
      <w:r w:rsidRPr="007C2683">
        <w:rPr>
          <w:b/>
        </w:rPr>
        <w:t>in Burkina Faso</w:t>
      </w:r>
      <w:r w:rsidR="00F67FED" w:rsidRPr="007C2683">
        <w:rPr>
          <w:b/>
        </w:rPr>
        <w:t>. Our study identifies</w:t>
      </w:r>
      <w:r w:rsidRPr="007C2683">
        <w:rPr>
          <w:b/>
        </w:rPr>
        <w:t xml:space="preserve"> a</w:t>
      </w:r>
      <w:r w:rsidR="00DE1B12" w:rsidRPr="007C2683">
        <w:rPr>
          <w:b/>
        </w:rPr>
        <w:t xml:space="preserve"> </w:t>
      </w:r>
      <w:r w:rsidR="00F97302" w:rsidRPr="007C2683">
        <w:rPr>
          <w:b/>
        </w:rPr>
        <w:t>new</w:t>
      </w:r>
      <w:r w:rsidR="00DB6C7D" w:rsidRPr="007C2683">
        <w:rPr>
          <w:b/>
        </w:rPr>
        <w:t xml:space="preserve"> </w:t>
      </w:r>
      <w:r w:rsidR="001D44ED" w:rsidRPr="007C2683">
        <w:rPr>
          <w:b/>
        </w:rPr>
        <w:t>insecticide</w:t>
      </w:r>
      <w:r w:rsidRPr="007C2683">
        <w:rPr>
          <w:b/>
        </w:rPr>
        <w:t xml:space="preserve"> resistance mechanism</w:t>
      </w:r>
      <w:r w:rsidR="00F67FED" w:rsidRPr="007C2683">
        <w:rPr>
          <w:b/>
        </w:rPr>
        <w:t xml:space="preserve"> that is </w:t>
      </w:r>
      <w:r w:rsidR="00144228" w:rsidRPr="007C2683">
        <w:rPr>
          <w:b/>
        </w:rPr>
        <w:t xml:space="preserve">likely </w:t>
      </w:r>
      <w:r w:rsidR="00F67FED" w:rsidRPr="007C2683">
        <w:rPr>
          <w:b/>
        </w:rPr>
        <w:t>highly relevant to malaria control efforts</w:t>
      </w:r>
      <w:r w:rsidRPr="007C2683">
        <w:rPr>
          <w:b/>
        </w:rPr>
        <w:t>.</w:t>
      </w:r>
    </w:p>
    <w:p w14:paraId="1826493E" w14:textId="1A6B22BE" w:rsidR="002F1C73" w:rsidRDefault="002F1C73">
      <w:pPr>
        <w:rPr>
          <w:b/>
        </w:rPr>
      </w:pPr>
      <w:r w:rsidRPr="007C2683">
        <w:rPr>
          <w:b/>
        </w:rPr>
        <w:t xml:space="preserve">Main text </w:t>
      </w:r>
    </w:p>
    <w:p w14:paraId="1B209F4E" w14:textId="3F19E891" w:rsidR="00B3393D" w:rsidRPr="007C2683" w:rsidRDefault="00B3393D">
      <w:pPr>
        <w:rPr>
          <w:b/>
        </w:rPr>
      </w:pPr>
      <w:r>
        <w:rPr>
          <w:b/>
        </w:rPr>
        <w:t>Background</w:t>
      </w:r>
    </w:p>
    <w:p w14:paraId="0FD47FB5" w14:textId="2082C8FB" w:rsidR="00484A54" w:rsidRPr="007C2683" w:rsidRDefault="00484A54" w:rsidP="00484A54">
      <w:r w:rsidRPr="007C2683">
        <w:t xml:space="preserve">Anopheline mosquitoes are the only genus capable of transmitting human malaria. Targeting the mosquito has proven to be </w:t>
      </w:r>
      <w:r w:rsidR="00327B3D" w:rsidRPr="007C2683">
        <w:t>the most</w:t>
      </w:r>
      <w:r w:rsidRPr="007C2683">
        <w:t xml:space="preserve"> effective means of reducing the incidence of malaria</w:t>
      </w:r>
      <w:r w:rsidR="00327B3D" w:rsidRPr="007C2683">
        <w:t>,</w:t>
      </w:r>
      <w:r w:rsidRPr="007C2683">
        <w:t xml:space="preserve"> and the </w:t>
      </w:r>
      <w:r w:rsidR="004F3DD1" w:rsidRPr="007C2683">
        <w:t xml:space="preserve">massive </w:t>
      </w:r>
      <w:r w:rsidRPr="007C2683">
        <w:t>scale up of insecticide-based interventions, most notably long-lasting insecticidal nets (LLINs), has driven the dramatic reductions in malaria cases in Africa in the 21</w:t>
      </w:r>
      <w:r w:rsidRPr="007C2683">
        <w:rPr>
          <w:vertAlign w:val="superscript"/>
        </w:rPr>
        <w:t>st</w:t>
      </w:r>
      <w:r w:rsidRPr="007C2683">
        <w:t xml:space="preserve"> century</w:t>
      </w:r>
      <w:r w:rsidR="00480951" w:rsidRPr="007C2683">
        <w:t xml:space="preserve"> </w:t>
      </w:r>
      <w:r w:rsidR="00480951" w:rsidRPr="007C2683">
        <w:fldChar w:fldCharType="begin" w:fldLock="1"/>
      </w:r>
      <w:r w:rsidR="00480951" w:rsidRPr="007C2683">
        <w:instrText>ADDIN CSL_CITATION {"citationItems":[{"id":"ITEM-1","itemData":{"ISSN":"0028-0836","author":[{"dropping-particle":"","family":"Bhatt","given":"S","non-dropping-particle":"","parse-names":false,"suffix":""},{"dropping-particle":"","family":"Weiss","given":"D J","non-dropping-particle":"","parse-names":false,"suffix":""},{"dropping-particle":"","family":"Cameron","given":"E","non-dropping-particle":"","parse-names":false,"suffix":""},{"dropping-particle":"","family":"Bisanzio","given":"D","non-dropping-particle":"","parse-names":false,"suffix":""},{"dropping-particle":"","family":"Mappin","given":"B","non-dropping-particle":"","parse-names":false,"suffix":""},{"dropping-particle":"","family":"Dalrymple","given":"U","non-dropping-particle":"","parse-names":false,"suffix":""},{"dropping-particle":"","family":"Battle","given":"K E","non-dropping-particle":"","parse-names":false,"suffix":""},{"dropping-particle":"","family":"Moyes","given":"C L","non-dropping-particle":"","parse-names":false,"suffix":""},{"dropping-particle":"","family":"Henry","given":"A","non-dropping-particle":"","parse-names":false,"suffix":""},{"dropping-particle":"","family":"Eckhoff","given":"P A","non-dropping-particle":"","parse-names":false,"suffix":""}],"container-title":"Nature","id":"ITEM-1","issue":"7572","issued":{"date-parts":[["2015"]]},"page":"207-211","publisher":"Nature Publishing Group","title":"The effect of malaria control on Plasmodium falciparum in Africa between 2000 and 2015","type":"article-journal","volume":"526"},"uris":["http://www.mendeley.com/documents/?uuid=7322ac4c-ff31-4f89-af72-935831552a44"]}],"mendeley":{"formattedCitation":"&lt;sup&gt;1&lt;/sup&gt;","plainTextFormattedCitation":"1","previouslyFormattedCitation":"&lt;sup&gt;1&lt;/sup&gt;"},"properties":{"noteIndex":0},"schema":"https://github.com/citation-style-language/schema/raw/master/csl-citation.json"}</w:instrText>
      </w:r>
      <w:r w:rsidR="00480951" w:rsidRPr="007C2683">
        <w:fldChar w:fldCharType="separate"/>
      </w:r>
      <w:r w:rsidR="00480951" w:rsidRPr="007C2683">
        <w:rPr>
          <w:noProof/>
          <w:vertAlign w:val="superscript"/>
        </w:rPr>
        <w:t>1</w:t>
      </w:r>
      <w:r w:rsidR="00480951" w:rsidRPr="007C2683">
        <w:fldChar w:fldCharType="end"/>
      </w:r>
      <w:r w:rsidRPr="007C2683">
        <w:t xml:space="preserve">.  However, worryingly, after many years of progress, </w:t>
      </w:r>
      <w:r w:rsidR="004122C2" w:rsidRPr="007C2683">
        <w:t>gains in malaria control are now stalling,</w:t>
      </w:r>
      <w:r w:rsidRPr="007C2683">
        <w:t xml:space="preserve"> with an estimated </w:t>
      </w:r>
      <w:r w:rsidR="00365608" w:rsidRPr="007C2683">
        <w:t>219 million</w:t>
      </w:r>
      <w:r w:rsidRPr="007C2683">
        <w:t xml:space="preserve"> cases and </w:t>
      </w:r>
      <w:r w:rsidR="00365608" w:rsidRPr="007C2683">
        <w:t>435 000</w:t>
      </w:r>
      <w:r w:rsidRPr="007C2683">
        <w:t xml:space="preserve"> malaria associated deaths across Africa in 2017 prompting a re-examination of the effectiveness of the primary prevention tools</w:t>
      </w:r>
      <w:r w:rsidR="00480951" w:rsidRPr="007C2683">
        <w:t xml:space="preserve"> </w:t>
      </w:r>
      <w:r w:rsidR="00480951" w:rsidRPr="007C2683">
        <w:fldChar w:fldCharType="begin" w:fldLock="1"/>
      </w:r>
      <w:r w:rsidR="00480951" w:rsidRPr="007C2683">
        <w:instrText>ADDIN CSL_CITATION {"citationItems":[{"id":"ITEM-1","itemData":{"id":"ITEM-1","issued":{"date-parts":[["0"]]},"title":"WHO. World Malaria Report. Geneva; 2018.","type":"article"},"uris":["http://www.mendeley.com/documents/?uuid=7d574d65-0e74-44e6-9b4c-54aa3c868a90"]}],"mendeley":{"formattedCitation":"&lt;sup&gt;2&lt;/sup&gt;","plainTextFormattedCitation":"2","previouslyFormattedCitation":"&lt;sup&gt;2&lt;/sup&gt;"},"properties":{"noteIndex":0},"schema":"https://github.com/citation-style-language/schema/raw/master/csl-citation.json"}</w:instrText>
      </w:r>
      <w:r w:rsidR="00480951" w:rsidRPr="007C2683">
        <w:fldChar w:fldCharType="separate"/>
      </w:r>
      <w:r w:rsidR="00480951" w:rsidRPr="007C2683">
        <w:rPr>
          <w:noProof/>
          <w:vertAlign w:val="superscript"/>
        </w:rPr>
        <w:t>2</w:t>
      </w:r>
      <w:r w:rsidR="00480951" w:rsidRPr="007C2683">
        <w:fldChar w:fldCharType="end"/>
      </w:r>
      <w:r w:rsidRPr="007C2683">
        <w:t xml:space="preserve">. </w:t>
      </w:r>
      <w:r w:rsidR="001B6305" w:rsidRPr="007C2683">
        <w:t xml:space="preserve">LLINs have proven so effective in preventing malaria because they not only provide personal protection to LLIN users by </w:t>
      </w:r>
      <w:r w:rsidR="00327B3D" w:rsidRPr="007C2683">
        <w:t>reducing biting by</w:t>
      </w:r>
      <w:r w:rsidR="001B6305" w:rsidRPr="007C2683">
        <w:t xml:space="preserve"> the night feeding </w:t>
      </w:r>
      <w:r w:rsidR="001B6305" w:rsidRPr="007C2683">
        <w:rPr>
          <w:i/>
        </w:rPr>
        <w:t>Anopheles</w:t>
      </w:r>
      <w:r w:rsidR="001B6305" w:rsidRPr="007C2683">
        <w:t xml:space="preserve"> </w:t>
      </w:r>
      <w:r w:rsidR="00AB728A" w:rsidRPr="007C2683">
        <w:t>mosquitoes,</w:t>
      </w:r>
      <w:r w:rsidR="001B6305" w:rsidRPr="007C2683">
        <w:t xml:space="preserve"> but they also have a community effect, whereby contact with the insecticide decreases the likelihood that mosquitoes will su</w:t>
      </w:r>
      <w:r w:rsidR="00D955AD" w:rsidRPr="007C2683">
        <w:t>r</w:t>
      </w:r>
      <w:r w:rsidR="001B6305" w:rsidRPr="007C2683">
        <w:t xml:space="preserve">vive long enough for the </w:t>
      </w:r>
      <w:r w:rsidR="00327B3D" w:rsidRPr="007C2683">
        <w:rPr>
          <w:i/>
        </w:rPr>
        <w:t>Plasmodium</w:t>
      </w:r>
      <w:r w:rsidR="00327B3D" w:rsidRPr="007C2683">
        <w:t xml:space="preserve"> </w:t>
      </w:r>
      <w:r w:rsidR="001B6305" w:rsidRPr="007C2683">
        <w:t xml:space="preserve">parasite </w:t>
      </w:r>
      <w:r w:rsidR="00327B3D" w:rsidRPr="007C2683">
        <w:t xml:space="preserve">development and transmission </w:t>
      </w:r>
      <w:r w:rsidR="00D955AD" w:rsidRPr="007C2683">
        <w:fldChar w:fldCharType="begin" w:fldLock="1"/>
      </w:r>
      <w:r w:rsidR="00D955AD" w:rsidRPr="007C2683">
        <w:instrText>ADDIN CSL_CITATION {"citationItems":[{"id":"ITEM-1","itemData":{"ISSN":"0002-9637 (Print)","PMID":"12749495","abstract":"Spatial analyses of the effect of insecticide (permethrin)-treated bed nets (ITNs) on nearby households both with and without ITNs was performed in the context of a large-scale, group-randomized, controlled mortality trial in Asembo, western Kenya. Results illustrate a protective effect of ITNs on compounds lacking ITNs located within 300 meters of compounds with ITNs for child mortality, moderate anemia, high-density parasitemia, and hemoglobin levels. This community effect on nearby compounds without nets is approximately as strong as the effect observed within villages with ITNs. This implies that in areas with intense malaria transmission with high ITN coverage, the primary effect of insecticide-treated nets is via area-wide effects on the mosquito population and not, as commonly supposed, by simple imposition of a physical barrier protecting individuals from biting. The strength of the community effect depended upon the proportion of nearby compounds with treated nets. To maximize their public health impact, high coverage with treated nets is essential.","author":[{"dropping-particle":"","family":"Hawley","given":"William A","non-dropping-particle":"","parse-names":false,"suffix":""},{"dropping-particle":"","family":"Phillips-Howard","given":"Penelope A","non-dropping-particle":"","parse-names":false,"suffix":""},{"dropping-particle":"","family":"Kuile","given":"Feiko O","non-dropping-particle":"ter","parse-names":false,"suffix":""},{"dropping-particle":"","family":"Terlouw","given":"Dianne J","non-dropping-particle":"","parse-names":false,"suffix":""},{"dropping-particle":"","family":"Vulule","given":"John M","non-dropping-particle":"","parse-names":false,"suffix":""},{"dropping-particle":"","family":"Ombok","given":"Maurice","non-dropping-particle":"","parse-names":false,"suffix":""},{"dropping-particle":"","family":"Nahlen","given":"Bernard L","non-dropping-particle":"","parse-names":false,"suffix":""},{"dropping-particle":"","family":"Gimnig","given":"John E","non-dropping-particle":"","parse-names":false,"suffix":""},{"dropping-particle":"","family":"Kariuki","given":"Simon K","non-dropping-particle":"","parse-names":false,"suffix":""},{"dropping-particle":"","family":"Kolczak","given":"Margarette S","non-dropping-particle":"","parse-names":false,"suffix":""},{"dropping-particle":"","family":"Hightower","given":"Allen W","non-dropping-particle":"","parse-names":false,"suffix":""}],"container-title":"The American journal of tropical medicine and hygiene","id":"ITEM-1","issue":"4 Suppl","issued":{"date-parts":[["2003","4"]]},"language":"eng","page":"121-127","publisher-place":"United States","title":"Community-wide effects of permethrin-treated bed nets on child mortality and malaria morbidity in western Kenya.","type":"article-journal","volume":"68"},"uris":["http://www.mendeley.com/documents/?uuid=c6635dcf-faf5-4baf-800b-b61da9538063"]}],"mendeley":{"formattedCitation":"&lt;sup&gt;3&lt;/sup&gt;","plainTextFormattedCitation":"3","previouslyFormattedCitation":"&lt;sup&gt;3&lt;/sup&gt;"},"properties":{"noteIndex":0},"schema":"https://github.com/citation-style-language/schema/raw/master/csl-citation.json"}</w:instrText>
      </w:r>
      <w:r w:rsidR="00D955AD" w:rsidRPr="007C2683">
        <w:fldChar w:fldCharType="separate"/>
      </w:r>
      <w:r w:rsidR="00D955AD" w:rsidRPr="007C2683">
        <w:rPr>
          <w:noProof/>
          <w:vertAlign w:val="superscript"/>
        </w:rPr>
        <w:t>3</w:t>
      </w:r>
      <w:r w:rsidR="00D955AD" w:rsidRPr="007C2683">
        <w:fldChar w:fldCharType="end"/>
      </w:r>
      <w:r w:rsidR="006072F9" w:rsidRPr="007C2683">
        <w:t xml:space="preserve">. </w:t>
      </w:r>
      <w:r w:rsidR="00791972" w:rsidRPr="007C2683">
        <w:t>T</w:t>
      </w:r>
      <w:r w:rsidR="001B6305" w:rsidRPr="007C2683">
        <w:t>he scale up of LLIN</w:t>
      </w:r>
      <w:r w:rsidR="00F217F7" w:rsidRPr="007C2683">
        <w:t>s</w:t>
      </w:r>
      <w:r w:rsidR="001B6305" w:rsidRPr="007C2683">
        <w:t xml:space="preserve"> has exerted intense selection pressure on </w:t>
      </w:r>
      <w:r w:rsidR="00DC3021" w:rsidRPr="007C2683">
        <w:rPr>
          <w:i/>
        </w:rPr>
        <w:t>Anopheles</w:t>
      </w:r>
      <w:r w:rsidR="00DC3021" w:rsidRPr="007C2683">
        <w:t xml:space="preserve"> </w:t>
      </w:r>
      <w:r w:rsidR="001B6305" w:rsidRPr="007C2683">
        <w:t>vectors to develop resistance to pyrethroids, the insecticide class used to treat all LLINs, and as a result, the community effect of LLINs is being eroded</w:t>
      </w:r>
      <w:r w:rsidR="00E741B9" w:rsidRPr="007C2683">
        <w:t xml:space="preserve"> </w:t>
      </w:r>
      <w:r w:rsidR="008568E7" w:rsidRPr="007C2683">
        <w:fldChar w:fldCharType="begin" w:fldLock="1"/>
      </w:r>
      <w:r w:rsidR="00D955AD" w:rsidRPr="007C2683">
        <w:instrText>ADDIN CSL_CITATION {"citationItems":[{"id":"ITEM-1","itemData":{"ISSN":"2050-084X","author":[{"dropping-particle":"","family":"Churcher","given":"Thomas S","non-dropping-particle":"","parse-names":false,"suffix":""},{"dropping-particle":"","family":"Lissenden","given":"Natalie","non-dropping-particle":"","parse-names":false,"suffix":""},{"dropping-particle":"","family":"Griffin","given":"Jamie T","non-dropping-particle":"","parse-names":false,"suffix":""},{"dropping-particle":"","family":"Worrall","given":"Eve","non-dropping-particle":"","parse-names":false,"suffix":""},{"dropping-particle":"","family":"Ranson","given":"Hilary","non-dropping-particle":"","parse-names":false,"suffix":""}],"container-title":"eLife","id":"ITEM-1","issued":{"date-parts":[["2016"]]},"page":"e16090","publisher":"eLife Sciences Publications Limited","title":"The impact of pyrethroid resistance on the efficacy and effectiveness of bednets for malaria control in Africa","type":"article-journal","volume":"5"},"uris":["http://www.mendeley.com/documents/?uuid=addca3cc-d0a5-4474-9c30-d03f594566a2"]}],"mendeley":{"formattedCitation":"&lt;sup&gt;4&lt;/sup&gt;","plainTextFormattedCitation":"4","previouslyFormattedCitation":"&lt;sup&gt;4&lt;/sup&gt;"},"properties":{"noteIndex":0},"schema":"https://github.com/citation-style-language/schema/raw/master/csl-citation.json"}</w:instrText>
      </w:r>
      <w:r w:rsidR="008568E7" w:rsidRPr="007C2683">
        <w:fldChar w:fldCharType="separate"/>
      </w:r>
      <w:r w:rsidR="00D955AD" w:rsidRPr="007C2683">
        <w:rPr>
          <w:noProof/>
          <w:vertAlign w:val="superscript"/>
        </w:rPr>
        <w:t>4</w:t>
      </w:r>
      <w:r w:rsidR="008568E7" w:rsidRPr="007C2683">
        <w:fldChar w:fldCharType="end"/>
      </w:r>
      <w:r w:rsidR="001B6305" w:rsidRPr="007C2683">
        <w:t xml:space="preserve">. </w:t>
      </w:r>
      <w:r w:rsidRPr="007C2683">
        <w:t xml:space="preserve">To mitigate against catastrophic failure of insecticide-based vector control tools, the resistance mechanisms must be identified and targeted. </w:t>
      </w:r>
      <w:r w:rsidR="00327B3D" w:rsidRPr="007C2683">
        <w:t>Successful management of insecticide resistance</w:t>
      </w:r>
      <w:r w:rsidRPr="007C2683">
        <w:t xml:space="preserve"> has been demonstrated by trials of pyrethroid nets containing the synergist piperonyl butoxide (PBO)</w:t>
      </w:r>
      <w:r w:rsidR="00D955AD" w:rsidRPr="007C2683">
        <w:t xml:space="preserve"> </w:t>
      </w:r>
      <w:r w:rsidR="00D955AD" w:rsidRPr="007C2683">
        <w:fldChar w:fldCharType="begin" w:fldLock="1"/>
      </w:r>
      <w:r w:rsidR="00791CE6" w:rsidRPr="007C2683">
        <w:instrText>ADDIN CSL_CITATION {"citationItems":[{"id":"ITEM-1","itemData":{"ISSN":"0140-6736","author":[{"dropping-particle":"","family":"Protopopoff","given":"Natacha","non-dropping-particle":"","parse-names":false,"suffix":""},{"dropping-particle":"","family":"Mosha","given":"Jacklin F","non-dropping-particle":"","parse-names":false,"suffix":""},{"dropping-particle":"","family":"Lukole","given":"Eliud","non-dropping-particle":"","parse-names":false,"suffix":""},{"dropping-particle":"","family":"Charlwood","given":"Jacques D","non-dropping-particle":"","parse-names":false,"suffix":""},{"dropping-particle":"","family":"Wright","given":"Alexandra","non-dropping-particle":"","parse-names":false,"suffix":""},{"dropping-particle":"","family":"Mwalimu","given":"Charles D","non-dropping-particle":"","parse-names":false,"suffix":""},{"dropping-particle":"","family":"Manjurano","given":"Alphaxard","non-dropping-particle":"","parse-names":false,"suffix":""},{"dropping-particle":"","family":"Mosha","given":"Franklin W","non-dropping-particle":"","parse-names":false,"suffix":""},{"dropping-particle":"","family":"Kisinza","given":"William","non-dropping-particle":"","parse-names":false,"suffix":""},{"dropping-particle":"","family":"Kleinschmidt","given":"Immo","non-dropping-particle":"","parse-names":false,"suffix":""}],"container-title":"The Lancet","id":"ITEM-1","issue":"10130","issued":{"date-parts":[["2018"]]},"page":"1577-1588","publisher":"Elsevier","title":"Effectiveness of a long-lasting piperonyl butoxide-treated insecticidal net and indoor residual spray interventions, separately and together, against malaria transmitted by pyrethroid-resistant mosquitoes: a cluster, randomised controlled, two-by-two fact","type":"article-journal","volume":"391"},"uris":["http://www.mendeley.com/documents/?uuid=81572974-786c-4630-8eee-03d85c149cbb"]}],"mendeley":{"formattedCitation":"&lt;sup&gt;5&lt;/sup&gt;","plainTextFormattedCitation":"5","previouslyFormattedCitation":"&lt;sup&gt;5&lt;/sup&gt;"},"properties":{"noteIndex":0},"schema":"https://github.com/citation-style-language/schema/raw/master/csl-citation.json"}</w:instrText>
      </w:r>
      <w:r w:rsidR="00D955AD" w:rsidRPr="007C2683">
        <w:fldChar w:fldCharType="separate"/>
      </w:r>
      <w:r w:rsidR="00D955AD" w:rsidRPr="007C2683">
        <w:rPr>
          <w:noProof/>
          <w:vertAlign w:val="superscript"/>
        </w:rPr>
        <w:t>5</w:t>
      </w:r>
      <w:r w:rsidR="00D955AD" w:rsidRPr="007C2683">
        <w:fldChar w:fldCharType="end"/>
      </w:r>
      <w:r w:rsidR="00327B3D" w:rsidRPr="007C2683">
        <w:t>, a potent inhibitor</w:t>
      </w:r>
      <w:r w:rsidRPr="007C2683">
        <w:t xml:space="preserve"> </w:t>
      </w:r>
      <w:r w:rsidR="00327B3D" w:rsidRPr="007C2683">
        <w:t>of</w:t>
      </w:r>
      <w:r w:rsidRPr="007C2683">
        <w:t xml:space="preserve"> </w:t>
      </w:r>
      <w:r w:rsidR="00327B3D" w:rsidRPr="007C2683">
        <w:t xml:space="preserve">metabolic resistance caused by </w:t>
      </w:r>
      <w:r w:rsidRPr="007C2683">
        <w:t>cytochrome P450s</w:t>
      </w:r>
      <w:r w:rsidR="00C43C67" w:rsidRPr="007C2683">
        <w:t>,</w:t>
      </w:r>
      <w:r w:rsidRPr="007C2683">
        <w:t xml:space="preserve"> one of the most widespread, and hitherto most potent, resistance mechanisms </w:t>
      </w:r>
      <w:r w:rsidR="00480951" w:rsidRPr="007C2683">
        <w:fldChar w:fldCharType="begin" w:fldLock="1"/>
      </w:r>
      <w:r w:rsidR="00D955AD" w:rsidRPr="007C2683">
        <w:instrText>ADDIN CSL_CITATION {"citationItems":[{"id":"ITEM-1","itemData":{"ISSN":"0965-1748","author":[{"dropping-particle":"","family":"Stevenson","given":"Bradley J","non-dropping-particle":"","parse-names":false,"suffix":""},{"dropping-particle":"","family":"Bibby","given":"Jaclyn","non-dropping-particle":"","parse-names":false,"suffix":""},{"dropping-particle":"","family":"Pignatelli","given":"Patricia","non-dropping-particle":"","parse-names":false,"suffix":""},{"dropping-particle":"","family":"Muangnoicharoen","given":"Sant","non-dropping-particle":"","parse-names":false,"suffix":""},{"dropping-particle":"","family":"O’Neill","given":"Paul M","non-dropping-particle":"","parse-names":false,"suffix":""},{"dropping-particle":"","family":"Lian","given":"Lu-Yun","non-dropping-particle":"","parse-names":false,"suffix":""},{"dropping-particle":"","family":"Müller","given":"Pie","non-dropping-particle":"","parse-names":false,"suffix":""},{"dropping-particle":"","family":"Nikou","given":"Dimitra","non-dropping-particle":"","parse-names":false,"suffix":""},{"dropping-particle":"","family":"Steven","given":"Andrew","non-dropping-particle":"","parse-names":false,"suffix":""},{"dropping-particle":"","family":"Hemingway","given":"Janet","non-dropping-particle":"","parse-names":false,"suffix":""}],"container-title":"Insect biochemistry and molecular biology","id":"ITEM-1","issue":"7","issued":{"date-parts":[["2011"]]},"page":"492-502","publisher":"Elsevier","title":"Cytochrome P450 6M2 from the malaria vector Anopheles gambiae metabolizes pyrethroids: Sequential metabolism of deltamethrin revealed","type":"article-journal","volume":"41"},"uris":["http://www.mendeley.com/documents/?uuid=74d4c20b-a25e-4d20-adfe-3fd382e6ca01"]},{"id":"ITEM-2","itemData":{"abstract":"Malaria, a disease spread by anopheline mosquitoes, is a global health problem with an enormous economic and social impact. Pyrethroid insecticides are critical in reducing malaria transmission, and resistance to these insecticides threatens current control efforts. With a limited number of public health insecticides available for the foreseeable future, it is vital to monitor levels of resistance to facilitate decisions on when new strategies should be implemented before control fails. For monitoring, simple molecular assays are highly desirable, because they can detect resistance at very low frequencies and should identify the presence of single recessive alleles well before bioassays. An understanding of the mechanisms conferring resistance facilitates the development of such tools and may also lead to novel strategies to restore the efficacy of the insecticide, or the development of new compounds. We set out to identify enzymes that may confer metabolic pyrethroid resistance by comparing levels of messenger RNA between insecticide-selected versus unselected mosquitoes. We caught members of the major malaria vector, A. gambiae s.s. from a highly pyrethroid resistant field population. We found increased transcript levels for a cytochrome P450, CYP6P3, and demonstrate that it encodes for an enzyme that metabolises pyrethroids.","author":[{"dropping-particle":"","family":"Müller","given":"Pie","non-dropping-particle":"","parse-names":false,"suffix":""},{"dropping-particle":"","family":"Warr","given":"Emma","non-dropping-particle":"","parse-names":false,"suffix":""},{"dropping-particle":"","family":"Stevenson","given":"Bradley J","non-dropping-particle":"","parse-names":false,"suffix":""},{"dropping-particle":"","family":"Pignatelli","given":"Patricia M","non-dropping-particle":"","parse-names":false,"suffix":""},{"dropping-particle":"","family":"Morgan","given":"John C","non-dropping-particle":"","parse-names":false,"suffix":""},{"dropping-particle":"","family":"Steven","given":"Andrew","non-dropping-particle":"","parse-names":false,"suffix":""},{"dropping-particle":"","family":"Yawson","given":"Alexander E","non-dropping-particle":"","parse-names":false,"suffix":""},{"dropping-particle":"","family":"Mitchell","given":"Sara N","non-dropping-particle":"","parse-names":false,"suffix":""},{"dropping-particle":"","family":"Ranson","given":"Hilary","non-dropping-particle":"","parse-names":false,"suffix":""},{"dropping-particle":"","family":"Hemingway","given":"Janet","non-dropping-particle":"","parse-names":false,"suffix":""},{"dropping-particle":"","family":"Paine","given":"Mark J I","non-dropping-particle":"","parse-names":false,"suffix":""},{"dropping-particle":"","family":"Donnelly","given":"Martin J","non-dropping-particle":"","parse-names":false,"suffix":""}],"container-title":"PLoS Genet","id":"ITEM-2","issue":"11","issued":{"date-parts":[["2008","11","28"]]},"page":"e1000286","publisher":"Public Library of Science","title":"Field-Caught Permethrin-Resistant Anopheles gambiae Overexpress CYP6P3, a P450 That Metabolises Pyrethroids","type":"article-journal","volume":"4"},"uris":["http://www.mendeley.com/documents/?uuid=a547050c-0987-44c5-b35f-b820a2ef2de4"]}],"mendeley":{"formattedCitation":"&lt;sup&gt;6,7&lt;/sup&gt;","plainTextFormattedCitation":"6,7","previouslyFormattedCitation":"&lt;sup&gt;6,7&lt;/sup&gt;"},"properties":{"noteIndex":0},"schema":"https://github.com/citation-style-language/schema/raw/master/csl-citation.json"}</w:instrText>
      </w:r>
      <w:r w:rsidR="00480951" w:rsidRPr="007C2683">
        <w:fldChar w:fldCharType="separate"/>
      </w:r>
      <w:r w:rsidR="00D955AD" w:rsidRPr="007C2683">
        <w:rPr>
          <w:noProof/>
          <w:vertAlign w:val="superscript"/>
        </w:rPr>
        <w:t>6,7</w:t>
      </w:r>
      <w:r w:rsidR="00480951" w:rsidRPr="007C2683">
        <w:fldChar w:fldCharType="end"/>
      </w:r>
      <w:r w:rsidRPr="007C2683">
        <w:t>. By blocking this resistance mechanism, PBO-pyrethroid nets restore insecticide susceptibility</w:t>
      </w:r>
      <w:r w:rsidR="00327B3D" w:rsidRPr="007C2683">
        <w:t>,</w:t>
      </w:r>
      <w:r w:rsidRPr="007C2683">
        <w:t xml:space="preserve"> </w:t>
      </w:r>
      <w:r w:rsidR="00327B3D" w:rsidRPr="007C2683">
        <w:t>leading to a reduction in</w:t>
      </w:r>
      <w:r w:rsidRPr="007C2683">
        <w:t xml:space="preserve"> malaria cases in areas where metabolic resistance prevails</w:t>
      </w:r>
      <w:r w:rsidR="00480951" w:rsidRPr="007C2683">
        <w:t xml:space="preserve"> </w:t>
      </w:r>
      <w:r w:rsidR="00BF6A01" w:rsidRPr="007C2683">
        <w:rPr>
          <w:vertAlign w:val="superscript"/>
        </w:rPr>
        <w:t>5</w:t>
      </w:r>
      <w:r w:rsidRPr="007C2683">
        <w:t>.</w:t>
      </w:r>
    </w:p>
    <w:p w14:paraId="6633EE5C" w14:textId="791A818F" w:rsidR="00484A54" w:rsidRPr="007C2683" w:rsidRDefault="005A2193">
      <w:r w:rsidRPr="007C2683">
        <w:t xml:space="preserve">Although </w:t>
      </w:r>
      <w:r w:rsidR="00484A54" w:rsidRPr="007C2683">
        <w:t>PBO-pyrethroid nets are now replacing standard pyrethroid</w:t>
      </w:r>
      <w:r w:rsidRPr="007C2683">
        <w:t>-</w:t>
      </w:r>
      <w:r w:rsidR="00484A54" w:rsidRPr="007C2683">
        <w:t>only nets in many sites across Africa</w:t>
      </w:r>
      <w:r w:rsidR="00365608" w:rsidRPr="007C2683">
        <w:t xml:space="preserve"> </w:t>
      </w:r>
      <w:r w:rsidR="00365608" w:rsidRPr="007C2683">
        <w:fldChar w:fldCharType="begin" w:fldLock="1"/>
      </w:r>
      <w:r w:rsidR="00D955AD" w:rsidRPr="007C2683">
        <w:instrText>ADDIN CSL_CITATION {"citationItems":[{"id":"ITEM-1","itemData":{"ISSN":"1465-1858","author":[{"dropping-particle":"","family":"Gleave","given":"Katherine","non-dropping-particle":"","parse-names":false,"suffix":""},{"dropping-particle":"","family":"Lissenden","given":"Natalie","non-dropping-particle":"","parse-names":false,"suffix":""},{"dropping-particle":"","family":"Richardson","given":"Marty","non-dropping-particle":"","parse-names":false,"suffix":""},{"dropping-particle":"","family":"Ranson","given":"Hilary","non-dropping-particle":"","parse-names":false,"suffix":""}],"container-title":"Cochrane Database of Systematic Reviews","id":"ITEM-1","issue":"8","issued":{"date-parts":[["2017"]]},"publisher":"John Wiley &amp; Sons, Ltd","title":"Piperonyl butoxide (PBO) combined with pyrethroids in long‐lasting insecticidal nets (LLINs) to prevent malaria in Africa","type":"article-journal"},"uris":["http://www.mendeley.com/documents/?uuid=922da3b1-f559-4e40-87d8-416ba9c9cc43"]}],"mendeley":{"formattedCitation":"&lt;sup&gt;8&lt;/sup&gt;","plainTextFormattedCitation":"8","previouslyFormattedCitation":"&lt;sup&gt;8&lt;/sup&gt;"},"properties":{"noteIndex":0},"schema":"https://github.com/citation-style-language/schema/raw/master/csl-citation.json"}</w:instrText>
      </w:r>
      <w:r w:rsidR="00365608" w:rsidRPr="007C2683">
        <w:fldChar w:fldCharType="separate"/>
      </w:r>
      <w:r w:rsidR="00D955AD" w:rsidRPr="007C2683">
        <w:rPr>
          <w:noProof/>
          <w:vertAlign w:val="superscript"/>
        </w:rPr>
        <w:t>8</w:t>
      </w:r>
      <w:r w:rsidR="00365608" w:rsidRPr="007C2683">
        <w:fldChar w:fldCharType="end"/>
      </w:r>
      <w:r w:rsidRPr="007C2683">
        <w:t>,</w:t>
      </w:r>
      <w:r w:rsidR="00484A54" w:rsidRPr="007C2683">
        <w:t xml:space="preserve">  not all pyrethroid resistant populations can be effectively targeted by this synergist </w:t>
      </w:r>
      <w:r w:rsidR="00D955AD" w:rsidRPr="007C2683">
        <w:fldChar w:fldCharType="begin" w:fldLock="1"/>
      </w:r>
      <w:r w:rsidR="00D955AD" w:rsidRPr="007C2683">
        <w:instrText>ADDIN CSL_CITATION {"citationItems":[{"id":"ITEM-1","itemData":{"ISSN":"1465-1858","author":[{"dropping-particle":"","family":"Gleave","given":"Katherine","non-dropping-particle":"","parse-names":false,"suffix":""},{"dropping-particle":"","family":"Lissenden","given":"Natalie","non-dropping-particle":"","parse-names":false,"suffix":""},{"dropping-particle":"","family":"Richardson","given":"Marty","non-dropping-particle":"","parse-names":false,"suffix":""},{"dropping-particle":"","family":"Ranson","given":"Hilary","non-dropping-particle":"","parse-names":false,"suffix":""}],"container-title":"Cochrane Database of Systematic Reviews","id":"ITEM-1","issue":"8","issued":{"date-parts":[["2017"]]},"publisher":"John Wiley &amp; Sons, Ltd","title":"Piperonyl butoxide (PBO) combined with pyrethroids in long‐lasting insecticidal nets (LLINs) to prevent malaria in Africa","type":"article-journal"},"uris":["http://www.mendeley.com/documents/?uuid=922da3b1-f559-4e40-87d8-416ba9c9cc43"]},{"id":"ITEM-2","itemData":{"ISSN":"0269-283X","author":[{"dropping-particle":"","family":"Toe","given":"K H","non-dropping-particle":"","parse-names":false,"suffix":""},{"dropping-particle":"","family":"Müller","given":"P","non-dropping-particle":"","parse-names":false,"suffix":""},{"dropping-particle":"","family":"Badolo","given":"Athanase","non-dropping-particle":"","parse-names":false,"suffix":""},{"dropping-particle":"","family":"Traore","given":"Alphonse","non-dropping-particle":"","parse-names":false,"suffix":""},{"dropping-particle":"","family":"Sagnon","given":"N","non-dropping-particle":"","parse-names":false,"suffix":""},{"dropping-particle":"","family":"Dabiré","given":"R K","non-dropping-particle":"","parse-names":false,"suffix":""},{"dropping-particle":"","family":"Ranson","given":"Hilary","non-dropping-particle":"","parse-names":false,"suffix":""}],"container-title":"Medical and veterinary entomology","id":"ITEM-2","issued":{"date-parts":[["2018"]]},"publisher":"Wiley Online Library","title":"Do bednets including piperonyl butoxide offer additional protection against populations of Anopheles gambiae sl. that are highly resistant to pyrethroids? An experimental hut evaluation in Burkina Fasov","type":"article-journal"},"uris":["http://www.mendeley.com/documents/?uuid=b8d8772b-6f9e-32e1-a1ca-bfde86d64ad5"]}],"mendeley":{"formattedCitation":"&lt;sup&gt;8,9&lt;/sup&gt;","plainTextFormattedCitation":"8,9","previouslyFormattedCitation":"&lt;sup&gt;8,9&lt;/sup&gt;"},"properties":{"noteIndex":0},"schema":"https://github.com/citation-style-language/schema/raw/master/csl-citation.json"}</w:instrText>
      </w:r>
      <w:r w:rsidR="00D955AD" w:rsidRPr="007C2683">
        <w:fldChar w:fldCharType="separate"/>
      </w:r>
      <w:r w:rsidR="00D955AD" w:rsidRPr="007C2683">
        <w:rPr>
          <w:noProof/>
          <w:vertAlign w:val="superscript"/>
        </w:rPr>
        <w:t>8,9</w:t>
      </w:r>
      <w:r w:rsidR="00D955AD" w:rsidRPr="007C2683">
        <w:fldChar w:fldCharType="end"/>
      </w:r>
      <w:r w:rsidR="005F3F9F" w:rsidRPr="007C2683">
        <w:t xml:space="preserve"> </w:t>
      </w:r>
      <w:r w:rsidRPr="007C2683">
        <w:t>as</w:t>
      </w:r>
      <w:r w:rsidR="00484A54" w:rsidRPr="007C2683">
        <w:t xml:space="preserve"> additional mechanisms are contributing to the resistance phenotype. </w:t>
      </w:r>
      <w:r w:rsidR="004E1718" w:rsidRPr="007C2683">
        <w:t>R</w:t>
      </w:r>
      <w:r w:rsidR="009B7E1B" w:rsidRPr="007C2683">
        <w:t>ecently</w:t>
      </w:r>
      <w:r w:rsidR="00484A54" w:rsidRPr="007C2683">
        <w:t xml:space="preserve">, using a meta-analysis approach of transcriptomic data from pyrethroid resistant </w:t>
      </w:r>
      <w:r w:rsidR="00484A54" w:rsidRPr="007C2683">
        <w:rPr>
          <w:i/>
        </w:rPr>
        <w:t>An. gambiae</w:t>
      </w:r>
      <w:r w:rsidR="00484A54" w:rsidRPr="007C2683">
        <w:t xml:space="preserve"> populations from across Africa, we identified multiple new resistance mechanisms</w:t>
      </w:r>
      <w:r w:rsidR="007C71C1" w:rsidRPr="007C2683">
        <w:t xml:space="preserve">, including up-regulation </w:t>
      </w:r>
      <w:r w:rsidR="00622602" w:rsidRPr="007C2683">
        <w:t xml:space="preserve">of putative </w:t>
      </w:r>
      <w:r w:rsidR="00622602" w:rsidRPr="007C2683">
        <w:lastRenderedPageBreak/>
        <w:t>insecticide binding proteins</w:t>
      </w:r>
      <w:r w:rsidR="00365608" w:rsidRPr="007C2683">
        <w:t xml:space="preserve"> </w:t>
      </w:r>
      <w:r w:rsidR="00365608" w:rsidRPr="007C2683">
        <w:fldChar w:fldCharType="begin" w:fldLock="1"/>
      </w:r>
      <w:r w:rsidR="00D955AD" w:rsidRPr="007C2683">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10&lt;/sup&gt;","plainTextFormattedCitation":"10","previouslyFormattedCitation":"&lt;sup&gt;10&lt;/sup&gt;"},"properties":{"noteIndex":0},"schema":"https://github.com/citation-style-language/schema/raw/master/csl-citation.json"}</w:instrText>
      </w:r>
      <w:r w:rsidR="00365608" w:rsidRPr="007C2683">
        <w:fldChar w:fldCharType="separate"/>
      </w:r>
      <w:r w:rsidR="00D955AD" w:rsidRPr="007C2683">
        <w:rPr>
          <w:noProof/>
          <w:vertAlign w:val="superscript"/>
        </w:rPr>
        <w:t>10</w:t>
      </w:r>
      <w:r w:rsidR="00365608" w:rsidRPr="007C2683">
        <w:fldChar w:fldCharType="end"/>
      </w:r>
      <w:r w:rsidR="00484A54" w:rsidRPr="007C2683">
        <w:t xml:space="preserve">.  By </w:t>
      </w:r>
      <w:r w:rsidR="009B1710" w:rsidRPr="007C2683">
        <w:t>screening</w:t>
      </w:r>
      <w:r w:rsidR="005B18ED" w:rsidRPr="007C2683">
        <w:t xml:space="preserve"> this</w:t>
      </w:r>
      <w:r w:rsidR="00484A54" w:rsidRPr="007C2683">
        <w:t xml:space="preserve"> transcriptomic data from Burkina Faso and C</w:t>
      </w:r>
      <w:r w:rsidR="008C47C1" w:rsidRPr="007C2683">
        <w:t>ô</w:t>
      </w:r>
      <w:r w:rsidR="00484A54" w:rsidRPr="007C2683">
        <w:t xml:space="preserve">te </w:t>
      </w:r>
      <w:r w:rsidR="009B7E1B" w:rsidRPr="007C2683">
        <w:t>d’Ivoire</w:t>
      </w:r>
      <w:r w:rsidR="00484A54" w:rsidRPr="007C2683">
        <w:t>, areas with particularly high pyrethroid resistance</w:t>
      </w:r>
      <w:r w:rsidR="00AA6F18" w:rsidRPr="007C2683">
        <w:t xml:space="preserve"> and low PBO synergism</w:t>
      </w:r>
      <w:r w:rsidR="00D955AD" w:rsidRPr="007C2683">
        <w:t xml:space="preserve"> </w:t>
      </w:r>
      <w:r w:rsidR="00D955AD" w:rsidRPr="007C2683">
        <w:fldChar w:fldCharType="begin" w:fldLock="1"/>
      </w:r>
      <w:r w:rsidR="00D761CF" w:rsidRPr="007C2683">
        <w:instrText>ADDIN CSL_CITATION {"citationItems":[{"id":"ITEM-1","itemData":{"ISSN":"0269-283X","author":[{"dropping-particle":"","family":"Toe","given":"K H","non-dropping-particle":"","parse-names":false,"suffix":""},{"dropping-particle":"","family":"Müller","given":"P","non-dropping-particle":"","parse-names":false,"suffix":""},{"dropping-particle":"","family":"Badolo","given":"Athanase","non-dropping-particle":"","parse-names":false,"suffix":""},{"dropping-particle":"","family":"Traore","given":"Alphonse","non-dropping-particle":"","parse-names":false,"suffix":""},{"dropping-particle":"","family":"Sagnon","given":"N","non-dropping-particle":"","parse-names":false,"suffix":""},{"dropping-particle":"","family":"Dabiré","given":"R K","non-dropping-particle":"","parse-names":false,"suffix":""},{"dropping-particle":"","family":"Ranson","given":"Hilary","non-dropping-particle":"","parse-names":false,"suffix":""}],"container-title":"Medical and veterinary entomology","id":"ITEM-1","issued":{"date-parts":[["2018"]]},"publisher":"Wiley Online Library","title":"Do bednets including piperonyl butoxide offer additional protection against populations of Anopheles gambiae sl. that are highly resistant to pyrethroids? An experimental hut evaluation in Burkina Fasov","type":"article-journal"},"uris":["http://www.mendeley.com/documents/?uuid=b8d8772b-6f9e-32e1-a1ca-bfde86d64ad5"]},{"id":"ITEM-2","itemData":{"ISSN":"1553-7404","author":[{"dropping-particle":"V","family":"Edi","given":"Constant","non-dropping-particle":"","parse-names":false,"suffix":""},{"dropping-particle":"","family":"Djogbénou","given":"Luc","non-dropping-particle":"","parse-names":false,"suffix":""},{"dropping-particle":"","family":"Jenkins","given":"Adam M","non-dropping-particle":"","parse-names":false,"suffix":""},{"dropping-particle":"","family":"Regna","given":"Kimberly","non-dropping-particle":"","parse-names":false,"suffix":""},{"dropping-particle":"","family":"Muskavitch","given":"Marc A T","non-dropping-particle":"","parse-names":false,"suffix":""},{"dropping-particle":"","family":"Poupardin","given":"Rodolphe","non-dropping-particle":"","parse-names":false,"suffix":""},{"dropping-particle":"","family":"Jones","given":"Christopher M","non-dropping-particle":"","parse-names":false,"suffix":""},{"dropping-particle":"","family":"Essandoh","given":"John","non-dropping-particle":"","parse-names":false,"suffix":""},{"dropping-particle":"","family":"Kétoh","given":"Guillaume K","non-dropping-particle":"","parse-names":false,"suffix":""},{"dropping-particle":"","family":"Paine","given":"Mark J I","non-dropping-particle":"","parse-names":false,"suffix":""}],"container-title":"PLoS genetics","id":"ITEM-2","issue":"3","issued":{"date-parts":[["2014"]]},"page":"e1004236","publisher":"Public Library of Science","title":"CYP6 P450 Enzymes and ACE-1 Duplication Produce Extreme and Multiple Insecticide Resistance in the Malaria Mosquito Anopheles gambiae","type":"article-journal","volume":"10"},"uris":["http://www.mendeley.com/documents/?uuid=525ab423-7d4b-474f-b317-6c9fec470464"]}],"mendeley":{"formattedCitation":"&lt;sup&gt;9,11&lt;/sup&gt;","plainTextFormattedCitation":"9,11","previouslyFormattedCitation":"&lt;sup&gt;9,11&lt;/sup&gt;"},"properties":{"noteIndex":0},"schema":"https://github.com/citation-style-language/schema/raw/master/csl-citation.json"}</w:instrText>
      </w:r>
      <w:r w:rsidR="00D955AD" w:rsidRPr="007C2683">
        <w:fldChar w:fldCharType="separate"/>
      </w:r>
      <w:r w:rsidR="00D955AD" w:rsidRPr="007C2683">
        <w:rPr>
          <w:noProof/>
          <w:vertAlign w:val="superscript"/>
        </w:rPr>
        <w:t>9,11</w:t>
      </w:r>
      <w:r w:rsidR="00D955AD" w:rsidRPr="007C2683">
        <w:fldChar w:fldCharType="end"/>
      </w:r>
      <w:r w:rsidR="00484A54" w:rsidRPr="007C2683">
        <w:t xml:space="preserve">, we </w:t>
      </w:r>
      <w:r w:rsidR="00EF4CE7" w:rsidRPr="007C2683">
        <w:t xml:space="preserve">found that one </w:t>
      </w:r>
      <w:r w:rsidR="0083154C" w:rsidRPr="007C2683">
        <w:t xml:space="preserve">family of </w:t>
      </w:r>
      <w:r w:rsidR="00EF4CE7" w:rsidRPr="007C2683">
        <w:t>binding protein</w:t>
      </w:r>
      <w:r w:rsidR="0083154C" w:rsidRPr="007C2683">
        <w:t>s</w:t>
      </w:r>
      <w:r w:rsidR="00EF4CE7" w:rsidRPr="007C2683">
        <w:t>,</w:t>
      </w:r>
      <w:r w:rsidR="00484A54" w:rsidRPr="007C2683">
        <w:t xml:space="preserve"> </w:t>
      </w:r>
      <w:r w:rsidR="0083154C" w:rsidRPr="007C2683">
        <w:t xml:space="preserve">the </w:t>
      </w:r>
      <w:r w:rsidR="00484A54" w:rsidRPr="007C2683">
        <w:t>sensory appendage protein</w:t>
      </w:r>
      <w:r w:rsidR="0083154C" w:rsidRPr="007C2683">
        <w:t>s</w:t>
      </w:r>
      <w:r w:rsidR="00484A54" w:rsidRPr="007C2683">
        <w:t xml:space="preserve">, </w:t>
      </w:r>
      <w:r w:rsidR="0083154C" w:rsidRPr="007C2683">
        <w:t>wer</w:t>
      </w:r>
      <w:r w:rsidR="00622602" w:rsidRPr="007C2683">
        <w:t xml:space="preserve">e </w:t>
      </w:r>
      <w:r w:rsidR="00EF4CE7" w:rsidRPr="007C2683">
        <w:t>particularly</w:t>
      </w:r>
      <w:r w:rsidR="00484A54" w:rsidRPr="007C2683">
        <w:t xml:space="preserve"> highly overexpressed in these </w:t>
      </w:r>
      <w:r w:rsidR="009B1710" w:rsidRPr="007C2683">
        <w:t>populations</w:t>
      </w:r>
      <w:r w:rsidR="00DE13F2" w:rsidRPr="007C2683">
        <w:t xml:space="preserve"> (Extended Data Table 1)</w:t>
      </w:r>
      <w:r w:rsidR="00484A54" w:rsidRPr="007C2683">
        <w:t xml:space="preserve">. </w:t>
      </w:r>
    </w:p>
    <w:p w14:paraId="714C34AF" w14:textId="73C10C06" w:rsidR="00484A54" w:rsidRDefault="0083154C">
      <w:r w:rsidRPr="007C2683">
        <w:t xml:space="preserve">Sensory </w:t>
      </w:r>
      <w:r w:rsidR="00A239BA" w:rsidRPr="007C2683">
        <w:t>a</w:t>
      </w:r>
      <w:r w:rsidRPr="007C2683">
        <w:t xml:space="preserve">ppendage </w:t>
      </w:r>
      <w:r w:rsidR="00A239BA" w:rsidRPr="007C2683">
        <w:t>p</w:t>
      </w:r>
      <w:r w:rsidRPr="007C2683">
        <w:t>roteins are</w:t>
      </w:r>
      <w:r w:rsidR="00622602" w:rsidRPr="007C2683">
        <w:t xml:space="preserve"> </w:t>
      </w:r>
      <w:r w:rsidR="008C47C1" w:rsidRPr="007C2683">
        <w:t>member</w:t>
      </w:r>
      <w:r w:rsidRPr="007C2683">
        <w:t>s</w:t>
      </w:r>
      <w:r w:rsidR="008C47C1" w:rsidRPr="007C2683">
        <w:t xml:space="preserve"> of the chemosensory protein </w:t>
      </w:r>
      <w:r w:rsidR="000D65CD" w:rsidRPr="007C2683">
        <w:t xml:space="preserve">(CSP) </w:t>
      </w:r>
      <w:r w:rsidR="008C47C1" w:rsidRPr="007C2683">
        <w:t xml:space="preserve">family, small soluble proteins found only in arthropods </w:t>
      </w:r>
      <w:r w:rsidR="008C47C1" w:rsidRPr="007C2683">
        <w:fldChar w:fldCharType="begin" w:fldLock="1"/>
      </w:r>
      <w:r w:rsidR="00D955AD" w:rsidRPr="007C2683">
        <w:instrText>ADDIN CSL_CITATION {"citationItems":[{"id":"ITEM-1","itemData":{"DOI":"10.1093/gbe/evr033","ISSN":"1759-6653","PMID":"21527792","abstract":"Chemoreception is a biological process essential for the survival of animals, as it allows the recognition of important volatile cues for the detection of food, egg-laying substrates, mates, or predators, among other purposes. Furthermore, its role in pheromone detection may contribute to evolutionary processes, such as reproductive isolation and speciation. This key role in several vital biological processes makes chemoreception a particularly interesting system for studying the role of natural selection in molecular adaptation. Two major gene families are involved in the perireceptor events of the chemosensory system: the odorant-binding protein (OBP) and chemosensory protein (CSP) families. Here, we have conducted an exhaustive comparative genomic analysis of these gene families in 20 Arthropoda species. We show that the evolution of the OBP and CSP gene families is highly dynamic, with a high number of gains and losses of genes, pseudogenes, and independent origins of subfamilies. Taken together, our data clearly support the birth-and-death model for the evolution of these gene families with an overall high gene turnover rate. Moreover, we show that the genome organization of the two families is significantly more clustered than expected by chance and, more important, that this pattern appears to be actively maintained across the Drosophila phylogeny. Finally, we suggest the homologous nature of the OBP and CSP gene families, dating back their most recent common ancestor after the terrestrialization of Arthropoda (380--450 Ma) and we propose a scenario for the origin and diversification of these families.","author":[{"dropping-particle":"","family":"Vieira","given":"Filipe G","non-dropping-particle":"","parse-names":false,"suffix":""},{"dropping-particle":"","family":"Rozas","given":"Julio","non-dropping-particle":"","parse-names":false,"suffix":""}],"container-title":"Genome biology and evolution","id":"ITEM-1","issue":"0","issued":{"date-parts":[["2011","1","13"]]},"page":"476-90","title":"Comparative genomics of the odorant-binding and chemosensory protein gene families across the Arthropoda: origin and evolutionary history of the chemosensory system.","type":"article-journal","volume":"3"},"uris":["http://www.mendeley.com/documents/?uuid=56ed0f15-f55b-4ffa-88b1-9076aec1129c"]}],"mendeley":{"formattedCitation":"&lt;sup&gt;12&lt;/sup&gt;","plainTextFormattedCitation":"12","previouslyFormattedCitation":"&lt;sup&gt;12&lt;/sup&gt;"},"properties":{"noteIndex":0},"schema":"https://github.com/citation-style-language/schema/raw/master/csl-citation.json"}</w:instrText>
      </w:r>
      <w:r w:rsidR="008C47C1" w:rsidRPr="007C2683">
        <w:fldChar w:fldCharType="separate"/>
      </w:r>
      <w:r w:rsidR="00D955AD" w:rsidRPr="007C2683">
        <w:rPr>
          <w:noProof/>
          <w:vertAlign w:val="superscript"/>
        </w:rPr>
        <w:t>12</w:t>
      </w:r>
      <w:r w:rsidR="008C47C1" w:rsidRPr="007C2683">
        <w:fldChar w:fldCharType="end"/>
      </w:r>
      <w:r w:rsidR="008C47C1" w:rsidRPr="007C2683">
        <w:t xml:space="preserve"> </w:t>
      </w:r>
      <w:r w:rsidR="000D65CD" w:rsidRPr="007C2683">
        <w:t xml:space="preserve">that </w:t>
      </w:r>
      <w:r w:rsidR="008C47C1" w:rsidRPr="007C2683">
        <w:t xml:space="preserve">function in the transport of hydrophobic </w:t>
      </w:r>
      <w:r w:rsidR="003E59DA" w:rsidRPr="007C2683">
        <w:t>compounds</w:t>
      </w:r>
      <w:r w:rsidR="008C47C1" w:rsidRPr="007C2683">
        <w:t xml:space="preserve"> through the sensillum lymph </w:t>
      </w:r>
      <w:r w:rsidR="008C47C1" w:rsidRPr="007C2683">
        <w:fldChar w:fldCharType="begin" w:fldLock="1"/>
      </w:r>
      <w:r w:rsidR="00D955AD" w:rsidRPr="007C2683">
        <w:instrText>ADDIN CSL_CITATION {"citationItems":[{"id":"ITEM-1","itemData":{"ISSN":"0066-4170","author":[{"dropping-particle":"","family":"Leal","given":"Walter S","non-dropping-particle":"","parse-names":false,"suffix":""}],"container-title":"Annual review of entomology","id":"ITEM-1","issued":{"date-parts":[["2013"]]},"page":"373-391","publisher":"Annual Reviews","title":"Odorant reception in insects: roles of receptors, binding proteins, and degrading enzymes","type":"article-journal","volume":"58"},"uris":["http://www.mendeley.com/documents/?uuid=df3a6b4a-cfc2-48ec-97f6-17bf5e30e040"]}],"mendeley":{"formattedCitation":"&lt;sup&gt;13&lt;/sup&gt;","plainTextFormattedCitation":"13","previouslyFormattedCitation":"&lt;sup&gt;13&lt;/sup&gt;"},"properties":{"noteIndex":0},"schema":"https://github.com/citation-style-language/schema/raw/master/csl-citation.json"}</w:instrText>
      </w:r>
      <w:r w:rsidR="008C47C1" w:rsidRPr="007C2683">
        <w:fldChar w:fldCharType="separate"/>
      </w:r>
      <w:r w:rsidR="00D955AD" w:rsidRPr="007C2683">
        <w:rPr>
          <w:noProof/>
          <w:vertAlign w:val="superscript"/>
        </w:rPr>
        <w:t>13</w:t>
      </w:r>
      <w:r w:rsidR="008C47C1" w:rsidRPr="007C2683">
        <w:fldChar w:fldCharType="end"/>
      </w:r>
      <w:r w:rsidR="008C47C1" w:rsidRPr="007C2683">
        <w:t>. Eight CSP</w:t>
      </w:r>
      <w:r w:rsidR="00C84434" w:rsidRPr="007C2683">
        <w:t xml:space="preserve"> genes</w:t>
      </w:r>
      <w:r w:rsidR="008C47C1" w:rsidRPr="007C2683">
        <w:t xml:space="preserve"> are present in the genome of </w:t>
      </w:r>
      <w:r w:rsidR="008C47C1" w:rsidRPr="007C2683">
        <w:rPr>
          <w:i/>
        </w:rPr>
        <w:t>Anopheles gambiae</w:t>
      </w:r>
      <w:r w:rsidR="00B708F4" w:rsidRPr="007C2683">
        <w:rPr>
          <w:i/>
        </w:rPr>
        <w:t xml:space="preserve"> </w:t>
      </w:r>
      <w:r w:rsidR="00927568" w:rsidRPr="007C2683">
        <w:t xml:space="preserve">seven of which are </w:t>
      </w:r>
      <w:r w:rsidR="00A96005" w:rsidRPr="007C2683">
        <w:t>clustered</w:t>
      </w:r>
      <w:r w:rsidR="00927568" w:rsidRPr="007C2683">
        <w:t xml:space="preserve"> on chromosome 3R (Extended Data Figure 1). F</w:t>
      </w:r>
      <w:r w:rsidR="00362F94" w:rsidRPr="007C2683">
        <w:t xml:space="preserve">our </w:t>
      </w:r>
      <w:r w:rsidR="00927568" w:rsidRPr="007C2683">
        <w:t>members of this family</w:t>
      </w:r>
      <w:r w:rsidR="00362F94" w:rsidRPr="007C2683">
        <w:t xml:space="preserve"> have previously been expressed </w:t>
      </w:r>
      <w:r w:rsidR="00362F94" w:rsidRPr="007C2683">
        <w:rPr>
          <w:i/>
        </w:rPr>
        <w:t>in vitro</w:t>
      </w:r>
      <w:r w:rsidR="00362F94" w:rsidRPr="007C2683">
        <w:t xml:space="preserve"> and shown to </w:t>
      </w:r>
      <w:r w:rsidR="00F935C6" w:rsidRPr="007C2683">
        <w:t>bind aromatic compounds</w:t>
      </w:r>
      <w:r w:rsidR="00F935C6" w:rsidRPr="007C2683">
        <w:rPr>
          <w:i/>
        </w:rPr>
        <w:t xml:space="preserve"> </w:t>
      </w:r>
      <w:r w:rsidR="00F935C6" w:rsidRPr="007C2683">
        <w:fldChar w:fldCharType="begin" w:fldLock="1"/>
      </w:r>
      <w:r w:rsidR="00D955AD" w:rsidRPr="007C2683">
        <w:instrText>ADDIN CSL_CITATION {"citationItems":[{"id":"ITEM-1","itemData":{"ISSN":"0379-864X","author":[{"dropping-particle":"","family":"Iovinella","given":"Immacolata","non-dropping-particle":"","parse-names":false,"suffix":""},{"dropping-particle":"","family":"Bozza","given":"Francesco","non-dropping-particle":"","parse-names":false,"suffix":""},{"dropping-particle":"","family":"Caputo","given":"Beniamino","non-dropping-particle":"","parse-names":false,"suffix":""},{"dropping-particle":"","family":"Torre","given":"Alessandra","non-dropping-particle":"della","parse-names":false,"suffix":""},{"dropping-particle":"","family":"Pelosi","given":"Paolo","non-dropping-particle":"","parse-names":false,"suffix":""}],"container-title":"Chemical senses","id":"ITEM-1","issue":"5","issued":{"date-parts":[["2013"]]},"page":"409-419","publisher":"Oxford Univ Press","title":"Ligand-binding study of Anopheles gambiae chemosensory proteins","type":"article-journal","volume":"38"},"uris":["http://www.mendeley.com/documents/?uuid=4eb481af-8b4b-4ef8-82f2-35aed8f0d539"]}],"mendeley":{"formattedCitation":"&lt;sup&gt;14&lt;/sup&gt;","plainTextFormattedCitation":"14","previouslyFormattedCitation":"&lt;sup&gt;14&lt;/sup&gt;"},"properties":{"noteIndex":0},"schema":"https://github.com/citation-style-language/schema/raw/master/csl-citation.json"}</w:instrText>
      </w:r>
      <w:r w:rsidR="00F935C6" w:rsidRPr="007C2683">
        <w:fldChar w:fldCharType="separate"/>
      </w:r>
      <w:r w:rsidR="00D955AD" w:rsidRPr="007C2683">
        <w:rPr>
          <w:noProof/>
          <w:vertAlign w:val="superscript"/>
        </w:rPr>
        <w:t>14</w:t>
      </w:r>
      <w:r w:rsidR="00F935C6" w:rsidRPr="007C2683">
        <w:fldChar w:fldCharType="end"/>
      </w:r>
      <w:r w:rsidR="00362F94" w:rsidRPr="007C2683">
        <w:t xml:space="preserve">. </w:t>
      </w:r>
      <w:r w:rsidR="008C47C1" w:rsidRPr="007C2683">
        <w:t xml:space="preserve"> </w:t>
      </w:r>
      <w:r w:rsidR="00826B18" w:rsidRPr="007C2683">
        <w:t>M</w:t>
      </w:r>
      <w:r w:rsidR="006D416D" w:rsidRPr="007C2683">
        <w:t xml:space="preserve">embers of the </w:t>
      </w:r>
      <w:r w:rsidR="000D65CD" w:rsidRPr="007C2683">
        <w:t>CSP</w:t>
      </w:r>
      <w:r w:rsidR="006D416D" w:rsidRPr="007C2683">
        <w:t xml:space="preserve"> family have been shown to be induced by </w:t>
      </w:r>
      <w:r w:rsidR="00F935C6" w:rsidRPr="007C2683">
        <w:t>insecticide</w:t>
      </w:r>
      <w:r w:rsidR="00F4722D" w:rsidRPr="007C2683">
        <w:t xml:space="preserve"> exposure</w:t>
      </w:r>
      <w:r w:rsidR="000D65CD" w:rsidRPr="007C2683">
        <w:t>,</w:t>
      </w:r>
      <w:r w:rsidR="00F4722D" w:rsidRPr="007C2683">
        <w:t xml:space="preserve"> for example </w:t>
      </w:r>
      <w:r w:rsidR="000D65CD" w:rsidRPr="007C2683">
        <w:t xml:space="preserve">by </w:t>
      </w:r>
      <w:proofErr w:type="spellStart"/>
      <w:r w:rsidR="006D416D" w:rsidRPr="007C2683">
        <w:t>avermectin</w:t>
      </w:r>
      <w:proofErr w:type="spellEnd"/>
      <w:r w:rsidR="006D416D" w:rsidRPr="007C2683">
        <w:t xml:space="preserve"> in</w:t>
      </w:r>
      <w:r w:rsidR="00864EBF" w:rsidRPr="007C2683">
        <w:t xml:space="preserve"> the silkworm</w:t>
      </w:r>
      <w:r w:rsidR="006D416D" w:rsidRPr="007C2683">
        <w:t xml:space="preserve"> </w:t>
      </w:r>
      <w:r w:rsidR="006D416D" w:rsidRPr="007C2683">
        <w:rPr>
          <w:i/>
        </w:rPr>
        <w:t xml:space="preserve">Bombyx mori </w:t>
      </w:r>
      <w:r w:rsidR="006D416D" w:rsidRPr="007C2683">
        <w:rPr>
          <w:i/>
        </w:rPr>
        <w:fldChar w:fldCharType="begin" w:fldLock="1"/>
      </w:r>
      <w:r w:rsidR="00D955AD" w:rsidRPr="007C2683">
        <w:rPr>
          <w:i/>
        </w:rPr>
        <w:instrText>ADDIN CSL_CITATION {"citationItems":[{"id":"ITEM-1","itemData":{"ISSN":"1744-7917","author":[{"dropping-particle":"","family":"Xuan","given":"Ning","non-dropping-particle":"","parse-names":false,"suffix":""},{"dropping-particle":"","family":"Guo","given":"Xia","non-dropping-particle":"","parse-names":false,"suffix":""},{"dropping-particle":"","family":"Xie","given":"Hong‐Yan","non-dropping-particle":"","parse-names":false,"suffix":""},{"dropping-particle":"","family":"Lou","given":"Qi‐Nian","non-dropping-particle":"","parse-names":false,"suffix":""},{"dropping-particle":"","family":"Lu","given":"Xing‐Bo","non-dropping-particle":"","parse-names":false,"suffix":""},{"dropping-particle":"","family":"Liu","given":"Guo‐Xia","non-dropping-particle":"","parse-names":false,"suffix":""},{"dropping-particle":"","family":"Picimbon","given":"Jean‐François","non-dropping-particle":"","parse-names":false,"suffix":""}],"container-title":"Insect science","id":"ITEM-1","issue":"2","issued":{"date-parts":[["2015"]]},"page":"203-219","publisher":"Wiley Online Library","title":"Increased expression of CSP and CYP genes in adult silkworm females exposed to avermectins","type":"article-journal","volume":"22"},"uris":["http://www.mendeley.com/documents/?uuid=2382e367-1ec0-4a25-b4c2-a582edcac789"]}],"mendeley":{"formattedCitation":"&lt;sup&gt;15&lt;/sup&gt;","plainTextFormattedCitation":"15","previouslyFormattedCitation":"&lt;sup&gt;15&lt;/sup&gt;"},"properties":{"noteIndex":0},"schema":"https://github.com/citation-style-language/schema/raw/master/csl-citation.json"}</w:instrText>
      </w:r>
      <w:r w:rsidR="006D416D" w:rsidRPr="007C2683">
        <w:rPr>
          <w:i/>
        </w:rPr>
        <w:fldChar w:fldCharType="separate"/>
      </w:r>
      <w:r w:rsidR="00D955AD" w:rsidRPr="007C2683">
        <w:rPr>
          <w:noProof/>
          <w:vertAlign w:val="superscript"/>
        </w:rPr>
        <w:t>15</w:t>
      </w:r>
      <w:r w:rsidR="006D416D" w:rsidRPr="007C2683">
        <w:rPr>
          <w:i/>
        </w:rPr>
        <w:fldChar w:fldCharType="end"/>
      </w:r>
      <w:r w:rsidR="006D416D" w:rsidRPr="007C2683">
        <w:rPr>
          <w:i/>
        </w:rPr>
        <w:t xml:space="preserve">, </w:t>
      </w:r>
      <w:r w:rsidR="006D416D" w:rsidRPr="007C2683">
        <w:t>pyrethroid</w:t>
      </w:r>
      <w:r w:rsidR="00C43C67" w:rsidRPr="007C2683">
        <w:t>s</w:t>
      </w:r>
      <w:r w:rsidR="006D416D" w:rsidRPr="007C2683">
        <w:t xml:space="preserve"> in</w:t>
      </w:r>
      <w:r w:rsidR="006D416D" w:rsidRPr="007C2683">
        <w:rPr>
          <w:i/>
        </w:rPr>
        <w:t xml:space="preserve"> </w:t>
      </w:r>
      <w:r w:rsidR="00864EBF" w:rsidRPr="007C2683">
        <w:t xml:space="preserve">the diamondback moth </w:t>
      </w:r>
      <w:proofErr w:type="spellStart"/>
      <w:r w:rsidR="00864EBF" w:rsidRPr="007C2683">
        <w:rPr>
          <w:i/>
        </w:rPr>
        <w:t>Putella</w:t>
      </w:r>
      <w:proofErr w:type="spellEnd"/>
      <w:r w:rsidR="00864EBF" w:rsidRPr="007C2683">
        <w:rPr>
          <w:i/>
        </w:rPr>
        <w:t xml:space="preserve"> </w:t>
      </w:r>
      <w:proofErr w:type="spellStart"/>
      <w:r w:rsidR="00864EBF" w:rsidRPr="007C2683">
        <w:rPr>
          <w:i/>
        </w:rPr>
        <w:t>xylostella</w:t>
      </w:r>
      <w:proofErr w:type="spellEnd"/>
      <w:r w:rsidR="003E59DA" w:rsidRPr="007C2683">
        <w:rPr>
          <w:i/>
        </w:rPr>
        <w:t xml:space="preserve"> </w:t>
      </w:r>
      <w:r w:rsidR="003E59DA" w:rsidRPr="007C2683">
        <w:rPr>
          <w:i/>
        </w:rPr>
        <w:fldChar w:fldCharType="begin" w:fldLock="1"/>
      </w:r>
      <w:r w:rsidR="00D955AD" w:rsidRPr="007C2683">
        <w:rPr>
          <w:i/>
        </w:rPr>
        <w:instrText>ADDIN CSL_CITATION {"citationItems":[{"id":"ITEM-1","itemData":{"ISSN":"1526-498X","author":[{"dropping-particle":"","family":"Bautista","given":"Ma Anita M","non-dropping-particle":"","parse-names":false,"suffix":""},{"dropping-particle":"","family":"Bhandary","given":"Binny","non-dropping-particle":"","parse-names":false,"suffix":""},{"dropping-particle":"","family":"Wijeratne","given":"Asela J","non-dropping-particle":"","parse-names":false,"suffix":""},{"dropping-particle":"","family":"Michel","given":"Andrew P","non-dropping-particle":"","parse-names":false,"suffix":""},{"dropping-particle":"","family":"Hoy","given":"Casey W","non-dropping-particle":"","parse-names":false,"suffix":""},{"dropping-particle":"","family":"Mittapalli","given":"Omprakash","non-dropping-particle":"","parse-names":false,"suffix":""}],"container-title":"Pest management science","id":"ITEM-1","issue":"3","issued":{"date-parts":[["2015"]]},"page":"423-432","publisher":"Wiley Online Library","title":"Evidence for trade‐offs in detoxification and chemosensation gene signatures in Plutella xylostella","type":"article-journal","volume":"71"},"uris":["http://www.mendeley.com/documents/?uuid=8a9c5987-edd4-4e70-9cc8-6f2a7146b150"]}],"mendeley":{"formattedCitation":"&lt;sup&gt;16&lt;/sup&gt;","plainTextFormattedCitation":"16","previouslyFormattedCitation":"&lt;sup&gt;16&lt;/sup&gt;"},"properties":{"noteIndex":0},"schema":"https://github.com/citation-style-language/schema/raw/master/csl-citation.json"}</w:instrText>
      </w:r>
      <w:r w:rsidR="003E59DA" w:rsidRPr="007C2683">
        <w:rPr>
          <w:i/>
        </w:rPr>
        <w:fldChar w:fldCharType="separate"/>
      </w:r>
      <w:r w:rsidR="00D955AD" w:rsidRPr="007C2683">
        <w:rPr>
          <w:noProof/>
          <w:vertAlign w:val="superscript"/>
        </w:rPr>
        <w:t>16</w:t>
      </w:r>
      <w:r w:rsidR="003E59DA" w:rsidRPr="007C2683">
        <w:rPr>
          <w:i/>
        </w:rPr>
        <w:fldChar w:fldCharType="end"/>
      </w:r>
      <w:r w:rsidR="00864EBF" w:rsidRPr="007C2683">
        <w:rPr>
          <w:i/>
        </w:rPr>
        <w:t xml:space="preserve"> </w:t>
      </w:r>
      <w:r w:rsidR="00864EBF" w:rsidRPr="007C2683">
        <w:t>and</w:t>
      </w:r>
      <w:r w:rsidR="00F935C6" w:rsidRPr="007C2683">
        <w:t xml:space="preserve"> noenicitinoid</w:t>
      </w:r>
      <w:r w:rsidR="00C43C67" w:rsidRPr="007C2683">
        <w:t>s</w:t>
      </w:r>
      <w:r w:rsidR="00F935C6" w:rsidRPr="007C2683">
        <w:t xml:space="preserve"> </w:t>
      </w:r>
      <w:r w:rsidR="00864EBF" w:rsidRPr="007C2683">
        <w:t>in the whitefly</w:t>
      </w:r>
      <w:r w:rsidR="00864EBF" w:rsidRPr="007C2683">
        <w:rPr>
          <w:i/>
        </w:rPr>
        <w:t xml:space="preserve"> </w:t>
      </w:r>
      <w:proofErr w:type="spellStart"/>
      <w:r w:rsidR="00864EBF" w:rsidRPr="007C2683">
        <w:rPr>
          <w:i/>
        </w:rPr>
        <w:t>Bemiscia</w:t>
      </w:r>
      <w:proofErr w:type="spellEnd"/>
      <w:r w:rsidR="00864EBF" w:rsidRPr="007C2683">
        <w:rPr>
          <w:i/>
        </w:rPr>
        <w:t xml:space="preserve"> </w:t>
      </w:r>
      <w:proofErr w:type="spellStart"/>
      <w:r w:rsidR="00864EBF" w:rsidRPr="007C2683">
        <w:rPr>
          <w:i/>
        </w:rPr>
        <w:t>tabaci</w:t>
      </w:r>
      <w:proofErr w:type="spellEnd"/>
      <w:r w:rsidR="00864EBF" w:rsidRPr="007C2683">
        <w:rPr>
          <w:i/>
        </w:rPr>
        <w:t xml:space="preserve"> </w:t>
      </w:r>
      <w:r w:rsidR="003E59DA" w:rsidRPr="007C2683">
        <w:fldChar w:fldCharType="begin" w:fldLock="1"/>
      </w:r>
      <w:r w:rsidR="00D955AD" w:rsidRPr="007C2683">
        <w:instrText>ADDIN CSL_CITATION {"citationItems":[{"id":"ITEM-1","itemData":{"ISSN":"1520-6327","author":[{"dropping-particle":"","family":"Liu","given":"Guo Xia","non-dropping-particle":"","parse-names":false,"suffix":""},{"dropping-particle":"","family":"Xuan","given":"Ning","non-dropping-particle":"","parse-names":false,"suffix":""},{"dropping-particle":"","family":"Chu","given":"Dong","non-dropping-particle":"","parse-names":false,"suffix":""},{"dropping-particle":"","family":"Xie","given":"Hong Yan","non-dropping-particle":"","parse-names":false,"suffix":""},{"dropping-particle":"","family":"Fan","given":"Zhong Xue","non-dropping-particle":"","parse-names":false,"suffix":""},{"dropping-particle":"","family":"Bi","given":"Yu Ping","non-dropping-particle":"","parse-names":false,"suffix":""},{"dropping-particle":"","family":"Picimbon","given":"Jean‐François","non-dropping-particle":"","parse-names":false,"suffix":""},{"dropping-particle":"","family":"Qin","given":"Yu Chuan","non-dropping-particle":"","parse-names":false,"suffix":""},{"dropping-particle":"","family":"Zhong","given":"Su Ting","non-dropping-particle":"","parse-names":false,"suffix":""},{"dropping-particle":"","family":"Fa Li","given":"Yao","non-dropping-particle":"","parse-names":false,"suffix":""}],"container-title":"Archives of insect biochemistry and physiology","id":"ITEM-1","issue":"3","issued":{"date-parts":[["2014"]]},"page":"137-151","publisher":"Wiley Online Library","title":"Biotype expression and insecticide response of Bemisia tabaci chemosensory protein-1.","type":"article-journal","volume":"85"},"uris":["http://www.mendeley.com/documents/?uuid=5e34d501-9a01-41e7-9f9b-f39fa5028aee"]}],"mendeley":{"formattedCitation":"&lt;sup&gt;17&lt;/sup&gt;","plainTextFormattedCitation":"17","previouslyFormattedCitation":"&lt;sup&gt;17&lt;/sup&gt;"},"properties":{"noteIndex":0},"schema":"https://github.com/citation-style-language/schema/raw/master/csl-citation.json"}</w:instrText>
      </w:r>
      <w:r w:rsidR="003E59DA" w:rsidRPr="007C2683">
        <w:fldChar w:fldCharType="separate"/>
      </w:r>
      <w:r w:rsidR="00D955AD" w:rsidRPr="007C2683">
        <w:rPr>
          <w:noProof/>
          <w:vertAlign w:val="superscript"/>
        </w:rPr>
        <w:t>17</w:t>
      </w:r>
      <w:r w:rsidR="003E59DA" w:rsidRPr="007C2683">
        <w:fldChar w:fldCharType="end"/>
      </w:r>
      <w:r w:rsidR="00864EBF" w:rsidRPr="007C2683">
        <w:t xml:space="preserve">. </w:t>
      </w:r>
    </w:p>
    <w:p w14:paraId="1DC7E7BA" w14:textId="4BC1CA65" w:rsidR="00B3393D" w:rsidRPr="00843899" w:rsidRDefault="00B3393D">
      <w:pPr>
        <w:rPr>
          <w:b/>
          <w:bCs/>
        </w:rPr>
      </w:pPr>
      <w:r w:rsidRPr="00843899">
        <w:rPr>
          <w:b/>
          <w:bCs/>
        </w:rPr>
        <w:t>CSP expression and localisation</w:t>
      </w:r>
    </w:p>
    <w:p w14:paraId="167A6DD4" w14:textId="06946F69" w:rsidR="000738C9" w:rsidRPr="007C2683" w:rsidRDefault="005B18ED">
      <w:r w:rsidRPr="007C2683">
        <w:t xml:space="preserve">To determine whether elevated CSP expression was associated with pyrethroid resistance in </w:t>
      </w:r>
      <w:r w:rsidRPr="007C2683">
        <w:rPr>
          <w:i/>
        </w:rPr>
        <w:t>An. gambiae</w:t>
      </w:r>
      <w:r w:rsidRPr="007C2683">
        <w:t xml:space="preserve"> we </w:t>
      </w:r>
      <w:r w:rsidR="008516E3" w:rsidRPr="007C2683">
        <w:t>characterised the expression of all eight members of the family in females of a multi-</w:t>
      </w:r>
      <w:r w:rsidR="003E69FD" w:rsidRPr="007C2683">
        <w:t xml:space="preserve">resistant </w:t>
      </w:r>
      <w:r w:rsidR="007D7451" w:rsidRPr="007C2683">
        <w:t>laboratory colony originally</w:t>
      </w:r>
      <w:r w:rsidR="008516E3" w:rsidRPr="007C2683">
        <w:t xml:space="preserve"> from Côte </w:t>
      </w:r>
      <w:r w:rsidR="00A96005" w:rsidRPr="007C2683">
        <w:t xml:space="preserve">d’Ivoire </w:t>
      </w:r>
      <w:r w:rsidR="008516E3" w:rsidRPr="007C2683">
        <w:t>(</w:t>
      </w:r>
      <w:proofErr w:type="spellStart"/>
      <w:r w:rsidR="008516E3" w:rsidRPr="007C2683">
        <w:t>Tiassalé</w:t>
      </w:r>
      <w:proofErr w:type="spellEnd"/>
      <w:r w:rsidR="00622602" w:rsidRPr="007C2683">
        <w:t>)</w:t>
      </w:r>
      <w:r w:rsidR="008516E3" w:rsidRPr="007C2683">
        <w:t xml:space="preserve">. We observed two CSPs, </w:t>
      </w:r>
      <w:r w:rsidR="008516E3" w:rsidRPr="007C2683">
        <w:rPr>
          <w:i/>
        </w:rPr>
        <w:t>SAP2</w:t>
      </w:r>
      <w:r w:rsidR="0083154C" w:rsidRPr="007C2683">
        <w:rPr>
          <w:i/>
        </w:rPr>
        <w:t xml:space="preserve"> </w:t>
      </w:r>
      <w:r w:rsidR="0083154C" w:rsidRPr="007C2683">
        <w:t xml:space="preserve">(AGAP008052) </w:t>
      </w:r>
      <w:r w:rsidR="008516E3" w:rsidRPr="007C2683">
        <w:t xml:space="preserve">and </w:t>
      </w:r>
      <w:r w:rsidR="008516E3" w:rsidRPr="007C2683">
        <w:rPr>
          <w:i/>
        </w:rPr>
        <w:t>CSP6</w:t>
      </w:r>
      <w:r w:rsidR="0083154C" w:rsidRPr="007C2683">
        <w:t xml:space="preserve"> (AGAP</w:t>
      </w:r>
      <w:r w:rsidR="00622602" w:rsidRPr="007C2683">
        <w:t>001303</w:t>
      </w:r>
      <w:r w:rsidR="0083154C" w:rsidRPr="007C2683">
        <w:t>)</w:t>
      </w:r>
      <w:r w:rsidR="008516E3" w:rsidRPr="007C2683">
        <w:t xml:space="preserve">, with significantly higher constitutive expression when compared to </w:t>
      </w:r>
      <w:r w:rsidR="00E519D0" w:rsidRPr="007C2683">
        <w:t xml:space="preserve">two separate </w:t>
      </w:r>
      <w:r w:rsidR="008516E3" w:rsidRPr="007C2683">
        <w:t>susceptible control</w:t>
      </w:r>
      <w:r w:rsidR="00E519D0" w:rsidRPr="007C2683">
        <w:t>s</w:t>
      </w:r>
      <w:r w:rsidR="008516E3" w:rsidRPr="007C2683">
        <w:t xml:space="preserve"> (</w:t>
      </w:r>
      <w:r w:rsidR="00E519D0" w:rsidRPr="007C2683">
        <w:t>Extended Data Figure 2</w:t>
      </w:r>
      <w:r w:rsidR="008516E3" w:rsidRPr="007C2683">
        <w:t xml:space="preserve">). </w:t>
      </w:r>
      <w:r w:rsidR="00C238E2" w:rsidRPr="007C2683">
        <w:t xml:space="preserve">We next </w:t>
      </w:r>
      <w:r w:rsidR="006B2049" w:rsidRPr="007C2683">
        <w:t xml:space="preserve">determined </w:t>
      </w:r>
      <w:r w:rsidR="00C238E2" w:rsidRPr="007C2683">
        <w:t xml:space="preserve">localisation of CSP expression in multiple tissues, including body areas that are the primary points of mosquito contact with LLINs: the legs, head and antennae; the major detoxification tissues: the Malpighian tubules and the midgut; the reproductive tissues; and remaining abdominal carcass (Figure 1A). Six of the eight CSPs, including both </w:t>
      </w:r>
      <w:r w:rsidR="00C238E2" w:rsidRPr="007C2683">
        <w:rPr>
          <w:i/>
        </w:rPr>
        <w:t xml:space="preserve">SAP2 </w:t>
      </w:r>
      <w:r w:rsidR="00C238E2" w:rsidRPr="007C2683">
        <w:t xml:space="preserve">and </w:t>
      </w:r>
      <w:r w:rsidR="00C238E2" w:rsidRPr="007C2683">
        <w:rPr>
          <w:i/>
        </w:rPr>
        <w:t>CSP6,</w:t>
      </w:r>
      <w:r w:rsidR="00C238E2" w:rsidRPr="007C2683">
        <w:t xml:space="preserve"> were enriched in the legs in both </w:t>
      </w:r>
      <w:r w:rsidR="00C238E2" w:rsidRPr="007C2683">
        <w:rPr>
          <w:i/>
        </w:rPr>
        <w:t xml:space="preserve">Anopheles </w:t>
      </w:r>
      <w:r w:rsidR="00C238E2" w:rsidRPr="007C2683">
        <w:t xml:space="preserve">populations, </w:t>
      </w:r>
      <w:r w:rsidR="000738C9" w:rsidRPr="007C2683">
        <w:t>two of the CSPs were enriched in the head (</w:t>
      </w:r>
      <w:r w:rsidR="000738C9" w:rsidRPr="007C2683">
        <w:rPr>
          <w:i/>
          <w:iCs/>
        </w:rPr>
        <w:t xml:space="preserve">SAP2 </w:t>
      </w:r>
      <w:r w:rsidR="000738C9" w:rsidRPr="007C2683">
        <w:t>and</w:t>
      </w:r>
      <w:r w:rsidR="000738C9" w:rsidRPr="007C2683">
        <w:rPr>
          <w:i/>
          <w:iCs/>
        </w:rPr>
        <w:t xml:space="preserve"> SAP3</w:t>
      </w:r>
      <w:r w:rsidR="00B3374E" w:rsidRPr="007C2683">
        <w:rPr>
          <w:i/>
          <w:iCs/>
        </w:rPr>
        <w:t xml:space="preserve"> </w:t>
      </w:r>
      <w:r w:rsidR="00B3374E" w:rsidRPr="007C2683">
        <w:t>(AGAP008054)</w:t>
      </w:r>
      <w:r w:rsidR="000738C9" w:rsidRPr="007C2683">
        <w:t>); two in the antennae (</w:t>
      </w:r>
      <w:r w:rsidR="000738C9" w:rsidRPr="007C2683">
        <w:rPr>
          <w:i/>
          <w:iCs/>
        </w:rPr>
        <w:t>CSP3</w:t>
      </w:r>
      <w:r w:rsidR="000738C9" w:rsidRPr="007C2683">
        <w:t xml:space="preserve"> </w:t>
      </w:r>
      <w:r w:rsidR="00B3374E" w:rsidRPr="007C2683">
        <w:t xml:space="preserve">(AGAP008055) </w:t>
      </w:r>
      <w:r w:rsidR="000738C9" w:rsidRPr="007C2683">
        <w:t xml:space="preserve">and </w:t>
      </w:r>
      <w:r w:rsidR="000738C9" w:rsidRPr="007C2683">
        <w:rPr>
          <w:i/>
          <w:iCs/>
        </w:rPr>
        <w:t>CSP5</w:t>
      </w:r>
      <w:r w:rsidR="00B3374E" w:rsidRPr="007C2683">
        <w:rPr>
          <w:i/>
          <w:iCs/>
        </w:rPr>
        <w:t xml:space="preserve"> </w:t>
      </w:r>
      <w:r w:rsidR="00B3374E" w:rsidRPr="007C2683">
        <w:t>(AGAP008058)</w:t>
      </w:r>
      <w:r w:rsidR="000738C9" w:rsidRPr="007C2683">
        <w:t>) and one in the abdomen carcass (</w:t>
      </w:r>
      <w:r w:rsidR="000738C9" w:rsidRPr="007C2683">
        <w:rPr>
          <w:i/>
          <w:iCs/>
        </w:rPr>
        <w:t>CSP1</w:t>
      </w:r>
      <w:r w:rsidR="00B3374E" w:rsidRPr="007C2683">
        <w:t xml:space="preserve"> (AGAP008059)</w:t>
      </w:r>
      <w:r w:rsidR="000738C9" w:rsidRPr="007C2683">
        <w:t>).</w:t>
      </w:r>
    </w:p>
    <w:p w14:paraId="0A289120" w14:textId="016DD02D" w:rsidR="007666AF" w:rsidRPr="007C2683" w:rsidRDefault="00C238E2" w:rsidP="007666AF">
      <w:r w:rsidRPr="007C2683">
        <w:t>We</w:t>
      </w:r>
      <w:r w:rsidR="008516E3" w:rsidRPr="007C2683">
        <w:t xml:space="preserve"> performed a time course to determine whether any of the eight CSPs were induced by exposure to pyrethroids</w:t>
      </w:r>
      <w:r w:rsidR="000869DF" w:rsidRPr="007C2683">
        <w:t xml:space="preserve"> in the resistant strain</w:t>
      </w:r>
      <w:r w:rsidR="008516E3" w:rsidRPr="007C2683">
        <w:t xml:space="preserve"> (Figure </w:t>
      </w:r>
      <w:r w:rsidR="004B390D" w:rsidRPr="007C2683">
        <w:t>1</w:t>
      </w:r>
      <w:r w:rsidR="008516E3" w:rsidRPr="007C2683">
        <w:t xml:space="preserve">B; Extended Data Figure </w:t>
      </w:r>
      <w:r w:rsidR="00E519D0" w:rsidRPr="007C2683">
        <w:t>3</w:t>
      </w:r>
      <w:r w:rsidRPr="007C2683">
        <w:t>a</w:t>
      </w:r>
      <w:r w:rsidR="008516E3" w:rsidRPr="007C2683">
        <w:t>)</w:t>
      </w:r>
      <w:r w:rsidR="00335875" w:rsidRPr="007C2683">
        <w:t xml:space="preserve"> </w:t>
      </w:r>
      <w:r w:rsidR="007D7451" w:rsidRPr="007C2683">
        <w:t>and</w:t>
      </w:r>
      <w:r w:rsidR="008516E3" w:rsidRPr="007C2683">
        <w:t xml:space="preserve"> found that four of the eight CSPs were significantly induced by deltamethrin, the pyrethroid most widely used in LLINs, including the constitutively overexpressed </w:t>
      </w:r>
      <w:r w:rsidR="008516E3" w:rsidRPr="007C2683">
        <w:rPr>
          <w:i/>
        </w:rPr>
        <w:t xml:space="preserve">SAP2 </w:t>
      </w:r>
      <w:r w:rsidR="008516E3" w:rsidRPr="007C2683">
        <w:t xml:space="preserve">and </w:t>
      </w:r>
      <w:r w:rsidR="008516E3" w:rsidRPr="007C2683">
        <w:rPr>
          <w:i/>
        </w:rPr>
        <w:t>CSP6</w:t>
      </w:r>
      <w:r w:rsidR="008516E3" w:rsidRPr="007C2683">
        <w:t xml:space="preserve">, in addition to </w:t>
      </w:r>
      <w:r w:rsidR="008516E3" w:rsidRPr="007C2683">
        <w:rPr>
          <w:i/>
        </w:rPr>
        <w:t xml:space="preserve">SAP3 </w:t>
      </w:r>
      <w:r w:rsidR="008516E3" w:rsidRPr="007C2683">
        <w:t xml:space="preserve">and </w:t>
      </w:r>
      <w:r w:rsidR="008516E3" w:rsidRPr="007C2683">
        <w:rPr>
          <w:i/>
        </w:rPr>
        <w:t>CSP4</w:t>
      </w:r>
      <w:r w:rsidR="00622602" w:rsidRPr="007C2683">
        <w:rPr>
          <w:i/>
        </w:rPr>
        <w:t xml:space="preserve"> </w:t>
      </w:r>
      <w:r w:rsidR="00A6283B" w:rsidRPr="007C2683">
        <w:t>(AGA</w:t>
      </w:r>
      <w:r w:rsidR="00622602" w:rsidRPr="007C2683">
        <w:t>P008062</w:t>
      </w:r>
      <w:r w:rsidR="00A6283B" w:rsidRPr="007C2683">
        <w:t>)</w:t>
      </w:r>
      <w:r w:rsidR="00A6283B" w:rsidRPr="007C2683">
        <w:rPr>
          <w:i/>
        </w:rPr>
        <w:t xml:space="preserve"> </w:t>
      </w:r>
      <w:r w:rsidR="008516E3" w:rsidRPr="007C2683">
        <w:t xml:space="preserve">(Figure </w:t>
      </w:r>
      <w:r w:rsidR="00A879F3" w:rsidRPr="007C2683">
        <w:t>1</w:t>
      </w:r>
      <w:r w:rsidR="008516E3" w:rsidRPr="007C2683">
        <w:t xml:space="preserve">B). </w:t>
      </w:r>
      <w:r w:rsidR="001D40CE" w:rsidRPr="007C2683">
        <w:t xml:space="preserve">Examining the tissue specificity of the induction 4-hours post-exposure showed </w:t>
      </w:r>
      <w:r w:rsidR="001D40CE" w:rsidRPr="007C2683">
        <w:rPr>
          <w:i/>
          <w:iCs/>
        </w:rPr>
        <w:t>SAP2</w:t>
      </w:r>
      <w:r w:rsidR="001D40CE" w:rsidRPr="007C2683">
        <w:t xml:space="preserve">, </w:t>
      </w:r>
      <w:r w:rsidR="001D40CE" w:rsidRPr="007C2683">
        <w:rPr>
          <w:i/>
          <w:iCs/>
        </w:rPr>
        <w:t>SAP1</w:t>
      </w:r>
      <w:r w:rsidR="001D40CE" w:rsidRPr="007C2683">
        <w:t xml:space="preserve"> (AGAP008051) and </w:t>
      </w:r>
      <w:r w:rsidR="001D40CE" w:rsidRPr="007C2683">
        <w:rPr>
          <w:i/>
          <w:iCs/>
        </w:rPr>
        <w:t>CSP3</w:t>
      </w:r>
      <w:r w:rsidR="001D40CE" w:rsidRPr="007C2683">
        <w:t xml:space="preserve"> as induced in multiple tissues, including the legs, whilst </w:t>
      </w:r>
      <w:r w:rsidR="001D40CE" w:rsidRPr="007C2683">
        <w:rPr>
          <w:i/>
          <w:iCs/>
        </w:rPr>
        <w:t>CSP4</w:t>
      </w:r>
      <w:r w:rsidR="001D40CE" w:rsidRPr="007C2683">
        <w:t xml:space="preserve">, </w:t>
      </w:r>
      <w:r w:rsidR="001D40CE" w:rsidRPr="007C2683">
        <w:rPr>
          <w:i/>
          <w:iCs/>
        </w:rPr>
        <w:t>CSP6</w:t>
      </w:r>
      <w:r w:rsidR="001D40CE" w:rsidRPr="007C2683">
        <w:t xml:space="preserve"> and </w:t>
      </w:r>
      <w:r w:rsidR="001D40CE" w:rsidRPr="007C2683">
        <w:rPr>
          <w:i/>
          <w:iCs/>
        </w:rPr>
        <w:t>CSP1</w:t>
      </w:r>
      <w:r w:rsidR="001D40CE" w:rsidRPr="007C2683">
        <w:t xml:space="preserve"> show induction in </w:t>
      </w:r>
      <w:r w:rsidR="00E741B9" w:rsidRPr="007C2683">
        <w:t>a single</w:t>
      </w:r>
      <w:r w:rsidR="001D40CE" w:rsidRPr="007C2683">
        <w:t xml:space="preserve"> tissue (Figure 1C; Extended Data Figure 3B). </w:t>
      </w:r>
    </w:p>
    <w:p w14:paraId="5206F3C9" w14:textId="7199A592" w:rsidR="007666AF" w:rsidRPr="00843899" w:rsidRDefault="007666AF">
      <w:pPr>
        <w:rPr>
          <w:b/>
          <w:bCs/>
        </w:rPr>
      </w:pPr>
      <w:r w:rsidRPr="00843899">
        <w:rPr>
          <w:b/>
          <w:bCs/>
        </w:rPr>
        <w:t>Evidence CSPs confer resistance</w:t>
      </w:r>
    </w:p>
    <w:p w14:paraId="01058092" w14:textId="6665EAF9" w:rsidR="00063587" w:rsidRPr="007C2683" w:rsidRDefault="009004AB" w:rsidP="00063587">
      <w:r w:rsidRPr="007C2683">
        <w:t xml:space="preserve">Having established that </w:t>
      </w:r>
      <w:r w:rsidR="00D85E0A" w:rsidRPr="007C2683">
        <w:t>CSPs are</w:t>
      </w:r>
      <w:r w:rsidRPr="007C2683">
        <w:t xml:space="preserve"> highly overexpressed in the appendages of pyrethroid resistant mosquitoes, and </w:t>
      </w:r>
      <w:r w:rsidR="00D85E0A" w:rsidRPr="007C2683">
        <w:t xml:space="preserve">expression of a subset of this family is </w:t>
      </w:r>
      <w:r w:rsidRPr="007C2683">
        <w:t>further induced by insecticide exposure, we next</w:t>
      </w:r>
      <w:r w:rsidR="000E5D1B" w:rsidRPr="007C2683">
        <w:t xml:space="preserve"> performed </w:t>
      </w:r>
      <w:r w:rsidR="0052122E" w:rsidRPr="007C2683">
        <w:t xml:space="preserve">RNAi </w:t>
      </w:r>
      <w:r w:rsidR="00DD3CD2" w:rsidRPr="007C2683">
        <w:t xml:space="preserve">silencing </w:t>
      </w:r>
      <w:r w:rsidR="000E5D1B" w:rsidRPr="007C2683">
        <w:t>of these CSPs</w:t>
      </w:r>
      <w:r w:rsidR="00521FDB" w:rsidRPr="007C2683">
        <w:t xml:space="preserve"> (Extended Data Figure </w:t>
      </w:r>
      <w:r w:rsidR="00A879F3" w:rsidRPr="007C2683">
        <w:t>4</w:t>
      </w:r>
      <w:r w:rsidR="00521FDB" w:rsidRPr="007C2683">
        <w:t>)</w:t>
      </w:r>
      <w:r w:rsidR="00063587" w:rsidRPr="007C2683">
        <w:t xml:space="preserve"> </w:t>
      </w:r>
      <w:r w:rsidR="00DD3CD2" w:rsidRPr="007C2683">
        <w:t xml:space="preserve">in </w:t>
      </w:r>
      <w:r w:rsidR="000E5D1B" w:rsidRPr="007C2683">
        <w:t xml:space="preserve">females from </w:t>
      </w:r>
      <w:r w:rsidR="00C95E94" w:rsidRPr="007C2683">
        <w:t xml:space="preserve">the highly pyrethroid resistant </w:t>
      </w:r>
      <w:proofErr w:type="spellStart"/>
      <w:r w:rsidR="00DD3CD2" w:rsidRPr="007C2683">
        <w:t>Tiassalé</w:t>
      </w:r>
      <w:proofErr w:type="spellEnd"/>
      <w:r w:rsidR="00DD3CD2" w:rsidRPr="007C2683">
        <w:t xml:space="preserve"> </w:t>
      </w:r>
      <w:r w:rsidR="0052122E" w:rsidRPr="007C2683">
        <w:t>colony</w:t>
      </w:r>
      <w:r w:rsidR="00DD3CD2" w:rsidRPr="007C2683">
        <w:t xml:space="preserve"> </w:t>
      </w:r>
      <w:r w:rsidR="000E5D1B" w:rsidRPr="007C2683">
        <w:t xml:space="preserve">before exposing them </w:t>
      </w:r>
      <w:r w:rsidR="00063587" w:rsidRPr="007C2683">
        <w:t xml:space="preserve">to a panel of insecticide classes </w:t>
      </w:r>
      <w:r w:rsidR="000E5D1B" w:rsidRPr="007C2683">
        <w:t xml:space="preserve">(pyrethroids, carbamates and organophosphates) </w:t>
      </w:r>
      <w:r w:rsidR="00063587" w:rsidRPr="007C2683">
        <w:t>widely used in public health</w:t>
      </w:r>
      <w:r w:rsidR="00DD3CD2" w:rsidRPr="007C2683">
        <w:t xml:space="preserve">. Strikingly, </w:t>
      </w:r>
      <w:r w:rsidR="00063587" w:rsidRPr="007C2683">
        <w:rPr>
          <w:i/>
        </w:rPr>
        <w:t xml:space="preserve">SAP2 </w:t>
      </w:r>
      <w:r w:rsidR="00DD3CD2" w:rsidRPr="007C2683">
        <w:t xml:space="preserve">silencing </w:t>
      </w:r>
      <w:r w:rsidR="00063587" w:rsidRPr="007C2683">
        <w:t>almost completely restore</w:t>
      </w:r>
      <w:r w:rsidR="00DD3CD2" w:rsidRPr="007C2683">
        <w:t>d</w:t>
      </w:r>
      <w:r w:rsidR="00063587" w:rsidRPr="007C2683">
        <w:t xml:space="preserve"> susceptibility to the pyrethroid deltamethrin, whilst also significantly increasing the susceptibility to the </w:t>
      </w:r>
      <w:r w:rsidR="00A90014" w:rsidRPr="007C2683">
        <w:t xml:space="preserve">other </w:t>
      </w:r>
      <w:r w:rsidR="000E5D1B" w:rsidRPr="007C2683">
        <w:t xml:space="preserve">two </w:t>
      </w:r>
      <w:r w:rsidR="00063587" w:rsidRPr="007C2683">
        <w:t>pyrethroid</w:t>
      </w:r>
      <w:r w:rsidR="00A90014" w:rsidRPr="007C2683">
        <w:t xml:space="preserve">s </w:t>
      </w:r>
      <w:r w:rsidR="00063587" w:rsidRPr="007C2683">
        <w:t xml:space="preserve">permethrin and α-cypermethrin </w:t>
      </w:r>
      <w:r w:rsidR="000E5D1B" w:rsidRPr="007C2683">
        <w:t xml:space="preserve">used in these analyses </w:t>
      </w:r>
      <w:r w:rsidR="00063587" w:rsidRPr="007C2683">
        <w:t xml:space="preserve">(Figure </w:t>
      </w:r>
      <w:r w:rsidR="00A879F3" w:rsidRPr="007C2683">
        <w:t>2</w:t>
      </w:r>
      <w:r w:rsidR="00063587" w:rsidRPr="007C2683">
        <w:t xml:space="preserve">A). </w:t>
      </w:r>
      <w:r w:rsidR="00135CD7" w:rsidRPr="007C2683">
        <w:t>N</w:t>
      </w:r>
      <w:r w:rsidR="00063587" w:rsidRPr="007C2683">
        <w:t xml:space="preserve">o change in mortality </w:t>
      </w:r>
      <w:r w:rsidR="00135CD7" w:rsidRPr="007C2683">
        <w:t xml:space="preserve">was observed after exposure </w:t>
      </w:r>
      <w:r w:rsidR="00812D6E" w:rsidRPr="007C2683">
        <w:t>to the</w:t>
      </w:r>
      <w:r w:rsidR="00063587" w:rsidRPr="007C2683">
        <w:t xml:space="preserve"> other insecticide classes, indicating </w:t>
      </w:r>
      <w:r w:rsidR="00892C17" w:rsidRPr="007C2683">
        <w:t xml:space="preserve">pyrethroid </w:t>
      </w:r>
      <w:r w:rsidR="00063587" w:rsidRPr="007C2683">
        <w:t xml:space="preserve">specificity </w:t>
      </w:r>
      <w:r w:rsidR="00892C17" w:rsidRPr="007C2683">
        <w:t>of</w:t>
      </w:r>
      <w:r w:rsidR="00063587" w:rsidRPr="007C2683">
        <w:t xml:space="preserve"> the mechanism. We further explored this</w:t>
      </w:r>
      <w:r w:rsidR="00C54473" w:rsidRPr="007C2683">
        <w:t xml:space="preserve"> striking</w:t>
      </w:r>
      <w:r w:rsidR="00063587" w:rsidRPr="007C2683">
        <w:t xml:space="preserve"> phenotype in a second multi-resistant population from Burkina Faso (</w:t>
      </w:r>
      <w:proofErr w:type="spellStart"/>
      <w:r w:rsidR="00063587" w:rsidRPr="007C2683">
        <w:t>Banfora</w:t>
      </w:r>
      <w:proofErr w:type="spellEnd"/>
      <w:r w:rsidR="00063587" w:rsidRPr="007C2683">
        <w:t xml:space="preserve">) and again found mortality </w:t>
      </w:r>
      <w:r w:rsidR="00135CD7" w:rsidRPr="007C2683">
        <w:t xml:space="preserve">was significantly restored </w:t>
      </w:r>
      <w:r w:rsidR="00063587" w:rsidRPr="007C2683">
        <w:t xml:space="preserve">after exposure to deltamethrin (Figure </w:t>
      </w:r>
      <w:r w:rsidR="00A879F3" w:rsidRPr="007C2683">
        <w:lastRenderedPageBreak/>
        <w:t>2</w:t>
      </w:r>
      <w:r w:rsidR="00063587" w:rsidRPr="007C2683">
        <w:t xml:space="preserve">A). </w:t>
      </w:r>
      <w:r w:rsidR="00D57B74" w:rsidRPr="007C2683">
        <w:t>Knock down</w:t>
      </w:r>
      <w:r w:rsidR="00063587" w:rsidRPr="007C2683">
        <w:t xml:space="preserve"> of the other three CSPs had no effect on mortality to any insecticide class, excep</w:t>
      </w:r>
      <w:r w:rsidR="003527DF" w:rsidRPr="007C2683">
        <w:t>t in the case of</w:t>
      </w:r>
      <w:r w:rsidR="00063587" w:rsidRPr="007C2683">
        <w:t xml:space="preserve"> </w:t>
      </w:r>
      <w:r w:rsidR="00063587" w:rsidRPr="007C2683">
        <w:rPr>
          <w:i/>
        </w:rPr>
        <w:t xml:space="preserve">CSP6 </w:t>
      </w:r>
      <w:r w:rsidR="00937FB5" w:rsidRPr="007C2683">
        <w:t xml:space="preserve">knockdown </w:t>
      </w:r>
      <w:r w:rsidR="00063587" w:rsidRPr="007C2683">
        <w:t>which also</w:t>
      </w:r>
      <w:r w:rsidR="00AB1379" w:rsidRPr="007C2683">
        <w:t xml:space="preserve"> significantly</w:t>
      </w:r>
      <w:r w:rsidR="00063587" w:rsidRPr="007C2683">
        <w:t xml:space="preserve"> increased susceptibility to deltamethrin</w:t>
      </w:r>
      <w:r w:rsidR="008A1B87" w:rsidRPr="007C2683">
        <w:t xml:space="preserve"> in </w:t>
      </w:r>
      <w:proofErr w:type="spellStart"/>
      <w:r w:rsidR="008A1B87" w:rsidRPr="007C2683">
        <w:t>Tiassalé</w:t>
      </w:r>
      <w:proofErr w:type="spellEnd"/>
      <w:r w:rsidR="008A1B87" w:rsidRPr="007C2683">
        <w:t xml:space="preserve"> mosquitoes, </w:t>
      </w:r>
      <w:r w:rsidR="00335875" w:rsidRPr="007C2683">
        <w:t xml:space="preserve">although not to the same extent as </w:t>
      </w:r>
      <w:r w:rsidR="00335875" w:rsidRPr="007C2683">
        <w:rPr>
          <w:i/>
        </w:rPr>
        <w:t>SAP2</w:t>
      </w:r>
      <w:r w:rsidR="00335875" w:rsidRPr="007C2683">
        <w:t xml:space="preserve"> </w:t>
      </w:r>
      <w:r w:rsidR="00507E20" w:rsidRPr="007C2683">
        <w:t>(</w:t>
      </w:r>
      <w:r w:rsidR="00521FDB" w:rsidRPr="007C2683">
        <w:t xml:space="preserve">Extended Data Figure </w:t>
      </w:r>
      <w:r w:rsidR="00A879F3" w:rsidRPr="007C2683">
        <w:t>5</w:t>
      </w:r>
      <w:r w:rsidR="00335875" w:rsidRPr="007C2683">
        <w:t>)</w:t>
      </w:r>
      <w:r w:rsidR="00063587" w:rsidRPr="007C2683">
        <w:t xml:space="preserve">. </w:t>
      </w:r>
      <w:r w:rsidR="00135CD7" w:rsidRPr="007C2683">
        <w:t>Conversely</w:t>
      </w:r>
      <w:r w:rsidR="00335875" w:rsidRPr="007C2683">
        <w:t xml:space="preserve">, </w:t>
      </w:r>
      <w:r w:rsidR="00063587" w:rsidRPr="007C2683">
        <w:t xml:space="preserve">over-expression of </w:t>
      </w:r>
      <w:r w:rsidR="00063587" w:rsidRPr="007C2683">
        <w:rPr>
          <w:i/>
        </w:rPr>
        <w:t>SAP2</w:t>
      </w:r>
      <w:r w:rsidR="005C2488" w:rsidRPr="007C2683">
        <w:rPr>
          <w:i/>
        </w:rPr>
        <w:t xml:space="preserve"> </w:t>
      </w:r>
      <w:r w:rsidR="00335875" w:rsidRPr="007C2683">
        <w:t xml:space="preserve">in an insecticide </w:t>
      </w:r>
      <w:r w:rsidR="003072FA" w:rsidRPr="007C2683">
        <w:t>susceptible</w:t>
      </w:r>
      <w:r w:rsidR="00335875" w:rsidRPr="007C2683">
        <w:t xml:space="preserve"> population </w:t>
      </w:r>
      <w:r w:rsidR="005C2488" w:rsidRPr="007C2683">
        <w:t xml:space="preserve">(Extended Data Figure </w:t>
      </w:r>
      <w:r w:rsidR="00A879F3" w:rsidRPr="007C2683">
        <w:t>6</w:t>
      </w:r>
      <w:r w:rsidR="005C2488" w:rsidRPr="007C2683">
        <w:t>)</w:t>
      </w:r>
      <w:r w:rsidR="00063587" w:rsidRPr="007C2683">
        <w:t xml:space="preserve"> significantly increased pyrethroid resistance, </w:t>
      </w:r>
      <w:r w:rsidR="00135CD7" w:rsidRPr="007C2683">
        <w:t xml:space="preserve">directly </w:t>
      </w:r>
      <w:r w:rsidR="000E5D1B" w:rsidRPr="007C2683">
        <w:t>linking</w:t>
      </w:r>
      <w:r w:rsidR="00135CD7" w:rsidRPr="007C2683">
        <w:t xml:space="preserve"> the function of this protein to insecticide resistance </w:t>
      </w:r>
      <w:r w:rsidR="00063587" w:rsidRPr="007C2683">
        <w:t xml:space="preserve">(Figure </w:t>
      </w:r>
      <w:r w:rsidR="00A879F3" w:rsidRPr="007C2683">
        <w:t>2</w:t>
      </w:r>
      <w:r w:rsidR="00063587" w:rsidRPr="007C2683">
        <w:t>B).</w:t>
      </w:r>
      <w:r w:rsidR="00772046" w:rsidRPr="007C2683">
        <w:t xml:space="preserve"> </w:t>
      </w:r>
      <w:r w:rsidR="002F09BE" w:rsidRPr="007C2683">
        <w:t xml:space="preserve">To check for adverse changes to the life history traits </w:t>
      </w:r>
      <w:r w:rsidR="00BA31C4" w:rsidRPr="007C2683">
        <w:t>due to</w:t>
      </w:r>
      <w:r w:rsidR="002F09BE" w:rsidRPr="007C2683">
        <w:t xml:space="preserve"> </w:t>
      </w:r>
      <w:r w:rsidR="009E2094" w:rsidRPr="007C2683">
        <w:t xml:space="preserve">disrupting </w:t>
      </w:r>
      <w:r w:rsidR="009E2094" w:rsidRPr="007C2683">
        <w:rPr>
          <w:i/>
          <w:iCs/>
        </w:rPr>
        <w:t>SAP2</w:t>
      </w:r>
      <w:r w:rsidR="009E2094" w:rsidRPr="007C2683">
        <w:t xml:space="preserve"> expression</w:t>
      </w:r>
      <w:r w:rsidR="002F09BE" w:rsidRPr="007C2683">
        <w:t xml:space="preserve">, we </w:t>
      </w:r>
      <w:r w:rsidR="003D0324" w:rsidRPr="007C2683">
        <w:t>recorded</w:t>
      </w:r>
      <w:r w:rsidR="002F09BE" w:rsidRPr="007C2683">
        <w:t xml:space="preserve"> the survivorship, blood feeding ability and egg production</w:t>
      </w:r>
      <w:r w:rsidR="009E2094" w:rsidRPr="007C2683">
        <w:t xml:space="preserve"> in dsSAP2 injected females</w:t>
      </w:r>
      <w:r w:rsidR="002F09BE" w:rsidRPr="007C2683">
        <w:t xml:space="preserve"> and found no significant changes</w:t>
      </w:r>
      <w:r w:rsidR="00EC77B2" w:rsidRPr="007C2683">
        <w:t xml:space="preserve"> compared to a GFP</w:t>
      </w:r>
      <w:r w:rsidR="002B61B8" w:rsidRPr="007C2683">
        <w:t>-injected</w:t>
      </w:r>
      <w:r w:rsidR="00EC77B2" w:rsidRPr="007C2683">
        <w:t xml:space="preserve"> control,</w:t>
      </w:r>
      <w:r w:rsidR="002F09BE" w:rsidRPr="007C2683">
        <w:t xml:space="preserve"> indicating the mortality observed is due to a direct effect of </w:t>
      </w:r>
      <w:r w:rsidR="002F09BE" w:rsidRPr="007C2683">
        <w:rPr>
          <w:i/>
          <w:iCs/>
        </w:rPr>
        <w:t>SAP2</w:t>
      </w:r>
      <w:r w:rsidR="002F09BE" w:rsidRPr="007C2683">
        <w:t xml:space="preserve"> on the insecticide and not reduced overall fitness (Extended Data Figure 7).</w:t>
      </w:r>
      <w:r w:rsidR="0035082D" w:rsidRPr="007C2683">
        <w:t xml:space="preserve"> </w:t>
      </w:r>
    </w:p>
    <w:p w14:paraId="34B10936" w14:textId="77777777" w:rsidR="007666AF" w:rsidRDefault="00F57A04" w:rsidP="00E02056">
      <w:r w:rsidRPr="007C2683">
        <w:t>T</w:t>
      </w:r>
      <w:r w:rsidR="00AB7775" w:rsidRPr="007C2683">
        <w:t xml:space="preserve">o </w:t>
      </w:r>
      <w:r w:rsidR="00063587" w:rsidRPr="007C2683">
        <w:t xml:space="preserve">determine </w:t>
      </w:r>
      <w:r w:rsidR="00AB7775" w:rsidRPr="007C2683">
        <w:t xml:space="preserve">a putative mode of action whereby a chemosensory protein could confer resistance, we </w:t>
      </w:r>
      <w:r w:rsidRPr="007C2683">
        <w:t xml:space="preserve">next </w:t>
      </w:r>
      <w:r w:rsidR="008B236F" w:rsidRPr="007C2683">
        <w:t xml:space="preserve">investigated </w:t>
      </w:r>
      <w:r w:rsidR="00063587" w:rsidRPr="007C2683">
        <w:t xml:space="preserve">whether </w:t>
      </w:r>
      <w:r w:rsidR="00AB7775" w:rsidRPr="007C2683">
        <w:t xml:space="preserve">these proteins act as pyrethroid binding proteins. </w:t>
      </w:r>
      <w:r w:rsidR="00063587" w:rsidRPr="007C2683">
        <w:t xml:space="preserve"> </w:t>
      </w:r>
      <w:r w:rsidR="00AB7775" w:rsidRPr="007C2683">
        <w:t>W</w:t>
      </w:r>
      <w:r w:rsidR="00063587" w:rsidRPr="007C2683">
        <w:t xml:space="preserve">e </w:t>
      </w:r>
      <w:proofErr w:type="spellStart"/>
      <w:r w:rsidR="00063587" w:rsidRPr="007C2683">
        <w:t>heterologously</w:t>
      </w:r>
      <w:proofErr w:type="spellEnd"/>
      <w:r w:rsidR="00063587" w:rsidRPr="007C2683">
        <w:t xml:space="preserve"> expressed</w:t>
      </w:r>
      <w:r w:rsidR="00063587" w:rsidRPr="007C2683">
        <w:rPr>
          <w:i/>
        </w:rPr>
        <w:t xml:space="preserve"> </w:t>
      </w:r>
      <w:r w:rsidR="008B236F" w:rsidRPr="007C2683">
        <w:rPr>
          <w:i/>
        </w:rPr>
        <w:t>SAP2</w:t>
      </w:r>
      <w:r w:rsidR="008B236F" w:rsidRPr="007C2683">
        <w:t xml:space="preserve"> and two closely related CSPs </w:t>
      </w:r>
      <w:r w:rsidR="00063587" w:rsidRPr="007C2683">
        <w:t>(</w:t>
      </w:r>
      <w:r w:rsidR="00063587" w:rsidRPr="007C2683">
        <w:rPr>
          <w:i/>
        </w:rPr>
        <w:t>SAP1</w:t>
      </w:r>
      <w:r w:rsidR="008B236F" w:rsidRPr="007C2683">
        <w:rPr>
          <w:i/>
        </w:rPr>
        <w:t xml:space="preserve"> </w:t>
      </w:r>
      <w:r w:rsidR="00063587" w:rsidRPr="007C2683">
        <w:t>and</w:t>
      </w:r>
      <w:r w:rsidR="00063587" w:rsidRPr="007C2683">
        <w:rPr>
          <w:i/>
        </w:rPr>
        <w:t xml:space="preserve"> SAP3</w:t>
      </w:r>
      <w:r w:rsidR="00063587" w:rsidRPr="007C2683">
        <w:t xml:space="preserve">) in </w:t>
      </w:r>
      <w:r w:rsidR="00063587" w:rsidRPr="007C2683">
        <w:rPr>
          <w:i/>
        </w:rPr>
        <w:t>E. coli</w:t>
      </w:r>
      <w:r w:rsidR="00063587" w:rsidRPr="007C2683">
        <w:t xml:space="preserve"> and carried out competitive binding assays with the fluorescent marker N-phenyl-1-naphthylamine and a panel of insecticides (Figure </w:t>
      </w:r>
      <w:r w:rsidR="00A879F3" w:rsidRPr="007C2683">
        <w:t>2</w:t>
      </w:r>
      <w:r w:rsidR="00063587" w:rsidRPr="007C2683">
        <w:t xml:space="preserve">C). </w:t>
      </w:r>
      <w:r w:rsidR="00063587" w:rsidRPr="007C2683">
        <w:rPr>
          <w:i/>
        </w:rPr>
        <w:t xml:space="preserve">SAP2 </w:t>
      </w:r>
      <w:r w:rsidR="00063587" w:rsidRPr="007C2683">
        <w:t>bound to all three pyrethroid insecticides tested: deltamethrin (IC</w:t>
      </w:r>
      <w:r w:rsidR="00063587" w:rsidRPr="007C2683">
        <w:rPr>
          <w:vertAlign w:val="subscript"/>
        </w:rPr>
        <w:t>50</w:t>
      </w:r>
      <w:r w:rsidR="00063587" w:rsidRPr="007C2683">
        <w:t xml:space="preserve"> = 3.99µM); permethrin (IC</w:t>
      </w:r>
      <w:r w:rsidR="00063587" w:rsidRPr="007C2683">
        <w:rPr>
          <w:vertAlign w:val="subscript"/>
        </w:rPr>
        <w:t>50</w:t>
      </w:r>
      <w:r w:rsidR="00063587" w:rsidRPr="007C2683">
        <w:t xml:space="preserve"> = 4.77µM); and α-cypermethrin (IC</w:t>
      </w:r>
      <w:r w:rsidR="00063587" w:rsidRPr="007C2683">
        <w:rPr>
          <w:vertAlign w:val="subscript"/>
        </w:rPr>
        <w:t>50</w:t>
      </w:r>
      <w:r w:rsidR="00063587" w:rsidRPr="007C2683">
        <w:t xml:space="preserve"> = 3.74µM) but did not bind </w:t>
      </w:r>
      <w:proofErr w:type="spellStart"/>
      <w:r w:rsidR="00063587" w:rsidRPr="007C2683">
        <w:t>pirimiphos</w:t>
      </w:r>
      <w:proofErr w:type="spellEnd"/>
      <w:r w:rsidR="00063587" w:rsidRPr="007C2683">
        <w:t>-methyl (organophosphate) or bendiocarb (</w:t>
      </w:r>
      <w:r w:rsidR="00EB0975" w:rsidRPr="007C2683">
        <w:t xml:space="preserve">a </w:t>
      </w:r>
      <w:r w:rsidR="00063587" w:rsidRPr="007C2683">
        <w:t>carbamate). The IC</w:t>
      </w:r>
      <w:r w:rsidR="00063587" w:rsidRPr="007C2683">
        <w:rPr>
          <w:vertAlign w:val="subscript"/>
        </w:rPr>
        <w:t>50</w:t>
      </w:r>
      <w:r w:rsidR="00063587" w:rsidRPr="007C2683">
        <w:t xml:space="preserve"> values </w:t>
      </w:r>
      <w:r w:rsidR="00EB0975" w:rsidRPr="007C2683">
        <w:t xml:space="preserve">were </w:t>
      </w:r>
      <w:r w:rsidR="00063587" w:rsidRPr="007C2683">
        <w:t>similar to those found for the most important cytochrome p450s responsible for metabolic clearance of pyrethroid insecticides</w:t>
      </w:r>
      <w:r w:rsidR="00412A48" w:rsidRPr="007C2683">
        <w:t xml:space="preserve"> </w:t>
      </w:r>
      <w:r w:rsidR="00412A48" w:rsidRPr="007C2683">
        <w:fldChar w:fldCharType="begin" w:fldLock="1"/>
      </w:r>
      <w:r w:rsidR="00D955AD" w:rsidRPr="007C2683">
        <w:instrText>ADDIN CSL_CITATION {"citationItems":[{"id":"ITEM-1","itemData":{"abstract":"Malaria, a disease spread by anopheline mosquitoes, is a global health problem with an enormous economic and social impact. Pyrethroid insecticides are critical in reducing malaria transmission, and resistance to these insecticides threatens current control efforts. With a limited number of public health insecticides available for the foreseeable future, it is vital to monitor levels of resistance to facilitate decisions on when new strategies should be implemented before control fails. For monitoring, simple molecular assays are highly desirable, because they can detect resistance at very low frequencies and should identify the presence of single recessive alleles well before bioassays. An understanding of the mechanisms conferring resistance facilitates the development of such tools and may also lead to novel strategies to restore the efficacy of the insecticide, or the development of new compounds. We set out to identify enzymes that may confer metabolic pyrethroid resistance by comparing levels of messenger RNA between insecticide-selected versus unselected mosquitoes. We caught members of the major malaria vector, A. gambiae s.s. from a highly pyrethroid resistant field population. We found increased transcript levels for a cytochrome P450, CYP6P3, and demonstrate that it encodes for an enzyme that metabolises pyrethroids.","author":[{"dropping-particle":"","family":"Müller","given":"Pie","non-dropping-particle":"","parse-names":false,"suffix":""},{"dropping-particle":"","family":"Warr","given":"Emma","non-dropping-particle":"","parse-names":false,"suffix":""},{"dropping-particle":"","family":"Stevenson","given":"Bradley J","non-dropping-particle":"","parse-names":false,"suffix":""},{"dropping-particle":"","family":"Pignatelli","given":"Patricia M","non-dropping-particle":"","parse-names":false,"suffix":""},{"dropping-particle":"","family":"Morgan","given":"John C","non-dropping-particle":"","parse-names":false,"suffix":""},{"dropping-particle":"","family":"Steven","given":"Andrew","non-dropping-particle":"","parse-names":false,"suffix":""},{"dropping-particle":"","family":"Yawson","given":"Alexander E","non-dropping-particle":"","parse-names":false,"suffix":""},{"dropping-particle":"","family":"Mitchell","given":"Sara N","non-dropping-particle":"","parse-names":false,"suffix":""},{"dropping-particle":"","family":"Ranson","given":"Hilary","non-dropping-particle":"","parse-names":false,"suffix":""},{"dropping-particle":"","family":"Hemingway","given":"Janet","non-dropping-particle":"","parse-names":false,"suffix":""},{"dropping-particle":"","family":"Paine","given":"Mark J I","non-dropping-particle":"","parse-names":false,"suffix":""},{"dropping-particle":"","family":"Donnelly","given":"Martin J","non-dropping-particle":"","parse-names":false,"suffix":""}],"container-title":"PLoS Genet","id":"ITEM-1","issue":"11","issued":{"date-parts":[["2008","11","28"]]},"page":"e1000286","publisher":"Public Library of Science","title":"Field-Caught Permethrin-Resistant Anopheles gambiae Overexpress CYP6P3, a P450 That Metabolises Pyrethroids","type":"article-journal","volume":"4"},"uris":["http://www.mendeley.com/documents/?uuid=a547050c-0987-44c5-b35f-b820a2ef2de4"]},{"id":"ITEM-2","itemData":{"ISSN":"0965-1748","author":[{"dropping-particle":"","family":"Stevenson","given":"Bradley J","non-dropping-particle":"","parse-names":false,"suffix":""},{"dropping-particle":"","family":"Bibby","given":"Jaclyn","non-dropping-particle":"","parse-names":false,"suffix":""},{"dropping-particle":"","family":"Pignatelli","given":"Patricia","non-dropping-particle":"","parse-names":false,"suffix":""},{"dropping-particle":"","family":"Muangnoicharoen","given":"Sant","non-dropping-particle":"","parse-names":false,"suffix":""},{"dropping-particle":"","family":"O’Neill","given":"Paul M","non-dropping-particle":"","parse-names":false,"suffix":""},{"dropping-particle":"","family":"Lian","given":"Lu-Yun","non-dropping-particle":"","parse-names":false,"suffix":""},{"dropping-particle":"","family":"Müller","given":"Pie","non-dropping-particle":"","parse-names":false,"suffix":""},{"dropping-particle":"","family":"Nikou","given":"Dimitra","non-dropping-particle":"","parse-names":false,"suffix":""},{"dropping-particle":"","family":"Steven","given":"Andrew","non-dropping-particle":"","parse-names":false,"suffix":""},{"dropping-particle":"","family":"Hemingway","given":"Janet","non-dropping-particle":"","parse-names":false,"suffix":""}],"container-title":"Insect biochemistry and molecular biology","id":"ITEM-2","issue":"7","issued":{"date-parts":[["2011"]]},"page":"492-502","publisher":"Elsevier","title":"Cytochrome P450 6M2 from the malaria vector Anopheles gambiae metabolizes pyrethroids: Sequential metabolism of deltamethrin revealed","type":"article-journal","volume":"41"},"uris":["http://www.mendeley.com/documents/?uuid=74d4c20b-a25e-4d20-adfe-3fd382e6ca01"]}],"mendeley":{"formattedCitation":"&lt;sup&gt;6,7&lt;/sup&gt;","plainTextFormattedCitation":"6,7","previouslyFormattedCitation":"&lt;sup&gt;6,7&lt;/sup&gt;"},"properties":{"noteIndex":0},"schema":"https://github.com/citation-style-language/schema/raw/master/csl-citation.json"}</w:instrText>
      </w:r>
      <w:r w:rsidR="00412A48" w:rsidRPr="007C2683">
        <w:fldChar w:fldCharType="separate"/>
      </w:r>
      <w:r w:rsidR="00D955AD" w:rsidRPr="007C2683">
        <w:rPr>
          <w:noProof/>
          <w:vertAlign w:val="superscript"/>
        </w:rPr>
        <w:t>6,7</w:t>
      </w:r>
      <w:r w:rsidR="00412A48" w:rsidRPr="007C2683">
        <w:fldChar w:fldCharType="end"/>
      </w:r>
      <w:r w:rsidR="00063587" w:rsidRPr="007C2683">
        <w:t xml:space="preserve"> (</w:t>
      </w:r>
      <w:r w:rsidR="003D0324" w:rsidRPr="007C2683">
        <w:t xml:space="preserve">deltamethrin </w:t>
      </w:r>
      <w:r w:rsidR="00063587" w:rsidRPr="007C2683">
        <w:t>IC</w:t>
      </w:r>
      <w:r w:rsidR="00063587" w:rsidRPr="007C2683">
        <w:rPr>
          <w:vertAlign w:val="subscript"/>
        </w:rPr>
        <w:t>50,</w:t>
      </w:r>
      <w:r w:rsidR="00063587" w:rsidRPr="007C2683">
        <w:t xml:space="preserve"> </w:t>
      </w:r>
      <w:r w:rsidR="00063587" w:rsidRPr="007C2683">
        <w:rPr>
          <w:vertAlign w:val="subscript"/>
        </w:rPr>
        <w:t xml:space="preserve">CYP6M2; CYP6P3 </w:t>
      </w:r>
      <w:r w:rsidR="00063587" w:rsidRPr="007C2683">
        <w:t xml:space="preserve">= 4.24µM; 3.17 µM, </w:t>
      </w:r>
      <w:r w:rsidR="003D0324" w:rsidRPr="007C2683">
        <w:t>p</w:t>
      </w:r>
      <w:r w:rsidR="00063587" w:rsidRPr="007C2683">
        <w:t>ermethrin IC</w:t>
      </w:r>
      <w:r w:rsidR="00063587" w:rsidRPr="007C2683">
        <w:rPr>
          <w:vertAlign w:val="subscript"/>
        </w:rPr>
        <w:t>50,</w:t>
      </w:r>
      <w:r w:rsidR="00063587" w:rsidRPr="007C2683">
        <w:t xml:space="preserve"> </w:t>
      </w:r>
      <w:r w:rsidR="00063587" w:rsidRPr="007C2683">
        <w:rPr>
          <w:vertAlign w:val="subscript"/>
        </w:rPr>
        <w:t xml:space="preserve">CYP6M2; CYP6P3 </w:t>
      </w:r>
      <w:r w:rsidR="00063587" w:rsidRPr="007C2683">
        <w:t>= 8.07µM; 6.77µM</w:t>
      </w:r>
      <w:r w:rsidR="00BB4EB9" w:rsidRPr="007C2683">
        <w:t xml:space="preserve"> </w:t>
      </w:r>
      <w:r w:rsidR="00BB4EB9" w:rsidRPr="007C2683">
        <w:fldChar w:fldCharType="begin" w:fldLock="1"/>
      </w:r>
      <w:r w:rsidR="004A113F" w:rsidRPr="007C2683">
        <w:instrText>ADDIN CSL_CITATION {"citationItems":[{"id":"ITEM-1","itemData":{"ISSN":"0965-1748","author":[{"dropping-particle":"","family":"Yunta","given":"Cristina","non-dropping-particle":"","parse-names":false,"suffix":""},{"dropping-particle":"","family":"Grisales","given":"Nelson","non-dropping-particle":"","parse-names":false,"suffix":""},{"dropping-particle":"","family":"Nász","given":"Szilárd","non-dropping-particle":"","parse-names":false,"suffix":""},{"dropping-particle":"","family":"Hemmings","given":"Kay","non-dropping-particle":"","parse-names":false,"suffix":""},{"dropping-particle":"","family":"Pignatelli","given":"Patricia","non-dropping-particle":"","parse-names":false,"suffix":""},{"dropping-particle":"","family":"Voice","given":"Michael","non-dropping-particle":"","parse-names":false,"suffix":""},{"dropping-particle":"","family":"Ranson","given":"Hilary","non-dropping-particle":"","parse-names":false,"suffix":""},{"dropping-particle":"","family":"Paine","given":"Mark J I","non-dropping-particle":"","parse-names":false,"suffix":""}],"container-title":"Insect biochemistry and molecular biology","id":"ITEM-1","issued":{"date-parts":[["2016"]]},"page":"50-57","publisher":"Elsevier","title":"Pyriproxyfen is metabolized by P450s associated with pyrethroid resistance in An. gambiae","type":"article-journal","volume":"78"},"uris":["http://www.mendeley.com/documents/?uuid=f162f067-fdad-44f2-86ec-0bfbc503448a"]}],"mendeley":{"formattedCitation":"&lt;sup&gt;18&lt;/sup&gt;","plainTextFormattedCitation":"18","previouslyFormattedCitation":"&lt;sup&gt;18&lt;/sup&gt;"},"properties":{"noteIndex":0},"schema":"https://github.com/citation-style-language/schema/raw/master/csl-citation.json"}</w:instrText>
      </w:r>
      <w:r w:rsidR="00BB4EB9" w:rsidRPr="007C2683">
        <w:fldChar w:fldCharType="separate"/>
      </w:r>
      <w:r w:rsidR="00614476" w:rsidRPr="007C2683">
        <w:rPr>
          <w:noProof/>
          <w:vertAlign w:val="superscript"/>
        </w:rPr>
        <w:t>18</w:t>
      </w:r>
      <w:r w:rsidR="00BB4EB9" w:rsidRPr="007C2683">
        <w:fldChar w:fldCharType="end"/>
      </w:r>
      <w:r w:rsidR="00063587" w:rsidRPr="007C2683">
        <w:t xml:space="preserve">). The binding of the pyrethroids to </w:t>
      </w:r>
      <w:r w:rsidR="00063587" w:rsidRPr="007C2683">
        <w:rPr>
          <w:i/>
        </w:rPr>
        <w:t xml:space="preserve">SAP2 </w:t>
      </w:r>
      <w:r w:rsidR="00063587" w:rsidRPr="007C2683">
        <w:t>had significantly higher specificity (</w:t>
      </w:r>
      <w:proofErr w:type="spellStart"/>
      <w:r w:rsidR="00063587" w:rsidRPr="007C2683">
        <w:t>p</w:t>
      </w:r>
      <w:r w:rsidR="00D5590F" w:rsidRPr="007C2683">
        <w:rPr>
          <w:vertAlign w:val="subscript"/>
        </w:rPr>
        <w:t>ANOVA</w:t>
      </w:r>
      <w:proofErr w:type="spellEnd"/>
      <w:r w:rsidR="00063587" w:rsidRPr="007C2683">
        <w:t xml:space="preserve"> &lt; 0.0001) than the other </w:t>
      </w:r>
      <w:r w:rsidR="00063587" w:rsidRPr="007C2683">
        <w:rPr>
          <w:i/>
        </w:rPr>
        <w:t xml:space="preserve">SAP </w:t>
      </w:r>
      <w:r w:rsidR="00063587" w:rsidRPr="007C2683">
        <w:t xml:space="preserve">proteins; however, both </w:t>
      </w:r>
      <w:r w:rsidR="00063587" w:rsidRPr="007C2683">
        <w:rPr>
          <w:i/>
        </w:rPr>
        <w:t xml:space="preserve">SAP1 </w:t>
      </w:r>
      <w:r w:rsidR="00063587" w:rsidRPr="007C2683">
        <w:t xml:space="preserve">and </w:t>
      </w:r>
      <w:r w:rsidR="00063587" w:rsidRPr="007C2683">
        <w:rPr>
          <w:i/>
        </w:rPr>
        <w:t>SAP3</w:t>
      </w:r>
      <w:r w:rsidR="00063587" w:rsidRPr="007C2683">
        <w:t xml:space="preserve"> bound weakly to deltamethrin (IC</w:t>
      </w:r>
      <w:r w:rsidR="00063587" w:rsidRPr="007C2683">
        <w:rPr>
          <w:vertAlign w:val="subscript"/>
        </w:rPr>
        <w:t xml:space="preserve">50 </w:t>
      </w:r>
      <w:r w:rsidR="00063587" w:rsidRPr="007C2683">
        <w:t>&gt; 10µM) and</w:t>
      </w:r>
      <w:r w:rsidR="00063587" w:rsidRPr="007C2683">
        <w:rPr>
          <w:i/>
        </w:rPr>
        <w:t xml:space="preserve"> SAP1 </w:t>
      </w:r>
      <w:r w:rsidR="00063587" w:rsidRPr="007C2683">
        <w:t>moderately to α-cypermethrin (IC</w:t>
      </w:r>
      <w:r w:rsidR="00063587" w:rsidRPr="007C2683">
        <w:rPr>
          <w:vertAlign w:val="subscript"/>
        </w:rPr>
        <w:t xml:space="preserve">50 </w:t>
      </w:r>
      <w:r w:rsidR="00063587" w:rsidRPr="007C2683">
        <w:t xml:space="preserve">= 9.02µM). </w:t>
      </w:r>
    </w:p>
    <w:p w14:paraId="71B7CB5F" w14:textId="384F7F48" w:rsidR="00E02056" w:rsidRDefault="00E02056" w:rsidP="00E02056">
      <w:r w:rsidRPr="007C2683">
        <w:t xml:space="preserve">Having established the importance of </w:t>
      </w:r>
      <w:r w:rsidRPr="007C2683">
        <w:rPr>
          <w:i/>
        </w:rPr>
        <w:t>SAP2</w:t>
      </w:r>
      <w:r w:rsidRPr="007C2683">
        <w:t xml:space="preserve"> to</w:t>
      </w:r>
      <w:r w:rsidR="009004AB" w:rsidRPr="007C2683">
        <w:t xml:space="preserve"> pyrethroid resistance</w:t>
      </w:r>
      <w:r w:rsidR="005B18ED" w:rsidRPr="007C2683">
        <w:t xml:space="preserve"> in a lab setting</w:t>
      </w:r>
      <w:r w:rsidR="009004AB" w:rsidRPr="007C2683">
        <w:t>,</w:t>
      </w:r>
      <w:r w:rsidR="005B18ED" w:rsidRPr="007C2683">
        <w:t xml:space="preserve"> and</w:t>
      </w:r>
      <w:r w:rsidR="00D4110E" w:rsidRPr="007C2683">
        <w:t xml:space="preserve"> detected</w:t>
      </w:r>
      <w:r w:rsidR="005B18ED" w:rsidRPr="007C2683">
        <w:t xml:space="preserve"> the</w:t>
      </w:r>
      <w:r w:rsidR="00762938" w:rsidRPr="007C2683">
        <w:t xml:space="preserve"> </w:t>
      </w:r>
      <w:r w:rsidR="005B18ED" w:rsidRPr="007C2683">
        <w:t>over-expression</w:t>
      </w:r>
      <w:r w:rsidR="00D4110E" w:rsidRPr="007C2683">
        <w:t xml:space="preserve"> of this transcript</w:t>
      </w:r>
      <w:r w:rsidR="005B18ED" w:rsidRPr="007C2683">
        <w:t xml:space="preserve"> in</w:t>
      </w:r>
      <w:r w:rsidR="00A8348C" w:rsidRPr="007C2683">
        <w:t xml:space="preserve"> available transcriptomic data </w:t>
      </w:r>
      <w:r w:rsidR="003D0324" w:rsidRPr="007C2683">
        <w:t xml:space="preserve">from </w:t>
      </w:r>
      <w:r w:rsidR="00D4110E" w:rsidRPr="007C2683">
        <w:t xml:space="preserve">multiple resistant </w:t>
      </w:r>
      <w:r w:rsidR="005B18ED" w:rsidRPr="007C2683">
        <w:t xml:space="preserve">West African field populations (Figure </w:t>
      </w:r>
      <w:r w:rsidR="00FE1605" w:rsidRPr="007C2683">
        <w:t>3</w:t>
      </w:r>
      <w:r w:rsidR="005B18ED" w:rsidRPr="007C2683">
        <w:t>A</w:t>
      </w:r>
      <w:r w:rsidR="00DE13F2" w:rsidRPr="007C2683">
        <w:t>; Extended Data Table 1</w:t>
      </w:r>
      <w:r w:rsidR="005B18ED" w:rsidRPr="007C2683">
        <w:t>),</w:t>
      </w:r>
      <w:r w:rsidRPr="007C2683">
        <w:t xml:space="preserve"> we next looked for any evidence of selection at this locus, utilising data from the </w:t>
      </w:r>
      <w:r w:rsidRPr="007C2683">
        <w:rPr>
          <w:i/>
        </w:rPr>
        <w:t xml:space="preserve">An. gambiae </w:t>
      </w:r>
      <w:r w:rsidRPr="007C2683">
        <w:t xml:space="preserve">1000 genomes project </w:t>
      </w:r>
      <w:r w:rsidRPr="007C2683">
        <w:fldChar w:fldCharType="begin" w:fldLock="1"/>
      </w:r>
      <w:r w:rsidR="004A113F" w:rsidRPr="007C2683">
        <w:instrText>ADDIN CSL_CITATION {"citationItems":[{"id":"ITEM-1","itemData":{"ISSN":"1476-4687","author":[{"dropping-particle":"","family":"Consortium","given":"Anopheles gambiae 1000 Genomes","non-dropping-particle":"","parse-names":false,"suffix":""}],"container-title":"Nature","id":"ITEM-1","issue":"7683","issued":{"date-parts":[["2017"]]},"page":"96","publisher":"Nature Publishing Group","title":"Genetic diversity of the African malaria vector Anopheles gambiae","type":"article-journal","volume":"552"},"uris":["http://www.mendeley.com/documents/?uuid=ddd6f0d0-4f86-49a9-9c5c-77a65c70c74b"]}],"mendeley":{"formattedCitation":"&lt;sup&gt;19&lt;/sup&gt;","plainTextFormattedCitation":"19","previouslyFormattedCitation":"&lt;sup&gt;19&lt;/sup&gt;"},"properties":{"noteIndex":0},"schema":"https://github.com/citation-style-language/schema/raw/master/csl-citation.json"}</w:instrText>
      </w:r>
      <w:r w:rsidRPr="007C2683">
        <w:fldChar w:fldCharType="separate"/>
      </w:r>
      <w:r w:rsidR="00614476" w:rsidRPr="007C2683">
        <w:rPr>
          <w:noProof/>
          <w:vertAlign w:val="superscript"/>
        </w:rPr>
        <w:t>19</w:t>
      </w:r>
      <w:r w:rsidRPr="007C2683">
        <w:fldChar w:fldCharType="end"/>
      </w:r>
      <w:r w:rsidRPr="007C2683">
        <w:t xml:space="preserve"> and further </w:t>
      </w:r>
      <w:r w:rsidRPr="007C2683">
        <w:rPr>
          <w:i/>
        </w:rPr>
        <w:t xml:space="preserve">de novo </w:t>
      </w:r>
      <w:r w:rsidRPr="007C2683">
        <w:t xml:space="preserve">sequencing. We computed the selection statistics </w:t>
      </w:r>
      <w:proofErr w:type="spellStart"/>
      <w:r w:rsidRPr="007C2683">
        <w:t>iHS</w:t>
      </w:r>
      <w:proofErr w:type="spellEnd"/>
      <w:r w:rsidRPr="007C2683">
        <w:t xml:space="preserve"> </w:t>
      </w:r>
      <w:r w:rsidRPr="007C2683">
        <w:fldChar w:fldCharType="begin" w:fldLock="1"/>
      </w:r>
      <w:r w:rsidR="004A113F" w:rsidRPr="007C2683">
        <w:instrText>ADDIN CSL_CITATION {"citationItems":[{"id":"ITEM-1","itemData":{"abstract":"Applying their newly developed method, the authors search International HapMap Project data representing three populations for signals of recent selection across the human genome.","author":[{"dropping-particle":"","family":"Voight","given":"Benjamin F","non-dropping-particle":"","parse-names":false,"suffix":""},{"dropping-particle":"","family":"Kudaravalli","given":"Sridhar","non-dropping-particle":"","parse-names":false,"suffix":""},{"dropping-particle":"","family":"Wen","given":"Xiaoquan","non-dropping-particle":"","parse-names":false,"suffix":""},{"dropping-particle":"","family":"Pritchard","given":"Jonathan K","non-dropping-particle":"","parse-names":false,"suffix":""}],"container-title":"PLOS Biology","id":"ITEM-1","issue":"3","issued":{"date-parts":[["2006","3","7"]]},"page":"e72","publisher":"Public Library of Science","title":"A Map of Recent Positive Selection in the Human Genome","type":"article-journal","volume":"4"},"uris":["http://www.mendeley.com/documents/?uuid=4a1ee843-70ed-41bd-acef-be285d0fae06"]}],"mendeley":{"formattedCitation":"&lt;sup&gt;20&lt;/sup&gt;","plainTextFormattedCitation":"20","previouslyFormattedCitation":"&lt;sup&gt;20&lt;/sup&gt;"},"properties":{"noteIndex":0},"schema":"https://github.com/citation-style-language/schema/raw/master/csl-citation.json"}</w:instrText>
      </w:r>
      <w:r w:rsidRPr="007C2683">
        <w:fldChar w:fldCharType="separate"/>
      </w:r>
      <w:r w:rsidR="00614476" w:rsidRPr="007C2683">
        <w:rPr>
          <w:noProof/>
          <w:vertAlign w:val="superscript"/>
        </w:rPr>
        <w:t>20</w:t>
      </w:r>
      <w:r w:rsidRPr="007C2683">
        <w:fldChar w:fldCharType="end"/>
      </w:r>
      <w:r w:rsidRPr="007C2683">
        <w:t xml:space="preserve"> and XPEHH </w:t>
      </w:r>
      <w:r w:rsidRPr="007C2683">
        <w:fldChar w:fldCharType="begin" w:fldLock="1"/>
      </w:r>
      <w:r w:rsidR="004A113F" w:rsidRPr="007C2683">
        <w:instrText>ADDIN CSL_CITATION {"citationItems":[{"id":"ITEM-1","itemData":{"author":[{"dropping-particle":"","family":"Sabeti","given":"Pardis C","non-dropping-particle":"","parse-names":false,"suffix":""},{"dropping-particle":"","family":"Varilly","given":"Patrick","non-dropping-particle":"","parse-names":false,"suffix":""},{"dropping-particle":"","family":"Fry","given":"Ben","non-dropping-particle":"","parse-names":false,"suffix":""},{"dropping-particle":"","family":"Lohmueller","given":"Jason","non-dropping-particle":"","parse-names":false,"suffix":""},{"dropping-particle":"","family":"Hostetter","given":"Elizabeth","non-dropping-particle":"","parse-names":false,"suffix":""},{"dropping-particle":"","family":"Cotsapas","given":"Chris","non-dropping-particle":"","parse-names":false,"suffix":""},{"dropping-particle":"","family":"Xie","given":"Xiaohui","non-dropping-particle":"","parse-names":false,"suffix":""},{"dropping-particle":"","family":"Byrne","given":"Elizabeth H","non-dropping-particle":"","parse-names":false,"suffix":""},{"dropping-particle":"","family":"McCarroll","given":"Steven A","non-dropping-particle":"","parse-names":false,"suffix":""},{"dropping-particle":"","family":"Gaudet","given":"Rachelle","non-dropping-particle":"","parse-names":false,"suffix":""},{"dropping-particle":"","family":"Schaffner","given":"Stephen F","non-dropping-particle":"","parse-names":false,"suffix":""},{"dropping-particle":"","family":"Lander","given":"Eric S","non-dropping-particle":"","parse-names":false,"suffix":""},{"dropping-particle":"","family":"Consortium","given":"The International HapMap","non-dropping-particle":"","parse-names":false,"suffix":""},{"dropping-particle":"","family":"Frazer (Principal Investigator)","given":"Kelly A","non-dropping-particle":"","parse-names":false,"suffix":""},{"dropping-particle":"","family":"Ballinger","given":"Dennis G","non-dropping-particle":"","parse-names":false,"suffix":""},{"dropping-particle":"","family":"Cox","given":"David R","non-dropping-particle":"","parse-names":false,"suffix":""},{"dropping-particle":"","family":"Hinds","given":"David A","non-dropping-particle":"","parse-names":false,"suffix":""},{"dropping-particle":"","family":"Stuve","given":"Laura L","non-dropping-particle":"","parse-names":false,"suffix":""},{"dropping-particle":"","family":"Gibbs (Principal Investigator)","given":"Richard A","non-dropping-particle":"","parse-names":false,"suffix":""},{"dropping-particle":"","family":"Belmont","given":"John W","non-dropping-particle":"","parse-names":false,"suffix":""},{"dropping-particle":"","family":"Boudreau","given":"Andrew","non-dropping-particle":"","parse-names":false,"suffix":""},{"dropping-particle":"","family":"Hardenbol","given":"Paul","non-dropping-particle":"","parse-names":false,"suffix":""},{"dropping-particle":"","family":"Leal","given":"Suzanne M","non-dropping-particle":"","parse-names":false,"suffix":""},{"dropping-particle":"","family":"Pasternak","given":"Shiran","non-dropping-particle":"","parse-names":false,"suffix":""},{"dropping-particle":"","family":"Wheeler","given":"David A","non-dropping-particle":"","parse-names":false,"suffix":""},{"dropping-particle":"","family":"Willis","given":"Thomas D","non-dropping-particle":"","parse-names":false,"suffix":""},{"dropping-particle":"","family":"Yu","given":"Fuli","non-dropping-particle":"","parse-names":false,"suffix":""},{"dropping-particle":"","family":"Yang (Principal Investigator)","given":"Huanming","non-dropping-particle":"","parse-names":false,"suffix":""},{"dropping-particle":"","family":"Zeng (Principal Investigator)","given":"Changqing","non-dropping-particle":"","parse-names":false,"suffix":""},{"dropping-particle":"","family":"Gao","given":"Yang","non-dropping-particle":"","parse-names":false,"suffix":""},{"dropping-particle":"","family":"Hu","given":"Haoran","non-dropping-particle":"","parse-names":false,"suffix":""},{"dropping-particle":"","family":"Hu","given":"Weitao","non-dropping-particle":"","parse-names":false,"suffix":""},{"dropping-particle":"","family":"Li","given":"Chaohua","non-dropping-particle":"","parse-names":false,"suffix":""},{"dropping-particle":"","family":"Lin","given":"Wei","non-dropping-particle":"","parse-names":false,"suffix":""},{"dropping-particle":"","family":"Liu","given":"Siqi","non-dropping-particle":"","parse-names":false,"suffix":""},{"dropping-particle":"","family":"Pan","given":"Hao","non-dropping-particle":"","parse-names":false,"suffix":""},{"dropping-particle":"","family":"Tang","given":"Xiaoli","non-dropping-particle":"","parse-names":false,"suffix":""},{"dropping-particle":"","family":"Wang","given":"Jian","non-dropping-particle":"","parse-names":false,"suffix":""},{"dropping-particle":"","family":"Wang","given":"Wei","non-dropping-particle":"","parse-names":false,"suffix":""},{"dropping-particle":"","family":"Yu","given":"Jun","non-dropping-particle":"","parse-names":false,"suffix":""},{"dropping-particle":"","family":"Zhang","given":"Bo","non-dropping-particle":"","parse-names":false,"suffix":""},{"dropping-particle":"","family":"Zhang","given":"Qingrun","non-dropping-particle":"","parse-names":false,"suffix":""},{"dropping-particle":"","family":"Zhao","given":"Hongbin","non-dropping-particle":"","parse-names":false,"suffix":""},{"dropping-particle":"","family":"Zhao","given":"Hui","non-dropping-particle":"","parse-names":false,"suffix":""},{"dropping-particle":"","family":"Zhou","given":"Jun","non-dropping-particle":"","parse-names":false,"suffix":""},{"dropping-particle":"","family":"Gabriel (Project Leader)","given":"Stacey B","non-dropping-particle":"","parse-names":false,"suffix":""},{"dropping-particle":"","family":"Barry","given":"Rachel","non-dropping-particle":"","parse-names":false,"suffix":""},{"dropping-particle":"","family":"Blumenstiel","given":"Brendan","non-dropping-particle":"","parse-names":false,"suffix":""},{"dropping-particle":"","family":"Camargo","given":"Amy","non-dropping-particle":"","parse-names":false,"suffix":""},{"dropping-particle":"","family":"Defelice","given":"Matthew","non-dropping-particle":"","parse-names":false,"suffix":""},{"dropping-particle":"","family":"Faggart","given":"Maura","non-dropping-particle":"","parse-names":false,"suffix":""},{"dropping-particle":"","family":"Goyette","given":"Mary","non-dropping-particle":"","parse-names":false,"suffix":""},{"dropping-particle":"","family":"Gupta","given":"Supriya","non-dropping-particle":"","parse-names":false,"suffix":""},{"dropping-particle":"","family":"Moore","given":"Jamie","non-dropping-particle":"","parse-names":false,"suffix":""},{"dropping-particle":"","family":"Nguyen","given":"Huy","non-dropping-particle":"","parse-names":false,"suffix":""},{"dropping-particle":"","family":"Onofrio","given":"Robert C","non-dropping-particle":"","parse-names":false,"suffix":""},{"dropping-particle":"","family":"Parkin","given":"Melissa","non-dropping-particle":"","parse-names":false,"suffix":""},{"dropping-particle":"","family":"Roy","given":"Jessica","non-dropping-particle":"","parse-names":false,"suffix":""},{"dropping-particle":"","family":"Stahl","given":"Erich","non-dropping-particle":"","parse-names":false,"suffix":""},{"dropping-particle":"","family":"Winchester","given":"Ellen","non-dropping-particle":"","parse-names":false,"suffix":""},{"dropping-particle":"","family":"Ziaugra","given":"Liuda","non-dropping-particle":"","parse-names":false,"suffix":""},{"dropping-particle":"","family":"Altshuler (Principal Investigator)","given":"David","non-dropping-particle":"","parse-names":false,"suffix":""},{"dropping-particle":"","family":"Shen (Principal Investigator)","given":"Yan","non-dropping-particle":"","parse-names":false,"suffix":""},{"dropping-particle":"","family":"Yao","given":"Zhijian","non-dropping-particle":"","parse-names":false,"suffix":""},{"dropping-particle":"","family":"Huang (Principal Investigator)","given":"Wei","non-dropping-particle":"","parse-names":false,"suffix":""},{"dropping-particle":"","family":"Chu","given":"Xun","non-dropping-particle":"","parse-names":false,"suffix":""},{"dropping-particle":"","family":"He","given":"Yungang","non-dropping-particle":"","parse-names":false,"suffix":""},{"dropping-particle":"","family":"Jin","given":"Li","non-dropping-particle":"","parse-names":false,"suffix":""},{"dropping-particle":"","family":"Liu","given":"Yangfan","non-dropping-particle":"","parse-names":false,"suffix":""},{"dropping-particle":"","family":"Shen","given":"Yayun","non-dropping-particle":"","parse-names":false,"suffix":""},{"dropping-particle":"","family":"Sun","given":"Weiwei","non-dropping-particle":"","parse-names":false,"suffix":""},{"dropping-particle":"","family":"Wang","given":"Haifeng","non-dropping-particle":"","parse-names":false,"suffix":""},{"dropping-particle":"","family":"Wang","given":"Yi","non-dropping-particle":"","parse-names":false,"suffix":""},{"dropping-particle":"","family":"Wang","given":"Ying","non-dropping-particle":"","parse-names":false,"suffix":""},{"dropping-particle":"","family":"Xiong","given":"Xiaoyan","non-dropping-particle":"","parse-names":false,"suffix":""},{"dropping-particle":"","family":"Xu","given":"Liang","non-dropping-particle":"","parse-names":false,"suffix":""},{"dropping-particle":"","family":"Waye (Principal Investigator)","given":"Mary M Y","non-dropping-particle":"","parse-names":false,"suffix":""},{"dropping-particle":"","family":"Tsui","given":"Stephen K W","non-dropping-particle":"","parse-names":false,"suffix":""},{"dropping-particle":"","family":"Xue","given":"Hong","non-dropping-particle":"","parse-names":false,"suffix":""},{"dropping-particle":"","family":"Tze-Fei Wong","given":"J","non-dropping-particle":"","parse-names":false,"suffix":""},{"dropping-particle":"","family":"Galver (Project Leader)","given":"Luana M","non-dropping-particle":"","parse-names":false,"suffix":""},{"dropping-particle":"","family":"Fan","given":"Jian-Bing","non-dropping-particle":"","parse-names":false,"suffix":""},{"dropping-particle":"","family":"Gunderson","given":"Kevin","non-dropping-particle":"","parse-names":false,"suffix":""},{"dropping-particle":"","family":"Murray","given":"Sarah S","non-dropping-particle":"","parse-names":false,"suffix":""},{"dropping-particle":"","family":"Oliphant","given":"Arnold R","non-dropping-particle":"","parse-names":false,"suffix":""},{"dropping-particle":"","family":"Chee (Principal Investigator)","given":"Mark S","non-dropping-particle":"","parse-names":false,"suffix":""},{"dropping-particle":"","family":"Montpetit (Project Leader)","given":"Alexandre","non-dropping-particle":"","parse-names":false,"suffix":""},{"dropping-particle":"","family":"Chagnon","given":"Fanny","non-dropping-particle":"","parse-names":false,"suffix":""},{"dropping-particle":"","family":"Ferretti","given":"Vincent","non-dropping-particle":"","parse-names":false,"suffix":""},{"dropping-particle":"","family":"Leboeuf","given":"Martin","non-dropping-particle":"","parse-names":false,"suffix":""},{"dropping-particle":"","family":"Olivier","given":"Jean-François","non-dropping-particle":"","parse-names":false,"suffix":""},{"dropping-particle":"","family":"Phillips","given":"Michael S","non-dropping-particle":"","parse-names":false,"suffix":""},{"dropping-particle":"","family":"Roumy","given":"Stéphanie","non-dropping-particle":"","parse-names":false,"suffix":""},{"dropping-particle":"","family":"Sallée","given":"Clémentine","non-dropping-particle":"","parse-names":false,"suffix":""},{"dropping-particle":"","family":"Verner","given":"Andrei","non-dropping-particle":"","parse-names":false,"suffix":""},{"dropping-particle":"","family":"Hudson (Principal Investigator)","given":"Thomas J","non-dropping-particle":"","parse-names":false,"suffix":""},{"dropping-particle":"","family":"Kwok","given":"Pui-Yan","non-dropping-particle":"","parse-names":false,"suffix":""},{"dropping-particle":"","family":"Cai","given":"Dongmei","non-dropping-particle":"","parse-names":false,"suffix":""},{"dropping-particle":"","family":"Koboldt","given":"Daniel C","non-dropping-particle":"","parse-names":false,"suffix":""},{"dropping-particle":"","family":"Miller","given":"Raymond D","non-dropping-particle":"","parse-names":false,"suffix":""},{"dropping-particle":"","family":"Pawlikowska","given":"Ludmila","non-dropping-particle":"","parse-names":false,"suffix":""},{"dropping-particle":"","family":"Taillon-Miller","given":"Patricia","non-dropping-particle":"","parse-names":false,"suffix":""},{"dropping-particle":"","family":"Xiao","given":"Ming","non-dropping-particle":"","parse-names":false,"suffix":""},{"dropping-particle":"","family":"Tsui (Principal Investigator)","given":"Lap-Chee","non-dropping-particle":"","parse-names":false,"suffix":""},{"dropping-particle":"","family":"Mak","given":"William","non-dropping-particle":"","parse-names":false,"suffix":""},{"dropping-particle":"","family":"Qiang Song","given":"You","non-dropping-particle":"","parse-names":false,"suffix":""},{"dropping-particle":"","family":"Tam","given":"Paul K H","non-dropping-particle":"","parse-names":false,"suffix":""},{"dropping-particle":"","family":"Nakamura (Principal Investigator)","given":"Yusuke","non-dropping-particle":"","parse-names":false,"suffix":""},{"dropping-particle":"","family":"Kawaguchi","given":"Takahisa","non-dropping-particle":"","parse-names":false,"suffix":""},{"dropping-particle":"","family":"Kitamoto","given":"Takuya","non-dropping-particle":"","parse-names":false,"suffix":""},{"dropping-particle":"","family":"Morizono","given":"Takashi","non-dropping-particle":"","parse-names":false,"suffix":""},{"dropping-particle":"","family":"Nagashima","given":"Atsushi","non-dropping-particle":"","parse-names":false,"suffix":""},{"dropping-particle":"","family":"Ohnishi","given":"Yozo","non-dropping-particle":"","parse-names":false,"suffix":""},{"dropping-particle":"","family":"Sekine","given":"Akihiro","non-dropping-particle":"","parse-names":false,"suffix":""},{"dropping-particle":"","family":"Tanaka","given":"Toshihiro","non-dropping-particle":"","parse-names":false,"suffix":""},{"dropping-particle":"","family":"Tsunoda","given":"Tatsuhiko","non-dropping-particle":"","parse-names":false,"suffix":""},{"dropping-particle":"","family":"Deloukas (Project Leader)","given":"Panos","non-dropping-particle":"","parse-names":false,"suffix":""},{"dropping-particle":"","family":"Bird","given":"Christine P","non-dropping-particle":"","parse-names":false,"suffix":""},{"dropping-particle":"","family":"Delgado","given":"Marcos","non-dropping-particle":"","parse-names":false,"suffix":""},{"dropping-particle":"","family":"Dermitzakis","given":"Emmanouil T","non-dropping-particle":"","parse-names":false,"suffix":""},{"dropping-particle":"","family":"Gwilliam","given":"Rhian","non-dropping-particle":"","parse-names":false,"suffix":""},{"dropping-particle":"","family":"Hunt","given":"Sarah","non-dropping-particle":"","parse-names":false,"suffix":""},{"dropping-particle":"","family":"Morrison","given":"Jonathan","non-dropping-particle":"","parse-names":false,"suffix":""},{"dropping-particle":"","family":"Powell","given":"Don","non-dropping-particle":"","parse-names":false,"suffix":""},{"dropping-particle":"","family":"Stranger","given":"Barbara E","non-dropping-particle":"","parse-names":false,"suffix":""},{"dropping-particle":"","family":"Whittaker","given":"Pamela","non-dropping-particle":"","parse-names":false,"suffix":""},{"dropping-particle":"","family":"Bentley (Principal Investigator)","given":"David R","non-dropping-particle":"","parse-names":false,"suffix":""},{"dropping-particle":"","family":"Daly (Project Leader)","given":"Mark J","non-dropping-particle":"","parse-names":false,"suffix":""},{"dropping-particle":"","family":"Bakker","given":"Paul I W","non-dropping-particle":"de","parse-names":false,"suffix":""},{"dropping-particle":"","family":"Barrett","given":"Jeff","non-dropping-particle":"","parse-names":false,"suffix":""},{"dropping-particle":"","family":"Chretien","given":"Yves R","non-dropping-particle":"","parse-names":false,"suffix":""},{"dropping-particle":"","family":"Maller","given":"Julian","non-dropping-particle":"","parse-names":false,"suffix":""},{"dropping-particle":"","family":"McCarroll","given":"Steve","non-dropping-particle":"","parse-names":false,"suffix":""},{"dropping-particle":"","family":"Patterson","given":"Nick","non-dropping-particle":"","parse-names":false,"suffix":""},{"dropping-particle":"","family":"Pe’er","given":"Itsik","non-dropping-particle":"","parse-names":false,"suffix":""},{"dropping-particle":"","family":"Price","given":"Alkes","non-dropping-particle":"","parse-names":false,"suffix":""},{"dropping-particle":"","family":"Purcell","given":"Shaun","non-dropping-particle":"","parse-names":false,"suffix":""},{"dropping-particle":"","family":"Richter","given":"Daniel J","non-dropping-particle":"","parse-names":false,"suffix":""},{"dropping-particle":"","family":"Sabeti","given":"Pardis","non-dropping-particle":"","parse-names":false,"suffix":""},{"dropping-particle":"","family":"Saxena","given":"Richa","non-dropping-particle":"","parse-names":false,"suffix":""},{"dropping-particle":"","family":"Schaffner","given":"Stephen F","non-dropping-particle":"","parse-names":false,"suffix":""},{"dropping-particle":"","family":"Sham","given":"Pak C","non-dropping-particle":"","parse-names":false,"suffix":""},{"dropping-particle":"","family":"Varilly","given":"Patrick","non-dropping-particle":"","parse-names":false,"suffix":""},{"dropping-particle":"","family":"Altshuler (Principal Investigator)","given":"David","non-dropping-particle":"","parse-names":false,"suffix":""},{"dropping-particle":"","family":"Stein (Principal Investigator)","given":"Lincoln D","non-dropping-particle":"","parse-names":false,"suffix":""},{"dropping-particle":"","family":"Krishnan","given":"Lalitha","non-dropping-particle":"","parse-names":false,"suffix":""},{"dropping-particle":"","family":"Vernon Smith","given":"Albert","non-dropping-particle":"","parse-names":false,"suffix":""},{"dropping-particle":"","family":"Tello-Ruiz","given":"Marcela K","non-dropping-particle":"","parse-names":false,"suffix":""},{"dropping-particle":"","family":"Thorisson","given":"Gudmundur A","non-dropping-particle":"","parse-names":false,"suffix":""},{"dropping-particle":"","family":"Chakravarti","given":"Aravinda","non-dropping-particle":"","parse-names":false,"suffix":""},{"dropping-particle":"","family":"Chen","given":"Peter E","non-dropping-particle":"","parse-names":false,"suffix":""},{"dropping-particle":"","family":"Cutler","given":"David J","non-dropping-particle":"","parse-names":false,"suffix":""},{"dropping-particle":"","family":"Kashuk","given":"Carl S","non-dropping-particle":"","parse-names":false,"suffix":""},{"dropping-particle":"","family":"Lin","given":"Shin","non-dropping-particle":"","parse-names":false,"suffix":""},{"dropping-particle":"","family":"Abecasis (Principal Investigator)","given":"Gonçalo R","non-dropping-particle":"","parse-names":false,"suffix":""},{"dropping-particle":"","family":"Guan","given":"Weihua","non-dropping-particle":"","parse-names":false,"suffix":""},{"dropping-particle":"","family":"Li","given":"Yun","non-dropping-particle":"","parse-names":false,"suffix":""},{"dropping-particle":"","family":"Munro","given":"Heather M","non-dropping-particle":"","parse-names":false,"suffix":""},{"dropping-particle":"","family":"Qin","given":"Zhaohui Steve","non-dropping-particle":"","parse-names":false,"suffix":""},{"dropping-particle":"","family":"Thomas","given":"Daryl J","non-dropping-particle":"","parse-names":false,"suffix":""},{"dropping-particle":"","family":"McVean (Project Leader)","given":"Gilean","non-dropping-particle":"","parse-names":false,"suffix":""},{"dropping-particle":"","family":"Auton","given":"Adam","non-dropping-particle":"","parse-names":false,"suffix":""},{"dropping-particle":"","family":"Bottolo","given":"Leonardo","non-dropping-particle":"","parse-names":false,"suffix":""},{"dropping-particle":"","family":"Cardin","given":"Niall","non-dropping-particle":"","parse-names":false,"suffix":""},{"dropping-particle":"","family":"Eyheramendy","given":"Susana","non-dropping-particle":"","parse-names":false,"suffix":""},{"dropping-particle":"","family":"Freeman","given":"Colin","non-dropping-particle":"","parse-names":false,"suffix":""},{"dropping-particle":"","family":"Marchini","given":"Jonathan","non-dropping-particle":"","parse-names":false,"suffix":""},{"dropping-particle":"","family":"Myers","given":"Simon","non-dropping-particle":"","parse-names":false,"suffix":""},{"dropping-particle":"","family":"Spencer","given":"Chris","non-dropping-particle":"","parse-names":false,"suffix":""},{"dropping-particle":"","family":"Stephens","given":"Matthew","non-dropping-particle":"","parse-names":false,"suffix":""},{"dropping-particle":"","family":"Donnelly","given":"Peter","non-dropping-particle":"","parse-names":false,"suffix":""},{"dropping-particle":"","family":"Cardon (Principal Investigator)","given":"Lon R","non-dropping-particle":"","parse-names":false,"suffix":""},{"dropping-particle":"","family":"Clarke","given":"Geraldine","non-dropping-particle":"","parse-names":false,"suffix":""},{"dropping-particle":"","family":"Evans","given":"David M","non-dropping-particle":"","parse-names":false,"suffix":""},{"dropping-particle":"","family":"Morris","given":"Andrew P","non-dropping-particle":"","parse-names":false,"suffix":""},{"dropping-particle":"","family":"Weir","given":"Bruce S","non-dropping-particle":"","parse-names":false,"suffix":""},{"dropping-particle":"","family":"Tsunoda (Principal Investigator)","given":"Tatsuhiko","non-dropping-particle":"","parse-names":false,"suffix":""},{"dropping-particle":"","family":"Johnson","given":"Todd A","non-dropping-particle":"","parse-names":false,"suffix":""},{"dropping-particle":"","family":"Mullikin","given":"James C","non-dropping-particle":"","parse-names":false,"suffix":""},{"dropping-particle":"","family":"Sherry","given":"Stephen T","non-dropping-particle":"","parse-names":false,"suffix":""},{"dropping-particle":"","family":"Feolo","given":"Michael","non-dropping-particle":"","parse-names":false,"suffix":""},{"dropping-particle":"","family":"Skol","given":"Andrew","non-dropping-particle":"","parse-names":false,"suffix":""},{"dropping-particle":"","family":"Zhang","given":"Houcan","non-dropping-particle":"","parse-names":false,"suffix":""},{"dropping-particle":"","family":"Zeng","given":"Changqing","non-dropping-particle":"","parse-names":false,"suffix":""},{"dropping-particle":"","family":"Zhao","given":"Hui","non-dropping-particle":"","parse-names":false,"suffix":""},{"dropping-particle":"","family":"Matsuda (Principal Investigator)","given":"Ichiro","non-dropping-particle":"","parse-names":false,"suffix":""},{"dropping-particle":"","family":"Fukushima","given":"Yoshimitsu","non-dropping-particle":"","parse-names":false,"suffix":""},{"dropping-particle":"","family":"Macer","given":"Darryl R","non-dropping-particle":"","parse-names":false,"suffix":""},{"dropping-particle":"","family":"Suda","given":"Eiko","non-dropping-particle":"","parse-names":false,"suffix":""},{"dropping-particle":"","family":"Rotimi (Principal Investigator)","given":"Charles N","non-dropping-particle":"","parse-names":false,"suffix":""},{"dropping-particle":"","family":"Adebamowo","given":"Clement A","non-dropping-particle":"","parse-names":false,"suffix":""},{"dropping-particle":"","family":"Ajayi","given":"Ike","non-dropping-particle":"","parse-names":false,"suffix":""},{"dropping-particle":"","family":"Aniagwu","given":"Toyin","non-dropping-particle":"","parse-names":false,"suffix":""},{"dropping-particle":"","family":"Marshall","given":"Patricia A","non-dropping-particle":"","parse-names":false,"suffix":""},{"dropping-particle":"","family":"Nkwodimmah","given":"Chibuzor","non-dropping-particle":"","parse-names":false,"suffix":""},{"dropping-particle":"","family":"Royal","given":"Charmaine D M","non-dropping-particle":"","parse-names":false,"suffix":""},{"dropping-particle":"","family":"Leppert (Principal Investigator)","given":"Mark F","non-dropping-particle":"","parse-names":false,"suffix":""},{"dropping-particle":"","family":"Dixon","given":"Missy","non-dropping-particle":"","parse-names":false,"suffix":""},{"dropping-particle":"","family":"Peiffer","given":"Andy","non-dropping-particle":"","parse-names":false,"suffix":""},{"dropping-particle":"","family":"Qiu","given":"Renzong","non-dropping-particle":"","parse-names":false,"suffix":""},{"dropping-particle":"","family":"Kent","given":"Alastair","non-dropping-particle":"","parse-names":false,"suffix":""},{"dropping-particle":"","family":"Kato","given":"Kazuto","non-dropping-particle":"","parse-names":false,"suffix":""},{"dropping-particle":"","family":"Niikawa","given":"Norio","non-dropping-particle":"","parse-names":false,"suffix":""},{"dropping-particle":"","family":"Adewole","given":"Isaac F","non-dropping-particle":"","parse-names":false,"suffix":""},{"dropping-particle":"","family":"Knoppers","given":"Bartha M","non-dropping-particle":"","parse-names":false,"suffix":""},{"dropping-particle":"","family":"Foster","given":"Morris W","non-dropping-particle":"","parse-names":false,"suffix":""},{"dropping-particle":"","family":"Clayton","given":"Ellen Wright","non-dropping-particle":"","parse-names":false,"suffix":""},{"dropping-particle":"","family":"Watkin","given":"Jessica","non-dropping-particle":"","parse-names":false,"suffix":""},{"dropping-particle":"","family":"Gibbs (Principal Investigator)","given":"Richard A","non-dropping-particle":"","parse-names":false,"suffix":""},{"dropping-particle":"","family":"Belmont","given":"John W","non-dropping-particle":"","parse-names":false,"suffix":""},{"dropping-particle":"","family":"Muzny","given":"Donna","non-dropping-particle":"","parse-names":false,"suffix":""},{"dropping-particle":"","family":"Nazareth","given":"Lynne","non-dropping-particle":"","parse-names":false,"suffix":""},{"dropping-particle":"","family":"Sodergren","given":"Erica","non-dropping-particle":"","parse-names":false,"suffix":""},{"dropping-particle":"","family":"Weinstock","given":"George M","non-dropping-particle":"","parse-names":false,"suffix":""},{"dropping-particle":"","family":"Wheeler","given":"David A","non-dropping-particle":"","parse-names":false,"suffix":""},{"dropping-particle":"","family":"Yakub","given":"Imtaz","non-dropping-particle":"","parse-names":false,"suffix":""},{"dropping-particle":"","family":"Gabriel (Project Leader)","given":"Stacey B","non-dropping-particle":"","parse-names":false,"suffix":""},{"dropping-particle":"","family":"Onofrio","given":"Robert C","non-dropping-particle":"","parse-names":false,"suffix":""},{"dropping-particle":"","family":"Richter","given":"Daniel J","non-dropping-particle":"","parse-names":false,"suffix":""},{"dropping-particle":"","family":"Ziaugra","given":"Liuda","non-dropping-particle":"","parse-names":false,"suffix":""},{"dropping-particle":"","family":"Birren","given":"Bruce W","non-dropping-particle":"","parse-names":false,"suffix":""},{"dropping-particle":"","family":"Daly","given":"Mark J","non-dropping-particle":"","parse-names":false,"suffix":""},{"dropping-particle":"","family":"Altshuler (Principal Investigator)","given":"David","non-dropping-particle":"","parse-names":false,"suffix":""},{"dropping-particle":"","family":"Wilson","given":"Richard K","non-dropping-particle":"","parse-names":false,"suffix":""},{"dropping-particle":"","family":"Fulton","given":"Lucinda L","non-dropping-particle":"","parse-names":false,"suffix":""},{"dropping-particle":"","family":"Rogers (Principal Investigator)","given":"Jane","non-dropping-particle":"","parse-names":false,"suffix":""},{"dropping-particle":"","family":"Burton","given":"John","non-dropping-particle":"","parse-names":false,"suffix":""},{"dropping-particle":"","family":"Carter","given":"Nigel P","non-dropping-particle":"","parse-names":false,"suffix":""},{"dropping-particle":"","family":"Clee","given":"Christopher M","non-dropping-particle":"","parse-names":false,"suffix":""},{"dropping-particle":"","family":"Griffiths","given":"Mark","non-dropping-particle":"","parse-names":false,"suffix":""},{"dropping-particle":"","family":"Jones","given":"Matthew C","non-dropping-particle":"","parse-names":false,"suffix":""},{"dropping-particle":"","family":"McLay","given":"Kirsten","non-dropping-particle":"","parse-names":false,"suffix":""},{"dropping-particle":"","family":"Plumb","given":"Robert W","non-dropping-particle":"","parse-names":false,"suffix":""},{"dropping-particle":"","family":"Ross","given":"Mark T","non-dropping-particle":"","parse-names":false,"suffix":""},{"dropping-particle":"","family":"Sims","given":"Sarah K","non-dropping-particle":"","parse-names":false,"suffix":""},{"dropping-particle":"","family":"Willey","given":"David L","non-dropping-particle":"","parse-names":false,"suffix":""},{"dropping-particle":"","family":"Chen","given":"Zhu","non-dropping-particle":"","parse-names":false,"suffix":""},{"dropping-particle":"","family":"Han","given":"Hua","non-dropping-particle":"","parse-names":false,"suffix":""},{"dropping-particle":"","family":"Kang","given":"Le","non-dropping-particle":"","parse-names":false,"suffix":""},{"dropping-particle":"","family":"Godbout","given":"Martin","non-dropping-particle":"","parse-names":false,"suffix":""},{"dropping-particle":"","family":"Wallenburg","given":"John C","non-dropping-particle":"","parse-names":false,"suffix":""},{"dropping-particle":"","family":"L'Archevêque","given":"Paul","non-dropping-particle":"","parse-names":false,"suffix":""},{"dropping-particle":"","family":"Bellemare","given":"Guy","non-dropping-particle":"","parse-names":false,"suffix":""},{"dropping-particle":"","family":"Saeki","given":"Koji","non-dropping-particle":"","parse-names":false,"suffix":""},{"dropping-particle":"","family":"Wang","given":"Hongguang","non-dropping-particle":"","parse-names":false,"suffix":""},{"dropping-particle":"","family":"An","given":"Daochang","non-dropping-particle":"","parse-names":false,"suffix":""},{"dropping-particle":"","family":"Fu","given":"Hongbo","non-dropping-particle":"","parse-names":false,"suffix":""},{"dropping-particle":"","family":"Li","given":"Qing","non-dropping-particle":"","parse-names":false,"suffix":""},{"dropping-particle":"","family":"Wang","given":"Zhen","non-dropping-particle":"","parse-names":false,"suffix":""},{"dropping-particle":"","family":"Wang","given":"Renwu","non-dropping-particle":"","parse-names":false,"suffix":""},{"dropping-particle":"","family":"Holden","given":"Arthur L","non-dropping-particle":"","parse-names":false,"suffix":""},{"dropping-particle":"","family":"Brooks","given":"Lisa D","non-dropping-particle":"","parse-names":false,"suffix":""},{"dropping-particle":"","family":"McEwen","given":"Jean E","non-dropping-particle":"","parse-names":false,"suffix":""},{"dropping-particle":"","family":"Guyer","given":"Mark S","non-dropping-particle":"","parse-names":false,"suffix":""},{"dropping-particle":"","family":"Ota Wang","given":"Vivian","non-dropping-particle":"","parse-names":false,"suffix":""},{"dropping-particle":"","family":"Peterson","given":"Jane L","non-dropping-particle":"","parse-names":false,"suffix":""},{"dropping-particle":"","family":"Shi","given":"Michael","non-dropping-particle":"","parse-names":false,"suffix":""},{"dropping-particle":"","family":"Spiegel","given":"Jack","non-dropping-particle":"","parse-names":false,"suffix":""},{"dropping-particle":"","family":"Sung","given":"Lawrence M","non-dropping-particle":"","parse-names":false,"suffix":""},{"dropping-particle":"","family":"Zacharia","given":"Lynn F","non-dropping-particle":"","parse-names":false,"suffix":""},{"dropping-particle":"","family":"Collins","given":"Francis S","non-dropping-particle":"","parse-names":false,"suffix":""},{"dropping-particle":"","family":"Kennedy","given":"Karen","non-dropping-particle":"","parse-names":false,"suffix":""},{"dropping-particle":"","family":"Jamieson","given":"Ruth","non-dropping-particle":"","parse-names":false,"suffix":""},{"dropping-particle":"","family":"Stewart","given":"John","non-dropping-particle":"","parse-names":false,"suffix":""}],"container-title":"Nature","id":"ITEM-1","issued":{"date-parts":[["2007","10","18"]]},"page":"913","publisher":"Nature Publishing Group","title":"Genome-wide detection and characterization of positive selection in human populations","type":"article-journal","volume":"449"},"uris":["http://www.mendeley.com/documents/?uuid=8b70daba-d279-4bfd-ab1c-42530c80f215"]}],"mendeley":{"formattedCitation":"&lt;sup&gt;21&lt;/sup&gt;","plainTextFormattedCitation":"21","previouslyFormattedCitation":"&lt;sup&gt;21&lt;/sup&gt;"},"properties":{"noteIndex":0},"schema":"https://github.com/citation-style-language/schema/raw/master/csl-citation.json"}</w:instrText>
      </w:r>
      <w:r w:rsidRPr="007C2683">
        <w:fldChar w:fldCharType="separate"/>
      </w:r>
      <w:r w:rsidR="00614476" w:rsidRPr="007C2683">
        <w:rPr>
          <w:noProof/>
          <w:vertAlign w:val="superscript"/>
        </w:rPr>
        <w:t>21</w:t>
      </w:r>
      <w:r w:rsidRPr="007C2683">
        <w:fldChar w:fldCharType="end"/>
      </w:r>
      <w:r w:rsidRPr="007C2683">
        <w:t xml:space="preserve"> from 1142 wild caught </w:t>
      </w:r>
      <w:r w:rsidRPr="007C2683">
        <w:rPr>
          <w:i/>
        </w:rPr>
        <w:t>An. gambiae</w:t>
      </w:r>
      <w:r w:rsidRPr="007C2683">
        <w:t xml:space="preserve"> </w:t>
      </w:r>
      <w:r w:rsidRPr="007C2683">
        <w:fldChar w:fldCharType="begin" w:fldLock="1"/>
      </w:r>
      <w:r w:rsidR="004A113F" w:rsidRPr="007C2683">
        <w:instrText>ADDIN CSL_CITATION {"citationItems":[{"id":"ITEM-1","itemData":{"ISSN":"1476-4687","author":[{"dropping-particle":"","family":"Consortium","given":"Anopheles gambiae 1000 Genomes","non-dropping-particle":"","parse-names":false,"suffix":""}],"container-title":"Nature","id":"ITEM-1","issue":"7683","issued":{"date-parts":[["2017"]]},"page":"96","publisher":"Nature Publishing Group","title":"Genetic diversity of the African malaria vector Anopheles gambiae","type":"article-journal","volume":"552"},"uris":["http://www.mendeley.com/documents/?uuid=ddd6f0d0-4f86-49a9-9c5c-77a65c70c74b"]}],"mendeley":{"formattedCitation":"&lt;sup&gt;19&lt;/sup&gt;","plainTextFormattedCitation":"19","previouslyFormattedCitation":"&lt;sup&gt;19&lt;/sup&gt;"},"properties":{"noteIndex":0},"schema":"https://github.com/citation-style-language/schema/raw/master/csl-citation.json"}</w:instrText>
      </w:r>
      <w:r w:rsidRPr="007C2683">
        <w:fldChar w:fldCharType="separate"/>
      </w:r>
      <w:bookmarkStart w:id="0" w:name="__Fieldmark__816_1414547690"/>
      <w:r w:rsidR="00614476" w:rsidRPr="007C2683">
        <w:rPr>
          <w:noProof/>
          <w:vertAlign w:val="superscript"/>
        </w:rPr>
        <w:t>19</w:t>
      </w:r>
      <w:r w:rsidRPr="007C2683">
        <w:fldChar w:fldCharType="end"/>
      </w:r>
      <w:bookmarkEnd w:id="0"/>
      <w:r w:rsidRPr="007C2683">
        <w:t xml:space="preserve"> in the region surrounding the CSP cluster on chromosome 3R (Figure </w:t>
      </w:r>
      <w:r w:rsidR="00FE1605" w:rsidRPr="007C2683">
        <w:t>3</w:t>
      </w:r>
      <w:r w:rsidRPr="007C2683">
        <w:t xml:space="preserve">B). Evidence for a selective sweep at this locus was observed in </w:t>
      </w:r>
      <w:r w:rsidRPr="007C2683">
        <w:rPr>
          <w:i/>
        </w:rPr>
        <w:t xml:space="preserve">An. gambiae </w:t>
      </w:r>
      <w:r w:rsidRPr="007C2683">
        <w:t xml:space="preserve">from Guinea and Burkina Faso. </w:t>
      </w:r>
      <w:r w:rsidR="00D4110E" w:rsidRPr="007C2683">
        <w:t>T</w:t>
      </w:r>
      <w:r w:rsidRPr="007C2683">
        <w:t>he swept haplotype is present at low frequency</w:t>
      </w:r>
      <w:r w:rsidR="00D4110E" w:rsidRPr="007C2683">
        <w:t xml:space="preserve"> but </w:t>
      </w:r>
      <w:r w:rsidRPr="007C2683">
        <w:t xml:space="preserve">there is evidence of haplotype sharing between Guinea, Burkina Faso and Cameroon. We next identified SNPs diagnostic of the derived haplotype in this selective sweep </w:t>
      </w:r>
      <w:r w:rsidR="005B18ED" w:rsidRPr="007C2683">
        <w:t xml:space="preserve">(Figure </w:t>
      </w:r>
      <w:r w:rsidR="00FE1605" w:rsidRPr="007C2683">
        <w:t>3</w:t>
      </w:r>
      <w:r w:rsidR="005B18ED" w:rsidRPr="007C2683">
        <w:t xml:space="preserve">B) </w:t>
      </w:r>
      <w:r w:rsidRPr="007C2683">
        <w:t xml:space="preserve">and sequenced this region in individual mosquitoes collected from the </w:t>
      </w:r>
      <w:proofErr w:type="spellStart"/>
      <w:r w:rsidRPr="007C2683">
        <w:t>Banfora</w:t>
      </w:r>
      <w:proofErr w:type="spellEnd"/>
      <w:r w:rsidRPr="007C2683">
        <w:t xml:space="preserve"> region of Burkina Faso from 2011 to 2018. This haplotype was stable in frequency in </w:t>
      </w:r>
      <w:r w:rsidRPr="007C2683">
        <w:rPr>
          <w:i/>
        </w:rPr>
        <w:t xml:space="preserve">An. gambiae </w:t>
      </w:r>
      <w:proofErr w:type="spellStart"/>
      <w:r w:rsidRPr="007C2683">
        <w:t>s.s</w:t>
      </w:r>
      <w:r w:rsidR="00D4110E" w:rsidRPr="007C2683">
        <w:t>.</w:t>
      </w:r>
      <w:proofErr w:type="spellEnd"/>
      <w:r w:rsidRPr="007C2683">
        <w:t xml:space="preserve">, indicating that this sweep occurred before the Anopheles 1000 genomes collections in 2012 and pre-dating our collection dates (Figure </w:t>
      </w:r>
      <w:r w:rsidR="00FE1605" w:rsidRPr="007C2683">
        <w:t>3</w:t>
      </w:r>
      <w:r w:rsidRPr="007C2683">
        <w:t>C</w:t>
      </w:r>
      <w:r w:rsidR="002F09BE" w:rsidRPr="007C2683">
        <w:t xml:space="preserve">; </w:t>
      </w:r>
      <w:r w:rsidR="000D2AFB">
        <w:t>Supplementary</w:t>
      </w:r>
      <w:r w:rsidR="002F09BE" w:rsidRPr="007C2683">
        <w:t xml:space="preserve"> Table</w:t>
      </w:r>
      <w:r w:rsidR="00857012">
        <w:t xml:space="preserve"> </w:t>
      </w:r>
      <w:r w:rsidR="000D2AFB">
        <w:t>1</w:t>
      </w:r>
      <w:r w:rsidRPr="007C2683">
        <w:t xml:space="preserve">). Conversely, </w:t>
      </w:r>
      <w:r w:rsidRPr="007C2683">
        <w:rPr>
          <w:i/>
        </w:rPr>
        <w:t xml:space="preserve">An. </w:t>
      </w:r>
      <w:proofErr w:type="spellStart"/>
      <w:r w:rsidRPr="007C2683">
        <w:rPr>
          <w:i/>
        </w:rPr>
        <w:t>coluzzii</w:t>
      </w:r>
      <w:proofErr w:type="spellEnd"/>
      <w:r w:rsidRPr="007C2683">
        <w:rPr>
          <w:i/>
        </w:rPr>
        <w:t xml:space="preserve"> </w:t>
      </w:r>
      <w:r w:rsidRPr="007C2683">
        <w:t xml:space="preserve">samples collected from 2011 to 2018 showed a large increase in frequency of the SNPs associated with the sweep (Figure </w:t>
      </w:r>
      <w:r w:rsidR="00FE1605" w:rsidRPr="007C2683">
        <w:t>3</w:t>
      </w:r>
      <w:r w:rsidRPr="007C2683">
        <w:t>C</w:t>
      </w:r>
      <w:r w:rsidR="002F09BE" w:rsidRPr="007C2683">
        <w:t xml:space="preserve">; </w:t>
      </w:r>
      <w:r w:rsidR="00857012">
        <w:t>Supplementary Table 1</w:t>
      </w:r>
      <w:r w:rsidRPr="007C2683">
        <w:t>) and this corresponded with a sharp increase in the prevalence of pyrethroid resistance occurring over this time period (Extended</w:t>
      </w:r>
      <w:r w:rsidR="0019420D">
        <w:t xml:space="preserve"> Data</w:t>
      </w:r>
      <w:r w:rsidRPr="007C2683">
        <w:t xml:space="preserve"> Figure </w:t>
      </w:r>
      <w:r w:rsidR="002F09BE" w:rsidRPr="007C2683">
        <w:t>8</w:t>
      </w:r>
      <w:r w:rsidRPr="007C2683">
        <w:t>).</w:t>
      </w:r>
    </w:p>
    <w:p w14:paraId="0EF7FB38" w14:textId="4F644BC0" w:rsidR="00B3393D" w:rsidRPr="00843899" w:rsidRDefault="00B3393D" w:rsidP="00501B94">
      <w:pPr>
        <w:pStyle w:val="PlainText"/>
        <w:rPr>
          <w:b/>
          <w:bCs/>
          <w:iCs/>
        </w:rPr>
      </w:pPr>
      <w:r w:rsidRPr="00843899">
        <w:rPr>
          <w:b/>
          <w:bCs/>
          <w:iCs/>
        </w:rPr>
        <w:t>Discussion</w:t>
      </w:r>
    </w:p>
    <w:p w14:paraId="2EA02A5C" w14:textId="77777777" w:rsidR="00BF60DF" w:rsidRPr="007C2683" w:rsidRDefault="00BF60DF" w:rsidP="00501B94">
      <w:pPr>
        <w:pStyle w:val="PlainText"/>
      </w:pPr>
    </w:p>
    <w:p w14:paraId="55B0A84D" w14:textId="09826374" w:rsidR="000E331E" w:rsidRDefault="00E05322">
      <w:r w:rsidRPr="007C2683">
        <w:t xml:space="preserve">Our results show that </w:t>
      </w:r>
      <w:r w:rsidRPr="007C2683">
        <w:rPr>
          <w:i/>
        </w:rPr>
        <w:t>SAP2</w:t>
      </w:r>
      <w:r w:rsidRPr="007C2683">
        <w:t xml:space="preserve">, a </w:t>
      </w:r>
      <w:r w:rsidR="004D15C6" w:rsidRPr="007C2683">
        <w:t xml:space="preserve">chemosensory </w:t>
      </w:r>
      <w:r w:rsidRPr="007C2683">
        <w:t>protein with no previous known</w:t>
      </w:r>
      <w:r w:rsidR="008B12A0" w:rsidRPr="007C2683">
        <w:t xml:space="preserve"> </w:t>
      </w:r>
      <w:r w:rsidRPr="007C2683">
        <w:t>function</w:t>
      </w:r>
      <w:r w:rsidR="00B3393D">
        <w:t xml:space="preserve"> in insecticide resistance</w:t>
      </w:r>
      <w:r w:rsidRPr="007C2683">
        <w:t xml:space="preserve">, has a </w:t>
      </w:r>
      <w:r w:rsidR="003D5749" w:rsidRPr="007C2683">
        <w:t xml:space="preserve">key </w:t>
      </w:r>
      <w:r w:rsidRPr="007C2683">
        <w:t xml:space="preserve">role in conferring pyrethroid resistance in the </w:t>
      </w:r>
      <w:r w:rsidRPr="007C2683">
        <w:rPr>
          <w:i/>
        </w:rPr>
        <w:t xml:space="preserve">An. gambiae </w:t>
      </w:r>
      <w:r w:rsidRPr="007C2683">
        <w:t>species complex via the binding of insecticides at the first point of</w:t>
      </w:r>
      <w:r w:rsidR="00B56779" w:rsidRPr="007C2683">
        <w:t xml:space="preserve"> mosquito contact with bednets</w:t>
      </w:r>
      <w:r w:rsidRPr="007C2683">
        <w:rPr>
          <w:i/>
        </w:rPr>
        <w:t xml:space="preserve">. </w:t>
      </w:r>
      <w:r w:rsidR="003D0324" w:rsidRPr="007C2683">
        <w:t xml:space="preserve">When elevated </w:t>
      </w:r>
      <w:r w:rsidR="003D0324" w:rsidRPr="007C2683">
        <w:rPr>
          <w:i/>
          <w:iCs/>
        </w:rPr>
        <w:t xml:space="preserve">SAP2 </w:t>
      </w:r>
      <w:r w:rsidR="003D0324" w:rsidRPr="007C2683">
        <w:t>expression was introduced into an otherwise susceptible background, the transgenic line w</w:t>
      </w:r>
      <w:r w:rsidR="00E741B9" w:rsidRPr="007C2683">
        <w:t>as</w:t>
      </w:r>
      <w:r w:rsidR="003D0324" w:rsidRPr="007C2683">
        <w:t xml:space="preserve"> more resistant to pyrethroids but the phenotype was less dramatic than seen in the </w:t>
      </w:r>
      <w:r w:rsidR="003D0324" w:rsidRPr="007C2683">
        <w:rPr>
          <w:i/>
          <w:iCs/>
        </w:rPr>
        <w:t>SAP2</w:t>
      </w:r>
      <w:r w:rsidR="003D0324" w:rsidRPr="007C2683">
        <w:t xml:space="preserve"> </w:t>
      </w:r>
      <w:r w:rsidR="00340644" w:rsidRPr="007C2683">
        <w:t xml:space="preserve">knock down </w:t>
      </w:r>
      <w:r w:rsidR="003D0324" w:rsidRPr="007C2683">
        <w:t xml:space="preserve">lines, perhaps indicating that </w:t>
      </w:r>
      <w:r w:rsidR="003D0324" w:rsidRPr="007C2683">
        <w:rPr>
          <w:i/>
          <w:iCs/>
        </w:rPr>
        <w:t>SAP2</w:t>
      </w:r>
      <w:r w:rsidR="003D0324" w:rsidRPr="007C2683">
        <w:t xml:space="preserve"> acts in conjunction with other resistance mechanism to provide </w:t>
      </w:r>
      <w:r w:rsidR="003D0324" w:rsidRPr="007C2683">
        <w:lastRenderedPageBreak/>
        <w:t xml:space="preserve">an additive effect. </w:t>
      </w:r>
      <w:r w:rsidRPr="007C2683">
        <w:t xml:space="preserve">Given </w:t>
      </w:r>
      <w:r w:rsidR="00F57A04" w:rsidRPr="007C2683">
        <w:t xml:space="preserve">its </w:t>
      </w:r>
      <w:r w:rsidR="00796B63" w:rsidRPr="007C2683">
        <w:t>strong</w:t>
      </w:r>
      <w:r w:rsidRPr="007C2683">
        <w:t xml:space="preserve"> binding to pyrethroid insecticides, </w:t>
      </w:r>
      <w:r w:rsidR="003D5749" w:rsidRPr="007C2683">
        <w:t>it is possible</w:t>
      </w:r>
      <w:r w:rsidR="00AB7775" w:rsidRPr="007C2683">
        <w:t xml:space="preserve"> that </w:t>
      </w:r>
      <w:r w:rsidR="00F57A04" w:rsidRPr="007C2683">
        <w:rPr>
          <w:i/>
        </w:rPr>
        <w:t>SAP2</w:t>
      </w:r>
      <w:r w:rsidR="00F57A04" w:rsidRPr="007C2683">
        <w:t xml:space="preserve"> acts</w:t>
      </w:r>
      <w:r w:rsidR="00AB7775" w:rsidRPr="007C2683">
        <w:t xml:space="preserve"> by</w:t>
      </w:r>
      <w:r w:rsidR="00D235E3" w:rsidRPr="007C2683">
        <w:t xml:space="preserve"> </w:t>
      </w:r>
      <w:r w:rsidRPr="007C2683">
        <w:t>sequestering the insecticide directly</w:t>
      </w:r>
      <w:r w:rsidR="00F57A04" w:rsidRPr="007C2683">
        <w:t xml:space="preserve">, </w:t>
      </w:r>
      <w:r w:rsidR="003D5749" w:rsidRPr="007C2683">
        <w:t xml:space="preserve">thereby </w:t>
      </w:r>
      <w:r w:rsidR="00F57A04" w:rsidRPr="007C2683">
        <w:t>either</w:t>
      </w:r>
      <w:r w:rsidRPr="007C2683">
        <w:t xml:space="preserve"> </w:t>
      </w:r>
      <w:r w:rsidR="00F57A04" w:rsidRPr="007C2683">
        <w:t xml:space="preserve">preventing insecticide function on the </w:t>
      </w:r>
      <w:r w:rsidRPr="007C2683">
        <w:t xml:space="preserve">nervous system </w:t>
      </w:r>
      <w:r w:rsidR="00F57A04" w:rsidRPr="007C2683">
        <w:t>or</w:t>
      </w:r>
      <w:r w:rsidRPr="007C2683">
        <w:t xml:space="preserve"> facilitat</w:t>
      </w:r>
      <w:r w:rsidR="00F57A04" w:rsidRPr="007C2683">
        <w:t>ing its</w:t>
      </w:r>
      <w:r w:rsidRPr="007C2683">
        <w:t xml:space="preserve"> detoxification. </w:t>
      </w:r>
      <w:r w:rsidR="00F57A04" w:rsidRPr="007C2683">
        <w:t>Crucially</w:t>
      </w:r>
      <w:r w:rsidRPr="007C2683">
        <w:t xml:space="preserve">, longitudinal sequencing of field samples and available transcriptomic data from </w:t>
      </w:r>
      <w:r w:rsidR="00D250B1" w:rsidRPr="007C2683">
        <w:t>wild</w:t>
      </w:r>
      <w:r w:rsidRPr="007C2683">
        <w:t xml:space="preserve"> collections show that this mechanism is being selected for in multiple countries in West Africa</w:t>
      </w:r>
      <w:r w:rsidR="00F57A04" w:rsidRPr="007C2683">
        <w:t>,</w:t>
      </w:r>
      <w:r w:rsidRPr="007C2683">
        <w:t xml:space="preserve"> highlighting </w:t>
      </w:r>
      <w:r w:rsidR="00F57A04" w:rsidRPr="007C2683">
        <w:t>its relevance</w:t>
      </w:r>
      <w:r w:rsidRPr="007C2683">
        <w:t xml:space="preserve"> in field setting</w:t>
      </w:r>
      <w:r w:rsidR="00F57A04" w:rsidRPr="007C2683">
        <w:t>s</w:t>
      </w:r>
      <w:r w:rsidR="00340644" w:rsidRPr="007C2683">
        <w:t xml:space="preserve">. </w:t>
      </w:r>
      <w:r w:rsidR="00937FB5" w:rsidRPr="007C2683">
        <w:t xml:space="preserve">Nationwide distribution </w:t>
      </w:r>
      <w:r w:rsidR="00F57A04" w:rsidRPr="007C2683">
        <w:t xml:space="preserve">of </w:t>
      </w:r>
      <w:r w:rsidR="00937FB5" w:rsidRPr="007C2683">
        <w:t>LLINs has not impacted malaria transmission in Burkina Faso, where cases continue to rise annually</w:t>
      </w:r>
      <w:r w:rsidR="002C38A3" w:rsidRPr="007C2683">
        <w:t xml:space="preserve"> </w:t>
      </w:r>
      <w:r w:rsidR="002C38A3" w:rsidRPr="007C2683">
        <w:fldChar w:fldCharType="begin" w:fldLock="1"/>
      </w:r>
      <w:r w:rsidR="006E6A8C" w:rsidRPr="007C2683">
        <w:instrText>ADDIN CSL_CITATION {"citationItems":[{"id":"ITEM-1","itemData":{"DOI":"10.1038/s41598-018-31117-x","ISSN":"2045-2322","abstract":"Despite the effectiveness of mass distribution of long-lasting insecticidal nets (LLINs) in reducing malaria transmission in Africa, in hyperendemic areas such as Burkina Faso the burden of malaria remains high. We here report the results of a 4-month survey on the feeding habits and Plasmodium infection in malaria vectors from a village in Burkina Faso one year following a national LLIN distribution programme. Low values of human blood index (HBI) observed in the major malaria vectors in the area (Anopheles coluzzii: N = 263, 20.1%; An. arabiensis: 5.8%, N = 103) are consistent with the hypothesis that LLINs reduced the availability of human hosts to mosquitoes. A regression meta-analysis of data from a systematic review of published studies reporting HBI and sporozoite rates (SR) for An. gambiae complex revealed that the observed SR values (An. coluzzii: 7.6%, N = 503; An. arabiensis: 5.3%, N = 225) are out of the ranges expected based on the low HBI observed. We hypothesize that a small fraction of inhabitants unprotected by bednets acts as a “core group” repeatedly exposed to mosquito bites, representing the major Plasmodium reservoir for the vectors, able to maintain a high risk of transmission even in a village protected by LLINs.","author":[{"dropping-particle":"","family":"Pombi","given":"Marco","non-dropping-particle":"","parse-names":false,"suffix":""},{"dropping-particle":"","family":"Calzetta","given":"Maria","non-dropping-particle":"","parse-names":false,"suffix":""},{"dropping-particle":"","family":"Guelbeogo","given":"Wamdaogo M","non-dropping-particle":"","parse-names":false,"suffix":""},{"dropping-particle":"","family":"Manica","given":"Mattia","non-dropping-particle":"","parse-names":false,"suffix":""},{"dropping-particle":"","family":"Perugini","given":"Eleonora","non-dropping-particle":"","parse-names":false,"suffix":""},{"dropping-particle":"","family":"Pichler","given":"Verena","non-dropping-particle":"","parse-names":false,"suffix":""},{"dropping-particle":"","family":"Mancini","given":"Emiliano","non-dropping-particle":"","parse-names":false,"suffix":""},{"dropping-particle":"","family":"Sagnon","given":"N’Fale","non-dropping-particle":"","parse-names":false,"suffix":""},{"dropping-particle":"","family":"Ranson","given":"Hilary","non-dropping-particle":"","parse-names":false,"suffix":""},{"dropping-particle":"","family":"Torre","given":"Alessandra","non-dropping-particle":"della","parse-names":false,"suffix":""}],"container-title":"Scientific Reports","id":"ITEM-1","issue":"1","issued":{"date-parts":[["2018"]]},"page":"12806","title":"Unexpectedly high Plasmodium sporozoite rate associated with low human blood index in Anopheles coluzzii from a LLIN-protected village in Burkina Faso","type":"article-journal","volume":"8"},"uris":["http://www.mendeley.com/documents/?uuid=e0ff0edc-0a2b-4fd9-b81c-4545bcd14ff8"]}],"mendeley":{"formattedCitation":"&lt;sup&gt;22&lt;/sup&gt;","plainTextFormattedCitation":"22","previouslyFormattedCitation":"&lt;sup&gt;22&lt;/sup&gt;"},"properties":{"noteIndex":0},"schema":"https://github.com/citation-style-language/schema/raw/master/csl-citation.json"}</w:instrText>
      </w:r>
      <w:r w:rsidR="002C38A3" w:rsidRPr="007C2683">
        <w:fldChar w:fldCharType="separate"/>
      </w:r>
      <w:r w:rsidR="00787662" w:rsidRPr="007C2683">
        <w:rPr>
          <w:noProof/>
          <w:vertAlign w:val="superscript"/>
        </w:rPr>
        <w:t>22</w:t>
      </w:r>
      <w:r w:rsidR="002C38A3" w:rsidRPr="007C2683">
        <w:fldChar w:fldCharType="end"/>
      </w:r>
      <w:r w:rsidR="002C38A3" w:rsidRPr="007C2683">
        <w:t>.</w:t>
      </w:r>
      <w:r w:rsidR="00937FB5" w:rsidRPr="007C2683">
        <w:t xml:space="preserve">  </w:t>
      </w:r>
      <w:r w:rsidR="00E877D7" w:rsidRPr="007C2683">
        <w:t xml:space="preserve">Our finding </w:t>
      </w:r>
      <w:r w:rsidR="00937FB5" w:rsidRPr="007C2683">
        <w:t>of a potent new mechanism</w:t>
      </w:r>
      <w:r w:rsidR="003D5749" w:rsidRPr="007C2683">
        <w:t xml:space="preserve"> that has rapidly swept across </w:t>
      </w:r>
      <w:r w:rsidR="00246CE1" w:rsidRPr="007C2683">
        <w:t>A</w:t>
      </w:r>
      <w:r w:rsidR="003D5749" w:rsidRPr="007C2683">
        <w:t xml:space="preserve">nopheline populations in this region </w:t>
      </w:r>
      <w:r w:rsidR="00D65331" w:rsidRPr="007C2683">
        <w:t xml:space="preserve">will help address the contribution of </w:t>
      </w:r>
      <w:r w:rsidR="003D5749" w:rsidRPr="007C2683">
        <w:t xml:space="preserve">insecticide </w:t>
      </w:r>
      <w:r w:rsidR="00D65331" w:rsidRPr="007C2683">
        <w:t>resistance to the persistence of malaria</w:t>
      </w:r>
      <w:r w:rsidR="003D5749" w:rsidRPr="007C2683">
        <w:t>,</w:t>
      </w:r>
      <w:r w:rsidR="00E877D7" w:rsidRPr="007C2683">
        <w:t xml:space="preserve"> while</w:t>
      </w:r>
      <w:r w:rsidR="003D5749" w:rsidRPr="007C2683">
        <w:t xml:space="preserve"> the identification of the corresponding SNP</w:t>
      </w:r>
      <w:r w:rsidR="00E877D7" w:rsidRPr="007C2683">
        <w:t>s</w:t>
      </w:r>
      <w:r w:rsidR="003D5749" w:rsidRPr="007C2683">
        <w:t xml:space="preserve"> </w:t>
      </w:r>
      <w:r w:rsidR="00E877D7" w:rsidRPr="007C2683">
        <w:t>will facilitate</w:t>
      </w:r>
      <w:r w:rsidR="003D5749" w:rsidRPr="007C2683">
        <w:t xml:space="preserve"> track</w:t>
      </w:r>
      <w:r w:rsidR="00E877D7" w:rsidRPr="007C2683">
        <w:t>ing</w:t>
      </w:r>
      <w:r w:rsidR="003D5749" w:rsidRPr="007C2683">
        <w:t xml:space="preserve"> its spread</w:t>
      </w:r>
      <w:r w:rsidR="00D65331" w:rsidRPr="007C2683">
        <w:t>.</w:t>
      </w:r>
      <w:r w:rsidR="005E5627" w:rsidRPr="007C2683">
        <w:t xml:space="preserve"> </w:t>
      </w:r>
      <w:r w:rsidR="00235C47" w:rsidRPr="007C2683">
        <w:t>F</w:t>
      </w:r>
      <w:r w:rsidR="00DF3D46" w:rsidRPr="007C2683">
        <w:t>i</w:t>
      </w:r>
      <w:r w:rsidR="00235C47" w:rsidRPr="007C2683">
        <w:t>nally</w:t>
      </w:r>
      <w:r w:rsidR="005E5627" w:rsidRPr="007C2683">
        <w:t>, the identification of this</w:t>
      </w:r>
      <w:r w:rsidR="00D65331" w:rsidRPr="007C2683">
        <w:t xml:space="preserve"> </w:t>
      </w:r>
      <w:r w:rsidR="00E877D7" w:rsidRPr="007C2683">
        <w:t>novel</w:t>
      </w:r>
      <w:r w:rsidR="002271D8" w:rsidRPr="007C2683">
        <w:t xml:space="preserve"> </w:t>
      </w:r>
      <w:r w:rsidR="00D65331" w:rsidRPr="007C2683">
        <w:t xml:space="preserve">insecticide sequestration mechanism </w:t>
      </w:r>
      <w:r w:rsidR="005E5627" w:rsidRPr="007C2683">
        <w:t xml:space="preserve">offers </w:t>
      </w:r>
      <w:r w:rsidR="0085117C" w:rsidRPr="007C2683">
        <w:t>the concrete</w:t>
      </w:r>
      <w:r w:rsidR="00E877D7" w:rsidRPr="007C2683">
        <w:t xml:space="preserve"> </w:t>
      </w:r>
      <w:r w:rsidR="005E5627" w:rsidRPr="007C2683">
        <w:t>possibility to restore the effectiveness of pyrethroid insecticides</w:t>
      </w:r>
      <w:r w:rsidR="00DF3D46" w:rsidRPr="007C2683">
        <w:t xml:space="preserve"> in natural mosquito populations</w:t>
      </w:r>
      <w:r w:rsidR="0073793C" w:rsidRPr="007C2683">
        <w:t xml:space="preserve"> through identifying new target</w:t>
      </w:r>
      <w:r w:rsidR="00D250B1" w:rsidRPr="007C2683">
        <w:t>s</w:t>
      </w:r>
      <w:r w:rsidR="0073793C" w:rsidRPr="007C2683">
        <w:t xml:space="preserve"> for inhibitor</w:t>
      </w:r>
      <w:r w:rsidR="00340644" w:rsidRPr="007C2683">
        <w:t>s</w:t>
      </w:r>
      <w:r w:rsidR="0073793C" w:rsidRPr="007C2683">
        <w:t xml:space="preserve"> for bed net incorporation</w:t>
      </w:r>
      <w:r w:rsidR="002D0A4B" w:rsidRPr="007C2683">
        <w:t xml:space="preserve">, </w:t>
      </w:r>
      <w:r w:rsidR="00FB1CBA" w:rsidRPr="007C2683">
        <w:t>in an analogous manner to the incorporation of PBO into nets</w:t>
      </w:r>
      <w:r w:rsidR="005E5627" w:rsidRPr="007C2683">
        <w:t xml:space="preserve">, a factor </w:t>
      </w:r>
      <w:r w:rsidR="00E877D7" w:rsidRPr="007C2683">
        <w:t xml:space="preserve">that may prove critical in the </w:t>
      </w:r>
      <w:r w:rsidR="002E3344" w:rsidRPr="007C2683">
        <w:t>path</w:t>
      </w:r>
      <w:r w:rsidR="00E877D7" w:rsidRPr="007C2683">
        <w:t xml:space="preserve"> to malaria elimination</w:t>
      </w:r>
      <w:r w:rsidR="005E5627" w:rsidRPr="007C2683">
        <w:t xml:space="preserve"> across Africa. </w:t>
      </w:r>
    </w:p>
    <w:p w14:paraId="6A2E1169" w14:textId="77777777" w:rsidR="000E331E" w:rsidRDefault="000E331E">
      <w:r>
        <w:br w:type="page"/>
      </w:r>
    </w:p>
    <w:p w14:paraId="0DEF26C7" w14:textId="671203D4" w:rsidR="00611209" w:rsidRPr="00F050AC" w:rsidRDefault="000E331E">
      <w:pPr>
        <w:rPr>
          <w:b/>
        </w:rPr>
      </w:pPr>
      <w:r w:rsidRPr="000E331E">
        <w:rPr>
          <w:b/>
        </w:rPr>
        <w:lastRenderedPageBreak/>
        <w:t>Figure Legends</w:t>
      </w:r>
    </w:p>
    <w:p w14:paraId="24B1C0BE" w14:textId="4918CB5A" w:rsidR="00611209" w:rsidRDefault="00611209" w:rsidP="00611209">
      <w:r w:rsidRPr="007C2683">
        <w:rPr>
          <w:b/>
        </w:rPr>
        <w:t>Figure 1: CSP expression profiles.</w:t>
      </w:r>
      <w:r w:rsidRPr="007C2683">
        <w:t xml:space="preserve"> </w:t>
      </w:r>
      <w:r w:rsidRPr="007C2683">
        <w:rPr>
          <w:b/>
        </w:rPr>
        <w:t>A</w:t>
      </w:r>
      <w:r w:rsidRPr="007C2683">
        <w:t xml:space="preserve">. Constitutive expression of CSPs in resistant and susceptible strains. mRNA localisation in antennae, head, legs, midgut, Malpighian tubules, reproductive tissue and the remaining abdominal tissues (abdomen carcass) in </w:t>
      </w:r>
      <w:proofErr w:type="spellStart"/>
      <w:r w:rsidRPr="007C2683">
        <w:t>N’Gousso</w:t>
      </w:r>
      <w:proofErr w:type="spellEnd"/>
      <w:r w:rsidRPr="007C2683">
        <w:t xml:space="preserve"> (grey) and </w:t>
      </w:r>
      <w:proofErr w:type="spellStart"/>
      <w:r w:rsidRPr="007C2683">
        <w:t>Tiassalé</w:t>
      </w:r>
      <w:proofErr w:type="spellEnd"/>
      <w:r w:rsidRPr="007C2683">
        <w:t xml:space="preserve"> (blue) for each member of the CSP family compared to whole bod</w:t>
      </w:r>
      <w:r w:rsidR="003C1E95">
        <w:t>y</w:t>
      </w:r>
      <w:r w:rsidRPr="007C2683">
        <w:t xml:space="preserve">. </w:t>
      </w:r>
      <w:r w:rsidRPr="007C2683">
        <w:rPr>
          <w:b/>
        </w:rPr>
        <w:t>B</w:t>
      </w:r>
      <w:r w:rsidRPr="007C2683">
        <w:t xml:space="preserve">. Induction of CSPs in </w:t>
      </w:r>
      <w:proofErr w:type="spellStart"/>
      <w:r w:rsidRPr="007C2683">
        <w:t>Tiassalé</w:t>
      </w:r>
      <w:proofErr w:type="spellEnd"/>
      <w:r w:rsidRPr="007C2683">
        <w:t xml:space="preserve"> following pyrethroid exposure. Four CSPs show significant induction of mRNA expression at different time points post-exposure to the pyrethroid insecticide deltamethrin in </w:t>
      </w:r>
      <w:proofErr w:type="spellStart"/>
      <w:r w:rsidRPr="007C2683">
        <w:t>Tiassalé</w:t>
      </w:r>
      <w:proofErr w:type="spellEnd"/>
      <w:r w:rsidRPr="007C2683">
        <w:t xml:space="preserve"> (results for the non-induced CSPs are shown in Extended Data Figure 3a). </w:t>
      </w:r>
      <w:r w:rsidRPr="007C2683">
        <w:rPr>
          <w:b/>
          <w:bCs/>
        </w:rPr>
        <w:t>C.</w:t>
      </w:r>
      <w:r w:rsidRPr="007C2683">
        <w:t xml:space="preserve"> Tissue-specific profile of CSPs induction in </w:t>
      </w:r>
      <w:proofErr w:type="spellStart"/>
      <w:r w:rsidRPr="007C2683">
        <w:t>Tiassalé</w:t>
      </w:r>
      <w:proofErr w:type="spellEnd"/>
      <w:r w:rsidRPr="007C2683">
        <w:t xml:space="preserve">. Tissue-specific induction for the four significantly induced CSPs in the </w:t>
      </w:r>
      <w:proofErr w:type="spellStart"/>
      <w:r w:rsidRPr="007C2683">
        <w:t>Tiassalé</w:t>
      </w:r>
      <w:proofErr w:type="spellEnd"/>
      <w:r w:rsidRPr="007C2683">
        <w:t xml:space="preserve"> strain, shown 4-hours post deltamethrin exposure, each data point shows exposed compared to unexposed tissues from the same generation (see Extended Data Figure 3b for remaining CSPs). The qPCR data show mean ± standard deviation</w:t>
      </w:r>
      <w:r w:rsidR="004C17FE">
        <w:t xml:space="preserve"> of three biological replicates</w:t>
      </w:r>
      <w:r w:rsidRPr="007C2683">
        <w:t xml:space="preserve">. * p ≤ 0.05; ** p ≤ 0.01; *** p ≤ 0.001. Statistical significance was calculated by an ANOVA followed by Dunnett’s </w:t>
      </w:r>
      <w:r w:rsidRPr="007C2683">
        <w:rPr>
          <w:i/>
        </w:rPr>
        <w:t>post hoc</w:t>
      </w:r>
      <w:r w:rsidRPr="007C2683">
        <w:t xml:space="preserve"> test; where normalisation was not possible, data was analysed using </w:t>
      </w:r>
      <w:proofErr w:type="spellStart"/>
      <w:r w:rsidRPr="007C2683">
        <w:t>Kruskall</w:t>
      </w:r>
      <w:proofErr w:type="spellEnd"/>
      <w:r w:rsidRPr="007C2683">
        <w:t xml:space="preserve">-Wallis followed by a Dunn’s </w:t>
      </w:r>
      <w:r w:rsidRPr="007C2683">
        <w:rPr>
          <w:i/>
        </w:rPr>
        <w:t>post hoc</w:t>
      </w:r>
      <w:r w:rsidRPr="007C2683">
        <w:t xml:space="preserve"> test in </w:t>
      </w:r>
      <w:r w:rsidRPr="007C2683">
        <w:rPr>
          <w:b/>
          <w:bCs/>
        </w:rPr>
        <w:t>A.</w:t>
      </w:r>
      <w:r w:rsidRPr="007C2683">
        <w:t xml:space="preserve"> and </w:t>
      </w:r>
      <w:r w:rsidRPr="007C2683">
        <w:rPr>
          <w:b/>
          <w:bCs/>
        </w:rPr>
        <w:t>B.</w:t>
      </w:r>
      <w:r w:rsidRPr="007C2683">
        <w:t xml:space="preserve"> In </w:t>
      </w:r>
      <w:r w:rsidRPr="007C2683">
        <w:rPr>
          <w:b/>
          <w:bCs/>
        </w:rPr>
        <w:t>C.</w:t>
      </w:r>
      <w:r w:rsidRPr="007C2683">
        <w:t xml:space="preserve"> significance was calculated by a two-tailed t-test</w:t>
      </w:r>
      <w:r w:rsidR="00680B74">
        <w:t>; p-values are provided in Supplementary Table 2</w:t>
      </w:r>
      <w:r w:rsidR="003C1E95">
        <w:t>;</w:t>
      </w:r>
      <w:r w:rsidR="000740C0">
        <w:t xml:space="preserve"> n = 3 for each replicate</w:t>
      </w:r>
      <w:r w:rsidR="00680B74">
        <w:t>.</w:t>
      </w:r>
    </w:p>
    <w:p w14:paraId="504059D5" w14:textId="7906EA5C" w:rsidR="00611209" w:rsidRDefault="00611209" w:rsidP="00611209">
      <w:r w:rsidRPr="007C2683">
        <w:rPr>
          <w:b/>
        </w:rPr>
        <w:t xml:space="preserve">Figure 2: </w:t>
      </w:r>
      <w:r w:rsidRPr="007C2683">
        <w:rPr>
          <w:b/>
          <w:i/>
        </w:rPr>
        <w:t xml:space="preserve">SAP2 </w:t>
      </w:r>
      <w:r w:rsidRPr="007C2683">
        <w:rPr>
          <w:b/>
        </w:rPr>
        <w:t>mediates resistance to pyrethroid insecticides</w:t>
      </w:r>
      <w:r w:rsidRPr="007C2683">
        <w:t xml:space="preserve">. </w:t>
      </w:r>
      <w:r w:rsidRPr="007C2683">
        <w:rPr>
          <w:b/>
        </w:rPr>
        <w:t>A</w:t>
      </w:r>
      <w:r w:rsidRPr="007C2683">
        <w:t xml:space="preserve">. Effect of </w:t>
      </w:r>
      <w:r w:rsidRPr="007C2683">
        <w:rPr>
          <w:i/>
        </w:rPr>
        <w:t xml:space="preserve">SAP2 </w:t>
      </w:r>
      <w:r w:rsidRPr="007C2683">
        <w:t xml:space="preserve">knock down on mortality in multi-resistant </w:t>
      </w:r>
      <w:r w:rsidRPr="007C2683">
        <w:rPr>
          <w:i/>
        </w:rPr>
        <w:t xml:space="preserve">Anopheles </w:t>
      </w:r>
      <w:r w:rsidRPr="007C2683">
        <w:t xml:space="preserve">populations in response to a panel of insecticides (rightmost bar) compared to GFP-injected controls (leftmost bar; </w:t>
      </w:r>
      <w:r w:rsidR="004C0927">
        <w:t>patterned</w:t>
      </w:r>
      <w:r w:rsidRPr="007C2683">
        <w:t xml:space="preserve">). </w:t>
      </w:r>
      <w:proofErr w:type="spellStart"/>
      <w:r w:rsidRPr="007C2683">
        <w:t>Tiassalé</w:t>
      </w:r>
      <w:proofErr w:type="spellEnd"/>
      <w:r w:rsidRPr="007C2683">
        <w:t>: Deltamethrin (blue</w:t>
      </w:r>
      <w:r w:rsidR="000740C0">
        <w:t>; n</w:t>
      </w:r>
      <w:r w:rsidR="000740C0" w:rsidRPr="000740C0">
        <w:rPr>
          <w:vertAlign w:val="subscript"/>
        </w:rPr>
        <w:t>GFP;SAP2</w:t>
      </w:r>
      <w:r w:rsidR="000740C0">
        <w:t xml:space="preserve"> = 5;5</w:t>
      </w:r>
      <w:r w:rsidRPr="007C2683">
        <w:t>); Permethrin (pink</w:t>
      </w:r>
      <w:r w:rsidR="000740C0">
        <w:t>; n</w:t>
      </w:r>
      <w:r w:rsidR="000740C0" w:rsidRPr="000740C0">
        <w:rPr>
          <w:vertAlign w:val="subscript"/>
        </w:rPr>
        <w:t>GFP;SAP2</w:t>
      </w:r>
      <w:r w:rsidR="000740C0">
        <w:t xml:space="preserve"> = 6;7</w:t>
      </w:r>
      <w:r w:rsidRPr="007C2683">
        <w:t>); α-cypermethrin (dark grey</w:t>
      </w:r>
      <w:r w:rsidR="000740C0">
        <w:t>; n</w:t>
      </w:r>
      <w:r w:rsidR="000740C0" w:rsidRPr="000740C0">
        <w:rPr>
          <w:vertAlign w:val="subscript"/>
        </w:rPr>
        <w:t>GFP;SAP2</w:t>
      </w:r>
      <w:r w:rsidR="000740C0">
        <w:t xml:space="preserve"> = 5;5</w:t>
      </w:r>
      <w:r w:rsidRPr="007C2683">
        <w:t>); DDT (yellow</w:t>
      </w:r>
      <w:r w:rsidR="000740C0">
        <w:t>; n</w:t>
      </w:r>
      <w:r w:rsidR="000740C0" w:rsidRPr="000740C0">
        <w:rPr>
          <w:vertAlign w:val="subscript"/>
        </w:rPr>
        <w:t>GFP;SAP2</w:t>
      </w:r>
      <w:r w:rsidR="000740C0">
        <w:t xml:space="preserve"> = 4;3</w:t>
      </w:r>
      <w:r w:rsidRPr="007C2683">
        <w:t xml:space="preserve">), </w:t>
      </w:r>
      <w:proofErr w:type="spellStart"/>
      <w:r w:rsidRPr="007C2683">
        <w:t>primiphos</w:t>
      </w:r>
      <w:proofErr w:type="spellEnd"/>
      <w:r w:rsidRPr="007C2683">
        <w:t>-methyl (light grey</w:t>
      </w:r>
      <w:r w:rsidR="000740C0">
        <w:t>; n</w:t>
      </w:r>
      <w:r w:rsidR="000740C0" w:rsidRPr="000740C0">
        <w:rPr>
          <w:vertAlign w:val="subscript"/>
        </w:rPr>
        <w:t>GFP;SAP2</w:t>
      </w:r>
      <w:r w:rsidR="000740C0">
        <w:t xml:space="preserve"> = 4;4</w:t>
      </w:r>
      <w:r w:rsidRPr="007C2683">
        <w:t>) and Bendiocarb (dark blue</w:t>
      </w:r>
      <w:r w:rsidR="000740C0" w:rsidRPr="000740C0">
        <w:t xml:space="preserve"> </w:t>
      </w:r>
      <w:r w:rsidR="000740C0">
        <w:t>n</w:t>
      </w:r>
      <w:r w:rsidR="000740C0" w:rsidRPr="000740C0">
        <w:rPr>
          <w:vertAlign w:val="subscript"/>
        </w:rPr>
        <w:t>GFP;SAP2</w:t>
      </w:r>
      <w:r w:rsidR="000740C0">
        <w:t xml:space="preserve"> = 9;4</w:t>
      </w:r>
      <w:r w:rsidRPr="007C2683">
        <w:t xml:space="preserve">). </w:t>
      </w:r>
      <w:proofErr w:type="spellStart"/>
      <w:r w:rsidRPr="007C2683">
        <w:t>Banfora</w:t>
      </w:r>
      <w:proofErr w:type="spellEnd"/>
      <w:r w:rsidRPr="007C2683">
        <w:t>: Deltamethrin (light blue</w:t>
      </w:r>
      <w:r w:rsidR="000740C0">
        <w:t xml:space="preserve">; </w:t>
      </w:r>
      <w:proofErr w:type="gramStart"/>
      <w:r w:rsidR="000740C0">
        <w:t>n</w:t>
      </w:r>
      <w:r w:rsidR="000740C0" w:rsidRPr="000740C0">
        <w:rPr>
          <w:vertAlign w:val="subscript"/>
        </w:rPr>
        <w:t>GFP;SAP</w:t>
      </w:r>
      <w:proofErr w:type="gramEnd"/>
      <w:r w:rsidR="000740C0" w:rsidRPr="000740C0">
        <w:rPr>
          <w:vertAlign w:val="subscript"/>
        </w:rPr>
        <w:t>2</w:t>
      </w:r>
      <w:r w:rsidR="000740C0">
        <w:t xml:space="preserve"> = 4;5</w:t>
      </w:r>
      <w:r w:rsidRPr="007C2683">
        <w:t xml:space="preserve">). N represents the </w:t>
      </w:r>
      <w:r w:rsidR="00B17152" w:rsidRPr="00EE0230">
        <w:rPr>
          <w:rFonts w:ascii="Calibri" w:eastAsia="Times New Roman" w:hAnsi="Calibri" w:cs="Calibri"/>
          <w:color w:val="000000"/>
          <w:shd w:val="clear" w:color="auto" w:fill="FFFFFF"/>
          <w:lang w:eastAsia="en-GB"/>
        </w:rPr>
        <w:t>total number of females used across all replicates</w:t>
      </w:r>
      <w:r w:rsidRPr="007C2683">
        <w:t xml:space="preserve">. </w:t>
      </w:r>
      <w:r w:rsidRPr="007C2683">
        <w:rPr>
          <w:b/>
        </w:rPr>
        <w:t>B</w:t>
      </w:r>
      <w:r w:rsidRPr="007C2683">
        <w:t xml:space="preserve">. Transgenic over-expression of </w:t>
      </w:r>
      <w:r w:rsidRPr="007C2683">
        <w:rPr>
          <w:i/>
        </w:rPr>
        <w:t xml:space="preserve">SAP2 </w:t>
      </w:r>
      <w:r w:rsidRPr="007C2683">
        <w:t>in susceptible G3 mosquitoes</w:t>
      </w:r>
      <w:r w:rsidRPr="007C2683">
        <w:rPr>
          <w:i/>
        </w:rPr>
        <w:t xml:space="preserve"> </w:t>
      </w:r>
      <w:r w:rsidRPr="007C2683">
        <w:t>reduces mortality after permethrin exposure. Bars represent control (grey</w:t>
      </w:r>
      <w:r w:rsidR="000740C0">
        <w:t>; n = 15</w:t>
      </w:r>
      <w:r w:rsidRPr="007C2683">
        <w:t xml:space="preserve">) and </w:t>
      </w:r>
      <w:r w:rsidRPr="007C2683">
        <w:rPr>
          <w:i/>
        </w:rPr>
        <w:t xml:space="preserve">SAP2 </w:t>
      </w:r>
      <w:r w:rsidRPr="007C2683">
        <w:t>overexpression (white</w:t>
      </w:r>
      <w:r w:rsidR="000740C0">
        <w:t>; n = 17</w:t>
      </w:r>
      <w:r w:rsidRPr="007C2683">
        <w:t xml:space="preserve">). </w:t>
      </w:r>
      <w:r w:rsidR="004C17FE">
        <w:t xml:space="preserve"> </w:t>
      </w:r>
      <w:r w:rsidR="004C17FE" w:rsidRPr="007C2683">
        <w:t xml:space="preserve">N represents the </w:t>
      </w:r>
      <w:r w:rsidR="004C17FE" w:rsidRPr="00EE0230">
        <w:rPr>
          <w:rFonts w:ascii="Calibri" w:eastAsia="Times New Roman" w:hAnsi="Calibri" w:cs="Calibri"/>
          <w:color w:val="000000"/>
          <w:shd w:val="clear" w:color="auto" w:fill="FFFFFF"/>
          <w:lang w:eastAsia="en-GB"/>
        </w:rPr>
        <w:t>total number of females used across all replicates</w:t>
      </w:r>
      <w:r w:rsidR="004C17FE" w:rsidRPr="007C2683">
        <w:t>.</w:t>
      </w:r>
      <w:r w:rsidR="004C17FE">
        <w:t xml:space="preserve"> </w:t>
      </w:r>
      <w:r w:rsidRPr="007C2683">
        <w:rPr>
          <w:b/>
        </w:rPr>
        <w:t>C</w:t>
      </w:r>
      <w:r w:rsidRPr="007C2683">
        <w:t xml:space="preserve">. Competitive binding assays of the three SAP proteins to three pyrethroid insecticides. Only instances with binding shown; no binding for: </w:t>
      </w:r>
      <w:r w:rsidRPr="007C2683">
        <w:rPr>
          <w:i/>
        </w:rPr>
        <w:t>SAP3</w:t>
      </w:r>
      <w:r w:rsidRPr="007C2683">
        <w:t xml:space="preserve"> nor </w:t>
      </w:r>
      <w:r w:rsidRPr="007C2683">
        <w:rPr>
          <w:i/>
        </w:rPr>
        <w:t>SAP1</w:t>
      </w:r>
      <w:r w:rsidRPr="007C2683">
        <w:t xml:space="preserve"> with permethrin; </w:t>
      </w:r>
      <w:r w:rsidRPr="007C2683">
        <w:rPr>
          <w:i/>
        </w:rPr>
        <w:t>SAP3</w:t>
      </w:r>
      <w:r w:rsidRPr="007C2683">
        <w:t xml:space="preserve"> with α-cypermethrin; any SAP with bendiocarb or </w:t>
      </w:r>
      <w:proofErr w:type="spellStart"/>
      <w:r w:rsidRPr="007C2683">
        <w:t>pirimiphos</w:t>
      </w:r>
      <w:proofErr w:type="spellEnd"/>
      <w:r w:rsidRPr="007C2683">
        <w:t>-methyl. The data show mean ± standard deviation. * p ≤ 0.05; ** p ≤ 0.01; *** p ≤ 0.001</w:t>
      </w:r>
      <w:r w:rsidR="00680B74">
        <w:t>; ns p &gt; 0.05</w:t>
      </w:r>
      <w:r w:rsidRPr="007C2683">
        <w:t xml:space="preserve">. Statistical significance in 2A and 2B calculated by an ANOVA test followed by a Tukey </w:t>
      </w:r>
      <w:r w:rsidRPr="007C2683">
        <w:rPr>
          <w:i/>
        </w:rPr>
        <w:t>post hoc</w:t>
      </w:r>
      <w:r w:rsidRPr="007C2683">
        <w:t xml:space="preserve"> test</w:t>
      </w:r>
      <w:r w:rsidR="00680B74">
        <w:t>; p-values are provided in Supplementary Table 2</w:t>
      </w:r>
    </w:p>
    <w:p w14:paraId="75767CBB" w14:textId="1F83613D" w:rsidR="00611209" w:rsidRPr="00A24EBE" w:rsidRDefault="00611209" w:rsidP="00A24EBE">
      <w:r w:rsidRPr="007C2683">
        <w:rPr>
          <w:b/>
        </w:rPr>
        <w:t xml:space="preserve">Figure 3: </w:t>
      </w:r>
      <w:r w:rsidRPr="007C2683">
        <w:rPr>
          <w:b/>
          <w:i/>
        </w:rPr>
        <w:t>SAP2</w:t>
      </w:r>
      <w:r w:rsidRPr="007C2683">
        <w:rPr>
          <w:b/>
        </w:rPr>
        <w:t xml:space="preserve"> is up-regulated and under selection in multiple countries across West Africa.</w:t>
      </w:r>
      <w:r w:rsidRPr="007C2683">
        <w:t xml:space="preserve"> </w:t>
      </w:r>
      <w:r w:rsidRPr="007C2683">
        <w:rPr>
          <w:b/>
        </w:rPr>
        <w:t>A.</w:t>
      </w:r>
      <w:r w:rsidRPr="007C2683">
        <w:t xml:space="preserve"> </w:t>
      </w:r>
      <w:r w:rsidR="006E0F3E">
        <w:t>Points</w:t>
      </w:r>
      <w:r w:rsidRPr="007C2683">
        <w:t xml:space="preserve"> represent significantly differential expression of </w:t>
      </w:r>
      <w:r w:rsidRPr="007C2683">
        <w:rPr>
          <w:i/>
        </w:rPr>
        <w:t xml:space="preserve">SAP2 </w:t>
      </w:r>
      <w:r w:rsidRPr="007C2683">
        <w:t>in pyrethroid resistant mosquitoes in two sister species (</w:t>
      </w:r>
      <w:r w:rsidRPr="007C2683">
        <w:rPr>
          <w:i/>
        </w:rPr>
        <w:t xml:space="preserve">An. </w:t>
      </w:r>
      <w:proofErr w:type="spellStart"/>
      <w:r w:rsidRPr="007C2683">
        <w:rPr>
          <w:i/>
        </w:rPr>
        <w:t>coluzzii</w:t>
      </w:r>
      <w:proofErr w:type="spellEnd"/>
      <w:r w:rsidRPr="007C2683">
        <w:t xml:space="preserve"> or </w:t>
      </w:r>
      <w:r w:rsidRPr="007C2683">
        <w:rPr>
          <w:i/>
        </w:rPr>
        <w:t>An. gambiae</w:t>
      </w:r>
      <w:r w:rsidRPr="007C2683">
        <w:t>)</w:t>
      </w:r>
      <w:r w:rsidRPr="007C2683">
        <w:rPr>
          <w:i/>
        </w:rPr>
        <w:t xml:space="preserve"> </w:t>
      </w:r>
      <w:r w:rsidRPr="007C2683">
        <w:t xml:space="preserve">compared to susceptible populations (Extended Table 1, from </w:t>
      </w:r>
      <w:r w:rsidRPr="007C2683">
        <w:fldChar w:fldCharType="begin" w:fldLock="1"/>
      </w:r>
      <w:r w:rsidRPr="007C2683">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10&lt;/sup&gt;","plainTextFormattedCitation":"10","previouslyFormattedCitation":"&lt;sup&gt;10&lt;/sup&gt;"},"properties":{"noteIndex":0},"schema":"https://github.com/citation-style-language/schema/raw/master/csl-citation.json"}</w:instrText>
      </w:r>
      <w:r w:rsidRPr="007C2683">
        <w:fldChar w:fldCharType="separate"/>
      </w:r>
      <w:r w:rsidRPr="007C2683">
        <w:rPr>
          <w:noProof/>
          <w:vertAlign w:val="superscript"/>
        </w:rPr>
        <w:t>10</w:t>
      </w:r>
      <w:r w:rsidRPr="007C2683">
        <w:fldChar w:fldCharType="end"/>
      </w:r>
      <w:r w:rsidRPr="007C2683">
        <w:t xml:space="preserve">). Significant </w:t>
      </w:r>
      <w:r w:rsidR="00680B74">
        <w:t>(p</w:t>
      </w:r>
      <w:r w:rsidR="009810D1" w:rsidRPr="009810D1">
        <w:rPr>
          <w:vertAlign w:val="subscript"/>
        </w:rPr>
        <w:t>limma</w:t>
      </w:r>
      <w:r w:rsidR="003C1E95" w:rsidRPr="003C1E95">
        <w:rPr>
          <w:vertAlign w:val="subscript"/>
        </w:rPr>
        <w:t>;BH-corrected</w:t>
      </w:r>
      <w:r w:rsidR="00207C15" w:rsidRPr="007C2683">
        <w:fldChar w:fldCharType="begin" w:fldLock="1"/>
      </w:r>
      <w:r w:rsidR="00207C15" w:rsidRPr="007C2683">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10&lt;/sup&gt;","plainTextFormattedCitation":"10","previouslyFormattedCitation":"&lt;sup&gt;10&lt;/sup&gt;"},"properties":{"noteIndex":0},"schema":"https://github.com/citation-style-language/schema/raw/master/csl-citation.json"}</w:instrText>
      </w:r>
      <w:r w:rsidR="00207C15" w:rsidRPr="007C2683">
        <w:fldChar w:fldCharType="separate"/>
      </w:r>
      <w:r w:rsidR="00207C15" w:rsidRPr="007C2683">
        <w:rPr>
          <w:noProof/>
          <w:vertAlign w:val="superscript"/>
        </w:rPr>
        <w:t>10</w:t>
      </w:r>
      <w:r w:rsidR="00207C15" w:rsidRPr="007C2683">
        <w:fldChar w:fldCharType="end"/>
      </w:r>
      <w:r w:rsidR="00207C15">
        <w:t xml:space="preserve"> </w:t>
      </w:r>
      <w:r w:rsidR="00680B74" w:rsidRPr="007C2683">
        <w:t>≤ 0.05</w:t>
      </w:r>
      <w:r w:rsidR="00680B74">
        <w:t xml:space="preserve">) </w:t>
      </w:r>
      <w:r w:rsidRPr="007C2683">
        <w:t xml:space="preserve">fold changes are represented by a traffic light system. Countries with </w:t>
      </w:r>
      <w:r w:rsidRPr="007C2683">
        <w:rPr>
          <w:i/>
        </w:rPr>
        <w:t xml:space="preserve">SAP2 </w:t>
      </w:r>
      <w:r w:rsidRPr="007C2683">
        <w:t>either (</w:t>
      </w:r>
      <w:proofErr w:type="spellStart"/>
      <w:r w:rsidRPr="007C2683">
        <w:t>i</w:t>
      </w:r>
      <w:proofErr w:type="spellEnd"/>
      <w:r w:rsidRPr="007C2683">
        <w:t xml:space="preserve">) significantly up-regulated and/or (ii) involved in the selective sweep are highlighted with a pin. No transcriptomic data is available for Guinea. </w:t>
      </w:r>
      <w:r w:rsidR="006E0F3E">
        <w:t xml:space="preserve">Map created expressly for this manuscript by Manuela Bernardi. </w:t>
      </w:r>
      <w:r w:rsidRPr="007C2683">
        <w:rPr>
          <w:b/>
        </w:rPr>
        <w:t>B.</w:t>
      </w:r>
      <w:r w:rsidRPr="007C2683">
        <w:t xml:space="preserve"> Schematic representation of the range of the selective sweep found in Guinea, Burkina Faso and Cameroon</w:t>
      </w:r>
      <w:r w:rsidR="0049142B">
        <w:t xml:space="preserve"> with</w:t>
      </w:r>
      <w:r w:rsidRPr="007C2683">
        <w:t xml:space="preserve"> selective sweep found across these regions in the </w:t>
      </w:r>
      <w:r w:rsidRPr="007C2683">
        <w:rPr>
          <w:i/>
        </w:rPr>
        <w:t>Anopheles</w:t>
      </w:r>
      <w:r w:rsidRPr="007C2683">
        <w:t xml:space="preserve"> 1000 genomes</w:t>
      </w:r>
      <w:r w:rsidR="0049142B">
        <w:t xml:space="preserve"> highlighted in grey</w:t>
      </w:r>
      <w:r w:rsidRPr="007C2683">
        <w:t xml:space="preserve"> </w:t>
      </w:r>
      <w:r w:rsidRPr="007C2683">
        <w:fldChar w:fldCharType="begin" w:fldLock="1"/>
      </w:r>
      <w:r w:rsidRPr="007C2683">
        <w:instrText>ADDIN CSL_CITATION {"citationItems":[{"id":"ITEM-1","itemData":{"ISSN":"1476-4687","author":[{"dropping-particle":"","family":"Consortium","given":"Anopheles gambiae 1000 Genomes","non-dropping-particle":"","parse-names":false,"suffix":""}],"container-title":"Nature","id":"ITEM-1","issue":"7683","issued":{"date-parts":[["2017"]]},"page":"96","publisher":"Nature Publishing Group","title":"Genetic diversity of the African malaria vector Anopheles gambiae","type":"article-journal","volume":"552"},"uris":["http://www.mendeley.com/documents/?uuid=ddd6f0d0-4f86-49a9-9c5c-77a65c70c74b"]}],"mendeley":{"formattedCitation":"&lt;sup&gt;19&lt;/sup&gt;","plainTextFormattedCitation":"19","previouslyFormattedCitation":"&lt;sup&gt;19&lt;/sup&gt;"},"properties":{"noteIndex":0},"schema":"https://github.com/citation-style-language/schema/raw/master/csl-citation.json"}</w:instrText>
      </w:r>
      <w:r w:rsidRPr="007C2683">
        <w:fldChar w:fldCharType="separate"/>
      </w:r>
      <w:r w:rsidRPr="007C2683">
        <w:rPr>
          <w:noProof/>
          <w:vertAlign w:val="superscript"/>
        </w:rPr>
        <w:t>19</w:t>
      </w:r>
      <w:r w:rsidRPr="007C2683">
        <w:fldChar w:fldCharType="end"/>
      </w:r>
      <w:r w:rsidRPr="007C2683">
        <w:t xml:space="preserve">. Observed </w:t>
      </w:r>
      <w:proofErr w:type="spellStart"/>
      <w:r w:rsidRPr="007C2683">
        <w:t>iHS</w:t>
      </w:r>
      <w:proofErr w:type="spellEnd"/>
      <w:r w:rsidRPr="007C2683">
        <w:t xml:space="preserve"> signal from Guinea is shown as follows, from top to bottom panels: Raw </w:t>
      </w:r>
      <w:proofErr w:type="spellStart"/>
      <w:r w:rsidRPr="007C2683">
        <w:t>iHS</w:t>
      </w:r>
      <w:proofErr w:type="spellEnd"/>
      <w:r w:rsidRPr="007C2683">
        <w:t xml:space="preserve"> statistics per SNP, normalised by chromosome in allele frequency bins; summarised </w:t>
      </w:r>
      <w:proofErr w:type="spellStart"/>
      <w:r w:rsidRPr="007C2683">
        <w:t>iHS</w:t>
      </w:r>
      <w:proofErr w:type="spellEnd"/>
      <w:r w:rsidRPr="007C2683">
        <w:t xml:space="preserve"> in windows of 20kbp by proportion of SNPs exceeding 2.5 standard deviations </w:t>
      </w:r>
      <w:r w:rsidRPr="007C2683">
        <w:fldChar w:fldCharType="begin" w:fldLock="1"/>
      </w:r>
      <w:r w:rsidRPr="007C2683">
        <w:instrText>ADDIN CSL_CITATION {"citationItems":[{"id":"ITEM-1","itemData":{"abstract":"Applying their newly developed method, the authors search International HapMap Project data representing three populations for signals of recent selection across the human genome.","author":[{"dropping-particle":"","family":"Voight","given":"Benjamin F","non-dropping-particle":"","parse-names":false,"suffix":""},{"dropping-particle":"","family":"Kudaravalli","given":"Sridhar","non-dropping-particle":"","parse-names":false,"suffix":""},{"dropping-particle":"","family":"Wen","given":"Xiaoquan","non-dropping-particle":"","parse-names":false,"suffix":""},{"dropping-particle":"","family":"Pritchard","given":"Jonathan K","non-dropping-particle":"","parse-names":false,"suffix":""}],"container-title":"PLOS Biology","id":"ITEM-1","issue":"3","issued":{"date-parts":[["2006","3","7"]]},"page":"e72","publisher":"Public Library of Science","title":"A Map of Recent Positive Selection in the Human Genome","type":"article-journal","volume":"4"},"uris":["http://www.mendeley.com/documents/?uuid=4a1ee843-70ed-41bd-acef-be285d0fae06"]}],"mendeley":{"formattedCitation":"&lt;sup&gt;20&lt;/sup&gt;","plainTextFormattedCitation":"20","previouslyFormattedCitation":"&lt;sup&gt;20&lt;/sup&gt;"},"properties":{"noteIndex":0},"schema":"https://github.com/citation-style-language/schema/raw/master/csl-citation.json"}</w:instrText>
      </w:r>
      <w:r w:rsidRPr="007C2683">
        <w:fldChar w:fldCharType="separate"/>
      </w:r>
      <w:r w:rsidRPr="007C2683">
        <w:rPr>
          <w:noProof/>
          <w:vertAlign w:val="superscript"/>
        </w:rPr>
        <w:t>20</w:t>
      </w:r>
      <w:r w:rsidRPr="007C2683">
        <w:fldChar w:fldCharType="end"/>
      </w:r>
      <w:r w:rsidRPr="007C2683">
        <w:t xml:space="preserve">; and genes in this region with </w:t>
      </w:r>
      <w:r w:rsidRPr="007C2683">
        <w:rPr>
          <w:i/>
        </w:rPr>
        <w:t>SAP2</w:t>
      </w:r>
      <w:r w:rsidRPr="007C2683">
        <w:t xml:space="preserve"> annotated. Highlighted in yellow are the range of the 55 SNPs tagging this haplotype across the three countries. A zoomed in area shows the approximate location of the five haplotype tagging SNPs in proximity to </w:t>
      </w:r>
      <w:r w:rsidRPr="007C2683">
        <w:rPr>
          <w:i/>
        </w:rPr>
        <w:t>SAP2</w:t>
      </w:r>
      <w:r w:rsidRPr="007C2683">
        <w:t xml:space="preserve"> </w:t>
      </w:r>
      <w:r w:rsidR="006E0F3E">
        <w:t xml:space="preserve">(more detail in </w:t>
      </w:r>
      <w:r w:rsidRPr="007C2683">
        <w:t>Extended Data Figure 1A</w:t>
      </w:r>
      <w:r w:rsidR="006E0F3E">
        <w:t>)</w:t>
      </w:r>
      <w:r w:rsidRPr="007C2683">
        <w:t>.</w:t>
      </w:r>
      <w:r w:rsidRPr="007C2683">
        <w:rPr>
          <w:b/>
        </w:rPr>
        <w:t xml:space="preserve"> (C)</w:t>
      </w:r>
      <w:r w:rsidRPr="007C2683">
        <w:t xml:space="preserve"> Fitted trend in frequency of the derived haplotype associated </w:t>
      </w:r>
      <w:r w:rsidRPr="007C2683">
        <w:lastRenderedPageBreak/>
        <w:t>SNPs in field populations from Burkina Faso: (</w:t>
      </w:r>
      <w:proofErr w:type="spellStart"/>
      <w:r w:rsidRPr="007C2683">
        <w:t>i</w:t>
      </w:r>
      <w:proofErr w:type="spellEnd"/>
      <w:r w:rsidRPr="007C2683">
        <w:t xml:space="preserve">) </w:t>
      </w:r>
      <w:r w:rsidRPr="007C2683">
        <w:rPr>
          <w:i/>
        </w:rPr>
        <w:t xml:space="preserve">An. </w:t>
      </w:r>
      <w:proofErr w:type="spellStart"/>
      <w:r w:rsidRPr="007C2683">
        <w:rPr>
          <w:i/>
        </w:rPr>
        <w:t>coluzzii</w:t>
      </w:r>
      <w:proofErr w:type="spellEnd"/>
      <w:r w:rsidRPr="007C2683">
        <w:rPr>
          <w:i/>
        </w:rPr>
        <w:t xml:space="preserve"> </w:t>
      </w:r>
      <w:r w:rsidRPr="007C2683">
        <w:t xml:space="preserve">populations collected from </w:t>
      </w:r>
      <w:proofErr w:type="spellStart"/>
      <w:r w:rsidRPr="007C2683">
        <w:t>Tengrela</w:t>
      </w:r>
      <w:proofErr w:type="spellEnd"/>
      <w:r w:rsidRPr="007C2683">
        <w:t xml:space="preserve"> from 2011 to 2018 and (ii) </w:t>
      </w:r>
      <w:r w:rsidRPr="007C2683">
        <w:rPr>
          <w:i/>
        </w:rPr>
        <w:t>An. gambiae</w:t>
      </w:r>
      <w:r w:rsidRPr="007C2683">
        <w:t xml:space="preserve"> </w:t>
      </w:r>
      <w:proofErr w:type="spellStart"/>
      <w:r w:rsidRPr="007C2683">
        <w:t>s.s.</w:t>
      </w:r>
      <w:proofErr w:type="spellEnd"/>
      <w:r w:rsidRPr="007C2683">
        <w:rPr>
          <w:i/>
        </w:rPr>
        <w:t xml:space="preserve"> </w:t>
      </w:r>
      <w:r w:rsidRPr="007C2683">
        <w:t xml:space="preserve">samples collected in 2013 and 2015 from </w:t>
      </w:r>
      <w:proofErr w:type="spellStart"/>
      <w:r w:rsidRPr="007C2683">
        <w:t>Bakaridjan</w:t>
      </w:r>
      <w:proofErr w:type="spellEnd"/>
      <w:r w:rsidRPr="007C2683">
        <w:t xml:space="preserve">, Burkina Faso and 2018 from </w:t>
      </w:r>
      <w:proofErr w:type="spellStart"/>
      <w:r w:rsidRPr="007C2683">
        <w:t>Tiefora</w:t>
      </w:r>
      <w:proofErr w:type="spellEnd"/>
      <w:r w:rsidRPr="007C2683">
        <w:t>, Burkina Faso. Dates when samples were sequenced are indicated by a dotted line. SNP data is shown in the legend, including the locus and the alternate allele (lef</w:t>
      </w:r>
      <w:r w:rsidR="00E868DA">
        <w:t>t</w:t>
      </w:r>
      <w:r w:rsidRPr="007C2683">
        <w:t>) and PEST allele (right)</w:t>
      </w:r>
      <w:r w:rsidRPr="007C2683">
        <w:rPr>
          <w:i/>
        </w:rPr>
        <w:t>.</w:t>
      </w:r>
    </w:p>
    <w:p w14:paraId="0B24FE1E" w14:textId="44B9680C" w:rsidR="000E331E" w:rsidRDefault="000E331E" w:rsidP="00611209">
      <w:pPr>
        <w:pStyle w:val="PlainText"/>
        <w:rPr>
          <w:i/>
        </w:rPr>
      </w:pPr>
    </w:p>
    <w:p w14:paraId="2E668594" w14:textId="77777777" w:rsidR="000E331E" w:rsidRPr="00F330DF" w:rsidRDefault="000E331E" w:rsidP="000E331E">
      <w:r w:rsidRPr="00F330DF">
        <w:rPr>
          <w:b/>
        </w:rPr>
        <w:t>Extended Data Figure 1: Chemosensory protein cluster. A.</w:t>
      </w:r>
      <w:r w:rsidRPr="00F330DF">
        <w:t xml:space="preserve"> Schematic of the region surrounding the shared haplotype block found in the 1000 genomes data with all chemosensory proteins in the cluster highlighted in yellow. Genes displayed in order of appearance, left to right, are as follows: AGAP008046, AGAP013713, AGAP008047, AGAP008048, AGAP008049, AGAP008050, AGAP008051 (</w:t>
      </w:r>
      <w:r w:rsidRPr="00F330DF">
        <w:rPr>
          <w:i/>
        </w:rPr>
        <w:t>SAP1</w:t>
      </w:r>
      <w:r w:rsidRPr="00F330DF">
        <w:t>), AGAP008052 (</w:t>
      </w:r>
      <w:r w:rsidRPr="00F330DF">
        <w:rPr>
          <w:i/>
        </w:rPr>
        <w:t>SAP2</w:t>
      </w:r>
      <w:r w:rsidRPr="00F330DF">
        <w:t>), AGAP008053, AGAP008054 (</w:t>
      </w:r>
      <w:r w:rsidRPr="00F330DF">
        <w:rPr>
          <w:i/>
        </w:rPr>
        <w:t>SAP3</w:t>
      </w:r>
      <w:r w:rsidRPr="00F330DF">
        <w:t>), AGAP008055 (</w:t>
      </w:r>
      <w:r w:rsidRPr="00F330DF">
        <w:rPr>
          <w:i/>
        </w:rPr>
        <w:t>CSP3</w:t>
      </w:r>
      <w:r w:rsidRPr="00F330DF">
        <w:t>), AGAP008056, AGAP029127 (</w:t>
      </w:r>
      <w:r w:rsidRPr="00F330DF">
        <w:rPr>
          <w:i/>
        </w:rPr>
        <w:t xml:space="preserve">CSP5, </w:t>
      </w:r>
      <w:r w:rsidRPr="00F330DF">
        <w:t>previously AGAP008058), AGAP008059 (</w:t>
      </w:r>
      <w:r w:rsidRPr="00F330DF">
        <w:rPr>
          <w:i/>
        </w:rPr>
        <w:t>CSP1</w:t>
      </w:r>
      <w:r w:rsidRPr="00F330DF">
        <w:t>), AGAP008060, AGAP008061 and AGAP008062 (</w:t>
      </w:r>
      <w:r w:rsidRPr="00F330DF">
        <w:rPr>
          <w:i/>
        </w:rPr>
        <w:t>CSP4</w:t>
      </w:r>
      <w:r w:rsidRPr="00F330DF">
        <w:t xml:space="preserve">). </w:t>
      </w:r>
      <w:r w:rsidRPr="00F330DF">
        <w:rPr>
          <w:b/>
        </w:rPr>
        <w:t>B.</w:t>
      </w:r>
      <w:r w:rsidRPr="00F330DF">
        <w:t xml:space="preserve"> cDNA bootstrap consensus tree inferred from 1000 replicates using the maximum likelihood method; the percentage of replicate trees with the associated clustering are shown next to the branches. Yellow indicates the sensory appendage proteins, orange the remaining chemosensory proteins in the 3R cluster and black dotted lines show </w:t>
      </w:r>
      <w:r w:rsidRPr="00F330DF">
        <w:rPr>
          <w:i/>
        </w:rPr>
        <w:t>CSP6</w:t>
      </w:r>
      <w:r w:rsidRPr="00F330DF">
        <w:t>, which is located on 2R. Alternative isoforms are represented with -RX, with X proceeding alphabetically dependent on number of splice variants.</w:t>
      </w:r>
    </w:p>
    <w:p w14:paraId="41A8E70B" w14:textId="391E4D23" w:rsidR="000E331E" w:rsidRPr="00F330DF" w:rsidRDefault="000E331E" w:rsidP="000E331E">
      <w:r w:rsidRPr="00F330DF">
        <w:rPr>
          <w:b/>
          <w:bCs/>
        </w:rPr>
        <w:t xml:space="preserve">Extended Data Figure 2: Overexpression of CSP family in a multi-resistant </w:t>
      </w:r>
      <w:r w:rsidRPr="00F330DF">
        <w:rPr>
          <w:b/>
          <w:bCs/>
          <w:i/>
          <w:iCs/>
        </w:rPr>
        <w:t xml:space="preserve">Anopheles </w:t>
      </w:r>
      <w:r w:rsidRPr="00F330DF">
        <w:rPr>
          <w:b/>
          <w:bCs/>
        </w:rPr>
        <w:t>population.</w:t>
      </w:r>
      <w:r w:rsidRPr="00F330DF">
        <w:t xml:space="preserve"> The left panel shows </w:t>
      </w:r>
      <w:r w:rsidR="00700517">
        <w:t xml:space="preserve">mean </w:t>
      </w:r>
      <w:r w:rsidRPr="00F330DF">
        <w:t xml:space="preserve">relative fold change of each CSP in </w:t>
      </w:r>
      <w:proofErr w:type="spellStart"/>
      <w:r w:rsidRPr="00F330DF">
        <w:t>Tiassalé</w:t>
      </w:r>
      <w:proofErr w:type="spellEnd"/>
      <w:r w:rsidRPr="00F330DF">
        <w:t xml:space="preserve"> mosquitoes (blue) compared to the susceptible control </w:t>
      </w:r>
      <w:proofErr w:type="spellStart"/>
      <w:r w:rsidRPr="00F330DF">
        <w:t>N’Gousso</w:t>
      </w:r>
      <w:proofErr w:type="spellEnd"/>
      <w:r w:rsidRPr="00F330DF">
        <w:t xml:space="preserve"> (grey) as determined by qPCR, the right panel compared to the susceptible population Kisumu (grey). Points show </w:t>
      </w:r>
      <w:r>
        <w:t xml:space="preserve">3 </w:t>
      </w:r>
      <w:r w:rsidRPr="00F330DF">
        <w:t xml:space="preserve">biological replicates and error bars show standard deviation. * p ≤ 0.05; ** p ≤ 0.01; *** p ≤ 0.001. Statistical significance calculated by an ANOVA followed by Dunnett’s </w:t>
      </w:r>
      <w:r w:rsidRPr="00F330DF">
        <w:rPr>
          <w:i/>
        </w:rPr>
        <w:t>post hoc</w:t>
      </w:r>
      <w:r w:rsidRPr="00F330DF">
        <w:t xml:space="preserve"> test</w:t>
      </w:r>
      <w:r w:rsidR="00700517">
        <w:t>; p-values are in Supplementary Table 2</w:t>
      </w:r>
      <w:r w:rsidRPr="00F330DF">
        <w:t>.</w:t>
      </w:r>
      <w:r w:rsidR="00857012">
        <w:t xml:space="preserve">  </w:t>
      </w:r>
    </w:p>
    <w:p w14:paraId="18725BD9" w14:textId="5CC411C0" w:rsidR="000E331E" w:rsidRPr="00F330DF" w:rsidRDefault="000E331E" w:rsidP="000E331E">
      <w:r w:rsidRPr="00F330DF">
        <w:rPr>
          <w:b/>
        </w:rPr>
        <w:t>Extended Data Figure 3:</w:t>
      </w:r>
      <w:r w:rsidRPr="00F330DF">
        <w:rPr>
          <w:rFonts w:eastAsiaTheme="minorEastAsia"/>
        </w:rPr>
        <w:t xml:space="preserve"> </w:t>
      </w:r>
      <w:r w:rsidRPr="00F330DF">
        <w:rPr>
          <w:rFonts w:eastAsiaTheme="minorEastAsia"/>
          <w:b/>
        </w:rPr>
        <w:t xml:space="preserve">Expression levels of non-induced chemosensory proteins post-deltamethrin exposure in </w:t>
      </w:r>
      <w:proofErr w:type="spellStart"/>
      <w:r w:rsidRPr="00F330DF">
        <w:rPr>
          <w:b/>
        </w:rPr>
        <w:t>Tiassalé</w:t>
      </w:r>
      <w:proofErr w:type="spellEnd"/>
      <w:r w:rsidRPr="00F330DF">
        <w:rPr>
          <w:b/>
        </w:rPr>
        <w:t>.</w:t>
      </w:r>
      <w:r w:rsidRPr="00F330DF">
        <w:t xml:space="preserve"> </w:t>
      </w:r>
      <w:r w:rsidRPr="00F330DF">
        <w:rPr>
          <w:b/>
          <w:bCs/>
        </w:rPr>
        <w:t>A.</w:t>
      </w:r>
      <w:r w:rsidRPr="00F330DF">
        <w:t xml:space="preserve"> Expression levels of the remaining four CSPs at various time points post-deltamethrin exposure in the multi-resistant population </w:t>
      </w:r>
      <w:proofErr w:type="spellStart"/>
      <w:r w:rsidRPr="00F330DF">
        <w:t>Tiassalé</w:t>
      </w:r>
      <w:proofErr w:type="spellEnd"/>
      <w:r w:rsidRPr="00F330DF">
        <w:t xml:space="preserve">. </w:t>
      </w:r>
      <w:r w:rsidRPr="00F330DF">
        <w:rPr>
          <w:b/>
          <w:bCs/>
        </w:rPr>
        <w:t>B.</w:t>
      </w:r>
      <w:r w:rsidRPr="00F330DF">
        <w:t xml:space="preserve"> Tissue specific induction of these four CSPs 4-hours post-deltamethrin exposure. The data show </w:t>
      </w:r>
      <w:proofErr w:type="gramStart"/>
      <w:r w:rsidRPr="00F330DF">
        <w:t>mean</w:t>
      </w:r>
      <w:proofErr w:type="gramEnd"/>
      <w:r>
        <w:t xml:space="preserve"> of 3 biological replicates</w:t>
      </w:r>
      <w:r w:rsidRPr="00F330DF">
        <w:t xml:space="preserve"> ± standard deviation. * p ≤ 0.05; ** p ≤ 0.01; *** p ≤ 0.001. Statistical significance calculated by an ANOVA followed by Dunnett’s </w:t>
      </w:r>
      <w:r w:rsidRPr="00F330DF">
        <w:rPr>
          <w:i/>
        </w:rPr>
        <w:t>post hoc</w:t>
      </w:r>
      <w:r w:rsidRPr="00F330DF">
        <w:t xml:space="preserve"> test. If the data was non-normal, data was analysed using </w:t>
      </w:r>
      <w:proofErr w:type="spellStart"/>
      <w:r w:rsidRPr="00F330DF">
        <w:t>Kruskall</w:t>
      </w:r>
      <w:proofErr w:type="spellEnd"/>
      <w:r w:rsidRPr="00F330DF">
        <w:t xml:space="preserve">-Wallis followed by a Dunn’s </w:t>
      </w:r>
      <w:r w:rsidRPr="00F330DF">
        <w:rPr>
          <w:i/>
        </w:rPr>
        <w:t>post hoc</w:t>
      </w:r>
      <w:r w:rsidRPr="00F330DF">
        <w:t xml:space="preserve"> test</w:t>
      </w:r>
      <w:r w:rsidR="00700517">
        <w:t>; p-values are in Supplementary Table 2</w:t>
      </w:r>
      <w:r>
        <w:t>.</w:t>
      </w:r>
    </w:p>
    <w:p w14:paraId="064DDDC0" w14:textId="77777777" w:rsidR="000E331E" w:rsidRPr="00F330DF" w:rsidRDefault="000E331E" w:rsidP="000E331E">
      <w:pPr>
        <w:rPr>
          <w:rFonts w:eastAsiaTheme="minorEastAsia"/>
        </w:rPr>
      </w:pPr>
      <w:r w:rsidRPr="00F330DF">
        <w:rPr>
          <w:rFonts w:eastAsiaTheme="minorEastAsia"/>
          <w:b/>
        </w:rPr>
        <w:t>Extended Data Figure 4: Efficacy of RNAi.</w:t>
      </w:r>
      <w:r w:rsidRPr="00F330DF">
        <w:rPr>
          <w:rFonts w:eastAsiaTheme="minorEastAsia"/>
        </w:rPr>
        <w:t xml:space="preserve"> mRNA knockdown of whole female mosquitoes 72-hours post injection compared to GFP injected controls.</w:t>
      </w:r>
      <w:r>
        <w:rPr>
          <w:rFonts w:eastAsiaTheme="minorEastAsia"/>
        </w:rPr>
        <w:t xml:space="preserve"> Mean of 3 biological replicates and standard deviation shown.</w:t>
      </w:r>
    </w:p>
    <w:p w14:paraId="3E7DEE0D" w14:textId="522AEB3B" w:rsidR="000E331E" w:rsidRPr="00F330DF" w:rsidRDefault="000E331E" w:rsidP="000E331E">
      <w:r w:rsidRPr="00F330DF">
        <w:rPr>
          <w:b/>
        </w:rPr>
        <w:t xml:space="preserve">Extended Data Figure 5: Phenotype of other induced CSPs to a panel of insecticides. </w:t>
      </w:r>
      <w:r w:rsidRPr="00F330DF">
        <w:rPr>
          <w:rFonts w:eastAsiaTheme="minorEastAsia"/>
        </w:rPr>
        <w:t>Effect of attenuation of (a) ds</w:t>
      </w:r>
      <w:r w:rsidRPr="00F330DF">
        <w:rPr>
          <w:rFonts w:eastAsiaTheme="minorEastAsia"/>
          <w:i/>
        </w:rPr>
        <w:t xml:space="preserve">SAP3 </w:t>
      </w:r>
      <w:r w:rsidR="00134B93" w:rsidRPr="00134B93">
        <w:rPr>
          <w:rFonts w:eastAsiaTheme="minorEastAsia"/>
          <w:iCs/>
        </w:rPr>
        <w:t>(</w:t>
      </w:r>
      <w:proofErr w:type="spellStart"/>
      <w:r w:rsidR="00134B93">
        <w:t>n</w:t>
      </w:r>
      <w:r w:rsidR="00134B93" w:rsidRPr="00134B93">
        <w:rPr>
          <w:vertAlign w:val="subscript"/>
        </w:rPr>
        <w:t>deltamethrin</w:t>
      </w:r>
      <w:proofErr w:type="spellEnd"/>
      <w:r w:rsidR="00134B93">
        <w:t xml:space="preserve"> = 4;</w:t>
      </w:r>
      <w:r w:rsidR="00134B93" w:rsidRPr="00134B93">
        <w:t xml:space="preserve"> </w:t>
      </w:r>
      <w:proofErr w:type="spellStart"/>
      <w:r w:rsidR="00134B93">
        <w:t>n</w:t>
      </w:r>
      <w:r w:rsidR="00134B93">
        <w:rPr>
          <w:vertAlign w:val="subscript"/>
        </w:rPr>
        <w:t>per</w:t>
      </w:r>
      <w:r w:rsidR="00134B93" w:rsidRPr="00134B93">
        <w:rPr>
          <w:vertAlign w:val="subscript"/>
        </w:rPr>
        <w:t>methrin</w:t>
      </w:r>
      <w:proofErr w:type="spellEnd"/>
      <w:r w:rsidR="00134B93">
        <w:t xml:space="preserve"> = 5; n</w:t>
      </w:r>
      <w:r w:rsidR="00134B93">
        <w:rPr>
          <w:vertAlign w:val="subscript"/>
        </w:rPr>
        <w:sym w:font="Symbol" w:char="F061"/>
      </w:r>
      <w:r w:rsidR="00134B93">
        <w:rPr>
          <w:vertAlign w:val="subscript"/>
        </w:rPr>
        <w:t>-cypermethrin</w:t>
      </w:r>
      <w:r w:rsidR="00134B93">
        <w:t xml:space="preserve"> = 3;</w:t>
      </w:r>
      <w:r w:rsidR="00134B93" w:rsidRPr="00134B93">
        <w:t xml:space="preserve"> </w:t>
      </w:r>
      <w:proofErr w:type="spellStart"/>
      <w:r w:rsidR="00134B93">
        <w:t>n</w:t>
      </w:r>
      <w:r w:rsidR="00134B93">
        <w:rPr>
          <w:vertAlign w:val="subscript"/>
        </w:rPr>
        <w:t>DDT</w:t>
      </w:r>
      <w:proofErr w:type="spellEnd"/>
      <w:r w:rsidR="00134B93">
        <w:t xml:space="preserve"> = 3; </w:t>
      </w:r>
      <w:proofErr w:type="spellStart"/>
      <w:r w:rsidR="00134B93">
        <w:t>n</w:t>
      </w:r>
      <w:r w:rsidR="00134B93">
        <w:rPr>
          <w:vertAlign w:val="subscript"/>
        </w:rPr>
        <w:t>pirimiphos</w:t>
      </w:r>
      <w:proofErr w:type="spellEnd"/>
      <w:r w:rsidR="00134B93">
        <w:rPr>
          <w:vertAlign w:val="subscript"/>
        </w:rPr>
        <w:t>-methyl</w:t>
      </w:r>
      <w:r w:rsidR="00134B93">
        <w:t xml:space="preserve"> = 3; </w:t>
      </w:r>
      <w:proofErr w:type="spellStart"/>
      <w:r w:rsidR="00134B93">
        <w:t>n</w:t>
      </w:r>
      <w:r w:rsidR="00134B93">
        <w:rPr>
          <w:vertAlign w:val="subscript"/>
        </w:rPr>
        <w:t>bendiocarb</w:t>
      </w:r>
      <w:proofErr w:type="spellEnd"/>
      <w:r w:rsidR="00134B93">
        <w:t xml:space="preserve"> = 4</w:t>
      </w:r>
      <w:r w:rsidR="00134B93">
        <w:rPr>
          <w:rFonts w:eastAsiaTheme="minorEastAsia"/>
        </w:rPr>
        <w:t xml:space="preserve">) </w:t>
      </w:r>
      <w:r w:rsidRPr="00F330DF">
        <w:rPr>
          <w:rFonts w:eastAsiaTheme="minorEastAsia"/>
        </w:rPr>
        <w:t>(b) ds</w:t>
      </w:r>
      <w:r w:rsidRPr="00F330DF">
        <w:rPr>
          <w:rFonts w:eastAsiaTheme="minorEastAsia"/>
          <w:i/>
        </w:rPr>
        <w:t>CSP4</w:t>
      </w:r>
      <w:r w:rsidR="00134B93">
        <w:rPr>
          <w:rFonts w:eastAsiaTheme="minorEastAsia"/>
          <w:i/>
        </w:rPr>
        <w:t xml:space="preserve"> </w:t>
      </w:r>
      <w:r w:rsidR="00134B93" w:rsidRPr="00134B93">
        <w:rPr>
          <w:rFonts w:eastAsiaTheme="minorEastAsia"/>
          <w:iCs/>
        </w:rPr>
        <w:t>(</w:t>
      </w:r>
      <w:proofErr w:type="spellStart"/>
      <w:r w:rsidR="00134B93">
        <w:t>n</w:t>
      </w:r>
      <w:r w:rsidR="00134B93" w:rsidRPr="00134B93">
        <w:rPr>
          <w:vertAlign w:val="subscript"/>
        </w:rPr>
        <w:t>deltamethrin</w:t>
      </w:r>
      <w:proofErr w:type="spellEnd"/>
      <w:r w:rsidR="00134B93">
        <w:t xml:space="preserve"> = 3;</w:t>
      </w:r>
      <w:r w:rsidR="00134B93" w:rsidRPr="00134B93">
        <w:t xml:space="preserve"> </w:t>
      </w:r>
      <w:proofErr w:type="spellStart"/>
      <w:r w:rsidR="00134B93">
        <w:t>n</w:t>
      </w:r>
      <w:r w:rsidR="00134B93">
        <w:rPr>
          <w:vertAlign w:val="subscript"/>
        </w:rPr>
        <w:t>per</w:t>
      </w:r>
      <w:r w:rsidR="00134B93" w:rsidRPr="00134B93">
        <w:rPr>
          <w:vertAlign w:val="subscript"/>
        </w:rPr>
        <w:t>methrin</w:t>
      </w:r>
      <w:proofErr w:type="spellEnd"/>
      <w:r w:rsidR="00134B93">
        <w:t xml:space="preserve"> = 3; n</w:t>
      </w:r>
      <w:r w:rsidR="00134B93">
        <w:rPr>
          <w:vertAlign w:val="subscript"/>
        </w:rPr>
        <w:sym w:font="Symbol" w:char="F061"/>
      </w:r>
      <w:r w:rsidR="00134B93">
        <w:rPr>
          <w:vertAlign w:val="subscript"/>
        </w:rPr>
        <w:t>-cypermethrin</w:t>
      </w:r>
      <w:r w:rsidR="00134B93">
        <w:t xml:space="preserve"> = 3;</w:t>
      </w:r>
      <w:r w:rsidR="00134B93" w:rsidRPr="00134B93">
        <w:t xml:space="preserve"> </w:t>
      </w:r>
      <w:proofErr w:type="spellStart"/>
      <w:r w:rsidR="00134B93">
        <w:t>n</w:t>
      </w:r>
      <w:r w:rsidR="00134B93">
        <w:rPr>
          <w:vertAlign w:val="subscript"/>
        </w:rPr>
        <w:t>DDT</w:t>
      </w:r>
      <w:proofErr w:type="spellEnd"/>
      <w:r w:rsidR="00134B93">
        <w:t xml:space="preserve"> = 3; </w:t>
      </w:r>
      <w:proofErr w:type="spellStart"/>
      <w:r w:rsidR="00134B93">
        <w:t>n</w:t>
      </w:r>
      <w:r w:rsidR="00134B93">
        <w:rPr>
          <w:vertAlign w:val="subscript"/>
        </w:rPr>
        <w:t>pirimiphos</w:t>
      </w:r>
      <w:proofErr w:type="spellEnd"/>
      <w:r w:rsidR="00134B93">
        <w:rPr>
          <w:vertAlign w:val="subscript"/>
        </w:rPr>
        <w:t>-methyl</w:t>
      </w:r>
      <w:r w:rsidR="00134B93">
        <w:t xml:space="preserve"> = 3; </w:t>
      </w:r>
      <w:proofErr w:type="spellStart"/>
      <w:r w:rsidR="00134B93">
        <w:t>n</w:t>
      </w:r>
      <w:r w:rsidR="00134B93">
        <w:rPr>
          <w:vertAlign w:val="subscript"/>
        </w:rPr>
        <w:t>bendiocarb</w:t>
      </w:r>
      <w:proofErr w:type="spellEnd"/>
      <w:r w:rsidR="00134B93">
        <w:t xml:space="preserve"> = 3</w:t>
      </w:r>
      <w:r w:rsidR="00134B93">
        <w:rPr>
          <w:rFonts w:eastAsiaTheme="minorEastAsia"/>
        </w:rPr>
        <w:t>)</w:t>
      </w:r>
      <w:r w:rsidRPr="00F330DF">
        <w:rPr>
          <w:rFonts w:eastAsiaTheme="minorEastAsia"/>
          <w:i/>
        </w:rPr>
        <w:t xml:space="preserve"> </w:t>
      </w:r>
      <w:r w:rsidRPr="00F330DF">
        <w:rPr>
          <w:rFonts w:eastAsiaTheme="minorEastAsia"/>
        </w:rPr>
        <w:t xml:space="preserve">and (c) </w:t>
      </w:r>
      <w:r w:rsidRPr="00F330DF">
        <w:rPr>
          <w:rFonts w:eastAsiaTheme="minorEastAsia"/>
          <w:i/>
        </w:rPr>
        <w:t xml:space="preserve">dsCSP6 </w:t>
      </w:r>
      <w:r w:rsidR="00134B93" w:rsidRPr="00134B93">
        <w:rPr>
          <w:rFonts w:eastAsiaTheme="minorEastAsia"/>
          <w:iCs/>
        </w:rPr>
        <w:t>(</w:t>
      </w:r>
      <w:proofErr w:type="spellStart"/>
      <w:r w:rsidR="00134B93">
        <w:t>n</w:t>
      </w:r>
      <w:r w:rsidR="00134B93" w:rsidRPr="00134B93">
        <w:rPr>
          <w:vertAlign w:val="subscript"/>
        </w:rPr>
        <w:t>deltamethrin</w:t>
      </w:r>
      <w:proofErr w:type="spellEnd"/>
      <w:r w:rsidR="00134B93">
        <w:t xml:space="preserve"> = 6;</w:t>
      </w:r>
      <w:r w:rsidR="00134B93" w:rsidRPr="00134B93">
        <w:t xml:space="preserve"> </w:t>
      </w:r>
      <w:proofErr w:type="spellStart"/>
      <w:r w:rsidR="00134B93">
        <w:t>n</w:t>
      </w:r>
      <w:r w:rsidR="00134B93">
        <w:rPr>
          <w:vertAlign w:val="subscript"/>
        </w:rPr>
        <w:t>per</w:t>
      </w:r>
      <w:r w:rsidR="00134B93" w:rsidRPr="00134B93">
        <w:rPr>
          <w:vertAlign w:val="subscript"/>
        </w:rPr>
        <w:t>methrin</w:t>
      </w:r>
      <w:proofErr w:type="spellEnd"/>
      <w:r w:rsidR="00134B93">
        <w:t xml:space="preserve"> = 4; n</w:t>
      </w:r>
      <w:r w:rsidR="00134B93">
        <w:rPr>
          <w:vertAlign w:val="subscript"/>
        </w:rPr>
        <w:sym w:font="Symbol" w:char="F061"/>
      </w:r>
      <w:r w:rsidR="00134B93">
        <w:rPr>
          <w:vertAlign w:val="subscript"/>
        </w:rPr>
        <w:t>-cypermethrin</w:t>
      </w:r>
      <w:r w:rsidR="00134B93">
        <w:t xml:space="preserve"> = 4;</w:t>
      </w:r>
      <w:r w:rsidR="00134B93" w:rsidRPr="00134B93">
        <w:t xml:space="preserve"> </w:t>
      </w:r>
      <w:proofErr w:type="spellStart"/>
      <w:r w:rsidR="00134B93">
        <w:t>n</w:t>
      </w:r>
      <w:r w:rsidR="00134B93">
        <w:rPr>
          <w:vertAlign w:val="subscript"/>
        </w:rPr>
        <w:t>DDT</w:t>
      </w:r>
      <w:proofErr w:type="spellEnd"/>
      <w:r w:rsidR="00134B93">
        <w:t xml:space="preserve"> = 3; </w:t>
      </w:r>
      <w:proofErr w:type="spellStart"/>
      <w:r w:rsidR="00134B93">
        <w:t>n</w:t>
      </w:r>
      <w:r w:rsidR="00134B93">
        <w:rPr>
          <w:vertAlign w:val="subscript"/>
        </w:rPr>
        <w:t>pirimiphos</w:t>
      </w:r>
      <w:proofErr w:type="spellEnd"/>
      <w:r w:rsidR="00134B93">
        <w:rPr>
          <w:vertAlign w:val="subscript"/>
        </w:rPr>
        <w:t>-methyl</w:t>
      </w:r>
      <w:r w:rsidR="00134B93">
        <w:t xml:space="preserve"> = 4; </w:t>
      </w:r>
      <w:proofErr w:type="spellStart"/>
      <w:r w:rsidR="00134B93">
        <w:t>n</w:t>
      </w:r>
      <w:r w:rsidR="00134B93">
        <w:rPr>
          <w:vertAlign w:val="subscript"/>
        </w:rPr>
        <w:t>bendiocarb</w:t>
      </w:r>
      <w:proofErr w:type="spellEnd"/>
      <w:r w:rsidR="00134B93">
        <w:t xml:space="preserve"> = 5</w:t>
      </w:r>
      <w:r w:rsidR="00134B93">
        <w:rPr>
          <w:rFonts w:eastAsiaTheme="minorEastAsia"/>
        </w:rPr>
        <w:t xml:space="preserve">) </w:t>
      </w:r>
      <w:r w:rsidRPr="00F330DF">
        <w:rPr>
          <w:rFonts w:eastAsiaTheme="minorEastAsia"/>
        </w:rPr>
        <w:t xml:space="preserve">on mortality after insecticide exposure in </w:t>
      </w:r>
      <w:proofErr w:type="spellStart"/>
      <w:r w:rsidRPr="00F330DF">
        <w:t>Tiassalé</w:t>
      </w:r>
      <w:proofErr w:type="spellEnd"/>
      <w:r w:rsidRPr="00F330DF">
        <w:t xml:space="preserve"> mosquitoes (right bars) compared to </w:t>
      </w:r>
      <w:proofErr w:type="spellStart"/>
      <w:r w:rsidRPr="00F330DF">
        <w:t>dsGFP</w:t>
      </w:r>
      <w:proofErr w:type="spellEnd"/>
      <w:r w:rsidRPr="00F330DF">
        <w:t xml:space="preserve"> injected controls (left bars, green patterned</w:t>
      </w:r>
      <w:r w:rsidR="00134B93">
        <w:t xml:space="preserve">; </w:t>
      </w:r>
      <w:proofErr w:type="spellStart"/>
      <w:r w:rsidR="00134B93">
        <w:t>n</w:t>
      </w:r>
      <w:r w:rsidR="00134B93" w:rsidRPr="00134B93">
        <w:rPr>
          <w:vertAlign w:val="subscript"/>
        </w:rPr>
        <w:t>deltamethrin</w:t>
      </w:r>
      <w:proofErr w:type="spellEnd"/>
      <w:r w:rsidR="00134B93">
        <w:t xml:space="preserve"> = 5;</w:t>
      </w:r>
      <w:r w:rsidR="00134B93" w:rsidRPr="00134B93">
        <w:t xml:space="preserve"> </w:t>
      </w:r>
      <w:proofErr w:type="spellStart"/>
      <w:r w:rsidR="00134B93">
        <w:t>n</w:t>
      </w:r>
      <w:r w:rsidR="00134B93">
        <w:rPr>
          <w:vertAlign w:val="subscript"/>
        </w:rPr>
        <w:t>per</w:t>
      </w:r>
      <w:r w:rsidR="00134B93" w:rsidRPr="00134B93">
        <w:rPr>
          <w:vertAlign w:val="subscript"/>
        </w:rPr>
        <w:t>methrin</w:t>
      </w:r>
      <w:proofErr w:type="spellEnd"/>
      <w:r w:rsidR="00134B93">
        <w:t xml:space="preserve"> = 5; n</w:t>
      </w:r>
      <w:r w:rsidR="00134B93">
        <w:rPr>
          <w:vertAlign w:val="subscript"/>
        </w:rPr>
        <w:sym w:font="Symbol" w:char="F061"/>
      </w:r>
      <w:r w:rsidR="00134B93">
        <w:rPr>
          <w:vertAlign w:val="subscript"/>
        </w:rPr>
        <w:t>-cypermethrin</w:t>
      </w:r>
      <w:r w:rsidR="00134B93">
        <w:t xml:space="preserve"> = 5;</w:t>
      </w:r>
      <w:r w:rsidR="00134B93" w:rsidRPr="00134B93">
        <w:t xml:space="preserve"> </w:t>
      </w:r>
      <w:proofErr w:type="spellStart"/>
      <w:r w:rsidR="00134B93">
        <w:t>n</w:t>
      </w:r>
      <w:r w:rsidR="00134B93">
        <w:rPr>
          <w:vertAlign w:val="subscript"/>
        </w:rPr>
        <w:t>DDT</w:t>
      </w:r>
      <w:proofErr w:type="spellEnd"/>
      <w:r w:rsidR="00134B93">
        <w:t xml:space="preserve"> = 4; </w:t>
      </w:r>
      <w:proofErr w:type="spellStart"/>
      <w:r w:rsidR="00134B93">
        <w:t>n</w:t>
      </w:r>
      <w:r w:rsidR="00134B93">
        <w:rPr>
          <w:vertAlign w:val="subscript"/>
        </w:rPr>
        <w:t>pirimiphos</w:t>
      </w:r>
      <w:proofErr w:type="spellEnd"/>
      <w:r w:rsidR="00134B93">
        <w:rPr>
          <w:vertAlign w:val="subscript"/>
        </w:rPr>
        <w:t>-methyl</w:t>
      </w:r>
      <w:r w:rsidR="00134B93">
        <w:t xml:space="preserve"> = 4; </w:t>
      </w:r>
      <w:proofErr w:type="spellStart"/>
      <w:r w:rsidR="00134B93">
        <w:t>n</w:t>
      </w:r>
      <w:r w:rsidR="00134B93">
        <w:rPr>
          <w:vertAlign w:val="subscript"/>
        </w:rPr>
        <w:t>bendiocarb</w:t>
      </w:r>
      <w:proofErr w:type="spellEnd"/>
      <w:r w:rsidR="00134B93">
        <w:t xml:space="preserve"> = 8</w:t>
      </w:r>
      <w:r w:rsidRPr="00F330DF">
        <w:t>)</w:t>
      </w:r>
      <w:r w:rsidRPr="00F330DF">
        <w:rPr>
          <w:rFonts w:eastAsiaTheme="minorEastAsia"/>
        </w:rPr>
        <w:t xml:space="preserve">.  </w:t>
      </w:r>
      <w:r w:rsidRPr="00F330DF">
        <w:t xml:space="preserve">Analysis of mortality data was done using an ANOVA test followed by a Tukey </w:t>
      </w:r>
      <w:r w:rsidRPr="00F330DF">
        <w:rPr>
          <w:i/>
        </w:rPr>
        <w:t>post hoc</w:t>
      </w:r>
      <w:r w:rsidRPr="00F330DF">
        <w:t xml:space="preserve"> test,</w:t>
      </w:r>
      <w:r w:rsidRPr="00F330DF">
        <w:rPr>
          <w:rFonts w:eastAsiaTheme="minorEastAsia"/>
        </w:rPr>
        <w:t xml:space="preserve"> </w:t>
      </w:r>
      <w:proofErr w:type="spellStart"/>
      <w:r w:rsidRPr="00F330DF">
        <w:rPr>
          <w:rFonts w:eastAsiaTheme="minorEastAsia"/>
        </w:rPr>
        <w:t>n.s</w:t>
      </w:r>
      <w:proofErr w:type="spellEnd"/>
      <w:r w:rsidRPr="00F330DF">
        <w:rPr>
          <w:rFonts w:eastAsiaTheme="minorEastAsia"/>
        </w:rPr>
        <w:t xml:space="preserve"> indicates a non-significant change in mortality, * p </w:t>
      </w:r>
      <w:r w:rsidRPr="00F330DF">
        <w:t>≤ 0.05. ds</w:t>
      </w:r>
      <w:r w:rsidRPr="00F330DF">
        <w:rPr>
          <w:i/>
        </w:rPr>
        <w:t>CSP6</w:t>
      </w:r>
      <w:r w:rsidRPr="00F330DF">
        <w:t xml:space="preserve"> µ</w:t>
      </w:r>
      <w:r w:rsidRPr="00F330DF">
        <w:rPr>
          <w:vertAlign w:val="subscript"/>
        </w:rPr>
        <w:t>mortality</w:t>
      </w:r>
      <w:r w:rsidRPr="00F330DF">
        <w:t xml:space="preserve"> = 11.7% to 31.6%, p = 0.0474. N shows number of individual mosquitoes used for </w:t>
      </w:r>
      <w:r w:rsidRPr="00F330DF">
        <w:lastRenderedPageBreak/>
        <w:t>phenotyping; points show the number of bioassay replicates per group. Error bars show standard deviation.</w:t>
      </w:r>
    </w:p>
    <w:p w14:paraId="2188A8C4" w14:textId="56005C38" w:rsidR="000E331E" w:rsidRPr="00C72DE5" w:rsidRDefault="000E331E" w:rsidP="000E331E">
      <w:pPr>
        <w:rPr>
          <w:rFonts w:ascii="Times New Roman" w:eastAsia="Times New Roman" w:hAnsi="Times New Roman" w:cs="Times New Roman"/>
          <w:sz w:val="24"/>
          <w:szCs w:val="24"/>
          <w:lang w:eastAsia="en-GB"/>
        </w:rPr>
      </w:pPr>
      <w:r w:rsidRPr="00F330DF">
        <w:rPr>
          <w:rFonts w:eastAsiaTheme="minorEastAsia"/>
          <w:b/>
        </w:rPr>
        <w:t>Extended Data Figure 6:</w:t>
      </w:r>
      <w:r w:rsidRPr="00F330DF">
        <w:rPr>
          <w:rFonts w:eastAsiaTheme="minorEastAsia"/>
        </w:rPr>
        <w:t xml:space="preserve"> </w:t>
      </w:r>
      <w:r w:rsidRPr="00F330DF">
        <w:rPr>
          <w:rFonts w:eastAsiaTheme="minorEastAsia"/>
          <w:b/>
        </w:rPr>
        <w:t xml:space="preserve">Characterisation of </w:t>
      </w:r>
      <w:r w:rsidRPr="00F330DF">
        <w:rPr>
          <w:rFonts w:eastAsiaTheme="minorEastAsia"/>
          <w:b/>
          <w:i/>
        </w:rPr>
        <w:t xml:space="preserve">SAP2 </w:t>
      </w:r>
      <w:r w:rsidRPr="00F330DF">
        <w:rPr>
          <w:rFonts w:eastAsiaTheme="minorEastAsia"/>
          <w:b/>
        </w:rPr>
        <w:t>in the transgenic line.</w:t>
      </w:r>
      <w:r w:rsidRPr="00F330DF">
        <w:rPr>
          <w:rFonts w:eastAsiaTheme="minorEastAsia"/>
        </w:rPr>
        <w:t xml:space="preserve"> </w:t>
      </w:r>
      <w:r w:rsidRPr="00F330DF">
        <w:rPr>
          <w:rFonts w:eastAsiaTheme="minorEastAsia"/>
          <w:b/>
          <w:bCs/>
        </w:rPr>
        <w:t>A.</w:t>
      </w:r>
      <w:r w:rsidRPr="00F330DF">
        <w:rPr>
          <w:rFonts w:eastAsiaTheme="minorEastAsia"/>
        </w:rPr>
        <w:t xml:space="preserve"> </w:t>
      </w:r>
      <w:r w:rsidR="00134B93">
        <w:rPr>
          <w:rFonts w:eastAsiaTheme="minorEastAsia"/>
        </w:rPr>
        <w:t xml:space="preserve">Mean </w:t>
      </w:r>
      <w:r w:rsidRPr="00F330DF">
        <w:rPr>
          <w:rFonts w:eastAsiaTheme="minorEastAsia"/>
        </w:rPr>
        <w:t xml:space="preserve">mRNA expression of </w:t>
      </w:r>
      <w:r w:rsidRPr="0013398B">
        <w:rPr>
          <w:rFonts w:eastAsiaTheme="minorEastAsia"/>
          <w:i/>
          <w:iCs/>
        </w:rPr>
        <w:t>SAP2</w:t>
      </w:r>
      <w:r w:rsidRPr="00F330DF">
        <w:rPr>
          <w:rFonts w:eastAsiaTheme="minorEastAsia"/>
        </w:rPr>
        <w:t xml:space="preserve"> overexpression in the </w:t>
      </w:r>
      <w:r w:rsidRPr="0013398B">
        <w:rPr>
          <w:rFonts w:eastAsiaTheme="minorEastAsia"/>
          <w:i/>
          <w:iCs/>
        </w:rPr>
        <w:t>SAP2</w:t>
      </w:r>
      <w:r w:rsidRPr="00F330DF">
        <w:rPr>
          <w:rFonts w:eastAsiaTheme="minorEastAsia"/>
        </w:rPr>
        <w:t xml:space="preserve"> x A10 transgenic line </w:t>
      </w:r>
      <w:r w:rsidR="00134B93">
        <w:rPr>
          <w:rFonts w:eastAsiaTheme="minorEastAsia"/>
        </w:rPr>
        <w:t xml:space="preserve">(n=2) </w:t>
      </w:r>
      <w:r w:rsidRPr="00F330DF">
        <w:rPr>
          <w:rFonts w:eastAsiaTheme="minorEastAsia"/>
        </w:rPr>
        <w:t xml:space="preserve">compared to </w:t>
      </w:r>
      <w:r w:rsidRPr="0013398B">
        <w:rPr>
          <w:rFonts w:eastAsiaTheme="minorEastAsia"/>
          <w:i/>
          <w:iCs/>
        </w:rPr>
        <w:t>SAP2</w:t>
      </w:r>
      <w:r w:rsidRPr="00F330DF">
        <w:rPr>
          <w:rFonts w:eastAsiaTheme="minorEastAsia"/>
        </w:rPr>
        <w:t xml:space="preserve"> in the A10 x G3 control</w:t>
      </w:r>
      <w:r w:rsidR="00134B93">
        <w:rPr>
          <w:rFonts w:eastAsiaTheme="minorEastAsia"/>
        </w:rPr>
        <w:t xml:space="preserve"> (n = 3).</w:t>
      </w:r>
      <w:r w:rsidRPr="00F330DF">
        <w:rPr>
          <w:rFonts w:eastAsiaTheme="minorEastAsia"/>
        </w:rPr>
        <w:t xml:space="preserve"> </w:t>
      </w:r>
      <w:r w:rsidRPr="00F330DF">
        <w:t xml:space="preserve">Error bars represent standard deviation and points show each biological replicate. </w:t>
      </w:r>
      <w:r w:rsidRPr="00F330DF">
        <w:rPr>
          <w:b/>
          <w:bCs/>
        </w:rPr>
        <w:t>B.</w:t>
      </w:r>
      <w:r w:rsidRPr="00F330DF">
        <w:t xml:space="preserve"> </w:t>
      </w:r>
      <w:proofErr w:type="spellStart"/>
      <w:r w:rsidRPr="00F330DF">
        <w:t>mCherry</w:t>
      </w:r>
      <w:proofErr w:type="spellEnd"/>
      <w:r w:rsidRPr="00F330DF">
        <w:t xml:space="preserve"> under the </w:t>
      </w:r>
      <w:r w:rsidRPr="00F330DF">
        <w:rPr>
          <w:i/>
          <w:iCs/>
        </w:rPr>
        <w:t>Polyubiquitin c</w:t>
      </w:r>
      <w:r w:rsidRPr="00F330DF">
        <w:t xml:space="preserve"> A10 promoter demonstrating (</w:t>
      </w:r>
      <w:proofErr w:type="spellStart"/>
      <w:r w:rsidRPr="00F330DF">
        <w:t>i</w:t>
      </w:r>
      <w:proofErr w:type="spellEnd"/>
      <w:r w:rsidRPr="00F330DF">
        <w:t>) ubiquitous expression; (ii) expression in the head; (iii) expression in the legs as shown previously by Adolfi et al. 2018</w:t>
      </w:r>
      <w:r w:rsidR="00846063">
        <w:t>; these results were tested</w:t>
      </w:r>
      <w:r w:rsidR="00DD5076">
        <w:t xml:space="preserve"> across </w:t>
      </w:r>
      <w:r w:rsidR="0013398B">
        <w:t>over a hundred</w:t>
      </w:r>
      <w:r w:rsidR="00DD5076">
        <w:t xml:space="preserve"> independent mosquito screening</w:t>
      </w:r>
      <w:r w:rsidR="003C166A">
        <w:t>s</w:t>
      </w:r>
      <w:r w:rsidRPr="00F330DF">
        <w:t xml:space="preserve">. </w:t>
      </w:r>
      <w:r w:rsidRPr="00F330DF">
        <w:rPr>
          <w:b/>
          <w:bCs/>
        </w:rPr>
        <w:t>C.</w:t>
      </w:r>
      <w:r w:rsidRPr="00F330DF">
        <w:t xml:space="preserve"> Intron splicing confirmed by PCR in A10</w:t>
      </w:r>
      <w:r w:rsidR="0013398B">
        <w:t xml:space="preserve"> x </w:t>
      </w:r>
      <w:r w:rsidRPr="0013398B">
        <w:rPr>
          <w:i/>
          <w:iCs/>
        </w:rPr>
        <w:t>SAP2</w:t>
      </w:r>
      <w:r w:rsidRPr="00F330DF">
        <w:t xml:space="preserve"> and negative control A10 mosquitoes compared to plasmid DNA: p</w:t>
      </w:r>
      <w:r w:rsidRPr="00F330DF">
        <w:rPr>
          <w:rFonts w:eastAsiaTheme="minorEastAsia"/>
          <w:color w:val="000000" w:themeColor="text1"/>
        </w:rPr>
        <w:t>UAS-</w:t>
      </w:r>
      <w:r w:rsidRPr="0013398B">
        <w:rPr>
          <w:rFonts w:eastAsiaTheme="minorEastAsia"/>
          <w:i/>
          <w:iCs/>
          <w:color w:val="000000" w:themeColor="text1"/>
        </w:rPr>
        <w:t>SAP2</w:t>
      </w:r>
      <w:r w:rsidRPr="00F330DF">
        <w:t>. Size of PCR product with and without synthetic intron 647bp and 534bp, respectively. MW: 100bp DNA ladder.</w:t>
      </w:r>
      <w:r w:rsidR="00C72DE5">
        <w:t xml:space="preserve"> </w:t>
      </w:r>
      <w:r w:rsidR="00C72DE5" w:rsidRPr="00C72DE5">
        <w:rPr>
          <w:rFonts w:ascii="Calibri" w:eastAsia="Times New Roman" w:hAnsi="Calibri" w:cs="Calibri"/>
          <w:color w:val="000000"/>
          <w:lang w:eastAsia="en-GB"/>
        </w:rPr>
        <w:t xml:space="preserve">2 samples </w:t>
      </w:r>
      <w:r w:rsidR="00887155">
        <w:rPr>
          <w:rFonts w:ascii="Calibri" w:eastAsia="Times New Roman" w:hAnsi="Calibri" w:cs="Calibri"/>
          <w:color w:val="000000"/>
          <w:lang w:eastAsia="en-GB"/>
        </w:rPr>
        <w:t>A10</w:t>
      </w:r>
      <w:r w:rsidR="0013398B">
        <w:rPr>
          <w:rFonts w:ascii="Calibri" w:eastAsia="Times New Roman" w:hAnsi="Calibri" w:cs="Calibri"/>
          <w:color w:val="000000"/>
          <w:lang w:eastAsia="en-GB"/>
        </w:rPr>
        <w:t xml:space="preserve"> x </w:t>
      </w:r>
      <w:r w:rsidR="00C72DE5" w:rsidRPr="0013398B">
        <w:rPr>
          <w:rFonts w:ascii="Calibri" w:eastAsia="Times New Roman" w:hAnsi="Calibri" w:cs="Calibri"/>
          <w:i/>
          <w:iCs/>
          <w:color w:val="000000"/>
          <w:lang w:eastAsia="en-GB"/>
        </w:rPr>
        <w:t xml:space="preserve">SAP2 </w:t>
      </w:r>
      <w:r w:rsidR="00C72DE5" w:rsidRPr="00C72DE5">
        <w:rPr>
          <w:rFonts w:ascii="Calibri" w:eastAsia="Times New Roman" w:hAnsi="Calibri" w:cs="Calibri"/>
          <w:color w:val="000000"/>
          <w:lang w:eastAsia="en-GB"/>
        </w:rPr>
        <w:t xml:space="preserve">and 2 control samples </w:t>
      </w:r>
      <w:r w:rsidR="00887155">
        <w:rPr>
          <w:rFonts w:ascii="Calibri" w:eastAsia="Times New Roman" w:hAnsi="Calibri" w:cs="Calibri"/>
          <w:color w:val="000000"/>
          <w:lang w:eastAsia="en-GB"/>
        </w:rPr>
        <w:t>A10</w:t>
      </w:r>
      <w:r w:rsidR="00C72DE5" w:rsidRPr="00C72DE5">
        <w:rPr>
          <w:rFonts w:ascii="Calibri" w:eastAsia="Times New Roman" w:hAnsi="Calibri" w:cs="Calibri"/>
          <w:color w:val="000000"/>
          <w:lang w:eastAsia="en-GB"/>
        </w:rPr>
        <w:t> (each sample: pool of 5 females, 4 days old, unfed) were tested</w:t>
      </w:r>
      <w:r w:rsidR="00C72DE5">
        <w:rPr>
          <w:rFonts w:ascii="Calibri" w:eastAsia="Times New Roman" w:hAnsi="Calibri" w:cs="Calibri"/>
          <w:color w:val="000000"/>
          <w:lang w:eastAsia="en-GB"/>
        </w:rPr>
        <w:t xml:space="preserve"> and repeated in two PCRs.</w:t>
      </w:r>
    </w:p>
    <w:p w14:paraId="1D886F7E" w14:textId="4EE0F381" w:rsidR="000E331E" w:rsidRPr="00F330DF" w:rsidRDefault="000E331E" w:rsidP="000E331E">
      <w:r w:rsidRPr="00F330DF">
        <w:rPr>
          <w:b/>
          <w:bCs/>
        </w:rPr>
        <w:t xml:space="preserve">Extended Data Figure 7: Effect of dsSAP2 injection on </w:t>
      </w:r>
      <w:proofErr w:type="spellStart"/>
      <w:r w:rsidRPr="00F330DF">
        <w:rPr>
          <w:b/>
          <w:bCs/>
        </w:rPr>
        <w:t>Tiassalé</w:t>
      </w:r>
      <w:proofErr w:type="spellEnd"/>
      <w:r w:rsidRPr="00F330DF">
        <w:rPr>
          <w:b/>
          <w:bCs/>
        </w:rPr>
        <w:t xml:space="preserve"> fitness.</w:t>
      </w:r>
      <w:r w:rsidRPr="00F330DF">
        <w:t xml:space="preserve"> </w:t>
      </w:r>
      <w:r w:rsidRPr="00F330DF">
        <w:rPr>
          <w:b/>
          <w:bCs/>
        </w:rPr>
        <w:t>A.</w:t>
      </w:r>
      <w:r w:rsidRPr="00F330DF">
        <w:t xml:space="preserve"> Longevity of dsSAP2 (black) compared to </w:t>
      </w:r>
      <w:proofErr w:type="spellStart"/>
      <w:r w:rsidRPr="00F330DF">
        <w:t>dsGFP</w:t>
      </w:r>
      <w:proofErr w:type="spellEnd"/>
      <w:r w:rsidRPr="00F330DF">
        <w:t xml:space="preserve"> controls (green). N shows number of individual mosquitoes used in each group</w:t>
      </w:r>
      <w:r w:rsidR="00315C64">
        <w:t xml:space="preserve">; </w:t>
      </w:r>
      <w:proofErr w:type="spellStart"/>
      <w:r w:rsidR="00315C64">
        <w:t>n.s</w:t>
      </w:r>
      <w:proofErr w:type="spellEnd"/>
      <w:r w:rsidR="00315C64">
        <w:t xml:space="preserve"> represents p = 0.113 as calculated by a Mantel-Cox test (two-sided)</w:t>
      </w:r>
      <w:r w:rsidRPr="00F330DF">
        <w:t xml:space="preserve">. </w:t>
      </w:r>
      <w:r w:rsidRPr="00F330DF">
        <w:rPr>
          <w:b/>
          <w:bCs/>
        </w:rPr>
        <w:t>B.</w:t>
      </w:r>
      <w:r w:rsidRPr="00F330DF">
        <w:t xml:space="preserve"> Life history traits in dsSAP2 injected (black) and </w:t>
      </w:r>
      <w:proofErr w:type="spellStart"/>
      <w:r w:rsidRPr="00F330DF">
        <w:t>dsGFP</w:t>
      </w:r>
      <w:proofErr w:type="spellEnd"/>
      <w:r w:rsidRPr="00F330DF">
        <w:t xml:space="preserve"> injected (green) females (</w:t>
      </w:r>
      <w:proofErr w:type="spellStart"/>
      <w:r w:rsidRPr="00F330DF">
        <w:t>i</w:t>
      </w:r>
      <w:proofErr w:type="spellEnd"/>
      <w:r w:rsidRPr="00F330DF">
        <w:t>) Number of eggs in each group 72-hours post-blood meal, median and interquartile range displayed; (ii) Proportion of females with eggs (Dark shading are females with eggs, light without</w:t>
      </w:r>
      <w:r w:rsidR="005858BD">
        <w:t>; p = 0.4382</w:t>
      </w:r>
      <w:r w:rsidRPr="00F330DF">
        <w:t>); (iii) Mortality post-blood meal (Dark shading are females alive post-blood meal, light those dead</w:t>
      </w:r>
      <w:r w:rsidR="005858BD">
        <w:t>; p = 0.0052</w:t>
      </w:r>
      <w:r w:rsidRPr="00F330DF">
        <w:t>); (iv) Blood feeding proportions (Dark shading are blood fed females, light non-blood fed</w:t>
      </w:r>
      <w:r w:rsidR="005858BD">
        <w:t>; p = 0.3257</w:t>
      </w:r>
      <w:r w:rsidRPr="00F330DF">
        <w:t xml:space="preserve">); for dsSAP2 injected and </w:t>
      </w:r>
      <w:proofErr w:type="spellStart"/>
      <w:r w:rsidRPr="00F330DF">
        <w:t>dsGFP</w:t>
      </w:r>
      <w:proofErr w:type="spellEnd"/>
      <w:r w:rsidRPr="00F330DF">
        <w:t xml:space="preserve"> injected controls (green). Numbers show total individual females in each group. Significance in (</w:t>
      </w:r>
      <w:proofErr w:type="spellStart"/>
      <w:r w:rsidRPr="00F330DF">
        <w:t>i</w:t>
      </w:r>
      <w:proofErr w:type="spellEnd"/>
      <w:r w:rsidRPr="00F330DF">
        <w:t xml:space="preserve">) as calculated by a </w:t>
      </w:r>
      <w:r w:rsidR="005858BD">
        <w:t xml:space="preserve">two tailed </w:t>
      </w:r>
      <w:r w:rsidRPr="00F330DF">
        <w:t>Mann-Whitney U test</w:t>
      </w:r>
      <w:r w:rsidR="005858BD">
        <w:t xml:space="preserve"> (</w:t>
      </w:r>
      <w:proofErr w:type="spellStart"/>
      <w:r w:rsidR="005858BD">
        <w:t>n.s</w:t>
      </w:r>
      <w:proofErr w:type="spellEnd"/>
      <w:r w:rsidR="005858BD">
        <w:t xml:space="preserve"> represents p = 0.0657)</w:t>
      </w:r>
      <w:r w:rsidRPr="00F330DF">
        <w:t>; (ii), (iii) and (iv) through a chi-squared test.</w:t>
      </w:r>
      <w:r w:rsidR="0068758F">
        <w:t xml:space="preserve"> </w:t>
      </w:r>
      <w:r w:rsidR="0068758F" w:rsidRPr="00F330DF">
        <w:t>** p ≤ 0.01</w:t>
      </w:r>
      <w:r w:rsidR="0068758F">
        <w:t>.</w:t>
      </w:r>
    </w:p>
    <w:p w14:paraId="401E3330" w14:textId="08935801" w:rsidR="004162E4" w:rsidRDefault="004162E4" w:rsidP="004162E4">
      <w:pPr>
        <w:spacing w:after="0" w:line="240" w:lineRule="auto"/>
        <w:rPr>
          <w:rFonts w:ascii="Calibri" w:eastAsia="Times New Roman" w:hAnsi="Calibri" w:cs="Calibri"/>
          <w:color w:val="000000"/>
          <w:lang w:eastAsia="en-GB"/>
        </w:rPr>
      </w:pPr>
      <w:r w:rsidRPr="004162E4">
        <w:rPr>
          <w:rFonts w:ascii="Calibri" w:eastAsia="Times New Roman" w:hAnsi="Calibri" w:cs="Calibri"/>
          <w:b/>
          <w:bCs/>
          <w:color w:val="000000"/>
          <w:lang w:eastAsia="en-GB"/>
        </w:rPr>
        <w:t>Extended Data Figure 8: Mortality of </w:t>
      </w:r>
      <w:r w:rsidRPr="004162E4">
        <w:rPr>
          <w:rFonts w:ascii="Calibri" w:eastAsia="Times New Roman" w:hAnsi="Calibri" w:cs="Calibri"/>
          <w:b/>
          <w:bCs/>
          <w:i/>
          <w:iCs/>
          <w:color w:val="000000"/>
          <w:lang w:eastAsia="en-GB"/>
        </w:rPr>
        <w:t xml:space="preserve">An. </w:t>
      </w:r>
      <w:proofErr w:type="spellStart"/>
      <w:r w:rsidRPr="004162E4">
        <w:rPr>
          <w:rFonts w:ascii="Calibri" w:eastAsia="Times New Roman" w:hAnsi="Calibri" w:cs="Calibri"/>
          <w:b/>
          <w:bCs/>
          <w:i/>
          <w:iCs/>
          <w:color w:val="000000"/>
          <w:lang w:eastAsia="en-GB"/>
        </w:rPr>
        <w:t>coluzzii</w:t>
      </w:r>
      <w:proofErr w:type="spellEnd"/>
      <w:r w:rsidRPr="004162E4">
        <w:rPr>
          <w:rFonts w:ascii="Calibri" w:eastAsia="Times New Roman" w:hAnsi="Calibri" w:cs="Calibri"/>
          <w:b/>
          <w:bCs/>
          <w:color w:val="000000"/>
          <w:lang w:eastAsia="en-GB"/>
        </w:rPr>
        <w:t> field populations.</w:t>
      </w:r>
      <w:r w:rsidRPr="004162E4">
        <w:rPr>
          <w:rFonts w:ascii="Calibri" w:eastAsia="Times New Roman" w:hAnsi="Calibri" w:cs="Calibri"/>
          <w:color w:val="000000"/>
          <w:lang w:eastAsia="en-GB"/>
        </w:rPr>
        <w:t> Temporal plot of mortality from 2011 to 2018 of </w:t>
      </w:r>
      <w:r w:rsidRPr="004162E4">
        <w:rPr>
          <w:rFonts w:ascii="Calibri" w:eastAsia="Times New Roman" w:hAnsi="Calibri" w:cs="Calibri"/>
          <w:i/>
          <w:iCs/>
          <w:color w:val="000000"/>
          <w:lang w:eastAsia="en-GB"/>
        </w:rPr>
        <w:t xml:space="preserve">An. </w:t>
      </w:r>
      <w:proofErr w:type="spellStart"/>
      <w:r w:rsidRPr="004162E4">
        <w:rPr>
          <w:rFonts w:ascii="Calibri" w:eastAsia="Times New Roman" w:hAnsi="Calibri" w:cs="Calibri"/>
          <w:i/>
          <w:iCs/>
          <w:color w:val="000000"/>
          <w:lang w:eastAsia="en-GB"/>
        </w:rPr>
        <w:t>coluzzii</w:t>
      </w:r>
      <w:proofErr w:type="spellEnd"/>
      <w:r w:rsidRPr="004162E4">
        <w:rPr>
          <w:rFonts w:ascii="Calibri" w:eastAsia="Times New Roman" w:hAnsi="Calibri" w:cs="Calibri"/>
          <w:color w:val="000000"/>
          <w:lang w:eastAsia="en-GB"/>
        </w:rPr>
        <w:t xml:space="preserve"> mosquitoes to 0.05% WHO tube deltamethrin exposure, Δ is </w:t>
      </w:r>
      <w:r w:rsidRPr="004162E4">
        <w:rPr>
          <w:rFonts w:ascii="Calibri" w:eastAsia="Times New Roman" w:hAnsi="Calibri" w:cs="Calibri"/>
          <w:lang w:eastAsia="en-GB"/>
        </w:rPr>
        <w:t>the posterior median change in mortality from 2011 to 2018, N is number of experiments included</w:t>
      </w:r>
      <w:r w:rsidR="00FF74CC">
        <w:rPr>
          <w:rFonts w:ascii="Calibri" w:eastAsia="Times New Roman" w:hAnsi="Calibri" w:cs="Calibri"/>
          <w:lang w:eastAsia="en-GB"/>
        </w:rPr>
        <w:t xml:space="preserve"> (minimum sample size for any given data point = 14),</w:t>
      </w:r>
      <w:r w:rsidRPr="004162E4">
        <w:rPr>
          <w:rFonts w:ascii="Calibri" w:eastAsia="Times New Roman" w:hAnsi="Calibri" w:cs="Calibri"/>
          <w:lang w:eastAsia="en-GB"/>
        </w:rPr>
        <w:t xml:space="preserve"> P the posterior probability that resistance (the proportion of posterior samples where the April 2018 mean exceeds the corresponding value in January 2011) has increased over the time period. The blue line indicates the posterior median of a logistic model fit to binomial test results; the two parameters of the logistic function were assigned uninformative (</w:t>
      </w:r>
      <w:proofErr w:type="gramStart"/>
      <w:r w:rsidRPr="004162E4">
        <w:rPr>
          <w:rFonts w:ascii="Calibri" w:eastAsia="Times New Roman" w:hAnsi="Calibri" w:cs="Calibri"/>
          <w:lang w:eastAsia="en-GB"/>
        </w:rPr>
        <w:t>Cauchy(</w:t>
      </w:r>
      <w:proofErr w:type="gramEnd"/>
      <w:r w:rsidRPr="004162E4">
        <w:rPr>
          <w:rFonts w:ascii="Calibri" w:eastAsia="Times New Roman" w:hAnsi="Calibri" w:cs="Calibri"/>
          <w:lang w:eastAsia="en-GB"/>
        </w:rPr>
        <w:t>0, 1)) priors. The model was fit using Stan</w:t>
      </w:r>
      <w:r>
        <w:rPr>
          <w:rFonts w:ascii="Calibri" w:eastAsia="Times New Roman" w:hAnsi="Calibri" w:cs="Calibri"/>
          <w:lang w:eastAsia="en-GB"/>
        </w:rPr>
        <w:fldChar w:fldCharType="begin" w:fldLock="1"/>
      </w:r>
      <w:r>
        <w:rPr>
          <w:rFonts w:ascii="Calibri" w:eastAsia="Times New Roman" w:hAnsi="Calibri" w:cs="Calibri"/>
          <w:lang w:eastAsia="en-GB"/>
        </w:rPr>
        <w:instrText>ADDIN CSL_CITATION {"citationItems":[{"id":"ITEM-1","itemData":{"ISSN":"1548-7660","author":[{"dropping-particle":"","family":"Carpenter","given":"Bob","non-dropping-particle":"","parse-names":false,"suffix":""},{"dropping-particle":"","family":"Gelman","given":"Andrew","non-dropping-particle":"","parse-names":false,"suffix":""},{"dropping-particle":"","family":"Hoffman","given":"Matthew D","non-dropping-particle":"","parse-names":false,"suffix":""},{"dropping-particle":"","family":"Lee","given":"Daniel","non-dropping-particle":"","parse-names":false,"suffix":""},{"dropping-particle":"","family":"Goodrich","given":"Ben","non-dropping-particle":"","parse-names":false,"suffix":""},{"dropping-particle":"","family":"Betancourt","given":"Michael","non-dropping-particle":"","parse-names":false,"suffix":""},{"dropping-particle":"","family":"Brubaker","given":"Marcus","non-dropping-particle":"","parse-names":false,"suffix":""},{"dropping-particle":"","family":"Guo","given":"Jiqiang","non-dropping-particle":"","parse-names":false,"suffix":""},{"dropping-particle":"","family":"Li","given":"Peter","non-dropping-particle":"","parse-names":false,"suffix":""},{"dropping-particle":"","family":"Riddell","given":"Allen","non-dropping-particle":"","parse-names":false,"suffix":""}],"container-title":"Journal of statistical software","id":"ITEM-1","issue":"1","issued":{"date-parts":[["2017"]]},"publisher":"Columbia Univ., New York, NY (United States); Harvard Univ., Cambridge, MA …","title":"Stan: A probabilistic programming language","type":"article-journal","volume":"76"},"uris":["http://www.mendeley.com/documents/?uuid=75da134a-e1a0-45d3-8502-7fc9afd14689"]}],"mendeley":{"formattedCitation":"&lt;sup&gt;23&lt;/sup&gt;","plainTextFormattedCitation":"23"},"properties":{"noteIndex":0},"schema":"https://github.com/citation-style-language/schema/raw/master/csl-citation.json"}</w:instrText>
      </w:r>
      <w:r>
        <w:rPr>
          <w:rFonts w:ascii="Calibri" w:eastAsia="Times New Roman" w:hAnsi="Calibri" w:cs="Calibri"/>
          <w:lang w:eastAsia="en-GB"/>
        </w:rPr>
        <w:fldChar w:fldCharType="separate"/>
      </w:r>
      <w:r w:rsidRPr="004162E4">
        <w:rPr>
          <w:rFonts w:ascii="Calibri" w:eastAsia="Times New Roman" w:hAnsi="Calibri" w:cs="Calibri"/>
          <w:noProof/>
          <w:vertAlign w:val="superscript"/>
          <w:lang w:eastAsia="en-GB"/>
        </w:rPr>
        <w:t>23</w:t>
      </w:r>
      <w:r>
        <w:rPr>
          <w:rFonts w:ascii="Calibri" w:eastAsia="Times New Roman" w:hAnsi="Calibri" w:cs="Calibri"/>
          <w:lang w:eastAsia="en-GB"/>
        </w:rPr>
        <w:fldChar w:fldCharType="end"/>
      </w:r>
      <w:r>
        <w:rPr>
          <w:rFonts w:ascii="Calibri" w:eastAsia="Times New Roman" w:hAnsi="Calibri" w:cs="Calibri"/>
          <w:lang w:eastAsia="en-GB"/>
        </w:rPr>
        <w:t xml:space="preserve"> </w:t>
      </w:r>
      <w:r w:rsidRPr="004162E4">
        <w:rPr>
          <w:rFonts w:ascii="Calibri" w:eastAsia="Times New Roman" w:hAnsi="Calibri" w:cs="Calibri"/>
          <w:lang w:eastAsia="en-GB"/>
        </w:rPr>
        <w:t xml:space="preserve">using 4 chains and 800 iterations per chain (400 of which were discarded as warm-up in each case); all parameters had </w:t>
      </w:r>
      <w:proofErr w:type="spellStart"/>
      <w:r w:rsidRPr="004162E4">
        <w:rPr>
          <w:rFonts w:ascii="Calibri" w:eastAsia="Times New Roman" w:hAnsi="Calibri" w:cs="Calibri"/>
          <w:lang w:eastAsia="en-GB"/>
        </w:rPr>
        <w:t>Rhat</w:t>
      </w:r>
      <w:proofErr w:type="spellEnd"/>
      <w:r w:rsidRPr="004162E4">
        <w:rPr>
          <w:rFonts w:ascii="Calibri" w:eastAsia="Times New Roman" w:hAnsi="Calibri" w:cs="Calibri"/>
          <w:lang w:eastAsia="en-GB"/>
        </w:rPr>
        <w:t xml:space="preserve"> &lt; 1.1 indicating convergence. The shading indicates the 90% predictive interval on the mean. Data and Figure kindly provided by Dr Hyacinthe Toé</w:t>
      </w:r>
      <w:r w:rsidR="007567DC">
        <w:rPr>
          <w:rFonts w:ascii="Calibri" w:eastAsia="Times New Roman" w:hAnsi="Calibri" w:cs="Calibri"/>
          <w:lang w:eastAsia="en-GB"/>
        </w:rPr>
        <w:t>, Dr Ben Lambert</w:t>
      </w:r>
      <w:r w:rsidRPr="004162E4">
        <w:rPr>
          <w:rFonts w:ascii="Calibri" w:eastAsia="Times New Roman" w:hAnsi="Calibri" w:cs="Calibri"/>
          <w:lang w:eastAsia="en-GB"/>
        </w:rPr>
        <w:t xml:space="preserve"> and Dr Thomas Churcher.</w:t>
      </w:r>
    </w:p>
    <w:p w14:paraId="57363085" w14:textId="77777777" w:rsidR="004162E4" w:rsidRPr="004162E4" w:rsidRDefault="004162E4" w:rsidP="004162E4">
      <w:pPr>
        <w:spacing w:after="0" w:line="240" w:lineRule="auto"/>
        <w:rPr>
          <w:rFonts w:ascii="Times New Roman" w:eastAsia="Times New Roman" w:hAnsi="Times New Roman" w:cs="Times New Roman"/>
          <w:sz w:val="24"/>
          <w:szCs w:val="24"/>
          <w:lang w:eastAsia="en-GB"/>
        </w:rPr>
      </w:pPr>
    </w:p>
    <w:p w14:paraId="68005C60" w14:textId="70D8703F" w:rsidR="000E331E" w:rsidRPr="00F330DF" w:rsidRDefault="000E331E" w:rsidP="000E331E">
      <w:r w:rsidRPr="00F330DF">
        <w:rPr>
          <w:b/>
          <w:bCs/>
        </w:rPr>
        <w:t xml:space="preserve">Extended </w:t>
      </w:r>
      <w:r w:rsidR="000927F9">
        <w:rPr>
          <w:b/>
          <w:bCs/>
        </w:rPr>
        <w:t xml:space="preserve">Data </w:t>
      </w:r>
      <w:bookmarkStart w:id="1" w:name="_GoBack"/>
      <w:bookmarkEnd w:id="1"/>
      <w:r w:rsidRPr="00F330DF">
        <w:rPr>
          <w:b/>
          <w:bCs/>
        </w:rPr>
        <w:t>Figure 9: Sequencing of SAP2 primer binding sites.</w:t>
      </w:r>
      <w:r w:rsidRPr="00F330DF">
        <w:t xml:space="preserve"> 4 </w:t>
      </w:r>
      <w:proofErr w:type="spellStart"/>
      <w:r w:rsidRPr="00F330DF">
        <w:t>N’Gousso</w:t>
      </w:r>
      <w:proofErr w:type="spellEnd"/>
      <w:r w:rsidRPr="00F330DF">
        <w:t xml:space="preserve"> individuals and 4 </w:t>
      </w:r>
      <w:proofErr w:type="spellStart"/>
      <w:r w:rsidRPr="00F330DF">
        <w:t>Tiassale</w:t>
      </w:r>
      <w:proofErr w:type="spellEnd"/>
      <w:r w:rsidRPr="00F330DF">
        <w:t xml:space="preserve"> individuals were sequenced across the primer binding sites. (a) Complete conservation of sequence was seen in the forward binding site (b) one </w:t>
      </w:r>
      <w:proofErr w:type="spellStart"/>
      <w:r w:rsidRPr="00F330DF">
        <w:t>N’Gousso</w:t>
      </w:r>
      <w:proofErr w:type="spellEnd"/>
      <w:r w:rsidRPr="00F330DF">
        <w:t xml:space="preserve"> individual was heterozygous at one base in the centre of the reverse primer binding site.</w:t>
      </w:r>
    </w:p>
    <w:p w14:paraId="70E4C300" w14:textId="2B28564E" w:rsidR="000E331E" w:rsidRPr="00F330DF" w:rsidRDefault="000E331E" w:rsidP="000E331E">
      <w:r w:rsidRPr="00F330DF">
        <w:rPr>
          <w:b/>
        </w:rPr>
        <w:t xml:space="preserve">Extended Data Table 1: Expression of CSP family in Western Africa. </w:t>
      </w:r>
      <w:r w:rsidR="00A24EBE" w:rsidRPr="00A24EBE">
        <w:rPr>
          <w:bCs/>
        </w:rPr>
        <w:t>Microarray f</w:t>
      </w:r>
      <w:r w:rsidRPr="00A24EBE">
        <w:rPr>
          <w:bCs/>
        </w:rPr>
        <w:t>old</w:t>
      </w:r>
      <w:r w:rsidRPr="00F330DF">
        <w:t xml:space="preserve"> </w:t>
      </w:r>
      <w:r w:rsidR="00A24EBE">
        <w:t>c</w:t>
      </w:r>
      <w:r w:rsidRPr="00F330DF">
        <w:t>hange data from microarray datasets retrieved from IR-TEx</w:t>
      </w:r>
      <w:r w:rsidRPr="00F330DF">
        <w:rPr>
          <w:vertAlign w:val="superscript"/>
        </w:rPr>
        <w:t>10</w:t>
      </w:r>
      <w:r w:rsidRPr="00F330DF">
        <w:t xml:space="preserve"> across Western Africa for </w:t>
      </w:r>
      <w:r w:rsidRPr="00F330DF">
        <w:rPr>
          <w:i/>
        </w:rPr>
        <w:t xml:space="preserve">An. </w:t>
      </w:r>
      <w:proofErr w:type="spellStart"/>
      <w:r w:rsidRPr="00F330DF">
        <w:rPr>
          <w:i/>
        </w:rPr>
        <w:t>coluzzii</w:t>
      </w:r>
      <w:proofErr w:type="spellEnd"/>
      <w:r w:rsidRPr="00F330DF">
        <w:rPr>
          <w:i/>
        </w:rPr>
        <w:t xml:space="preserve"> </w:t>
      </w:r>
      <w:r w:rsidRPr="00F330DF">
        <w:t xml:space="preserve">and </w:t>
      </w:r>
      <w:r w:rsidRPr="00F330DF">
        <w:rPr>
          <w:i/>
        </w:rPr>
        <w:t xml:space="preserve">An. gambiae </w:t>
      </w:r>
      <w:r w:rsidRPr="00F330DF">
        <w:t xml:space="preserve">populations for each member of the CSP family. Highlighted in green are fold changes showing significant overexpression in the respective datasets, and yellow under expression; white backgrounds show no significant change. </w:t>
      </w:r>
      <w:r w:rsidRPr="00F330DF">
        <w:rPr>
          <w:i/>
        </w:rPr>
        <w:t xml:space="preserve">SAP2 </w:t>
      </w:r>
      <w:r w:rsidRPr="00F330DF">
        <w:t>is emboldened. The country of origin, species and exposure status of the resistant population are given below</w:t>
      </w:r>
      <w:r w:rsidR="00A24EBE">
        <w:t xml:space="preserve"> each table</w:t>
      </w:r>
      <w:r w:rsidRPr="00F330DF">
        <w:t xml:space="preserve">, as well as the susceptible population used as a comparator. </w:t>
      </w:r>
    </w:p>
    <w:p w14:paraId="17D95D6B" w14:textId="77777777" w:rsidR="000E331E" w:rsidRDefault="000E331E" w:rsidP="00611209">
      <w:pPr>
        <w:pStyle w:val="PlainText"/>
        <w:rPr>
          <w:i/>
        </w:rPr>
      </w:pPr>
    </w:p>
    <w:p w14:paraId="343EA5CD" w14:textId="41373899" w:rsidR="000E331E" w:rsidRDefault="000E331E"/>
    <w:p w14:paraId="41D38343" w14:textId="77777777" w:rsidR="00611209" w:rsidRPr="007C2683" w:rsidRDefault="00611209"/>
    <w:p w14:paraId="6EBD7861" w14:textId="77777777" w:rsidR="003E21B2" w:rsidRDefault="003E21B2">
      <w:pPr>
        <w:rPr>
          <w:b/>
        </w:rPr>
      </w:pPr>
      <w:r>
        <w:rPr>
          <w:b/>
        </w:rPr>
        <w:br w:type="page"/>
      </w:r>
    </w:p>
    <w:p w14:paraId="2085A1F1" w14:textId="2304159A" w:rsidR="007C4BFC" w:rsidRPr="007C2683" w:rsidRDefault="007C4BFC">
      <w:pPr>
        <w:rPr>
          <w:b/>
        </w:rPr>
      </w:pPr>
      <w:r w:rsidRPr="007C2683">
        <w:rPr>
          <w:b/>
        </w:rPr>
        <w:lastRenderedPageBreak/>
        <w:t>References</w:t>
      </w:r>
    </w:p>
    <w:p w14:paraId="454459D9" w14:textId="728CA615" w:rsidR="004162E4" w:rsidRPr="004162E4" w:rsidRDefault="00365608" w:rsidP="004162E4">
      <w:pPr>
        <w:widowControl w:val="0"/>
        <w:autoSpaceDE w:val="0"/>
        <w:autoSpaceDN w:val="0"/>
        <w:adjustRightInd w:val="0"/>
        <w:spacing w:line="240" w:lineRule="auto"/>
        <w:ind w:left="640" w:hanging="640"/>
        <w:rPr>
          <w:rFonts w:ascii="Calibri" w:hAnsi="Calibri" w:cs="Calibri"/>
          <w:noProof/>
        </w:rPr>
      </w:pPr>
      <w:r w:rsidRPr="007C2683">
        <w:fldChar w:fldCharType="begin" w:fldLock="1"/>
      </w:r>
      <w:r w:rsidRPr="007C2683">
        <w:instrText xml:space="preserve">ADDIN Mendeley Bibliography CSL_BIBLIOGRAPHY </w:instrText>
      </w:r>
      <w:r w:rsidRPr="007C2683">
        <w:fldChar w:fldCharType="separate"/>
      </w:r>
      <w:r w:rsidR="004162E4" w:rsidRPr="004162E4">
        <w:rPr>
          <w:rFonts w:ascii="Calibri" w:hAnsi="Calibri" w:cs="Calibri"/>
          <w:noProof/>
        </w:rPr>
        <w:t>1.</w:t>
      </w:r>
      <w:r w:rsidR="004162E4" w:rsidRPr="004162E4">
        <w:rPr>
          <w:rFonts w:ascii="Calibri" w:hAnsi="Calibri" w:cs="Calibri"/>
          <w:noProof/>
        </w:rPr>
        <w:tab/>
        <w:t xml:space="preserve">Bhatt, S. </w:t>
      </w:r>
      <w:r w:rsidR="004162E4" w:rsidRPr="004162E4">
        <w:rPr>
          <w:rFonts w:ascii="Calibri" w:hAnsi="Calibri" w:cs="Calibri"/>
          <w:i/>
          <w:iCs/>
          <w:noProof/>
        </w:rPr>
        <w:t>et al.</w:t>
      </w:r>
      <w:r w:rsidR="004162E4" w:rsidRPr="004162E4">
        <w:rPr>
          <w:rFonts w:ascii="Calibri" w:hAnsi="Calibri" w:cs="Calibri"/>
          <w:noProof/>
        </w:rPr>
        <w:t xml:space="preserve"> The effect of malaria control on Plasmodium falciparum in Africa between 2000 and 2015. </w:t>
      </w:r>
      <w:r w:rsidR="004162E4" w:rsidRPr="004162E4">
        <w:rPr>
          <w:rFonts w:ascii="Calibri" w:hAnsi="Calibri" w:cs="Calibri"/>
          <w:i/>
          <w:iCs/>
          <w:noProof/>
        </w:rPr>
        <w:t>Nature</w:t>
      </w:r>
      <w:r w:rsidR="004162E4" w:rsidRPr="004162E4">
        <w:rPr>
          <w:rFonts w:ascii="Calibri" w:hAnsi="Calibri" w:cs="Calibri"/>
          <w:noProof/>
        </w:rPr>
        <w:t xml:space="preserve"> </w:t>
      </w:r>
      <w:r w:rsidR="004162E4" w:rsidRPr="004162E4">
        <w:rPr>
          <w:rFonts w:ascii="Calibri" w:hAnsi="Calibri" w:cs="Calibri"/>
          <w:b/>
          <w:bCs/>
          <w:noProof/>
        </w:rPr>
        <w:t>526</w:t>
      </w:r>
      <w:r w:rsidR="004162E4" w:rsidRPr="004162E4">
        <w:rPr>
          <w:rFonts w:ascii="Calibri" w:hAnsi="Calibri" w:cs="Calibri"/>
          <w:noProof/>
        </w:rPr>
        <w:t>, 207–211 (2015).</w:t>
      </w:r>
    </w:p>
    <w:p w14:paraId="6A37A8CE"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w:t>
      </w:r>
      <w:r w:rsidRPr="004162E4">
        <w:rPr>
          <w:rFonts w:ascii="Calibri" w:hAnsi="Calibri" w:cs="Calibri"/>
          <w:noProof/>
        </w:rPr>
        <w:tab/>
        <w:t>WHO. World Malaria Report. Geneva; 2018.</w:t>
      </w:r>
    </w:p>
    <w:p w14:paraId="7453D1E8"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3.</w:t>
      </w:r>
      <w:r w:rsidRPr="004162E4">
        <w:rPr>
          <w:rFonts w:ascii="Calibri" w:hAnsi="Calibri" w:cs="Calibri"/>
          <w:noProof/>
        </w:rPr>
        <w:tab/>
        <w:t xml:space="preserve">Hawley, W. A. </w:t>
      </w:r>
      <w:r w:rsidRPr="004162E4">
        <w:rPr>
          <w:rFonts w:ascii="Calibri" w:hAnsi="Calibri" w:cs="Calibri"/>
          <w:i/>
          <w:iCs/>
          <w:noProof/>
        </w:rPr>
        <w:t>et al.</w:t>
      </w:r>
      <w:r w:rsidRPr="004162E4">
        <w:rPr>
          <w:rFonts w:ascii="Calibri" w:hAnsi="Calibri" w:cs="Calibri"/>
          <w:noProof/>
        </w:rPr>
        <w:t xml:space="preserve"> Community-wide effects of permethrin-treated bed nets on child mortality and malaria morbidity in western Kenya. </w:t>
      </w:r>
      <w:r w:rsidRPr="004162E4">
        <w:rPr>
          <w:rFonts w:ascii="Calibri" w:hAnsi="Calibri" w:cs="Calibri"/>
          <w:i/>
          <w:iCs/>
          <w:noProof/>
        </w:rPr>
        <w:t>Am. J. Trop. Med. Hyg.</w:t>
      </w:r>
      <w:r w:rsidRPr="004162E4">
        <w:rPr>
          <w:rFonts w:ascii="Calibri" w:hAnsi="Calibri" w:cs="Calibri"/>
          <w:noProof/>
        </w:rPr>
        <w:t xml:space="preserve"> </w:t>
      </w:r>
      <w:r w:rsidRPr="004162E4">
        <w:rPr>
          <w:rFonts w:ascii="Calibri" w:hAnsi="Calibri" w:cs="Calibri"/>
          <w:b/>
          <w:bCs/>
          <w:noProof/>
        </w:rPr>
        <w:t>68</w:t>
      </w:r>
      <w:r w:rsidRPr="004162E4">
        <w:rPr>
          <w:rFonts w:ascii="Calibri" w:hAnsi="Calibri" w:cs="Calibri"/>
          <w:noProof/>
        </w:rPr>
        <w:t>, 121–127 (2003).</w:t>
      </w:r>
    </w:p>
    <w:p w14:paraId="4EA8A0C6"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4.</w:t>
      </w:r>
      <w:r w:rsidRPr="004162E4">
        <w:rPr>
          <w:rFonts w:ascii="Calibri" w:hAnsi="Calibri" w:cs="Calibri"/>
          <w:noProof/>
        </w:rPr>
        <w:tab/>
        <w:t xml:space="preserve">Churcher, T. S., Lissenden, N., Griffin, J. T., Worrall, E. &amp; Ranson, H. The impact of pyrethroid resistance on the efficacy and effectiveness of bednets for malaria control in Africa. </w:t>
      </w:r>
      <w:r w:rsidRPr="004162E4">
        <w:rPr>
          <w:rFonts w:ascii="Calibri" w:hAnsi="Calibri" w:cs="Calibri"/>
          <w:i/>
          <w:iCs/>
          <w:noProof/>
        </w:rPr>
        <w:t>Elife</w:t>
      </w:r>
      <w:r w:rsidRPr="004162E4">
        <w:rPr>
          <w:rFonts w:ascii="Calibri" w:hAnsi="Calibri" w:cs="Calibri"/>
          <w:noProof/>
        </w:rPr>
        <w:t xml:space="preserve"> </w:t>
      </w:r>
      <w:r w:rsidRPr="004162E4">
        <w:rPr>
          <w:rFonts w:ascii="Calibri" w:hAnsi="Calibri" w:cs="Calibri"/>
          <w:b/>
          <w:bCs/>
          <w:noProof/>
        </w:rPr>
        <w:t>5</w:t>
      </w:r>
      <w:r w:rsidRPr="004162E4">
        <w:rPr>
          <w:rFonts w:ascii="Calibri" w:hAnsi="Calibri" w:cs="Calibri"/>
          <w:noProof/>
        </w:rPr>
        <w:t>, e16090 (2016).</w:t>
      </w:r>
    </w:p>
    <w:p w14:paraId="362CB08F"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5.</w:t>
      </w:r>
      <w:r w:rsidRPr="004162E4">
        <w:rPr>
          <w:rFonts w:ascii="Calibri" w:hAnsi="Calibri" w:cs="Calibri"/>
          <w:noProof/>
        </w:rPr>
        <w:tab/>
        <w:t xml:space="preserve">Protopopoff, N. </w:t>
      </w:r>
      <w:r w:rsidRPr="004162E4">
        <w:rPr>
          <w:rFonts w:ascii="Calibri" w:hAnsi="Calibri" w:cs="Calibri"/>
          <w:i/>
          <w:iCs/>
          <w:noProof/>
        </w:rPr>
        <w:t>et al.</w:t>
      </w:r>
      <w:r w:rsidRPr="004162E4">
        <w:rPr>
          <w:rFonts w:ascii="Calibri" w:hAnsi="Calibri" w:cs="Calibri"/>
          <w:noProof/>
        </w:rPr>
        <w:t xml:space="preserve"> Effectiveness of a long-lasting piperonyl butoxide-treated insecticidal net and indoor residual spray interventions, separately and together, against malaria transmitted by pyrethroid-resistant mosquitoes: a cluster, randomised controlled, two-by-two fact. </w:t>
      </w:r>
      <w:r w:rsidRPr="004162E4">
        <w:rPr>
          <w:rFonts w:ascii="Calibri" w:hAnsi="Calibri" w:cs="Calibri"/>
          <w:i/>
          <w:iCs/>
          <w:noProof/>
        </w:rPr>
        <w:t>Lancet</w:t>
      </w:r>
      <w:r w:rsidRPr="004162E4">
        <w:rPr>
          <w:rFonts w:ascii="Calibri" w:hAnsi="Calibri" w:cs="Calibri"/>
          <w:noProof/>
        </w:rPr>
        <w:t xml:space="preserve"> </w:t>
      </w:r>
      <w:r w:rsidRPr="004162E4">
        <w:rPr>
          <w:rFonts w:ascii="Calibri" w:hAnsi="Calibri" w:cs="Calibri"/>
          <w:b/>
          <w:bCs/>
          <w:noProof/>
        </w:rPr>
        <w:t>391</w:t>
      </w:r>
      <w:r w:rsidRPr="004162E4">
        <w:rPr>
          <w:rFonts w:ascii="Calibri" w:hAnsi="Calibri" w:cs="Calibri"/>
          <w:noProof/>
        </w:rPr>
        <w:t>, 1577–1588 (2018).</w:t>
      </w:r>
    </w:p>
    <w:p w14:paraId="6B7E359D"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6.</w:t>
      </w:r>
      <w:r w:rsidRPr="004162E4">
        <w:rPr>
          <w:rFonts w:ascii="Calibri" w:hAnsi="Calibri" w:cs="Calibri"/>
          <w:noProof/>
        </w:rPr>
        <w:tab/>
        <w:t xml:space="preserve">Stevenson, B. J. </w:t>
      </w:r>
      <w:r w:rsidRPr="004162E4">
        <w:rPr>
          <w:rFonts w:ascii="Calibri" w:hAnsi="Calibri" w:cs="Calibri"/>
          <w:i/>
          <w:iCs/>
          <w:noProof/>
        </w:rPr>
        <w:t>et al.</w:t>
      </w:r>
      <w:r w:rsidRPr="004162E4">
        <w:rPr>
          <w:rFonts w:ascii="Calibri" w:hAnsi="Calibri" w:cs="Calibri"/>
          <w:noProof/>
        </w:rPr>
        <w:t xml:space="preserve"> Cytochrome P450 6M2 from the malaria vector Anopheles gambiae metabolizes pyrethroids: Sequential metabolism of deltamethrin revealed. </w:t>
      </w:r>
      <w:r w:rsidRPr="004162E4">
        <w:rPr>
          <w:rFonts w:ascii="Calibri" w:hAnsi="Calibri" w:cs="Calibri"/>
          <w:i/>
          <w:iCs/>
          <w:noProof/>
        </w:rPr>
        <w:t>Insect Biochem. Mol. Biol.</w:t>
      </w:r>
      <w:r w:rsidRPr="004162E4">
        <w:rPr>
          <w:rFonts w:ascii="Calibri" w:hAnsi="Calibri" w:cs="Calibri"/>
          <w:noProof/>
        </w:rPr>
        <w:t xml:space="preserve"> </w:t>
      </w:r>
      <w:r w:rsidRPr="004162E4">
        <w:rPr>
          <w:rFonts w:ascii="Calibri" w:hAnsi="Calibri" w:cs="Calibri"/>
          <w:b/>
          <w:bCs/>
          <w:noProof/>
        </w:rPr>
        <w:t>41</w:t>
      </w:r>
      <w:r w:rsidRPr="004162E4">
        <w:rPr>
          <w:rFonts w:ascii="Calibri" w:hAnsi="Calibri" w:cs="Calibri"/>
          <w:noProof/>
        </w:rPr>
        <w:t>, 492–502 (2011).</w:t>
      </w:r>
    </w:p>
    <w:p w14:paraId="63DBB5CE"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7.</w:t>
      </w:r>
      <w:r w:rsidRPr="004162E4">
        <w:rPr>
          <w:rFonts w:ascii="Calibri" w:hAnsi="Calibri" w:cs="Calibri"/>
          <w:noProof/>
        </w:rPr>
        <w:tab/>
        <w:t xml:space="preserve">Müller, P. </w:t>
      </w:r>
      <w:r w:rsidRPr="004162E4">
        <w:rPr>
          <w:rFonts w:ascii="Calibri" w:hAnsi="Calibri" w:cs="Calibri"/>
          <w:i/>
          <w:iCs/>
          <w:noProof/>
        </w:rPr>
        <w:t>et al.</w:t>
      </w:r>
      <w:r w:rsidRPr="004162E4">
        <w:rPr>
          <w:rFonts w:ascii="Calibri" w:hAnsi="Calibri" w:cs="Calibri"/>
          <w:noProof/>
        </w:rPr>
        <w:t xml:space="preserve"> Field-Caught Permethrin-Resistant Anopheles gambiae Overexpress CYP6P3, a P450 That Metabolises Pyrethroids. </w:t>
      </w:r>
      <w:r w:rsidRPr="004162E4">
        <w:rPr>
          <w:rFonts w:ascii="Calibri" w:hAnsi="Calibri" w:cs="Calibri"/>
          <w:i/>
          <w:iCs/>
          <w:noProof/>
        </w:rPr>
        <w:t>PLoS Genet</w:t>
      </w:r>
      <w:r w:rsidRPr="004162E4">
        <w:rPr>
          <w:rFonts w:ascii="Calibri" w:hAnsi="Calibri" w:cs="Calibri"/>
          <w:noProof/>
        </w:rPr>
        <w:t xml:space="preserve"> </w:t>
      </w:r>
      <w:r w:rsidRPr="004162E4">
        <w:rPr>
          <w:rFonts w:ascii="Calibri" w:hAnsi="Calibri" w:cs="Calibri"/>
          <w:b/>
          <w:bCs/>
          <w:noProof/>
        </w:rPr>
        <w:t>4</w:t>
      </w:r>
      <w:r w:rsidRPr="004162E4">
        <w:rPr>
          <w:rFonts w:ascii="Calibri" w:hAnsi="Calibri" w:cs="Calibri"/>
          <w:noProof/>
        </w:rPr>
        <w:t>, e1000286 (2008).</w:t>
      </w:r>
    </w:p>
    <w:p w14:paraId="7EDA7DB8"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8.</w:t>
      </w:r>
      <w:r w:rsidRPr="004162E4">
        <w:rPr>
          <w:rFonts w:ascii="Calibri" w:hAnsi="Calibri" w:cs="Calibri"/>
          <w:noProof/>
        </w:rPr>
        <w:tab/>
        <w:t xml:space="preserve">Gleave, K., Lissenden, N., Richardson, M. &amp; Ranson, H. Piperonyl butoxide (PBO) combined with pyrethroids in long‐lasting insecticidal nets (LLINs) to prevent malaria in Africa. </w:t>
      </w:r>
      <w:r w:rsidRPr="004162E4">
        <w:rPr>
          <w:rFonts w:ascii="Calibri" w:hAnsi="Calibri" w:cs="Calibri"/>
          <w:i/>
          <w:iCs/>
          <w:noProof/>
        </w:rPr>
        <w:t>Cochrane Database Syst. Rev.</w:t>
      </w:r>
      <w:r w:rsidRPr="004162E4">
        <w:rPr>
          <w:rFonts w:ascii="Calibri" w:hAnsi="Calibri" w:cs="Calibri"/>
          <w:noProof/>
        </w:rPr>
        <w:t xml:space="preserve"> (2017).</w:t>
      </w:r>
    </w:p>
    <w:p w14:paraId="1F15EC8A"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9.</w:t>
      </w:r>
      <w:r w:rsidRPr="004162E4">
        <w:rPr>
          <w:rFonts w:ascii="Calibri" w:hAnsi="Calibri" w:cs="Calibri"/>
          <w:noProof/>
        </w:rPr>
        <w:tab/>
        <w:t xml:space="preserve">Toe, K. H. </w:t>
      </w:r>
      <w:r w:rsidRPr="004162E4">
        <w:rPr>
          <w:rFonts w:ascii="Calibri" w:hAnsi="Calibri" w:cs="Calibri"/>
          <w:i/>
          <w:iCs/>
          <w:noProof/>
        </w:rPr>
        <w:t>et al.</w:t>
      </w:r>
      <w:r w:rsidRPr="004162E4">
        <w:rPr>
          <w:rFonts w:ascii="Calibri" w:hAnsi="Calibri" w:cs="Calibri"/>
          <w:noProof/>
        </w:rPr>
        <w:t xml:space="preserve"> Do bednets including piperonyl butoxide offer additional protection against populations of Anopheles gambiae sl. that are highly resistant to pyrethroids? An experimental hut evaluation in Burkina Fasov. </w:t>
      </w:r>
      <w:r w:rsidRPr="004162E4">
        <w:rPr>
          <w:rFonts w:ascii="Calibri" w:hAnsi="Calibri" w:cs="Calibri"/>
          <w:i/>
          <w:iCs/>
          <w:noProof/>
        </w:rPr>
        <w:t>Med. Vet. Entomol.</w:t>
      </w:r>
      <w:r w:rsidRPr="004162E4">
        <w:rPr>
          <w:rFonts w:ascii="Calibri" w:hAnsi="Calibri" w:cs="Calibri"/>
          <w:noProof/>
        </w:rPr>
        <w:t xml:space="preserve"> (2018).</w:t>
      </w:r>
    </w:p>
    <w:p w14:paraId="272024CE"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10.</w:t>
      </w:r>
      <w:r w:rsidRPr="004162E4">
        <w:rPr>
          <w:rFonts w:ascii="Calibri" w:hAnsi="Calibri" w:cs="Calibri"/>
          <w:noProof/>
        </w:rPr>
        <w:tab/>
        <w:t xml:space="preserve">Ingham, V. A., Wagstaff, S. &amp; Ranson, H. Transcriptomic meta-signatures identified in Anopheles gambiae populations reveal previously undetected insecticide resistance mechanisms. </w:t>
      </w:r>
      <w:r w:rsidRPr="004162E4">
        <w:rPr>
          <w:rFonts w:ascii="Calibri" w:hAnsi="Calibri" w:cs="Calibri"/>
          <w:i/>
          <w:iCs/>
          <w:noProof/>
        </w:rPr>
        <w:t>Nat. Commun.</w:t>
      </w:r>
      <w:r w:rsidRPr="004162E4">
        <w:rPr>
          <w:rFonts w:ascii="Calibri" w:hAnsi="Calibri" w:cs="Calibri"/>
          <w:noProof/>
        </w:rPr>
        <w:t xml:space="preserve"> </w:t>
      </w:r>
      <w:r w:rsidRPr="004162E4">
        <w:rPr>
          <w:rFonts w:ascii="Calibri" w:hAnsi="Calibri" w:cs="Calibri"/>
          <w:b/>
          <w:bCs/>
          <w:noProof/>
        </w:rPr>
        <w:t>9</w:t>
      </w:r>
      <w:r w:rsidRPr="004162E4">
        <w:rPr>
          <w:rFonts w:ascii="Calibri" w:hAnsi="Calibri" w:cs="Calibri"/>
          <w:noProof/>
        </w:rPr>
        <w:t>, 5282 (2018).</w:t>
      </w:r>
    </w:p>
    <w:p w14:paraId="1730AEEE"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11.</w:t>
      </w:r>
      <w:r w:rsidRPr="004162E4">
        <w:rPr>
          <w:rFonts w:ascii="Calibri" w:hAnsi="Calibri" w:cs="Calibri"/>
          <w:noProof/>
        </w:rPr>
        <w:tab/>
        <w:t xml:space="preserve">Edi, C. V </w:t>
      </w:r>
      <w:r w:rsidRPr="004162E4">
        <w:rPr>
          <w:rFonts w:ascii="Calibri" w:hAnsi="Calibri" w:cs="Calibri"/>
          <w:i/>
          <w:iCs/>
          <w:noProof/>
        </w:rPr>
        <w:t>et al.</w:t>
      </w:r>
      <w:r w:rsidRPr="004162E4">
        <w:rPr>
          <w:rFonts w:ascii="Calibri" w:hAnsi="Calibri" w:cs="Calibri"/>
          <w:noProof/>
        </w:rPr>
        <w:t xml:space="preserve"> CYP6 P450 Enzymes and ACE-1 Duplication Produce Extreme and Multiple Insecticide Resistance in the Malaria Mosquito Anopheles gambiae. </w:t>
      </w:r>
      <w:r w:rsidRPr="004162E4">
        <w:rPr>
          <w:rFonts w:ascii="Calibri" w:hAnsi="Calibri" w:cs="Calibri"/>
          <w:i/>
          <w:iCs/>
          <w:noProof/>
        </w:rPr>
        <w:t>PLoS Genet.</w:t>
      </w:r>
      <w:r w:rsidRPr="004162E4">
        <w:rPr>
          <w:rFonts w:ascii="Calibri" w:hAnsi="Calibri" w:cs="Calibri"/>
          <w:noProof/>
        </w:rPr>
        <w:t xml:space="preserve"> </w:t>
      </w:r>
      <w:r w:rsidRPr="004162E4">
        <w:rPr>
          <w:rFonts w:ascii="Calibri" w:hAnsi="Calibri" w:cs="Calibri"/>
          <w:b/>
          <w:bCs/>
          <w:noProof/>
        </w:rPr>
        <w:t>10</w:t>
      </w:r>
      <w:r w:rsidRPr="004162E4">
        <w:rPr>
          <w:rFonts w:ascii="Calibri" w:hAnsi="Calibri" w:cs="Calibri"/>
          <w:noProof/>
        </w:rPr>
        <w:t>, e1004236 (2014).</w:t>
      </w:r>
    </w:p>
    <w:p w14:paraId="41B3ADDD"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12.</w:t>
      </w:r>
      <w:r w:rsidRPr="004162E4">
        <w:rPr>
          <w:rFonts w:ascii="Calibri" w:hAnsi="Calibri" w:cs="Calibri"/>
          <w:noProof/>
        </w:rPr>
        <w:tab/>
        <w:t xml:space="preserve">Vieira, F. G. &amp; Rozas, J. Comparative genomics of the odorant-binding and chemosensory protein gene families across the Arthropoda: origin and evolutionary history of the chemosensory system. </w:t>
      </w:r>
      <w:r w:rsidRPr="004162E4">
        <w:rPr>
          <w:rFonts w:ascii="Calibri" w:hAnsi="Calibri" w:cs="Calibri"/>
          <w:i/>
          <w:iCs/>
          <w:noProof/>
        </w:rPr>
        <w:t>Genome Biol. Evol.</w:t>
      </w:r>
      <w:r w:rsidRPr="004162E4">
        <w:rPr>
          <w:rFonts w:ascii="Calibri" w:hAnsi="Calibri" w:cs="Calibri"/>
          <w:noProof/>
        </w:rPr>
        <w:t xml:space="preserve"> </w:t>
      </w:r>
      <w:r w:rsidRPr="004162E4">
        <w:rPr>
          <w:rFonts w:ascii="Calibri" w:hAnsi="Calibri" w:cs="Calibri"/>
          <w:b/>
          <w:bCs/>
          <w:noProof/>
        </w:rPr>
        <w:t>3</w:t>
      </w:r>
      <w:r w:rsidRPr="004162E4">
        <w:rPr>
          <w:rFonts w:ascii="Calibri" w:hAnsi="Calibri" w:cs="Calibri"/>
          <w:noProof/>
        </w:rPr>
        <w:t>, 476–90 (2011).</w:t>
      </w:r>
    </w:p>
    <w:p w14:paraId="2521C31D"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13.</w:t>
      </w:r>
      <w:r w:rsidRPr="004162E4">
        <w:rPr>
          <w:rFonts w:ascii="Calibri" w:hAnsi="Calibri" w:cs="Calibri"/>
          <w:noProof/>
        </w:rPr>
        <w:tab/>
        <w:t xml:space="preserve">Leal, W. S. Odorant reception in insects: roles of receptors, binding proteins, and degrading enzymes. </w:t>
      </w:r>
      <w:r w:rsidRPr="004162E4">
        <w:rPr>
          <w:rFonts w:ascii="Calibri" w:hAnsi="Calibri" w:cs="Calibri"/>
          <w:i/>
          <w:iCs/>
          <w:noProof/>
        </w:rPr>
        <w:t>Annu. Rev. Entomol.</w:t>
      </w:r>
      <w:r w:rsidRPr="004162E4">
        <w:rPr>
          <w:rFonts w:ascii="Calibri" w:hAnsi="Calibri" w:cs="Calibri"/>
          <w:noProof/>
        </w:rPr>
        <w:t xml:space="preserve"> </w:t>
      </w:r>
      <w:r w:rsidRPr="004162E4">
        <w:rPr>
          <w:rFonts w:ascii="Calibri" w:hAnsi="Calibri" w:cs="Calibri"/>
          <w:b/>
          <w:bCs/>
          <w:noProof/>
        </w:rPr>
        <w:t>58</w:t>
      </w:r>
      <w:r w:rsidRPr="004162E4">
        <w:rPr>
          <w:rFonts w:ascii="Calibri" w:hAnsi="Calibri" w:cs="Calibri"/>
          <w:noProof/>
        </w:rPr>
        <w:t>, 373–391 (2013).</w:t>
      </w:r>
    </w:p>
    <w:p w14:paraId="1B47027C"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14.</w:t>
      </w:r>
      <w:r w:rsidRPr="004162E4">
        <w:rPr>
          <w:rFonts w:ascii="Calibri" w:hAnsi="Calibri" w:cs="Calibri"/>
          <w:noProof/>
        </w:rPr>
        <w:tab/>
        <w:t xml:space="preserve">Iovinella, I., Bozza, F., Caputo, B., della Torre, A. &amp; Pelosi, P. Ligand-binding study of Anopheles gambiae chemosensory proteins. </w:t>
      </w:r>
      <w:r w:rsidRPr="004162E4">
        <w:rPr>
          <w:rFonts w:ascii="Calibri" w:hAnsi="Calibri" w:cs="Calibri"/>
          <w:i/>
          <w:iCs/>
          <w:noProof/>
        </w:rPr>
        <w:t>Chem. Senses</w:t>
      </w:r>
      <w:r w:rsidRPr="004162E4">
        <w:rPr>
          <w:rFonts w:ascii="Calibri" w:hAnsi="Calibri" w:cs="Calibri"/>
          <w:noProof/>
        </w:rPr>
        <w:t xml:space="preserve"> </w:t>
      </w:r>
      <w:r w:rsidRPr="004162E4">
        <w:rPr>
          <w:rFonts w:ascii="Calibri" w:hAnsi="Calibri" w:cs="Calibri"/>
          <w:b/>
          <w:bCs/>
          <w:noProof/>
        </w:rPr>
        <w:t>38</w:t>
      </w:r>
      <w:r w:rsidRPr="004162E4">
        <w:rPr>
          <w:rFonts w:ascii="Calibri" w:hAnsi="Calibri" w:cs="Calibri"/>
          <w:noProof/>
        </w:rPr>
        <w:t>, 409–419 (2013).</w:t>
      </w:r>
    </w:p>
    <w:p w14:paraId="0E370573"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15.</w:t>
      </w:r>
      <w:r w:rsidRPr="004162E4">
        <w:rPr>
          <w:rFonts w:ascii="Calibri" w:hAnsi="Calibri" w:cs="Calibri"/>
          <w:noProof/>
        </w:rPr>
        <w:tab/>
        <w:t xml:space="preserve">Xuan, N. </w:t>
      </w:r>
      <w:r w:rsidRPr="004162E4">
        <w:rPr>
          <w:rFonts w:ascii="Calibri" w:hAnsi="Calibri" w:cs="Calibri"/>
          <w:i/>
          <w:iCs/>
          <w:noProof/>
        </w:rPr>
        <w:t>et al.</w:t>
      </w:r>
      <w:r w:rsidRPr="004162E4">
        <w:rPr>
          <w:rFonts w:ascii="Calibri" w:hAnsi="Calibri" w:cs="Calibri"/>
          <w:noProof/>
        </w:rPr>
        <w:t xml:space="preserve"> Increased expression of CSP and CYP genes in adult silkworm females exposed to avermectins. </w:t>
      </w:r>
      <w:r w:rsidRPr="004162E4">
        <w:rPr>
          <w:rFonts w:ascii="Calibri" w:hAnsi="Calibri" w:cs="Calibri"/>
          <w:i/>
          <w:iCs/>
          <w:noProof/>
        </w:rPr>
        <w:t>Insect Sci.</w:t>
      </w:r>
      <w:r w:rsidRPr="004162E4">
        <w:rPr>
          <w:rFonts w:ascii="Calibri" w:hAnsi="Calibri" w:cs="Calibri"/>
          <w:noProof/>
        </w:rPr>
        <w:t xml:space="preserve"> </w:t>
      </w:r>
      <w:r w:rsidRPr="004162E4">
        <w:rPr>
          <w:rFonts w:ascii="Calibri" w:hAnsi="Calibri" w:cs="Calibri"/>
          <w:b/>
          <w:bCs/>
          <w:noProof/>
        </w:rPr>
        <w:t>22</w:t>
      </w:r>
      <w:r w:rsidRPr="004162E4">
        <w:rPr>
          <w:rFonts w:ascii="Calibri" w:hAnsi="Calibri" w:cs="Calibri"/>
          <w:noProof/>
        </w:rPr>
        <w:t>, 203–219 (2015).</w:t>
      </w:r>
    </w:p>
    <w:p w14:paraId="6FD8BB4E"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16.</w:t>
      </w:r>
      <w:r w:rsidRPr="004162E4">
        <w:rPr>
          <w:rFonts w:ascii="Calibri" w:hAnsi="Calibri" w:cs="Calibri"/>
          <w:noProof/>
        </w:rPr>
        <w:tab/>
        <w:t xml:space="preserve">Bautista, M. A. M. </w:t>
      </w:r>
      <w:r w:rsidRPr="004162E4">
        <w:rPr>
          <w:rFonts w:ascii="Calibri" w:hAnsi="Calibri" w:cs="Calibri"/>
          <w:i/>
          <w:iCs/>
          <w:noProof/>
        </w:rPr>
        <w:t>et al.</w:t>
      </w:r>
      <w:r w:rsidRPr="004162E4">
        <w:rPr>
          <w:rFonts w:ascii="Calibri" w:hAnsi="Calibri" w:cs="Calibri"/>
          <w:noProof/>
        </w:rPr>
        <w:t xml:space="preserve"> Evidence for trade‐offs in detoxification and chemosensation gene signatures in Plutella xylostella. </w:t>
      </w:r>
      <w:r w:rsidRPr="004162E4">
        <w:rPr>
          <w:rFonts w:ascii="Calibri" w:hAnsi="Calibri" w:cs="Calibri"/>
          <w:i/>
          <w:iCs/>
          <w:noProof/>
        </w:rPr>
        <w:t>Pest Manag. Sci.</w:t>
      </w:r>
      <w:r w:rsidRPr="004162E4">
        <w:rPr>
          <w:rFonts w:ascii="Calibri" w:hAnsi="Calibri" w:cs="Calibri"/>
          <w:noProof/>
        </w:rPr>
        <w:t xml:space="preserve"> </w:t>
      </w:r>
      <w:r w:rsidRPr="004162E4">
        <w:rPr>
          <w:rFonts w:ascii="Calibri" w:hAnsi="Calibri" w:cs="Calibri"/>
          <w:b/>
          <w:bCs/>
          <w:noProof/>
        </w:rPr>
        <w:t>71</w:t>
      </w:r>
      <w:r w:rsidRPr="004162E4">
        <w:rPr>
          <w:rFonts w:ascii="Calibri" w:hAnsi="Calibri" w:cs="Calibri"/>
          <w:noProof/>
        </w:rPr>
        <w:t>, 423–432 (2015).</w:t>
      </w:r>
    </w:p>
    <w:p w14:paraId="689697D2"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lastRenderedPageBreak/>
        <w:t>17.</w:t>
      </w:r>
      <w:r w:rsidRPr="004162E4">
        <w:rPr>
          <w:rFonts w:ascii="Calibri" w:hAnsi="Calibri" w:cs="Calibri"/>
          <w:noProof/>
        </w:rPr>
        <w:tab/>
        <w:t xml:space="preserve">Liu, G. X. </w:t>
      </w:r>
      <w:r w:rsidRPr="004162E4">
        <w:rPr>
          <w:rFonts w:ascii="Calibri" w:hAnsi="Calibri" w:cs="Calibri"/>
          <w:i/>
          <w:iCs/>
          <w:noProof/>
        </w:rPr>
        <w:t>et al.</w:t>
      </w:r>
      <w:r w:rsidRPr="004162E4">
        <w:rPr>
          <w:rFonts w:ascii="Calibri" w:hAnsi="Calibri" w:cs="Calibri"/>
          <w:noProof/>
        </w:rPr>
        <w:t xml:space="preserve"> Biotype expression and insecticide response of Bemisia tabaci chemosensory protein-1. </w:t>
      </w:r>
      <w:r w:rsidRPr="004162E4">
        <w:rPr>
          <w:rFonts w:ascii="Calibri" w:hAnsi="Calibri" w:cs="Calibri"/>
          <w:i/>
          <w:iCs/>
          <w:noProof/>
        </w:rPr>
        <w:t>Arch. Insect Biochem. Physiol.</w:t>
      </w:r>
      <w:r w:rsidRPr="004162E4">
        <w:rPr>
          <w:rFonts w:ascii="Calibri" w:hAnsi="Calibri" w:cs="Calibri"/>
          <w:noProof/>
        </w:rPr>
        <w:t xml:space="preserve"> </w:t>
      </w:r>
      <w:r w:rsidRPr="004162E4">
        <w:rPr>
          <w:rFonts w:ascii="Calibri" w:hAnsi="Calibri" w:cs="Calibri"/>
          <w:b/>
          <w:bCs/>
          <w:noProof/>
        </w:rPr>
        <w:t>85</w:t>
      </w:r>
      <w:r w:rsidRPr="004162E4">
        <w:rPr>
          <w:rFonts w:ascii="Calibri" w:hAnsi="Calibri" w:cs="Calibri"/>
          <w:noProof/>
        </w:rPr>
        <w:t>, 137–151 (2014).</w:t>
      </w:r>
    </w:p>
    <w:p w14:paraId="744B301F"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18.</w:t>
      </w:r>
      <w:r w:rsidRPr="004162E4">
        <w:rPr>
          <w:rFonts w:ascii="Calibri" w:hAnsi="Calibri" w:cs="Calibri"/>
          <w:noProof/>
        </w:rPr>
        <w:tab/>
        <w:t xml:space="preserve">Yunta, C. </w:t>
      </w:r>
      <w:r w:rsidRPr="004162E4">
        <w:rPr>
          <w:rFonts w:ascii="Calibri" w:hAnsi="Calibri" w:cs="Calibri"/>
          <w:i/>
          <w:iCs/>
          <w:noProof/>
        </w:rPr>
        <w:t>et al.</w:t>
      </w:r>
      <w:r w:rsidRPr="004162E4">
        <w:rPr>
          <w:rFonts w:ascii="Calibri" w:hAnsi="Calibri" w:cs="Calibri"/>
          <w:noProof/>
        </w:rPr>
        <w:t xml:space="preserve"> Pyriproxyfen is metabolized by P450s associated with pyrethroid resistance in An. gambiae. </w:t>
      </w:r>
      <w:r w:rsidRPr="004162E4">
        <w:rPr>
          <w:rFonts w:ascii="Calibri" w:hAnsi="Calibri" w:cs="Calibri"/>
          <w:i/>
          <w:iCs/>
          <w:noProof/>
        </w:rPr>
        <w:t>Insect Biochem. Mol. Biol.</w:t>
      </w:r>
      <w:r w:rsidRPr="004162E4">
        <w:rPr>
          <w:rFonts w:ascii="Calibri" w:hAnsi="Calibri" w:cs="Calibri"/>
          <w:noProof/>
        </w:rPr>
        <w:t xml:space="preserve"> </w:t>
      </w:r>
      <w:r w:rsidRPr="004162E4">
        <w:rPr>
          <w:rFonts w:ascii="Calibri" w:hAnsi="Calibri" w:cs="Calibri"/>
          <w:b/>
          <w:bCs/>
          <w:noProof/>
        </w:rPr>
        <w:t>78</w:t>
      </w:r>
      <w:r w:rsidRPr="004162E4">
        <w:rPr>
          <w:rFonts w:ascii="Calibri" w:hAnsi="Calibri" w:cs="Calibri"/>
          <w:noProof/>
        </w:rPr>
        <w:t>, 50–57 (2016).</w:t>
      </w:r>
    </w:p>
    <w:p w14:paraId="0382177E"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19.</w:t>
      </w:r>
      <w:r w:rsidRPr="004162E4">
        <w:rPr>
          <w:rFonts w:ascii="Calibri" w:hAnsi="Calibri" w:cs="Calibri"/>
          <w:noProof/>
        </w:rPr>
        <w:tab/>
        <w:t xml:space="preserve">Consortium, A. gambiae 1000 G. Genetic diversity of the African malaria vector Anopheles gambiae. </w:t>
      </w:r>
      <w:r w:rsidRPr="004162E4">
        <w:rPr>
          <w:rFonts w:ascii="Calibri" w:hAnsi="Calibri" w:cs="Calibri"/>
          <w:i/>
          <w:iCs/>
          <w:noProof/>
        </w:rPr>
        <w:t>Nature</w:t>
      </w:r>
      <w:r w:rsidRPr="004162E4">
        <w:rPr>
          <w:rFonts w:ascii="Calibri" w:hAnsi="Calibri" w:cs="Calibri"/>
          <w:noProof/>
        </w:rPr>
        <w:t xml:space="preserve"> </w:t>
      </w:r>
      <w:r w:rsidRPr="004162E4">
        <w:rPr>
          <w:rFonts w:ascii="Calibri" w:hAnsi="Calibri" w:cs="Calibri"/>
          <w:b/>
          <w:bCs/>
          <w:noProof/>
        </w:rPr>
        <w:t>552</w:t>
      </w:r>
      <w:r w:rsidRPr="004162E4">
        <w:rPr>
          <w:rFonts w:ascii="Calibri" w:hAnsi="Calibri" w:cs="Calibri"/>
          <w:noProof/>
        </w:rPr>
        <w:t>, 96 (2017).</w:t>
      </w:r>
    </w:p>
    <w:p w14:paraId="30CBE490"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20.</w:t>
      </w:r>
      <w:r w:rsidRPr="004162E4">
        <w:rPr>
          <w:rFonts w:ascii="Calibri" w:hAnsi="Calibri" w:cs="Calibri"/>
          <w:noProof/>
        </w:rPr>
        <w:tab/>
        <w:t xml:space="preserve">Voight, B. F., Kudaravalli, S., Wen, X. &amp; Pritchard, J. K. A Map of Recent Positive Selection in the Human Genome. </w:t>
      </w:r>
      <w:r w:rsidRPr="004162E4">
        <w:rPr>
          <w:rFonts w:ascii="Calibri" w:hAnsi="Calibri" w:cs="Calibri"/>
          <w:i/>
          <w:iCs/>
          <w:noProof/>
        </w:rPr>
        <w:t>PLOS Biol.</w:t>
      </w:r>
      <w:r w:rsidRPr="004162E4">
        <w:rPr>
          <w:rFonts w:ascii="Calibri" w:hAnsi="Calibri" w:cs="Calibri"/>
          <w:noProof/>
        </w:rPr>
        <w:t xml:space="preserve"> </w:t>
      </w:r>
      <w:r w:rsidRPr="004162E4">
        <w:rPr>
          <w:rFonts w:ascii="Calibri" w:hAnsi="Calibri" w:cs="Calibri"/>
          <w:b/>
          <w:bCs/>
          <w:noProof/>
        </w:rPr>
        <w:t>4</w:t>
      </w:r>
      <w:r w:rsidRPr="004162E4">
        <w:rPr>
          <w:rFonts w:ascii="Calibri" w:hAnsi="Calibri" w:cs="Calibri"/>
          <w:noProof/>
        </w:rPr>
        <w:t>, e72 (2006).</w:t>
      </w:r>
    </w:p>
    <w:p w14:paraId="190C2D19"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21.</w:t>
      </w:r>
      <w:r w:rsidRPr="004162E4">
        <w:rPr>
          <w:rFonts w:ascii="Calibri" w:hAnsi="Calibri" w:cs="Calibri"/>
          <w:noProof/>
        </w:rPr>
        <w:tab/>
        <w:t xml:space="preserve">Sabeti, P. C. </w:t>
      </w:r>
      <w:r w:rsidRPr="004162E4">
        <w:rPr>
          <w:rFonts w:ascii="Calibri" w:hAnsi="Calibri" w:cs="Calibri"/>
          <w:i/>
          <w:iCs/>
          <w:noProof/>
        </w:rPr>
        <w:t>et al.</w:t>
      </w:r>
      <w:r w:rsidRPr="004162E4">
        <w:rPr>
          <w:rFonts w:ascii="Calibri" w:hAnsi="Calibri" w:cs="Calibri"/>
          <w:noProof/>
        </w:rPr>
        <w:t xml:space="preserve"> Genome-wide detection and characterization of positive selection in human populations. </w:t>
      </w:r>
      <w:r w:rsidRPr="004162E4">
        <w:rPr>
          <w:rFonts w:ascii="Calibri" w:hAnsi="Calibri" w:cs="Calibri"/>
          <w:i/>
          <w:iCs/>
          <w:noProof/>
        </w:rPr>
        <w:t>Nature</w:t>
      </w:r>
      <w:r w:rsidRPr="004162E4">
        <w:rPr>
          <w:rFonts w:ascii="Calibri" w:hAnsi="Calibri" w:cs="Calibri"/>
          <w:noProof/>
        </w:rPr>
        <w:t xml:space="preserve"> </w:t>
      </w:r>
      <w:r w:rsidRPr="004162E4">
        <w:rPr>
          <w:rFonts w:ascii="Calibri" w:hAnsi="Calibri" w:cs="Calibri"/>
          <w:b/>
          <w:bCs/>
          <w:noProof/>
        </w:rPr>
        <w:t>449</w:t>
      </w:r>
      <w:r w:rsidRPr="004162E4">
        <w:rPr>
          <w:rFonts w:ascii="Calibri" w:hAnsi="Calibri" w:cs="Calibri"/>
          <w:noProof/>
        </w:rPr>
        <w:t>, 913 (2007).</w:t>
      </w:r>
    </w:p>
    <w:p w14:paraId="032AE82F"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22.</w:t>
      </w:r>
      <w:r w:rsidRPr="004162E4">
        <w:rPr>
          <w:rFonts w:ascii="Calibri" w:hAnsi="Calibri" w:cs="Calibri"/>
          <w:noProof/>
        </w:rPr>
        <w:tab/>
        <w:t xml:space="preserve">Pombi, M. </w:t>
      </w:r>
      <w:r w:rsidRPr="004162E4">
        <w:rPr>
          <w:rFonts w:ascii="Calibri" w:hAnsi="Calibri" w:cs="Calibri"/>
          <w:i/>
          <w:iCs/>
          <w:noProof/>
        </w:rPr>
        <w:t>et al.</w:t>
      </w:r>
      <w:r w:rsidRPr="004162E4">
        <w:rPr>
          <w:rFonts w:ascii="Calibri" w:hAnsi="Calibri" w:cs="Calibri"/>
          <w:noProof/>
        </w:rPr>
        <w:t xml:space="preserve"> Unexpectedly high Plasmodium sporozoite rate associated with low human blood index in Anopheles coluzzii from a LLIN-protected village in Burkina Faso. </w:t>
      </w:r>
      <w:r w:rsidRPr="004162E4">
        <w:rPr>
          <w:rFonts w:ascii="Calibri" w:hAnsi="Calibri" w:cs="Calibri"/>
          <w:i/>
          <w:iCs/>
          <w:noProof/>
        </w:rPr>
        <w:t>Sci. Rep.</w:t>
      </w:r>
      <w:r w:rsidRPr="004162E4">
        <w:rPr>
          <w:rFonts w:ascii="Calibri" w:hAnsi="Calibri" w:cs="Calibri"/>
          <w:noProof/>
        </w:rPr>
        <w:t xml:space="preserve"> </w:t>
      </w:r>
      <w:r w:rsidRPr="004162E4">
        <w:rPr>
          <w:rFonts w:ascii="Calibri" w:hAnsi="Calibri" w:cs="Calibri"/>
          <w:b/>
          <w:bCs/>
          <w:noProof/>
        </w:rPr>
        <w:t>8</w:t>
      </w:r>
      <w:r w:rsidRPr="004162E4">
        <w:rPr>
          <w:rFonts w:ascii="Calibri" w:hAnsi="Calibri" w:cs="Calibri"/>
          <w:noProof/>
        </w:rPr>
        <w:t>, 12806 (2018).</w:t>
      </w:r>
    </w:p>
    <w:p w14:paraId="201A0D39"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23.</w:t>
      </w:r>
      <w:r w:rsidRPr="004162E4">
        <w:rPr>
          <w:rFonts w:ascii="Calibri" w:hAnsi="Calibri" w:cs="Calibri"/>
          <w:noProof/>
        </w:rPr>
        <w:tab/>
        <w:t xml:space="preserve">Carpenter, B. </w:t>
      </w:r>
      <w:r w:rsidRPr="004162E4">
        <w:rPr>
          <w:rFonts w:ascii="Calibri" w:hAnsi="Calibri" w:cs="Calibri"/>
          <w:i/>
          <w:iCs/>
          <w:noProof/>
        </w:rPr>
        <w:t>et al.</w:t>
      </w:r>
      <w:r w:rsidRPr="004162E4">
        <w:rPr>
          <w:rFonts w:ascii="Calibri" w:hAnsi="Calibri" w:cs="Calibri"/>
          <w:noProof/>
        </w:rPr>
        <w:t xml:space="preserve"> Stan: A probabilistic programming language. </w:t>
      </w:r>
      <w:r w:rsidRPr="004162E4">
        <w:rPr>
          <w:rFonts w:ascii="Calibri" w:hAnsi="Calibri" w:cs="Calibri"/>
          <w:i/>
          <w:iCs/>
          <w:noProof/>
        </w:rPr>
        <w:t>J. Stat. Softw.</w:t>
      </w:r>
      <w:r w:rsidRPr="004162E4">
        <w:rPr>
          <w:rFonts w:ascii="Calibri" w:hAnsi="Calibri" w:cs="Calibri"/>
          <w:noProof/>
        </w:rPr>
        <w:t xml:space="preserve"> </w:t>
      </w:r>
      <w:r w:rsidRPr="004162E4">
        <w:rPr>
          <w:rFonts w:ascii="Calibri" w:hAnsi="Calibri" w:cs="Calibri"/>
          <w:b/>
          <w:bCs/>
          <w:noProof/>
        </w:rPr>
        <w:t>76</w:t>
      </w:r>
      <w:r w:rsidRPr="004162E4">
        <w:rPr>
          <w:rFonts w:ascii="Calibri" w:hAnsi="Calibri" w:cs="Calibri"/>
          <w:noProof/>
        </w:rPr>
        <w:t>, (2017).</w:t>
      </w:r>
    </w:p>
    <w:p w14:paraId="2279F564"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24.</w:t>
      </w:r>
      <w:r w:rsidRPr="004162E4">
        <w:rPr>
          <w:rFonts w:ascii="Calibri" w:hAnsi="Calibri" w:cs="Calibri"/>
          <w:noProof/>
        </w:rPr>
        <w:tab/>
        <w:t xml:space="preserve">Namountougou, M. </w:t>
      </w:r>
      <w:r w:rsidRPr="004162E4">
        <w:rPr>
          <w:rFonts w:ascii="Calibri" w:hAnsi="Calibri" w:cs="Calibri"/>
          <w:i/>
          <w:iCs/>
          <w:noProof/>
        </w:rPr>
        <w:t>et al.</w:t>
      </w:r>
      <w:r w:rsidRPr="004162E4">
        <w:rPr>
          <w:rFonts w:ascii="Calibri" w:hAnsi="Calibri" w:cs="Calibri"/>
          <w:noProof/>
        </w:rPr>
        <w:t xml:space="preserve"> Multiple insecticide resistance in Anopheles gambiae sl populations from Burkina Faso, West Africa. </w:t>
      </w:r>
      <w:r w:rsidRPr="004162E4">
        <w:rPr>
          <w:rFonts w:ascii="Calibri" w:hAnsi="Calibri" w:cs="Calibri"/>
          <w:i/>
          <w:iCs/>
          <w:noProof/>
        </w:rPr>
        <w:t>PLoS One</w:t>
      </w:r>
      <w:r w:rsidRPr="004162E4">
        <w:rPr>
          <w:rFonts w:ascii="Calibri" w:hAnsi="Calibri" w:cs="Calibri"/>
          <w:noProof/>
        </w:rPr>
        <w:t xml:space="preserve"> </w:t>
      </w:r>
      <w:r w:rsidRPr="004162E4">
        <w:rPr>
          <w:rFonts w:ascii="Calibri" w:hAnsi="Calibri" w:cs="Calibri"/>
          <w:b/>
          <w:bCs/>
          <w:noProof/>
        </w:rPr>
        <w:t>7</w:t>
      </w:r>
      <w:r w:rsidRPr="004162E4">
        <w:rPr>
          <w:rFonts w:ascii="Calibri" w:hAnsi="Calibri" w:cs="Calibri"/>
          <w:noProof/>
        </w:rPr>
        <w:t>, e48412 (2012).</w:t>
      </w:r>
    </w:p>
    <w:p w14:paraId="3BC7B1DA"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25.</w:t>
      </w:r>
      <w:r w:rsidRPr="004162E4">
        <w:rPr>
          <w:rFonts w:ascii="Calibri" w:hAnsi="Calibri" w:cs="Calibri"/>
          <w:noProof/>
        </w:rPr>
        <w:tab/>
        <w:t xml:space="preserve">Harris, C. </w:t>
      </w:r>
      <w:r w:rsidRPr="004162E4">
        <w:rPr>
          <w:rFonts w:ascii="Calibri" w:hAnsi="Calibri" w:cs="Calibri"/>
          <w:i/>
          <w:iCs/>
          <w:noProof/>
        </w:rPr>
        <w:t>et al.</w:t>
      </w:r>
      <w:r w:rsidRPr="004162E4">
        <w:rPr>
          <w:rFonts w:ascii="Calibri" w:hAnsi="Calibri" w:cs="Calibri"/>
          <w:noProof/>
        </w:rPr>
        <w:t xml:space="preserve"> Polymorphisms in Anopheles gambiae immune genes associated with natural resistance to Plasmodium falciparum. </w:t>
      </w:r>
      <w:r w:rsidRPr="004162E4">
        <w:rPr>
          <w:rFonts w:ascii="Calibri" w:hAnsi="Calibri" w:cs="Calibri"/>
          <w:i/>
          <w:iCs/>
          <w:noProof/>
        </w:rPr>
        <w:t>PLoS Pathog.</w:t>
      </w:r>
      <w:r w:rsidRPr="004162E4">
        <w:rPr>
          <w:rFonts w:ascii="Calibri" w:hAnsi="Calibri" w:cs="Calibri"/>
          <w:noProof/>
        </w:rPr>
        <w:t xml:space="preserve"> </w:t>
      </w:r>
      <w:r w:rsidRPr="004162E4">
        <w:rPr>
          <w:rFonts w:ascii="Calibri" w:hAnsi="Calibri" w:cs="Calibri"/>
          <w:b/>
          <w:bCs/>
          <w:noProof/>
        </w:rPr>
        <w:t>6</w:t>
      </w:r>
      <w:r w:rsidRPr="004162E4">
        <w:rPr>
          <w:rFonts w:ascii="Calibri" w:hAnsi="Calibri" w:cs="Calibri"/>
          <w:noProof/>
        </w:rPr>
        <w:t>, e1001112 (2010).</w:t>
      </w:r>
    </w:p>
    <w:p w14:paraId="76FEDEB2"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26.</w:t>
      </w:r>
      <w:r w:rsidRPr="004162E4">
        <w:rPr>
          <w:rFonts w:ascii="Calibri" w:hAnsi="Calibri" w:cs="Calibri"/>
          <w:noProof/>
        </w:rPr>
        <w:tab/>
        <w:t xml:space="preserve">Adolfi, A., Pondeville, E., Lynd, A., Bourgouin, C. &amp; Lycett, G. J. Multi-tissue GAL4-mediated gene expression in all Anopheles gambiae life stages using an endogenous polyubiquitin promoter. </w:t>
      </w:r>
      <w:r w:rsidRPr="004162E4">
        <w:rPr>
          <w:rFonts w:ascii="Calibri" w:hAnsi="Calibri" w:cs="Calibri"/>
          <w:i/>
          <w:iCs/>
          <w:noProof/>
        </w:rPr>
        <w:t>Insect Biochem. Mol. Biol.</w:t>
      </w:r>
      <w:r w:rsidRPr="004162E4">
        <w:rPr>
          <w:rFonts w:ascii="Calibri" w:hAnsi="Calibri" w:cs="Calibri"/>
          <w:noProof/>
        </w:rPr>
        <w:t xml:space="preserve"> </w:t>
      </w:r>
      <w:r w:rsidRPr="004162E4">
        <w:rPr>
          <w:rFonts w:ascii="Calibri" w:hAnsi="Calibri" w:cs="Calibri"/>
          <w:b/>
          <w:bCs/>
          <w:noProof/>
        </w:rPr>
        <w:t>96</w:t>
      </w:r>
      <w:r w:rsidRPr="004162E4">
        <w:rPr>
          <w:rFonts w:ascii="Calibri" w:hAnsi="Calibri" w:cs="Calibri"/>
          <w:noProof/>
        </w:rPr>
        <w:t>, 1–9 (2018).</w:t>
      </w:r>
    </w:p>
    <w:p w14:paraId="2AB23F16"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27.</w:t>
      </w:r>
      <w:r w:rsidRPr="004162E4">
        <w:rPr>
          <w:rFonts w:ascii="Calibri" w:hAnsi="Calibri" w:cs="Calibri"/>
          <w:noProof/>
        </w:rPr>
        <w:tab/>
        <w:t>Organization, W. H. Test procedures for insecticide resistance monitoring in malaria vector mosquitoes. (2016).</w:t>
      </w:r>
    </w:p>
    <w:p w14:paraId="132B028A"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28.</w:t>
      </w:r>
      <w:r w:rsidRPr="004162E4">
        <w:rPr>
          <w:rFonts w:ascii="Calibri" w:hAnsi="Calibri" w:cs="Calibri"/>
          <w:noProof/>
        </w:rPr>
        <w:tab/>
        <w:t xml:space="preserve">Severo, M. S. </w:t>
      </w:r>
      <w:r w:rsidRPr="004162E4">
        <w:rPr>
          <w:rFonts w:ascii="Calibri" w:hAnsi="Calibri" w:cs="Calibri"/>
          <w:i/>
          <w:iCs/>
          <w:noProof/>
        </w:rPr>
        <w:t>et al.</w:t>
      </w:r>
      <w:r w:rsidRPr="004162E4">
        <w:rPr>
          <w:rFonts w:ascii="Calibri" w:hAnsi="Calibri" w:cs="Calibri"/>
          <w:noProof/>
        </w:rPr>
        <w:t xml:space="preserve"> Unbiased classification of mosquito blood cells by single-cell genomics and high-content imaging. </w:t>
      </w:r>
      <w:r w:rsidRPr="004162E4">
        <w:rPr>
          <w:rFonts w:ascii="Calibri" w:hAnsi="Calibri" w:cs="Calibri"/>
          <w:i/>
          <w:iCs/>
          <w:noProof/>
        </w:rPr>
        <w:t>Proc. Natl. Acad. Sci.</w:t>
      </w:r>
      <w:r w:rsidRPr="004162E4">
        <w:rPr>
          <w:rFonts w:ascii="Calibri" w:hAnsi="Calibri" w:cs="Calibri"/>
          <w:noProof/>
        </w:rPr>
        <w:t xml:space="preserve"> </w:t>
      </w:r>
      <w:r w:rsidRPr="004162E4">
        <w:rPr>
          <w:rFonts w:ascii="Calibri" w:hAnsi="Calibri" w:cs="Calibri"/>
          <w:b/>
          <w:bCs/>
          <w:noProof/>
        </w:rPr>
        <w:t>115</w:t>
      </w:r>
      <w:r w:rsidRPr="004162E4">
        <w:rPr>
          <w:rFonts w:ascii="Calibri" w:hAnsi="Calibri" w:cs="Calibri"/>
          <w:noProof/>
        </w:rPr>
        <w:t>, E7568–E7577 (2018).</w:t>
      </w:r>
    </w:p>
    <w:p w14:paraId="740D2FE9"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29.</w:t>
      </w:r>
      <w:r w:rsidRPr="004162E4">
        <w:rPr>
          <w:rFonts w:ascii="Calibri" w:hAnsi="Calibri" w:cs="Calibri"/>
          <w:noProof/>
        </w:rPr>
        <w:tab/>
        <w:t xml:space="preserve">Schmittgen, T. D. &amp; Livak, K. J. Analyzing real-time PCR data by the comparative CT method. </w:t>
      </w:r>
      <w:r w:rsidRPr="004162E4">
        <w:rPr>
          <w:rFonts w:ascii="Calibri" w:hAnsi="Calibri" w:cs="Calibri"/>
          <w:i/>
          <w:iCs/>
          <w:noProof/>
        </w:rPr>
        <w:t>Nat. Protoc.</w:t>
      </w:r>
      <w:r w:rsidRPr="004162E4">
        <w:rPr>
          <w:rFonts w:ascii="Calibri" w:hAnsi="Calibri" w:cs="Calibri"/>
          <w:noProof/>
        </w:rPr>
        <w:t xml:space="preserve"> </w:t>
      </w:r>
      <w:r w:rsidRPr="004162E4">
        <w:rPr>
          <w:rFonts w:ascii="Calibri" w:hAnsi="Calibri" w:cs="Calibri"/>
          <w:b/>
          <w:bCs/>
          <w:noProof/>
        </w:rPr>
        <w:t>3</w:t>
      </w:r>
      <w:r w:rsidRPr="004162E4">
        <w:rPr>
          <w:rFonts w:ascii="Calibri" w:hAnsi="Calibri" w:cs="Calibri"/>
          <w:noProof/>
        </w:rPr>
        <w:t>, 1101–1108 (2008).</w:t>
      </w:r>
    </w:p>
    <w:p w14:paraId="38F3FE4C"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30.</w:t>
      </w:r>
      <w:r w:rsidRPr="004162E4">
        <w:rPr>
          <w:rFonts w:ascii="Calibri" w:hAnsi="Calibri" w:cs="Calibri"/>
          <w:noProof/>
        </w:rPr>
        <w:tab/>
        <w:t xml:space="preserve">Sockolosky, J. T. &amp; Szoka, F. C. Periplasmic production via the pET expression system of soluble, bioactive human growth hormone. </w:t>
      </w:r>
      <w:r w:rsidRPr="004162E4">
        <w:rPr>
          <w:rFonts w:ascii="Calibri" w:hAnsi="Calibri" w:cs="Calibri"/>
          <w:i/>
          <w:iCs/>
          <w:noProof/>
        </w:rPr>
        <w:t>Protein Expr. Purif.</w:t>
      </w:r>
      <w:r w:rsidRPr="004162E4">
        <w:rPr>
          <w:rFonts w:ascii="Calibri" w:hAnsi="Calibri" w:cs="Calibri"/>
          <w:noProof/>
        </w:rPr>
        <w:t xml:space="preserve"> </w:t>
      </w:r>
      <w:r w:rsidRPr="004162E4">
        <w:rPr>
          <w:rFonts w:ascii="Calibri" w:hAnsi="Calibri" w:cs="Calibri"/>
          <w:b/>
          <w:bCs/>
          <w:noProof/>
        </w:rPr>
        <w:t>87</w:t>
      </w:r>
      <w:r w:rsidRPr="004162E4">
        <w:rPr>
          <w:rFonts w:ascii="Calibri" w:hAnsi="Calibri" w:cs="Calibri"/>
          <w:noProof/>
        </w:rPr>
        <w:t>, 129–135 (2013).</w:t>
      </w:r>
    </w:p>
    <w:p w14:paraId="036F7ECF"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31.</w:t>
      </w:r>
      <w:r w:rsidRPr="004162E4">
        <w:rPr>
          <w:rFonts w:ascii="Calibri" w:hAnsi="Calibri" w:cs="Calibri"/>
          <w:noProof/>
        </w:rPr>
        <w:tab/>
        <w:t xml:space="preserve">Santolamazza, F. </w:t>
      </w:r>
      <w:r w:rsidRPr="004162E4">
        <w:rPr>
          <w:rFonts w:ascii="Calibri" w:hAnsi="Calibri" w:cs="Calibri"/>
          <w:i/>
          <w:iCs/>
          <w:noProof/>
        </w:rPr>
        <w:t>et al.</w:t>
      </w:r>
      <w:r w:rsidRPr="004162E4">
        <w:rPr>
          <w:rFonts w:ascii="Calibri" w:hAnsi="Calibri" w:cs="Calibri"/>
          <w:noProof/>
        </w:rPr>
        <w:t xml:space="preserve"> Insertion polymorphisms of SINE200 retrotransposons within speciation islands of Anopheles gambiae molecular forms. </w:t>
      </w:r>
      <w:r w:rsidRPr="004162E4">
        <w:rPr>
          <w:rFonts w:ascii="Calibri" w:hAnsi="Calibri" w:cs="Calibri"/>
          <w:i/>
          <w:iCs/>
          <w:noProof/>
        </w:rPr>
        <w:t>Malar. J.</w:t>
      </w:r>
      <w:r w:rsidRPr="004162E4">
        <w:rPr>
          <w:rFonts w:ascii="Calibri" w:hAnsi="Calibri" w:cs="Calibri"/>
          <w:noProof/>
        </w:rPr>
        <w:t xml:space="preserve"> </w:t>
      </w:r>
      <w:r w:rsidRPr="004162E4">
        <w:rPr>
          <w:rFonts w:ascii="Calibri" w:hAnsi="Calibri" w:cs="Calibri"/>
          <w:b/>
          <w:bCs/>
          <w:noProof/>
        </w:rPr>
        <w:t>7</w:t>
      </w:r>
      <w:r w:rsidRPr="004162E4">
        <w:rPr>
          <w:rFonts w:ascii="Calibri" w:hAnsi="Calibri" w:cs="Calibri"/>
          <w:noProof/>
        </w:rPr>
        <w:t>, 163 (2008).</w:t>
      </w:r>
    </w:p>
    <w:p w14:paraId="67606C77"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32.</w:t>
      </w:r>
      <w:r w:rsidRPr="004162E4">
        <w:rPr>
          <w:rFonts w:ascii="Calibri" w:hAnsi="Calibri" w:cs="Calibri"/>
          <w:noProof/>
        </w:rPr>
        <w:tab/>
        <w:t xml:space="preserve">Giraldo-Calderón, G. I. </w:t>
      </w:r>
      <w:r w:rsidRPr="004162E4">
        <w:rPr>
          <w:rFonts w:ascii="Calibri" w:hAnsi="Calibri" w:cs="Calibri"/>
          <w:i/>
          <w:iCs/>
          <w:noProof/>
        </w:rPr>
        <w:t>et al.</w:t>
      </w:r>
      <w:r w:rsidRPr="004162E4">
        <w:rPr>
          <w:rFonts w:ascii="Calibri" w:hAnsi="Calibri" w:cs="Calibri"/>
          <w:noProof/>
        </w:rPr>
        <w:t xml:space="preserve"> VectorBase: an updated bioinformatics resource for invertebrate vectors and other organisms related with human diseases. </w:t>
      </w:r>
      <w:r w:rsidRPr="004162E4">
        <w:rPr>
          <w:rFonts w:ascii="Calibri" w:hAnsi="Calibri" w:cs="Calibri"/>
          <w:i/>
          <w:iCs/>
          <w:noProof/>
        </w:rPr>
        <w:t>Nucleic Acids Res.</w:t>
      </w:r>
      <w:r w:rsidRPr="004162E4">
        <w:rPr>
          <w:rFonts w:ascii="Calibri" w:hAnsi="Calibri" w:cs="Calibri"/>
          <w:noProof/>
        </w:rPr>
        <w:t xml:space="preserve"> </w:t>
      </w:r>
      <w:r w:rsidRPr="004162E4">
        <w:rPr>
          <w:rFonts w:ascii="Calibri" w:hAnsi="Calibri" w:cs="Calibri"/>
          <w:b/>
          <w:bCs/>
          <w:noProof/>
        </w:rPr>
        <w:t>43</w:t>
      </w:r>
      <w:r w:rsidRPr="004162E4">
        <w:rPr>
          <w:rFonts w:ascii="Calibri" w:hAnsi="Calibri" w:cs="Calibri"/>
          <w:noProof/>
        </w:rPr>
        <w:t>, D707–D713 (2014).</w:t>
      </w:r>
    </w:p>
    <w:p w14:paraId="792E03F1" w14:textId="77777777" w:rsidR="004162E4" w:rsidRPr="004162E4" w:rsidRDefault="004162E4" w:rsidP="004162E4">
      <w:pPr>
        <w:widowControl w:val="0"/>
        <w:autoSpaceDE w:val="0"/>
        <w:autoSpaceDN w:val="0"/>
        <w:adjustRightInd w:val="0"/>
        <w:spacing w:line="240" w:lineRule="auto"/>
        <w:ind w:left="640" w:hanging="640"/>
        <w:rPr>
          <w:rFonts w:ascii="Calibri" w:hAnsi="Calibri" w:cs="Calibri"/>
          <w:noProof/>
        </w:rPr>
      </w:pPr>
      <w:r w:rsidRPr="004162E4">
        <w:rPr>
          <w:rFonts w:ascii="Calibri" w:hAnsi="Calibri" w:cs="Calibri"/>
          <w:noProof/>
        </w:rPr>
        <w:t>33.</w:t>
      </w:r>
      <w:r w:rsidRPr="004162E4">
        <w:rPr>
          <w:rFonts w:ascii="Calibri" w:hAnsi="Calibri" w:cs="Calibri"/>
          <w:noProof/>
        </w:rPr>
        <w:tab/>
        <w:t xml:space="preserve">Kumar, S., Stecher, G. &amp; Tamura, K. MEGA7: molecular evolutionary genetics analysis version 7.0 for bigger datasets. </w:t>
      </w:r>
      <w:r w:rsidRPr="004162E4">
        <w:rPr>
          <w:rFonts w:ascii="Calibri" w:hAnsi="Calibri" w:cs="Calibri"/>
          <w:i/>
          <w:iCs/>
          <w:noProof/>
        </w:rPr>
        <w:t>Mol. Biol. Evol.</w:t>
      </w:r>
      <w:r w:rsidRPr="004162E4">
        <w:rPr>
          <w:rFonts w:ascii="Calibri" w:hAnsi="Calibri" w:cs="Calibri"/>
          <w:noProof/>
        </w:rPr>
        <w:t xml:space="preserve"> </w:t>
      </w:r>
      <w:r w:rsidRPr="004162E4">
        <w:rPr>
          <w:rFonts w:ascii="Calibri" w:hAnsi="Calibri" w:cs="Calibri"/>
          <w:b/>
          <w:bCs/>
          <w:noProof/>
        </w:rPr>
        <w:t>33</w:t>
      </w:r>
      <w:r w:rsidRPr="004162E4">
        <w:rPr>
          <w:rFonts w:ascii="Calibri" w:hAnsi="Calibri" w:cs="Calibri"/>
          <w:noProof/>
        </w:rPr>
        <w:t>, 1870–1874 (2016).</w:t>
      </w:r>
    </w:p>
    <w:p w14:paraId="28ED1BDF" w14:textId="755A3846" w:rsidR="007173FE" w:rsidRPr="007C2683" w:rsidRDefault="00365608" w:rsidP="004162E4">
      <w:pPr>
        <w:widowControl w:val="0"/>
        <w:autoSpaceDE w:val="0"/>
        <w:autoSpaceDN w:val="0"/>
        <w:adjustRightInd w:val="0"/>
        <w:spacing w:line="240" w:lineRule="auto"/>
        <w:ind w:left="640" w:hanging="640"/>
      </w:pPr>
      <w:r w:rsidRPr="007C2683">
        <w:fldChar w:fldCharType="end"/>
      </w:r>
    </w:p>
    <w:p w14:paraId="2A1B6D1A" w14:textId="77777777" w:rsidR="000007E2" w:rsidRPr="007C2683" w:rsidRDefault="000007E2" w:rsidP="000007E2">
      <w:pPr>
        <w:rPr>
          <w:b/>
        </w:rPr>
      </w:pPr>
      <w:r w:rsidRPr="007C2683">
        <w:rPr>
          <w:b/>
        </w:rPr>
        <w:t>Methods</w:t>
      </w:r>
    </w:p>
    <w:p w14:paraId="79355AFB" w14:textId="77777777" w:rsidR="000007E2" w:rsidRPr="007C2683" w:rsidRDefault="000007E2" w:rsidP="000007E2">
      <w:pPr>
        <w:rPr>
          <w:b/>
        </w:rPr>
      </w:pPr>
      <w:r w:rsidRPr="007C2683">
        <w:rPr>
          <w:b/>
        </w:rPr>
        <w:t>Mosquito strains</w:t>
      </w:r>
    </w:p>
    <w:p w14:paraId="0EF0358A" w14:textId="74352A4B" w:rsidR="000007E2" w:rsidRPr="007C2683" w:rsidRDefault="000007E2" w:rsidP="000007E2">
      <w:r w:rsidRPr="007C2683">
        <w:lastRenderedPageBreak/>
        <w:t xml:space="preserve">The populations, each belonging to </w:t>
      </w:r>
      <w:r w:rsidRPr="007C2683">
        <w:rPr>
          <w:i/>
          <w:iCs/>
        </w:rPr>
        <w:t>An. gambiae</w:t>
      </w:r>
      <w:r w:rsidRPr="007C2683">
        <w:t xml:space="preserve"> species complex, used in these experiments were reared and maintained at the Liverpool School of Tropical Medicine (LSTM), under standard insectary conditions at 27</w:t>
      </w:r>
      <w:r w:rsidRPr="007C2683">
        <w:rPr>
          <w:vertAlign w:val="superscript"/>
        </w:rPr>
        <w:t>o</w:t>
      </w:r>
      <w:r w:rsidRPr="007C2683">
        <w:t xml:space="preserve">C, 70-80% humidity, under a 12:12 hour photoperiod. Both the </w:t>
      </w:r>
      <w:proofErr w:type="spellStart"/>
      <w:r w:rsidRPr="007C2683">
        <w:t>Tiassalé</w:t>
      </w:r>
      <w:proofErr w:type="spellEnd"/>
      <w:r w:rsidRPr="007C2683">
        <w:t xml:space="preserve"> (</w:t>
      </w:r>
      <w:r w:rsidRPr="007C2683">
        <w:rPr>
          <w:i/>
        </w:rPr>
        <w:t xml:space="preserve">An. gambiae </w:t>
      </w:r>
      <w:proofErr w:type="spellStart"/>
      <w:r w:rsidRPr="007C2683">
        <w:t>s.l.</w:t>
      </w:r>
      <w:proofErr w:type="spellEnd"/>
      <w:r w:rsidRPr="007C2683">
        <w:t xml:space="preserve">) strain from Côte D'Ivoire </w:t>
      </w:r>
      <w:r w:rsidRPr="007C2683">
        <w:fldChar w:fldCharType="begin" w:fldLock="1"/>
      </w:r>
      <w:r w:rsidRPr="007C2683">
        <w:instrText>ADDIN CSL_CITATION {"citationItems":[{"id":"ITEM-1","itemData":{"ISSN":"1553-7404","author":[{"dropping-particle":"V","family":"Edi","given":"Constant","non-dropping-particle":"","parse-names":false,"suffix":""},{"dropping-particle":"","family":"Djogbénou","given":"Luc","non-dropping-particle":"","parse-names":false,"suffix":""},{"dropping-particle":"","family":"Jenkins","given":"Adam M","non-dropping-particle":"","parse-names":false,"suffix":""},{"dropping-particle":"","family":"Regna","given":"Kimberly","non-dropping-particle":"","parse-names":false,"suffix":""},{"dropping-particle":"","family":"Muskavitch","given":"Marc A T","non-dropping-particle":"","parse-names":false,"suffix":""},{"dropping-particle":"","family":"Poupardin","given":"Rodolphe","non-dropping-particle":"","parse-names":false,"suffix":""},{"dropping-particle":"","family":"Jones","given":"Christopher M","non-dropping-particle":"","parse-names":false,"suffix":""},{"dropping-particle":"","family":"Essandoh","given":"John","non-dropping-particle":"","parse-names":false,"suffix":""},{"dropping-particle":"","family":"Kétoh","given":"Guillaume K","non-dropping-particle":"","parse-names":false,"suffix":""},{"dropping-particle":"","family":"Paine","given":"Mark J I","non-dropping-particle":"","parse-names":false,"suffix":""}],"container-title":"PLoS genetics","id":"ITEM-1","issue":"3","issued":{"date-parts":[["2014"]]},"page":"e1004236","publisher":"Public Library of Science","title":"CYP6 P450 Enzymes and ACE-1 Duplication Produce Extreme and Multiple Insecticide Resistance in the Malaria Mosquito Anopheles gambiae","type":"article-journal","volume":"10"},"uris":["http://www.mendeley.com/documents/?uuid=525ab423-7d4b-474f-b317-6c9fec470464"]}],"mendeley":{"formattedCitation":"&lt;sup&gt;11&lt;/sup&gt;","plainTextFormattedCitation":"11","previouslyFormattedCitation":"&lt;sup&gt;11&lt;/sup&gt;"},"properties":{"noteIndex":0},"schema":"https://github.com/citation-style-language/schema/raw/master/csl-citation.json"}</w:instrText>
      </w:r>
      <w:r w:rsidRPr="007C2683">
        <w:fldChar w:fldCharType="separate"/>
      </w:r>
      <w:r w:rsidRPr="007C2683">
        <w:rPr>
          <w:noProof/>
          <w:vertAlign w:val="superscript"/>
        </w:rPr>
        <w:t>11</w:t>
      </w:r>
      <w:r w:rsidRPr="007C2683">
        <w:fldChar w:fldCharType="end"/>
      </w:r>
      <w:r w:rsidRPr="007C2683">
        <w:t xml:space="preserve">, and the </w:t>
      </w:r>
      <w:proofErr w:type="spellStart"/>
      <w:r w:rsidRPr="007C2683">
        <w:t>Banfora</w:t>
      </w:r>
      <w:proofErr w:type="spellEnd"/>
      <w:r w:rsidRPr="007C2683">
        <w:t xml:space="preserve"> strain (</w:t>
      </w:r>
      <w:r w:rsidRPr="007C2683">
        <w:rPr>
          <w:i/>
        </w:rPr>
        <w:t xml:space="preserve">An. </w:t>
      </w:r>
      <w:proofErr w:type="spellStart"/>
      <w:r w:rsidRPr="007C2683">
        <w:rPr>
          <w:i/>
        </w:rPr>
        <w:t>coluzzii</w:t>
      </w:r>
      <w:proofErr w:type="spellEnd"/>
      <w:r w:rsidRPr="007C2683">
        <w:t xml:space="preserve">) from Burkina Faso </w:t>
      </w:r>
      <w:r w:rsidRPr="007C2683">
        <w:fldChar w:fldCharType="begin" w:fldLock="1"/>
      </w:r>
      <w:r w:rsidR="004162E4">
        <w:instrText>ADDIN CSL_CITATION {"citationItems":[{"id":"ITEM-1","itemData":{"ISSN":"1932-6203","author":[{"dropping-particle":"","family":"Namountougou","given":"Moussa","non-dropping-particle":"","parse-names":false,"suffix":""},{"dropping-particle":"","family":"Simard","given":"Frédéric","non-dropping-particle":"","parse-names":false,"suffix":""},{"dropping-particle":"","family":"Baldet","given":"Thierry","non-dropping-particle":"","parse-names":false,"suffix":""},{"dropping-particle":"","family":"Diabaté","given":"Abdoulaye","non-dropping-particle":"","parse-names":false,"suffix":""},{"dropping-particle":"","family":"Ouédraogo","given":"Jean Bosco","non-dropping-particle":"","parse-names":false,"suffix":""},{"dropping-particle":"","family":"Martin","given":"Thibaud","non-dropping-particle":"","parse-names":false,"suffix":""},{"dropping-particle":"","family":"Dabiré","given":"Roch K","non-dropping-particle":"","parse-names":false,"suffix":""}],"container-title":"PLoS One","id":"ITEM-1","issue":"11","issued":{"date-parts":[["2012"]]},"page":"e48412","publisher":"Public Library of Science","title":"Multiple insecticide resistance in Anopheles gambiae sl populations from Burkina Faso, West Africa","type":"article-journal","volume":"7"},"uris":["http://www.mendeley.com/documents/?uuid=2d61fc27-2c32-4471-86cb-3c057e487a21"]}],"mendeley":{"formattedCitation":"&lt;sup&gt;24&lt;/sup&gt;","plainTextFormattedCitation":"24","previouslyFormattedCitation":"&lt;sup&gt;23&lt;/sup&gt;"},"properties":{"noteIndex":0},"schema":"https://github.com/citation-style-language/schema/raw/master/csl-citation.json"}</w:instrText>
      </w:r>
      <w:r w:rsidRPr="007C2683">
        <w:fldChar w:fldCharType="separate"/>
      </w:r>
      <w:r w:rsidR="004162E4" w:rsidRPr="004162E4">
        <w:rPr>
          <w:noProof/>
          <w:vertAlign w:val="superscript"/>
        </w:rPr>
        <w:t>24</w:t>
      </w:r>
      <w:r w:rsidRPr="007C2683">
        <w:fldChar w:fldCharType="end"/>
      </w:r>
      <w:r w:rsidRPr="007C2683">
        <w:t xml:space="preserve"> are insecticide resistant populations and have been maintained under insecticide pressure since colonisation in 2009 and 2014 respectively . The lab susceptible populations </w:t>
      </w:r>
      <w:proofErr w:type="spellStart"/>
      <w:r w:rsidRPr="007C2683">
        <w:t>N’Gousso</w:t>
      </w:r>
      <w:proofErr w:type="spellEnd"/>
      <w:r w:rsidRPr="007C2683">
        <w:t xml:space="preserve"> (</w:t>
      </w:r>
      <w:r w:rsidRPr="007C2683">
        <w:rPr>
          <w:i/>
        </w:rPr>
        <w:t xml:space="preserve">An. </w:t>
      </w:r>
      <w:proofErr w:type="spellStart"/>
      <w:r w:rsidRPr="007C2683">
        <w:rPr>
          <w:i/>
        </w:rPr>
        <w:t>coluzzii</w:t>
      </w:r>
      <w:proofErr w:type="spellEnd"/>
      <w:r w:rsidRPr="007C2683">
        <w:t xml:space="preserve">) </w:t>
      </w:r>
      <w:r w:rsidRPr="007C2683">
        <w:fldChar w:fldCharType="begin" w:fldLock="1"/>
      </w:r>
      <w:r w:rsidR="004162E4">
        <w:instrText>ADDIN CSL_CITATION {"citationItems":[{"id":"ITEM-1","itemData":{"ISSN":"1553-7374","author":[{"dropping-particle":"","family":"Harris","given":"Caroline","non-dropping-particle":"","parse-names":false,"suffix":""},{"dropping-particle":"","family":"Lambrechts","given":"Louis","non-dropping-particle":"","parse-names":false,"suffix":""},{"dropping-particle":"","family":"Rousset","given":"François","non-dropping-particle":"","parse-names":false,"suffix":""},{"dropping-particle":"","family":"Abate","given":"Luc","non-dropping-particle":"","parse-names":false,"suffix":""},{"dropping-particle":"","family":"Nsango","given":"Sandrine E","non-dropping-particle":"","parse-names":false,"suffix":""},{"dropping-particle":"","family":"Fontenille","given":"Didier","non-dropping-particle":"","parse-names":false,"suffix":""},{"dropping-particle":"","family":"Morlais","given":"Isabelle","non-dropping-particle":"","parse-names":false,"suffix":""},{"dropping-particle":"","family":"Cohuet","given":"Anna","non-dropping-particle":"","parse-names":false,"suffix":""}],"container-title":"PLoS pathogens","id":"ITEM-1","issue":"9","issued":{"date-parts":[["2010"]]},"page":"e1001112","publisher":"Public Library of Science","title":"Polymorphisms in Anopheles gambiae immune genes associated with natural resistance to Plasmodium falciparum","type":"article-journal","volume":"6"},"uris":["http://www.mendeley.com/documents/?uuid=b78513f9-d151-4222-9769-2ddfd77f2d87"]}],"mendeley":{"formattedCitation":"&lt;sup&gt;25&lt;/sup&gt;","plainTextFormattedCitation":"25","previouslyFormattedCitation":"&lt;sup&gt;24&lt;/sup&gt;"},"properties":{"noteIndex":0},"schema":"https://github.com/citation-style-language/schema/raw/master/csl-citation.json"}</w:instrText>
      </w:r>
      <w:r w:rsidRPr="007C2683">
        <w:fldChar w:fldCharType="separate"/>
      </w:r>
      <w:r w:rsidR="004162E4" w:rsidRPr="004162E4">
        <w:rPr>
          <w:noProof/>
          <w:vertAlign w:val="superscript"/>
        </w:rPr>
        <w:t>25</w:t>
      </w:r>
      <w:r w:rsidRPr="007C2683">
        <w:fldChar w:fldCharType="end"/>
      </w:r>
      <w:r w:rsidRPr="007C2683">
        <w:t xml:space="preserve"> , Kisumu (</w:t>
      </w:r>
      <w:r w:rsidRPr="007C2683">
        <w:rPr>
          <w:i/>
        </w:rPr>
        <w:t xml:space="preserve">An. gambiae </w:t>
      </w:r>
      <w:proofErr w:type="spellStart"/>
      <w:r w:rsidRPr="007C2683">
        <w:rPr>
          <w:i/>
        </w:rPr>
        <w:t>s.s.</w:t>
      </w:r>
      <w:proofErr w:type="spellEnd"/>
      <w:r w:rsidRPr="007C2683">
        <w:rPr>
          <w:iCs/>
        </w:rPr>
        <w:t>)</w:t>
      </w:r>
      <w:r w:rsidRPr="007C2683">
        <w:rPr>
          <w:i/>
        </w:rPr>
        <w:t xml:space="preserve"> </w:t>
      </w:r>
      <w:r w:rsidRPr="007C2683">
        <w:t>and G3 (</w:t>
      </w:r>
      <w:r w:rsidRPr="007C2683">
        <w:rPr>
          <w:i/>
        </w:rPr>
        <w:t xml:space="preserve">An. gambiae </w:t>
      </w:r>
      <w:proofErr w:type="spellStart"/>
      <w:r w:rsidRPr="007C2683">
        <w:rPr>
          <w:i/>
        </w:rPr>
        <w:t>s.l.</w:t>
      </w:r>
      <w:proofErr w:type="spellEnd"/>
      <w:r w:rsidRPr="007C2683">
        <w:rPr>
          <w:iCs/>
        </w:rPr>
        <w:t>)</w:t>
      </w:r>
      <w:r w:rsidRPr="007C2683">
        <w:rPr>
          <w:i/>
        </w:rPr>
        <w:t xml:space="preserve"> </w:t>
      </w:r>
      <w:r w:rsidRPr="007C2683">
        <w:t xml:space="preserve">originate from Cameroon, Kenya and The Gambia respectively. </w:t>
      </w:r>
      <w:r w:rsidR="00B76D3A" w:rsidRPr="00B76D3A">
        <w:rPr>
          <w:i/>
          <w:iCs/>
        </w:rPr>
        <w:t>An. gambiae</w:t>
      </w:r>
      <w:r w:rsidR="00B76D3A">
        <w:t xml:space="preserve"> </w:t>
      </w:r>
      <w:proofErr w:type="spellStart"/>
      <w:r w:rsidR="00B76D3A">
        <w:t>s.l.</w:t>
      </w:r>
      <w:proofErr w:type="spellEnd"/>
      <w:r w:rsidR="00B76D3A">
        <w:t xml:space="preserve"> here refers to a mixture of </w:t>
      </w:r>
      <w:r w:rsidR="00B76D3A" w:rsidRPr="00B76D3A">
        <w:rPr>
          <w:i/>
          <w:iCs/>
        </w:rPr>
        <w:t>An. gambiae</w:t>
      </w:r>
      <w:r w:rsidR="00B76D3A">
        <w:t xml:space="preserve"> and </w:t>
      </w:r>
      <w:r w:rsidR="00B76D3A" w:rsidRPr="00B76D3A">
        <w:rPr>
          <w:i/>
          <w:iCs/>
        </w:rPr>
        <w:t xml:space="preserve">An. </w:t>
      </w:r>
      <w:proofErr w:type="spellStart"/>
      <w:r w:rsidR="00B76D3A" w:rsidRPr="00B76D3A">
        <w:rPr>
          <w:i/>
          <w:iCs/>
        </w:rPr>
        <w:t>coluzzii</w:t>
      </w:r>
      <w:proofErr w:type="spellEnd"/>
      <w:r w:rsidR="00B76D3A">
        <w:t>.</w:t>
      </w:r>
    </w:p>
    <w:p w14:paraId="3042A768" w14:textId="77777777" w:rsidR="000007E2" w:rsidRPr="007C2683" w:rsidRDefault="000007E2" w:rsidP="000007E2">
      <w:pPr>
        <w:rPr>
          <w:b/>
        </w:rPr>
      </w:pPr>
      <w:r w:rsidRPr="007C2683">
        <w:rPr>
          <w:b/>
        </w:rPr>
        <w:t>RNAi</w:t>
      </w:r>
    </w:p>
    <w:p w14:paraId="081D0412" w14:textId="076BC3EF" w:rsidR="000007E2" w:rsidRPr="007C2683" w:rsidRDefault="000007E2" w:rsidP="000007E2">
      <w:pPr>
        <w:rPr>
          <w:rFonts w:eastAsiaTheme="minorEastAsia"/>
        </w:rPr>
      </w:pPr>
      <w:r w:rsidRPr="007C2683">
        <w:rPr>
          <w:rFonts w:eastAsiaTheme="minorEastAsia"/>
        </w:rPr>
        <w:t xml:space="preserve">PCR was performed on </w:t>
      </w:r>
      <w:proofErr w:type="spellStart"/>
      <w:r w:rsidRPr="007C2683">
        <w:rPr>
          <w:rFonts w:eastAsiaTheme="minorEastAsia"/>
        </w:rPr>
        <w:t>Tiassal</w:t>
      </w:r>
      <w:r w:rsidRPr="007C2683">
        <w:t>é</w:t>
      </w:r>
      <w:proofErr w:type="spellEnd"/>
      <w:r w:rsidRPr="007C2683">
        <w:rPr>
          <w:rFonts w:eastAsiaTheme="minorEastAsia"/>
        </w:rPr>
        <w:t xml:space="preserve"> cDNA using Phusion® High-Fidelity DNA Polymerase (Thermo Scientific, UK) following manufacturer’s instructions and primer sets with a T7 docking sequence at the 5' end of both the sense and antisense primers. Primers were designed using NCBI Primer BLAST to produce an asymmetric product with a length of 300-600bp, a GC content of 20-50% and no more than three consecutive equivalent nucleotides (</w:t>
      </w:r>
      <w:r w:rsidR="00857012">
        <w:rPr>
          <w:rFonts w:eastAsiaTheme="minorEastAsia"/>
        </w:rPr>
        <w:t>Supplementary</w:t>
      </w:r>
      <w:r w:rsidRPr="007C2683">
        <w:rPr>
          <w:rFonts w:eastAsiaTheme="minorEastAsia"/>
        </w:rPr>
        <w:t xml:space="preserve"> Table </w:t>
      </w:r>
      <w:r w:rsidR="00857012">
        <w:rPr>
          <w:rFonts w:eastAsiaTheme="minorEastAsia"/>
        </w:rPr>
        <w:t>3</w:t>
      </w:r>
      <w:r w:rsidRPr="007C2683">
        <w:rPr>
          <w:rFonts w:eastAsiaTheme="minorEastAsia"/>
        </w:rPr>
        <w:t>). PCR was performed with the following cycle: three minutes 98</w:t>
      </w:r>
      <w:r w:rsidRPr="007C2683">
        <w:rPr>
          <w:rFonts w:eastAsiaTheme="minorEastAsia"/>
          <w:vertAlign w:val="superscript"/>
        </w:rPr>
        <w:t>o</w:t>
      </w:r>
      <w:r w:rsidRPr="007C2683">
        <w:rPr>
          <w:rFonts w:eastAsiaTheme="minorEastAsia"/>
        </w:rPr>
        <w:t>c, 35 cycles of seven seconds at 98</w:t>
      </w:r>
      <w:r w:rsidRPr="007C2683">
        <w:rPr>
          <w:rFonts w:eastAsiaTheme="minorEastAsia"/>
          <w:vertAlign w:val="superscript"/>
        </w:rPr>
        <w:t>o</w:t>
      </w:r>
      <w:r w:rsidRPr="007C2683">
        <w:rPr>
          <w:rFonts w:eastAsiaTheme="minorEastAsia"/>
        </w:rPr>
        <w:t>c, 7 seconds at calculated T</w:t>
      </w:r>
      <w:r w:rsidRPr="007C2683">
        <w:rPr>
          <w:rFonts w:eastAsiaTheme="minorEastAsia"/>
          <w:vertAlign w:val="subscript"/>
        </w:rPr>
        <w:t>m</w:t>
      </w:r>
      <w:r w:rsidRPr="007C2683">
        <w:rPr>
          <w:rFonts w:eastAsiaTheme="minorEastAsia"/>
        </w:rPr>
        <w:t xml:space="preserve"> and 10 seconds at 72</w:t>
      </w:r>
      <w:r w:rsidRPr="007C2683">
        <w:rPr>
          <w:rFonts w:eastAsiaTheme="minorEastAsia"/>
          <w:vertAlign w:val="superscript"/>
        </w:rPr>
        <w:t>o</w:t>
      </w:r>
      <w:r w:rsidRPr="007C2683">
        <w:rPr>
          <w:rFonts w:eastAsiaTheme="minorEastAsia"/>
        </w:rPr>
        <w:t>c, with a final hold at 72</w:t>
      </w:r>
      <w:r w:rsidRPr="007C2683">
        <w:rPr>
          <w:rFonts w:eastAsiaTheme="minorEastAsia"/>
          <w:vertAlign w:val="superscript"/>
        </w:rPr>
        <w:t>o</w:t>
      </w:r>
      <w:r w:rsidRPr="007C2683">
        <w:rPr>
          <w:rFonts w:eastAsiaTheme="minorEastAsia"/>
        </w:rPr>
        <w:t>c for seven minutes.</w:t>
      </w:r>
      <w:r w:rsidRPr="007C2683">
        <w:t xml:space="preserve"> </w:t>
      </w:r>
      <w:r w:rsidRPr="007C2683">
        <w:rPr>
          <w:rFonts w:eastAsiaTheme="minorEastAsia"/>
        </w:rPr>
        <w:t xml:space="preserve">PCR products were purified using a Qiagen </w:t>
      </w:r>
      <w:proofErr w:type="spellStart"/>
      <w:r w:rsidRPr="007C2683">
        <w:rPr>
          <w:rFonts w:eastAsiaTheme="minorEastAsia"/>
        </w:rPr>
        <w:t>QIAquick</w:t>
      </w:r>
      <w:proofErr w:type="spellEnd"/>
      <w:r w:rsidRPr="007C2683">
        <w:rPr>
          <w:rFonts w:eastAsiaTheme="minorEastAsia"/>
        </w:rPr>
        <w:t xml:space="preserve"> PCR Purification kit following manufacturer’s instructions. dsRNA was synthesised using a </w:t>
      </w:r>
      <w:proofErr w:type="spellStart"/>
      <w:r w:rsidRPr="007C2683">
        <w:rPr>
          <w:rFonts w:eastAsiaTheme="minorEastAsia"/>
        </w:rPr>
        <w:t>Megascript</w:t>
      </w:r>
      <w:proofErr w:type="spellEnd"/>
      <w:r w:rsidRPr="007C2683">
        <w:rPr>
          <w:rFonts w:eastAsiaTheme="minorEastAsia"/>
        </w:rPr>
        <w:t>® T7 Transcription (</w:t>
      </w:r>
      <w:proofErr w:type="spellStart"/>
      <w:r w:rsidRPr="007C2683">
        <w:rPr>
          <w:rFonts w:eastAsiaTheme="minorEastAsia"/>
        </w:rPr>
        <w:t>Ambion</w:t>
      </w:r>
      <w:proofErr w:type="spellEnd"/>
      <w:r w:rsidRPr="007C2683">
        <w:rPr>
          <w:rFonts w:eastAsiaTheme="minorEastAsia"/>
        </w:rPr>
        <w:t>, UK) kit, with a 16-hour 37</w:t>
      </w:r>
      <w:r w:rsidRPr="007C2683">
        <w:rPr>
          <w:rFonts w:eastAsiaTheme="minorEastAsia"/>
          <w:vertAlign w:val="superscript"/>
        </w:rPr>
        <w:t>o</w:t>
      </w:r>
      <w:r w:rsidRPr="007C2683">
        <w:rPr>
          <w:rFonts w:eastAsiaTheme="minorEastAsia"/>
        </w:rPr>
        <w:t xml:space="preserve">c incubation, following manufacturer's instructions. The dsRNA was cleaned using a </w:t>
      </w:r>
      <w:proofErr w:type="spellStart"/>
      <w:r w:rsidRPr="007C2683">
        <w:rPr>
          <w:rFonts w:eastAsiaTheme="minorEastAsia"/>
        </w:rPr>
        <w:t>MegaClear</w:t>
      </w:r>
      <w:proofErr w:type="spellEnd"/>
      <w:r w:rsidRPr="007C2683">
        <w:rPr>
          <w:rFonts w:eastAsiaTheme="minorEastAsia"/>
        </w:rPr>
        <w:t>® Transcription Clear Up (</w:t>
      </w:r>
      <w:proofErr w:type="spellStart"/>
      <w:r w:rsidRPr="007C2683">
        <w:rPr>
          <w:rFonts w:eastAsiaTheme="minorEastAsia"/>
        </w:rPr>
        <w:t>Ambion</w:t>
      </w:r>
      <w:proofErr w:type="spellEnd"/>
      <w:r w:rsidRPr="007C2683">
        <w:rPr>
          <w:rFonts w:eastAsiaTheme="minorEastAsia"/>
        </w:rPr>
        <w:t>, UK) kit, with nuclease free DEPC water, twice heated at 65</w:t>
      </w:r>
      <w:r w:rsidRPr="007C2683">
        <w:rPr>
          <w:rFonts w:eastAsiaTheme="minorEastAsia"/>
          <w:vertAlign w:val="superscript"/>
        </w:rPr>
        <w:t>o</w:t>
      </w:r>
      <w:r w:rsidRPr="007C2683">
        <w:rPr>
          <w:rFonts w:eastAsiaTheme="minorEastAsia"/>
        </w:rPr>
        <w:t>c for 10 minutes, to elute the sample. The resultant dsRNA product was analysed using a nanodrop spectrometer (Nanodrop Technologies, UK) and subsequently concentrated to 3μg/</w:t>
      </w:r>
      <w:proofErr w:type="spellStart"/>
      <w:r w:rsidRPr="007C2683">
        <w:rPr>
          <w:rFonts w:eastAsiaTheme="minorEastAsia"/>
        </w:rPr>
        <w:t>μl</w:t>
      </w:r>
      <w:proofErr w:type="spellEnd"/>
      <w:r w:rsidRPr="007C2683">
        <w:rPr>
          <w:rFonts w:eastAsiaTheme="minorEastAsia"/>
        </w:rPr>
        <w:t xml:space="preserve"> using a vacuum centrifuge at 37</w:t>
      </w:r>
      <w:r w:rsidRPr="007C2683">
        <w:rPr>
          <w:rFonts w:eastAsiaTheme="minorEastAsia"/>
          <w:vertAlign w:val="superscript"/>
        </w:rPr>
        <w:t>o</w:t>
      </w:r>
      <w:r w:rsidRPr="007C2683">
        <w:rPr>
          <w:rFonts w:eastAsiaTheme="minorEastAsia"/>
        </w:rPr>
        <w:t>c. Three-to-five day old, presumed mated, non-blood fed females, were immobilised on a CO</w:t>
      </w:r>
      <w:r w:rsidRPr="007C2683">
        <w:rPr>
          <w:rFonts w:eastAsiaTheme="minorEastAsia"/>
          <w:vertAlign w:val="subscript"/>
        </w:rPr>
        <w:t>2</w:t>
      </w:r>
      <w:r w:rsidRPr="007C2683">
        <w:rPr>
          <w:rFonts w:eastAsiaTheme="minorEastAsia"/>
        </w:rPr>
        <w:t xml:space="preserve"> block and 69nl dsRNA injected directly into the thorax, between the cuticle plates of the abdomen, underneath the wing. As a control, non-endogenous GFP dsRNA was injected at the same amount and concentration.</w:t>
      </w:r>
    </w:p>
    <w:p w14:paraId="5C31DE5C" w14:textId="77777777" w:rsidR="000007E2" w:rsidRPr="007C2683" w:rsidRDefault="000007E2" w:rsidP="000007E2">
      <w:pPr>
        <w:rPr>
          <w:rFonts w:eastAsiaTheme="minorEastAsia"/>
          <w:b/>
        </w:rPr>
      </w:pPr>
      <w:r w:rsidRPr="007C2683">
        <w:rPr>
          <w:rFonts w:eastAsiaTheme="minorEastAsia"/>
          <w:b/>
        </w:rPr>
        <w:t>UAS-SAP2 Plasmid Construction</w:t>
      </w:r>
    </w:p>
    <w:p w14:paraId="002C55A1" w14:textId="2F7E7EB8" w:rsidR="000007E2" w:rsidRDefault="000007E2" w:rsidP="000007E2">
      <w:pPr>
        <w:rPr>
          <w:rFonts w:eastAsiaTheme="minorEastAsia"/>
        </w:rPr>
      </w:pPr>
      <w:r w:rsidRPr="007C2683">
        <w:rPr>
          <w:rFonts w:eastAsiaTheme="minorEastAsia"/>
        </w:rPr>
        <w:t xml:space="preserve">Due to difficulty in transformation of a UAS-SAP2 construct into </w:t>
      </w:r>
      <w:r w:rsidRPr="007C2683">
        <w:rPr>
          <w:rFonts w:eastAsiaTheme="minorEastAsia"/>
          <w:i/>
        </w:rPr>
        <w:t>E. coli</w:t>
      </w:r>
      <w:r w:rsidRPr="007C2683">
        <w:rPr>
          <w:rFonts w:eastAsiaTheme="minorEastAsia"/>
        </w:rPr>
        <w:t xml:space="preserve"> with a complete ORF, a fusion gene was created that was interrupted by a synthetic intron directly after the start codon. Two fragments were amplified separately and fused together through 40bp overlapping nucleotides (20 final nucleotides of synthetic intron and 20 nucleotides downstream the SAP2 start codon). The 5’ fragment containing a start codon, intron and SAP2 overlap was amplified from pSL-attB-Gyp-UAS14i-Cyp6P3-eYFP (Adolfi A. and Lycett G., unpublished). In parallel, </w:t>
      </w:r>
      <w:r w:rsidRPr="007C2683">
        <w:rPr>
          <w:rFonts w:eastAsiaTheme="minorEastAsia"/>
          <w:i/>
        </w:rPr>
        <w:t>SAP2</w:t>
      </w:r>
      <w:r w:rsidRPr="007C2683">
        <w:rPr>
          <w:rFonts w:eastAsiaTheme="minorEastAsia"/>
        </w:rPr>
        <w:t xml:space="preserve"> was amplified from </w:t>
      </w:r>
      <w:proofErr w:type="spellStart"/>
      <w:r w:rsidRPr="007C2683">
        <w:rPr>
          <w:rFonts w:eastAsiaTheme="minorEastAsia"/>
        </w:rPr>
        <w:t>Tiassalé</w:t>
      </w:r>
      <w:proofErr w:type="spellEnd"/>
      <w:r w:rsidRPr="007C2683">
        <w:rPr>
          <w:rFonts w:eastAsiaTheme="minorEastAsia"/>
        </w:rPr>
        <w:t xml:space="preserve"> genomic DNA using primers F-TTCTGAATTCCATCATGAAACTGTTCGTCGCC and R-TTCTCTCGAGTTATTCCAGCTTGATG. The 3’ fragment for fusion was amplified from the SAP2 PCR product with the overlapping sequences indicated above. The primers used were F-TTCTGAATTCCATCATGGTAAGTATCAAGGTTACA, R-GCGATGGCGACGAACAGTTTCTGTGGAGAGAAAGGCAAAG and F-CTTTGCCTTTCTCTCCACAGAAACTGTTCGTCGCCATCGC, R-TTCTCTCGAGTTATTCCAGCTTGATG, respectively. The two fragments were fused together by PCR using the outer amplification primers, sub-cloned into pJET1.2 (Thermo Scientific) and inserted into pSL-attB-Gyp-UAS14-eYFP-gyp-attB (Lycett G., unpublished), </w:t>
      </w:r>
      <w:r w:rsidRPr="007C2683">
        <w:rPr>
          <w:rFonts w:eastAsiaTheme="minorEastAsia"/>
          <w:color w:val="000000" w:themeColor="text1"/>
        </w:rPr>
        <w:t xml:space="preserve">which carries inverse </w:t>
      </w:r>
      <w:proofErr w:type="spellStart"/>
      <w:r w:rsidRPr="007C2683">
        <w:rPr>
          <w:rFonts w:eastAsiaTheme="minorEastAsia"/>
          <w:color w:val="000000" w:themeColor="text1"/>
        </w:rPr>
        <w:t>attB</w:t>
      </w:r>
      <w:proofErr w:type="spellEnd"/>
      <w:r w:rsidRPr="007C2683">
        <w:rPr>
          <w:rFonts w:eastAsiaTheme="minorEastAsia"/>
          <w:color w:val="000000" w:themeColor="text1"/>
        </w:rPr>
        <w:t xml:space="preserve"> site for RCME flanking, the 3xP3-YFP transformation marker and multiple cloning site</w:t>
      </w:r>
      <w:r w:rsidRPr="007C2683">
        <w:rPr>
          <w:rFonts w:eastAsiaTheme="minorEastAsia"/>
          <w:color w:val="FF0000"/>
        </w:rPr>
        <w:t xml:space="preserve"> </w:t>
      </w:r>
      <w:r w:rsidRPr="007C2683">
        <w:rPr>
          <w:rFonts w:eastAsiaTheme="minorEastAsia"/>
        </w:rPr>
        <w:t xml:space="preserve">through the </w:t>
      </w:r>
      <w:proofErr w:type="spellStart"/>
      <w:r w:rsidRPr="007C2683">
        <w:rPr>
          <w:rFonts w:eastAsiaTheme="minorEastAsia"/>
        </w:rPr>
        <w:t>EcoRI</w:t>
      </w:r>
      <w:proofErr w:type="spellEnd"/>
      <w:r w:rsidRPr="007C2683">
        <w:rPr>
          <w:rFonts w:eastAsiaTheme="minorEastAsia"/>
        </w:rPr>
        <w:t>/</w:t>
      </w:r>
      <w:proofErr w:type="spellStart"/>
      <w:r w:rsidRPr="007C2683">
        <w:rPr>
          <w:rFonts w:eastAsiaTheme="minorEastAsia"/>
        </w:rPr>
        <w:t>XhoI</w:t>
      </w:r>
      <w:proofErr w:type="spellEnd"/>
      <w:r w:rsidRPr="007C2683">
        <w:rPr>
          <w:rFonts w:eastAsiaTheme="minorEastAsia"/>
        </w:rPr>
        <w:t xml:space="preserve"> restrictions sites, to generate plasmid pUAS-SAP2.</w:t>
      </w:r>
      <w:r w:rsidRPr="007C2683">
        <w:rPr>
          <w:rFonts w:eastAsiaTheme="minorEastAsia"/>
          <w:color w:val="000000" w:themeColor="text1"/>
        </w:rPr>
        <w:t xml:space="preserve"> Sequence analysis indicated </w:t>
      </w:r>
      <w:r w:rsidRPr="007C2683">
        <w:rPr>
          <w:rFonts w:eastAsiaTheme="minorEastAsia"/>
        </w:rPr>
        <w:t>a point mutation within the synthetic intron but outside of the splice and acceptor donor sites</w:t>
      </w:r>
      <w:r w:rsidR="003E21B2">
        <w:rPr>
          <w:rFonts w:eastAsiaTheme="minorEastAsia"/>
        </w:rPr>
        <w:t>.</w:t>
      </w:r>
    </w:p>
    <w:p w14:paraId="22D022E0" w14:textId="77777777" w:rsidR="003E21B2" w:rsidRPr="003E21B2" w:rsidRDefault="003E21B2" w:rsidP="000007E2">
      <w:pPr>
        <w:rPr>
          <w:rFonts w:eastAsiaTheme="minorEastAsia"/>
        </w:rPr>
      </w:pPr>
    </w:p>
    <w:p w14:paraId="3FDDABAC" w14:textId="77777777" w:rsidR="000007E2" w:rsidRPr="007C2683" w:rsidRDefault="000007E2" w:rsidP="000007E2">
      <w:pPr>
        <w:rPr>
          <w:rFonts w:eastAsiaTheme="minorEastAsia"/>
          <w:b/>
        </w:rPr>
      </w:pPr>
      <w:r w:rsidRPr="007C2683">
        <w:rPr>
          <w:rFonts w:eastAsiaTheme="minorEastAsia"/>
          <w:b/>
        </w:rPr>
        <w:t>Transgenic Lines</w:t>
      </w:r>
    </w:p>
    <w:p w14:paraId="360FC971" w14:textId="05822988" w:rsidR="000007E2" w:rsidRPr="007C2683" w:rsidRDefault="000007E2" w:rsidP="000007E2">
      <w:pPr>
        <w:rPr>
          <w:rFonts w:eastAsiaTheme="minorEastAsia"/>
        </w:rPr>
      </w:pPr>
      <w:r w:rsidRPr="007C2683">
        <w:t xml:space="preserve">The CFP marked A10 Ubi-GAL4 line </w:t>
      </w:r>
      <w:r w:rsidRPr="007C2683">
        <w:fldChar w:fldCharType="begin" w:fldLock="1"/>
      </w:r>
      <w:r w:rsidR="004162E4">
        <w:instrText>ADDIN CSL_CITATION {"citationItems":[{"id":"ITEM-1","itemData":{"DOI":"https://doi.org/10.1016/j.ibmb.2018.03.005","ISSN":"0965-1748","abstract":"The ability to manipulate the Anopheles gambiae genome and alter gene expression effectively and reproducibly is a prerequisite for functional genetic analysis and for the development of novel control strategies in this important disease vector. However, in vivo transgenic analysis in mosquitoes is limited by the lack of promoters active ubiquitously. To address this, we used the GAL4/UAS system to investigate the promoter of the An. gambiae Polyubiquitin-c (PUBc) gene and demonstrated its ability to drive expression in mosquito cell culture before incorporation into An. gambiae transgenic driver lines. To generate such lines, piggyBac-mediated insertion was used to identify genomic regions able to sustain widespread expression and to create φC31 docking lines at these permissive sites. Patterns of expression induced by PUBc-GAL4 drivers carrying single intergenic insertions were assessed by crossing with a novel responder UAS-mCD8:mCherry line that was created by φC31-mediated integration. Amongst the drivers created at single, unique chromosomal integration loci, two were isolated that induced differential expression levels in a similar multiple-tissue spatial pattern throughout the mosquito life cycle. This work expands the tools available for An. gambiae functional analysis by providing a novel promoter for investigating phenotypes resulting from widespread multi-tissue expression, as well as identifying and tagging genomic sites that sustain broad transcriptional activity.","author":[{"dropping-particle":"","family":"Adolfi","given":"Adriana","non-dropping-particle":"","parse-names":false,"suffix":""},{"dropping-particle":"","family":"Pondeville","given":"Emilie","non-dropping-particle":"","parse-names":false,"suffix":""},{"dropping-particle":"","family":"Lynd","given":"Amy","non-dropping-particle":"","parse-names":false,"suffix":""},{"dropping-particle":"","family":"Bourgouin","given":"Catherine","non-dropping-particle":"","parse-names":false,"suffix":""},{"dropping-particle":"","family":"Lycett","given":"Gareth J","non-dropping-particle":"","parse-names":false,"suffix":""}],"container-title":"Insect Biochemistry and Molecular Biology","id":"ITEM-1","issued":{"date-parts":[["2018"]]},"page":"1-9","title":"Multi-tissue GAL4-mediated gene expression in all Anopheles gambiae life stages using an endogenous polyubiquitin promoter","type":"article-journal","volume":"96"},"uris":["http://www.mendeley.com/documents/?uuid=8e0fe3bb-cb54-4a42-92ae-f10f0aa1488d"]}],"mendeley":{"formattedCitation":"&lt;sup&gt;26&lt;/sup&gt;","plainTextFormattedCitation":"26","previouslyFormattedCitation":"&lt;sup&gt;25&lt;/sup&gt;"},"properties":{"noteIndex":0},"schema":"https://github.com/citation-style-language/schema/raw/master/csl-citation.json"}</w:instrText>
      </w:r>
      <w:r w:rsidRPr="007C2683">
        <w:fldChar w:fldCharType="separate"/>
      </w:r>
      <w:r w:rsidR="004162E4" w:rsidRPr="004162E4">
        <w:rPr>
          <w:noProof/>
          <w:vertAlign w:val="superscript"/>
        </w:rPr>
        <w:t>26</w:t>
      </w:r>
      <w:r w:rsidRPr="007C2683">
        <w:fldChar w:fldCharType="end"/>
      </w:r>
      <w:r w:rsidRPr="007C2683">
        <w:t xml:space="preserve"> was used as the RCME docking line to establish the UAS:SAP2 line. The A10 promoter, </w:t>
      </w:r>
      <w:r w:rsidRPr="007C2683">
        <w:rPr>
          <w:i/>
          <w:iCs/>
        </w:rPr>
        <w:t xml:space="preserve">polyubiquitin c </w:t>
      </w:r>
      <w:r w:rsidRPr="007C2683">
        <w:t>(</w:t>
      </w:r>
      <w:proofErr w:type="spellStart"/>
      <w:r w:rsidRPr="007C2683">
        <w:t>PUBc</w:t>
      </w:r>
      <w:proofErr w:type="spellEnd"/>
      <w:r w:rsidRPr="007C2683">
        <w:t>), has been previously characterised, and shows high levels of expression throughout adult male and female mosquitoes</w:t>
      </w:r>
      <w:r w:rsidRPr="007C2683">
        <w:fldChar w:fldCharType="begin" w:fldLock="1"/>
      </w:r>
      <w:r w:rsidR="004162E4">
        <w:instrText>ADDIN CSL_CITATION {"citationItems":[{"id":"ITEM-1","itemData":{"DOI":"https://doi.org/10.1016/j.ibmb.2018.03.005","ISSN":"0965-1748","abstract":"The ability to manipulate the Anopheles gambiae genome and alter gene expression effectively and reproducibly is a prerequisite for functional genetic analysis and for the development of novel control strategies in this important disease vector. However, in vivo transgenic analysis in mosquitoes is limited by the lack of promoters active ubiquitously. To address this, we used the GAL4/UAS system to investigate the promoter of the An. gambiae Polyubiquitin-c (PUBc) gene and demonstrated its ability to drive expression in mosquito cell culture before incorporation into An. gambiae transgenic driver lines. To generate such lines, piggyBac-mediated insertion was used to identify genomic regions able to sustain widespread expression and to create φC31 docking lines at these permissive sites. Patterns of expression induced by PUBc-GAL4 drivers carrying single intergenic insertions were assessed by crossing with a novel responder UAS-mCD8:mCherry line that was created by φC31-mediated integration. Amongst the drivers created at single, unique chromosomal integration loci, two were isolated that induced differential expression levels in a similar multiple-tissue spatial pattern throughout the mosquito life cycle. This work expands the tools available for An. gambiae functional analysis by providing a novel promoter for investigating phenotypes resulting from widespread multi-tissue expression, as well as identifying and tagging genomic sites that sustain broad transcriptional activity.","author":[{"dropping-particle":"","family":"Adolfi","given":"Adriana","non-dropping-particle":"","parse-names":false,"suffix":""},{"dropping-particle":"","family":"Pondeville","given":"Emilie","non-dropping-particle":"","parse-names":false,"suffix":""},{"dropping-particle":"","family":"Lynd","given":"Amy","non-dropping-particle":"","parse-names":false,"suffix":""},{"dropping-particle":"","family":"Bourgouin","given":"Catherine","non-dropping-particle":"","parse-names":false,"suffix":""},{"dropping-particle":"","family":"Lycett","given":"Gareth J","non-dropping-particle":"","parse-names":false,"suffix":""}],"container-title":"Insect Biochemistry and Molecular Biology","id":"ITEM-1","issued":{"date-parts":[["2018"]]},"page":"1-9","title":"Multi-tissue GAL4-mediated gene expression in all Anopheles gambiae life stages using an endogenous polyubiquitin promoter","type":"article-journal","volume":"96"},"uris":["http://www.mendeley.com/documents/?uuid=8e0fe3bb-cb54-4a42-92ae-f10f0aa1488d"]}],"mendeley":{"formattedCitation":"&lt;sup&gt;26&lt;/sup&gt;","plainTextFormattedCitation":"26","previouslyFormattedCitation":"&lt;sup&gt;25&lt;/sup&gt;"},"properties":{"noteIndex":0},"schema":"https://github.com/citation-style-language/schema/raw/master/csl-citation.json"}</w:instrText>
      </w:r>
      <w:r w:rsidRPr="007C2683">
        <w:fldChar w:fldCharType="separate"/>
      </w:r>
      <w:r w:rsidR="004162E4" w:rsidRPr="004162E4">
        <w:rPr>
          <w:noProof/>
          <w:vertAlign w:val="superscript"/>
        </w:rPr>
        <w:t>26</w:t>
      </w:r>
      <w:r w:rsidRPr="007C2683">
        <w:fldChar w:fldCharType="end"/>
      </w:r>
      <w:r w:rsidRPr="007C2683">
        <w:t xml:space="preserve">. </w:t>
      </w:r>
      <w:proofErr w:type="spellStart"/>
      <w:r w:rsidRPr="007C2683">
        <w:t>mCherry</w:t>
      </w:r>
      <w:proofErr w:type="spellEnd"/>
      <w:r w:rsidRPr="007C2683">
        <w:t xml:space="preserve"> under the </w:t>
      </w:r>
      <w:proofErr w:type="spellStart"/>
      <w:r w:rsidRPr="007C2683">
        <w:t>PUBc</w:t>
      </w:r>
      <w:proofErr w:type="spellEnd"/>
      <w:r w:rsidRPr="007C2683">
        <w:t xml:space="preserve"> promoter in the A10 line has fluorescence in the thorax, non-sclerotised abdomen, appendages (wing veins, antennae, palps, proboscis/labium and legs) </w:t>
      </w:r>
      <w:r w:rsidRPr="007C2683">
        <w:fldChar w:fldCharType="begin" w:fldLock="1"/>
      </w:r>
      <w:r w:rsidR="004162E4">
        <w:instrText>ADDIN CSL_CITATION {"citationItems":[{"id":"ITEM-1","itemData":{"DOI":"https://doi.org/10.1016/j.ibmb.2018.03.005","ISSN":"0965-1748","abstract":"The ability to manipulate the Anopheles gambiae genome and alter gene expression effectively and reproducibly is a prerequisite for functional genetic analysis and for the development of novel control strategies in this important disease vector. However, in vivo transgenic analysis in mosquitoes is limited by the lack of promoters active ubiquitously. To address this, we used the GAL4/UAS system to investigate the promoter of the An. gambiae Polyubiquitin-c (PUBc) gene and demonstrated its ability to drive expression in mosquito cell culture before incorporation into An. gambiae transgenic driver lines. To generate such lines, piggyBac-mediated insertion was used to identify genomic regions able to sustain widespread expression and to create φC31 docking lines at these permissive sites. Patterns of expression induced by PUBc-GAL4 drivers carrying single intergenic insertions were assessed by crossing with a novel responder UAS-mCD8:mCherry line that was created by φC31-mediated integration. Amongst the drivers created at single, unique chromosomal integration loci, two were isolated that induced differential expression levels in a similar multiple-tissue spatial pattern throughout the mosquito life cycle. This work expands the tools available for An. gambiae functional analysis by providing a novel promoter for investigating phenotypes resulting from widespread multi-tissue expression, as well as identifying and tagging genomic sites that sustain broad transcriptional activity.","author":[{"dropping-particle":"","family":"Adolfi","given":"Adriana","non-dropping-particle":"","parse-names":false,"suffix":""},{"dropping-particle":"","family":"Pondeville","given":"Emilie","non-dropping-particle":"","parse-names":false,"suffix":""},{"dropping-particle":"","family":"Lynd","given":"Amy","non-dropping-particle":"","parse-names":false,"suffix":""},{"dropping-particle":"","family":"Bourgouin","given":"Catherine","non-dropping-particle":"","parse-names":false,"suffix":""},{"dropping-particle":"","family":"Lycett","given":"Gareth J","non-dropping-particle":"","parse-names":false,"suffix":""}],"container-title":"Insect Biochemistry and Molecular Biology","id":"ITEM-1","issued":{"date-parts":[["2018"]]},"page":"1-9","title":"Multi-tissue GAL4-mediated gene expression in all Anopheles gambiae life stages using an endogenous polyubiquitin promoter","type":"article-journal","volume":"96"},"uris":["http://www.mendeley.com/documents/?uuid=8e0fe3bb-cb54-4a42-92ae-f10f0aa1488d"]}],"mendeley":{"formattedCitation":"&lt;sup&gt;26&lt;/sup&gt;","plainTextFormattedCitation":"26","previouslyFormattedCitation":"&lt;sup&gt;25&lt;/sup&gt;"},"properties":{"noteIndex":0},"schema":"https://github.com/citation-style-language/schema/raw/master/csl-citation.json"}</w:instrText>
      </w:r>
      <w:r w:rsidRPr="007C2683">
        <w:fldChar w:fldCharType="separate"/>
      </w:r>
      <w:r w:rsidR="004162E4" w:rsidRPr="004162E4">
        <w:rPr>
          <w:noProof/>
          <w:vertAlign w:val="superscript"/>
        </w:rPr>
        <w:t>26</w:t>
      </w:r>
      <w:r w:rsidRPr="007C2683">
        <w:fldChar w:fldCharType="end"/>
      </w:r>
      <w:r w:rsidRPr="007C2683">
        <w:t xml:space="preserve"> (Extended Data Figure 6b). Microinjections were performed on approximately 200 embryos with 350ng/</w:t>
      </w:r>
      <w:r w:rsidRPr="007C2683">
        <w:rPr>
          <w:lang w:val="el-GR"/>
        </w:rPr>
        <w:t>μ</w:t>
      </w:r>
      <w:r w:rsidRPr="007C2683">
        <w:t>l of SAP</w:t>
      </w:r>
      <w:proofErr w:type="gramStart"/>
      <w:r w:rsidRPr="007C2683">
        <w:t>2:UAS</w:t>
      </w:r>
      <w:proofErr w:type="gramEnd"/>
      <w:r w:rsidRPr="007C2683">
        <w:t xml:space="preserve"> responder plasmid and 150ng/</w:t>
      </w:r>
      <w:r w:rsidRPr="007C2683">
        <w:rPr>
          <w:lang w:val="el-GR"/>
        </w:rPr>
        <w:t>μ</w:t>
      </w:r>
      <w:r w:rsidRPr="007C2683">
        <w:t>l of phiC31 integrase helper plasmid pKC40 (gift from L. Ringrose, Humboldt University Berlin).</w:t>
      </w:r>
      <w:r w:rsidRPr="007C2683">
        <w:rPr>
          <w:rFonts w:eastAsiaTheme="minorEastAsia"/>
        </w:rPr>
        <w:t xml:space="preserve"> 38 F</w:t>
      </w:r>
      <w:r w:rsidRPr="007C2683">
        <w:rPr>
          <w:rFonts w:eastAsiaTheme="minorEastAsia"/>
          <w:vertAlign w:val="subscript"/>
        </w:rPr>
        <w:t>0</w:t>
      </w:r>
      <w:r w:rsidRPr="007C2683">
        <w:rPr>
          <w:rFonts w:eastAsiaTheme="minorEastAsia"/>
        </w:rPr>
        <w:t xml:space="preserve"> L1 larvae transiently expressing the YFP marker were obtained, reared separately and crossed into opposite sex G3. Three YFP positive F</w:t>
      </w:r>
      <w:r w:rsidRPr="007C2683">
        <w:rPr>
          <w:rFonts w:eastAsiaTheme="minorEastAsia"/>
          <w:vertAlign w:val="subscript"/>
        </w:rPr>
        <w:t xml:space="preserve">1 </w:t>
      </w:r>
      <w:r w:rsidRPr="007C2683">
        <w:rPr>
          <w:rFonts w:eastAsiaTheme="minorEastAsia"/>
        </w:rPr>
        <w:t>male adults were identified from screening, that were backcrossed with wild-type G3, and characterised for orientation of exchange cassette through a diagnostic PCR. All males showed identical orientation in the expected genomic site. From these F</w:t>
      </w:r>
      <w:r w:rsidRPr="007C2683">
        <w:rPr>
          <w:rFonts w:eastAsiaTheme="minorEastAsia"/>
          <w:vertAlign w:val="subscript"/>
        </w:rPr>
        <w:t xml:space="preserve">1 </w:t>
      </w:r>
      <w:r w:rsidRPr="007C2683">
        <w:rPr>
          <w:rFonts w:eastAsiaTheme="minorEastAsia"/>
        </w:rPr>
        <w:t xml:space="preserve">crosses, a single </w:t>
      </w:r>
      <w:proofErr w:type="spellStart"/>
      <w:r w:rsidRPr="007C2683">
        <w:rPr>
          <w:rFonts w:eastAsiaTheme="minorEastAsia"/>
        </w:rPr>
        <w:t>isofemale</w:t>
      </w:r>
      <w:proofErr w:type="spellEnd"/>
      <w:r w:rsidRPr="007C2683">
        <w:rPr>
          <w:rFonts w:eastAsiaTheme="minorEastAsia"/>
        </w:rPr>
        <w:t xml:space="preserve"> line was selected, that showed expected 50% YFP inheritance in F</w:t>
      </w:r>
      <w:r w:rsidRPr="007C2683">
        <w:rPr>
          <w:rFonts w:eastAsiaTheme="minorEastAsia"/>
          <w:vertAlign w:val="subscript"/>
        </w:rPr>
        <w:t>2</w:t>
      </w:r>
      <w:r w:rsidRPr="007C2683">
        <w:rPr>
          <w:rFonts w:eastAsiaTheme="minorEastAsia"/>
        </w:rPr>
        <w:t>. This line was further characterised after crossing with the parental A10 Ubi-Gal4 driver line for correct splicing of the inserted intron (Extended Data Figure 6c) and for insecticide bioassays.</w:t>
      </w:r>
    </w:p>
    <w:p w14:paraId="16AFC1C1" w14:textId="77777777" w:rsidR="000007E2" w:rsidRPr="007C2683" w:rsidRDefault="000007E2" w:rsidP="000007E2">
      <w:pPr>
        <w:rPr>
          <w:b/>
        </w:rPr>
      </w:pPr>
      <w:r w:rsidRPr="007C2683">
        <w:rPr>
          <w:b/>
        </w:rPr>
        <w:t>Bioassays</w:t>
      </w:r>
    </w:p>
    <w:p w14:paraId="6FA8CA73" w14:textId="1DF1EAC5" w:rsidR="000007E2" w:rsidRPr="007C2683" w:rsidRDefault="000007E2" w:rsidP="000007E2">
      <w:r w:rsidRPr="007C2683">
        <w:t xml:space="preserve">72-hours post injection, 3-5-day old adult females were exposed to a panel of insecticides using standard insecticide impregnated papers in WHO tubes </w:t>
      </w:r>
      <w:r w:rsidRPr="007C2683">
        <w:fldChar w:fldCharType="begin" w:fldLock="1"/>
      </w:r>
      <w:r w:rsidR="004162E4">
        <w:instrText>ADDIN CSL_CITATION {"citationItems":[{"id":"ITEM-1","itemData":{"ISSN":"9241511575","author":[{"dropping-particle":"","family":"Organization","given":"World Health","non-dropping-particle":"","parse-names":false,"suffix":""}],"id":"ITEM-1","issued":{"date-parts":[["2016"]]},"publisher":"World Health Organization","title":"Test procedures for insecticide resistance monitoring in malaria vector mosquitoes","type":"article-journal"},"uris":["http://www.mendeley.com/documents/?uuid=28c04c5e-2b94-40ce-a5a1-3898043fa9e8"]}],"mendeley":{"formattedCitation":"&lt;sup&gt;27&lt;/sup&gt;","plainTextFormattedCitation":"27","previouslyFormattedCitation":"&lt;sup&gt;26&lt;/sup&gt;"},"properties":{"noteIndex":0},"schema":"https://github.com/citation-style-language/schema/raw/master/csl-citation.json"}</w:instrText>
      </w:r>
      <w:r w:rsidRPr="007C2683">
        <w:fldChar w:fldCharType="separate"/>
      </w:r>
      <w:r w:rsidR="004162E4" w:rsidRPr="004162E4">
        <w:rPr>
          <w:noProof/>
          <w:vertAlign w:val="superscript"/>
        </w:rPr>
        <w:t>27</w:t>
      </w:r>
      <w:r w:rsidRPr="007C2683">
        <w:fldChar w:fldCharType="end"/>
      </w:r>
      <w:r w:rsidRPr="007C2683">
        <w:t xml:space="preserve">. In each case, 15-30 adult females were exposed to insecticide for 1-hour and then left in a control tube for 24 hours in insectary conditions before mortality was scored (minimum biological replicates = 3; maximum = 17). For each experiment, mosquitoes were simultaneously exposed to untreated control papers. GFP-injected mosquitoes were used as controls for the RNAi bioassays and the GAL4-driver line acted as a control for the bioassays on the transgenic strains. For the induction experiments, no 24-hour recovery period was allowed, and mosquitoes were taken at the time point directly after 1-hour exposure; this experiment was only possible on the resistant population due to mortality in the susceptible control. Bartlett and Shapiro tests were used to confirm homogeneity of variance and normality of data respectively. For non-normal data transformations were performed to achieve normality. Analysis of mortality data was done using an ANOVA test followed by a Tukey </w:t>
      </w:r>
      <w:r w:rsidRPr="007C2683">
        <w:rPr>
          <w:i/>
        </w:rPr>
        <w:t>post hoc</w:t>
      </w:r>
      <w:r w:rsidRPr="007C2683">
        <w:t xml:space="preserve"> test. Graphs were produced using GraphPad Prism 8.0.2 </w:t>
      </w:r>
      <w:r w:rsidRPr="007C2683">
        <w:rPr>
          <w:rFonts w:eastAsiaTheme="minorEastAsia"/>
        </w:rPr>
        <w:t xml:space="preserve">(La Jolla California USA, </w:t>
      </w:r>
      <w:hyperlink r:id="rId7" w:history="1">
        <w:r w:rsidRPr="007C2683">
          <w:rPr>
            <w:rStyle w:val="Hyperlink"/>
            <w:rFonts w:eastAsiaTheme="minorEastAsia"/>
          </w:rPr>
          <w:t>www.graphpad.com</w:t>
        </w:r>
      </w:hyperlink>
      <w:r w:rsidRPr="007C2683">
        <w:rPr>
          <w:rFonts w:eastAsiaTheme="minorEastAsia"/>
        </w:rPr>
        <w:t xml:space="preserve">). Mortalities and significance levels for figure panels are shown in </w:t>
      </w:r>
      <w:r w:rsidR="00857012">
        <w:rPr>
          <w:rFonts w:eastAsiaTheme="minorEastAsia"/>
        </w:rPr>
        <w:t>Supplementary</w:t>
      </w:r>
      <w:r w:rsidRPr="007C2683">
        <w:rPr>
          <w:rFonts w:eastAsiaTheme="minorEastAsia"/>
        </w:rPr>
        <w:t xml:space="preserve"> Data Table </w:t>
      </w:r>
      <w:r w:rsidR="00857012">
        <w:rPr>
          <w:rFonts w:eastAsiaTheme="minorEastAsia"/>
        </w:rPr>
        <w:t>2</w:t>
      </w:r>
      <w:r w:rsidRPr="007C2683">
        <w:rPr>
          <w:rFonts w:eastAsiaTheme="minorEastAsia"/>
        </w:rPr>
        <w:t>.</w:t>
      </w:r>
    </w:p>
    <w:p w14:paraId="396B869A" w14:textId="77777777" w:rsidR="000007E2" w:rsidRPr="007C2683" w:rsidRDefault="000007E2" w:rsidP="000007E2">
      <w:pPr>
        <w:rPr>
          <w:b/>
        </w:rPr>
      </w:pPr>
      <w:r w:rsidRPr="007C2683">
        <w:rPr>
          <w:b/>
        </w:rPr>
        <w:t>RNA Extraction</w:t>
      </w:r>
    </w:p>
    <w:p w14:paraId="6D17A047" w14:textId="19EBDACE" w:rsidR="000007E2" w:rsidRDefault="000007E2" w:rsidP="000007E2">
      <w:r w:rsidRPr="007C2683">
        <w:t xml:space="preserve">RNA was extracted and purified in each experimental set using an Arcturus </w:t>
      </w:r>
      <w:proofErr w:type="spellStart"/>
      <w:r w:rsidRPr="007C2683">
        <w:t>PicoPure</w:t>
      </w:r>
      <w:proofErr w:type="spellEnd"/>
      <w:r w:rsidRPr="007C2683">
        <w:t xml:space="preserve"> RNA Isolation Kit (Thermo Fisher, UK) following manufacturer’s instructions. Whole body resistant and susceptible experiments, and RNAi knockdown efficiency checks, used five to seven, 3-5-day old adult female mosquitoes, ground and boiled in extraction buffer. For insecticide induction mosquitoes were snap frozen pre-exposure and at 30 minutes, 1 hour, 2 hours, 4 hours, 24 hours and 48 hours post-deltamethrin exposure of 3-5-day old female mosquitoes and RNA extracted as above. Finally, for tissue experiments; 50-100 3-5-day old females had heads, legs, antennae, midgut, Malpighian tubules, reproductive tissues (and hindgut), along with the remaining abdominal carcass where fat body cells predominate </w:t>
      </w:r>
      <w:r w:rsidRPr="007C2683">
        <w:fldChar w:fldCharType="begin" w:fldLock="1"/>
      </w:r>
      <w:r w:rsidR="004162E4">
        <w:instrText>ADDIN CSL_CITATION {"citationItems":[{"id":"ITEM-1","itemData":{"ISSN":"0027-8424","author":[{"dropping-particle":"","family":"Severo","given":"Maiara S","non-dropping-particle":"","parse-names":false,"suffix":""},{"dropping-particle":"","family":"Landry","given":"Jonathan J M","non-dropping-particle":"","parse-names":false,"suffix":""},{"dropping-particle":"","family":"Lindquist","given":"Randall L","non-dropping-particle":"","parse-names":false,"suffix":""},{"dropping-particle":"","family":"Goosmann","given":"Christian","non-dropping-particle":"","parse-names":false,"suffix":""},{"dropping-particle":"","family":"Brinkmann","given":"Volker","non-dropping-particle":"","parse-names":false,"suffix":""},{"dropping-particle":"","family":"Collier","given":"Paul","non-dropping-particle":"","parse-names":false,"suffix":""},{"dropping-particle":"","family":"Hauser","given":"Anja E","non-dropping-particle":"","parse-names":false,"suffix":""},{"dropping-particle":"","family":"Benes","given":"Vladimir","non-dropping-particle":"","parse-names":false,"suffix":""},{"dropping-particle":"","family":"Henriksson","given":"Johan","non-dropping-particle":"","parse-names":false,"suffix":""},{"dropping-particle":"","family":"Teichmann","given":"Sarah A","non-dropping-particle":"","parse-names":false,"suffix":""}],"container-title":"Proceedings of the National Academy of Sciences","id":"ITEM-1","issue":"32","issued":{"date-parts":[["2018"]]},"page":"E7568-E7577","publisher":"National Acad Sciences","title":"Unbiased classification of mosquito blood cells by single-cell genomics and high-content imaging","type":"article-journal","volume":"115"},"uris":["http://www.mendeley.com/documents/?uuid=289da1a3-4d27-42f2-a454-b662a5a8f30d"]}],"mendeley":{"formattedCitation":"&lt;sup&gt;28&lt;/sup&gt;","plainTextFormattedCitation":"28","previouslyFormattedCitation":"&lt;sup&gt;27&lt;/sup&gt;"},"properties":{"noteIndex":0},"schema":"https://github.com/citation-style-language/schema/raw/master/csl-citation.json"}</w:instrText>
      </w:r>
      <w:r w:rsidRPr="007C2683">
        <w:fldChar w:fldCharType="separate"/>
      </w:r>
      <w:r w:rsidR="004162E4" w:rsidRPr="004162E4">
        <w:rPr>
          <w:noProof/>
          <w:vertAlign w:val="superscript"/>
        </w:rPr>
        <w:t>28</w:t>
      </w:r>
      <w:r w:rsidRPr="007C2683">
        <w:fldChar w:fldCharType="end"/>
      </w:r>
      <w:r w:rsidRPr="007C2683">
        <w:t xml:space="preserve"> , removed with microdissection scissors and tweezers on iced PBS, alongside 5-7 age matched whole females from the same cage. The quality of the RNA was assessed using a nanodrop spectrophotometer (Nanodrop Technologies UK).</w:t>
      </w:r>
    </w:p>
    <w:p w14:paraId="6F75D6B1" w14:textId="77777777" w:rsidR="003E21B2" w:rsidRPr="007C2683" w:rsidRDefault="003E21B2" w:rsidP="000007E2"/>
    <w:p w14:paraId="3E6CB7EF" w14:textId="77777777" w:rsidR="000007E2" w:rsidRPr="007C2683" w:rsidRDefault="000007E2" w:rsidP="000007E2">
      <w:pPr>
        <w:rPr>
          <w:b/>
        </w:rPr>
      </w:pPr>
      <w:r w:rsidRPr="007C2683">
        <w:rPr>
          <w:b/>
        </w:rPr>
        <w:t>qPCR</w:t>
      </w:r>
    </w:p>
    <w:p w14:paraId="6BD91447" w14:textId="306B8796" w:rsidR="000007E2" w:rsidRPr="007C2683" w:rsidRDefault="000007E2" w:rsidP="000007E2">
      <w:r w:rsidRPr="007C2683">
        <w:t>RNA (1-4</w:t>
      </w:r>
      <w:r w:rsidRPr="007C2683">
        <w:rPr>
          <w:rFonts w:cs="Lucida Grande"/>
          <w:color w:val="333333"/>
          <w:shd w:val="clear" w:color="auto" w:fill="FFFFFF"/>
        </w:rPr>
        <w:t>µ</w:t>
      </w:r>
      <w:r w:rsidRPr="007C2683">
        <w:t xml:space="preserve">g) from each biological replicate was reverse transcribed using Oligo dT (Invitrogen, UK) and Superscript III (Invitrogen, UK) according to manufacturer’s instructions. Quantitative real-time PCR was performed using SYBR Green </w:t>
      </w:r>
      <w:proofErr w:type="spellStart"/>
      <w:r w:rsidRPr="007C2683">
        <w:t>Supermix</w:t>
      </w:r>
      <w:proofErr w:type="spellEnd"/>
      <w:r w:rsidRPr="007C2683">
        <w:t xml:space="preserve"> III (Applied Biosystems, UK) using an MX3005 and the associated </w:t>
      </w:r>
      <w:proofErr w:type="spellStart"/>
      <w:r w:rsidRPr="007C2683">
        <w:t>MxPro</w:t>
      </w:r>
      <w:proofErr w:type="spellEnd"/>
      <w:r w:rsidRPr="007C2683">
        <w:t xml:space="preserve"> software </w:t>
      </w:r>
      <w:r w:rsidR="009A4AAA">
        <w:t xml:space="preserve">v4.10 </w:t>
      </w:r>
      <w:r w:rsidRPr="007C2683">
        <w:t>(Agilent, UK). Primer Blast (NCBI) was used to design primer pairs. Where possible, primers were designed to span an exon junction (</w:t>
      </w:r>
      <w:r w:rsidR="006400A6">
        <w:t>Supplementary</w:t>
      </w:r>
      <w:r w:rsidRPr="007C2683">
        <w:t xml:space="preserve"> Table </w:t>
      </w:r>
      <w:r w:rsidR="006400A6">
        <w:t>3</w:t>
      </w:r>
      <w:r w:rsidRPr="007C2683">
        <w:t xml:space="preserve">). Each 20µl reaction contained 10µl SYBR Green </w:t>
      </w:r>
      <w:proofErr w:type="spellStart"/>
      <w:r w:rsidRPr="007C2683">
        <w:t>Supermix</w:t>
      </w:r>
      <w:proofErr w:type="spellEnd"/>
      <w:r w:rsidRPr="007C2683">
        <w:t>, 0.3µM of each primer and 1µl of 2ng/µL cDNA. Standard curves for each primer set were used to calculate efficiency, using five 1:5 dilutions of cDNA to ensure that all primer sets met the MIQE guidelines (90-120%). qPCR was performed with the following conditions: 3 minutes at 95</w:t>
      </w:r>
      <w:r w:rsidRPr="007C2683">
        <w:rPr>
          <w:vertAlign w:val="superscript"/>
        </w:rPr>
        <w:t>o</w:t>
      </w:r>
      <w:r w:rsidRPr="007C2683">
        <w:t>C, with 40 cycles of 10 seconds at 95</w:t>
      </w:r>
      <w:r w:rsidRPr="007C2683">
        <w:rPr>
          <w:vertAlign w:val="superscript"/>
        </w:rPr>
        <w:t>o</w:t>
      </w:r>
      <w:r w:rsidRPr="007C2683">
        <w:t>C and 10 seconds at 60</w:t>
      </w:r>
      <w:r w:rsidRPr="007C2683">
        <w:rPr>
          <w:vertAlign w:val="superscript"/>
        </w:rPr>
        <w:t>o</w:t>
      </w:r>
      <w:r w:rsidRPr="007C2683">
        <w:t>C. Relative expression was normalised against two housekeeping genes: EF (AGAP005128) and S7 (AGAP010592). Analysis was performed on 2</w:t>
      </w:r>
      <w:r w:rsidRPr="007C2683">
        <w:rPr>
          <w:vertAlign w:val="superscript"/>
        </w:rPr>
        <w:t>ΔΔCt</w:t>
      </w:r>
      <w:r w:rsidRPr="007C2683">
        <w:t xml:space="preserve"> values </w:t>
      </w:r>
      <w:r w:rsidRPr="007C2683">
        <w:fldChar w:fldCharType="begin" w:fldLock="1"/>
      </w:r>
      <w:r w:rsidR="004162E4">
        <w:instrText>ADDIN CSL_CITATION {"citationItems":[{"id":"ITEM-1","itemData":{"ISSN":"1754-2189","author":[{"dropping-particle":"","family":"Schmittgen","given":"Thomas D","non-dropping-particle":"","parse-names":false,"suffix":""},{"dropping-particle":"","family":"Livak","given":"Kenneth J","non-dropping-particle":"","parse-names":false,"suffix":""}],"container-title":"Nature protocols","id":"ITEM-1","issue":"6","issued":{"date-parts":[["2008"]]},"page":"1101-1108","publisher":"Nature Publishing Group","title":"Analyzing real-time PCR data by the comparative CT method","type":"article-journal","volume":"3"},"uris":["http://www.mendeley.com/documents/?uuid=709b550b-4d41-4728-81b1-19f9b2eab4ab"]}],"mendeley":{"formattedCitation":"&lt;sup&gt;29&lt;/sup&gt;","plainTextFormattedCitation":"29","previouslyFormattedCitation":"&lt;sup&gt;28&lt;/sup&gt;"},"properties":{"noteIndex":0},"schema":"https://github.com/citation-style-language/schema/raw/master/csl-citation.json"}</w:instrText>
      </w:r>
      <w:r w:rsidRPr="007C2683">
        <w:fldChar w:fldCharType="separate"/>
      </w:r>
      <w:r w:rsidR="004162E4" w:rsidRPr="004162E4">
        <w:rPr>
          <w:noProof/>
          <w:vertAlign w:val="superscript"/>
        </w:rPr>
        <w:t>29</w:t>
      </w:r>
      <w:r w:rsidRPr="007C2683">
        <w:fldChar w:fldCharType="end"/>
      </w:r>
      <w:r w:rsidRPr="007C2683">
        <w:t xml:space="preserve">; Bartlett and Shapiro tests were used to confirm homogeneity of variance and normality of data respectively. For non-normal data transformations were performed when possible to achieve normality. Normal data was analysed using an ANOVA followed by Dunnett’s </w:t>
      </w:r>
      <w:r w:rsidRPr="007C2683">
        <w:rPr>
          <w:i/>
        </w:rPr>
        <w:t>post hoc</w:t>
      </w:r>
      <w:r w:rsidRPr="007C2683">
        <w:t xml:space="preserve"> test, non-normal data was analysed using </w:t>
      </w:r>
      <w:proofErr w:type="spellStart"/>
      <w:r w:rsidRPr="007C2683">
        <w:t>Kruskall</w:t>
      </w:r>
      <w:proofErr w:type="spellEnd"/>
      <w:r w:rsidRPr="007C2683">
        <w:t xml:space="preserve">-Wallis followed by a Dunn’s </w:t>
      </w:r>
      <w:r w:rsidRPr="007C2683">
        <w:rPr>
          <w:i/>
        </w:rPr>
        <w:t>post hoc</w:t>
      </w:r>
      <w:r w:rsidRPr="007C2683">
        <w:t xml:space="preserve"> test. Graphs were produced using GraphPad Prism 8.0.2 </w:t>
      </w:r>
      <w:r w:rsidRPr="007C2683">
        <w:rPr>
          <w:rFonts w:eastAsiaTheme="minorEastAsia"/>
        </w:rPr>
        <w:t>(La Jolla California USA, www.graphpad.com)</w:t>
      </w:r>
      <w:r w:rsidRPr="007C2683">
        <w:t xml:space="preserve">. All qPCR analysis had three biological replicates and three technical replicates within each biological replicate, with the exception of the transgenics which had two. Relative fold changes and significance levels for each figure panel are shown in </w:t>
      </w:r>
      <w:r w:rsidR="006400A6">
        <w:t>Supplementary</w:t>
      </w:r>
      <w:r w:rsidRPr="007C2683">
        <w:t xml:space="preserve"> Data Table </w:t>
      </w:r>
      <w:r w:rsidR="006400A6">
        <w:t>2</w:t>
      </w:r>
      <w:r w:rsidRPr="007C2683">
        <w:t xml:space="preserve">; primers are shown in </w:t>
      </w:r>
      <w:r w:rsidR="006400A6">
        <w:t>Supplementary</w:t>
      </w:r>
      <w:r w:rsidRPr="007C2683">
        <w:t xml:space="preserve"> Data Table </w:t>
      </w:r>
      <w:r w:rsidR="006400A6">
        <w:t>3</w:t>
      </w:r>
      <w:r w:rsidRPr="007C2683">
        <w:t xml:space="preserve"> and SAP2 sequences to demonstrate conservation of binding site in Extended Data Figure 9. The PCR for sequencing was performed in two reactions, and sequenced using the primers, Region1-F ‘CACAACGATTCGTGGTCACC’, Region1-R ‘CACTTCACAACTTGCAATGAA’, sequenced using Region1-R and Region2-F ‘TTCATTGCAAGTTGTGAAGTG’, Region2-R ‘GCACCAGCTGATCGTTGA’, sequenced using Region2-F.  PCR used </w:t>
      </w:r>
      <w:r w:rsidRPr="007C2683">
        <w:rPr>
          <w:rFonts w:eastAsiaTheme="minorEastAsia"/>
        </w:rPr>
        <w:t>Phusion High-Fidelity DNA Polymerase (Thermo Fisher, UK)</w:t>
      </w:r>
      <w:r w:rsidRPr="007C2683">
        <w:t xml:space="preserve"> with a 98</w:t>
      </w:r>
      <w:r w:rsidRPr="007C2683">
        <w:rPr>
          <w:vertAlign w:val="superscript"/>
        </w:rPr>
        <w:t>o</w:t>
      </w:r>
      <w:r w:rsidRPr="007C2683">
        <w:t>C 30 seconds followed by 40 cycles of 98</w:t>
      </w:r>
      <w:r w:rsidRPr="007C2683">
        <w:rPr>
          <w:vertAlign w:val="superscript"/>
        </w:rPr>
        <w:t>o</w:t>
      </w:r>
      <w:r w:rsidRPr="007C2683">
        <w:t>C 7 seconds, 64</w:t>
      </w:r>
      <w:r w:rsidRPr="007C2683">
        <w:rPr>
          <w:vertAlign w:val="superscript"/>
        </w:rPr>
        <w:t>o</w:t>
      </w:r>
      <w:r w:rsidRPr="007C2683">
        <w:t>C for 10 seconds, 72</w:t>
      </w:r>
      <w:r w:rsidRPr="007C2683">
        <w:rPr>
          <w:vertAlign w:val="superscript"/>
        </w:rPr>
        <w:t>o</w:t>
      </w:r>
      <w:r w:rsidRPr="007C2683">
        <w:t>C for 2 minutes and a final hold of 72</w:t>
      </w:r>
      <w:r w:rsidRPr="007C2683">
        <w:rPr>
          <w:vertAlign w:val="superscript"/>
        </w:rPr>
        <w:t>o</w:t>
      </w:r>
      <w:r w:rsidRPr="007C2683">
        <w:t>C for ten minutes.  Gel extraction used Qiagen Gel Extraction Kit (</w:t>
      </w:r>
      <w:proofErr w:type="spellStart"/>
      <w:proofErr w:type="gramStart"/>
      <w:r w:rsidRPr="007C2683">
        <w:t>Qiagen,UK</w:t>
      </w:r>
      <w:proofErr w:type="spellEnd"/>
      <w:proofErr w:type="gramEnd"/>
      <w:r w:rsidRPr="007C2683">
        <w:t xml:space="preserve">), following manufacturer’s instructions </w:t>
      </w:r>
      <w:r w:rsidRPr="007C2683">
        <w:rPr>
          <w:rFonts w:eastAsiaTheme="minorEastAsia"/>
        </w:rPr>
        <w:t>and PCR products were Sanger sequenced at Eurofins Genomics, UK</w:t>
      </w:r>
      <w:r w:rsidRPr="007C2683">
        <w:t>.</w:t>
      </w:r>
    </w:p>
    <w:p w14:paraId="01EBDA70" w14:textId="77777777" w:rsidR="000007E2" w:rsidRPr="007C2683" w:rsidRDefault="000007E2" w:rsidP="000007E2">
      <w:pPr>
        <w:rPr>
          <w:b/>
        </w:rPr>
      </w:pPr>
      <w:r w:rsidRPr="007C2683">
        <w:rPr>
          <w:b/>
        </w:rPr>
        <w:t>SAP constructs</w:t>
      </w:r>
    </w:p>
    <w:p w14:paraId="5027AADE" w14:textId="77777777" w:rsidR="000007E2" w:rsidRPr="007C2683" w:rsidRDefault="000007E2" w:rsidP="000007E2">
      <w:r w:rsidRPr="007C2683">
        <w:rPr>
          <w:i/>
        </w:rPr>
        <w:t>SAP1</w:t>
      </w:r>
      <w:r w:rsidRPr="007C2683">
        <w:t xml:space="preserve">, </w:t>
      </w:r>
      <w:r w:rsidRPr="007C2683">
        <w:rPr>
          <w:i/>
        </w:rPr>
        <w:t>SAP2</w:t>
      </w:r>
      <w:r w:rsidRPr="007C2683">
        <w:t xml:space="preserve"> and </w:t>
      </w:r>
      <w:r w:rsidRPr="007C2683">
        <w:rPr>
          <w:i/>
        </w:rPr>
        <w:t>SAP3</w:t>
      </w:r>
      <w:r w:rsidRPr="007C2683">
        <w:t xml:space="preserve"> proteins were expressed in bacteria (</w:t>
      </w:r>
      <w:r w:rsidRPr="007C2683">
        <w:rPr>
          <w:i/>
        </w:rPr>
        <w:t>SAP1</w:t>
      </w:r>
      <w:r w:rsidRPr="007C2683">
        <w:t xml:space="preserve"> and </w:t>
      </w:r>
      <w:r w:rsidRPr="007C2683">
        <w:rPr>
          <w:i/>
        </w:rPr>
        <w:t>SAP3</w:t>
      </w:r>
      <w:r w:rsidRPr="007C2683">
        <w:t xml:space="preserve"> as N-terminal His-tagged proteins, while </w:t>
      </w:r>
      <w:r w:rsidRPr="007C2683">
        <w:rPr>
          <w:i/>
        </w:rPr>
        <w:t>SAP2</w:t>
      </w:r>
      <w:r w:rsidRPr="007C2683">
        <w:t xml:space="preserve"> which is secreted in the periplasmic space, as a C-terminal His-tagged protein). The bacterial expression constructs used for </w:t>
      </w:r>
      <w:r w:rsidRPr="007C2683">
        <w:rPr>
          <w:i/>
        </w:rPr>
        <w:t>SAP1</w:t>
      </w:r>
      <w:r w:rsidRPr="007C2683">
        <w:t xml:space="preserve"> and </w:t>
      </w:r>
      <w:r w:rsidRPr="007C2683">
        <w:rPr>
          <w:i/>
        </w:rPr>
        <w:t>SAP3</w:t>
      </w:r>
      <w:r w:rsidRPr="007C2683">
        <w:t xml:space="preserve"> expression were generated by directly subcloning the </w:t>
      </w:r>
      <w:r w:rsidRPr="007C2683">
        <w:rPr>
          <w:i/>
        </w:rPr>
        <w:t>SAP1</w:t>
      </w:r>
      <w:r w:rsidRPr="007C2683">
        <w:t xml:space="preserve"> and </w:t>
      </w:r>
      <w:r w:rsidRPr="007C2683">
        <w:rPr>
          <w:i/>
        </w:rPr>
        <w:t>SAP3</w:t>
      </w:r>
      <w:r w:rsidRPr="007C2683">
        <w:t xml:space="preserve"> ORFs (as </w:t>
      </w:r>
      <w:proofErr w:type="spellStart"/>
      <w:r w:rsidRPr="007C2683">
        <w:rPr>
          <w:rFonts w:cstheme="minorHAnsi"/>
          <w:lang w:val="en-US"/>
        </w:rPr>
        <w:t>EcoRI-NdeI</w:t>
      </w:r>
      <w:proofErr w:type="spellEnd"/>
      <w:r w:rsidRPr="007C2683">
        <w:t xml:space="preserve"> fragments) from the relevant constructs used in </w:t>
      </w:r>
      <w:proofErr w:type="spellStart"/>
      <w:r w:rsidRPr="007C2683">
        <w:t>Iovinella</w:t>
      </w:r>
      <w:proofErr w:type="spellEnd"/>
      <w:r w:rsidRPr="007C2683">
        <w:t xml:space="preserve"> et al. </w:t>
      </w:r>
      <w:r w:rsidRPr="007C2683">
        <w:fldChar w:fldCharType="begin" w:fldLock="1"/>
      </w:r>
      <w:r w:rsidRPr="007C2683">
        <w:instrText>ADDIN CSL_CITATION {"citationItems":[{"id":"ITEM-1","itemData":{"ISSN":"0379-864X","author":[{"dropping-particle":"","family":"Iovinella","given":"Immacolata","non-dropping-particle":"","parse-names":false,"suffix":""},{"dropping-particle":"","family":"Bozza","given":"Francesco","non-dropping-particle":"","parse-names":false,"suffix":""},{"dropping-particle":"","family":"Caputo","given":"Beniamino","non-dropping-particle":"","parse-names":false,"suffix":""},{"dropping-particle":"","family":"Torre","given":"Alessandra","non-dropping-particle":"della","parse-names":false,"suffix":""},{"dropping-particle":"","family":"Pelosi","given":"Paolo","non-dropping-particle":"","parse-names":false,"suffix":""}],"container-title":"Chemical senses","id":"ITEM-1","issue":"5","issued":{"date-parts":[["2013"]]},"page":"409-419","publisher":"Oxford Univ Press","title":"Ligand-binding study of Anopheles gambiae chemosensory proteins","type":"article-journal","volume":"38"},"uris":["http://www.mendeley.com/documents/?uuid=4eb481af-8b4b-4ef8-82f2-35aed8f0d539"]}],"mendeley":{"formattedCitation":"&lt;sup&gt;14&lt;/sup&gt;","plainTextFormattedCitation":"14","previouslyFormattedCitation":"&lt;sup&gt;14&lt;/sup&gt;"},"properties":{"noteIndex":0},"schema":"https://github.com/citation-style-language/schema/raw/master/csl-citation.json"}</w:instrText>
      </w:r>
      <w:r w:rsidRPr="007C2683">
        <w:fldChar w:fldCharType="separate"/>
      </w:r>
      <w:r w:rsidRPr="007C2683">
        <w:rPr>
          <w:noProof/>
          <w:vertAlign w:val="superscript"/>
        </w:rPr>
        <w:t>14</w:t>
      </w:r>
      <w:r w:rsidRPr="007C2683">
        <w:fldChar w:fldCharType="end"/>
      </w:r>
      <w:r w:rsidRPr="007C2683">
        <w:t xml:space="preserve"> (kindly provided by Alessandra </w:t>
      </w:r>
      <w:proofErr w:type="spellStart"/>
      <w:r w:rsidRPr="007C2683">
        <w:t>della</w:t>
      </w:r>
      <w:proofErr w:type="spellEnd"/>
      <w:r w:rsidRPr="007C2683">
        <w:t xml:space="preserve"> Torre, </w:t>
      </w:r>
      <w:proofErr w:type="spellStart"/>
      <w:r w:rsidRPr="007C2683">
        <w:t>Universita</w:t>
      </w:r>
      <w:proofErr w:type="spellEnd"/>
      <w:r w:rsidRPr="007C2683">
        <w:t xml:space="preserve"> “Sapienza”, Rome, Italy) into pET16bTeV vector in order to generate plasmids pET16TeV.SAP1 and pET16TeV.SAP3 expressing N-terminal His-tagged versions of SAP1 and SAP3 respectively. For </w:t>
      </w:r>
      <w:r w:rsidRPr="007C2683">
        <w:rPr>
          <w:i/>
        </w:rPr>
        <w:t>SAP2</w:t>
      </w:r>
      <w:r w:rsidRPr="007C2683">
        <w:t xml:space="preserve"> expression, a stepwise cloning strategy into pET22b vector was employed, as follows: </w:t>
      </w:r>
      <w:r w:rsidRPr="007C2683">
        <w:rPr>
          <w:i/>
        </w:rPr>
        <w:t>Anopheles gambiae</w:t>
      </w:r>
      <w:r w:rsidRPr="007C2683">
        <w:t xml:space="preserve"> cDNA (made from RNA from </w:t>
      </w:r>
      <w:proofErr w:type="spellStart"/>
      <w:r w:rsidRPr="007C2683">
        <w:t>N’Gousso</w:t>
      </w:r>
      <w:proofErr w:type="spellEnd"/>
      <w:r w:rsidRPr="007C2683">
        <w:t xml:space="preserve"> strain mosquito heads) was used as a template for PCR amplification of a 384 bp </w:t>
      </w:r>
      <w:r w:rsidRPr="007C2683">
        <w:rPr>
          <w:i/>
        </w:rPr>
        <w:t>SAP2</w:t>
      </w:r>
      <w:r w:rsidRPr="007C2683">
        <w:t xml:space="preserve"> ORF with Kapa </w:t>
      </w:r>
      <w:proofErr w:type="spellStart"/>
      <w:r w:rsidRPr="007C2683">
        <w:t>Taq</w:t>
      </w:r>
      <w:proofErr w:type="spellEnd"/>
      <w:r w:rsidRPr="007C2683">
        <w:t xml:space="preserve"> polymerase (Roche, Switzerland) using primers SAP2F: 5’- ATGAAACTGTTCGTCGCCATC-3’ and SAP2R: 5’- TTATTCCAGCTTGATGCCCTC-3’under the following conditions: 95°C for 5 min and 30 cycles of  95°C for 30 sec, 60°C for 30 sec and 72°C for 30 sec, followed by a final extension step of 72°C for 5 min.  The amplified </w:t>
      </w:r>
      <w:r w:rsidRPr="007C2683">
        <w:rPr>
          <w:i/>
        </w:rPr>
        <w:t>SAP2</w:t>
      </w:r>
      <w:r w:rsidRPr="007C2683">
        <w:t xml:space="preserve"> ORF was subcloned into </w:t>
      </w:r>
      <w:proofErr w:type="spellStart"/>
      <w:r w:rsidRPr="007C2683">
        <w:t>pGEM</w:t>
      </w:r>
      <w:proofErr w:type="spellEnd"/>
      <w:r w:rsidRPr="007C2683">
        <w:t xml:space="preserve">-T-Easy vector (Promega) and sequence verified. Plasmid DNA from a positive pGEM.SAP2 clone was used as template for the amplification of the mature SAP2 ORF (i.e. without the native signal peptide sequence in order to enable cloning in frame to the pET22-encoded bacterial signal </w:t>
      </w:r>
      <w:r w:rsidRPr="007C2683">
        <w:lastRenderedPageBreak/>
        <w:t xml:space="preserve">peptide), using primers NcoSAP2F: 5’-TAACCATGGCCCAGGAGCAGTACACCACC-3’ (to generate an </w:t>
      </w:r>
      <w:proofErr w:type="spellStart"/>
      <w:r w:rsidRPr="007C2683">
        <w:t>NcoI</w:t>
      </w:r>
      <w:proofErr w:type="spellEnd"/>
      <w:r w:rsidRPr="007C2683">
        <w:t xml:space="preserve"> site in frame with </w:t>
      </w:r>
      <w:proofErr w:type="spellStart"/>
      <w:r w:rsidRPr="007C2683">
        <w:t>pelB</w:t>
      </w:r>
      <w:proofErr w:type="spellEnd"/>
      <w:r w:rsidRPr="007C2683">
        <w:t xml:space="preserve"> ORF in pET-22b) and XhoSAP2ΔR: 5’- GTCTCGAGTTCCAGCTTGATGCCCTCCTT-3’ (to remove the termination codon, thus enabling C-terminal His tagging, and also introduce an </w:t>
      </w:r>
      <w:proofErr w:type="spellStart"/>
      <w:r w:rsidRPr="007C2683">
        <w:t>XhoI</w:t>
      </w:r>
      <w:proofErr w:type="spellEnd"/>
      <w:r w:rsidRPr="007C2683">
        <w:t xml:space="preserve"> site). The amplified product was digested with </w:t>
      </w:r>
      <w:proofErr w:type="spellStart"/>
      <w:r w:rsidRPr="007C2683">
        <w:t>NcoI</w:t>
      </w:r>
      <w:proofErr w:type="spellEnd"/>
      <w:r w:rsidRPr="007C2683">
        <w:t xml:space="preserve"> and </w:t>
      </w:r>
      <w:proofErr w:type="spellStart"/>
      <w:r w:rsidRPr="007C2683">
        <w:t>XhoI</w:t>
      </w:r>
      <w:proofErr w:type="spellEnd"/>
      <w:r w:rsidRPr="007C2683">
        <w:t xml:space="preserve"> and subcloned into the relevant cloning sites of pET-22b. The recombinant plasmid pET22.SAP2His was sequence verified and used for periplasmic protein expression. </w:t>
      </w:r>
    </w:p>
    <w:p w14:paraId="1CD2D8A0" w14:textId="77777777" w:rsidR="000007E2" w:rsidRPr="007C2683" w:rsidRDefault="000007E2" w:rsidP="000007E2">
      <w:pPr>
        <w:rPr>
          <w:b/>
        </w:rPr>
      </w:pPr>
      <w:r w:rsidRPr="007C2683">
        <w:rPr>
          <w:b/>
        </w:rPr>
        <w:t>Protein expression and purification</w:t>
      </w:r>
    </w:p>
    <w:p w14:paraId="5FCD31AA" w14:textId="77777777" w:rsidR="000007E2" w:rsidRPr="007C2683" w:rsidRDefault="000007E2" w:rsidP="000007E2">
      <w:r w:rsidRPr="007C2683">
        <w:t xml:space="preserve">Expression of </w:t>
      </w:r>
      <w:r w:rsidRPr="007C2683">
        <w:rPr>
          <w:i/>
        </w:rPr>
        <w:t>SAP1</w:t>
      </w:r>
      <w:r w:rsidRPr="007C2683">
        <w:t xml:space="preserve"> and </w:t>
      </w:r>
      <w:r w:rsidRPr="007C2683">
        <w:rPr>
          <w:i/>
        </w:rPr>
        <w:t>SAP3</w:t>
      </w:r>
      <w:r w:rsidRPr="007C2683">
        <w:t xml:space="preserve"> was carried out in BL21-Codon Plus (DE3) </w:t>
      </w:r>
      <w:r w:rsidRPr="007C2683">
        <w:rPr>
          <w:i/>
        </w:rPr>
        <w:t>E. coli</w:t>
      </w:r>
      <w:r w:rsidRPr="007C2683">
        <w:t xml:space="preserve"> cells (Agilent, UK) harbouring pET16TeV.SAP1 and pET16TeVSAP3 respectively. A single colony was selected and cultured overnight at 37 °C in 80 ml of terrific broth (TB) containing 100μg/mL ampicillin and 34μgr/mL </w:t>
      </w:r>
      <w:proofErr w:type="spellStart"/>
      <w:r w:rsidRPr="007C2683">
        <w:t>chloraphenicol</w:t>
      </w:r>
      <w:proofErr w:type="spellEnd"/>
      <w:r w:rsidRPr="007C2683">
        <w:t>. The 80ml overnight bacterial culture was used to inoculate a 4L culture of TB containing 100μg/mL ampicillin and 34μg/ml chloramphenicol. Cells were cultured at 37 °C until OD</w:t>
      </w:r>
      <w:r w:rsidRPr="007C2683">
        <w:rPr>
          <w:vertAlign w:val="subscript"/>
        </w:rPr>
        <w:t>595</w:t>
      </w:r>
      <w:r w:rsidRPr="007C2683">
        <w:t xml:space="preserve"> was equal to 0.8.  Recombinant protein expression was induced by addition of 0.4mM isopropyl β-</w:t>
      </w:r>
      <w:proofErr w:type="spellStart"/>
      <w:r w:rsidRPr="007C2683">
        <w:t>thiogalactopyranose</w:t>
      </w:r>
      <w:proofErr w:type="spellEnd"/>
      <w:r w:rsidRPr="007C2683">
        <w:t xml:space="preserve"> (IPTG) and the bacteria were cultured for additional 4 hours at 30 °C. Bacteria were harvested by centrifugation (5000rpm for 30 min) and the pellet was resuspended in 1M NaCl, 50mM Tris-HCl pH 8.0, 0.2mM EDTA, 0.2mM PMSF buffer and sonicated for 30 min at 4°C. Following sonication, a high-speed centrifugation at 20000xg for 30 min at 4°C, was performed, the supernatant collected and processed to the purification step.</w:t>
      </w:r>
    </w:p>
    <w:p w14:paraId="5DF721CB" w14:textId="77777777" w:rsidR="000007E2" w:rsidRPr="007C2683" w:rsidRDefault="000007E2" w:rsidP="000007E2">
      <w:r w:rsidRPr="007C2683">
        <w:t xml:space="preserve">The supernatant containing soluble </w:t>
      </w:r>
      <w:r w:rsidRPr="007C2683">
        <w:rPr>
          <w:i/>
        </w:rPr>
        <w:t>SAP1</w:t>
      </w:r>
      <w:r w:rsidRPr="007C2683">
        <w:t xml:space="preserve"> or </w:t>
      </w:r>
      <w:r w:rsidRPr="007C2683">
        <w:rPr>
          <w:i/>
        </w:rPr>
        <w:t>SAP3</w:t>
      </w:r>
      <w:r w:rsidRPr="007C2683">
        <w:t xml:space="preserve"> was purified by Ni</w:t>
      </w:r>
      <w:r w:rsidRPr="007C2683">
        <w:rPr>
          <w:vertAlign w:val="superscript"/>
        </w:rPr>
        <w:t>2+</w:t>
      </w:r>
      <w:r w:rsidRPr="007C2683">
        <w:t xml:space="preserve"> affinity chromatography as follows: a 5.5ml Ni-NTA Agarose column was equilibrated with a buffer containing 1M NaCl, 50mM Tris-HCl pH 8.0 and 5mM imidazole. The supernatant was loaded onto the column and washed with equilibration buffer for 10 column volumes (CV). Another wash for 10 column volumes (CV) was performed with 25mM NaCl, 50mM Tris-HCl pH 8.0, 10% glycerol and 10mM imidazole. Bound protein was eluted with 5 CVs of 50mM Tris pH 8.0, 25mM NaCl, 10% glycerol and 300mM imidazole. Fractions with an absorbance at 595 nm (Bradford assay) greater than 3mg/ml were pooled, concentrated and buffer exchanged into 50mM Tris-HCl pH8.0, 25mM NaCl and 10% glycerol with dialysis membrane (6-8 </w:t>
      </w:r>
      <w:proofErr w:type="spellStart"/>
      <w:r w:rsidRPr="007C2683">
        <w:t>kD</w:t>
      </w:r>
      <w:proofErr w:type="spellEnd"/>
      <w:r w:rsidRPr="007C2683">
        <w:t>) overnight at 4 °C.</w:t>
      </w:r>
    </w:p>
    <w:p w14:paraId="6CD85D2F" w14:textId="75CC1166" w:rsidR="000007E2" w:rsidRPr="007C2683" w:rsidRDefault="000007E2" w:rsidP="000007E2">
      <w:r w:rsidRPr="007C2683">
        <w:t xml:space="preserve">For expression of </w:t>
      </w:r>
      <w:r w:rsidRPr="007C2683">
        <w:rPr>
          <w:i/>
        </w:rPr>
        <w:t>SAP2</w:t>
      </w:r>
      <w:r w:rsidRPr="007C2683">
        <w:t xml:space="preserve">, </w:t>
      </w:r>
      <w:r w:rsidRPr="007C2683">
        <w:rPr>
          <w:i/>
        </w:rPr>
        <w:t>E. coli</w:t>
      </w:r>
      <w:r w:rsidRPr="007C2683">
        <w:t xml:space="preserve"> BL21-Codon Plus (DE3) cells transformed with pET22.SAP2His were cultured overnight at 37</w:t>
      </w:r>
      <w:r w:rsidRPr="007C2683">
        <w:rPr>
          <w:vertAlign w:val="superscript"/>
        </w:rPr>
        <w:t>o</w:t>
      </w:r>
      <w:r w:rsidRPr="007C2683">
        <w:t xml:space="preserve">C in 20ml terrific broth (TB) containing 100μg/mL ampicillin and 34μgr/mL chloramphenicol. The 20mL overnight </w:t>
      </w:r>
      <w:r w:rsidRPr="007C2683">
        <w:rPr>
          <w:i/>
        </w:rPr>
        <w:t>E. coli</w:t>
      </w:r>
      <w:r w:rsidRPr="007C2683">
        <w:t xml:space="preserve"> culture was used to inoculate a 2L culture of TB containing 100μg/mL ampicillin and 34μg/mL chloramphenicol. Cells were cultured at 37°C until OD</w:t>
      </w:r>
      <w:r w:rsidRPr="007C2683">
        <w:rPr>
          <w:vertAlign w:val="subscript"/>
        </w:rPr>
        <w:t>595</w:t>
      </w:r>
      <w:r w:rsidRPr="007C2683">
        <w:t xml:space="preserve"> was equal to 0.8. Protein expression was induced by addition of 0.1mM IPTG and cultured for an additional 16 – 18 hours at 25 °C. Cells were harvested by centrifugation (5000 rpm for 30 min) and the periplasmic </w:t>
      </w:r>
      <w:r w:rsidRPr="007C2683">
        <w:rPr>
          <w:i/>
        </w:rPr>
        <w:t>E. coli</w:t>
      </w:r>
      <w:r w:rsidRPr="007C2683">
        <w:t xml:space="preserve"> fraction was extracted via osmotic shock as described </w:t>
      </w:r>
      <w:r w:rsidRPr="007C2683">
        <w:fldChar w:fldCharType="begin" w:fldLock="1"/>
      </w:r>
      <w:r w:rsidR="004162E4">
        <w:instrText>ADDIN CSL_CITATION {"citationItems":[{"id":"ITEM-1","itemData":{"ISSN":"1046-5928","author":[{"dropping-particle":"","family":"Sockolosky","given":"Jonathan T","non-dropping-particle":"","parse-names":false,"suffix":""},{"dropping-particle":"","family":"Szoka","given":"Francis C","non-dropping-particle":"","parse-names":false,"suffix":""}],"container-title":"Protein expression and purification","id":"ITEM-1","issue":"2","issued":{"date-parts":[["2013"]]},"page":"129-135","publisher":"Elsevier","title":"Periplasmic production via the pET expression system of soluble, bioactive human growth hormone","type":"article-journal","volume":"87"},"uris":["http://www.mendeley.com/documents/?uuid=93a3db37-dbd3-494b-8f43-8489ab526b47"]}],"mendeley":{"formattedCitation":"&lt;sup&gt;30&lt;/sup&gt;","plainTextFormattedCitation":"30","previouslyFormattedCitation":"&lt;sup&gt;29&lt;/sup&gt;"},"properties":{"noteIndex":0},"schema":"https://github.com/citation-style-language/schema/raw/master/csl-citation.json"}</w:instrText>
      </w:r>
      <w:r w:rsidRPr="007C2683">
        <w:fldChar w:fldCharType="separate"/>
      </w:r>
      <w:r w:rsidR="004162E4" w:rsidRPr="004162E4">
        <w:rPr>
          <w:noProof/>
          <w:vertAlign w:val="superscript"/>
        </w:rPr>
        <w:t>30</w:t>
      </w:r>
      <w:r w:rsidRPr="007C2683">
        <w:fldChar w:fldCharType="end"/>
      </w:r>
      <w:r w:rsidRPr="007C2683">
        <w:t>. Briefly, harvested cells were suspended in a hypertonic solution of 30mM Tris, 20% w/v sucrose, 1mM EDTA, pH 8.0 (25mL / 1L culture) and incubated for 30 min at 4°C. Then, cells were centrifuged at 20.000 x g at 4°C for 20 min and the supernatant was collected (sup1).  Cells were re-suspended in a hypotonic solution of 5mM MgSO</w:t>
      </w:r>
      <w:r w:rsidRPr="007C2683">
        <w:rPr>
          <w:vertAlign w:val="subscript"/>
        </w:rPr>
        <w:t>4</w:t>
      </w:r>
      <w:r w:rsidRPr="007C2683">
        <w:t xml:space="preserve"> (25 ml / 1L culture), incubated for 30 min at 4°C and followed by an additional centrifugation at 20000 x g at 4°C for 20 min (sup2). The supernatant (sup2) from the hypotonic solution was used for the purification step. </w:t>
      </w:r>
    </w:p>
    <w:p w14:paraId="437BB841" w14:textId="77777777" w:rsidR="000007E2" w:rsidRPr="007C2683" w:rsidRDefault="000007E2" w:rsidP="000007E2">
      <w:r w:rsidRPr="007C2683">
        <w:t xml:space="preserve">The periplasmic solution containing secreted </w:t>
      </w:r>
      <w:r w:rsidRPr="007C2683">
        <w:rPr>
          <w:i/>
        </w:rPr>
        <w:t>SAP2</w:t>
      </w:r>
      <w:r w:rsidRPr="007C2683">
        <w:t xml:space="preserve"> was purified by Ni</w:t>
      </w:r>
      <w:r w:rsidRPr="007C2683">
        <w:rPr>
          <w:vertAlign w:val="superscript"/>
        </w:rPr>
        <w:t>2+</w:t>
      </w:r>
      <w:r w:rsidRPr="007C2683">
        <w:t xml:space="preserve"> affinity chromatography as follows. A 6.5mL Ni-NTA agarose column was equilibrated with 20mM Tris, 300mM NaCl, 40mM imidazole, pH 8.0. The clarified osmotic shock fluid (sup2) was loaded onto the column and washed with equilibration buffer for 15 column volumes (CV). Bound protein was eluted with 5 CVs of 20mM Tris, 300mM NaCl, 500mM imidazole, pH 8.0. Fractions with an absorbance at 59 nm (Bradford </w:t>
      </w:r>
      <w:r w:rsidRPr="007C2683">
        <w:lastRenderedPageBreak/>
        <w:t>assay) greater than 0.5 were pooled, concentrated and buffer exchanged into 50mM Tris-HCl pH 8.0, 25mM NaCl, 10% glycerol with dialysis membrane (6-8kDa MWCO) overnight at 4°C.</w:t>
      </w:r>
    </w:p>
    <w:p w14:paraId="7C5869E7" w14:textId="77777777" w:rsidR="000007E2" w:rsidRPr="007C2683" w:rsidRDefault="000007E2" w:rsidP="000007E2">
      <w:pPr>
        <w:rPr>
          <w:b/>
        </w:rPr>
      </w:pPr>
      <w:r w:rsidRPr="007C2683">
        <w:rPr>
          <w:b/>
        </w:rPr>
        <w:t>1-NPN binding competition assays</w:t>
      </w:r>
    </w:p>
    <w:p w14:paraId="66E3D061" w14:textId="77777777" w:rsidR="000007E2" w:rsidRPr="007C2683" w:rsidRDefault="000007E2" w:rsidP="000007E2">
      <w:r w:rsidRPr="007C2683">
        <w:t xml:space="preserve">The affinity of various insecticides for </w:t>
      </w:r>
      <w:r w:rsidRPr="007C2683">
        <w:rPr>
          <w:i/>
        </w:rPr>
        <w:t>SAP1</w:t>
      </w:r>
      <w:r w:rsidRPr="007C2683">
        <w:t xml:space="preserve">, </w:t>
      </w:r>
      <w:r w:rsidRPr="007C2683">
        <w:rPr>
          <w:i/>
        </w:rPr>
        <w:t>SAP2</w:t>
      </w:r>
      <w:r w:rsidRPr="007C2683">
        <w:t xml:space="preserve"> and </w:t>
      </w:r>
      <w:r w:rsidRPr="007C2683">
        <w:rPr>
          <w:i/>
        </w:rPr>
        <w:t>SAP3</w:t>
      </w:r>
      <w:r w:rsidRPr="007C2683">
        <w:t xml:space="preserve"> was measured indirectly by competitive binding assays, which determined the displacement of the ligands from the SAPs by the fluorescent probe N-phenyl-1-naphthylamine (1-NPN). Purified recombinant SAP proteins were mixed with different concentrations of insecticides (in methanol) and 1-NPN (in methanol) in a final volume of 200μl 20 mM Tris-HCl, pH 8.0, 100mM NaCl (containing 1.5% methanol). The final concentration of recombinant SAP protein and 1-NPN in the assays was 10μM and 5μM respectively. Insecticide concentration ranged from 0.0625-20μM. The probe was excited at 337 nm and emission spectra were recorded between 380nm and 460nm (peak emission in the presence of recombinant SAP is at 386-388nm). Emission spectra were recorded on an Infinite M-200 fluorimeter (Tecan Trading AG, Switzerland) using black 96 well plates (Greiner Bio-One, Austria). Graphs were produced using GraphPad Prism 8.0.2 </w:t>
      </w:r>
      <w:r w:rsidRPr="007C2683">
        <w:rPr>
          <w:rFonts w:eastAsiaTheme="minorEastAsia"/>
        </w:rPr>
        <w:t xml:space="preserve">(La Jolla California USA, </w:t>
      </w:r>
      <w:hyperlink r:id="rId8" w:history="1">
        <w:r w:rsidRPr="007C2683">
          <w:rPr>
            <w:rStyle w:val="Hyperlink"/>
            <w:rFonts w:eastAsiaTheme="minorEastAsia"/>
          </w:rPr>
          <w:t>www.graphpad.com</w:t>
        </w:r>
      </w:hyperlink>
      <w:r w:rsidRPr="007C2683">
        <w:rPr>
          <w:rFonts w:eastAsiaTheme="minorEastAsia"/>
        </w:rPr>
        <w:t>). A non-linear fit using logged concentrations were used to fit best fit lines and calculate the IC50s. The calculated log IC50s and associated standard errors were used to fit an ANOVA to compare the binding specificity of the 3 proteins.</w:t>
      </w:r>
    </w:p>
    <w:p w14:paraId="4CBE170B" w14:textId="77777777" w:rsidR="000007E2" w:rsidRPr="007C2683" w:rsidRDefault="000007E2" w:rsidP="000007E2">
      <w:pPr>
        <w:rPr>
          <w:b/>
        </w:rPr>
      </w:pPr>
      <w:r w:rsidRPr="007C2683">
        <w:rPr>
          <w:b/>
        </w:rPr>
        <w:t>Microarray Data</w:t>
      </w:r>
    </w:p>
    <w:p w14:paraId="3386D9DD" w14:textId="77777777" w:rsidR="000007E2" w:rsidRPr="007C2683" w:rsidRDefault="000007E2" w:rsidP="000007E2">
      <w:r w:rsidRPr="007C2683">
        <w:t>Microarray data was retrieved from the IR-</w:t>
      </w:r>
      <w:proofErr w:type="spellStart"/>
      <w:r w:rsidRPr="007C2683">
        <w:t>TEx</w:t>
      </w:r>
      <w:proofErr w:type="spellEnd"/>
      <w:r w:rsidRPr="007C2683">
        <w:t xml:space="preserve"> Application </w:t>
      </w:r>
      <w:r w:rsidRPr="007C2683">
        <w:fldChar w:fldCharType="begin" w:fldLock="1"/>
      </w:r>
      <w:r w:rsidRPr="007C2683">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10&lt;/sup&gt;","plainTextFormattedCitation":"10","previouslyFormattedCitation":"&lt;sup&gt;10&lt;/sup&gt;"},"properties":{"noteIndex":0},"schema":"https://github.com/citation-style-language/schema/raw/master/csl-citation.json"}</w:instrText>
      </w:r>
      <w:r w:rsidRPr="007C2683">
        <w:fldChar w:fldCharType="separate"/>
      </w:r>
      <w:r w:rsidRPr="007C2683">
        <w:rPr>
          <w:noProof/>
          <w:vertAlign w:val="superscript"/>
        </w:rPr>
        <w:t>10</w:t>
      </w:r>
      <w:r w:rsidRPr="007C2683">
        <w:fldChar w:fldCharType="end"/>
      </w:r>
      <w:r w:rsidRPr="007C2683">
        <w:t xml:space="preserve"> (</w:t>
      </w:r>
      <w:hyperlink r:id="rId9" w:history="1">
        <w:r w:rsidRPr="007C2683">
          <w:rPr>
            <w:rStyle w:val="Hyperlink"/>
          </w:rPr>
          <w:t>https://www.lstmed.ac.uk/projects/ir-tex</w:t>
        </w:r>
      </w:hyperlink>
      <w:r w:rsidRPr="007C2683">
        <w:t>).</w:t>
      </w:r>
    </w:p>
    <w:p w14:paraId="5760B718" w14:textId="77777777" w:rsidR="000007E2" w:rsidRPr="007C2683" w:rsidRDefault="000007E2" w:rsidP="000007E2">
      <w:pPr>
        <w:rPr>
          <w:b/>
        </w:rPr>
      </w:pPr>
      <w:r w:rsidRPr="007C2683">
        <w:rPr>
          <w:b/>
        </w:rPr>
        <w:t>Field Collections</w:t>
      </w:r>
    </w:p>
    <w:p w14:paraId="345CFC52" w14:textId="15786395" w:rsidR="000007E2" w:rsidRPr="007C2683" w:rsidRDefault="000007E2" w:rsidP="000007E2">
      <w:r w:rsidRPr="007C2683">
        <w:t xml:space="preserve">Field collections of </w:t>
      </w:r>
      <w:r w:rsidRPr="007C2683">
        <w:rPr>
          <w:i/>
        </w:rPr>
        <w:t>An. gambiae</w:t>
      </w:r>
      <w:r w:rsidRPr="007C2683">
        <w:t xml:space="preserve"> s. l. were performed by LSTM colleagues in collaboration with the Centre National de Recherche sur le </w:t>
      </w:r>
      <w:proofErr w:type="spellStart"/>
      <w:r w:rsidRPr="007C2683">
        <w:t>Paludsime</w:t>
      </w:r>
      <w:proofErr w:type="spellEnd"/>
      <w:r w:rsidRPr="007C2683">
        <w:t xml:space="preserve"> (CNRFP) in </w:t>
      </w:r>
      <w:proofErr w:type="spellStart"/>
      <w:r w:rsidRPr="007C2683">
        <w:t>Banfora</w:t>
      </w:r>
      <w:proofErr w:type="spellEnd"/>
      <w:r w:rsidRPr="007C2683">
        <w:t xml:space="preserve"> district, Burkina Faso. The mosquitoes used in this study originated from  </w:t>
      </w:r>
      <w:proofErr w:type="spellStart"/>
      <w:r w:rsidRPr="007C2683">
        <w:t>Tengrela</w:t>
      </w:r>
      <w:proofErr w:type="spellEnd"/>
      <w:r w:rsidRPr="007C2683">
        <w:t xml:space="preserve">, (10˚38’7.53’’N; 4˚48’48.35’’W) in 2011, 2012, 2014, 2016 and 2018,  </w:t>
      </w:r>
      <w:proofErr w:type="spellStart"/>
      <w:r w:rsidRPr="007C2683">
        <w:t>Bakaridjan</w:t>
      </w:r>
      <w:proofErr w:type="spellEnd"/>
      <w:r w:rsidRPr="007C2683">
        <w:t xml:space="preserve"> (10˚24’26.34’’N; 4˚33’44.78’’W) in 2013 and 2015 and from </w:t>
      </w:r>
      <w:proofErr w:type="spellStart"/>
      <w:r w:rsidRPr="007C2683">
        <w:t>Tiefora</w:t>
      </w:r>
      <w:proofErr w:type="spellEnd"/>
      <w:r w:rsidRPr="007C2683">
        <w:t xml:space="preserve"> (10˚37’54.02’’N; 4˚33’22.85’’W) in 2018. All gDNA extractions were subject to SINE PCR </w:t>
      </w:r>
      <w:r w:rsidRPr="007C2683">
        <w:fldChar w:fldCharType="begin" w:fldLock="1"/>
      </w:r>
      <w:r w:rsidR="004162E4">
        <w:instrText>ADDIN CSL_CITATION {"citationItems":[{"id":"ITEM-1","itemData":{"ISSN":"1475-2875","author":[{"dropping-particle":"","family":"Santolamazza","given":"Federica","non-dropping-particle":"","parse-names":false,"suffix":""},{"dropping-particle":"","family":"Mancini","given":"Emiliano","non-dropping-particle":"","parse-names":false,"suffix":""},{"dropping-particle":"","family":"Simard","given":"Frédéric","non-dropping-particle":"","parse-names":false,"suffix":""},{"dropping-particle":"","family":"Qi","given":"Yumin","non-dropping-particle":"","parse-names":false,"suffix":""},{"dropping-particle":"","family":"Tu","given":"Zhijian","non-dropping-particle":"","parse-names":false,"suffix":""},{"dropping-particle":"","family":"Torre","given":"Alessandra","non-dropping-particle":"Della","parse-names":false,"suffix":""}],"container-title":"Malaria journal","id":"ITEM-1","issue":"1","issued":{"date-parts":[["2008"]]},"page":"163","publisher":"BioMed Central Ltd","title":"Insertion polymorphisms of SINE200 retrotransposons within speciation islands of Anopheles gambiae molecular forms","type":"article-journal","volume":"7"},"uris":["http://www.mendeley.com/documents/?uuid=95ccb5da-6f5d-4e0a-90ea-d40dca770663"]}],"mendeley":{"formattedCitation":"&lt;sup&gt;31&lt;/sup&gt;","plainTextFormattedCitation":"31","previouslyFormattedCitation":"&lt;sup&gt;30&lt;/sup&gt;"},"properties":{"noteIndex":0},"schema":"https://github.com/citation-style-language/schema/raw/master/csl-citation.json"}</w:instrText>
      </w:r>
      <w:r w:rsidRPr="007C2683">
        <w:fldChar w:fldCharType="separate"/>
      </w:r>
      <w:r w:rsidR="004162E4" w:rsidRPr="004162E4">
        <w:rPr>
          <w:noProof/>
          <w:vertAlign w:val="superscript"/>
        </w:rPr>
        <w:t>31</w:t>
      </w:r>
      <w:r w:rsidRPr="007C2683">
        <w:fldChar w:fldCharType="end"/>
      </w:r>
      <w:r w:rsidRPr="007C2683">
        <w:t xml:space="preserve"> to determine the species of each mosquito before sequencing. </w:t>
      </w:r>
    </w:p>
    <w:p w14:paraId="6E489F24" w14:textId="77777777" w:rsidR="000007E2" w:rsidRPr="007C2683" w:rsidRDefault="000007E2" w:rsidP="000007E2">
      <w:r w:rsidRPr="007C2683">
        <w:rPr>
          <w:b/>
        </w:rPr>
        <w:t>Scan for natural selection</w:t>
      </w:r>
    </w:p>
    <w:p w14:paraId="730E219C" w14:textId="4ED14609" w:rsidR="000007E2" w:rsidRPr="007C2683" w:rsidRDefault="000007E2" w:rsidP="000007E2">
      <w:r w:rsidRPr="007C2683">
        <w:t xml:space="preserve">We computed </w:t>
      </w:r>
      <w:proofErr w:type="spellStart"/>
      <w:r w:rsidRPr="007C2683">
        <w:t>iHS</w:t>
      </w:r>
      <w:proofErr w:type="spellEnd"/>
      <w:r w:rsidRPr="007C2683">
        <w:t xml:space="preserve"> </w:t>
      </w:r>
      <w:r w:rsidRPr="007C2683">
        <w:fldChar w:fldCharType="begin" w:fldLock="1"/>
      </w:r>
      <w:r w:rsidRPr="007C2683">
        <w:instrText>ADDIN CSL_CITATION {"citationItems":[{"id":"ITEM-1","itemData":{"abstract":"Applying their newly developed method, the authors search International HapMap Project data representing three populations for signals of recent selection across the human genome.","author":[{"dropping-particle":"","family":"Voight","given":"Benjamin F","non-dropping-particle":"","parse-names":false,"suffix":""},{"dropping-particle":"","family":"Kudaravalli","given":"Sridhar","non-dropping-particle":"","parse-names":false,"suffix":""},{"dropping-particle":"","family":"Wen","given":"Xiaoquan","non-dropping-particle":"","parse-names":false,"suffix":""},{"dropping-particle":"","family":"Pritchard","given":"Jonathan K","non-dropping-particle":"","parse-names":false,"suffix":""}],"container-title":"PLOS Biology","id":"ITEM-1","issue":"3","issued":{"date-parts":[["2006","3","7"]]},"page":"e72","publisher":"Public Library of Science","title":"A Map of Recent Positive Selection in the Human Genome","type":"article-journal","volume":"4"},"uris":["http://www.mendeley.com/documents/?uuid=4a1ee843-70ed-41bd-acef-be285d0fae06"]}],"mendeley":{"formattedCitation":"&lt;sup&gt;20&lt;/sup&gt;","plainTextFormattedCitation":"20","previouslyFormattedCitation":"&lt;sup&gt;20&lt;/sup&gt;"},"properties":{"noteIndex":0},"schema":"https://github.com/citation-style-language/schema/raw/master/csl-citation.json"}</w:instrText>
      </w:r>
      <w:r w:rsidRPr="007C2683">
        <w:fldChar w:fldCharType="separate"/>
      </w:r>
      <w:r w:rsidRPr="007C2683">
        <w:rPr>
          <w:noProof/>
          <w:vertAlign w:val="superscript"/>
        </w:rPr>
        <w:t>20</w:t>
      </w:r>
      <w:r w:rsidRPr="007C2683">
        <w:fldChar w:fldCharType="end"/>
      </w:r>
      <w:r w:rsidRPr="007C2683">
        <w:t xml:space="preserve"> and XPEHH </w:t>
      </w:r>
      <w:r w:rsidRPr="007C2683">
        <w:fldChar w:fldCharType="begin" w:fldLock="1"/>
      </w:r>
      <w:r w:rsidRPr="007C2683">
        <w:instrText>ADDIN CSL_CITATION {"citationItems":[{"id":"ITEM-1","itemData":{"author":[{"dropping-particle":"","family":"Sabeti","given":"Pardis C","non-dropping-particle":"","parse-names":false,"suffix":""},{"dropping-particle":"","family":"Varilly","given":"Patrick","non-dropping-particle":"","parse-names":false,"suffix":""},{"dropping-particle":"","family":"Fry","given":"Ben","non-dropping-particle":"","parse-names":false,"suffix":""},{"dropping-particle":"","family":"Lohmueller","given":"Jason","non-dropping-particle":"","parse-names":false,"suffix":""},{"dropping-particle":"","family":"Hostetter","given":"Elizabeth","non-dropping-particle":"","parse-names":false,"suffix":""},{"dropping-particle":"","family":"Cotsapas","given":"Chris","non-dropping-particle":"","parse-names":false,"suffix":""},{"dropping-particle":"","family":"Xie","given":"Xiaohui","non-dropping-particle":"","parse-names":false,"suffix":""},{"dropping-particle":"","family":"Byrne","given":"Elizabeth H","non-dropping-particle":"","parse-names":false,"suffix":""},{"dropping-particle":"","family":"McCarroll","given":"Steven A","non-dropping-particle":"","parse-names":false,"suffix":""},{"dropping-particle":"","family":"Gaudet","given":"Rachelle","non-dropping-particle":"","parse-names":false,"suffix":""},{"dropping-particle":"","family":"Schaffner","given":"Stephen F","non-dropping-particle":"","parse-names":false,"suffix":""},{"dropping-particle":"","family":"Lander","given":"Eric S","non-dropping-particle":"","parse-names":false,"suffix":""},{"dropping-particle":"","family":"Consortium","given":"The International HapMap","non-dropping-particle":"","parse-names":false,"suffix":""},{"dropping-particle":"","family":"Frazer (Principal Investigator)","given":"Kelly A","non-dropping-particle":"","parse-names":false,"suffix":""},{"dropping-particle":"","family":"Ballinger","given":"Dennis G","non-dropping-particle":"","parse-names":false,"suffix":""},{"dropping-particle":"","family":"Cox","given":"David R","non-dropping-particle":"","parse-names":false,"suffix":""},{"dropping-particle":"","family":"Hinds","given":"David A","non-dropping-particle":"","parse-names":false,"suffix":""},{"dropping-particle":"","family":"Stuve","given":"Laura L","non-dropping-particle":"","parse-names":false,"suffix":""},{"dropping-particle":"","family":"Gibbs (Principal Investigator)","given":"Richard A","non-dropping-particle":"","parse-names":false,"suffix":""},{"dropping-particle":"","family":"Belmont","given":"John W","non-dropping-particle":"","parse-names":false,"suffix":""},{"dropping-particle":"","family":"Boudreau","given":"Andrew","non-dropping-particle":"","parse-names":false,"suffix":""},{"dropping-particle":"","family":"Hardenbol","given":"Paul","non-dropping-particle":"","parse-names":false,"suffix":""},{"dropping-particle":"","family":"Leal","given":"Suzanne M","non-dropping-particle":"","parse-names":false,"suffix":""},{"dropping-particle":"","family":"Pasternak","given":"Shiran","non-dropping-particle":"","parse-names":false,"suffix":""},{"dropping-particle":"","family":"Wheeler","given":"David A","non-dropping-particle":"","parse-names":false,"suffix":""},{"dropping-particle":"","family":"Willis","given":"Thomas D","non-dropping-particle":"","parse-names":false,"suffix":""},{"dropping-particle":"","family":"Yu","given":"Fuli","non-dropping-particle":"","parse-names":false,"suffix":""},{"dropping-particle":"","family":"Yang (Principal Investigator)","given":"Huanming","non-dropping-particle":"","parse-names":false,"suffix":""},{"dropping-particle":"","family":"Zeng (Principal Investigator)","given":"Changqing","non-dropping-particle":"","parse-names":false,"suffix":""},{"dropping-particle":"","family":"Gao","given":"Yang","non-dropping-particle":"","parse-names":false,"suffix":""},{"dropping-particle":"","family":"Hu","given":"Haoran","non-dropping-particle":"","parse-names":false,"suffix":""},{"dropping-particle":"","family":"Hu","given":"Weitao","non-dropping-particle":"","parse-names":false,"suffix":""},{"dropping-particle":"","family":"Li","given":"Chaohua","non-dropping-particle":"","parse-names":false,"suffix":""},{"dropping-particle":"","family":"Lin","given":"Wei","non-dropping-particle":"","parse-names":false,"suffix":""},{"dropping-particle":"","family":"Liu","given":"Siqi","non-dropping-particle":"","parse-names":false,"suffix":""},{"dropping-particle":"","family":"Pan","given":"Hao","non-dropping-particle":"","parse-names":false,"suffix":""},{"dropping-particle":"","family":"Tang","given":"Xiaoli","non-dropping-particle":"","parse-names":false,"suffix":""},{"dropping-particle":"","family":"Wang","given":"Jian","non-dropping-particle":"","parse-names":false,"suffix":""},{"dropping-particle":"","family":"Wang","given":"Wei","non-dropping-particle":"","parse-names":false,"suffix":""},{"dropping-particle":"","family":"Yu","given":"Jun","non-dropping-particle":"","parse-names":false,"suffix":""},{"dropping-particle":"","family":"Zhang","given":"Bo","non-dropping-particle":"","parse-names":false,"suffix":""},{"dropping-particle":"","family":"Zhang","given":"Qingrun","non-dropping-particle":"","parse-names":false,"suffix":""},{"dropping-particle":"","family":"Zhao","given":"Hongbin","non-dropping-particle":"","parse-names":false,"suffix":""},{"dropping-particle":"","family":"Zhao","given":"Hui","non-dropping-particle":"","parse-names":false,"suffix":""},{"dropping-particle":"","family":"Zhou","given":"Jun","non-dropping-particle":"","parse-names":false,"suffix":""},{"dropping-particle":"","family":"Gabriel (Project Leader)","given":"Stacey B","non-dropping-particle":"","parse-names":false,"suffix":""},{"dropping-particle":"","family":"Barry","given":"Rachel","non-dropping-particle":"","parse-names":false,"suffix":""},{"dropping-particle":"","family":"Blumenstiel","given":"Brendan","non-dropping-particle":"","parse-names":false,"suffix":""},{"dropping-particle":"","family":"Camargo","given":"Amy","non-dropping-particle":"","parse-names":false,"suffix":""},{"dropping-particle":"","family":"Defelice","given":"Matthew","non-dropping-particle":"","parse-names":false,"suffix":""},{"dropping-particle":"","family":"Faggart","given":"Maura","non-dropping-particle":"","parse-names":false,"suffix":""},{"dropping-particle":"","family":"Goyette","given":"Mary","non-dropping-particle":"","parse-names":false,"suffix":""},{"dropping-particle":"","family":"Gupta","given":"Supriya","non-dropping-particle":"","parse-names":false,"suffix":""},{"dropping-particle":"","family":"Moore","given":"Jamie","non-dropping-particle":"","parse-names":false,"suffix":""},{"dropping-particle":"","family":"Nguyen","given":"Huy","non-dropping-particle":"","parse-names":false,"suffix":""},{"dropping-particle":"","family":"Onofrio","given":"Robert C","non-dropping-particle":"","parse-names":false,"suffix":""},{"dropping-particle":"","family":"Parkin","given":"Melissa","non-dropping-particle":"","parse-names":false,"suffix":""},{"dropping-particle":"","family":"Roy","given":"Jessica","non-dropping-particle":"","parse-names":false,"suffix":""},{"dropping-particle":"","family":"Stahl","given":"Erich","non-dropping-particle":"","parse-names":false,"suffix":""},{"dropping-particle":"","family":"Winchester","given":"Ellen","non-dropping-particle":"","parse-names":false,"suffix":""},{"dropping-particle":"","family":"Ziaugra","given":"Liuda","non-dropping-particle":"","parse-names":false,"suffix":""},{"dropping-particle":"","family":"Altshuler (Principal Investigator)","given":"David","non-dropping-particle":"","parse-names":false,"suffix":""},{"dropping-particle":"","family":"Shen (Principal Investigator)","given":"Yan","non-dropping-particle":"","parse-names":false,"suffix":""},{"dropping-particle":"","family":"Yao","given":"Zhijian","non-dropping-particle":"","parse-names":false,"suffix":""},{"dropping-particle":"","family":"Huang (Principal Investigator)","given":"Wei","non-dropping-particle":"","parse-names":false,"suffix":""},{"dropping-particle":"","family":"Chu","given":"Xun","non-dropping-particle":"","parse-names":false,"suffix":""},{"dropping-particle":"","family":"He","given":"Yungang","non-dropping-particle":"","parse-names":false,"suffix":""},{"dropping-particle":"","family":"Jin","given":"Li","non-dropping-particle":"","parse-names":false,"suffix":""},{"dropping-particle":"","family":"Liu","given":"Yangfan","non-dropping-particle":"","parse-names":false,"suffix":""},{"dropping-particle":"","family":"Shen","given":"Yayun","non-dropping-particle":"","parse-names":false,"suffix":""},{"dropping-particle":"","family":"Sun","given":"Weiwei","non-dropping-particle":"","parse-names":false,"suffix":""},{"dropping-particle":"","family":"Wang","given":"Haifeng","non-dropping-particle":"","parse-names":false,"suffix":""},{"dropping-particle":"","family":"Wang","given":"Yi","non-dropping-particle":"","parse-names":false,"suffix":""},{"dropping-particle":"","family":"Wang","given":"Ying","non-dropping-particle":"","parse-names":false,"suffix":""},{"dropping-particle":"","family":"Xiong","given":"Xiaoyan","non-dropping-particle":"","parse-names":false,"suffix":""},{"dropping-particle":"","family":"Xu","given":"Liang","non-dropping-particle":"","parse-names":false,"suffix":""},{"dropping-particle":"","family":"Waye (Principal Investigator)","given":"Mary M Y","non-dropping-particle":"","parse-names":false,"suffix":""},{"dropping-particle":"","family":"Tsui","given":"Stephen K W","non-dropping-particle":"","parse-names":false,"suffix":""},{"dropping-particle":"","family":"Xue","given":"Hong","non-dropping-particle":"","parse-names":false,"suffix":""},{"dropping-particle":"","family":"Tze-Fei Wong","given":"J","non-dropping-particle":"","parse-names":false,"suffix":""},{"dropping-particle":"","family":"Galver (Project Leader)","given":"Luana M","non-dropping-particle":"","parse-names":false,"suffix":""},{"dropping-particle":"","family":"Fan","given":"Jian-Bing","non-dropping-particle":"","parse-names":false,"suffix":""},{"dropping-particle":"","family":"Gunderson","given":"Kevin","non-dropping-particle":"","parse-names":false,"suffix":""},{"dropping-particle":"","family":"Murray","given":"Sarah S","non-dropping-particle":"","parse-names":false,"suffix":""},{"dropping-particle":"","family":"Oliphant","given":"Arnold R","non-dropping-particle":"","parse-names":false,"suffix":""},{"dropping-particle":"","family":"Chee (Principal Investigator)","given":"Mark S","non-dropping-particle":"","parse-names":false,"suffix":""},{"dropping-particle":"","family":"Montpetit (Project Leader)","given":"Alexandre","non-dropping-particle":"","parse-names":false,"suffix":""},{"dropping-particle":"","family":"Chagnon","given":"Fanny","non-dropping-particle":"","parse-names":false,"suffix":""},{"dropping-particle":"","family":"Ferretti","given":"Vincent","non-dropping-particle":"","parse-names":false,"suffix":""},{"dropping-particle":"","family":"Leboeuf","given":"Martin","non-dropping-particle":"","parse-names":false,"suffix":""},{"dropping-particle":"","family":"Olivier","given":"Jean-François","non-dropping-particle":"","parse-names":false,"suffix":""},{"dropping-particle":"","family":"Phillips","given":"Michael S","non-dropping-particle":"","parse-names":false,"suffix":""},{"dropping-particle":"","family":"Roumy","given":"Stéphanie","non-dropping-particle":"","parse-names":false,"suffix":""},{"dropping-particle":"","family":"Sallée","given":"Clémentine","non-dropping-particle":"","parse-names":false,"suffix":""},{"dropping-particle":"","family":"Verner","given":"Andrei","non-dropping-particle":"","parse-names":false,"suffix":""},{"dropping-particle":"","family":"Hudson (Principal Investigator)","given":"Thomas J","non-dropping-particle":"","parse-names":false,"suffix":""},{"dropping-particle":"","family":"Kwok","given":"Pui-Yan","non-dropping-particle":"","parse-names":false,"suffix":""},{"dropping-particle":"","family":"Cai","given":"Dongmei","non-dropping-particle":"","parse-names":false,"suffix":""},{"dropping-particle":"","family":"Koboldt","given":"Daniel C","non-dropping-particle":"","parse-names":false,"suffix":""},{"dropping-particle":"","family":"Miller","given":"Raymond D","non-dropping-particle":"","parse-names":false,"suffix":""},{"dropping-particle":"","family":"Pawlikowska","given":"Ludmila","non-dropping-particle":"","parse-names":false,"suffix":""},{"dropping-particle":"","family":"Taillon-Miller","given":"Patricia","non-dropping-particle":"","parse-names":false,"suffix":""},{"dropping-particle":"","family":"Xiao","given":"Ming","non-dropping-particle":"","parse-names":false,"suffix":""},{"dropping-particle":"","family":"Tsui (Principal Investigator)","given":"Lap-Chee","non-dropping-particle":"","parse-names":false,"suffix":""},{"dropping-particle":"","family":"Mak","given":"William","non-dropping-particle":"","parse-names":false,"suffix":""},{"dropping-particle":"","family":"Qiang Song","given":"You","non-dropping-particle":"","parse-names":false,"suffix":""},{"dropping-particle":"","family":"Tam","given":"Paul K H","non-dropping-particle":"","parse-names":false,"suffix":""},{"dropping-particle":"","family":"Nakamura (Principal Investigator)","given":"Yusuke","non-dropping-particle":"","parse-names":false,"suffix":""},{"dropping-particle":"","family":"Kawaguchi","given":"Takahisa","non-dropping-particle":"","parse-names":false,"suffix":""},{"dropping-particle":"","family":"Kitamoto","given":"Takuya","non-dropping-particle":"","parse-names":false,"suffix":""},{"dropping-particle":"","family":"Morizono","given":"Takashi","non-dropping-particle":"","parse-names":false,"suffix":""},{"dropping-particle":"","family":"Nagashima","given":"Atsushi","non-dropping-particle":"","parse-names":false,"suffix":""},{"dropping-particle":"","family":"Ohnishi","given":"Yozo","non-dropping-particle":"","parse-names":false,"suffix":""},{"dropping-particle":"","family":"Sekine","given":"Akihiro","non-dropping-particle":"","parse-names":false,"suffix":""},{"dropping-particle":"","family":"Tanaka","given":"Toshihiro","non-dropping-particle":"","parse-names":false,"suffix":""},{"dropping-particle":"","family":"Tsunoda","given":"Tatsuhiko","non-dropping-particle":"","parse-names":false,"suffix":""},{"dropping-particle":"","family":"Deloukas (Project Leader)","given":"Panos","non-dropping-particle":"","parse-names":false,"suffix":""},{"dropping-particle":"","family":"Bird","given":"Christine P","non-dropping-particle":"","parse-names":false,"suffix":""},{"dropping-particle":"","family":"Delgado","given":"Marcos","non-dropping-particle":"","parse-names":false,"suffix":""},{"dropping-particle":"","family":"Dermitzakis","given":"Emmanouil T","non-dropping-particle":"","parse-names":false,"suffix":""},{"dropping-particle":"","family":"Gwilliam","given":"Rhian","non-dropping-particle":"","parse-names":false,"suffix":""},{"dropping-particle":"","family":"Hunt","given":"Sarah","non-dropping-particle":"","parse-names":false,"suffix":""},{"dropping-particle":"","family":"Morrison","given":"Jonathan","non-dropping-particle":"","parse-names":false,"suffix":""},{"dropping-particle":"","family":"Powell","given":"Don","non-dropping-particle":"","parse-names":false,"suffix":""},{"dropping-particle":"","family":"Stranger","given":"Barbara E","non-dropping-particle":"","parse-names":false,"suffix":""},{"dropping-particle":"","family":"Whittaker","given":"Pamela","non-dropping-particle":"","parse-names":false,"suffix":""},{"dropping-particle":"","family":"Bentley (Principal Investigator)","given":"David R","non-dropping-particle":"","parse-names":false,"suffix":""},{"dropping-particle":"","family":"Daly (Project Leader)","given":"Mark J","non-dropping-particle":"","parse-names":false,"suffix":""},{"dropping-particle":"","family":"Bakker","given":"Paul I W","non-dropping-particle":"de","parse-names":false,"suffix":""},{"dropping-particle":"","family":"Barrett","given":"Jeff","non-dropping-particle":"","parse-names":false,"suffix":""},{"dropping-particle":"","family":"Chretien","given":"Yves R","non-dropping-particle":"","parse-names":false,"suffix":""},{"dropping-particle":"","family":"Maller","given":"Julian","non-dropping-particle":"","parse-names":false,"suffix":""},{"dropping-particle":"","family":"McCarroll","given":"Steve","non-dropping-particle":"","parse-names":false,"suffix":""},{"dropping-particle":"","family":"Patterson","given":"Nick","non-dropping-particle":"","parse-names":false,"suffix":""},{"dropping-particle":"","family":"Pe’er","given":"Itsik","non-dropping-particle":"","parse-names":false,"suffix":""},{"dropping-particle":"","family":"Price","given":"Alkes","non-dropping-particle":"","parse-names":false,"suffix":""},{"dropping-particle":"","family":"Purcell","given":"Shaun","non-dropping-particle":"","parse-names":false,"suffix":""},{"dropping-particle":"","family":"Richter","given":"Daniel J","non-dropping-particle":"","parse-names":false,"suffix":""},{"dropping-particle":"","family":"Sabeti","given":"Pardis","non-dropping-particle":"","parse-names":false,"suffix":""},{"dropping-particle":"","family":"Saxena","given":"Richa","non-dropping-particle":"","parse-names":false,"suffix":""},{"dropping-particle":"","family":"Schaffner","given":"Stephen F","non-dropping-particle":"","parse-names":false,"suffix":""},{"dropping-particle":"","family":"Sham","given":"Pak C","non-dropping-particle":"","parse-names":false,"suffix":""},{"dropping-particle":"","family":"Varilly","given":"Patrick","non-dropping-particle":"","parse-names":false,"suffix":""},{"dropping-particle":"","family":"Altshuler (Principal Investigator)","given":"David","non-dropping-particle":"","parse-names":false,"suffix":""},{"dropping-particle":"","family":"Stein (Principal Investigator)","given":"Lincoln D","non-dropping-particle":"","parse-names":false,"suffix":""},{"dropping-particle":"","family":"Krishnan","given":"Lalitha","non-dropping-particle":"","parse-names":false,"suffix":""},{"dropping-particle":"","family":"Vernon Smith","given":"Albert","non-dropping-particle":"","parse-names":false,"suffix":""},{"dropping-particle":"","family":"Tello-Ruiz","given":"Marcela K","non-dropping-particle":"","parse-names":false,"suffix":""},{"dropping-particle":"","family":"Thorisson","given":"Gudmundur A","non-dropping-particle":"","parse-names":false,"suffix":""},{"dropping-particle":"","family":"Chakravarti","given":"Aravinda","non-dropping-particle":"","parse-names":false,"suffix":""},{"dropping-particle":"","family":"Chen","given":"Peter E","non-dropping-particle":"","parse-names":false,"suffix":""},{"dropping-particle":"","family":"Cutler","given":"David J","non-dropping-particle":"","parse-names":false,"suffix":""},{"dropping-particle":"","family":"Kashuk","given":"Carl S","non-dropping-particle":"","parse-names":false,"suffix":""},{"dropping-particle":"","family":"Lin","given":"Shin","non-dropping-particle":"","parse-names":false,"suffix":""},{"dropping-particle":"","family":"Abecasis (Principal Investigator)","given":"Gonçalo R","non-dropping-particle":"","parse-names":false,"suffix":""},{"dropping-particle":"","family":"Guan","given":"Weihua","non-dropping-particle":"","parse-names":false,"suffix":""},{"dropping-particle":"","family":"Li","given":"Yun","non-dropping-particle":"","parse-names":false,"suffix":""},{"dropping-particle":"","family":"Munro","given":"Heather M","non-dropping-particle":"","parse-names":false,"suffix":""},{"dropping-particle":"","family":"Qin","given":"Zhaohui Steve","non-dropping-particle":"","parse-names":false,"suffix":""},{"dropping-particle":"","family":"Thomas","given":"Daryl J","non-dropping-particle":"","parse-names":false,"suffix":""},{"dropping-particle":"","family":"McVean (Project Leader)","given":"Gilean","non-dropping-particle":"","parse-names":false,"suffix":""},{"dropping-particle":"","family":"Auton","given":"Adam","non-dropping-particle":"","parse-names":false,"suffix":""},{"dropping-particle":"","family":"Bottolo","given":"Leonardo","non-dropping-particle":"","parse-names":false,"suffix":""},{"dropping-particle":"","family":"Cardin","given":"Niall","non-dropping-particle":"","parse-names":false,"suffix":""},{"dropping-particle":"","family":"Eyheramendy","given":"Susana","non-dropping-particle":"","parse-names":false,"suffix":""},{"dropping-particle":"","family":"Freeman","given":"Colin","non-dropping-particle":"","parse-names":false,"suffix":""},{"dropping-particle":"","family":"Marchini","given":"Jonathan","non-dropping-particle":"","parse-names":false,"suffix":""},{"dropping-particle":"","family":"Myers","given":"Simon","non-dropping-particle":"","parse-names":false,"suffix":""},{"dropping-particle":"","family":"Spencer","given":"Chris","non-dropping-particle":"","parse-names":false,"suffix":""},{"dropping-particle":"","family":"Stephens","given":"Matthew","non-dropping-particle":"","parse-names":false,"suffix":""},{"dropping-particle":"","family":"Donnelly","given":"Peter","non-dropping-particle":"","parse-names":false,"suffix":""},{"dropping-particle":"","family":"Cardon (Principal Investigator)","given":"Lon R","non-dropping-particle":"","parse-names":false,"suffix":""},{"dropping-particle":"","family":"Clarke","given":"Geraldine","non-dropping-particle":"","parse-names":false,"suffix":""},{"dropping-particle":"","family":"Evans","given":"David M","non-dropping-particle":"","parse-names":false,"suffix":""},{"dropping-particle":"","family":"Morris","given":"Andrew P","non-dropping-particle":"","parse-names":false,"suffix":""},{"dropping-particle":"","family":"Weir","given":"Bruce S","non-dropping-particle":"","parse-names":false,"suffix":""},{"dropping-particle":"","family":"Tsunoda (Principal Investigator)","given":"Tatsuhiko","non-dropping-particle":"","parse-names":false,"suffix":""},{"dropping-particle":"","family":"Johnson","given":"Todd A","non-dropping-particle":"","parse-names":false,"suffix":""},{"dropping-particle":"","family":"Mullikin","given":"James C","non-dropping-particle":"","parse-names":false,"suffix":""},{"dropping-particle":"","family":"Sherry","given":"Stephen T","non-dropping-particle":"","parse-names":false,"suffix":""},{"dropping-particle":"","family":"Feolo","given":"Michael","non-dropping-particle":"","parse-names":false,"suffix":""},{"dropping-particle":"","family":"Skol","given":"Andrew","non-dropping-particle":"","parse-names":false,"suffix":""},{"dropping-particle":"","family":"Zhang","given":"Houcan","non-dropping-particle":"","parse-names":false,"suffix":""},{"dropping-particle":"","family":"Zeng","given":"Changqing","non-dropping-particle":"","parse-names":false,"suffix":""},{"dropping-particle":"","family":"Zhao","given":"Hui","non-dropping-particle":"","parse-names":false,"suffix":""},{"dropping-particle":"","family":"Matsuda (Principal Investigator)","given":"Ichiro","non-dropping-particle":"","parse-names":false,"suffix":""},{"dropping-particle":"","family":"Fukushima","given":"Yoshimitsu","non-dropping-particle":"","parse-names":false,"suffix":""},{"dropping-particle":"","family":"Macer","given":"Darryl R","non-dropping-particle":"","parse-names":false,"suffix":""},{"dropping-particle":"","family":"Suda","given":"Eiko","non-dropping-particle":"","parse-names":false,"suffix":""},{"dropping-particle":"","family":"Rotimi (Principal Investigator)","given":"Charles N","non-dropping-particle":"","parse-names":false,"suffix":""},{"dropping-particle":"","family":"Adebamowo","given":"Clement A","non-dropping-particle":"","parse-names":false,"suffix":""},{"dropping-particle":"","family":"Ajayi","given":"Ike","non-dropping-particle":"","parse-names":false,"suffix":""},{"dropping-particle":"","family":"Aniagwu","given":"Toyin","non-dropping-particle":"","parse-names":false,"suffix":""},{"dropping-particle":"","family":"Marshall","given":"Patricia A","non-dropping-particle":"","parse-names":false,"suffix":""},{"dropping-particle":"","family":"Nkwodimmah","given":"Chibuzor","non-dropping-particle":"","parse-names":false,"suffix":""},{"dropping-particle":"","family":"Royal","given":"Charmaine D M","non-dropping-particle":"","parse-names":false,"suffix":""},{"dropping-particle":"","family":"Leppert (Principal Investigator)","given":"Mark F","non-dropping-particle":"","parse-names":false,"suffix":""},{"dropping-particle":"","family":"Dixon","given":"Missy","non-dropping-particle":"","parse-names":false,"suffix":""},{"dropping-particle":"","family":"Peiffer","given":"Andy","non-dropping-particle":"","parse-names":false,"suffix":""},{"dropping-particle":"","family":"Qiu","given":"Renzong","non-dropping-particle":"","parse-names":false,"suffix":""},{"dropping-particle":"","family":"Kent","given":"Alastair","non-dropping-particle":"","parse-names":false,"suffix":""},{"dropping-particle":"","family":"Kato","given":"Kazuto","non-dropping-particle":"","parse-names":false,"suffix":""},{"dropping-particle":"","family":"Niikawa","given":"Norio","non-dropping-particle":"","parse-names":false,"suffix":""},{"dropping-particle":"","family":"Adewole","given":"Isaac F","non-dropping-particle":"","parse-names":false,"suffix":""},{"dropping-particle":"","family":"Knoppers","given":"Bartha M","non-dropping-particle":"","parse-names":false,"suffix":""},{"dropping-particle":"","family":"Foster","given":"Morris W","non-dropping-particle":"","parse-names":false,"suffix":""},{"dropping-particle":"","family":"Clayton","given":"Ellen Wright","non-dropping-particle":"","parse-names":false,"suffix":""},{"dropping-particle":"","family":"Watkin","given":"Jessica","non-dropping-particle":"","parse-names":false,"suffix":""},{"dropping-particle":"","family":"Gibbs (Principal Investigator)","given":"Richard A","non-dropping-particle":"","parse-names":false,"suffix":""},{"dropping-particle":"","family":"Belmont","given":"John W","non-dropping-particle":"","parse-names":false,"suffix":""},{"dropping-particle":"","family":"Muzny","given":"Donna","non-dropping-particle":"","parse-names":false,"suffix":""},{"dropping-particle":"","family":"Nazareth","given":"Lynne","non-dropping-particle":"","parse-names":false,"suffix":""},{"dropping-particle":"","family":"Sodergren","given":"Erica","non-dropping-particle":"","parse-names":false,"suffix":""},{"dropping-particle":"","family":"Weinstock","given":"George M","non-dropping-particle":"","parse-names":false,"suffix":""},{"dropping-particle":"","family":"Wheeler","given":"David A","non-dropping-particle":"","parse-names":false,"suffix":""},{"dropping-particle":"","family":"Yakub","given":"Imtaz","non-dropping-particle":"","parse-names":false,"suffix":""},{"dropping-particle":"","family":"Gabriel (Project Leader)","given":"Stacey B","non-dropping-particle":"","parse-names":false,"suffix":""},{"dropping-particle":"","family":"Onofrio","given":"Robert C","non-dropping-particle":"","parse-names":false,"suffix":""},{"dropping-particle":"","family":"Richter","given":"Daniel J","non-dropping-particle":"","parse-names":false,"suffix":""},{"dropping-particle":"","family":"Ziaugra","given":"Liuda","non-dropping-particle":"","parse-names":false,"suffix":""},{"dropping-particle":"","family":"Birren","given":"Bruce W","non-dropping-particle":"","parse-names":false,"suffix":""},{"dropping-particle":"","family":"Daly","given":"Mark J","non-dropping-particle":"","parse-names":false,"suffix":""},{"dropping-particle":"","family":"Altshuler (Principal Investigator)","given":"David","non-dropping-particle":"","parse-names":false,"suffix":""},{"dropping-particle":"","family":"Wilson","given":"Richard K","non-dropping-particle":"","parse-names":false,"suffix":""},{"dropping-particle":"","family":"Fulton","given":"Lucinda L","non-dropping-particle":"","parse-names":false,"suffix":""},{"dropping-particle":"","family":"Rogers (Principal Investigator)","given":"Jane","non-dropping-particle":"","parse-names":false,"suffix":""},{"dropping-particle":"","family":"Burton","given":"John","non-dropping-particle":"","parse-names":false,"suffix":""},{"dropping-particle":"","family":"Carter","given":"Nigel P","non-dropping-particle":"","parse-names":false,"suffix":""},{"dropping-particle":"","family":"Clee","given":"Christopher M","non-dropping-particle":"","parse-names":false,"suffix":""},{"dropping-particle":"","family":"Griffiths","given":"Mark","non-dropping-particle":"","parse-names":false,"suffix":""},{"dropping-particle":"","family":"Jones","given":"Matthew C","non-dropping-particle":"","parse-names":false,"suffix":""},{"dropping-particle":"","family":"McLay","given":"Kirsten","non-dropping-particle":"","parse-names":false,"suffix":""},{"dropping-particle":"","family":"Plumb","given":"Robert W","non-dropping-particle":"","parse-names":false,"suffix":""},{"dropping-particle":"","family":"Ross","given":"Mark T","non-dropping-particle":"","parse-names":false,"suffix":""},{"dropping-particle":"","family":"Sims","given":"Sarah K","non-dropping-particle":"","parse-names":false,"suffix":""},{"dropping-particle":"","family":"Willey","given":"David L","non-dropping-particle":"","parse-names":false,"suffix":""},{"dropping-particle":"","family":"Chen","given":"Zhu","non-dropping-particle":"","parse-names":false,"suffix":""},{"dropping-particle":"","family":"Han","given":"Hua","non-dropping-particle":"","parse-names":false,"suffix":""},{"dropping-particle":"","family":"Kang","given":"Le","non-dropping-particle":"","parse-names":false,"suffix":""},{"dropping-particle":"","family":"Godbout","given":"Martin","non-dropping-particle":"","parse-names":false,"suffix":""},{"dropping-particle":"","family":"Wallenburg","given":"John C","non-dropping-particle":"","parse-names":false,"suffix":""},{"dropping-particle":"","family":"L'Archevêque","given":"Paul","non-dropping-particle":"","parse-names":false,"suffix":""},{"dropping-particle":"","family":"Bellemare","given":"Guy","non-dropping-particle":"","parse-names":false,"suffix":""},{"dropping-particle":"","family":"Saeki","given":"Koji","non-dropping-particle":"","parse-names":false,"suffix":""},{"dropping-particle":"","family":"Wang","given":"Hongguang","non-dropping-particle":"","parse-names":false,"suffix":""},{"dropping-particle":"","family":"An","given":"Daochang","non-dropping-particle":"","parse-names":false,"suffix":""},{"dropping-particle":"","family":"Fu","given":"Hongbo","non-dropping-particle":"","parse-names":false,"suffix":""},{"dropping-particle":"","family":"Li","given":"Qing","non-dropping-particle":"","parse-names":false,"suffix":""},{"dropping-particle":"","family":"Wang","given":"Zhen","non-dropping-particle":"","parse-names":false,"suffix":""},{"dropping-particle":"","family":"Wang","given":"Renwu","non-dropping-particle":"","parse-names":false,"suffix":""},{"dropping-particle":"","family":"Holden","given":"Arthur L","non-dropping-particle":"","parse-names":false,"suffix":""},{"dropping-particle":"","family":"Brooks","given":"Lisa D","non-dropping-particle":"","parse-names":false,"suffix":""},{"dropping-particle":"","family":"McEwen","given":"Jean E","non-dropping-particle":"","parse-names":false,"suffix":""},{"dropping-particle":"","family":"Guyer","given":"Mark S","non-dropping-particle":"","parse-names":false,"suffix":""},{"dropping-particle":"","family":"Ota Wang","given":"Vivian","non-dropping-particle":"","parse-names":false,"suffix":""},{"dropping-particle":"","family":"Peterson","given":"Jane L","non-dropping-particle":"","parse-names":false,"suffix":""},{"dropping-particle":"","family":"Shi","given":"Michael","non-dropping-particle":"","parse-names":false,"suffix":""},{"dropping-particle":"","family":"Spiegel","given":"Jack","non-dropping-particle":"","parse-names":false,"suffix":""},{"dropping-particle":"","family":"Sung","given":"Lawrence M","non-dropping-particle":"","parse-names":false,"suffix":""},{"dropping-particle":"","family":"Zacharia","given":"Lynn F","non-dropping-particle":"","parse-names":false,"suffix":""},{"dropping-particle":"","family":"Collins","given":"Francis S","non-dropping-particle":"","parse-names":false,"suffix":""},{"dropping-particle":"","family":"Kennedy","given":"Karen","non-dropping-particle":"","parse-names":false,"suffix":""},{"dropping-particle":"","family":"Jamieson","given":"Ruth","non-dropping-particle":"","parse-names":false,"suffix":""},{"dropping-particle":"","family":"Stewart","given":"John","non-dropping-particle":"","parse-names":false,"suffix":""}],"container-title":"Nature","id":"ITEM-1","issued":{"date-parts":[["2007","10","18"]]},"page":"913","publisher":"Nature Publishing Group","title":"Genome-wide detection and characterization of positive selection in human populations","type":"article-journal","volume":"449"},"uris":["http://www.mendeley.com/documents/?uuid=8b70daba-d279-4bfd-ab1c-42530c80f215"]}],"mendeley":{"formattedCitation":"&lt;sup&gt;21&lt;/sup&gt;","plainTextFormattedCitation":"21","previouslyFormattedCitation":"&lt;sup&gt;21&lt;/sup&gt;"},"properties":{"noteIndex":0},"schema":"https://github.com/citation-style-language/schema/raw/master/csl-citation.json"}</w:instrText>
      </w:r>
      <w:r w:rsidRPr="007C2683">
        <w:fldChar w:fldCharType="separate"/>
      </w:r>
      <w:r w:rsidRPr="007C2683">
        <w:rPr>
          <w:noProof/>
          <w:vertAlign w:val="superscript"/>
        </w:rPr>
        <w:t>21</w:t>
      </w:r>
      <w:r w:rsidRPr="007C2683">
        <w:fldChar w:fldCharType="end"/>
      </w:r>
      <w:r w:rsidRPr="007C2683">
        <w:t xml:space="preserve"> statistics on phased sequences for regions 1.5Mbp upstream and downstream of the chemosensory locus for all available </w:t>
      </w:r>
      <w:r w:rsidR="00B76D3A">
        <w:rPr>
          <w:i/>
          <w:iCs/>
        </w:rPr>
        <w:t xml:space="preserve">An. gambiae </w:t>
      </w:r>
      <w:r w:rsidRPr="007C2683">
        <w:t xml:space="preserve">West African mosquito populations found in phase 2 of the </w:t>
      </w:r>
      <w:r w:rsidRPr="007C2683">
        <w:rPr>
          <w:i/>
        </w:rPr>
        <w:t>Anopheles</w:t>
      </w:r>
      <w:r w:rsidRPr="007C2683">
        <w:t xml:space="preserve"> 1000 Genomes project using </w:t>
      </w:r>
      <w:proofErr w:type="spellStart"/>
      <w:r w:rsidRPr="007C2683">
        <w:t>scikit-allel</w:t>
      </w:r>
      <w:proofErr w:type="spellEnd"/>
      <w:r w:rsidRPr="007C2683">
        <w:t xml:space="preserve"> v1.1.10 (DOI: 10.5281/zenodo.822784). A peak was apparent in </w:t>
      </w:r>
      <w:proofErr w:type="spellStart"/>
      <w:r w:rsidRPr="007C2683">
        <w:t>iHS</w:t>
      </w:r>
      <w:proofErr w:type="spellEnd"/>
      <w:r w:rsidRPr="007C2683">
        <w:t xml:space="preserve"> in the Guinean </w:t>
      </w:r>
      <w:r w:rsidRPr="007C2683">
        <w:rPr>
          <w:i/>
          <w:iCs/>
        </w:rPr>
        <w:t>A. gambiae</w:t>
      </w:r>
      <w:r w:rsidRPr="007C2683">
        <w:t xml:space="preserve"> population (highest value at 3R: 4,845,138), and a smaller peak was present in Burkina Faso, a XPEHH peak was present in Cameroon. </w:t>
      </w:r>
    </w:p>
    <w:p w14:paraId="002C4F7E" w14:textId="77777777" w:rsidR="000007E2" w:rsidRPr="007C2683" w:rsidRDefault="000007E2" w:rsidP="000007E2">
      <w:r w:rsidRPr="007C2683">
        <w:rPr>
          <w:b/>
        </w:rPr>
        <w:t>Clustering analysis and SNP Panel</w:t>
      </w:r>
    </w:p>
    <w:p w14:paraId="3EF244F4" w14:textId="77777777" w:rsidR="000007E2" w:rsidRPr="007C2683" w:rsidRDefault="000007E2" w:rsidP="000007E2">
      <w:r w:rsidRPr="007C2683">
        <w:t xml:space="preserve">We carried out haplotype clustering analysis around the chemosensory locus and identified 13 haplotypes that differed by fewer than 20 SNPs across a window 25kb up and downstream of the limits of </w:t>
      </w:r>
      <w:r w:rsidRPr="007C2683">
        <w:rPr>
          <w:i/>
        </w:rPr>
        <w:t>SAP2</w:t>
      </w:r>
      <w:r w:rsidRPr="007C2683">
        <w:t xml:space="preserve">. This is a firm proxy for identity by descent in an organism with pi ~ 0.01 </w:t>
      </w:r>
      <w:r w:rsidRPr="007C2683">
        <w:fldChar w:fldCharType="begin" w:fldLock="1"/>
      </w:r>
      <w:r w:rsidRPr="007C2683">
        <w:instrText>ADDIN CSL_CITATION {"citationItems":[{"id":"ITEM-1","itemData":{"ISSN":"1476-4687","author":[{"dropping-particle":"","family":"Consortium","given":"Anopheles gambiae 1000 Genomes","non-dropping-particle":"","parse-names":false,"suffix":""}],"container-title":"Nature","id":"ITEM-1","issue":"7683","issued":{"date-parts":[["2017"]]},"page":"96","publisher":"Nature Publishing Group","title":"Genetic diversity of the African malaria vector Anopheles gambiae","type":"article-journal","volume":"552"},"uris":["http://www.mendeley.com/documents/?uuid=ddd6f0d0-4f86-49a9-9c5c-77a65c70c74b"]}],"mendeley":{"formattedCitation":"&lt;sup&gt;19&lt;/sup&gt;","plainTextFormattedCitation":"19","previouslyFormattedCitation":"&lt;sup&gt;19&lt;/sup&gt;"},"properties":{"noteIndex":0},"schema":"https://github.com/citation-style-language/schema/raw/master/csl-citation.json"}</w:instrText>
      </w:r>
      <w:r w:rsidRPr="007C2683">
        <w:fldChar w:fldCharType="separate"/>
      </w:r>
      <w:r w:rsidRPr="007C2683">
        <w:rPr>
          <w:noProof/>
          <w:vertAlign w:val="superscript"/>
        </w:rPr>
        <w:t>19</w:t>
      </w:r>
      <w:r w:rsidRPr="007C2683">
        <w:fldChar w:fldCharType="end"/>
      </w:r>
      <w:r w:rsidRPr="007C2683">
        <w:t>, indicative of selection acting at this region. These 13 shared haplotypes were observed in Guinea, Burkina Faso and Cameroon.</w:t>
      </w:r>
    </w:p>
    <w:p w14:paraId="6F4C169C" w14:textId="77777777" w:rsidR="000007E2" w:rsidRPr="007C2683" w:rsidRDefault="000007E2" w:rsidP="000007E2">
      <w:pPr>
        <w:rPr>
          <w:rFonts w:eastAsiaTheme="minorEastAsia"/>
        </w:rPr>
      </w:pPr>
      <w:r w:rsidRPr="007C2683">
        <w:t xml:space="preserve">These 13 haplotypes were used to define 55 SNPs showing high </w:t>
      </w:r>
      <w:proofErr w:type="spellStart"/>
      <w:r w:rsidRPr="007C2683">
        <w:t>Fst</w:t>
      </w:r>
      <w:proofErr w:type="spellEnd"/>
      <w:r w:rsidRPr="007C2683">
        <w:t xml:space="preserve"> between this cluster and the wild type </w:t>
      </w:r>
      <w:r w:rsidRPr="007C2683">
        <w:rPr>
          <w:i/>
        </w:rPr>
        <w:t xml:space="preserve">An. gambiae </w:t>
      </w:r>
      <w:r w:rsidRPr="007C2683">
        <w:t xml:space="preserve">populations. A SNP panel screen was designed to encompass a range of these </w:t>
      </w:r>
      <w:r w:rsidRPr="007C2683">
        <w:lastRenderedPageBreak/>
        <w:t xml:space="preserve">SNPs showing the highest delta between wild type and cluster SNPs, primers for the two panels were as </w:t>
      </w:r>
      <w:proofErr w:type="gramStart"/>
      <w:r w:rsidRPr="007C2683">
        <w:t>follows::</w:t>
      </w:r>
      <w:proofErr w:type="gramEnd"/>
      <w:r w:rsidRPr="007C2683">
        <w:t xml:space="preserve"> -F: CAAGCATTGCGCCATCGT; -R: GAGAAGATGATACTGAGCGG. PCR was performed on gDNA from individual </w:t>
      </w:r>
      <w:r w:rsidRPr="007C2683">
        <w:rPr>
          <w:i/>
        </w:rPr>
        <w:t>An. gambiae</w:t>
      </w:r>
      <w:r w:rsidRPr="007C2683">
        <w:t xml:space="preserve"> from </w:t>
      </w:r>
      <w:proofErr w:type="spellStart"/>
      <w:r w:rsidRPr="007C2683">
        <w:t>Bakaridjan</w:t>
      </w:r>
      <w:proofErr w:type="spellEnd"/>
      <w:r w:rsidRPr="007C2683">
        <w:t xml:space="preserve"> in 2013 (42 individuals) and 2015 (50 individuals) and </w:t>
      </w:r>
      <w:proofErr w:type="spellStart"/>
      <w:r w:rsidRPr="007C2683">
        <w:t>Tiefora</w:t>
      </w:r>
      <w:proofErr w:type="spellEnd"/>
      <w:r w:rsidRPr="007C2683">
        <w:t xml:space="preserve"> in 2018 (40 individuals). SNP genotypes from </w:t>
      </w:r>
      <w:r w:rsidRPr="007C2683">
        <w:rPr>
          <w:rFonts w:eastAsiaTheme="minorEastAsia"/>
        </w:rPr>
        <w:t xml:space="preserve">genomic sequence data from individual </w:t>
      </w:r>
      <w:r w:rsidRPr="007C2683">
        <w:rPr>
          <w:rFonts w:eastAsiaTheme="minorEastAsia"/>
          <w:i/>
        </w:rPr>
        <w:t xml:space="preserve">An. </w:t>
      </w:r>
      <w:proofErr w:type="spellStart"/>
      <w:r w:rsidRPr="007C2683">
        <w:rPr>
          <w:rFonts w:eastAsiaTheme="minorEastAsia"/>
          <w:i/>
        </w:rPr>
        <w:t>coluzzii</w:t>
      </w:r>
      <w:proofErr w:type="spellEnd"/>
      <w:r w:rsidRPr="007C2683">
        <w:rPr>
          <w:rFonts w:eastAsiaTheme="minorEastAsia"/>
          <w:i/>
        </w:rPr>
        <w:t xml:space="preserve"> </w:t>
      </w:r>
      <w:r w:rsidRPr="007C2683">
        <w:rPr>
          <w:rFonts w:eastAsiaTheme="minorEastAsia"/>
        </w:rPr>
        <w:t xml:space="preserve">samples from </w:t>
      </w:r>
      <w:proofErr w:type="spellStart"/>
      <w:r w:rsidRPr="007C2683">
        <w:rPr>
          <w:rFonts w:eastAsiaTheme="minorEastAsia"/>
        </w:rPr>
        <w:t>Tengrela</w:t>
      </w:r>
      <w:proofErr w:type="spellEnd"/>
      <w:r w:rsidRPr="007C2683">
        <w:rPr>
          <w:rFonts w:eastAsiaTheme="minorEastAsia"/>
        </w:rPr>
        <w:t xml:space="preserve"> from 2011 (21 individuals), 2012, 2014 and 2016 (72 individuals for each year) was kindly provided by the Broad Institute; the PCR panel was </w:t>
      </w:r>
      <w:proofErr w:type="gramStart"/>
      <w:r w:rsidRPr="007C2683">
        <w:rPr>
          <w:rFonts w:eastAsiaTheme="minorEastAsia"/>
        </w:rPr>
        <w:t>ran</w:t>
      </w:r>
      <w:proofErr w:type="gramEnd"/>
      <w:r w:rsidRPr="007C2683">
        <w:rPr>
          <w:rFonts w:eastAsiaTheme="minorEastAsia"/>
        </w:rPr>
        <w:t xml:space="preserve"> on samples from the same site in 2018 (20 samples). The panel was ran using Phusion High-Fidelity DNA Polymerase (Thermo Fisher, UK) following manufacturer’s instructions and the cycles: 98</w:t>
      </w:r>
      <w:r w:rsidRPr="007C2683">
        <w:rPr>
          <w:rFonts w:eastAsiaTheme="minorEastAsia"/>
          <w:vertAlign w:val="superscript"/>
        </w:rPr>
        <w:t>o</w:t>
      </w:r>
      <w:r w:rsidRPr="007C2683">
        <w:rPr>
          <w:rFonts w:eastAsiaTheme="minorEastAsia"/>
        </w:rPr>
        <w:t>C for 30 seconds, 35 cycles of: 98</w:t>
      </w:r>
      <w:r w:rsidRPr="007C2683">
        <w:rPr>
          <w:rFonts w:eastAsiaTheme="minorEastAsia"/>
          <w:vertAlign w:val="superscript"/>
        </w:rPr>
        <w:t>o</w:t>
      </w:r>
      <w:r w:rsidRPr="007C2683">
        <w:rPr>
          <w:rFonts w:eastAsiaTheme="minorEastAsia"/>
        </w:rPr>
        <w:t>C for 7 seconds, 65</w:t>
      </w:r>
      <w:r w:rsidRPr="007C2683">
        <w:rPr>
          <w:rFonts w:eastAsiaTheme="minorEastAsia"/>
          <w:vertAlign w:val="superscript"/>
        </w:rPr>
        <w:t>o</w:t>
      </w:r>
      <w:r w:rsidRPr="007C2683">
        <w:rPr>
          <w:rFonts w:eastAsiaTheme="minorEastAsia"/>
        </w:rPr>
        <w:t>C for 10s, 72</w:t>
      </w:r>
      <w:r w:rsidRPr="007C2683">
        <w:rPr>
          <w:rFonts w:eastAsiaTheme="minorEastAsia"/>
          <w:vertAlign w:val="superscript"/>
        </w:rPr>
        <w:t>o</w:t>
      </w:r>
      <w:r w:rsidRPr="007C2683">
        <w:rPr>
          <w:rFonts w:eastAsiaTheme="minorEastAsia"/>
        </w:rPr>
        <w:t>C for 15 seconds and a final 72</w:t>
      </w:r>
      <w:r w:rsidRPr="007C2683">
        <w:rPr>
          <w:rFonts w:eastAsiaTheme="minorEastAsia"/>
          <w:vertAlign w:val="superscript"/>
        </w:rPr>
        <w:t>o</w:t>
      </w:r>
      <w:r w:rsidRPr="007C2683">
        <w:rPr>
          <w:rFonts w:eastAsiaTheme="minorEastAsia"/>
        </w:rPr>
        <w:t xml:space="preserve">C, 15-minute hold. The resultant product was purified using a </w:t>
      </w:r>
      <w:proofErr w:type="spellStart"/>
      <w:r w:rsidRPr="007C2683">
        <w:rPr>
          <w:rFonts w:eastAsiaTheme="minorEastAsia"/>
        </w:rPr>
        <w:t>QiaQuick</w:t>
      </w:r>
      <w:proofErr w:type="spellEnd"/>
      <w:r w:rsidRPr="007C2683">
        <w:rPr>
          <w:rFonts w:eastAsiaTheme="minorEastAsia"/>
        </w:rPr>
        <w:t xml:space="preserve"> Gel Extraction Kit (Qiagen, UK) following manufacturer’s instructions and sent for Sanger sequencing at Eurofins Genomics, UK using the reverse primer. SNPs were identified using </w:t>
      </w:r>
      <w:proofErr w:type="spellStart"/>
      <w:r w:rsidRPr="007C2683">
        <w:rPr>
          <w:rFonts w:eastAsiaTheme="minorEastAsia"/>
        </w:rPr>
        <w:t>Benchling</w:t>
      </w:r>
      <w:proofErr w:type="spellEnd"/>
      <w:r w:rsidRPr="007C2683">
        <w:rPr>
          <w:rFonts w:eastAsiaTheme="minorEastAsia"/>
        </w:rPr>
        <w:t xml:space="preserve"> [Biology Software] (2019, </w:t>
      </w:r>
      <w:hyperlink r:id="rId10" w:history="1">
        <w:r w:rsidRPr="007C2683">
          <w:rPr>
            <w:rStyle w:val="Hyperlink"/>
            <w:rFonts w:eastAsiaTheme="minorEastAsia"/>
          </w:rPr>
          <w:t>https://benchling.com</w:t>
        </w:r>
      </w:hyperlink>
      <w:r w:rsidRPr="007C2683">
        <w:rPr>
          <w:rFonts w:eastAsiaTheme="minorEastAsia"/>
        </w:rPr>
        <w:t xml:space="preserve">) and the resultant change in minor allele frequency calculated and a trendline fitted to each SNP using GraphPad Prism 8.0.2 (La Jolla California USA, </w:t>
      </w:r>
      <w:hyperlink r:id="rId11" w:history="1">
        <w:r w:rsidRPr="007C2683">
          <w:rPr>
            <w:rStyle w:val="Hyperlink"/>
            <w:rFonts w:eastAsiaTheme="minorEastAsia"/>
          </w:rPr>
          <w:t>www.graphpad.com</w:t>
        </w:r>
      </w:hyperlink>
      <w:r w:rsidRPr="007C2683">
        <w:rPr>
          <w:rFonts w:eastAsiaTheme="minorEastAsia"/>
        </w:rPr>
        <w:t>).</w:t>
      </w:r>
    </w:p>
    <w:p w14:paraId="550C6252" w14:textId="77777777" w:rsidR="000007E2" w:rsidRPr="007C2683" w:rsidRDefault="000007E2" w:rsidP="000007E2">
      <w:pPr>
        <w:rPr>
          <w:rFonts w:eastAsiaTheme="minorEastAsia"/>
          <w:b/>
        </w:rPr>
      </w:pPr>
      <w:r w:rsidRPr="007C2683">
        <w:rPr>
          <w:rFonts w:eastAsiaTheme="minorEastAsia"/>
          <w:b/>
        </w:rPr>
        <w:t>Phylogeny</w:t>
      </w:r>
    </w:p>
    <w:p w14:paraId="5724C32C" w14:textId="356F7935" w:rsidR="000007E2" w:rsidRPr="007C2683" w:rsidRDefault="000007E2" w:rsidP="000007E2">
      <w:pPr>
        <w:rPr>
          <w:rFonts w:eastAsiaTheme="minorEastAsia"/>
        </w:rPr>
      </w:pPr>
      <w:r w:rsidRPr="007C2683">
        <w:rPr>
          <w:rFonts w:eastAsiaTheme="minorEastAsia"/>
        </w:rPr>
        <w:t xml:space="preserve">cDNA sequences for each of the CSPs were retrieved from </w:t>
      </w:r>
      <w:proofErr w:type="spellStart"/>
      <w:r w:rsidRPr="007C2683">
        <w:rPr>
          <w:rFonts w:eastAsiaTheme="minorEastAsia"/>
        </w:rPr>
        <w:t>VectorBase</w:t>
      </w:r>
      <w:proofErr w:type="spellEnd"/>
      <w:r w:rsidRPr="007C2683">
        <w:rPr>
          <w:rFonts w:eastAsiaTheme="minorEastAsia"/>
        </w:rPr>
        <w:t xml:space="preserve"> </w:t>
      </w:r>
      <w:r w:rsidRPr="007C2683">
        <w:rPr>
          <w:rFonts w:eastAsiaTheme="minorEastAsia"/>
        </w:rPr>
        <w:fldChar w:fldCharType="begin" w:fldLock="1"/>
      </w:r>
      <w:r w:rsidR="004162E4">
        <w:rPr>
          <w:rFonts w:eastAsiaTheme="minorEastAsia"/>
        </w:rPr>
        <w:instrText>ADDIN CSL_CITATION {"citationItems":[{"id":"ITEM-1","itemData":{"ISSN":"1362-4962","author":[{"dropping-particle":"","family":"Giraldo-Calderón","given":"Gloria I","non-dropping-particle":"","parse-names":false,"suffix":""},{"dropping-particle":"","family":"Emrich","given":"Scott J","non-dropping-particle":"","parse-names":false,"suffix":""},{"dropping-particle":"","family":"MacCallum","given":"Robert M","non-dropping-particle":"","parse-names":false,"suffix":""},{"dropping-particle":"","family":"Maslen","given":"Gareth","non-dropping-particle":"","parse-names":false,"suffix":""},{"dropping-particle":"","family":"Dialynas","given":"Emmanuel","non-dropping-particle":"","parse-names":false,"suffix":""},{"dropping-particle":"","family":"Topalis","given":"Pantelis","non-dropping-particle":"","parse-names":false,"suffix":""},{"dropping-particle":"","family":"Ho","given":"Nicholas","non-dropping-particle":"","parse-names":false,"suffix":""},{"dropping-particle":"","family":"Gesing","given":"Sandra","non-dropping-particle":"","parse-names":false,"suffix":""},{"dropping-particle":"","family":"Consortium","given":"VectorBase","non-dropping-particle":"","parse-names":false,"suffix":""},{"dropping-particle":"","family":"Madey","given":"Gregory","non-dropping-particle":"","parse-names":false,"suffix":""}],"container-title":"Nucleic acids research","id":"ITEM-1","issue":"D1","issued":{"date-parts":[["2014"]]},"page":"D707-D713","publisher":"Oxford University Press","title":"VectorBase: an updated bioinformatics resource for invertebrate vectors and other organisms related with human diseases","type":"article-journal","volume":"43"},"uris":["http://www.mendeley.com/documents/?uuid=9f508d81-44a6-43ee-879e-676c2e0c7c82"]}],"mendeley":{"formattedCitation":"&lt;sup&gt;32&lt;/sup&gt;","plainTextFormattedCitation":"32","previouslyFormattedCitation":"&lt;sup&gt;31&lt;/sup&gt;"},"properties":{"noteIndex":0},"schema":"https://github.com/citation-style-language/schema/raw/master/csl-citation.json"}</w:instrText>
      </w:r>
      <w:r w:rsidRPr="007C2683">
        <w:rPr>
          <w:rFonts w:eastAsiaTheme="minorEastAsia"/>
        </w:rPr>
        <w:fldChar w:fldCharType="separate"/>
      </w:r>
      <w:r w:rsidR="004162E4" w:rsidRPr="004162E4">
        <w:rPr>
          <w:rFonts w:eastAsiaTheme="minorEastAsia"/>
          <w:noProof/>
          <w:vertAlign w:val="superscript"/>
        </w:rPr>
        <w:t>32</w:t>
      </w:r>
      <w:r w:rsidRPr="007C2683">
        <w:rPr>
          <w:rFonts w:eastAsiaTheme="minorEastAsia"/>
        </w:rPr>
        <w:fldChar w:fldCharType="end"/>
      </w:r>
      <w:r w:rsidRPr="007C2683">
        <w:rPr>
          <w:rFonts w:eastAsiaTheme="minorEastAsia"/>
        </w:rPr>
        <w:t xml:space="preserve"> and aligned using </w:t>
      </w:r>
      <w:proofErr w:type="spellStart"/>
      <w:r w:rsidRPr="007C2683">
        <w:rPr>
          <w:rFonts w:eastAsiaTheme="minorEastAsia"/>
        </w:rPr>
        <w:t>Clustal</w:t>
      </w:r>
      <w:proofErr w:type="spellEnd"/>
      <w:r w:rsidRPr="007C2683">
        <w:rPr>
          <w:rFonts w:eastAsiaTheme="minorEastAsia"/>
        </w:rPr>
        <w:t xml:space="preserve"> Omega (</w:t>
      </w:r>
      <w:hyperlink r:id="rId12" w:history="1">
        <w:r w:rsidRPr="007C2683">
          <w:rPr>
            <w:rStyle w:val="Hyperlink"/>
            <w:rFonts w:eastAsiaTheme="minorEastAsia"/>
          </w:rPr>
          <w:t>https://www.ebi.ac.uk/Tools/msa/clustalo/</w:t>
        </w:r>
      </w:hyperlink>
      <w:r w:rsidRPr="007C2683">
        <w:rPr>
          <w:rFonts w:eastAsiaTheme="minorEastAsia"/>
        </w:rPr>
        <w:t xml:space="preserve">). These data were loaded into Mega 7.0 </w:t>
      </w:r>
      <w:r w:rsidRPr="007C2683">
        <w:rPr>
          <w:rFonts w:eastAsiaTheme="minorEastAsia"/>
        </w:rPr>
        <w:fldChar w:fldCharType="begin" w:fldLock="1"/>
      </w:r>
      <w:r w:rsidR="004162E4">
        <w:rPr>
          <w:rFonts w:eastAsiaTheme="minorEastAsia"/>
        </w:rPr>
        <w:instrText>ADDIN CSL_CITATION {"citationItems":[{"id":"ITEM-1","itemData":{"ISSN":"0737-4038","author":[{"dropping-particle":"","family":"Kumar","given":"Sudhir","non-dropping-particle":"","parse-names":false,"suffix":""},{"dropping-particle":"","family":"Stecher","given":"Glen","non-dropping-particle":"","parse-names":false,"suffix":""},{"dropping-particle":"","family":"Tamura","given":"Koichiro","non-dropping-particle":"","parse-names":false,"suffix":""}],"container-title":"Molecular biology and evolution","id":"ITEM-1","issue":"7","issued":{"date-parts":[["2016"]]},"page":"1870-1874","publisher":"Society for Molecular Biology and Evolution","title":"MEGA7: molecular evolutionary genetics analysis version 7.0 for bigger datasets","type":"article-journal","volume":"33"},"uris":["http://www.mendeley.com/documents/?uuid=baab0b7c-d344-4079-834d-c275a37bb506"]}],"mendeley":{"formattedCitation":"&lt;sup&gt;33&lt;/sup&gt;","plainTextFormattedCitation":"33","previouslyFormattedCitation":"&lt;sup&gt;32&lt;/sup&gt;"},"properties":{"noteIndex":0},"schema":"https://github.com/citation-style-language/schema/raw/master/csl-citation.json"}</w:instrText>
      </w:r>
      <w:r w:rsidRPr="007C2683">
        <w:rPr>
          <w:rFonts w:eastAsiaTheme="minorEastAsia"/>
        </w:rPr>
        <w:fldChar w:fldCharType="separate"/>
      </w:r>
      <w:r w:rsidR="004162E4" w:rsidRPr="004162E4">
        <w:rPr>
          <w:rFonts w:eastAsiaTheme="minorEastAsia"/>
          <w:noProof/>
          <w:vertAlign w:val="superscript"/>
        </w:rPr>
        <w:t>33</w:t>
      </w:r>
      <w:r w:rsidRPr="007C2683">
        <w:rPr>
          <w:rFonts w:eastAsiaTheme="minorEastAsia"/>
        </w:rPr>
        <w:fldChar w:fldCharType="end"/>
      </w:r>
      <w:r w:rsidRPr="007C2683">
        <w:rPr>
          <w:rFonts w:eastAsiaTheme="minorEastAsia"/>
        </w:rPr>
        <w:t xml:space="preserve"> and a maximum likelihood tree with 1000 bootstraps performed.</w:t>
      </w:r>
    </w:p>
    <w:p w14:paraId="4DC63BCB" w14:textId="77777777" w:rsidR="000007E2" w:rsidRDefault="000007E2">
      <w:pPr>
        <w:rPr>
          <w:b/>
        </w:rPr>
      </w:pPr>
    </w:p>
    <w:p w14:paraId="307D4AAE" w14:textId="199A4142" w:rsidR="007173FE" w:rsidRPr="007C2683" w:rsidRDefault="007173FE">
      <w:pPr>
        <w:rPr>
          <w:b/>
        </w:rPr>
      </w:pPr>
      <w:r w:rsidRPr="007C2683">
        <w:rPr>
          <w:b/>
        </w:rPr>
        <w:t>Acknowledgements</w:t>
      </w:r>
    </w:p>
    <w:p w14:paraId="51A6B2CD" w14:textId="4A4796FD" w:rsidR="007173FE" w:rsidRPr="007C2683" w:rsidRDefault="007173FE">
      <w:r w:rsidRPr="007C2683">
        <w:t xml:space="preserve">Thank you to the following for providing field collections: Dr Nelson </w:t>
      </w:r>
      <w:proofErr w:type="spellStart"/>
      <w:r w:rsidRPr="007C2683">
        <w:t>Grisales</w:t>
      </w:r>
      <w:proofErr w:type="spellEnd"/>
      <w:r w:rsidRPr="007C2683">
        <w:t>, LSTM (</w:t>
      </w:r>
      <w:proofErr w:type="spellStart"/>
      <w:r w:rsidRPr="007C2683">
        <w:t>Bakaridjan</w:t>
      </w:r>
      <w:proofErr w:type="spellEnd"/>
      <w:r w:rsidRPr="007C2683">
        <w:t xml:space="preserve"> in 2013 and 2015); Dr Antoine </w:t>
      </w:r>
      <w:proofErr w:type="spellStart"/>
      <w:r w:rsidRPr="007C2683">
        <w:t>Sanou</w:t>
      </w:r>
      <w:proofErr w:type="spellEnd"/>
      <w:r w:rsidRPr="007C2683">
        <w:t>, Dr Moussa Guelbeogo, CNRFP (</w:t>
      </w:r>
      <w:proofErr w:type="spellStart"/>
      <w:r w:rsidRPr="007C2683">
        <w:t>Tiefora</w:t>
      </w:r>
      <w:proofErr w:type="spellEnd"/>
      <w:r w:rsidRPr="007C2683">
        <w:t xml:space="preserve"> 2018, </w:t>
      </w:r>
      <w:proofErr w:type="spellStart"/>
      <w:r w:rsidRPr="007C2683">
        <w:t>Tengrela</w:t>
      </w:r>
      <w:proofErr w:type="spellEnd"/>
      <w:r w:rsidRPr="007C2683">
        <w:t xml:space="preserve"> 2011, 2012, 2014, 2016); Natalie Lissenden, LSTM (</w:t>
      </w:r>
      <w:proofErr w:type="spellStart"/>
      <w:r w:rsidRPr="007C2683">
        <w:t>Tengrela</w:t>
      </w:r>
      <w:proofErr w:type="spellEnd"/>
      <w:r w:rsidRPr="007C2683">
        <w:t xml:space="preserve"> 2018). We are grateful to Dr Daniel Neafsey and Dr Jacob Tennessen, Broad Institute for sharing </w:t>
      </w:r>
      <w:proofErr w:type="spellStart"/>
      <w:r w:rsidRPr="007C2683">
        <w:t>Tengrela</w:t>
      </w:r>
      <w:proofErr w:type="spellEnd"/>
      <w:r w:rsidRPr="007C2683">
        <w:t xml:space="preserve"> whole genome sequence data, Dr </w:t>
      </w:r>
      <w:proofErr w:type="spellStart"/>
      <w:r w:rsidRPr="007C2683">
        <w:t>Imma</w:t>
      </w:r>
      <w:r w:rsidR="004642CC" w:rsidRPr="007C2683">
        <w:t>colata</w:t>
      </w:r>
      <w:proofErr w:type="spellEnd"/>
      <w:r w:rsidRPr="007C2683">
        <w:t xml:space="preserve"> </w:t>
      </w:r>
      <w:proofErr w:type="spellStart"/>
      <w:r w:rsidRPr="007C2683">
        <w:t>Iovinella</w:t>
      </w:r>
      <w:proofErr w:type="spellEnd"/>
      <w:r w:rsidR="004642CC" w:rsidRPr="007C2683">
        <w:t>, University of Florence</w:t>
      </w:r>
      <w:r w:rsidRPr="007C2683">
        <w:t xml:space="preserve"> for provision of </w:t>
      </w:r>
      <w:r w:rsidRPr="007C2683">
        <w:rPr>
          <w:i/>
        </w:rPr>
        <w:t>SAP1</w:t>
      </w:r>
      <w:r w:rsidRPr="007C2683">
        <w:t xml:space="preserve"> and </w:t>
      </w:r>
      <w:r w:rsidRPr="007C2683">
        <w:rPr>
          <w:i/>
        </w:rPr>
        <w:t>SAP3</w:t>
      </w:r>
      <w:r w:rsidRPr="007C2683">
        <w:t xml:space="preserve"> plasmids, Manuela Bernardi, LSTM for help with figure preparation and to Faye Brown</w:t>
      </w:r>
      <w:r w:rsidR="008D508C" w:rsidRPr="007C2683">
        <w:t>, Sara Elg, Patricia Pignatelli</w:t>
      </w:r>
      <w:r w:rsidRPr="007C2683">
        <w:t xml:space="preserve"> and Derek Au, LSTM for providing some technical support.</w:t>
      </w:r>
      <w:r w:rsidR="0088511A" w:rsidRPr="007C2683">
        <w:t xml:space="preserve"> We are also grateful to Dr Hyacinthe Toé and Dr Thomas Churcher for supplying both the field data and figure in Extended Data Figure </w:t>
      </w:r>
      <w:r w:rsidR="008E6835" w:rsidRPr="007C2683">
        <w:t>7</w:t>
      </w:r>
      <w:r w:rsidR="0088511A" w:rsidRPr="007C2683">
        <w:t>.</w:t>
      </w:r>
      <w:r w:rsidRPr="007C2683">
        <w:t xml:space="preserve"> We finally thank Dimitra </w:t>
      </w:r>
      <w:proofErr w:type="spellStart"/>
      <w:r w:rsidRPr="007C2683">
        <w:t>Tsakireli</w:t>
      </w:r>
      <w:proofErr w:type="spellEnd"/>
      <w:r w:rsidRPr="007C2683">
        <w:t xml:space="preserve"> (IMBB-FORTH) and </w:t>
      </w:r>
      <w:proofErr w:type="spellStart"/>
      <w:r w:rsidRPr="007C2683">
        <w:t>Evangelia</w:t>
      </w:r>
      <w:proofErr w:type="spellEnd"/>
      <w:r w:rsidRPr="007C2683">
        <w:t xml:space="preserve"> </w:t>
      </w:r>
      <w:proofErr w:type="spellStart"/>
      <w:r w:rsidRPr="007C2683">
        <w:t>Morou</w:t>
      </w:r>
      <w:proofErr w:type="spellEnd"/>
      <w:r w:rsidRPr="007C2683">
        <w:t xml:space="preserve"> (IMBB-FORTH), for their help for the expression and characterisation of SAP proteins. </w:t>
      </w:r>
    </w:p>
    <w:p w14:paraId="03264828" w14:textId="77777777" w:rsidR="007C4BFC" w:rsidRPr="007C2683" w:rsidRDefault="007C4BFC">
      <w:pPr>
        <w:rPr>
          <w:b/>
        </w:rPr>
      </w:pPr>
      <w:r w:rsidRPr="007C2683">
        <w:rPr>
          <w:b/>
        </w:rPr>
        <w:t>Author contribution</w:t>
      </w:r>
    </w:p>
    <w:p w14:paraId="6EAAC64C" w14:textId="76C06B4D" w:rsidR="00BC5164" w:rsidRPr="007C2683" w:rsidRDefault="00355605" w:rsidP="00355605">
      <w:r w:rsidRPr="007C2683">
        <w:t>V.I. and H.R conceived the experimental design. V.I performed: all transcriptomic expression experiments; RNAi and phenotyping; data analysis</w:t>
      </w:r>
      <w:r w:rsidR="00BE14AD" w:rsidRPr="007C2683">
        <w:t>, PCR</w:t>
      </w:r>
      <w:r w:rsidRPr="007C2683">
        <w:t xml:space="preserve"> and </w:t>
      </w:r>
      <w:r w:rsidR="00B141FE" w:rsidRPr="007C2683">
        <w:t xml:space="preserve">associated </w:t>
      </w:r>
      <w:r w:rsidRPr="007C2683">
        <w:t>sequencing. A.A and G.L produced the transgenic lines and associated phenotypic characterisation. V.D and J.V performed the binding assays and associated protein expression experiments. N.H analysed the 1000 genomes data and produced the haplotype SNP panel. M.M provided all insectary support. V.I and H.R drafted the manuscript.</w:t>
      </w:r>
      <w:r w:rsidR="006E0F3E">
        <w:t xml:space="preserve"> </w:t>
      </w:r>
    </w:p>
    <w:p w14:paraId="2886526A" w14:textId="77777777" w:rsidR="000412BA" w:rsidRPr="007C2683" w:rsidRDefault="00EA4258" w:rsidP="00355605">
      <w:pPr>
        <w:rPr>
          <w:b/>
        </w:rPr>
      </w:pPr>
      <w:r w:rsidRPr="007C2683">
        <w:rPr>
          <w:b/>
        </w:rPr>
        <w:t>Fun</w:t>
      </w:r>
      <w:r w:rsidR="000412BA" w:rsidRPr="007C2683">
        <w:rPr>
          <w:b/>
        </w:rPr>
        <w:t>ding</w:t>
      </w:r>
    </w:p>
    <w:p w14:paraId="44148034" w14:textId="7B417F02" w:rsidR="00EA4258" w:rsidRPr="007C2683" w:rsidRDefault="000412BA" w:rsidP="00355605">
      <w:r w:rsidRPr="007C2683">
        <w:t>This study was funded by an MRC Skills Development Fellowship</w:t>
      </w:r>
      <w:r w:rsidR="0089748B" w:rsidRPr="007C2683">
        <w:t xml:space="preserve"> (</w:t>
      </w:r>
      <w:r w:rsidR="0089748B" w:rsidRPr="007C2683">
        <w:rPr>
          <w:rFonts w:cs="Helvetica"/>
          <w:shd w:val="clear" w:color="auto" w:fill="FFFFFF"/>
        </w:rPr>
        <w:t>MR/R024839/1)</w:t>
      </w:r>
      <w:r w:rsidRPr="007C2683">
        <w:t xml:space="preserve"> to V.I</w:t>
      </w:r>
      <w:r w:rsidR="00C80B20" w:rsidRPr="007C2683">
        <w:t xml:space="preserve"> </w:t>
      </w:r>
      <w:r w:rsidRPr="007C2683">
        <w:t>an</w:t>
      </w:r>
      <w:r w:rsidR="00524F5F" w:rsidRPr="007C2683">
        <w:t>d</w:t>
      </w:r>
      <w:r w:rsidRPr="007C2683">
        <w:t xml:space="preserve"> a Royal Society Challenge Grant (CH160059) to H.R.</w:t>
      </w:r>
      <w:r w:rsidR="009E2708" w:rsidRPr="007C2683">
        <w:t xml:space="preserve"> </w:t>
      </w:r>
      <w:r w:rsidRPr="007C2683">
        <w:t>Mosquito collections in Burkina Faso were supported by EC FP7 Project grant no: 265660 “</w:t>
      </w:r>
      <w:proofErr w:type="spellStart"/>
      <w:r w:rsidRPr="007C2683">
        <w:t>AvecNet</w:t>
      </w:r>
      <w:proofErr w:type="spellEnd"/>
      <w:r w:rsidRPr="007C2683">
        <w:t xml:space="preserve">” and </w:t>
      </w:r>
      <w:proofErr w:type="spellStart"/>
      <w:r w:rsidRPr="007C2683">
        <w:t>Wellcome</w:t>
      </w:r>
      <w:proofErr w:type="spellEnd"/>
      <w:r w:rsidRPr="007C2683">
        <w:t xml:space="preserve"> Trust Collaborative Award (</w:t>
      </w:r>
      <w:r w:rsidR="001B1C1B" w:rsidRPr="007C2683">
        <w:t>200222/Z/15/Z</w:t>
      </w:r>
      <w:r w:rsidRPr="007C2683">
        <w:t>).</w:t>
      </w:r>
    </w:p>
    <w:p w14:paraId="1AB25735" w14:textId="5E7D8188" w:rsidR="0036196F" w:rsidRPr="007C2683" w:rsidRDefault="0036196F" w:rsidP="00355605">
      <w:pPr>
        <w:rPr>
          <w:b/>
        </w:rPr>
      </w:pPr>
      <w:r w:rsidRPr="007C2683">
        <w:rPr>
          <w:b/>
        </w:rPr>
        <w:lastRenderedPageBreak/>
        <w:t>Data Availability</w:t>
      </w:r>
    </w:p>
    <w:p w14:paraId="0FDF158D" w14:textId="0E4A2B45" w:rsidR="0036196F" w:rsidRPr="007C2683" w:rsidRDefault="0036196F" w:rsidP="0036196F">
      <w:pPr>
        <w:autoSpaceDE w:val="0"/>
        <w:autoSpaceDN w:val="0"/>
        <w:adjustRightInd w:val="0"/>
        <w:spacing w:after="0" w:line="240" w:lineRule="auto"/>
        <w:rPr>
          <w:rFonts w:cs="AdvOT1ef757c0"/>
        </w:rPr>
      </w:pPr>
      <w:r w:rsidRPr="007C2683">
        <w:rPr>
          <w:rFonts w:cs="AdvOT1ef757c0"/>
        </w:rPr>
        <w:t xml:space="preserve">All data analysed during this current study are available on public repositories and detailed in the present paper, or in the </w:t>
      </w:r>
      <w:r w:rsidR="002F46E3" w:rsidRPr="007C2683">
        <w:rPr>
          <w:rFonts w:cs="AdvOT1ef757c0"/>
        </w:rPr>
        <w:t xml:space="preserve">Extended Data </w:t>
      </w:r>
      <w:r w:rsidRPr="007C2683">
        <w:rPr>
          <w:rFonts w:cs="AdvOT1ef757c0+fb"/>
        </w:rPr>
        <w:t>fi</w:t>
      </w:r>
      <w:r w:rsidRPr="007C2683">
        <w:rPr>
          <w:rFonts w:cs="AdvOT1ef757c0"/>
        </w:rPr>
        <w:t>les, or are available from the authors upon request.</w:t>
      </w:r>
    </w:p>
    <w:p w14:paraId="0A6184B2" w14:textId="77777777" w:rsidR="0036196F" w:rsidRPr="007C2683" w:rsidRDefault="0036196F" w:rsidP="00355605"/>
    <w:p w14:paraId="6187209B" w14:textId="77777777" w:rsidR="00355605" w:rsidRPr="007C2683" w:rsidRDefault="00355605" w:rsidP="003E21B2">
      <w:pPr>
        <w:spacing w:line="240" w:lineRule="auto"/>
        <w:rPr>
          <w:b/>
        </w:rPr>
      </w:pPr>
      <w:r w:rsidRPr="007C2683">
        <w:rPr>
          <w:b/>
        </w:rPr>
        <w:t>Author Information</w:t>
      </w:r>
    </w:p>
    <w:p w14:paraId="273ED01A" w14:textId="6D4801BD" w:rsidR="00355605" w:rsidRDefault="00355605" w:rsidP="003E21B2">
      <w:pPr>
        <w:spacing w:line="240" w:lineRule="auto"/>
        <w:rPr>
          <w:rFonts w:cstheme="minorHAnsi"/>
        </w:rPr>
      </w:pPr>
      <w:r w:rsidRPr="007C2683">
        <w:t>The authors declare that they have no competing interests.</w:t>
      </w:r>
      <w:r w:rsidR="003E21B2">
        <w:t xml:space="preserve"> </w:t>
      </w:r>
      <w:r w:rsidR="00E67EA4" w:rsidRPr="008D5A19">
        <w:rPr>
          <w:rFonts w:cstheme="minorHAnsi"/>
          <w:color w:val="222222"/>
          <w:shd w:val="clear" w:color="auto" w:fill="FFFFFF"/>
        </w:rPr>
        <w:t xml:space="preserve">Reprints and permissions information is available at </w:t>
      </w:r>
      <w:hyperlink r:id="rId13" w:history="1">
        <w:r w:rsidR="00E67EA4" w:rsidRPr="008D5A19">
          <w:rPr>
            <w:rStyle w:val="Hyperlink"/>
            <w:rFonts w:cstheme="minorHAnsi"/>
            <w:shd w:val="clear" w:color="auto" w:fill="FFFFFF"/>
          </w:rPr>
          <w:t>www.nature.com/reprints</w:t>
        </w:r>
      </w:hyperlink>
      <w:r w:rsidR="00E67EA4" w:rsidRPr="008D5A19">
        <w:rPr>
          <w:rFonts w:cstheme="minorHAnsi"/>
          <w:color w:val="222222"/>
          <w:shd w:val="clear" w:color="auto" w:fill="FFFFFF"/>
        </w:rPr>
        <w:t xml:space="preserve">. </w:t>
      </w:r>
      <w:r w:rsidRPr="008D5A19">
        <w:rPr>
          <w:rFonts w:cstheme="minorHAnsi"/>
        </w:rPr>
        <w:t xml:space="preserve">Correspondence and requests for material should be addressed to </w:t>
      </w:r>
      <w:hyperlink r:id="rId14" w:history="1">
        <w:r w:rsidR="00BC5164" w:rsidRPr="008D5A19">
          <w:rPr>
            <w:rStyle w:val="Hyperlink"/>
            <w:rFonts w:cstheme="minorHAnsi"/>
          </w:rPr>
          <w:t>hilary.ranson@lstmed.ac.uk</w:t>
        </w:r>
      </w:hyperlink>
      <w:r w:rsidR="00BC5164" w:rsidRPr="008D5A19">
        <w:rPr>
          <w:rFonts w:cstheme="minorHAnsi"/>
        </w:rPr>
        <w:t xml:space="preserve"> or </w:t>
      </w:r>
      <w:hyperlink r:id="rId15" w:history="1">
        <w:r w:rsidR="00BC5164" w:rsidRPr="008D5A19">
          <w:rPr>
            <w:rStyle w:val="Hyperlink"/>
            <w:rFonts w:cstheme="minorHAnsi"/>
          </w:rPr>
          <w:t>victoria.ingham@lstmed.ac.uk</w:t>
        </w:r>
      </w:hyperlink>
      <w:r w:rsidR="00BC5164" w:rsidRPr="008D5A19">
        <w:rPr>
          <w:rFonts w:cstheme="minorHAnsi"/>
        </w:rPr>
        <w:t xml:space="preserve"> </w:t>
      </w:r>
    </w:p>
    <w:p w14:paraId="7E77AB4A" w14:textId="77777777" w:rsidR="003E21B2" w:rsidRPr="003E21B2" w:rsidRDefault="003E21B2" w:rsidP="003E21B2">
      <w:pPr>
        <w:spacing w:line="240" w:lineRule="auto"/>
      </w:pPr>
    </w:p>
    <w:p w14:paraId="2FC24313" w14:textId="77777777" w:rsidR="00DE7E80" w:rsidRPr="007C2683" w:rsidRDefault="00E445CB" w:rsidP="00DE7E80">
      <w:pPr>
        <w:rPr>
          <w:i/>
        </w:rPr>
      </w:pPr>
      <w:r w:rsidRPr="007C2683">
        <w:rPr>
          <w:i/>
        </w:rPr>
        <w:t xml:space="preserve">Vector Biology, </w:t>
      </w:r>
      <w:r w:rsidR="00DE7E80" w:rsidRPr="007C2683">
        <w:rPr>
          <w:i/>
        </w:rPr>
        <w:t>Liverpool School of Tropical Medicine, Pembroke Place, Liverpool, L3 5QA, UK</w:t>
      </w:r>
    </w:p>
    <w:p w14:paraId="4A93EA45" w14:textId="77777777" w:rsidR="00DE7E80" w:rsidRPr="007C2683" w:rsidRDefault="00DE7E80" w:rsidP="00DE7E80">
      <w:r w:rsidRPr="007C2683">
        <w:t>Victoria A Ingham, Amalia Anthousi, Gareth Lycett, Marion Morris and Hilary Ranson</w:t>
      </w:r>
    </w:p>
    <w:p w14:paraId="278F4604" w14:textId="77777777" w:rsidR="007C4BFC" w:rsidRPr="007C2683" w:rsidRDefault="00DE7E80">
      <w:pPr>
        <w:rPr>
          <w:i/>
        </w:rPr>
      </w:pPr>
      <w:r w:rsidRPr="007C2683">
        <w:rPr>
          <w:i/>
        </w:rPr>
        <w:t xml:space="preserve">Foundation for Research and Technology - Hellas (FORTH), Institute of Molecular Biology and Biotechnology, Nikolaou </w:t>
      </w:r>
      <w:proofErr w:type="spellStart"/>
      <w:r w:rsidRPr="007C2683">
        <w:rPr>
          <w:i/>
        </w:rPr>
        <w:t>Plastira</w:t>
      </w:r>
      <w:proofErr w:type="spellEnd"/>
      <w:r w:rsidRPr="007C2683">
        <w:rPr>
          <w:i/>
        </w:rPr>
        <w:t xml:space="preserve"> 100, </w:t>
      </w:r>
      <w:proofErr w:type="spellStart"/>
      <w:r w:rsidRPr="007C2683">
        <w:rPr>
          <w:i/>
        </w:rPr>
        <w:t>Vassilika</w:t>
      </w:r>
      <w:proofErr w:type="spellEnd"/>
      <w:r w:rsidRPr="007C2683">
        <w:rPr>
          <w:i/>
        </w:rPr>
        <w:t xml:space="preserve"> </w:t>
      </w:r>
      <w:proofErr w:type="spellStart"/>
      <w:r w:rsidRPr="007C2683">
        <w:rPr>
          <w:i/>
        </w:rPr>
        <w:t>Vouton</w:t>
      </w:r>
      <w:proofErr w:type="spellEnd"/>
      <w:r w:rsidRPr="007C2683">
        <w:rPr>
          <w:i/>
        </w:rPr>
        <w:t>, GR - 700 13 Heraklion, Crete, Greece</w:t>
      </w:r>
    </w:p>
    <w:p w14:paraId="3E7DBEFA" w14:textId="77777777" w:rsidR="00DE7E80" w:rsidRPr="007C2683" w:rsidRDefault="00DE7E80">
      <w:r w:rsidRPr="007C2683">
        <w:t>Vassilis Douris and John Vontas</w:t>
      </w:r>
    </w:p>
    <w:p w14:paraId="79144725" w14:textId="77777777" w:rsidR="00BC5164" w:rsidRPr="007C2683" w:rsidRDefault="00D6348A">
      <w:pPr>
        <w:rPr>
          <w:i/>
        </w:rPr>
      </w:pPr>
      <w:r w:rsidRPr="007C2683">
        <w:rPr>
          <w:i/>
        </w:rPr>
        <w:t>Pesticide Science Laboratory, Department of Crop Science, Agricultural University of Athens, 11855 Athens, Greece</w:t>
      </w:r>
    </w:p>
    <w:p w14:paraId="19FA5DD7" w14:textId="77777777" w:rsidR="00D6348A" w:rsidRPr="007C2683" w:rsidRDefault="00D6348A">
      <w:r w:rsidRPr="007C2683">
        <w:t>John Vontas</w:t>
      </w:r>
    </w:p>
    <w:p w14:paraId="34EEBD46" w14:textId="77777777" w:rsidR="00DE7E80" w:rsidRPr="007C2683" w:rsidRDefault="00DE7E80" w:rsidP="00DE7E80">
      <w:pPr>
        <w:rPr>
          <w:i/>
        </w:rPr>
      </w:pPr>
      <w:r w:rsidRPr="007C2683">
        <w:rPr>
          <w:i/>
        </w:rPr>
        <w:t>The Big Data Institute, University of Oxford, Old Road Campus, Oxford, OX37LF</w:t>
      </w:r>
    </w:p>
    <w:p w14:paraId="3CA5522E" w14:textId="5F509ED3" w:rsidR="007C4BFC" w:rsidRDefault="00DE7E80">
      <w:r w:rsidRPr="007C2683">
        <w:t>Nicholas J Harding</w:t>
      </w:r>
    </w:p>
    <w:sectPr w:rsidR="007C4BFC" w:rsidSect="0079287D">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7029" w14:textId="77777777" w:rsidR="00E364FC" w:rsidRDefault="00E364FC" w:rsidP="00CA054C">
      <w:pPr>
        <w:spacing w:after="0" w:line="240" w:lineRule="auto"/>
      </w:pPr>
      <w:r>
        <w:separator/>
      </w:r>
    </w:p>
  </w:endnote>
  <w:endnote w:type="continuationSeparator" w:id="0">
    <w:p w14:paraId="2A462042" w14:textId="77777777" w:rsidR="00E364FC" w:rsidRDefault="00E364FC" w:rsidP="00CA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dvOT1ef757c0">
    <w:altName w:val="Cambria"/>
    <w:panose1 w:val="00000000000000000000"/>
    <w:charset w:val="00"/>
    <w:family w:val="roman"/>
    <w:notTrueType/>
    <w:pitch w:val="default"/>
    <w:sig w:usb0="00000003" w:usb1="00000000" w:usb2="00000000" w:usb3="00000000" w:csb0="00000001" w:csb1="00000000"/>
  </w:font>
  <w:font w:name="AdvOT1ef757c0+fb">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872059"/>
      <w:docPartObj>
        <w:docPartGallery w:val="Page Numbers (Bottom of Page)"/>
        <w:docPartUnique/>
      </w:docPartObj>
    </w:sdtPr>
    <w:sdtEndPr>
      <w:rPr>
        <w:noProof/>
      </w:rPr>
    </w:sdtEndPr>
    <w:sdtContent>
      <w:p w14:paraId="3C0A5744" w14:textId="0EC8667D" w:rsidR="00DC6C66" w:rsidRDefault="00DC6C6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F54BC56" w14:textId="77777777" w:rsidR="00DC6C66" w:rsidRDefault="00DC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70FD" w14:textId="77777777" w:rsidR="00E364FC" w:rsidRDefault="00E364FC" w:rsidP="00CA054C">
      <w:pPr>
        <w:spacing w:after="0" w:line="240" w:lineRule="auto"/>
      </w:pPr>
      <w:r>
        <w:separator/>
      </w:r>
    </w:p>
  </w:footnote>
  <w:footnote w:type="continuationSeparator" w:id="0">
    <w:p w14:paraId="4BD0E137" w14:textId="77777777" w:rsidR="00E364FC" w:rsidRDefault="00E364FC" w:rsidP="00CA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9F"/>
    <w:rsid w:val="000007E2"/>
    <w:rsid w:val="00003007"/>
    <w:rsid w:val="000031C8"/>
    <w:rsid w:val="0001224F"/>
    <w:rsid w:val="00013998"/>
    <w:rsid w:val="0001784D"/>
    <w:rsid w:val="00020CB7"/>
    <w:rsid w:val="000217CA"/>
    <w:rsid w:val="0002354B"/>
    <w:rsid w:val="00024A32"/>
    <w:rsid w:val="00027D21"/>
    <w:rsid w:val="000306F1"/>
    <w:rsid w:val="000412BA"/>
    <w:rsid w:val="00054320"/>
    <w:rsid w:val="0006029C"/>
    <w:rsid w:val="00062554"/>
    <w:rsid w:val="00063587"/>
    <w:rsid w:val="00071A3B"/>
    <w:rsid w:val="000738C9"/>
    <w:rsid w:val="000740C0"/>
    <w:rsid w:val="00076374"/>
    <w:rsid w:val="00077527"/>
    <w:rsid w:val="000809C1"/>
    <w:rsid w:val="00081119"/>
    <w:rsid w:val="000863FF"/>
    <w:rsid w:val="000869DF"/>
    <w:rsid w:val="000927F9"/>
    <w:rsid w:val="0009676D"/>
    <w:rsid w:val="00097F8C"/>
    <w:rsid w:val="000A09F9"/>
    <w:rsid w:val="000A6F54"/>
    <w:rsid w:val="000B0BF1"/>
    <w:rsid w:val="000B5654"/>
    <w:rsid w:val="000B70D8"/>
    <w:rsid w:val="000D0B6F"/>
    <w:rsid w:val="000D2AFB"/>
    <w:rsid w:val="000D3D84"/>
    <w:rsid w:val="000D65CD"/>
    <w:rsid w:val="000E1B48"/>
    <w:rsid w:val="000E331E"/>
    <w:rsid w:val="000E5D1B"/>
    <w:rsid w:val="000E7CC6"/>
    <w:rsid w:val="001005D5"/>
    <w:rsid w:val="00101EFF"/>
    <w:rsid w:val="00102C68"/>
    <w:rsid w:val="0010355A"/>
    <w:rsid w:val="00111AAF"/>
    <w:rsid w:val="00115984"/>
    <w:rsid w:val="00122C84"/>
    <w:rsid w:val="0013398B"/>
    <w:rsid w:val="00134B93"/>
    <w:rsid w:val="00135CD7"/>
    <w:rsid w:val="00142B4A"/>
    <w:rsid w:val="00144228"/>
    <w:rsid w:val="00155E5C"/>
    <w:rsid w:val="001678A0"/>
    <w:rsid w:val="00167B2B"/>
    <w:rsid w:val="00167C45"/>
    <w:rsid w:val="00185FC2"/>
    <w:rsid w:val="0019420D"/>
    <w:rsid w:val="001974B5"/>
    <w:rsid w:val="001A7432"/>
    <w:rsid w:val="001A7B4E"/>
    <w:rsid w:val="001B1C1B"/>
    <w:rsid w:val="001B209B"/>
    <w:rsid w:val="001B5234"/>
    <w:rsid w:val="001B6305"/>
    <w:rsid w:val="001C0F21"/>
    <w:rsid w:val="001D40CE"/>
    <w:rsid w:val="001D439D"/>
    <w:rsid w:val="001D44ED"/>
    <w:rsid w:val="001E00DA"/>
    <w:rsid w:val="001F28A7"/>
    <w:rsid w:val="0020271A"/>
    <w:rsid w:val="00207C15"/>
    <w:rsid w:val="00214CF8"/>
    <w:rsid w:val="00217676"/>
    <w:rsid w:val="002212A2"/>
    <w:rsid w:val="00222882"/>
    <w:rsid w:val="00222DB9"/>
    <w:rsid w:val="0022514D"/>
    <w:rsid w:val="00226E57"/>
    <w:rsid w:val="002271D8"/>
    <w:rsid w:val="002302DC"/>
    <w:rsid w:val="00235C47"/>
    <w:rsid w:val="0024457C"/>
    <w:rsid w:val="002461ED"/>
    <w:rsid w:val="00246CE1"/>
    <w:rsid w:val="002546DD"/>
    <w:rsid w:val="00262757"/>
    <w:rsid w:val="0026575F"/>
    <w:rsid w:val="002A1008"/>
    <w:rsid w:val="002B5FA9"/>
    <w:rsid w:val="002B61B8"/>
    <w:rsid w:val="002B6631"/>
    <w:rsid w:val="002B79CA"/>
    <w:rsid w:val="002C38A3"/>
    <w:rsid w:val="002C3B29"/>
    <w:rsid w:val="002D0A4B"/>
    <w:rsid w:val="002D122D"/>
    <w:rsid w:val="002E3344"/>
    <w:rsid w:val="002E6EEA"/>
    <w:rsid w:val="002F09BE"/>
    <w:rsid w:val="002F1C73"/>
    <w:rsid w:val="002F46E3"/>
    <w:rsid w:val="003072FA"/>
    <w:rsid w:val="00311522"/>
    <w:rsid w:val="00311BF7"/>
    <w:rsid w:val="00315C64"/>
    <w:rsid w:val="00317460"/>
    <w:rsid w:val="00320069"/>
    <w:rsid w:val="0032598B"/>
    <w:rsid w:val="00326736"/>
    <w:rsid w:val="00327B3D"/>
    <w:rsid w:val="00331EC4"/>
    <w:rsid w:val="003347AB"/>
    <w:rsid w:val="00335875"/>
    <w:rsid w:val="00337B7B"/>
    <w:rsid w:val="00340644"/>
    <w:rsid w:val="003458D8"/>
    <w:rsid w:val="0035082D"/>
    <w:rsid w:val="003527DF"/>
    <w:rsid w:val="00352CC8"/>
    <w:rsid w:val="00355605"/>
    <w:rsid w:val="00356D10"/>
    <w:rsid w:val="003615B3"/>
    <w:rsid w:val="0036196F"/>
    <w:rsid w:val="00362F94"/>
    <w:rsid w:val="00365608"/>
    <w:rsid w:val="003656D8"/>
    <w:rsid w:val="003765A6"/>
    <w:rsid w:val="003861E3"/>
    <w:rsid w:val="00393859"/>
    <w:rsid w:val="00394378"/>
    <w:rsid w:val="003A6898"/>
    <w:rsid w:val="003A6BEE"/>
    <w:rsid w:val="003B168F"/>
    <w:rsid w:val="003C166A"/>
    <w:rsid w:val="003C19FF"/>
    <w:rsid w:val="003C1E95"/>
    <w:rsid w:val="003D0324"/>
    <w:rsid w:val="003D4C89"/>
    <w:rsid w:val="003D5749"/>
    <w:rsid w:val="003E1BCB"/>
    <w:rsid w:val="003E21B2"/>
    <w:rsid w:val="003E59DA"/>
    <w:rsid w:val="003E69FD"/>
    <w:rsid w:val="003F1A81"/>
    <w:rsid w:val="00401540"/>
    <w:rsid w:val="004122C2"/>
    <w:rsid w:val="00412A48"/>
    <w:rsid w:val="00414CB6"/>
    <w:rsid w:val="004162E4"/>
    <w:rsid w:val="00422A83"/>
    <w:rsid w:val="00423EFA"/>
    <w:rsid w:val="00424B1F"/>
    <w:rsid w:val="004313EF"/>
    <w:rsid w:val="0044443D"/>
    <w:rsid w:val="00444BC2"/>
    <w:rsid w:val="004459A6"/>
    <w:rsid w:val="00450FC9"/>
    <w:rsid w:val="004527E9"/>
    <w:rsid w:val="00460229"/>
    <w:rsid w:val="004642CC"/>
    <w:rsid w:val="0047485B"/>
    <w:rsid w:val="00477833"/>
    <w:rsid w:val="00480951"/>
    <w:rsid w:val="0048133F"/>
    <w:rsid w:val="00484A54"/>
    <w:rsid w:val="004900E7"/>
    <w:rsid w:val="0049142B"/>
    <w:rsid w:val="004A0B0C"/>
    <w:rsid w:val="004A113F"/>
    <w:rsid w:val="004A5844"/>
    <w:rsid w:val="004B2BB7"/>
    <w:rsid w:val="004B390D"/>
    <w:rsid w:val="004B470F"/>
    <w:rsid w:val="004C0927"/>
    <w:rsid w:val="004C17FE"/>
    <w:rsid w:val="004C1FAF"/>
    <w:rsid w:val="004D0A2A"/>
    <w:rsid w:val="004D15C6"/>
    <w:rsid w:val="004E1718"/>
    <w:rsid w:val="004F0465"/>
    <w:rsid w:val="004F1367"/>
    <w:rsid w:val="004F1EB1"/>
    <w:rsid w:val="004F2A07"/>
    <w:rsid w:val="004F3DD1"/>
    <w:rsid w:val="0050123E"/>
    <w:rsid w:val="00501B94"/>
    <w:rsid w:val="00507E20"/>
    <w:rsid w:val="0052122E"/>
    <w:rsid w:val="00521FDB"/>
    <w:rsid w:val="00522C15"/>
    <w:rsid w:val="00522E2C"/>
    <w:rsid w:val="00524F5F"/>
    <w:rsid w:val="00526A05"/>
    <w:rsid w:val="00534525"/>
    <w:rsid w:val="0053481F"/>
    <w:rsid w:val="005469C1"/>
    <w:rsid w:val="00550927"/>
    <w:rsid w:val="005517AA"/>
    <w:rsid w:val="0055744C"/>
    <w:rsid w:val="00557B8A"/>
    <w:rsid w:val="00560B37"/>
    <w:rsid w:val="005628C4"/>
    <w:rsid w:val="005643D7"/>
    <w:rsid w:val="00572384"/>
    <w:rsid w:val="005803BC"/>
    <w:rsid w:val="00584689"/>
    <w:rsid w:val="005858BD"/>
    <w:rsid w:val="00586A0B"/>
    <w:rsid w:val="0059575B"/>
    <w:rsid w:val="00596439"/>
    <w:rsid w:val="005965A0"/>
    <w:rsid w:val="005A127D"/>
    <w:rsid w:val="005A2193"/>
    <w:rsid w:val="005B18ED"/>
    <w:rsid w:val="005B38DB"/>
    <w:rsid w:val="005C2488"/>
    <w:rsid w:val="005C3D68"/>
    <w:rsid w:val="005D14CD"/>
    <w:rsid w:val="005D21AA"/>
    <w:rsid w:val="005D2721"/>
    <w:rsid w:val="005E5627"/>
    <w:rsid w:val="005F3F9F"/>
    <w:rsid w:val="005F432D"/>
    <w:rsid w:val="0060014A"/>
    <w:rsid w:val="006026C0"/>
    <w:rsid w:val="00603F4E"/>
    <w:rsid w:val="00605B3E"/>
    <w:rsid w:val="006066BA"/>
    <w:rsid w:val="00606ADD"/>
    <w:rsid w:val="006072F9"/>
    <w:rsid w:val="00611209"/>
    <w:rsid w:val="00614476"/>
    <w:rsid w:val="00622310"/>
    <w:rsid w:val="00622602"/>
    <w:rsid w:val="00623E4D"/>
    <w:rsid w:val="00624A54"/>
    <w:rsid w:val="00627CCD"/>
    <w:rsid w:val="00631FCC"/>
    <w:rsid w:val="00634748"/>
    <w:rsid w:val="006400A6"/>
    <w:rsid w:val="0064448D"/>
    <w:rsid w:val="00654686"/>
    <w:rsid w:val="006636B3"/>
    <w:rsid w:val="00677497"/>
    <w:rsid w:val="00680B74"/>
    <w:rsid w:val="0068282C"/>
    <w:rsid w:val="00683B04"/>
    <w:rsid w:val="00685CC9"/>
    <w:rsid w:val="0068758F"/>
    <w:rsid w:val="0068783B"/>
    <w:rsid w:val="006922AF"/>
    <w:rsid w:val="006A6962"/>
    <w:rsid w:val="006B00CB"/>
    <w:rsid w:val="006B2049"/>
    <w:rsid w:val="006B30A5"/>
    <w:rsid w:val="006B3FAA"/>
    <w:rsid w:val="006B7709"/>
    <w:rsid w:val="006C2530"/>
    <w:rsid w:val="006C675E"/>
    <w:rsid w:val="006D416D"/>
    <w:rsid w:val="006D5DF9"/>
    <w:rsid w:val="006E0F3E"/>
    <w:rsid w:val="006E15E9"/>
    <w:rsid w:val="006E4F5F"/>
    <w:rsid w:val="006E6A8C"/>
    <w:rsid w:val="006F16E8"/>
    <w:rsid w:val="006F3E34"/>
    <w:rsid w:val="006F58D4"/>
    <w:rsid w:val="006F6173"/>
    <w:rsid w:val="006F6D14"/>
    <w:rsid w:val="00700517"/>
    <w:rsid w:val="00702D10"/>
    <w:rsid w:val="007173FE"/>
    <w:rsid w:val="00737374"/>
    <w:rsid w:val="0073793C"/>
    <w:rsid w:val="00746F51"/>
    <w:rsid w:val="00752A17"/>
    <w:rsid w:val="00753F06"/>
    <w:rsid w:val="0075401A"/>
    <w:rsid w:val="007567DC"/>
    <w:rsid w:val="00762938"/>
    <w:rsid w:val="007629CE"/>
    <w:rsid w:val="0076303A"/>
    <w:rsid w:val="007666AF"/>
    <w:rsid w:val="00766AB9"/>
    <w:rsid w:val="00767043"/>
    <w:rsid w:val="00770222"/>
    <w:rsid w:val="00770E2F"/>
    <w:rsid w:val="00772046"/>
    <w:rsid w:val="007772C4"/>
    <w:rsid w:val="0078712F"/>
    <w:rsid w:val="00787662"/>
    <w:rsid w:val="00791972"/>
    <w:rsid w:val="00791CE6"/>
    <w:rsid w:val="0079287D"/>
    <w:rsid w:val="00796B63"/>
    <w:rsid w:val="007A0848"/>
    <w:rsid w:val="007A67E1"/>
    <w:rsid w:val="007B2F16"/>
    <w:rsid w:val="007C22B8"/>
    <w:rsid w:val="007C2683"/>
    <w:rsid w:val="007C2F90"/>
    <w:rsid w:val="007C4BFC"/>
    <w:rsid w:val="007C71C1"/>
    <w:rsid w:val="007C7E1E"/>
    <w:rsid w:val="007D025D"/>
    <w:rsid w:val="007D7451"/>
    <w:rsid w:val="007E778E"/>
    <w:rsid w:val="007F1A8B"/>
    <w:rsid w:val="007F2A78"/>
    <w:rsid w:val="007F3151"/>
    <w:rsid w:val="007F4C44"/>
    <w:rsid w:val="007F6087"/>
    <w:rsid w:val="00804174"/>
    <w:rsid w:val="00804BDC"/>
    <w:rsid w:val="00810F46"/>
    <w:rsid w:val="00810F8B"/>
    <w:rsid w:val="00812D6E"/>
    <w:rsid w:val="00812DF7"/>
    <w:rsid w:val="00821164"/>
    <w:rsid w:val="00821AB0"/>
    <w:rsid w:val="00826B18"/>
    <w:rsid w:val="0083154C"/>
    <w:rsid w:val="0083338E"/>
    <w:rsid w:val="00840347"/>
    <w:rsid w:val="00841457"/>
    <w:rsid w:val="00841DE4"/>
    <w:rsid w:val="00843899"/>
    <w:rsid w:val="00843A6E"/>
    <w:rsid w:val="00846063"/>
    <w:rsid w:val="0085048F"/>
    <w:rsid w:val="0085117C"/>
    <w:rsid w:val="008516E3"/>
    <w:rsid w:val="00852CD4"/>
    <w:rsid w:val="008568E7"/>
    <w:rsid w:val="00857012"/>
    <w:rsid w:val="008615F0"/>
    <w:rsid w:val="00864EBF"/>
    <w:rsid w:val="00873444"/>
    <w:rsid w:val="00873F65"/>
    <w:rsid w:val="0088465E"/>
    <w:rsid w:val="0088511A"/>
    <w:rsid w:val="00887155"/>
    <w:rsid w:val="00892C17"/>
    <w:rsid w:val="008955A3"/>
    <w:rsid w:val="0089748B"/>
    <w:rsid w:val="008A1B87"/>
    <w:rsid w:val="008A5598"/>
    <w:rsid w:val="008A6D84"/>
    <w:rsid w:val="008B12A0"/>
    <w:rsid w:val="008B236F"/>
    <w:rsid w:val="008C2C7A"/>
    <w:rsid w:val="008C4320"/>
    <w:rsid w:val="008C47C1"/>
    <w:rsid w:val="008D1989"/>
    <w:rsid w:val="008D2C40"/>
    <w:rsid w:val="008D508C"/>
    <w:rsid w:val="008D5A19"/>
    <w:rsid w:val="008E6835"/>
    <w:rsid w:val="008E6C2C"/>
    <w:rsid w:val="009004AB"/>
    <w:rsid w:val="00906733"/>
    <w:rsid w:val="00927568"/>
    <w:rsid w:val="00937FB5"/>
    <w:rsid w:val="009439ED"/>
    <w:rsid w:val="00945BC6"/>
    <w:rsid w:val="009517B1"/>
    <w:rsid w:val="00960DA4"/>
    <w:rsid w:val="00962773"/>
    <w:rsid w:val="009634B0"/>
    <w:rsid w:val="00974620"/>
    <w:rsid w:val="009810D1"/>
    <w:rsid w:val="0098701F"/>
    <w:rsid w:val="009A024B"/>
    <w:rsid w:val="009A4AAA"/>
    <w:rsid w:val="009A5383"/>
    <w:rsid w:val="009A5BF4"/>
    <w:rsid w:val="009A5D1F"/>
    <w:rsid w:val="009A600F"/>
    <w:rsid w:val="009B1710"/>
    <w:rsid w:val="009B378D"/>
    <w:rsid w:val="009B6F8D"/>
    <w:rsid w:val="009B7E1B"/>
    <w:rsid w:val="009C1C09"/>
    <w:rsid w:val="009D095D"/>
    <w:rsid w:val="009E2094"/>
    <w:rsid w:val="009E2708"/>
    <w:rsid w:val="009E3FFD"/>
    <w:rsid w:val="009F600D"/>
    <w:rsid w:val="009F6385"/>
    <w:rsid w:val="009F7C5B"/>
    <w:rsid w:val="00A0650F"/>
    <w:rsid w:val="00A07C1F"/>
    <w:rsid w:val="00A12045"/>
    <w:rsid w:val="00A239BA"/>
    <w:rsid w:val="00A24EBE"/>
    <w:rsid w:val="00A24FAB"/>
    <w:rsid w:val="00A26A29"/>
    <w:rsid w:val="00A37D22"/>
    <w:rsid w:val="00A4589A"/>
    <w:rsid w:val="00A57E85"/>
    <w:rsid w:val="00A61F44"/>
    <w:rsid w:val="00A6283B"/>
    <w:rsid w:val="00A70E51"/>
    <w:rsid w:val="00A7313E"/>
    <w:rsid w:val="00A8071A"/>
    <w:rsid w:val="00A80D97"/>
    <w:rsid w:val="00A820FB"/>
    <w:rsid w:val="00A82134"/>
    <w:rsid w:val="00A8348C"/>
    <w:rsid w:val="00A86307"/>
    <w:rsid w:val="00A879F3"/>
    <w:rsid w:val="00A87D97"/>
    <w:rsid w:val="00A90014"/>
    <w:rsid w:val="00A93B2A"/>
    <w:rsid w:val="00A9500F"/>
    <w:rsid w:val="00A96005"/>
    <w:rsid w:val="00A9656A"/>
    <w:rsid w:val="00AA53BB"/>
    <w:rsid w:val="00AA69F1"/>
    <w:rsid w:val="00AA6F18"/>
    <w:rsid w:val="00AB04A8"/>
    <w:rsid w:val="00AB0BDC"/>
    <w:rsid w:val="00AB1379"/>
    <w:rsid w:val="00AB2322"/>
    <w:rsid w:val="00AB56EE"/>
    <w:rsid w:val="00AB728A"/>
    <w:rsid w:val="00AB7775"/>
    <w:rsid w:val="00AD2C0A"/>
    <w:rsid w:val="00AE19E6"/>
    <w:rsid w:val="00AE31C3"/>
    <w:rsid w:val="00AF2CD4"/>
    <w:rsid w:val="00B04729"/>
    <w:rsid w:val="00B04821"/>
    <w:rsid w:val="00B11C6E"/>
    <w:rsid w:val="00B13F23"/>
    <w:rsid w:val="00B141FE"/>
    <w:rsid w:val="00B15CC9"/>
    <w:rsid w:val="00B163BF"/>
    <w:rsid w:val="00B17152"/>
    <w:rsid w:val="00B2168E"/>
    <w:rsid w:val="00B23121"/>
    <w:rsid w:val="00B25490"/>
    <w:rsid w:val="00B26F8A"/>
    <w:rsid w:val="00B30FEA"/>
    <w:rsid w:val="00B31D8D"/>
    <w:rsid w:val="00B32A31"/>
    <w:rsid w:val="00B3374E"/>
    <w:rsid w:val="00B3393D"/>
    <w:rsid w:val="00B41E44"/>
    <w:rsid w:val="00B56779"/>
    <w:rsid w:val="00B708F4"/>
    <w:rsid w:val="00B76D3A"/>
    <w:rsid w:val="00B91CE9"/>
    <w:rsid w:val="00B97953"/>
    <w:rsid w:val="00B97B72"/>
    <w:rsid w:val="00BA31C4"/>
    <w:rsid w:val="00BB3080"/>
    <w:rsid w:val="00BB4EB9"/>
    <w:rsid w:val="00BB6557"/>
    <w:rsid w:val="00BC16F9"/>
    <w:rsid w:val="00BC3ABB"/>
    <w:rsid w:val="00BC5164"/>
    <w:rsid w:val="00BC7A58"/>
    <w:rsid w:val="00BD68D1"/>
    <w:rsid w:val="00BE14AD"/>
    <w:rsid w:val="00BF60DF"/>
    <w:rsid w:val="00BF6A01"/>
    <w:rsid w:val="00C00C81"/>
    <w:rsid w:val="00C02775"/>
    <w:rsid w:val="00C114B0"/>
    <w:rsid w:val="00C238E2"/>
    <w:rsid w:val="00C26622"/>
    <w:rsid w:val="00C34149"/>
    <w:rsid w:val="00C34819"/>
    <w:rsid w:val="00C42B7A"/>
    <w:rsid w:val="00C43C67"/>
    <w:rsid w:val="00C54473"/>
    <w:rsid w:val="00C55CBC"/>
    <w:rsid w:val="00C567EB"/>
    <w:rsid w:val="00C64A09"/>
    <w:rsid w:val="00C653AF"/>
    <w:rsid w:val="00C72DE5"/>
    <w:rsid w:val="00C73392"/>
    <w:rsid w:val="00C7758E"/>
    <w:rsid w:val="00C80B20"/>
    <w:rsid w:val="00C83C68"/>
    <w:rsid w:val="00C84434"/>
    <w:rsid w:val="00C86A77"/>
    <w:rsid w:val="00C95E94"/>
    <w:rsid w:val="00CA054C"/>
    <w:rsid w:val="00CA5B08"/>
    <w:rsid w:val="00CC2A09"/>
    <w:rsid w:val="00CC4AAB"/>
    <w:rsid w:val="00CC5DFD"/>
    <w:rsid w:val="00CD02F2"/>
    <w:rsid w:val="00CE6B98"/>
    <w:rsid w:val="00CF2F34"/>
    <w:rsid w:val="00CF46BB"/>
    <w:rsid w:val="00D061F3"/>
    <w:rsid w:val="00D07975"/>
    <w:rsid w:val="00D10D32"/>
    <w:rsid w:val="00D138E4"/>
    <w:rsid w:val="00D15359"/>
    <w:rsid w:val="00D235E3"/>
    <w:rsid w:val="00D250B1"/>
    <w:rsid w:val="00D34807"/>
    <w:rsid w:val="00D3678F"/>
    <w:rsid w:val="00D4110E"/>
    <w:rsid w:val="00D468FB"/>
    <w:rsid w:val="00D537FB"/>
    <w:rsid w:val="00D5590F"/>
    <w:rsid w:val="00D57B74"/>
    <w:rsid w:val="00D60D9D"/>
    <w:rsid w:val="00D6348A"/>
    <w:rsid w:val="00D65331"/>
    <w:rsid w:val="00D761CF"/>
    <w:rsid w:val="00D7799C"/>
    <w:rsid w:val="00D80D09"/>
    <w:rsid w:val="00D81F12"/>
    <w:rsid w:val="00D85E0A"/>
    <w:rsid w:val="00D92EC7"/>
    <w:rsid w:val="00D9414D"/>
    <w:rsid w:val="00D955AD"/>
    <w:rsid w:val="00DA2587"/>
    <w:rsid w:val="00DA6BA6"/>
    <w:rsid w:val="00DB6C7D"/>
    <w:rsid w:val="00DC0655"/>
    <w:rsid w:val="00DC3021"/>
    <w:rsid w:val="00DC36BC"/>
    <w:rsid w:val="00DC3FA8"/>
    <w:rsid w:val="00DC6C66"/>
    <w:rsid w:val="00DD185E"/>
    <w:rsid w:val="00DD3CD2"/>
    <w:rsid w:val="00DD5076"/>
    <w:rsid w:val="00DE13F2"/>
    <w:rsid w:val="00DE1B12"/>
    <w:rsid w:val="00DE20CA"/>
    <w:rsid w:val="00DE287B"/>
    <w:rsid w:val="00DE7E80"/>
    <w:rsid w:val="00DF3051"/>
    <w:rsid w:val="00DF3D46"/>
    <w:rsid w:val="00DF6493"/>
    <w:rsid w:val="00E01107"/>
    <w:rsid w:val="00E02056"/>
    <w:rsid w:val="00E05322"/>
    <w:rsid w:val="00E1012C"/>
    <w:rsid w:val="00E11316"/>
    <w:rsid w:val="00E127CF"/>
    <w:rsid w:val="00E20537"/>
    <w:rsid w:val="00E364FC"/>
    <w:rsid w:val="00E4218F"/>
    <w:rsid w:val="00E445CB"/>
    <w:rsid w:val="00E44C04"/>
    <w:rsid w:val="00E452E5"/>
    <w:rsid w:val="00E519D0"/>
    <w:rsid w:val="00E61B41"/>
    <w:rsid w:val="00E64057"/>
    <w:rsid w:val="00E67661"/>
    <w:rsid w:val="00E679D1"/>
    <w:rsid w:val="00E67EA4"/>
    <w:rsid w:val="00E71631"/>
    <w:rsid w:val="00E741B9"/>
    <w:rsid w:val="00E75DF5"/>
    <w:rsid w:val="00E760AC"/>
    <w:rsid w:val="00E772F4"/>
    <w:rsid w:val="00E868DA"/>
    <w:rsid w:val="00E877D7"/>
    <w:rsid w:val="00E913F7"/>
    <w:rsid w:val="00E93390"/>
    <w:rsid w:val="00E975DA"/>
    <w:rsid w:val="00EA4258"/>
    <w:rsid w:val="00EA6287"/>
    <w:rsid w:val="00EB0975"/>
    <w:rsid w:val="00EB0B61"/>
    <w:rsid w:val="00EC2B59"/>
    <w:rsid w:val="00EC34EB"/>
    <w:rsid w:val="00EC7296"/>
    <w:rsid w:val="00EC77B2"/>
    <w:rsid w:val="00ED564A"/>
    <w:rsid w:val="00EE247C"/>
    <w:rsid w:val="00EF371F"/>
    <w:rsid w:val="00EF4CE7"/>
    <w:rsid w:val="00F01AA3"/>
    <w:rsid w:val="00F050AC"/>
    <w:rsid w:val="00F05FF7"/>
    <w:rsid w:val="00F12473"/>
    <w:rsid w:val="00F2014A"/>
    <w:rsid w:val="00F217F7"/>
    <w:rsid w:val="00F30C9F"/>
    <w:rsid w:val="00F4722D"/>
    <w:rsid w:val="00F518F3"/>
    <w:rsid w:val="00F52C72"/>
    <w:rsid w:val="00F53E46"/>
    <w:rsid w:val="00F55D60"/>
    <w:rsid w:val="00F56610"/>
    <w:rsid w:val="00F5667F"/>
    <w:rsid w:val="00F57A04"/>
    <w:rsid w:val="00F62524"/>
    <w:rsid w:val="00F66F8E"/>
    <w:rsid w:val="00F67FED"/>
    <w:rsid w:val="00F726C9"/>
    <w:rsid w:val="00F875FB"/>
    <w:rsid w:val="00F87E6A"/>
    <w:rsid w:val="00F90AE8"/>
    <w:rsid w:val="00F90D72"/>
    <w:rsid w:val="00F92AF8"/>
    <w:rsid w:val="00F935C6"/>
    <w:rsid w:val="00F97302"/>
    <w:rsid w:val="00FA4508"/>
    <w:rsid w:val="00FA6C29"/>
    <w:rsid w:val="00FB1CBA"/>
    <w:rsid w:val="00FC296D"/>
    <w:rsid w:val="00FC2DEC"/>
    <w:rsid w:val="00FC2FC7"/>
    <w:rsid w:val="00FD05D3"/>
    <w:rsid w:val="00FD07AC"/>
    <w:rsid w:val="00FD72E0"/>
    <w:rsid w:val="00FE1605"/>
    <w:rsid w:val="00FE3454"/>
    <w:rsid w:val="00FE3E4D"/>
    <w:rsid w:val="00FF1A51"/>
    <w:rsid w:val="00FF7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198C6A"/>
  <w15:docId w15:val="{76BF4211-968E-498D-B7B6-C14B4B94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C9F"/>
  </w:style>
  <w:style w:type="paragraph" w:styleId="Heading1">
    <w:name w:val="heading 1"/>
    <w:basedOn w:val="Normal"/>
    <w:link w:val="Heading1Char"/>
    <w:uiPriority w:val="9"/>
    <w:qFormat/>
    <w:rsid w:val="00BF6A01"/>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0C9F"/>
    <w:rPr>
      <w:sz w:val="18"/>
      <w:szCs w:val="18"/>
    </w:rPr>
  </w:style>
  <w:style w:type="paragraph" w:styleId="CommentText">
    <w:name w:val="annotation text"/>
    <w:basedOn w:val="Normal"/>
    <w:link w:val="CommentTextChar"/>
    <w:uiPriority w:val="99"/>
    <w:unhideWhenUsed/>
    <w:rsid w:val="00F30C9F"/>
    <w:pPr>
      <w:spacing w:line="240" w:lineRule="auto"/>
    </w:pPr>
    <w:rPr>
      <w:sz w:val="24"/>
      <w:szCs w:val="24"/>
    </w:rPr>
  </w:style>
  <w:style w:type="character" w:customStyle="1" w:styleId="CommentTextChar">
    <w:name w:val="Comment Text Char"/>
    <w:basedOn w:val="DefaultParagraphFont"/>
    <w:link w:val="CommentText"/>
    <w:uiPriority w:val="99"/>
    <w:rsid w:val="00F30C9F"/>
    <w:rPr>
      <w:sz w:val="24"/>
      <w:szCs w:val="24"/>
    </w:rPr>
  </w:style>
  <w:style w:type="paragraph" w:styleId="BalloonText">
    <w:name w:val="Balloon Text"/>
    <w:basedOn w:val="Normal"/>
    <w:link w:val="BalloonTextChar"/>
    <w:uiPriority w:val="99"/>
    <w:semiHidden/>
    <w:unhideWhenUsed/>
    <w:rsid w:val="00F3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9F"/>
    <w:rPr>
      <w:rFonts w:ascii="Segoe UI" w:hAnsi="Segoe UI" w:cs="Segoe UI"/>
      <w:sz w:val="18"/>
      <w:szCs w:val="18"/>
    </w:rPr>
  </w:style>
  <w:style w:type="character" w:styleId="Hyperlink">
    <w:name w:val="Hyperlink"/>
    <w:basedOn w:val="DefaultParagraphFont"/>
    <w:uiPriority w:val="99"/>
    <w:unhideWhenUsed/>
    <w:rsid w:val="002F1C7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81F12"/>
    <w:rPr>
      <w:b/>
      <w:bCs/>
      <w:sz w:val="20"/>
      <w:szCs w:val="20"/>
    </w:rPr>
  </w:style>
  <w:style w:type="character" w:customStyle="1" w:styleId="CommentSubjectChar">
    <w:name w:val="Comment Subject Char"/>
    <w:basedOn w:val="CommentTextChar"/>
    <w:link w:val="CommentSubject"/>
    <w:uiPriority w:val="99"/>
    <w:semiHidden/>
    <w:rsid w:val="00D81F12"/>
    <w:rPr>
      <w:b/>
      <w:bCs/>
      <w:sz w:val="20"/>
      <w:szCs w:val="20"/>
    </w:rPr>
  </w:style>
  <w:style w:type="paragraph" w:styleId="Revision">
    <w:name w:val="Revision"/>
    <w:hidden/>
    <w:uiPriority w:val="99"/>
    <w:semiHidden/>
    <w:rsid w:val="00D81F12"/>
    <w:pPr>
      <w:spacing w:after="0" w:line="240" w:lineRule="auto"/>
    </w:pPr>
  </w:style>
  <w:style w:type="character" w:customStyle="1" w:styleId="UnresolvedMention1">
    <w:name w:val="Unresolved Mention1"/>
    <w:basedOn w:val="DefaultParagraphFont"/>
    <w:uiPriority w:val="99"/>
    <w:semiHidden/>
    <w:unhideWhenUsed/>
    <w:rsid w:val="007173FE"/>
    <w:rPr>
      <w:color w:val="605E5C"/>
      <w:shd w:val="clear" w:color="auto" w:fill="E1DFDD"/>
    </w:rPr>
  </w:style>
  <w:style w:type="paragraph" w:styleId="PlainText">
    <w:name w:val="Plain Text"/>
    <w:basedOn w:val="Normal"/>
    <w:link w:val="PlainTextChar"/>
    <w:uiPriority w:val="99"/>
    <w:unhideWhenUsed/>
    <w:rsid w:val="00D634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348A"/>
    <w:rPr>
      <w:rFonts w:ascii="Calibri" w:hAnsi="Calibri"/>
      <w:szCs w:val="21"/>
    </w:rPr>
  </w:style>
  <w:style w:type="character" w:customStyle="1" w:styleId="Heading1Char">
    <w:name w:val="Heading 1 Char"/>
    <w:basedOn w:val="DefaultParagraphFont"/>
    <w:link w:val="Heading1"/>
    <w:uiPriority w:val="9"/>
    <w:rsid w:val="00BF6A01"/>
    <w:rPr>
      <w:rFonts w:ascii="Times" w:hAnsi="Times"/>
      <w:b/>
      <w:bCs/>
      <w:kern w:val="36"/>
      <w:sz w:val="48"/>
      <w:szCs w:val="48"/>
    </w:rPr>
  </w:style>
  <w:style w:type="character" w:customStyle="1" w:styleId="highlight">
    <w:name w:val="highlight"/>
    <w:basedOn w:val="DefaultParagraphFont"/>
    <w:rsid w:val="00BF6A01"/>
  </w:style>
  <w:style w:type="character" w:customStyle="1" w:styleId="UnresolvedMention2">
    <w:name w:val="Unresolved Mention2"/>
    <w:basedOn w:val="DefaultParagraphFont"/>
    <w:uiPriority w:val="99"/>
    <w:semiHidden/>
    <w:unhideWhenUsed/>
    <w:rsid w:val="00F66F8E"/>
    <w:rPr>
      <w:color w:val="605E5C"/>
      <w:shd w:val="clear" w:color="auto" w:fill="E1DFDD"/>
    </w:rPr>
  </w:style>
  <w:style w:type="paragraph" w:customStyle="1" w:styleId="Default">
    <w:name w:val="Default"/>
    <w:rsid w:val="00D411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A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54C"/>
  </w:style>
  <w:style w:type="paragraph" w:styleId="Footer">
    <w:name w:val="footer"/>
    <w:basedOn w:val="Normal"/>
    <w:link w:val="FooterChar"/>
    <w:uiPriority w:val="99"/>
    <w:unhideWhenUsed/>
    <w:rsid w:val="00CA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54C"/>
  </w:style>
  <w:style w:type="character" w:styleId="LineNumber">
    <w:name w:val="line number"/>
    <w:basedOn w:val="DefaultParagraphFont"/>
    <w:uiPriority w:val="99"/>
    <w:semiHidden/>
    <w:unhideWhenUsed/>
    <w:rsid w:val="0079287D"/>
  </w:style>
  <w:style w:type="character" w:styleId="UnresolvedMention">
    <w:name w:val="Unresolved Mention"/>
    <w:basedOn w:val="DefaultParagraphFont"/>
    <w:uiPriority w:val="99"/>
    <w:semiHidden/>
    <w:unhideWhenUsed/>
    <w:rsid w:val="00E67EA4"/>
    <w:rPr>
      <w:color w:val="605E5C"/>
      <w:shd w:val="clear" w:color="auto" w:fill="E1DFDD"/>
    </w:rPr>
  </w:style>
  <w:style w:type="character" w:customStyle="1" w:styleId="apple-converted-space">
    <w:name w:val="apple-converted-space"/>
    <w:basedOn w:val="DefaultParagraphFont"/>
    <w:rsid w:val="0041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265">
      <w:bodyDiv w:val="1"/>
      <w:marLeft w:val="0"/>
      <w:marRight w:val="0"/>
      <w:marTop w:val="0"/>
      <w:marBottom w:val="0"/>
      <w:divBdr>
        <w:top w:val="none" w:sz="0" w:space="0" w:color="auto"/>
        <w:left w:val="none" w:sz="0" w:space="0" w:color="auto"/>
        <w:bottom w:val="none" w:sz="0" w:space="0" w:color="auto"/>
        <w:right w:val="none" w:sz="0" w:space="0" w:color="auto"/>
      </w:divBdr>
    </w:div>
    <w:div w:id="20740781">
      <w:bodyDiv w:val="1"/>
      <w:marLeft w:val="0"/>
      <w:marRight w:val="0"/>
      <w:marTop w:val="0"/>
      <w:marBottom w:val="0"/>
      <w:divBdr>
        <w:top w:val="none" w:sz="0" w:space="0" w:color="auto"/>
        <w:left w:val="none" w:sz="0" w:space="0" w:color="auto"/>
        <w:bottom w:val="none" w:sz="0" w:space="0" w:color="auto"/>
        <w:right w:val="none" w:sz="0" w:space="0" w:color="auto"/>
      </w:divBdr>
    </w:div>
    <w:div w:id="885068900">
      <w:bodyDiv w:val="1"/>
      <w:marLeft w:val="0"/>
      <w:marRight w:val="0"/>
      <w:marTop w:val="0"/>
      <w:marBottom w:val="0"/>
      <w:divBdr>
        <w:top w:val="none" w:sz="0" w:space="0" w:color="auto"/>
        <w:left w:val="none" w:sz="0" w:space="0" w:color="auto"/>
        <w:bottom w:val="none" w:sz="0" w:space="0" w:color="auto"/>
        <w:right w:val="none" w:sz="0" w:space="0" w:color="auto"/>
      </w:divBdr>
    </w:div>
    <w:div w:id="934173298">
      <w:bodyDiv w:val="1"/>
      <w:marLeft w:val="0"/>
      <w:marRight w:val="0"/>
      <w:marTop w:val="0"/>
      <w:marBottom w:val="0"/>
      <w:divBdr>
        <w:top w:val="none" w:sz="0" w:space="0" w:color="auto"/>
        <w:left w:val="none" w:sz="0" w:space="0" w:color="auto"/>
        <w:bottom w:val="none" w:sz="0" w:space="0" w:color="auto"/>
        <w:right w:val="none" w:sz="0" w:space="0" w:color="auto"/>
      </w:divBdr>
    </w:div>
    <w:div w:id="1070738989">
      <w:bodyDiv w:val="1"/>
      <w:marLeft w:val="0"/>
      <w:marRight w:val="0"/>
      <w:marTop w:val="0"/>
      <w:marBottom w:val="0"/>
      <w:divBdr>
        <w:top w:val="none" w:sz="0" w:space="0" w:color="auto"/>
        <w:left w:val="none" w:sz="0" w:space="0" w:color="auto"/>
        <w:bottom w:val="none" w:sz="0" w:space="0" w:color="auto"/>
        <w:right w:val="none" w:sz="0" w:space="0" w:color="auto"/>
      </w:divBdr>
    </w:div>
    <w:div w:id="1200363388">
      <w:bodyDiv w:val="1"/>
      <w:marLeft w:val="0"/>
      <w:marRight w:val="0"/>
      <w:marTop w:val="0"/>
      <w:marBottom w:val="0"/>
      <w:divBdr>
        <w:top w:val="none" w:sz="0" w:space="0" w:color="auto"/>
        <w:left w:val="none" w:sz="0" w:space="0" w:color="auto"/>
        <w:bottom w:val="none" w:sz="0" w:space="0" w:color="auto"/>
        <w:right w:val="none" w:sz="0" w:space="0" w:color="auto"/>
      </w:divBdr>
    </w:div>
    <w:div w:id="1598103015">
      <w:bodyDiv w:val="1"/>
      <w:marLeft w:val="0"/>
      <w:marRight w:val="0"/>
      <w:marTop w:val="0"/>
      <w:marBottom w:val="0"/>
      <w:divBdr>
        <w:top w:val="none" w:sz="0" w:space="0" w:color="auto"/>
        <w:left w:val="none" w:sz="0" w:space="0" w:color="auto"/>
        <w:bottom w:val="none" w:sz="0" w:space="0" w:color="auto"/>
        <w:right w:val="none" w:sz="0" w:space="0" w:color="auto"/>
      </w:divBdr>
    </w:div>
    <w:div w:id="1751610966">
      <w:bodyDiv w:val="1"/>
      <w:marLeft w:val="0"/>
      <w:marRight w:val="0"/>
      <w:marTop w:val="0"/>
      <w:marBottom w:val="0"/>
      <w:divBdr>
        <w:top w:val="none" w:sz="0" w:space="0" w:color="auto"/>
        <w:left w:val="none" w:sz="0" w:space="0" w:color="auto"/>
        <w:bottom w:val="none" w:sz="0" w:space="0" w:color="auto"/>
        <w:right w:val="none" w:sz="0" w:space="0" w:color="auto"/>
      </w:divBdr>
    </w:div>
    <w:div w:id="20377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pad.com" TargetMode="External"/><Relationship Id="rId13" Type="http://schemas.openxmlformats.org/officeDocument/2006/relationships/hyperlink" Target="http://www.nature.com/repri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phpad.com" TargetMode="External"/><Relationship Id="rId12" Type="http://schemas.openxmlformats.org/officeDocument/2006/relationships/hyperlink" Target="https://www.ebi.ac.uk/Tools/msa/clustal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aphpad.com" TargetMode="External"/><Relationship Id="rId5" Type="http://schemas.openxmlformats.org/officeDocument/2006/relationships/footnotes" Target="footnotes.xml"/><Relationship Id="rId15" Type="http://schemas.openxmlformats.org/officeDocument/2006/relationships/hyperlink" Target="mailto:victoria.ingham@lstmed.ac.uk" TargetMode="External"/><Relationship Id="rId10" Type="http://schemas.openxmlformats.org/officeDocument/2006/relationships/hyperlink" Target="https://benchling.com" TargetMode="External"/><Relationship Id="rId4" Type="http://schemas.openxmlformats.org/officeDocument/2006/relationships/webSettings" Target="webSettings.xml"/><Relationship Id="rId9" Type="http://schemas.openxmlformats.org/officeDocument/2006/relationships/hyperlink" Target="https://www.lstmed.ac.uk/projects/ir-tex" TargetMode="External"/><Relationship Id="rId14" Type="http://schemas.openxmlformats.org/officeDocument/2006/relationships/hyperlink" Target="mailto:hilary.ranson@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309D-CD9C-4EDB-869D-39746DAB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30957</Words>
  <Characters>176456</Characters>
  <Application>Microsoft Office Word</Application>
  <DocSecurity>4</DocSecurity>
  <Lines>1470</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Ingham</dc:creator>
  <cp:keywords/>
  <dc:description/>
  <cp:lastModifiedBy>Hilary Ranson</cp:lastModifiedBy>
  <cp:revision>2</cp:revision>
  <dcterms:created xsi:type="dcterms:W3CDTF">2019-11-11T14:13:00Z</dcterms:created>
  <dcterms:modified xsi:type="dcterms:W3CDTF">2019-11-11T14:13:00Z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http://www.zotero.org/styles/journal-of-visualized-experiments</vt:lpwstr>
  </property>
  <property fmtid="{D5CDD505-2E9C-101B-9397-08002B2CF9AE}" pid="15" name="Mendeley Recent Style Name 6_1">
    <vt:lpwstr>Journal of Visualized Experiments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bab60188-7b57-3c9e-8b26-843735ec89aa</vt:lpwstr>
  </property>
  <property fmtid="{D5CDD505-2E9C-101B-9397-08002B2CF9AE}" pid="24" name="Mendeley Citation Style_1">
    <vt:lpwstr>http://www.zotero.org/styles/nature</vt:lpwstr>
  </property>
</Properties>
</file>