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F34D8" w14:textId="77777777" w:rsidR="00B656F6" w:rsidRPr="00755F09" w:rsidRDefault="00B656F6" w:rsidP="00B656F6">
      <w:pPr>
        <w:rPr>
          <w:rFonts w:ascii="Calibri" w:hAnsi="Calibri" w:cs="Calibri"/>
          <w:b/>
        </w:rPr>
      </w:pPr>
      <w:r>
        <w:rPr>
          <w:rFonts w:ascii="Calibri" w:hAnsi="Calibri" w:cs="Calibri"/>
          <w:b/>
        </w:rPr>
        <w:t>Current situation and p</w:t>
      </w:r>
      <w:r w:rsidRPr="00755F09">
        <w:rPr>
          <w:rFonts w:ascii="Calibri" w:hAnsi="Calibri" w:cs="Calibri"/>
          <w:b/>
        </w:rPr>
        <w:t xml:space="preserve">rogress toward the </w:t>
      </w:r>
      <w:r>
        <w:rPr>
          <w:rFonts w:ascii="Calibri" w:hAnsi="Calibri" w:cs="Calibri"/>
          <w:b/>
        </w:rPr>
        <w:t>2030 h</w:t>
      </w:r>
      <w:r w:rsidRPr="00755F09">
        <w:rPr>
          <w:rFonts w:ascii="Calibri" w:hAnsi="Calibri" w:cs="Calibri"/>
          <w:b/>
        </w:rPr>
        <w:t>ealth-</w:t>
      </w:r>
      <w:r>
        <w:rPr>
          <w:rFonts w:ascii="Calibri" w:hAnsi="Calibri" w:cs="Calibri"/>
          <w:b/>
        </w:rPr>
        <w:t>r</w:t>
      </w:r>
      <w:r w:rsidRPr="00755F09">
        <w:rPr>
          <w:rFonts w:ascii="Calibri" w:hAnsi="Calibri" w:cs="Calibri"/>
          <w:b/>
        </w:rPr>
        <w:t xml:space="preserve">elated </w:t>
      </w:r>
      <w:r>
        <w:rPr>
          <w:rFonts w:ascii="Calibri" w:hAnsi="Calibri" w:cs="Calibri"/>
          <w:b/>
        </w:rPr>
        <w:t>S</w:t>
      </w:r>
      <w:r w:rsidRPr="00755F09">
        <w:rPr>
          <w:rFonts w:ascii="Calibri" w:hAnsi="Calibri" w:cs="Calibri"/>
          <w:b/>
        </w:rPr>
        <w:t xml:space="preserve">ustainable </w:t>
      </w:r>
      <w:r>
        <w:rPr>
          <w:rFonts w:ascii="Calibri" w:hAnsi="Calibri" w:cs="Calibri"/>
          <w:b/>
        </w:rPr>
        <w:t>D</w:t>
      </w:r>
      <w:r w:rsidRPr="00755F09">
        <w:rPr>
          <w:rFonts w:ascii="Calibri" w:hAnsi="Calibri" w:cs="Calibri"/>
          <w:b/>
        </w:rPr>
        <w:t xml:space="preserve">evelopment </w:t>
      </w:r>
      <w:r>
        <w:rPr>
          <w:rFonts w:ascii="Calibri" w:hAnsi="Calibri" w:cs="Calibri"/>
          <w:b/>
        </w:rPr>
        <w:t>G</w:t>
      </w:r>
      <w:r w:rsidRPr="00755F09">
        <w:rPr>
          <w:rFonts w:ascii="Calibri" w:hAnsi="Calibri" w:cs="Calibri"/>
          <w:b/>
        </w:rPr>
        <w:t xml:space="preserve">oals in China: A </w:t>
      </w:r>
      <w:r>
        <w:rPr>
          <w:rFonts w:ascii="Calibri" w:hAnsi="Calibri" w:cs="Calibri"/>
          <w:b/>
        </w:rPr>
        <w:t>s</w:t>
      </w:r>
      <w:r w:rsidRPr="00755F09">
        <w:rPr>
          <w:rFonts w:ascii="Calibri" w:hAnsi="Calibri" w:cs="Calibri"/>
          <w:b/>
        </w:rPr>
        <w:t xml:space="preserve">ystematic </w:t>
      </w:r>
      <w:r>
        <w:rPr>
          <w:rFonts w:ascii="Calibri" w:hAnsi="Calibri" w:cs="Calibri"/>
          <w:b/>
        </w:rPr>
        <w:t>a</w:t>
      </w:r>
      <w:r w:rsidRPr="00755F09">
        <w:rPr>
          <w:rFonts w:ascii="Calibri" w:hAnsi="Calibri" w:cs="Calibri"/>
          <w:b/>
        </w:rPr>
        <w:t>nalysis</w:t>
      </w:r>
    </w:p>
    <w:p w14:paraId="1FFB2347" w14:textId="77777777" w:rsidR="00B656F6" w:rsidRPr="00566686" w:rsidRDefault="00B656F6" w:rsidP="00B656F6">
      <w:pPr>
        <w:spacing w:line="276" w:lineRule="auto"/>
        <w:rPr>
          <w:rFonts w:ascii="Calibri" w:hAnsi="Calibri" w:cs="Calibri"/>
          <w:iCs/>
        </w:rPr>
      </w:pPr>
      <w:r w:rsidRPr="00566686">
        <w:rPr>
          <w:rFonts w:ascii="Calibri" w:hAnsi="Calibri" w:cs="Calibri"/>
          <w:iCs/>
        </w:rPr>
        <w:t>Shu Chen</w:t>
      </w:r>
      <w:r w:rsidRPr="00566686">
        <w:rPr>
          <w:rFonts w:ascii="Calibri" w:hAnsi="Calibri" w:cs="Calibri"/>
          <w:iCs/>
          <w:vertAlign w:val="superscript"/>
        </w:rPr>
        <w:t>1</w:t>
      </w:r>
      <w:r w:rsidRPr="00566686">
        <w:rPr>
          <w:rFonts w:ascii="Calibri" w:hAnsi="Calibri" w:cs="Calibri"/>
          <w:iCs/>
        </w:rPr>
        <w:t>, Lei Guo</w:t>
      </w:r>
      <w:r w:rsidRPr="00566686">
        <w:rPr>
          <w:rFonts w:ascii="Calibri" w:hAnsi="Calibri" w:cs="Calibri"/>
          <w:iCs/>
          <w:vertAlign w:val="superscript"/>
        </w:rPr>
        <w:t>1</w:t>
      </w:r>
      <w:r w:rsidRPr="00566686">
        <w:rPr>
          <w:rFonts w:ascii="Calibri" w:hAnsi="Calibri" w:cs="Calibri"/>
          <w:iCs/>
        </w:rPr>
        <w:t>, Zhan Wang</w:t>
      </w:r>
      <w:r w:rsidRPr="00566686">
        <w:rPr>
          <w:rFonts w:ascii="Calibri" w:hAnsi="Calibri" w:cs="Calibri"/>
          <w:iCs/>
          <w:vertAlign w:val="superscript"/>
        </w:rPr>
        <w:t>1</w:t>
      </w:r>
      <w:r w:rsidRPr="00566686">
        <w:rPr>
          <w:rFonts w:ascii="Calibri" w:hAnsi="Calibri" w:cs="Calibri"/>
          <w:iCs/>
        </w:rPr>
        <w:t>,</w:t>
      </w:r>
      <w:r w:rsidRPr="00566686">
        <w:rPr>
          <w:rFonts w:ascii="Calibri" w:hAnsi="Calibri" w:cs="Calibri"/>
          <w:iCs/>
          <w:vertAlign w:val="superscript"/>
        </w:rPr>
        <w:t xml:space="preserve"> </w:t>
      </w:r>
      <w:r w:rsidRPr="00566686">
        <w:rPr>
          <w:rFonts w:ascii="Calibri" w:hAnsi="Calibri" w:cs="Calibri"/>
          <w:iCs/>
        </w:rPr>
        <w:t>Wenhui Mao</w:t>
      </w:r>
      <w:r w:rsidRPr="00566686">
        <w:rPr>
          <w:rFonts w:ascii="Calibri" w:hAnsi="Calibri" w:cs="Calibri"/>
          <w:iCs/>
          <w:vertAlign w:val="superscript"/>
        </w:rPr>
        <w:t>2</w:t>
      </w:r>
      <w:r w:rsidRPr="00566686">
        <w:rPr>
          <w:rFonts w:ascii="Calibri" w:hAnsi="Calibri" w:cs="Calibri"/>
          <w:iCs/>
        </w:rPr>
        <w:t>, Yanfeng Ge</w:t>
      </w:r>
      <w:r w:rsidRPr="00566686">
        <w:rPr>
          <w:rFonts w:ascii="Calibri" w:hAnsi="Calibri" w:cs="Calibri"/>
          <w:iCs/>
          <w:vertAlign w:val="superscript"/>
        </w:rPr>
        <w:t>3</w:t>
      </w:r>
      <w:r w:rsidRPr="00566686">
        <w:rPr>
          <w:rFonts w:ascii="Calibri" w:hAnsi="Calibri" w:cs="Calibri"/>
          <w:iCs/>
        </w:rPr>
        <w:t>, Xiaohua Ying</w:t>
      </w:r>
      <w:r w:rsidRPr="00566686">
        <w:rPr>
          <w:rFonts w:ascii="Calibri" w:hAnsi="Calibri" w:cs="Calibri"/>
          <w:iCs/>
          <w:vertAlign w:val="superscript"/>
        </w:rPr>
        <w:t>4</w:t>
      </w:r>
      <w:r w:rsidRPr="00566686">
        <w:rPr>
          <w:rFonts w:ascii="Calibri" w:hAnsi="Calibri" w:cs="Calibri"/>
          <w:iCs/>
        </w:rPr>
        <w:t>, Jing Fang</w:t>
      </w:r>
      <w:r w:rsidRPr="00566686">
        <w:rPr>
          <w:rFonts w:ascii="Calibri" w:hAnsi="Calibri" w:cs="Calibri"/>
          <w:iCs/>
          <w:vertAlign w:val="superscript"/>
        </w:rPr>
        <w:t>5</w:t>
      </w:r>
      <w:r w:rsidRPr="00566686">
        <w:rPr>
          <w:rFonts w:ascii="Calibri" w:hAnsi="Calibri" w:cs="Calibri"/>
          <w:iCs/>
        </w:rPr>
        <w:t>,</w:t>
      </w:r>
      <w:r w:rsidRPr="00566686">
        <w:rPr>
          <w:rFonts w:ascii="Calibri" w:hAnsi="Calibri" w:cs="Calibri" w:hint="eastAsia"/>
          <w:iCs/>
        </w:rPr>
        <w:t xml:space="preserve"> </w:t>
      </w:r>
      <w:r w:rsidRPr="00566686">
        <w:rPr>
          <w:rFonts w:ascii="Calibri" w:hAnsi="Calibri" w:cs="Calibri"/>
          <w:iCs/>
        </w:rPr>
        <w:t>Qian Long</w:t>
      </w:r>
      <w:r w:rsidRPr="00566686">
        <w:rPr>
          <w:rFonts w:ascii="Calibri" w:hAnsi="Calibri" w:cs="Calibri"/>
          <w:iCs/>
          <w:vertAlign w:val="superscript"/>
        </w:rPr>
        <w:t>1</w:t>
      </w:r>
      <w:r w:rsidRPr="00566686">
        <w:rPr>
          <w:rFonts w:ascii="Calibri" w:hAnsi="Calibri" w:cs="Calibri"/>
          <w:iCs/>
        </w:rPr>
        <w:t>, Qin Liu</w:t>
      </w:r>
      <w:r w:rsidRPr="00566686">
        <w:rPr>
          <w:rFonts w:ascii="Calibri" w:hAnsi="Calibri" w:cs="Calibri"/>
          <w:iCs/>
          <w:vertAlign w:val="superscript"/>
        </w:rPr>
        <w:t>6</w:t>
      </w:r>
      <w:r w:rsidRPr="00566686">
        <w:rPr>
          <w:rFonts w:ascii="Calibri" w:hAnsi="Calibri" w:cs="Calibri"/>
          <w:iCs/>
        </w:rPr>
        <w:t>, Hao Xiang</w:t>
      </w:r>
      <w:r w:rsidRPr="00566686">
        <w:rPr>
          <w:rFonts w:ascii="Calibri" w:hAnsi="Calibri" w:cs="Calibri"/>
          <w:iCs/>
          <w:vertAlign w:val="superscript"/>
        </w:rPr>
        <w:t>7</w:t>
      </w:r>
      <w:r w:rsidRPr="00566686">
        <w:rPr>
          <w:rFonts w:ascii="Calibri" w:hAnsi="Calibri" w:cs="Calibri"/>
          <w:iCs/>
        </w:rPr>
        <w:t>, Chenkai Wu</w:t>
      </w:r>
      <w:r w:rsidRPr="00566686">
        <w:rPr>
          <w:rFonts w:ascii="Calibri" w:hAnsi="Calibri" w:cs="Calibri"/>
          <w:iCs/>
          <w:vertAlign w:val="superscript"/>
        </w:rPr>
        <w:t>1</w:t>
      </w:r>
      <w:r w:rsidRPr="00566686">
        <w:rPr>
          <w:rFonts w:ascii="Calibri" w:hAnsi="Calibri" w:cs="Calibri"/>
          <w:iCs/>
        </w:rPr>
        <w:t>, Chaowei Fu</w:t>
      </w:r>
      <w:r w:rsidRPr="00566686">
        <w:rPr>
          <w:rFonts w:ascii="Calibri" w:hAnsi="Calibri" w:cs="Calibri"/>
          <w:iCs/>
          <w:vertAlign w:val="superscript"/>
        </w:rPr>
        <w:t>4</w:t>
      </w:r>
      <w:r w:rsidRPr="00566686">
        <w:rPr>
          <w:rFonts w:ascii="Calibri" w:hAnsi="Calibri" w:cs="Calibri"/>
          <w:iCs/>
        </w:rPr>
        <w:t>, Di Dong</w:t>
      </w:r>
      <w:r w:rsidRPr="00566686">
        <w:rPr>
          <w:rFonts w:ascii="Calibri" w:hAnsi="Calibri" w:cs="Calibri"/>
          <w:iCs/>
          <w:vertAlign w:val="superscript"/>
        </w:rPr>
        <w:t>1</w:t>
      </w:r>
      <w:r w:rsidRPr="00566686">
        <w:rPr>
          <w:rFonts w:ascii="Calibri" w:hAnsi="Calibri" w:cs="Calibri" w:hint="eastAsia"/>
          <w:iCs/>
        </w:rPr>
        <w:t>,</w:t>
      </w:r>
      <w:r w:rsidRPr="00566686">
        <w:rPr>
          <w:rFonts w:ascii="Calibri" w:hAnsi="Calibri" w:cs="Calibri"/>
          <w:iCs/>
        </w:rPr>
        <w:t xml:space="preserve"> Jiahui Zhang</w:t>
      </w:r>
      <w:r w:rsidRPr="00566686">
        <w:rPr>
          <w:rFonts w:ascii="Calibri" w:hAnsi="Calibri" w:cs="Calibri"/>
          <w:iCs/>
          <w:vertAlign w:val="superscript"/>
        </w:rPr>
        <w:t>3</w:t>
      </w:r>
      <w:r w:rsidRPr="00566686">
        <w:rPr>
          <w:rFonts w:ascii="Calibri" w:hAnsi="Calibri" w:cs="Calibri"/>
          <w:iCs/>
        </w:rPr>
        <w:t>, Ju Sun</w:t>
      </w:r>
      <w:r w:rsidRPr="00566686">
        <w:rPr>
          <w:rFonts w:ascii="Calibri" w:hAnsi="Calibri" w:cs="Calibri"/>
          <w:iCs/>
          <w:vertAlign w:val="superscript"/>
        </w:rPr>
        <w:t>8</w:t>
      </w:r>
      <w:r w:rsidRPr="00566686">
        <w:rPr>
          <w:rFonts w:ascii="Calibri" w:hAnsi="Calibri" w:cs="Calibri"/>
          <w:iCs/>
        </w:rPr>
        <w:t>, Lichun Tian</w:t>
      </w:r>
      <w:r w:rsidRPr="00566686">
        <w:rPr>
          <w:rFonts w:ascii="Calibri" w:hAnsi="Calibri" w:cs="Calibri"/>
          <w:iCs/>
          <w:vertAlign w:val="superscript"/>
        </w:rPr>
        <w:t>9</w:t>
      </w:r>
      <w:r w:rsidRPr="00566686">
        <w:rPr>
          <w:rFonts w:ascii="Calibri" w:hAnsi="Calibri" w:cs="Calibri"/>
          <w:iCs/>
        </w:rPr>
        <w:t>, Limin Wang</w:t>
      </w:r>
      <w:r w:rsidRPr="00566686">
        <w:rPr>
          <w:rFonts w:ascii="Calibri" w:hAnsi="Calibri" w:cs="Calibri"/>
          <w:iCs/>
          <w:vertAlign w:val="superscript"/>
        </w:rPr>
        <w:t>10</w:t>
      </w:r>
      <w:r w:rsidRPr="00566686">
        <w:rPr>
          <w:rFonts w:ascii="Calibri" w:hAnsi="Calibri" w:cs="Calibri"/>
          <w:iCs/>
        </w:rPr>
        <w:t>, Maigeng Zhou</w:t>
      </w:r>
      <w:r w:rsidRPr="00566686">
        <w:rPr>
          <w:rFonts w:ascii="Calibri" w:hAnsi="Calibri" w:cs="Calibri"/>
          <w:iCs/>
          <w:vertAlign w:val="superscript"/>
        </w:rPr>
        <w:t>10</w:t>
      </w:r>
      <w:r w:rsidRPr="00566686">
        <w:rPr>
          <w:rFonts w:ascii="Calibri" w:hAnsi="Calibri" w:cs="Calibri"/>
          <w:iCs/>
        </w:rPr>
        <w:t>, Mei Zhang</w:t>
      </w:r>
      <w:r w:rsidRPr="00566686">
        <w:rPr>
          <w:rFonts w:ascii="Calibri" w:hAnsi="Calibri" w:cs="Calibri"/>
          <w:iCs/>
          <w:vertAlign w:val="superscript"/>
        </w:rPr>
        <w:t>10</w:t>
      </w:r>
      <w:r w:rsidRPr="00566686">
        <w:rPr>
          <w:rFonts w:ascii="Calibri" w:hAnsi="Calibri" w:cs="Calibri"/>
          <w:iCs/>
        </w:rPr>
        <w:t>, Mengcen Qian</w:t>
      </w:r>
      <w:r w:rsidRPr="00566686">
        <w:rPr>
          <w:rFonts w:ascii="Calibri" w:hAnsi="Calibri" w:cs="Calibri"/>
          <w:iCs/>
          <w:vertAlign w:val="superscript"/>
        </w:rPr>
        <w:t>4</w:t>
      </w:r>
      <w:r w:rsidRPr="00566686">
        <w:rPr>
          <w:rFonts w:ascii="Calibri" w:hAnsi="Calibri" w:cs="Calibri"/>
          <w:iCs/>
        </w:rPr>
        <w:t>, Wei Liu</w:t>
      </w:r>
      <w:r w:rsidRPr="00566686">
        <w:rPr>
          <w:rFonts w:ascii="Calibri" w:hAnsi="Calibri" w:cs="Calibri"/>
          <w:iCs/>
          <w:vertAlign w:val="superscript"/>
        </w:rPr>
        <w:t>9</w:t>
      </w:r>
      <w:r w:rsidRPr="00566686">
        <w:rPr>
          <w:rFonts w:ascii="Calibri" w:hAnsi="Calibri" w:cs="Calibri"/>
          <w:iCs/>
        </w:rPr>
        <w:t>, Weixi Jiang</w:t>
      </w:r>
      <w:r w:rsidRPr="00566686">
        <w:rPr>
          <w:rFonts w:ascii="Calibri" w:hAnsi="Calibri" w:cs="Calibri"/>
          <w:iCs/>
          <w:vertAlign w:val="superscript"/>
        </w:rPr>
        <w:t>1</w:t>
      </w:r>
      <w:r w:rsidRPr="00566686">
        <w:rPr>
          <w:rFonts w:ascii="Calibri" w:hAnsi="Calibri" w:cs="Calibri"/>
          <w:iCs/>
        </w:rPr>
        <w:t>, Wenmeng Feng</w:t>
      </w:r>
      <w:r w:rsidRPr="00566686">
        <w:rPr>
          <w:rFonts w:ascii="Calibri" w:hAnsi="Calibri" w:cs="Calibri"/>
          <w:iCs/>
          <w:vertAlign w:val="superscript"/>
        </w:rPr>
        <w:t>3</w:t>
      </w:r>
      <w:r w:rsidRPr="00566686">
        <w:rPr>
          <w:rFonts w:ascii="Calibri" w:hAnsi="Calibri" w:cs="Calibri"/>
          <w:iCs/>
        </w:rPr>
        <w:t>, Xinying Zeng</w:t>
      </w:r>
      <w:r w:rsidRPr="00566686">
        <w:rPr>
          <w:rFonts w:ascii="Calibri" w:hAnsi="Calibri" w:cs="Calibri"/>
          <w:iCs/>
          <w:vertAlign w:val="superscript"/>
        </w:rPr>
        <w:t>10</w:t>
      </w:r>
      <w:r w:rsidRPr="00566686">
        <w:rPr>
          <w:rFonts w:ascii="Calibri" w:hAnsi="Calibri" w:cs="Calibri"/>
          <w:iCs/>
        </w:rPr>
        <w:t>, Xiyu Ding</w:t>
      </w:r>
      <w:r w:rsidRPr="00566686">
        <w:rPr>
          <w:rFonts w:ascii="Calibri" w:hAnsi="Calibri" w:cs="Calibri"/>
          <w:iCs/>
          <w:vertAlign w:val="superscript"/>
        </w:rPr>
        <w:t>1</w:t>
      </w:r>
      <w:r w:rsidRPr="00566686">
        <w:rPr>
          <w:rFonts w:ascii="Calibri" w:hAnsi="Calibri" w:cs="Calibri"/>
          <w:iCs/>
        </w:rPr>
        <w:t>, Xun Lei</w:t>
      </w:r>
      <w:r w:rsidRPr="00566686">
        <w:rPr>
          <w:rFonts w:ascii="Calibri" w:hAnsi="Calibri" w:cs="Calibri"/>
          <w:iCs/>
          <w:vertAlign w:val="superscript"/>
        </w:rPr>
        <w:t>6</w:t>
      </w:r>
      <w:r w:rsidRPr="00566686">
        <w:rPr>
          <w:rFonts w:ascii="Calibri" w:hAnsi="Calibri" w:cs="Calibri"/>
          <w:iCs/>
        </w:rPr>
        <w:t>, Rachel Tolhurst</w:t>
      </w:r>
      <w:r w:rsidRPr="00566686">
        <w:rPr>
          <w:rFonts w:ascii="Calibri" w:hAnsi="Calibri" w:cs="Calibri"/>
          <w:iCs/>
          <w:vertAlign w:val="superscript"/>
        </w:rPr>
        <w:t>11</w:t>
      </w:r>
      <w:r w:rsidRPr="00566686">
        <w:rPr>
          <w:rFonts w:ascii="Calibri" w:hAnsi="Calibri" w:cs="Calibri"/>
          <w:iCs/>
        </w:rPr>
        <w:t>, Ling Xu</w:t>
      </w:r>
      <w:r w:rsidRPr="00566686">
        <w:rPr>
          <w:rFonts w:ascii="Calibri" w:hAnsi="Calibri" w:cs="Calibri"/>
          <w:iCs/>
          <w:vertAlign w:val="superscript"/>
        </w:rPr>
        <w:t>12</w:t>
      </w:r>
      <w:r w:rsidRPr="00566686">
        <w:rPr>
          <w:rFonts w:ascii="Calibri" w:hAnsi="Calibri" w:cs="Calibri"/>
          <w:iCs/>
        </w:rPr>
        <w:t>, Haidong Wang</w:t>
      </w:r>
      <w:r w:rsidRPr="00566686">
        <w:rPr>
          <w:rFonts w:ascii="Calibri" w:hAnsi="Calibri" w:cs="Calibri"/>
          <w:iCs/>
          <w:vertAlign w:val="superscript"/>
        </w:rPr>
        <w:t>13</w:t>
      </w:r>
      <w:r w:rsidRPr="00566686">
        <w:rPr>
          <w:rFonts w:ascii="Calibri" w:hAnsi="Calibri" w:cs="Calibri"/>
          <w:iCs/>
        </w:rPr>
        <w:t>, Faye Ziegeweid</w:t>
      </w:r>
      <w:r w:rsidRPr="00566686">
        <w:rPr>
          <w:rFonts w:ascii="Calibri" w:hAnsi="Calibri" w:cs="Calibri"/>
          <w:iCs/>
          <w:vertAlign w:val="superscript"/>
        </w:rPr>
        <w:t>13</w:t>
      </w:r>
      <w:r w:rsidRPr="00566686">
        <w:rPr>
          <w:rFonts w:ascii="Calibri" w:hAnsi="Calibri" w:cs="Calibri"/>
          <w:iCs/>
        </w:rPr>
        <w:t>, Scott Glenn</w:t>
      </w:r>
      <w:r w:rsidRPr="00566686">
        <w:rPr>
          <w:rFonts w:ascii="Calibri" w:hAnsi="Calibri" w:cs="Calibri"/>
          <w:iCs/>
          <w:vertAlign w:val="superscript"/>
        </w:rPr>
        <w:t>13</w:t>
      </w:r>
      <w:r w:rsidRPr="00566686">
        <w:rPr>
          <w:rFonts w:ascii="Calibri" w:hAnsi="Calibri" w:cs="Calibri"/>
          <w:iCs/>
        </w:rPr>
        <w:t>, John S. Ji</w:t>
      </w:r>
      <w:r w:rsidRPr="00566686">
        <w:rPr>
          <w:rFonts w:ascii="Calibri" w:hAnsi="Calibri" w:cs="Calibri"/>
          <w:iCs/>
          <w:vertAlign w:val="superscript"/>
        </w:rPr>
        <w:t>14</w:t>
      </w:r>
      <w:r w:rsidRPr="00566686">
        <w:rPr>
          <w:rFonts w:ascii="Calibri" w:hAnsi="Calibri" w:cs="Calibri"/>
          <w:iCs/>
        </w:rPr>
        <w:t>, Mary Story</w:t>
      </w:r>
      <w:r w:rsidRPr="00566686">
        <w:rPr>
          <w:rFonts w:ascii="Calibri" w:hAnsi="Calibri" w:cs="Calibri"/>
          <w:iCs/>
          <w:vertAlign w:val="superscript"/>
        </w:rPr>
        <w:t>2</w:t>
      </w:r>
      <w:r w:rsidRPr="00566686">
        <w:rPr>
          <w:rFonts w:ascii="Calibri" w:hAnsi="Calibri" w:cs="Calibri"/>
          <w:iCs/>
        </w:rPr>
        <w:t>, Gavin Yamey</w:t>
      </w:r>
      <w:r w:rsidRPr="00566686">
        <w:rPr>
          <w:rFonts w:ascii="Calibri" w:hAnsi="Calibri" w:cs="Calibri"/>
          <w:iCs/>
          <w:vertAlign w:val="superscript"/>
        </w:rPr>
        <w:t>2</w:t>
      </w:r>
      <w:r w:rsidRPr="00566686">
        <w:rPr>
          <w:rFonts w:ascii="Calibri" w:hAnsi="Calibri" w:cs="Calibri"/>
          <w:iCs/>
        </w:rPr>
        <w:t>, Shenglan Tang</w:t>
      </w:r>
      <w:r w:rsidRPr="00566686">
        <w:rPr>
          <w:rFonts w:ascii="Calibri" w:hAnsi="Calibri" w:cs="Calibri"/>
          <w:iCs/>
          <w:vertAlign w:val="superscript"/>
        </w:rPr>
        <w:t>2</w:t>
      </w:r>
      <w:r w:rsidRPr="00566686">
        <w:rPr>
          <w:rFonts w:ascii="Calibri" w:hAnsi="Calibri" w:cs="Calibri"/>
          <w:iCs/>
        </w:rPr>
        <w:t>*</w:t>
      </w:r>
    </w:p>
    <w:p w14:paraId="00852859" w14:textId="77777777" w:rsidR="00B656F6" w:rsidRPr="00566686" w:rsidRDefault="00B656F6" w:rsidP="00B656F6">
      <w:pPr>
        <w:spacing w:line="360" w:lineRule="auto"/>
        <w:rPr>
          <w:rFonts w:ascii="Calibri" w:hAnsi="Calibri" w:cs="Calibri"/>
          <w:i/>
        </w:rPr>
      </w:pPr>
    </w:p>
    <w:p w14:paraId="0F6991BC" w14:textId="77777777" w:rsidR="00B656F6" w:rsidRPr="00566686" w:rsidRDefault="00B656F6" w:rsidP="00B656F6">
      <w:pPr>
        <w:spacing w:line="276" w:lineRule="auto"/>
        <w:rPr>
          <w:rFonts w:ascii="Calibri" w:hAnsi="Calibri" w:cs="Calibri"/>
        </w:rPr>
      </w:pPr>
      <w:r w:rsidRPr="00566686">
        <w:rPr>
          <w:rFonts w:ascii="Calibri" w:hAnsi="Calibri" w:cs="Calibri" w:hint="eastAsia"/>
        </w:rPr>
        <w:t>1</w:t>
      </w:r>
      <w:r w:rsidRPr="00566686">
        <w:rPr>
          <w:rFonts w:ascii="Calibri" w:hAnsi="Calibri" w:cs="Calibri"/>
        </w:rPr>
        <w:t xml:space="preserve"> Global Health Research Center, Duke Kunshan University, Kunshan, Jiangsu, China</w:t>
      </w:r>
      <w:r>
        <w:rPr>
          <w:rFonts w:ascii="Calibri" w:hAnsi="Calibri" w:cs="Calibri"/>
        </w:rPr>
        <w:t>,</w:t>
      </w:r>
      <w:r w:rsidRPr="00566686">
        <w:rPr>
          <w:rFonts w:ascii="Calibri" w:hAnsi="Calibri" w:cs="Calibri"/>
        </w:rPr>
        <w:br/>
      </w:r>
      <w:r w:rsidRPr="00566686">
        <w:rPr>
          <w:rFonts w:ascii="Calibri" w:hAnsi="Calibri" w:cs="Calibri" w:hint="eastAsia"/>
        </w:rPr>
        <w:t>2</w:t>
      </w:r>
      <w:r w:rsidRPr="00566686">
        <w:rPr>
          <w:rFonts w:ascii="Calibri" w:hAnsi="Calibri" w:cs="Calibri"/>
        </w:rPr>
        <w:t xml:space="preserve"> Duke Global Health Institute, Duke University, Durham, N</w:t>
      </w:r>
      <w:r>
        <w:rPr>
          <w:rFonts w:ascii="Calibri" w:hAnsi="Calibri" w:cs="Calibri"/>
        </w:rPr>
        <w:t>orth Carolina</w:t>
      </w:r>
      <w:r w:rsidRPr="00566686">
        <w:rPr>
          <w:rFonts w:ascii="Calibri" w:hAnsi="Calibri" w:cs="Calibri"/>
        </w:rPr>
        <w:t>, U</w:t>
      </w:r>
      <w:r>
        <w:rPr>
          <w:rFonts w:ascii="Calibri" w:hAnsi="Calibri" w:cs="Calibri"/>
        </w:rPr>
        <w:t>nited States of America,</w:t>
      </w:r>
    </w:p>
    <w:p w14:paraId="6008A400" w14:textId="77777777" w:rsidR="00B656F6" w:rsidRPr="00566686" w:rsidRDefault="00B656F6" w:rsidP="00B656F6">
      <w:pPr>
        <w:spacing w:line="276" w:lineRule="auto"/>
        <w:rPr>
          <w:rFonts w:ascii="Calibri" w:hAnsi="Calibri" w:cs="Calibri"/>
        </w:rPr>
      </w:pPr>
      <w:r w:rsidRPr="00566686">
        <w:rPr>
          <w:rFonts w:ascii="Calibri" w:hAnsi="Calibri" w:cs="Calibri" w:hint="eastAsia"/>
        </w:rPr>
        <w:t>3</w:t>
      </w:r>
      <w:r w:rsidRPr="00566686">
        <w:rPr>
          <w:rFonts w:ascii="Calibri" w:hAnsi="Calibri" w:cs="Calibri"/>
        </w:rPr>
        <w:t xml:space="preserve"> Research Department of Social Development, Development Research Center, State Council of People's Republic China, Beijing, China</w:t>
      </w:r>
      <w:r>
        <w:rPr>
          <w:rFonts w:ascii="Calibri" w:hAnsi="Calibri" w:cs="Calibri"/>
        </w:rPr>
        <w:t>,</w:t>
      </w:r>
    </w:p>
    <w:p w14:paraId="46887D03" w14:textId="77777777" w:rsidR="00B656F6" w:rsidRPr="00566686" w:rsidRDefault="00B656F6" w:rsidP="00B656F6">
      <w:pPr>
        <w:spacing w:line="276" w:lineRule="auto"/>
        <w:rPr>
          <w:rFonts w:ascii="Calibri" w:hAnsi="Calibri" w:cs="Calibri"/>
        </w:rPr>
      </w:pPr>
      <w:r w:rsidRPr="00566686">
        <w:rPr>
          <w:rFonts w:ascii="Calibri" w:hAnsi="Calibri" w:cs="Calibri" w:hint="eastAsia"/>
        </w:rPr>
        <w:t>4</w:t>
      </w:r>
      <w:r w:rsidRPr="00566686">
        <w:rPr>
          <w:rFonts w:ascii="Calibri" w:hAnsi="Calibri" w:cs="Calibri"/>
        </w:rPr>
        <w:t xml:space="preserve"> School of Public Health, Fudan University, Shanghai, China</w:t>
      </w:r>
      <w:r>
        <w:rPr>
          <w:rFonts w:ascii="Calibri" w:hAnsi="Calibri" w:cs="Calibri"/>
        </w:rPr>
        <w:t>,</w:t>
      </w:r>
    </w:p>
    <w:p w14:paraId="7D30B88C" w14:textId="77777777" w:rsidR="00B656F6" w:rsidRPr="00566686" w:rsidRDefault="00B656F6" w:rsidP="00B656F6">
      <w:pPr>
        <w:spacing w:line="276" w:lineRule="auto"/>
        <w:rPr>
          <w:rFonts w:ascii="Calibri" w:hAnsi="Calibri" w:cs="Calibri"/>
        </w:rPr>
      </w:pPr>
      <w:r w:rsidRPr="00566686">
        <w:rPr>
          <w:rFonts w:ascii="Calibri" w:hAnsi="Calibri" w:cs="Calibri" w:hint="eastAsia"/>
        </w:rPr>
        <w:t>5</w:t>
      </w:r>
      <w:r w:rsidRPr="00566686">
        <w:rPr>
          <w:rFonts w:ascii="Calibri" w:hAnsi="Calibri" w:cs="Calibri"/>
        </w:rPr>
        <w:t xml:space="preserve"> Institute for Health Sciences, Kunming Medical University, Kunming, Yunnan, China</w:t>
      </w:r>
      <w:r>
        <w:rPr>
          <w:rFonts w:ascii="Calibri" w:hAnsi="Calibri" w:cs="Calibri"/>
        </w:rPr>
        <w:t>,</w:t>
      </w:r>
    </w:p>
    <w:p w14:paraId="5124D89B" w14:textId="77777777" w:rsidR="00B656F6" w:rsidRPr="00566686" w:rsidRDefault="00B656F6" w:rsidP="00B656F6">
      <w:pPr>
        <w:spacing w:line="276" w:lineRule="auto"/>
        <w:rPr>
          <w:rFonts w:ascii="Calibri" w:hAnsi="Calibri" w:cs="Calibri"/>
        </w:rPr>
      </w:pPr>
      <w:r w:rsidRPr="00566686">
        <w:rPr>
          <w:rFonts w:ascii="Calibri" w:hAnsi="Calibri" w:cs="Calibri" w:hint="eastAsia"/>
        </w:rPr>
        <w:t>6</w:t>
      </w:r>
      <w:r w:rsidRPr="00566686">
        <w:rPr>
          <w:rFonts w:ascii="Calibri" w:hAnsi="Calibri" w:cs="Calibri"/>
        </w:rPr>
        <w:t xml:space="preserve"> School of Public Health and Management, Chongqing Medical University, Chongqing, China</w:t>
      </w:r>
      <w:r>
        <w:rPr>
          <w:rFonts w:ascii="Calibri" w:hAnsi="Calibri" w:cs="Calibri"/>
        </w:rPr>
        <w:t>,</w:t>
      </w:r>
    </w:p>
    <w:p w14:paraId="0D9694FE" w14:textId="77777777" w:rsidR="00B656F6" w:rsidRPr="00566686" w:rsidRDefault="00B656F6" w:rsidP="00B656F6">
      <w:pPr>
        <w:spacing w:line="276" w:lineRule="auto"/>
        <w:rPr>
          <w:rFonts w:ascii="Calibri" w:hAnsi="Calibri" w:cs="Calibri"/>
        </w:rPr>
      </w:pPr>
      <w:r w:rsidRPr="00566686">
        <w:rPr>
          <w:rFonts w:ascii="Calibri" w:hAnsi="Calibri" w:cs="Calibri" w:hint="eastAsia"/>
        </w:rPr>
        <w:t>7</w:t>
      </w:r>
      <w:r w:rsidRPr="00566686">
        <w:rPr>
          <w:rFonts w:ascii="Calibri" w:hAnsi="Calibri" w:cs="Calibri"/>
        </w:rPr>
        <w:t xml:space="preserve"> School of Health Sciences, Wuhan University, Wuhan, Hubei, China</w:t>
      </w:r>
      <w:r>
        <w:rPr>
          <w:rFonts w:ascii="Calibri" w:hAnsi="Calibri" w:cs="Calibri"/>
        </w:rPr>
        <w:t>,</w:t>
      </w:r>
    </w:p>
    <w:p w14:paraId="64DE9037" w14:textId="77777777" w:rsidR="00B656F6" w:rsidRPr="00566686" w:rsidRDefault="00B656F6" w:rsidP="00B656F6">
      <w:pPr>
        <w:spacing w:line="276" w:lineRule="auto"/>
        <w:rPr>
          <w:rFonts w:ascii="Calibri" w:hAnsi="Calibri" w:cs="Calibri"/>
        </w:rPr>
      </w:pPr>
      <w:r w:rsidRPr="00566686">
        <w:rPr>
          <w:rFonts w:ascii="Calibri" w:hAnsi="Calibri" w:cs="Calibri"/>
        </w:rPr>
        <w:t>8 School of Political Science and Public Administration, Wuhan University, Wuhan, Hubei, China</w:t>
      </w:r>
      <w:r>
        <w:rPr>
          <w:rFonts w:ascii="Calibri" w:hAnsi="Calibri" w:cs="Calibri"/>
        </w:rPr>
        <w:t>,</w:t>
      </w:r>
    </w:p>
    <w:p w14:paraId="494F73CF" w14:textId="77777777" w:rsidR="00B656F6" w:rsidRPr="00566686" w:rsidRDefault="00B656F6" w:rsidP="00B656F6">
      <w:pPr>
        <w:spacing w:line="276" w:lineRule="auto"/>
        <w:rPr>
          <w:rFonts w:ascii="Calibri" w:hAnsi="Calibri" w:cs="Calibri"/>
        </w:rPr>
      </w:pPr>
      <w:r w:rsidRPr="00566686">
        <w:rPr>
          <w:rFonts w:ascii="Calibri" w:hAnsi="Calibri" w:cs="Calibri" w:hint="eastAsia"/>
        </w:rPr>
        <w:t>9</w:t>
      </w:r>
      <w:r w:rsidRPr="00566686">
        <w:rPr>
          <w:rFonts w:ascii="Calibri" w:hAnsi="Calibri" w:cs="Calibri"/>
        </w:rPr>
        <w:t xml:space="preserve"> School of Public Health, Kunming Medical University, Kunming, Yunnan, China</w:t>
      </w:r>
      <w:r>
        <w:rPr>
          <w:rFonts w:ascii="Calibri" w:hAnsi="Calibri" w:cs="Calibri"/>
        </w:rPr>
        <w:t>,</w:t>
      </w:r>
    </w:p>
    <w:p w14:paraId="081AA046" w14:textId="77777777" w:rsidR="00B656F6" w:rsidRPr="00566686" w:rsidRDefault="00B656F6" w:rsidP="00B656F6">
      <w:pPr>
        <w:spacing w:line="276" w:lineRule="auto"/>
        <w:rPr>
          <w:rFonts w:ascii="Calibri" w:hAnsi="Calibri" w:cs="Calibri"/>
        </w:rPr>
      </w:pPr>
      <w:r w:rsidRPr="00566686">
        <w:rPr>
          <w:rFonts w:ascii="Calibri" w:hAnsi="Calibri" w:cs="Calibri" w:hint="eastAsia"/>
        </w:rPr>
        <w:t>1</w:t>
      </w:r>
      <w:r w:rsidRPr="00566686">
        <w:rPr>
          <w:rFonts w:ascii="Calibri" w:hAnsi="Calibri" w:cs="Calibri"/>
        </w:rPr>
        <w:t>0 National Center for Chronic and Noncommunicable Disease Control and Prevention, Chinese Center for Disease Control and Prevention, Beijing, China</w:t>
      </w:r>
      <w:r>
        <w:rPr>
          <w:rFonts w:ascii="Calibri" w:hAnsi="Calibri" w:cs="Calibri"/>
        </w:rPr>
        <w:t>,</w:t>
      </w:r>
    </w:p>
    <w:p w14:paraId="00834944" w14:textId="77777777" w:rsidR="00B656F6" w:rsidRPr="00566686" w:rsidRDefault="00B656F6" w:rsidP="00B656F6">
      <w:pPr>
        <w:spacing w:line="276" w:lineRule="auto"/>
        <w:rPr>
          <w:rFonts w:ascii="Calibri" w:hAnsi="Calibri" w:cs="Calibri"/>
        </w:rPr>
      </w:pPr>
      <w:r w:rsidRPr="00566686">
        <w:rPr>
          <w:rFonts w:ascii="Calibri" w:hAnsi="Calibri" w:cs="Calibri"/>
        </w:rPr>
        <w:t>11 Faculty of Clinical Sciences and International Public Health, Liverpool School of Tropical Medicine, Liverpool, U</w:t>
      </w:r>
      <w:r>
        <w:rPr>
          <w:rFonts w:ascii="Calibri" w:hAnsi="Calibri" w:cs="Calibri"/>
        </w:rPr>
        <w:t>nited Kingdom,</w:t>
      </w:r>
    </w:p>
    <w:p w14:paraId="479E7325" w14:textId="77777777" w:rsidR="00B656F6" w:rsidRPr="00566686" w:rsidRDefault="00B656F6" w:rsidP="00B656F6">
      <w:pPr>
        <w:spacing w:line="276" w:lineRule="auto"/>
        <w:rPr>
          <w:rFonts w:ascii="Calibri" w:hAnsi="Calibri" w:cs="Calibri"/>
        </w:rPr>
      </w:pPr>
      <w:r w:rsidRPr="00566686">
        <w:rPr>
          <w:rFonts w:ascii="Calibri" w:hAnsi="Calibri" w:cs="Calibri"/>
        </w:rPr>
        <w:t>12 Center of Health Human Resource Development, National Health Commission, Beijing, China</w:t>
      </w:r>
      <w:r>
        <w:rPr>
          <w:rFonts w:ascii="Calibri" w:hAnsi="Calibri" w:cs="Calibri"/>
        </w:rPr>
        <w:t>,</w:t>
      </w:r>
    </w:p>
    <w:p w14:paraId="24B42A30" w14:textId="77777777" w:rsidR="00B656F6" w:rsidRPr="00566686" w:rsidRDefault="00B656F6" w:rsidP="00B656F6">
      <w:pPr>
        <w:spacing w:line="276" w:lineRule="auto"/>
        <w:rPr>
          <w:rFonts w:ascii="Calibri" w:hAnsi="Calibri" w:cs="Calibri"/>
        </w:rPr>
      </w:pPr>
      <w:r w:rsidRPr="00566686">
        <w:rPr>
          <w:rFonts w:ascii="Calibri" w:hAnsi="Calibri" w:cs="Calibri"/>
        </w:rPr>
        <w:t>13 Institute for Health Metrics and Evaluation, University of Washington, Seattle, W</w:t>
      </w:r>
      <w:r>
        <w:rPr>
          <w:rFonts w:ascii="Calibri" w:hAnsi="Calibri" w:cs="Calibri"/>
        </w:rPr>
        <w:t>ashington, United States of America,</w:t>
      </w:r>
    </w:p>
    <w:p w14:paraId="2EC326EA" w14:textId="77777777" w:rsidR="00B656F6" w:rsidRPr="00566686" w:rsidRDefault="00B656F6" w:rsidP="00B656F6">
      <w:pPr>
        <w:spacing w:line="276" w:lineRule="auto"/>
        <w:rPr>
          <w:rFonts w:ascii="Calibri" w:hAnsi="Calibri" w:cs="Calibri"/>
        </w:rPr>
      </w:pPr>
      <w:r w:rsidRPr="00566686">
        <w:rPr>
          <w:rFonts w:ascii="Calibri" w:hAnsi="Calibri" w:cs="Calibri"/>
        </w:rPr>
        <w:t>14 Environment Research Center, Duke Kunshan University, Kunshan, Jiangsu, China</w:t>
      </w:r>
    </w:p>
    <w:p w14:paraId="0FB8B0AF" w14:textId="77777777" w:rsidR="00B656F6" w:rsidRPr="00566686" w:rsidRDefault="00B656F6" w:rsidP="00B656F6">
      <w:pPr>
        <w:spacing w:line="276" w:lineRule="auto"/>
        <w:rPr>
          <w:rFonts w:ascii="Calibri" w:hAnsi="Calibri" w:cs="Calibri"/>
        </w:rPr>
      </w:pPr>
    </w:p>
    <w:p w14:paraId="3B5EDC9A" w14:textId="77777777" w:rsidR="00B656F6" w:rsidRDefault="00B656F6" w:rsidP="00B656F6">
      <w:pPr>
        <w:spacing w:line="276" w:lineRule="auto"/>
        <w:rPr>
          <w:rFonts w:ascii="Calibri" w:hAnsi="Calibri" w:cs="Calibri"/>
        </w:rPr>
      </w:pPr>
      <w:r w:rsidRPr="00566686">
        <w:rPr>
          <w:rFonts w:ascii="Calibri" w:hAnsi="Calibri" w:cs="Calibri"/>
        </w:rPr>
        <w:t>*</w:t>
      </w:r>
      <w:r>
        <w:rPr>
          <w:rFonts w:ascii="Calibri" w:hAnsi="Calibri" w:cs="Calibri"/>
        </w:rPr>
        <w:t xml:space="preserve"> </w:t>
      </w:r>
      <w:hyperlink r:id="rId7" w:history="1">
        <w:r w:rsidRPr="008260D8">
          <w:rPr>
            <w:rStyle w:val="af1"/>
            <w:rFonts w:ascii="Calibri" w:hAnsi="Calibri" w:cs="Calibri"/>
          </w:rPr>
          <w:t>shenglan.tang@duke.edu</w:t>
        </w:r>
      </w:hyperlink>
    </w:p>
    <w:p w14:paraId="4141CE2C" w14:textId="77777777" w:rsidR="00B656F6" w:rsidRDefault="00B656F6" w:rsidP="00B656F6">
      <w:pPr>
        <w:spacing w:line="276" w:lineRule="auto"/>
        <w:rPr>
          <w:rFonts w:ascii="Calibri" w:hAnsi="Calibri" w:cs="Calibri"/>
        </w:rPr>
      </w:pPr>
    </w:p>
    <w:p w14:paraId="148F39BD" w14:textId="77777777" w:rsidR="00B656F6" w:rsidRDefault="00B656F6" w:rsidP="00B656F6">
      <w:pPr>
        <w:spacing w:line="276" w:lineRule="auto"/>
        <w:rPr>
          <w:rFonts w:ascii="Calibri" w:hAnsi="Calibri" w:cs="Calibri"/>
        </w:rPr>
      </w:pPr>
      <w:r w:rsidRPr="008F0944">
        <w:rPr>
          <w:rFonts w:ascii="Calibri" w:hAnsi="Calibri" w:cs="Calibri"/>
          <w:b/>
          <w:bCs/>
        </w:rPr>
        <w:t>Abbreviations:</w:t>
      </w:r>
      <w:r>
        <w:rPr>
          <w:rFonts w:ascii="Calibri" w:hAnsi="Calibri" w:cs="Calibri"/>
        </w:rPr>
        <w:t xml:space="preserve"> </w:t>
      </w:r>
      <w:r w:rsidRPr="00755F09">
        <w:rPr>
          <w:rFonts w:ascii="Calibri" w:hAnsi="Calibri" w:cs="Calibri"/>
        </w:rPr>
        <w:t>GBD</w:t>
      </w:r>
      <w:r>
        <w:rPr>
          <w:rFonts w:ascii="Calibri" w:hAnsi="Calibri" w:cs="Calibri"/>
        </w:rPr>
        <w:t>,</w:t>
      </w:r>
      <w:r w:rsidRPr="00755F09">
        <w:rPr>
          <w:rFonts w:ascii="Calibri" w:hAnsi="Calibri" w:cs="Calibri"/>
        </w:rPr>
        <w:t xml:space="preserve"> Global Burden of Disease</w:t>
      </w:r>
      <w:r>
        <w:rPr>
          <w:rFonts w:ascii="Calibri" w:hAnsi="Calibri" w:cs="Calibri"/>
        </w:rPr>
        <w:t>;</w:t>
      </w:r>
      <w:r w:rsidRPr="009A5BFC">
        <w:rPr>
          <w:rFonts w:ascii="Calibri" w:hAnsi="Calibri" w:cs="Calibri"/>
          <w:szCs w:val="24"/>
        </w:rPr>
        <w:t xml:space="preserve"> </w:t>
      </w:r>
      <w:r w:rsidRPr="00755F09">
        <w:rPr>
          <w:rFonts w:ascii="Calibri" w:hAnsi="Calibri" w:cs="Calibri"/>
          <w:szCs w:val="24"/>
        </w:rPr>
        <w:t>GF</w:t>
      </w:r>
      <w:r>
        <w:rPr>
          <w:rFonts w:ascii="Calibri" w:hAnsi="Calibri" w:cs="Calibri"/>
          <w:szCs w:val="24"/>
        </w:rPr>
        <w:t>,</w:t>
      </w:r>
      <w:r w:rsidRPr="00755F09">
        <w:rPr>
          <w:rFonts w:ascii="Calibri" w:hAnsi="Calibri" w:cs="Calibri"/>
          <w:szCs w:val="24"/>
        </w:rPr>
        <w:t xml:space="preserve"> Global Fund</w:t>
      </w:r>
      <w:r>
        <w:rPr>
          <w:rFonts w:ascii="Calibri" w:hAnsi="Calibri" w:cs="Calibri"/>
          <w:szCs w:val="24"/>
        </w:rPr>
        <w:t xml:space="preserve">; </w:t>
      </w:r>
      <w:r>
        <w:rPr>
          <w:rFonts w:ascii="Calibri" w:hAnsi="Calibri" w:cs="Calibri"/>
        </w:rPr>
        <w:t xml:space="preserve">HBV, hepatitis B virus; HCV, hepatitis C virus; </w:t>
      </w:r>
      <w:r w:rsidRPr="00755F09">
        <w:rPr>
          <w:rFonts w:ascii="Calibri" w:hAnsi="Calibri" w:cs="Calibri"/>
        </w:rPr>
        <w:t>MCHRH</w:t>
      </w:r>
      <w:r>
        <w:rPr>
          <w:rFonts w:ascii="Calibri" w:hAnsi="Calibri" w:cs="Calibri"/>
        </w:rPr>
        <w:t>,</w:t>
      </w:r>
      <w:r w:rsidRPr="00755F09">
        <w:rPr>
          <w:rFonts w:cs="Calibri"/>
        </w:rPr>
        <w:t xml:space="preserve"> </w:t>
      </w:r>
      <w:r w:rsidRPr="00755F09">
        <w:rPr>
          <w:rFonts w:ascii="Calibri" w:hAnsi="Calibri" w:cs="Calibri"/>
        </w:rPr>
        <w:t>maternal and child health and reproductive health</w:t>
      </w:r>
      <w:r>
        <w:rPr>
          <w:rFonts w:ascii="Calibri" w:hAnsi="Calibri" w:cs="Calibri"/>
        </w:rPr>
        <w:t xml:space="preserve">; </w:t>
      </w:r>
      <w:r w:rsidRPr="00755F09">
        <w:rPr>
          <w:rFonts w:cs="Calibri"/>
        </w:rPr>
        <w:t>MDG</w:t>
      </w:r>
      <w:r>
        <w:rPr>
          <w:rFonts w:cs="Calibri"/>
        </w:rPr>
        <w:t>, M</w:t>
      </w:r>
      <w:r w:rsidRPr="00755F09">
        <w:rPr>
          <w:rFonts w:cs="Calibri"/>
        </w:rPr>
        <w:t xml:space="preserve">illennium </w:t>
      </w:r>
      <w:r>
        <w:rPr>
          <w:rFonts w:cs="Calibri"/>
        </w:rPr>
        <w:t>D</w:t>
      </w:r>
      <w:r w:rsidRPr="00755F09">
        <w:rPr>
          <w:rFonts w:cs="Calibri"/>
        </w:rPr>
        <w:t xml:space="preserve">evelopment </w:t>
      </w:r>
      <w:r>
        <w:rPr>
          <w:rFonts w:cs="Calibri"/>
        </w:rPr>
        <w:t>G</w:t>
      </w:r>
      <w:r w:rsidRPr="00755F09">
        <w:rPr>
          <w:rFonts w:cs="Calibri"/>
        </w:rPr>
        <w:t>oal</w:t>
      </w:r>
      <w:r>
        <w:rPr>
          <w:rFonts w:cs="Calibri"/>
        </w:rPr>
        <w:t xml:space="preserve">; </w:t>
      </w:r>
      <w:r w:rsidRPr="00574F5E">
        <w:rPr>
          <w:rFonts w:cs="Calibri"/>
        </w:rPr>
        <w:t>MDR-TB</w:t>
      </w:r>
      <w:r>
        <w:rPr>
          <w:rFonts w:cs="Calibri"/>
        </w:rPr>
        <w:t>,</w:t>
      </w:r>
      <w:r w:rsidRPr="00574F5E">
        <w:rPr>
          <w:rFonts w:cs="Calibri"/>
        </w:rPr>
        <w:t xml:space="preserve"> multidrug-resistant TB</w:t>
      </w:r>
      <w:r>
        <w:rPr>
          <w:rFonts w:cs="Calibri"/>
        </w:rPr>
        <w:t xml:space="preserve">; MMR, maternal mortality ratio; </w:t>
      </w:r>
      <w:r w:rsidRPr="00755F09">
        <w:rPr>
          <w:rFonts w:ascii="Calibri" w:hAnsi="Calibri" w:cs="Calibri"/>
        </w:rPr>
        <w:t>NCD</w:t>
      </w:r>
      <w:r>
        <w:rPr>
          <w:rFonts w:ascii="Calibri" w:hAnsi="Calibri" w:cs="Calibri"/>
        </w:rPr>
        <w:t xml:space="preserve">, </w:t>
      </w:r>
      <w:r w:rsidRPr="00755F09">
        <w:rPr>
          <w:rFonts w:ascii="Calibri" w:hAnsi="Calibri" w:cs="Calibri"/>
        </w:rPr>
        <w:t>noncommunicable disease</w:t>
      </w:r>
      <w:r>
        <w:rPr>
          <w:rFonts w:ascii="Calibri" w:hAnsi="Calibri" w:cs="Calibri"/>
        </w:rPr>
        <w:t xml:space="preserve">; NMR, neonatal mortality rate; </w:t>
      </w:r>
      <w:r w:rsidRPr="00755F09">
        <w:rPr>
          <w:rFonts w:ascii="Calibri" w:hAnsi="Calibri" w:cs="Calibri"/>
          <w:szCs w:val="24"/>
        </w:rPr>
        <w:t>NRCMS</w:t>
      </w:r>
      <w:r>
        <w:rPr>
          <w:rFonts w:ascii="Calibri" w:hAnsi="Calibri" w:cs="Calibri"/>
          <w:szCs w:val="24"/>
        </w:rPr>
        <w:t>,</w:t>
      </w:r>
      <w:r w:rsidRPr="00755F09">
        <w:rPr>
          <w:rFonts w:ascii="Calibri" w:hAnsi="Calibri" w:cs="Calibri"/>
        </w:rPr>
        <w:t xml:space="preserve"> </w:t>
      </w:r>
      <w:r w:rsidRPr="00755F09">
        <w:rPr>
          <w:rFonts w:ascii="Calibri" w:hAnsi="Calibri" w:cs="Calibri"/>
          <w:szCs w:val="24"/>
        </w:rPr>
        <w:t>new rural cooperative medical scheme</w:t>
      </w:r>
      <w:r>
        <w:rPr>
          <w:rFonts w:ascii="Calibri" w:hAnsi="Calibri" w:cs="Calibri"/>
          <w:szCs w:val="24"/>
        </w:rPr>
        <w:t xml:space="preserve">; </w:t>
      </w:r>
      <w:r w:rsidRPr="00755F09">
        <w:rPr>
          <w:rFonts w:ascii="Calibri" w:hAnsi="Calibri" w:cs="Calibri"/>
        </w:rPr>
        <w:t>OOP</w:t>
      </w:r>
      <w:r>
        <w:rPr>
          <w:rFonts w:ascii="Calibri" w:hAnsi="Calibri" w:cs="Calibri"/>
        </w:rPr>
        <w:t>,</w:t>
      </w:r>
      <w:r w:rsidRPr="00755F09">
        <w:rPr>
          <w:rFonts w:ascii="Calibri" w:hAnsi="Calibri" w:cs="Calibri"/>
          <w:szCs w:val="24"/>
        </w:rPr>
        <w:t xml:space="preserve"> out-of-pocket payment</w:t>
      </w:r>
      <w:r>
        <w:rPr>
          <w:rFonts w:ascii="Calibri" w:hAnsi="Calibri" w:cs="Calibri"/>
          <w:szCs w:val="24"/>
        </w:rPr>
        <w:t>;</w:t>
      </w:r>
      <w:r w:rsidRPr="00755F09">
        <w:rPr>
          <w:rFonts w:ascii="Calibri" w:hAnsi="Calibri" w:cs="Calibri"/>
          <w:szCs w:val="24"/>
        </w:rPr>
        <w:t xml:space="preserve"> </w:t>
      </w:r>
      <w:r>
        <w:rPr>
          <w:rFonts w:ascii="Calibri" w:hAnsi="Calibri" w:cs="Calibri"/>
        </w:rPr>
        <w:t xml:space="preserve">PM, particulate matter; SDG, Sustainable Development Goal; SEV, summary exposure value; TB, tuberculosis; </w:t>
      </w:r>
      <w:r w:rsidRPr="00755F09">
        <w:rPr>
          <w:rFonts w:ascii="Calibri" w:hAnsi="Calibri" w:cs="Calibri"/>
          <w:szCs w:val="24"/>
        </w:rPr>
        <w:t>THE</w:t>
      </w:r>
      <w:r>
        <w:rPr>
          <w:rFonts w:ascii="Calibri" w:hAnsi="Calibri" w:cs="Calibri"/>
          <w:szCs w:val="24"/>
        </w:rPr>
        <w:t>,</w:t>
      </w:r>
      <w:r w:rsidRPr="00755F09">
        <w:rPr>
          <w:rFonts w:ascii="Calibri" w:hAnsi="Calibri" w:cs="Calibri"/>
          <w:szCs w:val="24"/>
        </w:rPr>
        <w:t xml:space="preserve"> total health expenditure</w:t>
      </w:r>
      <w:r>
        <w:rPr>
          <w:rFonts w:ascii="Calibri" w:hAnsi="Calibri" w:cs="Calibri"/>
          <w:szCs w:val="24"/>
        </w:rPr>
        <w:t xml:space="preserve">; </w:t>
      </w:r>
      <w:r w:rsidRPr="00755F09">
        <w:rPr>
          <w:rFonts w:ascii="Calibri" w:hAnsi="Calibri" w:cs="Calibri"/>
          <w:szCs w:val="24"/>
        </w:rPr>
        <w:t>U5MR</w:t>
      </w:r>
      <w:r>
        <w:rPr>
          <w:rFonts w:ascii="Calibri" w:hAnsi="Calibri" w:cs="Calibri"/>
          <w:szCs w:val="24"/>
        </w:rPr>
        <w:t>,</w:t>
      </w:r>
      <w:r>
        <w:rPr>
          <w:rFonts w:ascii="Calibri" w:hAnsi="Calibri" w:cs="Calibri"/>
        </w:rPr>
        <w:t xml:space="preserve"> </w:t>
      </w:r>
      <w:r w:rsidRPr="00755F09">
        <w:rPr>
          <w:rFonts w:ascii="Calibri" w:hAnsi="Calibri" w:cs="Calibri"/>
          <w:szCs w:val="24"/>
        </w:rPr>
        <w:t>under-</w:t>
      </w:r>
      <w:r>
        <w:rPr>
          <w:rFonts w:ascii="Calibri" w:hAnsi="Calibri" w:cs="Calibri"/>
          <w:szCs w:val="24"/>
        </w:rPr>
        <w:t>5</w:t>
      </w:r>
      <w:r w:rsidRPr="00755F09">
        <w:rPr>
          <w:rFonts w:ascii="Calibri" w:hAnsi="Calibri" w:cs="Calibri"/>
          <w:szCs w:val="24"/>
        </w:rPr>
        <w:t xml:space="preserve"> mortality rate</w:t>
      </w:r>
      <w:r>
        <w:rPr>
          <w:rFonts w:ascii="Calibri" w:hAnsi="Calibri" w:cs="Calibri"/>
          <w:szCs w:val="24"/>
        </w:rPr>
        <w:t>;</w:t>
      </w:r>
      <w:r w:rsidRPr="00755F09">
        <w:rPr>
          <w:rFonts w:ascii="Calibri" w:hAnsi="Calibri" w:cs="Calibri"/>
          <w:szCs w:val="24"/>
        </w:rPr>
        <w:t xml:space="preserve"> UEBHI</w:t>
      </w:r>
      <w:r>
        <w:rPr>
          <w:rFonts w:ascii="Calibri" w:hAnsi="Calibri" w:cs="Calibri"/>
          <w:szCs w:val="24"/>
        </w:rPr>
        <w:t>,</w:t>
      </w:r>
      <w:r w:rsidRPr="00755F09">
        <w:rPr>
          <w:rFonts w:ascii="Calibri" w:hAnsi="Calibri" w:cs="Calibri"/>
        </w:rPr>
        <w:t xml:space="preserve"> </w:t>
      </w:r>
      <w:r w:rsidRPr="00755F09">
        <w:rPr>
          <w:rFonts w:ascii="Calibri" w:hAnsi="Calibri" w:cs="Calibri"/>
          <w:szCs w:val="24"/>
        </w:rPr>
        <w:t>urban employee basic health insurance</w:t>
      </w:r>
      <w:r>
        <w:rPr>
          <w:rFonts w:ascii="Calibri" w:hAnsi="Calibri" w:cs="Calibri"/>
          <w:szCs w:val="24"/>
        </w:rPr>
        <w:t xml:space="preserve">; </w:t>
      </w:r>
      <w:r w:rsidRPr="00755F09">
        <w:rPr>
          <w:rFonts w:ascii="Calibri" w:hAnsi="Calibri" w:cs="Calibri"/>
        </w:rPr>
        <w:t>UHC</w:t>
      </w:r>
      <w:r>
        <w:rPr>
          <w:rFonts w:ascii="Calibri" w:hAnsi="Calibri" w:cs="Calibri"/>
        </w:rPr>
        <w:t>,</w:t>
      </w:r>
      <w:r w:rsidRPr="00755F09">
        <w:rPr>
          <w:rFonts w:ascii="Calibri" w:hAnsi="Calibri" w:cs="Calibri"/>
        </w:rPr>
        <w:t xml:space="preserve"> universal health coverage</w:t>
      </w:r>
      <w:r>
        <w:rPr>
          <w:rFonts w:ascii="Calibri" w:hAnsi="Calibri" w:cs="Calibri"/>
        </w:rPr>
        <w:t>;</w:t>
      </w:r>
      <w:r w:rsidRPr="00755F09">
        <w:rPr>
          <w:rFonts w:ascii="Calibri" w:hAnsi="Calibri" w:cs="Calibri"/>
        </w:rPr>
        <w:t xml:space="preserve"> </w:t>
      </w:r>
      <w:r>
        <w:rPr>
          <w:rFonts w:ascii="Calibri" w:hAnsi="Calibri" w:cs="Calibri"/>
        </w:rPr>
        <w:t xml:space="preserve">UN, United Nations; </w:t>
      </w:r>
      <w:r w:rsidRPr="00CA5747">
        <w:rPr>
          <w:rFonts w:ascii="Calibri" w:hAnsi="Calibri" w:cs="Calibri"/>
        </w:rPr>
        <w:t>WaSH</w:t>
      </w:r>
      <w:r>
        <w:rPr>
          <w:rFonts w:ascii="Calibri" w:hAnsi="Calibri" w:cs="Calibri"/>
        </w:rPr>
        <w:t>,</w:t>
      </w:r>
      <w:r w:rsidRPr="00CA5747">
        <w:rPr>
          <w:rFonts w:ascii="Calibri" w:hAnsi="Calibri" w:cs="Calibri"/>
        </w:rPr>
        <w:t xml:space="preserve"> water, sanitation, and hygiene</w:t>
      </w:r>
      <w:r>
        <w:rPr>
          <w:rFonts w:ascii="Calibri" w:hAnsi="Calibri" w:cs="Calibri"/>
        </w:rPr>
        <w:t>; WHO, World Health Organization.</w:t>
      </w:r>
    </w:p>
    <w:p w14:paraId="55A6D3A3" w14:textId="77777777" w:rsidR="00B656F6" w:rsidRDefault="00B656F6" w:rsidP="00B656F6">
      <w:pPr>
        <w:spacing w:line="276" w:lineRule="auto"/>
        <w:rPr>
          <w:rFonts w:ascii="Calibri" w:hAnsi="Calibri" w:cs="Calibri"/>
        </w:rPr>
      </w:pPr>
    </w:p>
    <w:p w14:paraId="7C11F518" w14:textId="77777777" w:rsidR="00B656F6" w:rsidRPr="00EB4864" w:rsidRDefault="00B656F6" w:rsidP="00B656F6">
      <w:pPr>
        <w:spacing w:line="276" w:lineRule="auto"/>
        <w:rPr>
          <w:rFonts w:ascii="Calibri" w:hAnsi="Calibri" w:cs="Calibri"/>
          <w:sz w:val="20"/>
        </w:rPr>
      </w:pPr>
      <w:r w:rsidRPr="00EB4864">
        <w:rPr>
          <w:rFonts w:ascii="Calibri" w:hAnsi="Calibri" w:cs="Calibri"/>
          <w:sz w:val="20"/>
        </w:rPr>
        <w:br w:type="page"/>
      </w:r>
    </w:p>
    <w:p w14:paraId="57F4949A" w14:textId="77777777" w:rsidR="00B656F6" w:rsidRPr="00566686" w:rsidRDefault="00B656F6" w:rsidP="00B656F6">
      <w:pPr>
        <w:rPr>
          <w:rFonts w:ascii="Calibri" w:hAnsi="Calibri" w:cs="Calibri"/>
          <w:b/>
          <w:sz w:val="28"/>
          <w:szCs w:val="28"/>
        </w:rPr>
      </w:pPr>
      <w:r w:rsidRPr="00566686">
        <w:rPr>
          <w:rFonts w:ascii="Calibri" w:hAnsi="Calibri" w:cs="Calibri"/>
          <w:b/>
          <w:sz w:val="28"/>
          <w:szCs w:val="28"/>
        </w:rPr>
        <w:lastRenderedPageBreak/>
        <w:t>Abstract</w:t>
      </w:r>
    </w:p>
    <w:p w14:paraId="5CF5AD96" w14:textId="77777777" w:rsidR="00B656F6" w:rsidRPr="00755F09" w:rsidRDefault="00B656F6" w:rsidP="00B656F6">
      <w:pPr>
        <w:rPr>
          <w:rFonts w:ascii="Calibri" w:hAnsi="Calibri" w:cs="Calibri"/>
        </w:rPr>
      </w:pPr>
      <w:r w:rsidRPr="00755F09">
        <w:rPr>
          <w:rFonts w:ascii="Calibri" w:hAnsi="Calibri" w:cs="Calibri"/>
          <w:b/>
        </w:rPr>
        <w:t>Background</w:t>
      </w:r>
      <w:r w:rsidRPr="00755F09">
        <w:rPr>
          <w:rFonts w:ascii="Calibri" w:hAnsi="Calibri" w:cs="Calibri"/>
          <w:b/>
        </w:rPr>
        <w:br/>
      </w:r>
      <w:r w:rsidRPr="00755F09">
        <w:rPr>
          <w:rFonts w:ascii="Calibri" w:hAnsi="Calibri" w:cs="Calibri"/>
        </w:rPr>
        <w:t>The Sustainable Development Goals (SDGs), adopted by all United Nations (UN) member states in 2015, established a set of bold and ambitious health-related targets to achieve by 2030. Understanding China’s progress toward these targets is critical to improving population health for its 1.</w:t>
      </w:r>
      <w:r>
        <w:rPr>
          <w:rFonts w:ascii="Calibri" w:hAnsi="Calibri" w:cs="Calibri"/>
        </w:rPr>
        <w:t>4</w:t>
      </w:r>
      <w:r w:rsidRPr="00755F09">
        <w:rPr>
          <w:rFonts w:ascii="Calibri" w:hAnsi="Calibri" w:cs="Calibri"/>
        </w:rPr>
        <w:t xml:space="preserve"> billion people.</w:t>
      </w:r>
    </w:p>
    <w:p w14:paraId="581144EF" w14:textId="77777777" w:rsidR="00B656F6" w:rsidRPr="00755F09" w:rsidRDefault="00B656F6" w:rsidP="00B656F6">
      <w:pPr>
        <w:rPr>
          <w:rFonts w:ascii="Calibri" w:hAnsi="Calibri" w:cs="Calibri"/>
        </w:rPr>
      </w:pPr>
      <w:r w:rsidRPr="00755F09">
        <w:rPr>
          <w:rFonts w:ascii="Calibri" w:hAnsi="Calibri" w:cs="Calibri"/>
          <w:b/>
        </w:rPr>
        <w:t>Methods and findings</w:t>
      </w:r>
      <w:r w:rsidRPr="00755F09">
        <w:rPr>
          <w:rFonts w:ascii="Calibri" w:hAnsi="Calibri" w:cs="Calibri"/>
          <w:b/>
        </w:rPr>
        <w:br/>
      </w:r>
      <w:r w:rsidRPr="00755F09">
        <w:rPr>
          <w:rFonts w:ascii="Calibri" w:hAnsi="Calibri" w:cs="Calibri"/>
        </w:rPr>
        <w:t xml:space="preserve">We used estimates from </w:t>
      </w:r>
      <w:r>
        <w:rPr>
          <w:rFonts w:ascii="Calibri" w:hAnsi="Calibri" w:cs="Calibri"/>
        </w:rPr>
        <w:t xml:space="preserve">the </w:t>
      </w:r>
      <w:r w:rsidRPr="00755F09">
        <w:rPr>
          <w:rFonts w:ascii="Calibri" w:hAnsi="Calibri" w:cs="Calibri"/>
        </w:rPr>
        <w:t>Global Burden of Disease (GBD) Study 2016, national surveys and surveillance data from China, and qualitative data. Twenty-eight of the 37 indicators included in the GBD 2016 study were analyz</w:t>
      </w:r>
      <w:r>
        <w:rPr>
          <w:rFonts w:ascii="Calibri" w:hAnsi="Calibri" w:cs="Calibri"/>
        </w:rPr>
        <w:t>ed</w:t>
      </w:r>
      <w:r w:rsidRPr="00755F09">
        <w:rPr>
          <w:rFonts w:ascii="Calibri" w:hAnsi="Calibri" w:cs="Calibri"/>
        </w:rPr>
        <w:t>. We developed an attainment index of health-related SDGs, a scale of 0</w:t>
      </w:r>
      <w:r>
        <w:rPr>
          <w:rFonts w:ascii="Calibri" w:hAnsi="Calibri" w:cs="Calibri"/>
        </w:rPr>
        <w:t>–</w:t>
      </w:r>
      <w:r w:rsidRPr="00755F09">
        <w:rPr>
          <w:rFonts w:ascii="Calibri" w:hAnsi="Calibri" w:cs="Calibri"/>
        </w:rPr>
        <w:t xml:space="preserve">100 based on the values of indicators. The projection model is adjusted based on </w:t>
      </w:r>
      <w:r>
        <w:rPr>
          <w:rFonts w:ascii="Calibri" w:hAnsi="Calibri" w:cs="Calibri"/>
        </w:rPr>
        <w:t>the one</w:t>
      </w:r>
      <w:r w:rsidRPr="00755F09">
        <w:rPr>
          <w:rFonts w:ascii="Calibri" w:hAnsi="Calibri" w:cs="Calibri"/>
        </w:rPr>
        <w:t xml:space="preserve"> developed by the GBD 2016 SDG collaborators.</w:t>
      </w:r>
    </w:p>
    <w:p w14:paraId="298E5ED1" w14:textId="77777777" w:rsidR="00B656F6" w:rsidRPr="00755F09" w:rsidRDefault="00B656F6" w:rsidP="00B656F6">
      <w:pPr>
        <w:rPr>
          <w:rFonts w:ascii="Calibri" w:hAnsi="Calibri" w:cs="Calibri"/>
        </w:rPr>
      </w:pPr>
      <w:r>
        <w:rPr>
          <w:rFonts w:ascii="Calibri" w:hAnsi="Calibri" w:cs="Calibri"/>
        </w:rPr>
        <w:t>We</w:t>
      </w:r>
      <w:r w:rsidRPr="00755F09">
        <w:rPr>
          <w:rFonts w:ascii="Calibri" w:hAnsi="Calibri" w:cs="Calibri"/>
        </w:rPr>
        <w:t xml:space="preserve"> found that China has achieved several health-related SDG targets, including decreasing neonatal and under-</w:t>
      </w:r>
      <w:r>
        <w:rPr>
          <w:rFonts w:ascii="Calibri" w:hAnsi="Calibri" w:cs="Calibri"/>
        </w:rPr>
        <w:t>5</w:t>
      </w:r>
      <w:r w:rsidRPr="00755F09">
        <w:rPr>
          <w:rFonts w:ascii="Calibri" w:hAnsi="Calibri" w:cs="Calibri"/>
        </w:rPr>
        <w:t xml:space="preserve"> mortality rates and the maternal mortality ratios and reducing wasting and stunting for children. However, China may only achieve 12 out of the 28 health-related SDG targets by 2030. The number of target indicators achieved varies among provinces and municipalities. In 2016, among the seven measured health domains, China performed best in child nutrition and maternal and child health and reproductive health</w:t>
      </w:r>
      <w:r>
        <w:rPr>
          <w:rFonts w:ascii="Calibri" w:hAnsi="Calibri" w:cs="Calibri"/>
        </w:rPr>
        <w:t>,</w:t>
      </w:r>
      <w:r w:rsidRPr="00755F09">
        <w:rPr>
          <w:rFonts w:ascii="Calibri" w:hAnsi="Calibri" w:cs="Calibri"/>
        </w:rPr>
        <w:t xml:space="preserve"> with the attainment index </w:t>
      </w:r>
      <w:r>
        <w:rPr>
          <w:rFonts w:ascii="Calibri" w:hAnsi="Calibri" w:cs="Calibri"/>
        </w:rPr>
        <w:t xml:space="preserve">scores </w:t>
      </w:r>
      <w:r w:rsidRPr="00755F09">
        <w:rPr>
          <w:rFonts w:ascii="Calibri" w:hAnsi="Calibri" w:cs="Calibri"/>
        </w:rPr>
        <w:t>of 93</w:t>
      </w:r>
      <w:r>
        <w:rPr>
          <w:rFonts w:ascii="Calibri" w:hAnsi="Calibri" w:cs="Calibri"/>
        </w:rPr>
        <w:t>.</w:t>
      </w:r>
      <w:r w:rsidRPr="00755F09">
        <w:rPr>
          <w:rFonts w:ascii="Calibri" w:hAnsi="Calibri" w:cs="Calibri"/>
        </w:rPr>
        <w:t>0 and 91</w:t>
      </w:r>
      <w:r>
        <w:rPr>
          <w:rFonts w:ascii="Calibri" w:hAnsi="Calibri" w:cs="Calibri"/>
        </w:rPr>
        <w:t>.</w:t>
      </w:r>
      <w:r w:rsidRPr="00755F09">
        <w:rPr>
          <w:rFonts w:ascii="Calibri" w:hAnsi="Calibri" w:cs="Calibri"/>
        </w:rPr>
        <w:t>8, respectively, followed by noncommunicable diseases (NCDs) (69</w:t>
      </w:r>
      <w:r>
        <w:rPr>
          <w:rFonts w:ascii="Calibri" w:hAnsi="Calibri" w:cs="Calibri"/>
        </w:rPr>
        <w:t>.</w:t>
      </w:r>
      <w:r w:rsidRPr="00755F09">
        <w:rPr>
          <w:rFonts w:ascii="Calibri" w:hAnsi="Calibri" w:cs="Calibri"/>
        </w:rPr>
        <w:t>4), road injuries (63</w:t>
      </w:r>
      <w:r>
        <w:rPr>
          <w:rFonts w:ascii="Calibri" w:hAnsi="Calibri" w:cs="Calibri"/>
        </w:rPr>
        <w:t>.</w:t>
      </w:r>
      <w:r w:rsidRPr="00755F09">
        <w:rPr>
          <w:rFonts w:ascii="Calibri" w:hAnsi="Calibri" w:cs="Calibri"/>
        </w:rPr>
        <w:t>6), infectious diseases (63</w:t>
      </w:r>
      <w:r>
        <w:rPr>
          <w:rFonts w:ascii="Calibri" w:hAnsi="Calibri" w:cs="Calibri"/>
        </w:rPr>
        <w:t>.</w:t>
      </w:r>
      <w:r w:rsidRPr="00755F09">
        <w:rPr>
          <w:rFonts w:ascii="Calibri" w:hAnsi="Calibri" w:cs="Calibri"/>
        </w:rPr>
        <w:t>0), environmental health (62</w:t>
      </w:r>
      <w:r>
        <w:rPr>
          <w:rFonts w:ascii="Calibri" w:hAnsi="Calibri" w:cs="Calibri"/>
        </w:rPr>
        <w:t>.</w:t>
      </w:r>
      <w:r w:rsidRPr="00755F09">
        <w:rPr>
          <w:rFonts w:ascii="Calibri" w:hAnsi="Calibri" w:cs="Calibri"/>
        </w:rPr>
        <w:t>9), and universal health coverage (UHC) (54</w:t>
      </w:r>
      <w:r>
        <w:rPr>
          <w:rFonts w:ascii="Calibri" w:hAnsi="Calibri" w:cs="Calibri"/>
        </w:rPr>
        <w:t>.</w:t>
      </w:r>
      <w:r w:rsidRPr="00755F09">
        <w:rPr>
          <w:rFonts w:ascii="Calibri" w:hAnsi="Calibri" w:cs="Calibri"/>
        </w:rPr>
        <w:t xml:space="preserve">4). There are daunting challenges to achieve the targets for child overweight, infectious diseases, NCD risk factors, </w:t>
      </w:r>
      <w:r>
        <w:rPr>
          <w:rFonts w:ascii="Calibri" w:hAnsi="Calibri" w:cs="Calibri"/>
        </w:rPr>
        <w:t xml:space="preserve">and </w:t>
      </w:r>
      <w:r w:rsidRPr="00755F09">
        <w:rPr>
          <w:rFonts w:ascii="Calibri" w:hAnsi="Calibri" w:cs="Calibri"/>
        </w:rPr>
        <w:t>environmental exposure factors.</w:t>
      </w:r>
      <w:r w:rsidRPr="00EC493B">
        <w:t xml:space="preserve"> </w:t>
      </w:r>
      <w:r w:rsidRPr="00EC493B">
        <w:rPr>
          <w:rFonts w:ascii="Calibri" w:hAnsi="Calibri" w:cs="Calibri"/>
        </w:rPr>
        <w:t>China will also have a formidable challenge in achieving UHC, particular</w:t>
      </w:r>
      <w:r>
        <w:rPr>
          <w:rFonts w:ascii="Calibri" w:hAnsi="Calibri" w:cs="Calibri"/>
        </w:rPr>
        <w:t>ly</w:t>
      </w:r>
      <w:r w:rsidRPr="00EC493B">
        <w:rPr>
          <w:rFonts w:ascii="Calibri" w:hAnsi="Calibri" w:cs="Calibri"/>
        </w:rPr>
        <w:t xml:space="preserve"> in ensuring access to essential healthcare for all and providing adequate financial protection</w:t>
      </w:r>
      <w:r>
        <w:rPr>
          <w:rFonts w:ascii="Calibri" w:hAnsi="Calibri" w:cs="Calibri"/>
        </w:rPr>
        <w:t>.</w:t>
      </w:r>
      <w:r w:rsidRPr="00755F09">
        <w:rPr>
          <w:rFonts w:ascii="Calibri" w:hAnsi="Calibri" w:cs="Calibri"/>
        </w:rPr>
        <w:t xml:space="preserve"> </w:t>
      </w:r>
      <w:r>
        <w:rPr>
          <w:rFonts w:ascii="Calibri" w:hAnsi="Calibri" w:cs="Calibri"/>
        </w:rPr>
        <w:t>T</w:t>
      </w:r>
      <w:r w:rsidRPr="00755F09">
        <w:rPr>
          <w:rFonts w:ascii="Calibri" w:hAnsi="Calibri" w:cs="Calibri"/>
        </w:rPr>
        <w:t>he attainment index of child nutrition is projected to drop to 80</w:t>
      </w:r>
      <w:r>
        <w:rPr>
          <w:rFonts w:ascii="Calibri" w:hAnsi="Calibri" w:cs="Calibri"/>
        </w:rPr>
        <w:t>.</w:t>
      </w:r>
      <w:r w:rsidRPr="00755F09">
        <w:rPr>
          <w:rFonts w:ascii="Calibri" w:hAnsi="Calibri" w:cs="Calibri"/>
        </w:rPr>
        <w:t xml:space="preserve">5 by 2025 </w:t>
      </w:r>
      <w:r>
        <w:rPr>
          <w:rFonts w:ascii="Calibri" w:hAnsi="Calibri" w:cs="Calibri"/>
        </w:rPr>
        <w:t>because of</w:t>
      </w:r>
      <w:r w:rsidRPr="00755F09">
        <w:rPr>
          <w:rFonts w:ascii="Calibri" w:hAnsi="Calibri" w:cs="Calibri"/>
        </w:rPr>
        <w:t xml:space="preserve"> worsening child overweight. The index of NCD risk factors is projected to drop to 38</w:t>
      </w:r>
      <w:r>
        <w:rPr>
          <w:rFonts w:ascii="Calibri" w:hAnsi="Calibri" w:cs="Calibri"/>
        </w:rPr>
        <w:t>.</w:t>
      </w:r>
      <w:r w:rsidRPr="00755F09">
        <w:rPr>
          <w:rFonts w:ascii="Calibri" w:hAnsi="Calibri" w:cs="Calibri"/>
        </w:rPr>
        <w:t xml:space="preserve">8 by 2025. Regional disparities are substantial, with eastern provinces generally performing better than central and western provinces. Sex disparities are clear, with men at higher risk of excess mortality than women. The primary limitations of this study are the limited data availability and quality for several indicators and the adoption of </w:t>
      </w:r>
      <w:r>
        <w:rPr>
          <w:rFonts w:ascii="Calibri" w:hAnsi="Calibri" w:cs="Calibri"/>
        </w:rPr>
        <w:t>"</w:t>
      </w:r>
      <w:r w:rsidRPr="00755F09">
        <w:rPr>
          <w:rFonts w:ascii="Calibri" w:hAnsi="Calibri" w:cs="Calibri"/>
        </w:rPr>
        <w:t>business-as-usual</w:t>
      </w:r>
      <w:r>
        <w:rPr>
          <w:rFonts w:ascii="Calibri" w:hAnsi="Calibri" w:cs="Calibri"/>
        </w:rPr>
        <w:t>"</w:t>
      </w:r>
      <w:r w:rsidRPr="00755F09">
        <w:rPr>
          <w:rFonts w:ascii="Calibri" w:hAnsi="Calibri" w:cs="Calibri"/>
        </w:rPr>
        <w:t xml:space="preserve"> projection methods.</w:t>
      </w:r>
    </w:p>
    <w:p w14:paraId="55D8312C" w14:textId="77777777" w:rsidR="00B656F6" w:rsidRPr="00755F09" w:rsidRDefault="00B656F6" w:rsidP="00B656F6">
      <w:pPr>
        <w:rPr>
          <w:rFonts w:ascii="Calibri" w:hAnsi="Calibri" w:cs="Calibri"/>
        </w:rPr>
      </w:pPr>
      <w:r w:rsidRPr="00755F09">
        <w:rPr>
          <w:rFonts w:ascii="Calibri" w:hAnsi="Calibri" w:cs="Calibri"/>
          <w:b/>
        </w:rPr>
        <w:t>Conclusion</w:t>
      </w:r>
      <w:r w:rsidRPr="00755F09">
        <w:rPr>
          <w:rFonts w:ascii="Calibri" w:hAnsi="Calibri" w:cs="Calibri"/>
          <w:b/>
        </w:rPr>
        <w:br/>
      </w:r>
      <w:r>
        <w:rPr>
          <w:rFonts w:ascii="Calibri" w:hAnsi="Calibri" w:cs="Calibri"/>
        </w:rPr>
        <w:t>The</w:t>
      </w:r>
      <w:r w:rsidRPr="00755F09">
        <w:rPr>
          <w:rFonts w:ascii="Calibri" w:hAnsi="Calibri" w:cs="Calibri"/>
        </w:rPr>
        <w:t xml:space="preserve"> stud</w:t>
      </w:r>
      <w:r>
        <w:rPr>
          <w:rFonts w:ascii="Calibri" w:hAnsi="Calibri" w:cs="Calibri"/>
        </w:rPr>
        <w:t>y</w:t>
      </w:r>
      <w:r w:rsidRPr="00755F09">
        <w:rPr>
          <w:rFonts w:ascii="Calibri" w:hAnsi="Calibri" w:cs="Calibri"/>
        </w:rPr>
        <w:t xml:space="preserve"> found that China has made good progress in impro</w:t>
      </w:r>
      <w:r>
        <w:rPr>
          <w:rFonts w:ascii="Calibri" w:hAnsi="Calibri" w:cs="Calibri"/>
        </w:rPr>
        <w:t>ving</w:t>
      </w:r>
      <w:r w:rsidRPr="00755F09">
        <w:rPr>
          <w:rFonts w:ascii="Calibri" w:hAnsi="Calibri" w:cs="Calibri"/>
        </w:rPr>
        <w:t xml:space="preserve"> population</w:t>
      </w:r>
      <w:r>
        <w:rPr>
          <w:rFonts w:ascii="Calibri" w:hAnsi="Calibri" w:cs="Calibri"/>
        </w:rPr>
        <w:t xml:space="preserve"> health</w:t>
      </w:r>
      <w:r w:rsidRPr="00755F09">
        <w:rPr>
          <w:rFonts w:ascii="Calibri" w:hAnsi="Calibri" w:cs="Calibri"/>
        </w:rPr>
        <w:t xml:space="preserve">, but challenges </w:t>
      </w:r>
      <w:r>
        <w:rPr>
          <w:rFonts w:ascii="Calibri" w:hAnsi="Calibri" w:cs="Calibri"/>
        </w:rPr>
        <w:t>lie ahead</w:t>
      </w:r>
      <w:r w:rsidRPr="00755F09">
        <w:rPr>
          <w:rFonts w:ascii="Calibri" w:hAnsi="Calibri" w:cs="Calibri"/>
        </w:rPr>
        <w:t>. China has substantially improved the health of children and women and will continue to make good progress, although geographic disparities remain a great challenge. Meanwhile, China fac</w:t>
      </w:r>
      <w:r>
        <w:rPr>
          <w:rFonts w:ascii="Calibri" w:hAnsi="Calibri" w:cs="Calibri"/>
        </w:rPr>
        <w:t>ed</w:t>
      </w:r>
      <w:r w:rsidRPr="00755F09">
        <w:rPr>
          <w:rFonts w:ascii="Calibri" w:hAnsi="Calibri" w:cs="Calibri"/>
        </w:rPr>
        <w:t xml:space="preserve"> challenges in NCDs, mental health</w:t>
      </w:r>
      <w:r>
        <w:rPr>
          <w:rFonts w:ascii="Calibri" w:hAnsi="Calibri" w:cs="Calibri"/>
        </w:rPr>
        <w:t>,</w:t>
      </w:r>
      <w:r w:rsidRPr="00755F09">
        <w:rPr>
          <w:rFonts w:ascii="Calibri" w:hAnsi="Calibri" w:cs="Calibri"/>
        </w:rPr>
        <w:t xml:space="preserve"> and some infectious diseases. Poor control of health risk factors and worsening environmental threats have posed difficulties in further </w:t>
      </w:r>
      <w:r>
        <w:rPr>
          <w:rFonts w:ascii="Calibri" w:hAnsi="Calibri" w:cs="Calibri"/>
        </w:rPr>
        <w:t xml:space="preserve">health </w:t>
      </w:r>
      <w:r w:rsidRPr="00755F09">
        <w:rPr>
          <w:rFonts w:ascii="Calibri" w:hAnsi="Calibri" w:cs="Calibri"/>
        </w:rPr>
        <w:t>improv</w:t>
      </w:r>
      <w:r>
        <w:rPr>
          <w:rFonts w:ascii="Calibri" w:hAnsi="Calibri" w:cs="Calibri"/>
        </w:rPr>
        <w:t>ement</w:t>
      </w:r>
      <w:r w:rsidRPr="00755F09">
        <w:rPr>
          <w:rFonts w:ascii="Calibri" w:hAnsi="Calibri" w:cs="Calibri"/>
        </w:rPr>
        <w:t xml:space="preserve">. </w:t>
      </w:r>
      <w:r>
        <w:rPr>
          <w:rFonts w:ascii="Calibri" w:hAnsi="Calibri" w:cs="Calibri"/>
        </w:rPr>
        <w:t>Meanwhile</w:t>
      </w:r>
      <w:r w:rsidRPr="00755F09">
        <w:rPr>
          <w:rFonts w:ascii="Calibri" w:hAnsi="Calibri" w:cs="Calibri"/>
        </w:rPr>
        <w:t>, an inefficient health system is a barrier to tackling these challenges</w:t>
      </w:r>
      <w:r>
        <w:rPr>
          <w:rFonts w:ascii="Calibri" w:hAnsi="Calibri" w:cs="Calibri"/>
        </w:rPr>
        <w:t xml:space="preserve"> among such a rapidly</w:t>
      </w:r>
      <w:r w:rsidRPr="00755F09">
        <w:rPr>
          <w:rFonts w:ascii="Calibri" w:hAnsi="Calibri" w:cs="Calibri"/>
        </w:rPr>
        <w:t xml:space="preserve"> aging population. The eastern provinces are predicted to perform better than the central and western provinces, and women are predicted to be more likely than men to achieve </w:t>
      </w:r>
      <w:r>
        <w:rPr>
          <w:rFonts w:ascii="Calibri" w:hAnsi="Calibri" w:cs="Calibri"/>
        </w:rPr>
        <w:t xml:space="preserve">these </w:t>
      </w:r>
      <w:r w:rsidRPr="00755F09">
        <w:rPr>
          <w:rFonts w:ascii="Calibri" w:hAnsi="Calibri" w:cs="Calibri"/>
        </w:rPr>
        <w:t xml:space="preserve">targets by 2030. </w:t>
      </w:r>
      <w:r>
        <w:rPr>
          <w:rFonts w:ascii="Calibri" w:hAnsi="Calibri" w:cs="Calibri"/>
        </w:rPr>
        <w:t>In order to make good progress</w:t>
      </w:r>
      <w:r w:rsidRPr="00755F09">
        <w:rPr>
          <w:rFonts w:ascii="Calibri" w:hAnsi="Calibri" w:cs="Calibri"/>
        </w:rPr>
        <w:t xml:space="preserve">, China must take a series of concerted actions, including more investments in public goods and services for health </w:t>
      </w:r>
      <w:r>
        <w:rPr>
          <w:rFonts w:ascii="Calibri" w:hAnsi="Calibri" w:cs="Calibri"/>
        </w:rPr>
        <w:t xml:space="preserve">and </w:t>
      </w:r>
      <w:r w:rsidRPr="00755F09">
        <w:rPr>
          <w:rFonts w:ascii="Calibri" w:hAnsi="Calibri" w:cs="Calibri"/>
        </w:rPr>
        <w:t>redressing the intracountry inequities</w:t>
      </w:r>
      <w:r>
        <w:rPr>
          <w:rFonts w:ascii="Calibri" w:hAnsi="Calibri" w:cs="Calibri"/>
        </w:rPr>
        <w:t>.</w:t>
      </w:r>
      <w:r w:rsidRPr="00755F09">
        <w:rPr>
          <w:rFonts w:ascii="Calibri" w:hAnsi="Calibri" w:cs="Calibri"/>
        </w:rPr>
        <w:br w:type="page"/>
      </w:r>
    </w:p>
    <w:p w14:paraId="61E33621" w14:textId="77777777" w:rsidR="00B656F6" w:rsidRPr="00566686" w:rsidRDefault="00B656F6" w:rsidP="00B656F6">
      <w:pPr>
        <w:rPr>
          <w:rFonts w:ascii="Calibri" w:hAnsi="Calibri" w:cs="Calibri"/>
          <w:b/>
          <w:sz w:val="28"/>
          <w:szCs w:val="28"/>
        </w:rPr>
      </w:pPr>
      <w:r w:rsidRPr="00566686">
        <w:rPr>
          <w:rFonts w:ascii="Calibri" w:hAnsi="Calibri" w:cs="Calibri"/>
          <w:b/>
          <w:sz w:val="28"/>
          <w:szCs w:val="28"/>
        </w:rPr>
        <w:lastRenderedPageBreak/>
        <w:t>Author summary</w:t>
      </w:r>
    </w:p>
    <w:p w14:paraId="64A08553" w14:textId="77777777" w:rsidR="00B656F6" w:rsidRPr="00755F09" w:rsidRDefault="00B656F6" w:rsidP="00B656F6">
      <w:pPr>
        <w:rPr>
          <w:rFonts w:ascii="Calibri" w:hAnsi="Calibri" w:cs="Calibri"/>
          <w:b/>
        </w:rPr>
      </w:pPr>
      <w:r w:rsidRPr="00755F09">
        <w:rPr>
          <w:rFonts w:ascii="Calibri" w:hAnsi="Calibri" w:cs="Calibri"/>
          <w:b/>
        </w:rPr>
        <w:t>Why was the study done?</w:t>
      </w:r>
    </w:p>
    <w:p w14:paraId="7D27AC39" w14:textId="77777777" w:rsidR="00B656F6" w:rsidRPr="00755F09" w:rsidRDefault="00B656F6" w:rsidP="00B656F6">
      <w:pPr>
        <w:pStyle w:val="af"/>
        <w:numPr>
          <w:ilvl w:val="0"/>
          <w:numId w:val="14"/>
        </w:numPr>
        <w:rPr>
          <w:rFonts w:cs="Calibri"/>
        </w:rPr>
      </w:pPr>
      <w:r w:rsidRPr="00755F09">
        <w:rPr>
          <w:rFonts w:cs="Calibri"/>
        </w:rPr>
        <w:t xml:space="preserve">China has made impressive progress in the </w:t>
      </w:r>
      <w:r>
        <w:rPr>
          <w:rFonts w:cs="Calibri"/>
        </w:rPr>
        <w:t>M</w:t>
      </w:r>
      <w:r w:rsidRPr="00755F09">
        <w:rPr>
          <w:rFonts w:cs="Calibri"/>
        </w:rPr>
        <w:t xml:space="preserve">illennium </w:t>
      </w:r>
      <w:r>
        <w:rPr>
          <w:rFonts w:cs="Calibri"/>
        </w:rPr>
        <w:t>D</w:t>
      </w:r>
      <w:r w:rsidRPr="00755F09">
        <w:rPr>
          <w:rFonts w:cs="Calibri"/>
        </w:rPr>
        <w:t xml:space="preserve">evelopment </w:t>
      </w:r>
      <w:r>
        <w:rPr>
          <w:rFonts w:cs="Calibri"/>
        </w:rPr>
        <w:t>G</w:t>
      </w:r>
      <w:r w:rsidRPr="00755F09">
        <w:rPr>
          <w:rFonts w:cs="Calibri"/>
        </w:rPr>
        <w:t>oals (MDGs) era, which ended in 2015.</w:t>
      </w:r>
    </w:p>
    <w:p w14:paraId="7606F633" w14:textId="77777777" w:rsidR="00B656F6" w:rsidRPr="00755F09" w:rsidRDefault="00B656F6" w:rsidP="00B656F6">
      <w:pPr>
        <w:pStyle w:val="af"/>
        <w:numPr>
          <w:ilvl w:val="0"/>
          <w:numId w:val="14"/>
        </w:numPr>
        <w:rPr>
          <w:rFonts w:cs="Calibri"/>
        </w:rPr>
      </w:pPr>
      <w:r w:rsidRPr="00755F09">
        <w:rPr>
          <w:rFonts w:cs="Calibri"/>
        </w:rPr>
        <w:t xml:space="preserve">Despite China’s success in achieving the MDGs, it faces formidable challenges in achieving many targets in the health-related </w:t>
      </w:r>
      <w:r>
        <w:rPr>
          <w:rFonts w:cs="Calibri"/>
        </w:rPr>
        <w:t>S</w:t>
      </w:r>
      <w:r w:rsidRPr="00755F09">
        <w:rPr>
          <w:rFonts w:cs="Calibri"/>
        </w:rPr>
        <w:t xml:space="preserve">ustainable </w:t>
      </w:r>
      <w:r>
        <w:rPr>
          <w:rFonts w:cs="Calibri"/>
        </w:rPr>
        <w:t>D</w:t>
      </w:r>
      <w:r w:rsidRPr="00755F09">
        <w:rPr>
          <w:rFonts w:cs="Calibri"/>
        </w:rPr>
        <w:t xml:space="preserve">evelopment </w:t>
      </w:r>
      <w:r>
        <w:rPr>
          <w:rFonts w:cs="Calibri"/>
        </w:rPr>
        <w:t>G</w:t>
      </w:r>
      <w:r w:rsidRPr="00755F09">
        <w:rPr>
          <w:rFonts w:cs="Calibri"/>
        </w:rPr>
        <w:t>oals (SDGs), which have a 2030 target date.</w:t>
      </w:r>
    </w:p>
    <w:p w14:paraId="041FE729" w14:textId="77777777" w:rsidR="00B656F6" w:rsidRPr="00755F09" w:rsidRDefault="00B656F6" w:rsidP="00B656F6">
      <w:pPr>
        <w:pStyle w:val="af"/>
        <w:numPr>
          <w:ilvl w:val="0"/>
          <w:numId w:val="14"/>
        </w:numPr>
        <w:shd w:val="clear" w:color="auto" w:fill="FFFFFF"/>
        <w:snapToGrid w:val="0"/>
        <w:spacing w:after="240"/>
        <w:rPr>
          <w:rFonts w:asciiTheme="minorHAnsi" w:eastAsia="Times New Roman" w:hAnsiTheme="minorHAnsi" w:cstheme="minorHAnsi"/>
          <w:color w:val="000000"/>
        </w:rPr>
      </w:pPr>
      <w:r w:rsidRPr="00755F09">
        <w:rPr>
          <w:rFonts w:asciiTheme="minorHAnsi" w:eastAsia="Times New Roman" w:hAnsiTheme="minorHAnsi" w:cstheme="minorBidi"/>
          <w:color w:val="000000"/>
        </w:rPr>
        <w:t>Understanding China’s current situation and progress toward achieving these goals is critical to the development of practical solutions for improving population health for its 1.</w:t>
      </w:r>
      <w:r>
        <w:rPr>
          <w:rFonts w:asciiTheme="minorHAnsi" w:eastAsia="Times New Roman" w:hAnsiTheme="minorHAnsi" w:cstheme="minorBidi"/>
          <w:color w:val="000000"/>
        </w:rPr>
        <w:t>4</w:t>
      </w:r>
      <w:r w:rsidRPr="00755F09">
        <w:rPr>
          <w:rFonts w:asciiTheme="minorHAnsi" w:eastAsia="Times New Roman" w:hAnsiTheme="minorHAnsi" w:cstheme="minorBidi"/>
          <w:color w:val="000000"/>
        </w:rPr>
        <w:t xml:space="preserve"> billion people in the SDG era.</w:t>
      </w:r>
    </w:p>
    <w:p w14:paraId="56F3C145" w14:textId="77777777" w:rsidR="00B656F6" w:rsidRPr="00755F09" w:rsidRDefault="00B656F6" w:rsidP="00B656F6">
      <w:pPr>
        <w:rPr>
          <w:rFonts w:ascii="Calibri" w:hAnsi="Calibri" w:cs="Calibri"/>
          <w:b/>
        </w:rPr>
      </w:pPr>
      <w:r w:rsidRPr="00755F09">
        <w:rPr>
          <w:rFonts w:ascii="Calibri" w:hAnsi="Calibri" w:cs="Calibri"/>
          <w:b/>
        </w:rPr>
        <w:t>What did the researchers do and find?</w:t>
      </w:r>
    </w:p>
    <w:p w14:paraId="604A68CE" w14:textId="77777777" w:rsidR="00B656F6" w:rsidRPr="00755F09" w:rsidRDefault="00B656F6" w:rsidP="00B656F6">
      <w:pPr>
        <w:pStyle w:val="af"/>
        <w:numPr>
          <w:ilvl w:val="0"/>
          <w:numId w:val="15"/>
        </w:numPr>
        <w:shd w:val="clear" w:color="auto" w:fill="FFFFFF"/>
        <w:snapToGrid w:val="0"/>
        <w:spacing w:after="240"/>
        <w:rPr>
          <w:rFonts w:ascii="Helvetica" w:eastAsia="Times New Roman" w:hAnsi="Helvetica" w:cs="Helvetica"/>
          <w:color w:val="000000"/>
          <w:sz w:val="24"/>
          <w:szCs w:val="24"/>
        </w:rPr>
      </w:pPr>
      <w:r w:rsidRPr="00755F09">
        <w:rPr>
          <w:rFonts w:asciiTheme="minorHAnsi" w:eastAsia="Times New Roman" w:hAnsiTheme="minorHAnsi" w:cstheme="minorHAnsi"/>
          <w:color w:val="000000"/>
        </w:rPr>
        <w:t>We conducted an analysis of progress toward the health-related SDGs using data from the Global Burden of Disease (GBD) Study 2016, national surveys, surveillance data from China, and qualitative study results.</w:t>
      </w:r>
    </w:p>
    <w:p w14:paraId="21A38087" w14:textId="77777777" w:rsidR="00B656F6" w:rsidRPr="00755F09" w:rsidRDefault="00B656F6" w:rsidP="00B656F6">
      <w:pPr>
        <w:pStyle w:val="af"/>
        <w:numPr>
          <w:ilvl w:val="0"/>
          <w:numId w:val="15"/>
        </w:numPr>
        <w:rPr>
          <w:rFonts w:cs="Calibri"/>
        </w:rPr>
      </w:pPr>
      <w:r w:rsidRPr="00755F09">
        <w:rPr>
          <w:rFonts w:cs="Calibri"/>
        </w:rPr>
        <w:t>We developed an index of the attainment of the health-related SDGs, using a scale of 0</w:t>
      </w:r>
      <w:r>
        <w:rPr>
          <w:rFonts w:cs="Calibri"/>
        </w:rPr>
        <w:t>–</w:t>
      </w:r>
      <w:r w:rsidRPr="00755F09">
        <w:rPr>
          <w:rFonts w:cs="Calibri"/>
        </w:rPr>
        <w:t>100 based on the absolute values of indicators.</w:t>
      </w:r>
    </w:p>
    <w:p w14:paraId="18867EC8" w14:textId="77777777" w:rsidR="00B656F6" w:rsidRPr="00755F09" w:rsidRDefault="00B656F6" w:rsidP="00B656F6">
      <w:pPr>
        <w:pStyle w:val="af"/>
        <w:numPr>
          <w:ilvl w:val="0"/>
          <w:numId w:val="15"/>
        </w:numPr>
        <w:rPr>
          <w:rFonts w:cs="Calibri"/>
        </w:rPr>
      </w:pPr>
      <w:r w:rsidRPr="00755F09">
        <w:rPr>
          <w:rFonts w:cs="Calibri"/>
        </w:rPr>
        <w:t>We adjusted the projection model developed by the GBD 2016 SDG collaborators to produce sex-specific estimates, stratified by province, and explore sex and regional disparities. Around 120 key informants were purposively approached for thematic interviews.</w:t>
      </w:r>
    </w:p>
    <w:p w14:paraId="7ABA79EC" w14:textId="77777777" w:rsidR="00B656F6" w:rsidRPr="00755F09" w:rsidRDefault="00B656F6" w:rsidP="00B656F6">
      <w:pPr>
        <w:pStyle w:val="af"/>
        <w:numPr>
          <w:ilvl w:val="0"/>
          <w:numId w:val="15"/>
        </w:numPr>
        <w:rPr>
          <w:rFonts w:cs="Calibri"/>
        </w:rPr>
      </w:pPr>
      <w:r w:rsidRPr="00755F09">
        <w:rPr>
          <w:rFonts w:cs="Calibri"/>
        </w:rPr>
        <w:t>This research found that China has achieved several health-related SDG targets</w:t>
      </w:r>
      <w:r>
        <w:rPr>
          <w:rFonts w:cs="Calibri"/>
        </w:rPr>
        <w:t>,</w:t>
      </w:r>
      <w:r w:rsidRPr="00755F09">
        <w:rPr>
          <w:rFonts w:cs="Calibri"/>
        </w:rPr>
        <w:t xml:space="preserve"> especially on child nutrition and maternal and child health and reproductive health. Nevertheless, China may only achieve 12 out of the 28 selected health-related SDG targets by 2030.</w:t>
      </w:r>
    </w:p>
    <w:p w14:paraId="5EE44692" w14:textId="77777777" w:rsidR="00B656F6" w:rsidRPr="00755F09" w:rsidRDefault="00B656F6" w:rsidP="00B656F6">
      <w:pPr>
        <w:pStyle w:val="af"/>
        <w:numPr>
          <w:ilvl w:val="0"/>
          <w:numId w:val="15"/>
        </w:numPr>
        <w:rPr>
          <w:rFonts w:cs="Calibri"/>
        </w:rPr>
      </w:pPr>
      <w:r w:rsidRPr="00755F09">
        <w:rPr>
          <w:rFonts w:cs="Calibri"/>
        </w:rPr>
        <w:t>There are daunting challenges ahead for China in achieving the targets for child overweight, infectious diseases, noncommunicable disease risk factors, environmental exposure factors</w:t>
      </w:r>
      <w:r>
        <w:rPr>
          <w:rFonts w:cs="Calibri"/>
        </w:rPr>
        <w:t>,</w:t>
      </w:r>
      <w:r w:rsidRPr="00755F09">
        <w:rPr>
          <w:rFonts w:cs="Calibri"/>
        </w:rPr>
        <w:t xml:space="preserve"> and universal health coverage.</w:t>
      </w:r>
    </w:p>
    <w:p w14:paraId="76744858" w14:textId="77777777" w:rsidR="00B656F6" w:rsidRPr="00755F09" w:rsidRDefault="00B656F6" w:rsidP="00B656F6">
      <w:pPr>
        <w:pStyle w:val="af"/>
        <w:numPr>
          <w:ilvl w:val="0"/>
          <w:numId w:val="15"/>
        </w:numPr>
        <w:rPr>
          <w:rFonts w:cs="Calibri"/>
        </w:rPr>
      </w:pPr>
      <w:r w:rsidRPr="00755F09">
        <w:rPr>
          <w:rFonts w:cs="Calibri"/>
        </w:rPr>
        <w:t>Regional disparities were substantial, with eastern coastal provinces generally performing better than central and western provinces in most of the indicators. Sex disparities were clear, with men at higher risk of excess mortality than women.</w:t>
      </w:r>
    </w:p>
    <w:p w14:paraId="66085B17" w14:textId="77777777" w:rsidR="00B656F6" w:rsidRPr="00755F09" w:rsidRDefault="00B656F6" w:rsidP="00B656F6">
      <w:pPr>
        <w:rPr>
          <w:rFonts w:ascii="Calibri" w:hAnsi="Calibri" w:cs="Calibri"/>
          <w:b/>
        </w:rPr>
      </w:pPr>
    </w:p>
    <w:p w14:paraId="699B7CC3" w14:textId="77777777" w:rsidR="00B656F6" w:rsidRPr="00755F09" w:rsidRDefault="00B656F6" w:rsidP="00B656F6">
      <w:pPr>
        <w:rPr>
          <w:rFonts w:ascii="Calibri" w:hAnsi="Calibri" w:cs="Calibri"/>
          <w:b/>
        </w:rPr>
      </w:pPr>
      <w:r w:rsidRPr="00755F09">
        <w:rPr>
          <w:rFonts w:ascii="Calibri" w:hAnsi="Calibri" w:cs="Calibri"/>
          <w:b/>
        </w:rPr>
        <w:t>What do these findings mean?</w:t>
      </w:r>
    </w:p>
    <w:p w14:paraId="0D0E24E7" w14:textId="77777777" w:rsidR="00B656F6" w:rsidRPr="00755F09" w:rsidRDefault="00B656F6" w:rsidP="00B656F6">
      <w:pPr>
        <w:pStyle w:val="af"/>
        <w:numPr>
          <w:ilvl w:val="0"/>
          <w:numId w:val="16"/>
        </w:numPr>
        <w:rPr>
          <w:rFonts w:cs="Calibri"/>
        </w:rPr>
      </w:pPr>
      <w:r w:rsidRPr="00755F09">
        <w:rPr>
          <w:rFonts w:cs="Calibri"/>
        </w:rPr>
        <w:t>To achieve the targets of the health-related SDGs, China must take a series of concerted actions, including increased investment in public goods and services for health, addressing the regional inequities, and tackling the emerging new health challenges to ensure that no</w:t>
      </w:r>
      <w:r>
        <w:rPr>
          <w:rFonts w:cs="Calibri"/>
        </w:rPr>
        <w:t xml:space="preserve"> </w:t>
      </w:r>
      <w:r w:rsidRPr="00755F09">
        <w:rPr>
          <w:rFonts w:cs="Calibri"/>
        </w:rPr>
        <w:t>one is left behind.</w:t>
      </w:r>
    </w:p>
    <w:p w14:paraId="72AA6025" w14:textId="77777777" w:rsidR="00B656F6" w:rsidRPr="00755F09" w:rsidRDefault="00B656F6" w:rsidP="00B656F6">
      <w:pPr>
        <w:pStyle w:val="af"/>
        <w:numPr>
          <w:ilvl w:val="0"/>
          <w:numId w:val="16"/>
        </w:numPr>
        <w:rPr>
          <w:rFonts w:cs="Calibri"/>
        </w:rPr>
      </w:pPr>
      <w:r w:rsidRPr="00755F09">
        <w:rPr>
          <w:rFonts w:cs="Calibri"/>
        </w:rPr>
        <w:t>In those areas where China has already achieved the SDG targets, the government should synthesize the experiences and good practices that can be applied to the regions/provinces that need to catch up to the level of health development witnessed in developed regions/provinces.</w:t>
      </w:r>
    </w:p>
    <w:p w14:paraId="0D376E6B" w14:textId="77777777" w:rsidR="00B656F6" w:rsidRPr="00755F09" w:rsidRDefault="00B656F6" w:rsidP="00B656F6">
      <w:pPr>
        <w:pStyle w:val="af"/>
        <w:numPr>
          <w:ilvl w:val="0"/>
          <w:numId w:val="16"/>
        </w:numPr>
        <w:shd w:val="clear" w:color="auto" w:fill="FFFFFF"/>
        <w:snapToGrid w:val="0"/>
        <w:spacing w:after="240"/>
        <w:rPr>
          <w:rFonts w:asciiTheme="minorHAnsi" w:eastAsia="Times New Roman" w:hAnsiTheme="minorHAnsi" w:cstheme="minorHAnsi"/>
          <w:color w:val="000000"/>
        </w:rPr>
      </w:pPr>
      <w:r w:rsidRPr="00755F09">
        <w:rPr>
          <w:rFonts w:asciiTheme="minorHAnsi" w:eastAsia="Times New Roman" w:hAnsiTheme="minorHAnsi" w:cstheme="minorHAnsi"/>
          <w:color w:val="000000"/>
        </w:rPr>
        <w:t>The Chinese government needs to examine the root causes of the challenges in achieving the health-related SDGs and develop an action plan to address these causes. The plan should prioritize key policy interventions for target populations and mobilize adequate resources to tackle these health challenges.</w:t>
      </w:r>
    </w:p>
    <w:p w14:paraId="2293C5D5" w14:textId="77777777" w:rsidR="00B656F6" w:rsidRPr="00755F09" w:rsidRDefault="00B656F6" w:rsidP="00B656F6">
      <w:pPr>
        <w:pStyle w:val="af"/>
        <w:numPr>
          <w:ilvl w:val="0"/>
          <w:numId w:val="16"/>
        </w:numPr>
        <w:rPr>
          <w:rFonts w:cs="Calibri"/>
          <w:b/>
        </w:rPr>
      </w:pPr>
      <w:r w:rsidRPr="00755F09">
        <w:rPr>
          <w:rFonts w:cs="Calibri"/>
        </w:rPr>
        <w:t xml:space="preserve">It is important to address common problems by tackling cross-cutting issues in advancing the health-related SDGs, such as strengthening the enforcement of laws and regulations, establishing effective organizational structures, and human resources development. </w:t>
      </w:r>
      <w:r w:rsidRPr="00755F09">
        <w:rPr>
          <w:rFonts w:cs="Calibri"/>
          <w:b/>
        </w:rPr>
        <w:br w:type="page"/>
      </w:r>
    </w:p>
    <w:p w14:paraId="1A193062" w14:textId="77777777" w:rsidR="00B656F6" w:rsidRPr="00566686" w:rsidRDefault="00B656F6" w:rsidP="00B656F6">
      <w:pPr>
        <w:outlineLvl w:val="0"/>
        <w:rPr>
          <w:rFonts w:ascii="Calibri" w:hAnsi="Calibri" w:cs="Calibri"/>
          <w:b/>
          <w:sz w:val="28"/>
          <w:szCs w:val="28"/>
        </w:rPr>
      </w:pPr>
      <w:r w:rsidRPr="00566686">
        <w:rPr>
          <w:rFonts w:ascii="Calibri" w:hAnsi="Calibri" w:cs="Calibri"/>
          <w:b/>
          <w:sz w:val="28"/>
          <w:szCs w:val="28"/>
        </w:rPr>
        <w:lastRenderedPageBreak/>
        <w:t>Introduction</w:t>
      </w:r>
    </w:p>
    <w:p w14:paraId="5361D553" w14:textId="77777777" w:rsidR="00B656F6" w:rsidRPr="00755F09" w:rsidRDefault="00B656F6" w:rsidP="00B656F6">
      <w:pPr>
        <w:rPr>
          <w:rFonts w:ascii="Calibri" w:hAnsi="Calibri" w:cs="Calibri"/>
        </w:rPr>
      </w:pPr>
      <w:r w:rsidRPr="00755F09">
        <w:rPr>
          <w:rFonts w:ascii="Calibri" w:hAnsi="Calibri" w:cs="Calibri"/>
        </w:rPr>
        <w:t>China has achieved almost all of the Millennium Development Goals (MDGs)</w:t>
      </w:r>
      <w:r>
        <w:rPr>
          <w:rFonts w:ascii="Calibri" w:hAnsi="Calibri" w:cs="Calibri"/>
        </w:rPr>
        <w:t xml:space="preserve"> [</w:t>
      </w:r>
      <w:r w:rsidRPr="00755F09">
        <w:fldChar w:fldCharType="begin"/>
      </w:r>
      <w:r w:rsidRPr="00755F09">
        <w:rPr>
          <w:rFonts w:ascii="Calibri" w:hAnsi="Calibri" w:cs="Calibri"/>
        </w:rPr>
        <w:instrText xml:space="preserve"> REF _Ref533202192 \r \h  \* MERGEFORMAT </w:instrText>
      </w:r>
      <w:r w:rsidRPr="00755F09">
        <w:rPr>
          <w:rFonts w:ascii="Calibri" w:hAnsi="Calibri" w:cs="Calibri"/>
        </w:rPr>
        <w:fldChar w:fldCharType="separate"/>
      </w:r>
      <w:r>
        <w:rPr>
          <w:rFonts w:ascii="Calibri" w:hAnsi="Calibri" w:cs="Calibri"/>
        </w:rPr>
        <w:t>1</w:t>
      </w:r>
      <w:r w:rsidRPr="00755F09">
        <w:fldChar w:fldCharType="end"/>
      </w:r>
      <w:r w:rsidRPr="00755F09">
        <w:rPr>
          <w:rFonts w:ascii="Calibri" w:hAnsi="Calibri" w:cs="Calibri"/>
        </w:rPr>
        <w:t>], including substantial reductions in extreme poverty, increased access to primary and secondary education, and improved environmental sustainability and gender equality. On three health-related MDGs, China exceeded average progress globally between 1990 and 2015</w:t>
      </w:r>
      <w:r>
        <w:rPr>
          <w:rFonts w:ascii="Calibri" w:hAnsi="Calibri" w:cs="Calibri"/>
        </w:rPr>
        <w:t xml:space="preserve"> [</w:t>
      </w:r>
      <w:r w:rsidRPr="00755F09">
        <w:fldChar w:fldCharType="begin"/>
      </w:r>
      <w:r w:rsidRPr="00755F09">
        <w:rPr>
          <w:rFonts w:ascii="Calibri" w:hAnsi="Calibri" w:cs="Calibri"/>
        </w:rPr>
        <w:instrText xml:space="preserve"> REF _Ref522816589 \r \h  \* MERGEFORMAT </w:instrText>
      </w:r>
      <w:r w:rsidRPr="00755F09">
        <w:rPr>
          <w:rFonts w:ascii="Calibri" w:hAnsi="Calibri" w:cs="Calibri"/>
        </w:rPr>
        <w:fldChar w:fldCharType="separate"/>
      </w:r>
      <w:r>
        <w:rPr>
          <w:rFonts w:ascii="Calibri" w:hAnsi="Calibri" w:cs="Calibri"/>
        </w:rPr>
        <w:t>2</w:t>
      </w:r>
      <w:r w:rsidRPr="00755F09">
        <w:fldChar w:fldCharType="end"/>
      </w:r>
      <w:r w:rsidRPr="00755F09">
        <w:rPr>
          <w:rFonts w:ascii="Calibri" w:hAnsi="Calibri" w:cs="Calibri"/>
        </w:rPr>
        <w:t>]. This includes an average reduction in neonatal, infant</w:t>
      </w:r>
      <w:r>
        <w:rPr>
          <w:rFonts w:ascii="Calibri" w:hAnsi="Calibri" w:cs="Calibri"/>
        </w:rPr>
        <w:t>,</w:t>
      </w:r>
      <w:r w:rsidRPr="00755F09">
        <w:rPr>
          <w:rFonts w:ascii="Calibri" w:hAnsi="Calibri" w:cs="Calibri"/>
        </w:rPr>
        <w:t xml:space="preserve"> and under-five mortality of over 80% and a reduction of 74</w:t>
      </w:r>
      <w:r>
        <w:rPr>
          <w:rFonts w:ascii="Calibri" w:hAnsi="Calibri" w:cs="Calibri"/>
        </w:rPr>
        <w:t>.</w:t>
      </w:r>
      <w:r w:rsidRPr="00755F09">
        <w:rPr>
          <w:rFonts w:ascii="Calibri" w:hAnsi="Calibri" w:cs="Calibri"/>
        </w:rPr>
        <w:t>9% in maternal mortality</w:t>
      </w:r>
      <w:r>
        <w:rPr>
          <w:rFonts w:ascii="Calibri" w:hAnsi="Calibri" w:cs="Calibri"/>
        </w:rPr>
        <w:t xml:space="preserve"> [</w:t>
      </w:r>
      <w:r w:rsidRPr="00755F09">
        <w:fldChar w:fldCharType="begin"/>
      </w:r>
      <w:r w:rsidRPr="00755F09">
        <w:rPr>
          <w:rFonts w:ascii="Calibri" w:hAnsi="Calibri" w:cs="Calibri"/>
        </w:rPr>
        <w:instrText xml:space="preserve"> REF _Ref522816471 \r  \* MERGEFORMAT </w:instrText>
      </w:r>
      <w:r w:rsidRPr="00755F09">
        <w:rPr>
          <w:rFonts w:ascii="Calibri" w:hAnsi="Calibri" w:cs="Calibri"/>
        </w:rPr>
        <w:fldChar w:fldCharType="separate"/>
      </w:r>
      <w:r>
        <w:rPr>
          <w:rFonts w:ascii="Calibri" w:hAnsi="Calibri" w:cs="Calibri"/>
        </w:rPr>
        <w:t>3</w:t>
      </w:r>
      <w:r w:rsidRPr="00755F09">
        <w:fldChar w:fldCharType="end"/>
      </w:r>
      <w:r w:rsidRPr="00755F09">
        <w:rPr>
          <w:rFonts w:ascii="Calibri" w:hAnsi="Calibri" w:cs="Calibri"/>
        </w:rPr>
        <w:t>]. HIV/AIDS prevalence has remained low, with over 80% of eligible patients receiving antiretroviral treatment</w:t>
      </w:r>
      <w:r>
        <w:rPr>
          <w:rFonts w:ascii="Calibri" w:hAnsi="Calibri" w:cs="Calibri"/>
        </w:rPr>
        <w:t xml:space="preserve"> [</w:t>
      </w:r>
      <w:r w:rsidRPr="00755F09">
        <w:fldChar w:fldCharType="begin"/>
      </w:r>
      <w:r w:rsidRPr="00755F09">
        <w:rPr>
          <w:rFonts w:ascii="Calibri" w:hAnsi="Calibri" w:cs="Calibri"/>
        </w:rPr>
        <w:instrText xml:space="preserve"> REF _Ref533202192 \r \h  \* MERGEFORMAT </w:instrText>
      </w:r>
      <w:r w:rsidRPr="00755F09">
        <w:rPr>
          <w:rFonts w:ascii="Calibri" w:hAnsi="Calibri" w:cs="Calibri"/>
        </w:rPr>
        <w:fldChar w:fldCharType="separate"/>
      </w:r>
      <w:r>
        <w:rPr>
          <w:rFonts w:ascii="Calibri" w:hAnsi="Calibri" w:cs="Calibri"/>
        </w:rPr>
        <w:t>1</w:t>
      </w:r>
      <w:r w:rsidRPr="00755F09">
        <w:fldChar w:fldCharType="end"/>
      </w:r>
      <w:r w:rsidRPr="00755F09">
        <w:rPr>
          <w:rFonts w:ascii="Calibri" w:hAnsi="Calibri" w:cs="Calibri"/>
        </w:rPr>
        <w:t>]. New cases of tuberculosis (TB) and malaria have continued to decline</w:t>
      </w:r>
      <w:r>
        <w:rPr>
          <w:rFonts w:ascii="Calibri" w:hAnsi="Calibri" w:cs="Calibri"/>
        </w:rPr>
        <w:t xml:space="preserve"> [</w:t>
      </w:r>
      <w:r w:rsidRPr="00755F09">
        <w:fldChar w:fldCharType="begin"/>
      </w:r>
      <w:r w:rsidRPr="00755F09">
        <w:rPr>
          <w:rFonts w:ascii="Calibri" w:hAnsi="Calibri" w:cs="Calibri"/>
        </w:rPr>
        <w:instrText xml:space="preserve"> REF _Ref522816471 \r \h  \* MERGEFORMAT </w:instrText>
      </w:r>
      <w:r w:rsidRPr="00755F09">
        <w:rPr>
          <w:rFonts w:ascii="Calibri" w:hAnsi="Calibri" w:cs="Calibri"/>
        </w:rPr>
        <w:fldChar w:fldCharType="separate"/>
      </w:r>
      <w:r>
        <w:rPr>
          <w:rFonts w:ascii="Calibri" w:hAnsi="Calibri" w:cs="Calibri"/>
        </w:rPr>
        <w:t>3</w:t>
      </w:r>
      <w:r w:rsidRPr="00755F09">
        <w:fldChar w:fldCharType="end"/>
      </w:r>
      <w:r w:rsidRPr="00755F09">
        <w:rPr>
          <w:rFonts w:ascii="Calibri" w:hAnsi="Calibri" w:cs="Calibri"/>
        </w:rPr>
        <w:t>]. The key drivers of success in achieving the MDGs in China include economic growth, increased public investment in health, the development of health-related laws and regulations, the establishment of state</w:t>
      </w:r>
      <w:r>
        <w:rPr>
          <w:rFonts w:ascii="Calibri" w:hAnsi="Calibri" w:cs="Calibri"/>
        </w:rPr>
        <w:t>-</w:t>
      </w:r>
      <w:r w:rsidRPr="00755F09">
        <w:rPr>
          <w:rFonts w:ascii="Calibri" w:hAnsi="Calibri" w:cs="Calibri"/>
        </w:rPr>
        <w:t>supported health insurance schemes to increase population coverage, and multisectoral coordination and collaboration domestically and internationally.</w:t>
      </w:r>
    </w:p>
    <w:p w14:paraId="6B41B40E" w14:textId="77777777" w:rsidR="00B656F6" w:rsidRPr="00755F09" w:rsidRDefault="00B656F6" w:rsidP="00B656F6">
      <w:pPr>
        <w:rPr>
          <w:rFonts w:ascii="Calibri" w:hAnsi="Calibri" w:cs="Calibri"/>
        </w:rPr>
      </w:pPr>
      <w:r w:rsidRPr="00755F09">
        <w:rPr>
          <w:rFonts w:ascii="Calibri" w:hAnsi="Calibri" w:cs="Calibri"/>
        </w:rPr>
        <w:t xml:space="preserve">Building on the success of the MDGs that ended in 2015, the United Nations (UN) Sustainable Development Goals (SDGs) constitute the new development agenda until 2030. Of the 17 SDG goals, only </w:t>
      </w:r>
      <w:r>
        <w:rPr>
          <w:rFonts w:ascii="Calibri" w:hAnsi="Calibri" w:cs="Calibri"/>
        </w:rPr>
        <w:t>g</w:t>
      </w:r>
      <w:r w:rsidRPr="00755F09">
        <w:rPr>
          <w:rFonts w:ascii="Calibri" w:hAnsi="Calibri" w:cs="Calibri"/>
        </w:rPr>
        <w:t>oal 3, “ensure healthy lives and promote well-being for all at all ages,” explicitly addresses health, although 10 other goals involve health-related indicators</w:t>
      </w:r>
      <w:r>
        <w:rPr>
          <w:rFonts w:ascii="Calibri" w:hAnsi="Calibri" w:cs="Calibri"/>
        </w:rPr>
        <w:t xml:space="preserve"> [</w:t>
      </w:r>
      <w:r w:rsidRPr="00755F09">
        <w:rPr>
          <w:rFonts w:ascii="Calibri" w:hAnsi="Calibri" w:cs="Calibri"/>
        </w:rPr>
        <w:fldChar w:fldCharType="begin"/>
      </w:r>
      <w:r w:rsidRPr="00755F09">
        <w:rPr>
          <w:rFonts w:ascii="Calibri" w:hAnsi="Calibri" w:cs="Calibri"/>
        </w:rPr>
        <w:instrText xml:space="preserve"> REF _Ref522893866 \r  \* MERGEFORMAT </w:instrText>
      </w:r>
      <w:r w:rsidRPr="00755F09">
        <w:rPr>
          <w:rFonts w:ascii="Calibri" w:hAnsi="Calibri" w:cs="Calibri"/>
        </w:rPr>
        <w:fldChar w:fldCharType="separate"/>
      </w:r>
      <w:r>
        <w:rPr>
          <w:rFonts w:ascii="Calibri" w:hAnsi="Calibri" w:cs="Calibri"/>
        </w:rPr>
        <w:t>4</w:t>
      </w:r>
      <w:r w:rsidRPr="00755F09">
        <w:rPr>
          <w:rFonts w:ascii="Calibri" w:hAnsi="Calibri" w:cs="Calibri"/>
        </w:rPr>
        <w:fldChar w:fldCharType="end"/>
      </w:r>
      <w:r w:rsidRPr="00755F09">
        <w:rPr>
          <w:rFonts w:ascii="Calibri" w:hAnsi="Calibri" w:cs="Calibri"/>
        </w:rPr>
        <w:t>,</w:t>
      </w:r>
      <w:r w:rsidRPr="00755F09">
        <w:rPr>
          <w:rFonts w:ascii="Calibri" w:hAnsi="Calibri" w:cs="Calibri"/>
        </w:rPr>
        <w:fldChar w:fldCharType="begin"/>
      </w:r>
      <w:r w:rsidRPr="00755F09">
        <w:rPr>
          <w:rFonts w:ascii="Calibri" w:hAnsi="Calibri" w:cs="Calibri"/>
        </w:rPr>
        <w:instrText xml:space="preserve"> REF _Ref522893869 \r  \* MERGEFORMAT </w:instrText>
      </w:r>
      <w:r w:rsidRPr="00755F09">
        <w:rPr>
          <w:rFonts w:ascii="Calibri" w:hAnsi="Calibri" w:cs="Calibri"/>
        </w:rPr>
        <w:fldChar w:fldCharType="separate"/>
      </w:r>
      <w:r>
        <w:rPr>
          <w:rFonts w:ascii="Calibri" w:hAnsi="Calibri" w:cs="Calibri"/>
        </w:rPr>
        <w:t>5</w:t>
      </w:r>
      <w:r w:rsidRPr="00755F09">
        <w:rPr>
          <w:rFonts w:ascii="Calibri" w:hAnsi="Calibri" w:cs="Calibri"/>
        </w:rPr>
        <w:fldChar w:fldCharType="end"/>
      </w:r>
      <w:r w:rsidRPr="00755F09">
        <w:rPr>
          <w:rFonts w:ascii="Calibri" w:hAnsi="Calibri" w:cs="Calibri"/>
        </w:rPr>
        <w:t>]. To monitor and evaluate the progress of member states, the Inter-Agency and Expert Group on SDG Indicators announced a total of 232 monitoring indicators, 50 of which are health</w:t>
      </w:r>
      <w:r>
        <w:rPr>
          <w:rFonts w:ascii="Calibri" w:hAnsi="Calibri" w:cs="Calibri"/>
        </w:rPr>
        <w:t xml:space="preserve"> </w:t>
      </w:r>
      <w:r w:rsidRPr="00755F09">
        <w:rPr>
          <w:rFonts w:ascii="Calibri" w:hAnsi="Calibri" w:cs="Calibri"/>
        </w:rPr>
        <w:t>related</w:t>
      </w:r>
      <w:r>
        <w:rPr>
          <w:rFonts w:ascii="Calibri" w:hAnsi="Calibri" w:cs="Calibri"/>
        </w:rPr>
        <w:t xml:space="preserve"> [</w:t>
      </w:r>
      <w:r w:rsidRPr="00755F09">
        <w:rPr>
          <w:rFonts w:ascii="Calibri" w:hAnsi="Calibri" w:cs="Calibri"/>
        </w:rPr>
        <w:fldChar w:fldCharType="begin"/>
      </w:r>
      <w:r w:rsidRPr="00755F09">
        <w:rPr>
          <w:rFonts w:ascii="Calibri" w:hAnsi="Calibri" w:cs="Calibri"/>
        </w:rPr>
        <w:instrText xml:space="preserve"> REF _Ref522894051 \r  \* MERGEFORMAT </w:instrText>
      </w:r>
      <w:r w:rsidRPr="00755F09">
        <w:rPr>
          <w:rFonts w:ascii="Calibri" w:hAnsi="Calibri" w:cs="Calibri"/>
        </w:rPr>
        <w:fldChar w:fldCharType="separate"/>
      </w:r>
      <w:r>
        <w:rPr>
          <w:rFonts w:ascii="Calibri" w:hAnsi="Calibri" w:cs="Calibri"/>
        </w:rPr>
        <w:t>6</w:t>
      </w:r>
      <w:r w:rsidRPr="00755F09">
        <w:rPr>
          <w:rFonts w:ascii="Calibri" w:hAnsi="Calibri" w:cs="Calibri"/>
        </w:rPr>
        <w:fldChar w:fldCharType="end"/>
      </w:r>
      <w:r w:rsidRPr="00755F09">
        <w:rPr>
          <w:rFonts w:ascii="Calibri" w:hAnsi="Calibri" w:cs="Calibri"/>
        </w:rPr>
        <w:t xml:space="preserve">]. A number of initiatives have been launched to track global progress toward health-related SDGs, including </w:t>
      </w:r>
      <w:r w:rsidRPr="00755F09">
        <w:rPr>
          <w:rFonts w:ascii="Calibri" w:hAnsi="Calibri" w:cs="Calibri"/>
          <w:i/>
        </w:rPr>
        <w:t>Monitoring Health for the SDGs</w:t>
      </w:r>
      <w:r>
        <w:rPr>
          <w:rFonts w:ascii="Calibri" w:hAnsi="Calibri" w:cs="Calibri"/>
        </w:rPr>
        <w:t xml:space="preserve"> [</w:t>
      </w:r>
      <w:r w:rsidRPr="00755F09">
        <w:rPr>
          <w:rFonts w:ascii="Calibri" w:hAnsi="Calibri" w:cs="Calibri"/>
        </w:rPr>
        <w:fldChar w:fldCharType="begin"/>
      </w:r>
      <w:r w:rsidRPr="00755F09">
        <w:rPr>
          <w:rFonts w:ascii="Calibri" w:hAnsi="Calibri" w:cs="Calibri"/>
        </w:rPr>
        <w:instrText xml:space="preserve"> REF _Ref522894459 \r  \* MERGEFORMAT </w:instrText>
      </w:r>
      <w:r w:rsidRPr="00755F09">
        <w:rPr>
          <w:rFonts w:ascii="Calibri" w:hAnsi="Calibri" w:cs="Calibri"/>
        </w:rPr>
        <w:fldChar w:fldCharType="separate"/>
      </w:r>
      <w:r>
        <w:rPr>
          <w:rFonts w:ascii="Calibri" w:hAnsi="Calibri" w:cs="Calibri"/>
        </w:rPr>
        <w:t>7</w:t>
      </w:r>
      <w:r w:rsidRPr="00755F09">
        <w:rPr>
          <w:rFonts w:ascii="Calibri" w:hAnsi="Calibri" w:cs="Calibri"/>
        </w:rPr>
        <w:fldChar w:fldCharType="end"/>
      </w:r>
      <w:r w:rsidRPr="00755F09">
        <w:rPr>
          <w:rFonts w:ascii="Calibri" w:hAnsi="Calibri" w:cs="Calibri"/>
        </w:rPr>
        <w:t xml:space="preserve">], </w:t>
      </w:r>
      <w:r w:rsidRPr="00755F09">
        <w:rPr>
          <w:rFonts w:ascii="Calibri" w:hAnsi="Calibri" w:cs="Calibri"/>
          <w:i/>
        </w:rPr>
        <w:t>Atlas of the SDGs</w:t>
      </w:r>
      <w:r>
        <w:rPr>
          <w:rFonts w:ascii="Calibri" w:hAnsi="Calibri" w:cs="Calibri"/>
        </w:rPr>
        <w:t xml:space="preserve"> [</w:t>
      </w:r>
      <w:r w:rsidRPr="00755F09">
        <w:rPr>
          <w:rFonts w:ascii="Calibri" w:hAnsi="Calibri" w:cs="Calibri"/>
        </w:rPr>
        <w:fldChar w:fldCharType="begin"/>
      </w:r>
      <w:r w:rsidRPr="00755F09">
        <w:rPr>
          <w:rFonts w:ascii="Calibri" w:hAnsi="Calibri" w:cs="Calibri"/>
        </w:rPr>
        <w:instrText xml:space="preserve"> REF _Ref522894642 \r  \* MERGEFORMAT </w:instrText>
      </w:r>
      <w:r w:rsidRPr="00755F09">
        <w:rPr>
          <w:rFonts w:ascii="Calibri" w:hAnsi="Calibri" w:cs="Calibri"/>
        </w:rPr>
        <w:fldChar w:fldCharType="separate"/>
      </w:r>
      <w:r>
        <w:rPr>
          <w:rFonts w:ascii="Calibri" w:hAnsi="Calibri" w:cs="Calibri"/>
        </w:rPr>
        <w:t>8</w:t>
      </w:r>
      <w:r w:rsidRPr="00755F09">
        <w:rPr>
          <w:rFonts w:ascii="Calibri" w:hAnsi="Calibri" w:cs="Calibri"/>
        </w:rPr>
        <w:fldChar w:fldCharType="end"/>
      </w:r>
      <w:r w:rsidRPr="00755F09">
        <w:rPr>
          <w:rFonts w:ascii="Calibri" w:hAnsi="Calibri" w:cs="Calibri"/>
        </w:rPr>
        <w:t xml:space="preserve">], </w:t>
      </w:r>
      <w:r w:rsidRPr="00755F09">
        <w:rPr>
          <w:rFonts w:ascii="Calibri" w:hAnsi="Calibri" w:cs="Calibri"/>
          <w:i/>
        </w:rPr>
        <w:t>Index and Dashboards</w:t>
      </w:r>
      <w:r>
        <w:rPr>
          <w:rFonts w:ascii="Calibri" w:hAnsi="Calibri" w:cs="Calibri"/>
          <w:i/>
        </w:rPr>
        <w:t xml:space="preserve"> </w:t>
      </w:r>
      <w:r w:rsidRPr="008F0944">
        <w:rPr>
          <w:rFonts w:ascii="Calibri" w:hAnsi="Calibri" w:cs="Calibri"/>
          <w:iCs/>
        </w:rPr>
        <w:t>[</w:t>
      </w:r>
      <w:r w:rsidRPr="00755F09">
        <w:rPr>
          <w:rFonts w:ascii="Calibri" w:hAnsi="Calibri" w:cs="Calibri"/>
        </w:rPr>
        <w:fldChar w:fldCharType="begin"/>
      </w:r>
      <w:r w:rsidRPr="00755F09">
        <w:rPr>
          <w:rFonts w:ascii="Calibri" w:hAnsi="Calibri" w:cs="Calibri"/>
        </w:rPr>
        <w:instrText xml:space="preserve"> REF _Ref522894810 \r  \* MERGEFORMAT </w:instrText>
      </w:r>
      <w:r w:rsidRPr="00755F09">
        <w:rPr>
          <w:rFonts w:ascii="Calibri" w:hAnsi="Calibri" w:cs="Calibri"/>
        </w:rPr>
        <w:fldChar w:fldCharType="separate"/>
      </w:r>
      <w:r>
        <w:rPr>
          <w:rFonts w:ascii="Calibri" w:hAnsi="Calibri" w:cs="Calibri"/>
        </w:rPr>
        <w:t>9</w:t>
      </w:r>
      <w:r w:rsidRPr="00755F09">
        <w:rPr>
          <w:rFonts w:ascii="Calibri" w:hAnsi="Calibri" w:cs="Calibri"/>
        </w:rPr>
        <w:fldChar w:fldCharType="end"/>
      </w:r>
      <w:r w:rsidRPr="00755F09">
        <w:rPr>
          <w:rFonts w:ascii="Calibri" w:hAnsi="Calibri" w:cs="Calibri"/>
        </w:rPr>
        <w:t xml:space="preserve">], and </w:t>
      </w:r>
      <w:r w:rsidRPr="00755F09">
        <w:rPr>
          <w:rFonts w:ascii="Calibri" w:hAnsi="Calibri" w:cs="Calibri"/>
          <w:i/>
        </w:rPr>
        <w:t xml:space="preserve">Global Burden of Disease (GBD) </w:t>
      </w:r>
      <w:r>
        <w:rPr>
          <w:rFonts w:ascii="Calibri" w:hAnsi="Calibri" w:cs="Calibri"/>
          <w:i/>
        </w:rPr>
        <w:t>S</w:t>
      </w:r>
      <w:r w:rsidRPr="00755F09">
        <w:rPr>
          <w:rFonts w:ascii="Calibri" w:hAnsi="Calibri" w:cs="Calibri"/>
          <w:i/>
        </w:rPr>
        <w:t>tudy</w:t>
      </w:r>
      <w:r>
        <w:rPr>
          <w:rFonts w:ascii="Calibri" w:hAnsi="Calibri" w:cs="Calibri"/>
        </w:rPr>
        <w:t xml:space="preserve"> [</w:t>
      </w:r>
      <w:r w:rsidRPr="00755F09">
        <w:rPr>
          <w:rFonts w:ascii="Calibri" w:hAnsi="Calibri" w:cs="Calibri"/>
        </w:rPr>
        <w:fldChar w:fldCharType="begin"/>
      </w:r>
      <w:r w:rsidRPr="00755F09">
        <w:rPr>
          <w:rFonts w:ascii="Calibri" w:hAnsi="Calibri" w:cs="Calibri"/>
        </w:rPr>
        <w:instrText xml:space="preserve"> REF _Ref522894910 \r  \* MERGEFORMAT </w:instrText>
      </w:r>
      <w:r w:rsidRPr="00755F09">
        <w:rPr>
          <w:rFonts w:ascii="Calibri" w:hAnsi="Calibri" w:cs="Calibri"/>
        </w:rPr>
        <w:fldChar w:fldCharType="separate"/>
      </w:r>
      <w:r>
        <w:rPr>
          <w:rFonts w:ascii="Calibri" w:hAnsi="Calibri" w:cs="Calibri"/>
        </w:rPr>
        <w:t>10</w:t>
      </w:r>
      <w:r w:rsidRPr="00755F09">
        <w:rPr>
          <w:rFonts w:ascii="Calibri" w:hAnsi="Calibri" w:cs="Calibri"/>
        </w:rPr>
        <w:fldChar w:fldCharType="end"/>
      </w:r>
      <w:r w:rsidRPr="00755F09">
        <w:rPr>
          <w:rFonts w:ascii="Calibri" w:hAnsi="Calibri" w:cs="Calibri"/>
        </w:rPr>
        <w:t>].</w:t>
      </w:r>
    </w:p>
    <w:p w14:paraId="52A5744C" w14:textId="77777777" w:rsidR="00B656F6" w:rsidRPr="00755F09" w:rsidRDefault="00B656F6" w:rsidP="00B656F6">
      <w:pPr>
        <w:rPr>
          <w:rFonts w:ascii="Calibri" w:hAnsi="Calibri" w:cs="Calibri"/>
        </w:rPr>
      </w:pPr>
      <w:r w:rsidRPr="00755F09">
        <w:rPr>
          <w:rFonts w:ascii="Calibri" w:hAnsi="Calibri" w:cs="Calibri"/>
        </w:rPr>
        <w:t>China faces formidable challenges in achieving the health-related SDGs. A recent analysis of the GBD 2017 study found that China ranked 88</w:t>
      </w:r>
      <w:r w:rsidRPr="008F0944">
        <w:rPr>
          <w:rFonts w:ascii="Calibri" w:hAnsi="Calibri" w:cs="Calibri"/>
        </w:rPr>
        <w:t>th</w:t>
      </w:r>
      <w:r w:rsidRPr="00755F09">
        <w:rPr>
          <w:rFonts w:ascii="Calibri" w:hAnsi="Calibri" w:cs="Calibri"/>
        </w:rPr>
        <w:t xml:space="preserve"> among the 195 countries and territories evaluated based on the health-related SDG index, an overall measure of the 41 health-related SDG indicators (</w:t>
      </w:r>
      <w:r>
        <w:rPr>
          <w:rFonts w:ascii="Calibri" w:hAnsi="Calibri" w:cs="Calibri"/>
        </w:rPr>
        <w:t xml:space="preserve">the </w:t>
      </w:r>
      <w:r w:rsidRPr="00755F09">
        <w:rPr>
          <w:rFonts w:ascii="Calibri" w:hAnsi="Calibri" w:cs="Calibri"/>
        </w:rPr>
        <w:t xml:space="preserve">definition of </w:t>
      </w:r>
      <w:r>
        <w:rPr>
          <w:rFonts w:ascii="Calibri" w:hAnsi="Calibri" w:cs="Calibri"/>
        </w:rPr>
        <w:t>each</w:t>
      </w:r>
      <w:r w:rsidRPr="00755F09">
        <w:rPr>
          <w:rFonts w:ascii="Calibri" w:hAnsi="Calibri" w:cs="Calibri"/>
        </w:rPr>
        <w:t xml:space="preserve"> indicator can be found in another article published elsewhere) [</w:t>
      </w:r>
      <w:r w:rsidRPr="00755F09">
        <w:fldChar w:fldCharType="begin"/>
      </w:r>
      <w:r w:rsidRPr="00755F09">
        <w:rPr>
          <w:rFonts w:ascii="Calibri" w:hAnsi="Calibri" w:cs="Calibri"/>
        </w:rPr>
        <w:instrText xml:space="preserve"> REF _Ref522894910 \r  \* MERGEFORMAT </w:instrText>
      </w:r>
      <w:r w:rsidRPr="00755F09">
        <w:rPr>
          <w:rFonts w:ascii="Calibri" w:hAnsi="Calibri" w:cs="Calibri"/>
        </w:rPr>
        <w:fldChar w:fldCharType="separate"/>
      </w:r>
      <w:r>
        <w:rPr>
          <w:rFonts w:ascii="Calibri" w:hAnsi="Calibri" w:cs="Calibri"/>
        </w:rPr>
        <w:t>10</w:t>
      </w:r>
      <w:r w:rsidRPr="00755F09">
        <w:fldChar w:fldCharType="end"/>
      </w:r>
      <w:r w:rsidRPr="00755F09">
        <w:rPr>
          <w:rFonts w:ascii="Calibri" w:hAnsi="Calibri" w:cs="Calibri"/>
        </w:rPr>
        <w:t>]. China scored 62 in the health-related SDG index, slightly higher than the global median index of 59.4 but much lower than the top three countries, which all scored ≥83</w:t>
      </w:r>
      <w:r>
        <w:rPr>
          <w:rFonts w:ascii="Calibri" w:hAnsi="Calibri" w:cs="Calibri"/>
        </w:rPr>
        <w:t>.</w:t>
      </w:r>
      <w:r w:rsidRPr="00755F09">
        <w:rPr>
          <w:rFonts w:ascii="Calibri" w:hAnsi="Calibri" w:cs="Calibri"/>
        </w:rPr>
        <w:t xml:space="preserve">0. China performed especially poorly in hepatitis B incidence, air pollution mortality, poisoning mortality, </w:t>
      </w:r>
      <w:r>
        <w:rPr>
          <w:rFonts w:ascii="Calibri" w:hAnsi="Calibri" w:cs="Calibri"/>
        </w:rPr>
        <w:t xml:space="preserve">and </w:t>
      </w:r>
      <w:r w:rsidRPr="00755F09">
        <w:rPr>
          <w:rFonts w:ascii="Calibri" w:hAnsi="Calibri" w:cs="Calibri"/>
        </w:rPr>
        <w:t xml:space="preserve">mean </w:t>
      </w:r>
      <w:r>
        <w:rPr>
          <w:rFonts w:ascii="Calibri" w:hAnsi="Calibri" w:cs="Calibri"/>
        </w:rPr>
        <w:t>p</w:t>
      </w:r>
      <w:r w:rsidRPr="00755F09">
        <w:rPr>
          <w:rFonts w:ascii="Calibri" w:hAnsi="Calibri" w:cs="Calibri"/>
        </w:rPr>
        <w:t xml:space="preserve">articulate </w:t>
      </w:r>
      <w:r>
        <w:rPr>
          <w:rFonts w:ascii="Calibri" w:hAnsi="Calibri" w:cs="Calibri"/>
        </w:rPr>
        <w:t>m</w:t>
      </w:r>
      <w:r w:rsidRPr="00755F09">
        <w:rPr>
          <w:rFonts w:ascii="Calibri" w:hAnsi="Calibri" w:cs="Calibri"/>
        </w:rPr>
        <w:t xml:space="preserve">atter (PM) </w:t>
      </w:r>
      <w:r w:rsidRPr="008F0944">
        <w:rPr>
          <w:rFonts w:ascii="Calibri" w:hAnsi="Calibri" w:cs="Calibri"/>
        </w:rPr>
        <w:t>2.5</w:t>
      </w:r>
      <w:r w:rsidRPr="00755F09">
        <w:rPr>
          <w:rFonts w:ascii="Calibri" w:hAnsi="Calibri" w:cs="Calibri"/>
        </w:rPr>
        <w:t>, with the indices all below 40.</w:t>
      </w:r>
    </w:p>
    <w:p w14:paraId="306B6126" w14:textId="77777777" w:rsidR="00B656F6" w:rsidRPr="00755F09" w:rsidRDefault="00B656F6" w:rsidP="00B656F6">
      <w:pPr>
        <w:rPr>
          <w:rFonts w:ascii="Calibri" w:hAnsi="Calibri" w:cs="Calibri"/>
        </w:rPr>
      </w:pPr>
      <w:r w:rsidRPr="00755F09">
        <w:rPr>
          <w:rFonts w:ascii="Calibri" w:hAnsi="Calibri" w:cs="Calibri"/>
        </w:rPr>
        <w:t>China faces unique health challenges in addition to those common to middle-income countries. These include the highest hepatitis burden in the world, accounting for one-third of the 240 million people living with chronic hepatitis B</w:t>
      </w:r>
      <w:r>
        <w:rPr>
          <w:rFonts w:ascii="Calibri" w:hAnsi="Calibri" w:cs="Calibri"/>
        </w:rPr>
        <w:t xml:space="preserve"> [</w:t>
      </w:r>
      <w:r w:rsidRPr="00755F09">
        <w:rPr>
          <w:rFonts w:ascii="Calibri" w:hAnsi="Calibri" w:cs="Calibri"/>
        </w:rPr>
        <w:fldChar w:fldCharType="begin"/>
      </w:r>
      <w:r w:rsidRPr="00755F09">
        <w:rPr>
          <w:rFonts w:ascii="Calibri" w:hAnsi="Calibri" w:cs="Calibri"/>
        </w:rPr>
        <w:instrText xml:space="preserve"> REF _Ref524420188 \r  \* MERGEFORMAT </w:instrText>
      </w:r>
      <w:r w:rsidRPr="00755F09">
        <w:rPr>
          <w:rFonts w:ascii="Calibri" w:hAnsi="Calibri" w:cs="Calibri"/>
        </w:rPr>
        <w:fldChar w:fldCharType="separate"/>
      </w:r>
      <w:r>
        <w:rPr>
          <w:rFonts w:ascii="Calibri" w:hAnsi="Calibri" w:cs="Calibri"/>
        </w:rPr>
        <w:t>11</w:t>
      </w:r>
      <w:r w:rsidRPr="00755F09">
        <w:rPr>
          <w:rFonts w:ascii="Calibri" w:hAnsi="Calibri" w:cs="Calibri"/>
        </w:rPr>
        <w:fldChar w:fldCharType="end"/>
      </w:r>
      <w:r w:rsidRPr="00755F09">
        <w:rPr>
          <w:rFonts w:ascii="Calibri" w:hAnsi="Calibri" w:cs="Calibri"/>
        </w:rPr>
        <w:t>], and lacking an effective, comprehensive hepatitis disease control program. More than 300 million smokers live in China, around one-third of the world’s total, yet limited prevention measures exist</w:t>
      </w:r>
      <w:r>
        <w:rPr>
          <w:rFonts w:ascii="Calibri" w:hAnsi="Calibri" w:cs="Calibri"/>
        </w:rPr>
        <w:t xml:space="preserve"> [</w:t>
      </w:r>
      <w:r w:rsidRPr="00755F09">
        <w:rPr>
          <w:rFonts w:ascii="Calibri" w:hAnsi="Calibri" w:cs="Calibri"/>
        </w:rPr>
        <w:fldChar w:fldCharType="begin"/>
      </w:r>
      <w:r w:rsidRPr="00755F09">
        <w:rPr>
          <w:rFonts w:ascii="Calibri" w:hAnsi="Calibri" w:cs="Calibri"/>
        </w:rPr>
        <w:instrText xml:space="preserve"> REF _Ref522895716 \r  \* MERGEFORMAT </w:instrText>
      </w:r>
      <w:r w:rsidRPr="00755F09">
        <w:rPr>
          <w:rFonts w:ascii="Calibri" w:hAnsi="Calibri" w:cs="Calibri"/>
        </w:rPr>
        <w:fldChar w:fldCharType="separate"/>
      </w:r>
      <w:r>
        <w:rPr>
          <w:rFonts w:ascii="Calibri" w:hAnsi="Calibri" w:cs="Calibri"/>
        </w:rPr>
        <w:t>12</w:t>
      </w:r>
      <w:r w:rsidRPr="00755F09">
        <w:rPr>
          <w:rFonts w:ascii="Calibri" w:hAnsi="Calibri" w:cs="Calibri"/>
        </w:rPr>
        <w:fldChar w:fldCharType="end"/>
      </w:r>
      <w:r w:rsidRPr="00755F09">
        <w:rPr>
          <w:rFonts w:ascii="Calibri" w:hAnsi="Calibri" w:cs="Calibri"/>
        </w:rPr>
        <w:t>]. China accounted for around 35% of global deaths due to ambient air pollution in 2013 but faces substantial challenges to improve air quality</w:t>
      </w:r>
      <w:r>
        <w:rPr>
          <w:rFonts w:ascii="Calibri" w:hAnsi="Calibri" w:cs="Calibri"/>
        </w:rPr>
        <w:t xml:space="preserve"> [</w:t>
      </w:r>
      <w:r w:rsidRPr="00755F09">
        <w:rPr>
          <w:rFonts w:ascii="Calibri" w:hAnsi="Calibri" w:cs="Calibri"/>
        </w:rPr>
        <w:fldChar w:fldCharType="begin"/>
      </w:r>
      <w:r w:rsidRPr="00755F09">
        <w:rPr>
          <w:rFonts w:ascii="Calibri" w:hAnsi="Calibri" w:cs="Calibri"/>
        </w:rPr>
        <w:instrText xml:space="preserve"> REF _Ref522900164 \r  \* MERGEFORMAT </w:instrText>
      </w:r>
      <w:r w:rsidRPr="00755F09">
        <w:rPr>
          <w:rFonts w:ascii="Calibri" w:hAnsi="Calibri" w:cs="Calibri"/>
        </w:rPr>
        <w:fldChar w:fldCharType="separate"/>
      </w:r>
      <w:r>
        <w:rPr>
          <w:rFonts w:ascii="Calibri" w:hAnsi="Calibri" w:cs="Calibri"/>
        </w:rPr>
        <w:t>13</w:t>
      </w:r>
      <w:r w:rsidRPr="00755F09">
        <w:rPr>
          <w:rFonts w:ascii="Calibri" w:hAnsi="Calibri" w:cs="Calibri"/>
        </w:rPr>
        <w:fldChar w:fldCharType="end"/>
      </w:r>
      <w:r w:rsidRPr="00755F09">
        <w:rPr>
          <w:rFonts w:ascii="Calibri" w:hAnsi="Calibri" w:cs="Calibri"/>
        </w:rPr>
        <w:t>]. There are further significant challenges to reducing regional social and health disparities in the context of sluggish economic growth, enlarging income gaps, an aging population</w:t>
      </w:r>
      <w:r>
        <w:rPr>
          <w:rFonts w:ascii="Calibri" w:hAnsi="Calibri" w:cs="Calibri"/>
        </w:rPr>
        <w:t>,</w:t>
      </w:r>
      <w:r w:rsidRPr="00755F09">
        <w:rPr>
          <w:rFonts w:ascii="Calibri" w:hAnsi="Calibri" w:cs="Calibri"/>
        </w:rPr>
        <w:t xml:space="preserve"> and urbanization</w:t>
      </w:r>
      <w:r>
        <w:rPr>
          <w:rFonts w:ascii="Calibri" w:hAnsi="Calibri" w:cs="Calibri"/>
        </w:rPr>
        <w:t xml:space="preserve"> [</w:t>
      </w:r>
      <w:r w:rsidRPr="00755F09">
        <w:rPr>
          <w:rFonts w:ascii="Calibri" w:hAnsi="Calibri" w:cs="Calibri"/>
        </w:rPr>
        <w:fldChar w:fldCharType="begin"/>
      </w:r>
      <w:r w:rsidRPr="00755F09">
        <w:rPr>
          <w:rFonts w:ascii="Calibri" w:hAnsi="Calibri" w:cs="Calibri"/>
        </w:rPr>
        <w:instrText xml:space="preserve"> REF _Ref18950151 \r  \* MERGEFORMAT </w:instrText>
      </w:r>
      <w:r w:rsidRPr="00755F09">
        <w:rPr>
          <w:rFonts w:ascii="Calibri" w:hAnsi="Calibri" w:cs="Calibri"/>
        </w:rPr>
        <w:fldChar w:fldCharType="separate"/>
      </w:r>
      <w:r>
        <w:rPr>
          <w:rFonts w:ascii="Calibri" w:hAnsi="Calibri" w:cs="Calibri"/>
        </w:rPr>
        <w:t>14</w:t>
      </w:r>
      <w:r w:rsidRPr="00755F09">
        <w:rPr>
          <w:rFonts w:ascii="Calibri" w:hAnsi="Calibri" w:cs="Calibri"/>
        </w:rPr>
        <w:fldChar w:fldCharType="end"/>
      </w:r>
      <w:r w:rsidRPr="00755F09">
        <w:rPr>
          <w:rFonts w:ascii="Calibri" w:hAnsi="Calibri" w:cs="Calibri"/>
        </w:rPr>
        <w:t>].</w:t>
      </w:r>
    </w:p>
    <w:p w14:paraId="227ACAF8" w14:textId="77777777" w:rsidR="00B656F6" w:rsidRPr="00755F09" w:rsidRDefault="00B656F6" w:rsidP="00B656F6">
      <w:pPr>
        <w:rPr>
          <w:rFonts w:ascii="Calibri" w:hAnsi="Calibri" w:cs="Calibri"/>
        </w:rPr>
      </w:pPr>
      <w:r w:rsidRPr="00755F09">
        <w:rPr>
          <w:rFonts w:ascii="Calibri" w:hAnsi="Calibri" w:cs="Calibri"/>
        </w:rPr>
        <w:t xml:space="preserve">The Chinese government has made a strong political commitment to achieving the health-related SDG targets, particularly by issuing the Healthy China 2030 Planning Outline (Healthy China 2030) in 2016 by the State Council </w:t>
      </w:r>
      <w:r>
        <w:rPr>
          <w:rFonts w:ascii="Calibri" w:hAnsi="Calibri" w:cs="Calibri"/>
        </w:rPr>
        <w:t>[</w:t>
      </w:r>
      <w:r w:rsidRPr="00755F09">
        <w:rPr>
          <w:rFonts w:ascii="Calibri" w:hAnsi="Calibri" w:cs="Calibri"/>
        </w:rPr>
        <w:fldChar w:fldCharType="begin"/>
      </w:r>
      <w:r w:rsidRPr="00755F09">
        <w:rPr>
          <w:rFonts w:ascii="Calibri" w:hAnsi="Calibri" w:cs="Calibri"/>
        </w:rPr>
        <w:instrText xml:space="preserve"> REF _Ref18918803 \r  \* MERGEFORMAT </w:instrText>
      </w:r>
      <w:r w:rsidRPr="00755F09">
        <w:rPr>
          <w:rFonts w:ascii="Calibri" w:hAnsi="Calibri" w:cs="Calibri"/>
        </w:rPr>
        <w:fldChar w:fldCharType="separate"/>
      </w:r>
      <w:r>
        <w:rPr>
          <w:rFonts w:ascii="Calibri" w:hAnsi="Calibri" w:cs="Calibri"/>
        </w:rPr>
        <w:t>15</w:t>
      </w:r>
      <w:r w:rsidRPr="00755F09">
        <w:rPr>
          <w:rFonts w:ascii="Calibri" w:hAnsi="Calibri" w:cs="Calibri"/>
        </w:rPr>
        <w:fldChar w:fldCharType="end"/>
      </w:r>
      <w:r w:rsidRPr="00755F09">
        <w:rPr>
          <w:rFonts w:ascii="Calibri" w:hAnsi="Calibri" w:cs="Calibri"/>
        </w:rPr>
        <w:t>]</w:t>
      </w:r>
      <w:r>
        <w:rPr>
          <w:rFonts w:ascii="Calibri" w:hAnsi="Calibri" w:cs="Calibri"/>
        </w:rPr>
        <w:t>.</w:t>
      </w:r>
      <w:r w:rsidRPr="00755F09">
        <w:rPr>
          <w:rFonts w:ascii="Calibri" w:hAnsi="Calibri" w:cs="Calibri"/>
        </w:rPr>
        <w:t xml:space="preserve"> To support the achievement of these targets over the next 12 years, this study assesses the current situation of key health-related SDG indicators, grouped under different health topics, and analyzes the projected attainment of these indicators by the target year. The analysis examines regional and sex disparities whe</w:t>
      </w:r>
      <w:r>
        <w:rPr>
          <w:rFonts w:ascii="Calibri" w:hAnsi="Calibri" w:cs="Calibri"/>
        </w:rPr>
        <w:t>n</w:t>
      </w:r>
      <w:r w:rsidRPr="00755F09">
        <w:rPr>
          <w:rFonts w:ascii="Calibri" w:hAnsi="Calibri" w:cs="Calibri"/>
        </w:rPr>
        <w:t>ever possible. Implications of these key findings for China and globally are discussed.</w:t>
      </w:r>
    </w:p>
    <w:p w14:paraId="5BC94F9A" w14:textId="77777777" w:rsidR="00B656F6" w:rsidRPr="00566686" w:rsidRDefault="00B656F6" w:rsidP="00B656F6">
      <w:pPr>
        <w:outlineLvl w:val="0"/>
        <w:rPr>
          <w:rFonts w:ascii="Calibri" w:hAnsi="Calibri" w:cs="Calibri"/>
          <w:b/>
          <w:sz w:val="28"/>
          <w:szCs w:val="28"/>
        </w:rPr>
      </w:pPr>
      <w:r w:rsidRPr="00566686">
        <w:rPr>
          <w:rFonts w:ascii="Calibri" w:hAnsi="Calibri" w:cs="Calibri"/>
          <w:b/>
          <w:sz w:val="28"/>
          <w:szCs w:val="28"/>
        </w:rPr>
        <w:t>Methods</w:t>
      </w:r>
    </w:p>
    <w:p w14:paraId="54FFBA09" w14:textId="77777777" w:rsidR="00B656F6" w:rsidRPr="00566686" w:rsidRDefault="00B656F6" w:rsidP="00B656F6">
      <w:pPr>
        <w:outlineLvl w:val="0"/>
        <w:rPr>
          <w:rFonts w:ascii="Calibri" w:hAnsi="Calibri" w:cs="Calibri"/>
          <w:b/>
          <w:bCs/>
          <w:iCs/>
        </w:rPr>
      </w:pPr>
      <w:r w:rsidRPr="00566686">
        <w:rPr>
          <w:rFonts w:ascii="Calibri" w:hAnsi="Calibri" w:cs="Calibri"/>
          <w:b/>
          <w:bCs/>
          <w:iCs/>
        </w:rPr>
        <w:t xml:space="preserve">Sources of </w:t>
      </w:r>
      <w:r>
        <w:rPr>
          <w:rFonts w:ascii="Calibri" w:hAnsi="Calibri" w:cs="Calibri"/>
          <w:b/>
          <w:bCs/>
          <w:iCs/>
        </w:rPr>
        <w:t>d</w:t>
      </w:r>
      <w:r w:rsidRPr="00566686">
        <w:rPr>
          <w:rFonts w:ascii="Calibri" w:hAnsi="Calibri" w:cs="Calibri"/>
          <w:b/>
          <w:bCs/>
          <w:iCs/>
        </w:rPr>
        <w:t>ata</w:t>
      </w:r>
    </w:p>
    <w:p w14:paraId="7190C51B" w14:textId="77777777" w:rsidR="00B656F6" w:rsidRPr="00755F09" w:rsidRDefault="00B656F6" w:rsidP="00B656F6">
      <w:pPr>
        <w:rPr>
          <w:rFonts w:ascii="Calibri" w:hAnsi="Calibri" w:cs="Calibri"/>
        </w:rPr>
      </w:pPr>
      <w:r w:rsidRPr="00755F09">
        <w:rPr>
          <w:rFonts w:ascii="Calibri" w:hAnsi="Calibri" w:cs="Calibri"/>
        </w:rPr>
        <w:t xml:space="preserve">We collected quantitative data from governmental agencies and institutions of </w:t>
      </w:r>
      <w:r>
        <w:rPr>
          <w:rFonts w:ascii="Calibri" w:hAnsi="Calibri" w:cs="Calibri"/>
        </w:rPr>
        <w:t xml:space="preserve">the </w:t>
      </w:r>
      <w:r w:rsidRPr="00755F09">
        <w:rPr>
          <w:rFonts w:ascii="Calibri" w:hAnsi="Calibri" w:cs="Calibri"/>
        </w:rPr>
        <w:t>National Health Commission of China</w:t>
      </w:r>
      <w:r>
        <w:rPr>
          <w:rFonts w:ascii="Calibri" w:hAnsi="Calibri" w:cs="Calibri"/>
        </w:rPr>
        <w:t xml:space="preserve"> [</w:t>
      </w:r>
      <w:r w:rsidRPr="00755F09">
        <w:rPr>
          <w:rFonts w:ascii="Calibri" w:hAnsi="Calibri" w:cs="Calibri"/>
        </w:rPr>
        <w:fldChar w:fldCharType="begin"/>
      </w:r>
      <w:r w:rsidRPr="00755F09">
        <w:rPr>
          <w:rFonts w:ascii="Calibri" w:hAnsi="Calibri" w:cs="Calibri"/>
        </w:rPr>
        <w:instrText xml:space="preserve"> REF _Ref18950178 \r  \* MERGEFORMAT </w:instrText>
      </w:r>
      <w:r w:rsidRPr="00755F09">
        <w:rPr>
          <w:rFonts w:ascii="Calibri" w:hAnsi="Calibri" w:cs="Calibri"/>
        </w:rPr>
        <w:fldChar w:fldCharType="separate"/>
      </w:r>
      <w:r>
        <w:rPr>
          <w:rFonts w:ascii="Calibri" w:hAnsi="Calibri" w:cs="Calibri"/>
        </w:rPr>
        <w:t>3</w:t>
      </w:r>
      <w:r w:rsidRPr="00755F09">
        <w:rPr>
          <w:rFonts w:ascii="Calibri" w:hAnsi="Calibri" w:cs="Calibri"/>
        </w:rPr>
        <w:fldChar w:fldCharType="end"/>
      </w:r>
      <w:r w:rsidRPr="00755F09">
        <w:rPr>
          <w:rFonts w:ascii="Calibri" w:hAnsi="Calibri" w:cs="Calibri"/>
        </w:rPr>
        <w:t>]. In addition, we reviewed the literature, policy documents, and national survey reports to obtain data of key health indicators</w:t>
      </w:r>
      <w:bookmarkStart w:id="0" w:name="_Hlk18950603"/>
      <w:r>
        <w:rPr>
          <w:rFonts w:ascii="Calibri" w:hAnsi="Calibri" w:cs="Calibri"/>
        </w:rPr>
        <w:t xml:space="preserve"> [</w:t>
      </w:r>
      <w:r w:rsidRPr="00755F09">
        <w:rPr>
          <w:rFonts w:ascii="Calibri" w:hAnsi="Calibri" w:cs="Calibri"/>
        </w:rPr>
        <w:fldChar w:fldCharType="begin"/>
      </w:r>
      <w:r w:rsidRPr="00755F09">
        <w:rPr>
          <w:rFonts w:ascii="Calibri" w:hAnsi="Calibri" w:cs="Calibri"/>
        </w:rPr>
        <w:instrText xml:space="preserve"> REF _Ref18950532 \r  \* MERGEFORMAT </w:instrText>
      </w:r>
      <w:r w:rsidRPr="00755F09">
        <w:rPr>
          <w:rFonts w:ascii="Calibri" w:hAnsi="Calibri" w:cs="Calibri"/>
        </w:rPr>
        <w:fldChar w:fldCharType="separate"/>
      </w:r>
      <w:r>
        <w:rPr>
          <w:rFonts w:ascii="Calibri" w:hAnsi="Calibri" w:cs="Calibri"/>
        </w:rPr>
        <w:t>16</w:t>
      </w:r>
      <w:r w:rsidRPr="00755F09">
        <w:rPr>
          <w:rFonts w:ascii="Calibri" w:hAnsi="Calibri" w:cs="Calibri"/>
        </w:rPr>
        <w:fldChar w:fldCharType="end"/>
      </w:r>
      <w:r w:rsidRPr="00755F09">
        <w:rPr>
          <w:rFonts w:ascii="Calibri" w:hAnsi="Calibri" w:cs="Calibri"/>
        </w:rPr>
        <w:t>,</w:t>
      </w:r>
      <w:r w:rsidRPr="00755F09">
        <w:rPr>
          <w:rFonts w:ascii="Calibri" w:hAnsi="Calibri" w:cs="Calibri"/>
        </w:rPr>
        <w:fldChar w:fldCharType="begin"/>
      </w:r>
      <w:r w:rsidRPr="00755F09">
        <w:rPr>
          <w:rFonts w:ascii="Calibri" w:hAnsi="Calibri" w:cs="Calibri"/>
        </w:rPr>
        <w:instrText xml:space="preserve"> REF _Ref18950554 \r  \* MERGEFORMAT </w:instrText>
      </w:r>
      <w:r w:rsidRPr="00755F09">
        <w:rPr>
          <w:rFonts w:ascii="Calibri" w:hAnsi="Calibri" w:cs="Calibri"/>
        </w:rPr>
        <w:fldChar w:fldCharType="separate"/>
      </w:r>
      <w:r>
        <w:rPr>
          <w:rFonts w:ascii="Calibri" w:hAnsi="Calibri" w:cs="Calibri"/>
        </w:rPr>
        <w:t>17</w:t>
      </w:r>
      <w:r w:rsidRPr="00755F09">
        <w:rPr>
          <w:rFonts w:ascii="Calibri" w:hAnsi="Calibri" w:cs="Calibri"/>
        </w:rPr>
        <w:fldChar w:fldCharType="end"/>
      </w:r>
      <w:r>
        <w:rPr>
          <w:rFonts w:ascii="Calibri" w:hAnsi="Calibri" w:cs="Calibri"/>
        </w:rPr>
        <w:t>,</w:t>
      </w:r>
      <w:r w:rsidRPr="00755F09">
        <w:rPr>
          <w:rFonts w:ascii="Calibri" w:hAnsi="Calibri" w:cs="Calibri"/>
        </w:rPr>
        <w:fldChar w:fldCharType="begin"/>
      </w:r>
      <w:r w:rsidRPr="00755F09">
        <w:rPr>
          <w:rFonts w:ascii="Calibri" w:hAnsi="Calibri" w:cs="Calibri"/>
        </w:rPr>
        <w:instrText xml:space="preserve"> REF _Ref18950325 \r  \* MERGEFORMAT </w:instrText>
      </w:r>
      <w:r w:rsidRPr="00755F09">
        <w:rPr>
          <w:rFonts w:ascii="Calibri" w:hAnsi="Calibri" w:cs="Calibri"/>
        </w:rPr>
        <w:fldChar w:fldCharType="separate"/>
      </w:r>
      <w:r>
        <w:rPr>
          <w:rFonts w:ascii="Calibri" w:hAnsi="Calibri" w:cs="Calibri"/>
        </w:rPr>
        <w:t>18</w:t>
      </w:r>
      <w:r w:rsidRPr="00755F09">
        <w:rPr>
          <w:rFonts w:ascii="Calibri" w:hAnsi="Calibri" w:cs="Calibri"/>
        </w:rPr>
        <w:fldChar w:fldCharType="end"/>
      </w:r>
      <w:r w:rsidRPr="00755F09">
        <w:rPr>
          <w:rFonts w:ascii="Calibri" w:hAnsi="Calibri" w:cs="Calibri"/>
        </w:rPr>
        <w:t>,</w:t>
      </w:r>
      <w:r w:rsidRPr="00755F09">
        <w:rPr>
          <w:rFonts w:ascii="Calibri" w:hAnsi="Calibri" w:cs="Calibri"/>
        </w:rPr>
        <w:fldChar w:fldCharType="begin"/>
      </w:r>
      <w:r w:rsidRPr="00755F09">
        <w:rPr>
          <w:rFonts w:ascii="Calibri" w:hAnsi="Calibri" w:cs="Calibri"/>
        </w:rPr>
        <w:instrText xml:space="preserve"> REF _Ref18950359 \r  \* MERGEFORMAT </w:instrText>
      </w:r>
      <w:r w:rsidRPr="00755F09">
        <w:rPr>
          <w:rFonts w:ascii="Calibri" w:hAnsi="Calibri" w:cs="Calibri"/>
        </w:rPr>
        <w:fldChar w:fldCharType="separate"/>
      </w:r>
      <w:r>
        <w:rPr>
          <w:rFonts w:ascii="Calibri" w:hAnsi="Calibri" w:cs="Calibri"/>
        </w:rPr>
        <w:t>19</w:t>
      </w:r>
      <w:r w:rsidRPr="00755F09">
        <w:rPr>
          <w:rFonts w:ascii="Calibri" w:hAnsi="Calibri" w:cs="Calibri"/>
        </w:rPr>
        <w:fldChar w:fldCharType="end"/>
      </w:r>
      <w:r w:rsidRPr="00755F09">
        <w:rPr>
          <w:rFonts w:ascii="Calibri" w:hAnsi="Calibri" w:cs="Calibri"/>
        </w:rPr>
        <w:t>,</w:t>
      </w:r>
      <w:r w:rsidRPr="00755F09">
        <w:rPr>
          <w:rFonts w:ascii="Calibri" w:hAnsi="Calibri" w:cs="Calibri"/>
        </w:rPr>
        <w:fldChar w:fldCharType="begin"/>
      </w:r>
      <w:r w:rsidRPr="00755F09">
        <w:rPr>
          <w:rFonts w:ascii="Calibri" w:hAnsi="Calibri" w:cs="Calibri"/>
        </w:rPr>
        <w:instrText xml:space="preserve"> REF _Ref533346362 \r  \* MERGEFORMAT </w:instrText>
      </w:r>
      <w:r w:rsidRPr="00755F09">
        <w:rPr>
          <w:rFonts w:ascii="Calibri" w:hAnsi="Calibri" w:cs="Calibri"/>
        </w:rPr>
        <w:fldChar w:fldCharType="separate"/>
      </w:r>
      <w:r>
        <w:rPr>
          <w:rFonts w:ascii="Calibri" w:hAnsi="Calibri" w:cs="Calibri"/>
        </w:rPr>
        <w:t>20</w:t>
      </w:r>
      <w:r w:rsidRPr="00755F09">
        <w:rPr>
          <w:rFonts w:ascii="Calibri" w:hAnsi="Calibri" w:cs="Calibri"/>
        </w:rPr>
        <w:fldChar w:fldCharType="end"/>
      </w:r>
      <w:r w:rsidRPr="00755F09">
        <w:rPr>
          <w:rFonts w:ascii="Calibri" w:hAnsi="Calibri" w:cs="Calibri"/>
        </w:rPr>
        <w:t>,</w:t>
      </w:r>
      <w:r w:rsidRPr="00755F09">
        <w:rPr>
          <w:rFonts w:ascii="Calibri" w:hAnsi="Calibri" w:cs="Calibri"/>
        </w:rPr>
        <w:fldChar w:fldCharType="begin"/>
      </w:r>
      <w:r w:rsidRPr="00755F09">
        <w:rPr>
          <w:rFonts w:ascii="Calibri" w:hAnsi="Calibri" w:cs="Calibri"/>
        </w:rPr>
        <w:instrText xml:space="preserve"> REF _Ref522907984 \r  \* MERGEFORMAT </w:instrText>
      </w:r>
      <w:r w:rsidRPr="00755F09">
        <w:rPr>
          <w:rFonts w:ascii="Calibri" w:hAnsi="Calibri" w:cs="Calibri"/>
        </w:rPr>
        <w:fldChar w:fldCharType="separate"/>
      </w:r>
      <w:r>
        <w:rPr>
          <w:rFonts w:ascii="Calibri" w:hAnsi="Calibri" w:cs="Calibri"/>
        </w:rPr>
        <w:t>21</w:t>
      </w:r>
      <w:r w:rsidRPr="00755F09">
        <w:rPr>
          <w:rFonts w:ascii="Calibri" w:hAnsi="Calibri" w:cs="Calibri"/>
        </w:rPr>
        <w:fldChar w:fldCharType="end"/>
      </w:r>
      <w:r w:rsidRPr="00755F09">
        <w:rPr>
          <w:rFonts w:ascii="Calibri" w:hAnsi="Calibri" w:cs="Calibri"/>
        </w:rPr>
        <w:t>,</w:t>
      </w:r>
      <w:r w:rsidRPr="00755F09">
        <w:rPr>
          <w:rFonts w:ascii="Calibri" w:hAnsi="Calibri" w:cs="Calibri"/>
        </w:rPr>
        <w:fldChar w:fldCharType="begin"/>
      </w:r>
      <w:r w:rsidRPr="00755F09">
        <w:rPr>
          <w:rFonts w:ascii="Calibri" w:hAnsi="Calibri" w:cs="Calibri"/>
        </w:rPr>
        <w:instrText xml:space="preserve"> REF _Ref524372004 \r  \* MERGEFORMAT </w:instrText>
      </w:r>
      <w:r w:rsidRPr="00755F09">
        <w:rPr>
          <w:rFonts w:ascii="Calibri" w:hAnsi="Calibri" w:cs="Calibri"/>
        </w:rPr>
        <w:fldChar w:fldCharType="separate"/>
      </w:r>
      <w:r>
        <w:rPr>
          <w:rFonts w:ascii="Calibri" w:hAnsi="Calibri" w:cs="Calibri"/>
        </w:rPr>
        <w:t>22</w:t>
      </w:r>
      <w:r w:rsidRPr="00755F09">
        <w:rPr>
          <w:rFonts w:ascii="Calibri" w:hAnsi="Calibri" w:cs="Calibri"/>
        </w:rPr>
        <w:fldChar w:fldCharType="end"/>
      </w:r>
      <w:bookmarkEnd w:id="0"/>
      <w:r w:rsidRPr="00755F09">
        <w:rPr>
          <w:rFonts w:ascii="Calibri" w:hAnsi="Calibri" w:cs="Calibri"/>
        </w:rPr>
        <w:t xml:space="preserve">]. We also used data from the GBD Study 2016, including </w:t>
      </w:r>
      <w:r>
        <w:rPr>
          <w:rFonts w:ascii="Calibri" w:hAnsi="Calibri" w:cs="Calibri"/>
        </w:rPr>
        <w:t>(</w:t>
      </w:r>
      <w:r w:rsidRPr="00755F09">
        <w:rPr>
          <w:rFonts w:ascii="Calibri" w:hAnsi="Calibri" w:cs="Calibri"/>
        </w:rPr>
        <w:t xml:space="preserve">1) estimates of morbidity, mortality, </w:t>
      </w:r>
      <w:r>
        <w:rPr>
          <w:rFonts w:ascii="Calibri" w:hAnsi="Calibri" w:cs="Calibri"/>
        </w:rPr>
        <w:t xml:space="preserve">and </w:t>
      </w:r>
      <w:r w:rsidRPr="00755F09">
        <w:rPr>
          <w:rFonts w:ascii="Calibri" w:hAnsi="Calibri" w:cs="Calibri"/>
        </w:rPr>
        <w:t>prevalence of risk factors and their attributed morbidity and mortality from 1990-2016, stratified by age and sex, at national and provincial levels</w:t>
      </w:r>
      <w:r w:rsidRPr="00755F09">
        <w:rPr>
          <w:rFonts w:ascii="Calibri" w:eastAsia="Times New Roman" w:hAnsi="Calibri" w:cs="Calibri"/>
          <w:color w:val="000000"/>
        </w:rPr>
        <w:t xml:space="preserve"> (data of Taiwan </w:t>
      </w:r>
      <w:r>
        <w:rPr>
          <w:rFonts w:ascii="Calibri" w:eastAsia="Times New Roman" w:hAnsi="Calibri" w:cs="Calibri"/>
          <w:color w:val="000000"/>
        </w:rPr>
        <w:t>P</w:t>
      </w:r>
      <w:r w:rsidRPr="00755F09">
        <w:rPr>
          <w:rFonts w:ascii="Calibri" w:eastAsia="Times New Roman" w:hAnsi="Calibri" w:cs="Calibri"/>
          <w:color w:val="000000"/>
        </w:rPr>
        <w:t xml:space="preserve">rovince were not included </w:t>
      </w:r>
      <w:r>
        <w:rPr>
          <w:rFonts w:ascii="Calibri" w:eastAsia="Times New Roman" w:hAnsi="Calibri" w:cs="Calibri"/>
          <w:color w:val="000000"/>
        </w:rPr>
        <w:t>because</w:t>
      </w:r>
      <w:r w:rsidRPr="00755F09">
        <w:rPr>
          <w:rFonts w:ascii="Calibri" w:eastAsia="Times New Roman" w:hAnsi="Calibri" w:cs="Calibri"/>
          <w:color w:val="000000"/>
        </w:rPr>
        <w:t xml:space="preserve"> this paper focused on mainland China)</w:t>
      </w:r>
      <w:r>
        <w:rPr>
          <w:rFonts w:ascii="Calibri" w:eastAsia="Times New Roman" w:hAnsi="Calibri" w:cs="Calibri"/>
          <w:color w:val="000000"/>
        </w:rPr>
        <w:t xml:space="preserve"> and</w:t>
      </w:r>
      <w:r w:rsidRPr="00755F09">
        <w:rPr>
          <w:rFonts w:ascii="Calibri" w:eastAsia="Times New Roman" w:hAnsi="Calibri" w:cs="Calibri"/>
          <w:color w:val="000000"/>
        </w:rPr>
        <w:t xml:space="preserve"> </w:t>
      </w:r>
      <w:r>
        <w:rPr>
          <w:rFonts w:ascii="Calibri" w:eastAsia="Times New Roman" w:hAnsi="Calibri" w:cs="Calibri"/>
          <w:color w:val="000000"/>
        </w:rPr>
        <w:t>(</w:t>
      </w:r>
      <w:r w:rsidRPr="00755F09">
        <w:rPr>
          <w:rFonts w:ascii="Calibri" w:eastAsia="Times New Roman" w:hAnsi="Calibri" w:cs="Calibri"/>
          <w:color w:val="000000"/>
        </w:rPr>
        <w:t xml:space="preserve">2) estimates of </w:t>
      </w:r>
      <w:r w:rsidRPr="00755F09">
        <w:rPr>
          <w:rFonts w:ascii="Calibri" w:hAnsi="Calibri" w:cs="Calibri"/>
        </w:rPr>
        <w:t>health-related SDG monitoring indicators from 1990</w:t>
      </w:r>
      <w:r>
        <w:rPr>
          <w:rFonts w:ascii="Calibri" w:hAnsi="Calibri" w:cs="Calibri"/>
        </w:rPr>
        <w:t xml:space="preserve"> to </w:t>
      </w:r>
      <w:r w:rsidRPr="00755F09">
        <w:rPr>
          <w:rFonts w:ascii="Calibri" w:hAnsi="Calibri" w:cs="Calibri"/>
        </w:rPr>
        <w:t>2016 and projected values from 2017</w:t>
      </w:r>
      <w:r>
        <w:rPr>
          <w:rFonts w:ascii="Calibri" w:hAnsi="Calibri" w:cs="Calibri"/>
        </w:rPr>
        <w:t xml:space="preserve"> to </w:t>
      </w:r>
      <w:r w:rsidRPr="00755F09">
        <w:rPr>
          <w:rFonts w:ascii="Calibri" w:hAnsi="Calibri" w:cs="Calibri"/>
        </w:rPr>
        <w:t>2030 at national and provincial level</w:t>
      </w:r>
      <w:r>
        <w:rPr>
          <w:rFonts w:ascii="Calibri" w:hAnsi="Calibri" w:cs="Calibri"/>
        </w:rPr>
        <w:t>s</w:t>
      </w:r>
      <w:r w:rsidRPr="00755F09">
        <w:rPr>
          <w:rFonts w:ascii="Calibri" w:hAnsi="Calibri" w:cs="Calibri"/>
        </w:rPr>
        <w:t>. Details of the GBD 2016 study and its methodology have been reported elsewhere</w:t>
      </w:r>
      <w:r>
        <w:rPr>
          <w:rFonts w:ascii="Calibri" w:hAnsi="Calibri" w:cs="Calibri"/>
        </w:rPr>
        <w:t xml:space="preserve"> [</w:t>
      </w:r>
      <w:r w:rsidRPr="00755F09">
        <w:rPr>
          <w:rFonts w:ascii="Calibri" w:hAnsi="Calibri" w:cs="Calibri"/>
        </w:rPr>
        <w:fldChar w:fldCharType="begin"/>
      </w:r>
      <w:r w:rsidRPr="00755F09">
        <w:rPr>
          <w:rFonts w:ascii="Calibri" w:hAnsi="Calibri" w:cs="Calibri"/>
        </w:rPr>
        <w:instrText xml:space="preserve"> REF _Ref522900281 \r  \* MERGEFORMAT </w:instrText>
      </w:r>
      <w:r w:rsidRPr="00755F09">
        <w:rPr>
          <w:rFonts w:ascii="Calibri" w:hAnsi="Calibri" w:cs="Calibri"/>
        </w:rPr>
        <w:fldChar w:fldCharType="separate"/>
      </w:r>
      <w:r>
        <w:rPr>
          <w:rFonts w:ascii="Calibri" w:hAnsi="Calibri" w:cs="Calibri"/>
        </w:rPr>
        <w:t>23</w:t>
      </w:r>
      <w:r w:rsidRPr="00755F09">
        <w:rPr>
          <w:rFonts w:ascii="Calibri" w:hAnsi="Calibri" w:cs="Calibri"/>
        </w:rPr>
        <w:fldChar w:fldCharType="end"/>
      </w:r>
      <w:r w:rsidRPr="00755F09">
        <w:rPr>
          <w:rFonts w:ascii="Calibri" w:hAnsi="Calibri" w:cs="Calibri"/>
        </w:rPr>
        <w:t>]. We did not use GBD Study 2017 results</w:t>
      </w:r>
      <w:r>
        <w:rPr>
          <w:rFonts w:ascii="Calibri" w:hAnsi="Calibri" w:cs="Calibri"/>
        </w:rPr>
        <w:t>,</w:t>
      </w:r>
      <w:r w:rsidRPr="00755F09">
        <w:rPr>
          <w:rFonts w:ascii="Calibri" w:hAnsi="Calibri" w:cs="Calibri"/>
        </w:rPr>
        <w:t xml:space="preserve"> </w:t>
      </w:r>
      <w:r>
        <w:rPr>
          <w:rFonts w:ascii="Calibri" w:hAnsi="Calibri" w:cs="Calibri"/>
        </w:rPr>
        <w:t>because of</w:t>
      </w:r>
      <w:r w:rsidRPr="00755F09">
        <w:rPr>
          <w:rFonts w:ascii="Calibri" w:hAnsi="Calibri" w:cs="Calibri"/>
        </w:rPr>
        <w:t xml:space="preserve"> lack of data availability at the time of conducting this study, and GBD Study 2016 results could provide results of the first year of the SDG </w:t>
      </w:r>
      <w:r w:rsidRPr="00755F09">
        <w:rPr>
          <w:rFonts w:ascii="Calibri" w:hAnsi="Calibri" w:cs="Calibri"/>
        </w:rPr>
        <w:lastRenderedPageBreak/>
        <w:t>era.</w:t>
      </w:r>
    </w:p>
    <w:p w14:paraId="59E694D8" w14:textId="77777777" w:rsidR="00B656F6" w:rsidRPr="00755F09" w:rsidRDefault="00B656F6" w:rsidP="00B656F6">
      <w:pPr>
        <w:rPr>
          <w:rFonts w:ascii="Calibri" w:hAnsi="Calibri" w:cs="Calibri"/>
        </w:rPr>
      </w:pPr>
      <w:bookmarkStart w:id="1" w:name="OLE_LINK9"/>
      <w:r w:rsidRPr="00755F09">
        <w:rPr>
          <w:rFonts w:ascii="Calibri" w:hAnsi="Calibri" w:cs="Calibri"/>
        </w:rPr>
        <w:t>We also purposively interviewed about 120 key stakeholders with knowledge and expertise in relevant health areas of the SDGs at the national level and in selected provinces, including government officials, CDC health professionals, academic experts, and physicians. Semistructured interviews were conducted to qualitatively understand the current situation, gaps, and challenges in achieving the health-related SDG targets, particularly on topics of child nutrition, maternal and child health and reproductive health</w:t>
      </w:r>
      <w:r>
        <w:rPr>
          <w:rFonts w:ascii="Calibri" w:hAnsi="Calibri" w:cs="Calibri"/>
        </w:rPr>
        <w:t xml:space="preserve"> (MCHRH)</w:t>
      </w:r>
      <w:r w:rsidRPr="00755F09">
        <w:rPr>
          <w:rFonts w:ascii="Calibri" w:hAnsi="Calibri" w:cs="Calibri"/>
        </w:rPr>
        <w:t xml:space="preserve">, TB, and noncommunicable diseases (NCDs). We obtained verbal informed consent from participants and anonymized their responses. Thematic analysis was applied to identify emerging themes. See </w:t>
      </w:r>
      <w:r>
        <w:rPr>
          <w:rFonts w:ascii="Calibri" w:hAnsi="Calibri" w:cs="Calibri"/>
        </w:rPr>
        <w:t>S1 A</w:t>
      </w:r>
      <w:r w:rsidRPr="00755F09">
        <w:rPr>
          <w:rFonts w:ascii="Calibri" w:hAnsi="Calibri" w:cs="Calibri"/>
        </w:rPr>
        <w:t xml:space="preserve">ppendix for details on the collection and analysis of qualitative data. </w:t>
      </w:r>
      <w:bookmarkStart w:id="2" w:name="_Hlk22412567"/>
      <w:r w:rsidRPr="00755F09">
        <w:rPr>
          <w:rFonts w:ascii="Calibri" w:hAnsi="Calibri" w:cs="Calibri"/>
        </w:rPr>
        <w:t xml:space="preserve">This study </w:t>
      </w:r>
      <w:r>
        <w:rPr>
          <w:rFonts w:ascii="Calibri" w:hAnsi="Calibri" w:cs="Calibri"/>
        </w:rPr>
        <w:t xml:space="preserve">only </w:t>
      </w:r>
      <w:r w:rsidRPr="00755F09">
        <w:rPr>
          <w:rFonts w:ascii="Calibri" w:hAnsi="Calibri" w:cs="Calibri"/>
        </w:rPr>
        <w:t>obtained ethical approval from the Duke University Institutional Review Board (IRB number: E0097).</w:t>
      </w:r>
      <w:bookmarkEnd w:id="2"/>
    </w:p>
    <w:bookmarkEnd w:id="1"/>
    <w:p w14:paraId="7DE8FC01" w14:textId="77777777" w:rsidR="00B656F6" w:rsidRPr="00B656F6" w:rsidRDefault="00B656F6" w:rsidP="00B656F6">
      <w:pPr>
        <w:rPr>
          <w:rFonts w:ascii="Calibri" w:hAnsi="Calibri" w:cs="Calibri"/>
          <w:b/>
          <w:bCs/>
          <w:iCs/>
        </w:rPr>
      </w:pPr>
      <w:r w:rsidRPr="00B656F6">
        <w:rPr>
          <w:rFonts w:ascii="Calibri" w:hAnsi="Calibri" w:cs="Calibri"/>
          <w:b/>
          <w:bCs/>
          <w:iCs/>
        </w:rPr>
        <w:t>SDG indicators inclusion, categorization, and measurement</w:t>
      </w:r>
    </w:p>
    <w:p w14:paraId="6E18B4E3" w14:textId="77777777" w:rsidR="00B656F6" w:rsidRPr="00B656F6" w:rsidRDefault="00B656F6" w:rsidP="00B656F6">
      <w:pPr>
        <w:rPr>
          <w:rFonts w:ascii="Calibri" w:hAnsi="Calibri" w:cs="Calibri"/>
        </w:rPr>
      </w:pPr>
      <w:r w:rsidRPr="00B656F6">
        <w:rPr>
          <w:rFonts w:ascii="Calibri" w:hAnsi="Calibri" w:cs="Calibri"/>
        </w:rPr>
        <w:t>We selected 28 key health-related SDG indicators from SDGs 2, 3, 5, 6, 7, 8, and 11 out of the 37 indicators included in the GBD 2016 study. The GBD 2016 study excluded 13 indicators from 50 health-related SDG indicators because of poor data availability among all nations across years and ongoing and planned analysis of these indicators. General inclusion criteria of our study were (1) direct relevance to health improvement in the Chinese context, (2) clear target value defined by the SDGs or international guidelines/documents from, e.g., World Health Organization (WHO), (3) availability of reliable data in China, and (4) potential impacts on health policy development in the near future. We excluded nine indicators: adolescent birth rate, intimate partner violence, disease burden attributable to occupational risks, disaster mortality, homicide, conflict and terrorism mortality, violence prevalence, childhood sexual abuse, and well-certified death registration. Detailed reasons why these nine indicators were excluded are in S1 Appendix.</w:t>
      </w:r>
    </w:p>
    <w:p w14:paraId="44E0527D" w14:textId="77777777" w:rsidR="00B656F6" w:rsidRPr="00B656F6" w:rsidRDefault="00B656F6" w:rsidP="00B656F6">
      <w:pPr>
        <w:rPr>
          <w:rFonts w:ascii="Calibri" w:hAnsi="Calibri" w:cs="Calibri"/>
        </w:rPr>
      </w:pPr>
      <w:r w:rsidRPr="00B656F6">
        <w:rPr>
          <w:rFonts w:ascii="Calibri" w:hAnsi="Calibri" w:cs="Calibri"/>
        </w:rPr>
        <w:t>The 28 indicators were further categorized into seven thematic topics: (1) child nutrition, (2) MCHRH, (3) infectious diseases, (4) NCDs and mental health, (5) road injuries, (6) environmental health, and (7) universal health coverage (UHC) (Table 1). NCDs and environmental health were subcategorized into risk factors and outcomes.</w:t>
      </w:r>
    </w:p>
    <w:p w14:paraId="6CC96025" w14:textId="77777777" w:rsidR="00B656F6" w:rsidRPr="00B656F6" w:rsidRDefault="00B656F6" w:rsidP="00B656F6">
      <w:pPr>
        <w:rPr>
          <w:rFonts w:ascii="Calibri" w:hAnsi="Calibri" w:cs="Calibri"/>
        </w:rPr>
        <w:sectPr w:rsidR="00B656F6" w:rsidRPr="00B656F6" w:rsidSect="00B656F6">
          <w:footerReference w:type="default" r:id="rId8"/>
          <w:pgSz w:w="11906" w:h="16838" w:code="9"/>
          <w:pgMar w:top="1440" w:right="1440" w:bottom="1440" w:left="1440" w:header="720" w:footer="720" w:gutter="0"/>
          <w:lnNumType w:countBy="1" w:restart="continuous"/>
          <w:cols w:space="720"/>
          <w:docGrid w:linePitch="360"/>
        </w:sectPr>
      </w:pPr>
    </w:p>
    <w:p w14:paraId="047A6A60" w14:textId="77777777" w:rsidR="00B656F6" w:rsidRPr="00566686" w:rsidRDefault="00B656F6" w:rsidP="00B656F6">
      <w:pPr>
        <w:rPr>
          <w:rFonts w:ascii="Calibri" w:hAnsi="Calibri" w:cs="Calibri"/>
          <w:b/>
          <w:bCs/>
        </w:rPr>
      </w:pPr>
      <w:r w:rsidRPr="00B656F6">
        <w:rPr>
          <w:rFonts w:ascii="Calibri" w:hAnsi="Calibri" w:cs="Calibri"/>
          <w:b/>
          <w:bCs/>
        </w:rPr>
        <w:lastRenderedPageBreak/>
        <w:t>Table 1. The selected 28 SDG monitoring indicators and their targets.</w:t>
      </w:r>
    </w:p>
    <w:tbl>
      <w:tblPr>
        <w:tblStyle w:val="af0"/>
        <w:tblW w:w="5000" w:type="pct"/>
        <w:tblLayout w:type="fixed"/>
        <w:tblCellMar>
          <w:left w:w="28" w:type="dxa"/>
          <w:right w:w="28" w:type="dxa"/>
        </w:tblCellMar>
        <w:tblLook w:val="04A0" w:firstRow="1" w:lastRow="0" w:firstColumn="1" w:lastColumn="0" w:noHBand="0" w:noVBand="1"/>
      </w:tblPr>
      <w:tblGrid>
        <w:gridCol w:w="951"/>
        <w:gridCol w:w="600"/>
        <w:gridCol w:w="3124"/>
        <w:gridCol w:w="2790"/>
        <w:gridCol w:w="6034"/>
        <w:gridCol w:w="449"/>
      </w:tblGrid>
      <w:tr w:rsidR="00B656F6" w:rsidRPr="00852F9F" w14:paraId="3C1E41C3" w14:textId="77777777" w:rsidTr="008F0944">
        <w:trPr>
          <w:trHeight w:val="20"/>
        </w:trPr>
        <w:tc>
          <w:tcPr>
            <w:tcW w:w="341" w:type="pct"/>
          </w:tcPr>
          <w:p w14:paraId="674F8CF6" w14:textId="77777777" w:rsidR="00B656F6" w:rsidRPr="005A11D8" w:rsidRDefault="00B656F6" w:rsidP="008F0944">
            <w:pPr>
              <w:snapToGrid w:val="0"/>
              <w:rPr>
                <w:rFonts w:cstheme="minorHAnsi"/>
                <w:bCs/>
                <w:sz w:val="15"/>
                <w:szCs w:val="15"/>
                <w:lang w:val="en-GB"/>
              </w:rPr>
            </w:pPr>
            <w:r w:rsidRPr="005A11D8">
              <w:rPr>
                <w:rFonts w:cstheme="minorHAnsi"/>
                <w:bCs/>
                <w:sz w:val="15"/>
                <w:szCs w:val="15"/>
                <w:lang w:val="en-GB"/>
              </w:rPr>
              <w:t>Thematic topics</w:t>
            </w:r>
          </w:p>
        </w:tc>
        <w:tc>
          <w:tcPr>
            <w:tcW w:w="215" w:type="pct"/>
            <w:hideMark/>
          </w:tcPr>
          <w:p w14:paraId="71DF9A06" w14:textId="77777777" w:rsidR="00B656F6" w:rsidRPr="005A11D8" w:rsidRDefault="00B656F6" w:rsidP="008F0944">
            <w:pPr>
              <w:snapToGrid w:val="0"/>
              <w:rPr>
                <w:rFonts w:cstheme="minorHAnsi"/>
                <w:bCs/>
                <w:sz w:val="15"/>
                <w:szCs w:val="15"/>
                <w:lang w:val="en-GB"/>
              </w:rPr>
            </w:pPr>
            <w:r w:rsidRPr="005A11D8">
              <w:rPr>
                <w:rFonts w:cstheme="minorHAnsi"/>
                <w:bCs/>
                <w:sz w:val="15"/>
                <w:szCs w:val="15"/>
                <w:lang w:val="en-GB"/>
              </w:rPr>
              <w:t xml:space="preserve">Health-related SDG indicator </w:t>
            </w:r>
          </w:p>
        </w:tc>
        <w:tc>
          <w:tcPr>
            <w:tcW w:w="1120" w:type="pct"/>
          </w:tcPr>
          <w:p w14:paraId="2A24BE29" w14:textId="77777777" w:rsidR="00B656F6" w:rsidRPr="005A11D8" w:rsidRDefault="00B656F6" w:rsidP="008F0944">
            <w:pPr>
              <w:snapToGrid w:val="0"/>
              <w:rPr>
                <w:rFonts w:cstheme="minorHAnsi"/>
                <w:bCs/>
                <w:sz w:val="15"/>
                <w:szCs w:val="15"/>
                <w:lang w:val="en-GB"/>
              </w:rPr>
            </w:pPr>
            <w:r w:rsidRPr="005A11D8">
              <w:rPr>
                <w:rFonts w:cstheme="minorHAnsi"/>
                <w:bCs/>
                <w:sz w:val="15"/>
                <w:szCs w:val="15"/>
                <w:lang w:val="en-GB"/>
              </w:rPr>
              <w:t>Indicator description</w:t>
            </w:r>
          </w:p>
        </w:tc>
        <w:tc>
          <w:tcPr>
            <w:tcW w:w="1000" w:type="pct"/>
            <w:hideMark/>
          </w:tcPr>
          <w:p w14:paraId="5E9FE69C" w14:textId="77777777" w:rsidR="00B656F6" w:rsidRPr="005A11D8" w:rsidRDefault="00B656F6" w:rsidP="008F0944">
            <w:pPr>
              <w:snapToGrid w:val="0"/>
              <w:rPr>
                <w:rFonts w:cstheme="minorHAnsi"/>
                <w:bCs/>
                <w:sz w:val="15"/>
                <w:szCs w:val="15"/>
                <w:lang w:val="en-GB"/>
              </w:rPr>
            </w:pPr>
            <w:r w:rsidRPr="005A11D8">
              <w:rPr>
                <w:rFonts w:cstheme="minorHAnsi"/>
                <w:bCs/>
                <w:sz w:val="15"/>
                <w:szCs w:val="15"/>
                <w:lang w:val="en-GB"/>
              </w:rPr>
              <w:t>Target source</w:t>
            </w:r>
          </w:p>
        </w:tc>
        <w:tc>
          <w:tcPr>
            <w:tcW w:w="2163" w:type="pct"/>
            <w:hideMark/>
          </w:tcPr>
          <w:p w14:paraId="375EE5F5" w14:textId="77777777" w:rsidR="00B656F6" w:rsidRPr="005A11D8" w:rsidRDefault="00B656F6" w:rsidP="008F0944">
            <w:pPr>
              <w:snapToGrid w:val="0"/>
              <w:rPr>
                <w:rFonts w:cstheme="minorHAnsi"/>
                <w:bCs/>
                <w:sz w:val="15"/>
                <w:szCs w:val="15"/>
                <w:lang w:val="en-GB"/>
              </w:rPr>
            </w:pPr>
            <w:r w:rsidRPr="005A11D8">
              <w:rPr>
                <w:rFonts w:cstheme="minorHAnsi"/>
                <w:bCs/>
                <w:sz w:val="15"/>
                <w:szCs w:val="15"/>
                <w:lang w:val="en-GB"/>
              </w:rPr>
              <w:t>Target description</w:t>
            </w:r>
          </w:p>
        </w:tc>
        <w:tc>
          <w:tcPr>
            <w:tcW w:w="161" w:type="pct"/>
          </w:tcPr>
          <w:p w14:paraId="4EA8C870" w14:textId="77777777" w:rsidR="00B656F6" w:rsidRPr="005A11D8" w:rsidRDefault="00B656F6" w:rsidP="008F0944">
            <w:pPr>
              <w:snapToGrid w:val="0"/>
              <w:rPr>
                <w:rFonts w:cstheme="minorHAnsi"/>
                <w:bCs/>
                <w:sz w:val="15"/>
                <w:szCs w:val="15"/>
                <w:lang w:val="en-GB"/>
              </w:rPr>
            </w:pPr>
            <w:r w:rsidRPr="005A11D8">
              <w:rPr>
                <w:rFonts w:cstheme="minorHAnsi"/>
                <w:bCs/>
                <w:sz w:val="15"/>
                <w:szCs w:val="15"/>
                <w:lang w:val="en-GB"/>
              </w:rPr>
              <w:t>Target year</w:t>
            </w:r>
          </w:p>
        </w:tc>
      </w:tr>
      <w:tr w:rsidR="00B656F6" w:rsidRPr="00852F9F" w14:paraId="124EBF43" w14:textId="77777777" w:rsidTr="008F0944">
        <w:trPr>
          <w:trHeight w:val="20"/>
        </w:trPr>
        <w:tc>
          <w:tcPr>
            <w:tcW w:w="341" w:type="pct"/>
            <w:vMerge w:val="restart"/>
          </w:tcPr>
          <w:p w14:paraId="6FCD9DD8" w14:textId="77777777" w:rsidR="00B656F6" w:rsidRPr="00852F9F" w:rsidRDefault="00B656F6" w:rsidP="008F0944">
            <w:pPr>
              <w:snapToGrid w:val="0"/>
              <w:rPr>
                <w:rFonts w:cstheme="minorHAnsi"/>
                <w:sz w:val="15"/>
                <w:szCs w:val="15"/>
                <w:lang w:val="en-GB"/>
              </w:rPr>
            </w:pPr>
            <w:r w:rsidRPr="00852F9F">
              <w:rPr>
                <w:rFonts w:cstheme="minorHAnsi"/>
                <w:sz w:val="15"/>
                <w:szCs w:val="15"/>
                <w:lang w:val="en-GB"/>
              </w:rPr>
              <w:t xml:space="preserve">Child nutrition </w:t>
            </w:r>
          </w:p>
        </w:tc>
        <w:tc>
          <w:tcPr>
            <w:tcW w:w="215" w:type="pct"/>
            <w:noWrap/>
            <w:hideMark/>
          </w:tcPr>
          <w:p w14:paraId="3E2D56AA" w14:textId="77777777" w:rsidR="00B656F6" w:rsidRPr="00852F9F" w:rsidRDefault="00B656F6" w:rsidP="008F0944">
            <w:pPr>
              <w:snapToGrid w:val="0"/>
              <w:rPr>
                <w:rFonts w:cstheme="minorHAnsi"/>
                <w:sz w:val="15"/>
                <w:szCs w:val="15"/>
                <w:lang w:val="en-GB"/>
              </w:rPr>
            </w:pPr>
            <w:r w:rsidRPr="00852F9F">
              <w:rPr>
                <w:rFonts w:cstheme="minorHAnsi"/>
                <w:sz w:val="15"/>
                <w:szCs w:val="15"/>
                <w:lang w:val="en-GB"/>
              </w:rPr>
              <w:t>2.2.1</w:t>
            </w:r>
          </w:p>
        </w:tc>
        <w:tc>
          <w:tcPr>
            <w:tcW w:w="1120" w:type="pct"/>
          </w:tcPr>
          <w:p w14:paraId="6C628083" w14:textId="77777777" w:rsidR="00B656F6" w:rsidRPr="00852F9F" w:rsidRDefault="00B656F6" w:rsidP="008F0944">
            <w:pPr>
              <w:snapToGrid w:val="0"/>
              <w:rPr>
                <w:rFonts w:cstheme="minorHAnsi"/>
                <w:sz w:val="15"/>
                <w:szCs w:val="15"/>
                <w:lang w:val="en-GB"/>
              </w:rPr>
            </w:pPr>
            <w:r w:rsidRPr="00852F9F">
              <w:rPr>
                <w:rFonts w:cstheme="minorHAnsi"/>
                <w:sz w:val="15"/>
                <w:szCs w:val="15"/>
                <w:lang w:val="en-GB"/>
              </w:rPr>
              <w:t xml:space="preserve">Prevalence of stunting in children under 5 </w:t>
            </w:r>
            <w:r>
              <w:rPr>
                <w:rFonts w:cstheme="minorHAnsi"/>
                <w:sz w:val="15"/>
                <w:szCs w:val="15"/>
                <w:lang w:val="en-GB"/>
              </w:rPr>
              <w:t xml:space="preserve">years old </w:t>
            </w:r>
            <w:r w:rsidRPr="00852F9F">
              <w:rPr>
                <w:rFonts w:cstheme="minorHAnsi"/>
                <w:sz w:val="15"/>
                <w:szCs w:val="15"/>
                <w:lang w:val="en-GB"/>
              </w:rPr>
              <w:t>(%)</w:t>
            </w:r>
          </w:p>
        </w:tc>
        <w:tc>
          <w:tcPr>
            <w:tcW w:w="1000" w:type="pct"/>
            <w:noWrap/>
            <w:hideMark/>
          </w:tcPr>
          <w:p w14:paraId="19E909BE" w14:textId="77777777" w:rsidR="00B656F6" w:rsidRPr="00852F9F" w:rsidRDefault="00B656F6" w:rsidP="008F0944">
            <w:pPr>
              <w:snapToGrid w:val="0"/>
              <w:rPr>
                <w:rFonts w:cstheme="minorHAnsi"/>
                <w:sz w:val="15"/>
                <w:szCs w:val="15"/>
                <w:lang w:val="en-GB"/>
              </w:rPr>
            </w:pPr>
            <w:r w:rsidRPr="00852F9F">
              <w:rPr>
                <w:rFonts w:cstheme="minorHAnsi"/>
                <w:sz w:val="15"/>
                <w:szCs w:val="15"/>
                <w:lang w:val="en-GB"/>
              </w:rPr>
              <w:t>Global Nutrition Targets 2025</w:t>
            </w:r>
          </w:p>
        </w:tc>
        <w:tc>
          <w:tcPr>
            <w:tcW w:w="2163" w:type="pct"/>
            <w:hideMark/>
          </w:tcPr>
          <w:p w14:paraId="1C278415" w14:textId="77777777" w:rsidR="00B656F6" w:rsidRPr="00852F9F" w:rsidRDefault="00B656F6" w:rsidP="008F0944">
            <w:pPr>
              <w:snapToGrid w:val="0"/>
              <w:rPr>
                <w:rFonts w:cstheme="minorHAnsi"/>
                <w:sz w:val="15"/>
                <w:szCs w:val="15"/>
                <w:lang w:val="en-GB"/>
              </w:rPr>
            </w:pPr>
            <w:r w:rsidRPr="00852F9F">
              <w:rPr>
                <w:rFonts w:cstheme="minorHAnsi"/>
                <w:sz w:val="15"/>
                <w:szCs w:val="15"/>
                <w:lang w:val="en-GB"/>
              </w:rPr>
              <w:t>Achieve a 40% reduction in the number of children under</w:t>
            </w:r>
            <w:r>
              <w:rPr>
                <w:rFonts w:cstheme="minorHAnsi"/>
                <w:sz w:val="15"/>
                <w:szCs w:val="15"/>
                <w:lang w:val="en-GB"/>
              </w:rPr>
              <w:t xml:space="preserve"> </w:t>
            </w:r>
            <w:r w:rsidRPr="00852F9F">
              <w:rPr>
                <w:rFonts w:cstheme="minorHAnsi"/>
                <w:sz w:val="15"/>
                <w:szCs w:val="15"/>
                <w:lang w:val="en-GB"/>
              </w:rPr>
              <w:t>5</w:t>
            </w:r>
            <w:r>
              <w:rPr>
                <w:rFonts w:cstheme="minorHAnsi"/>
                <w:sz w:val="15"/>
                <w:szCs w:val="15"/>
                <w:lang w:val="en-GB"/>
              </w:rPr>
              <w:t xml:space="preserve"> years old</w:t>
            </w:r>
            <w:r w:rsidRPr="00852F9F">
              <w:rPr>
                <w:rFonts w:cstheme="minorHAnsi"/>
                <w:sz w:val="15"/>
                <w:szCs w:val="15"/>
                <w:lang w:val="en-GB"/>
              </w:rPr>
              <w:t xml:space="preserve"> who are stunted.</w:t>
            </w:r>
          </w:p>
        </w:tc>
        <w:tc>
          <w:tcPr>
            <w:tcW w:w="161" w:type="pct"/>
          </w:tcPr>
          <w:p w14:paraId="3302ED1A" w14:textId="77777777" w:rsidR="00B656F6" w:rsidRPr="00852F9F" w:rsidRDefault="00B656F6" w:rsidP="008F0944">
            <w:pPr>
              <w:snapToGrid w:val="0"/>
              <w:rPr>
                <w:rFonts w:cstheme="minorHAnsi"/>
                <w:sz w:val="15"/>
                <w:szCs w:val="15"/>
                <w:lang w:val="en-GB"/>
              </w:rPr>
            </w:pPr>
            <w:r w:rsidRPr="00852F9F">
              <w:rPr>
                <w:rFonts w:cstheme="minorHAnsi"/>
                <w:sz w:val="15"/>
                <w:szCs w:val="15"/>
                <w:lang w:val="en-GB"/>
              </w:rPr>
              <w:t>2025</w:t>
            </w:r>
          </w:p>
        </w:tc>
      </w:tr>
      <w:tr w:rsidR="00B656F6" w:rsidRPr="00852F9F" w14:paraId="1CD3AD73" w14:textId="77777777" w:rsidTr="008F0944">
        <w:trPr>
          <w:trHeight w:val="20"/>
        </w:trPr>
        <w:tc>
          <w:tcPr>
            <w:tcW w:w="341" w:type="pct"/>
            <w:vMerge/>
          </w:tcPr>
          <w:p w14:paraId="720C2562" w14:textId="77777777" w:rsidR="00B656F6" w:rsidRPr="00852F9F" w:rsidRDefault="00B656F6" w:rsidP="008F0944">
            <w:pPr>
              <w:snapToGrid w:val="0"/>
              <w:rPr>
                <w:rFonts w:cstheme="minorHAnsi"/>
                <w:sz w:val="15"/>
                <w:szCs w:val="15"/>
                <w:lang w:val="en-GB"/>
              </w:rPr>
            </w:pPr>
          </w:p>
        </w:tc>
        <w:tc>
          <w:tcPr>
            <w:tcW w:w="215" w:type="pct"/>
            <w:noWrap/>
            <w:hideMark/>
          </w:tcPr>
          <w:p w14:paraId="57031BB5" w14:textId="77777777" w:rsidR="00B656F6" w:rsidRPr="00852F9F" w:rsidRDefault="00B656F6" w:rsidP="008F0944">
            <w:pPr>
              <w:snapToGrid w:val="0"/>
              <w:rPr>
                <w:rFonts w:cstheme="minorHAnsi"/>
                <w:sz w:val="15"/>
                <w:szCs w:val="15"/>
                <w:lang w:val="en-GB"/>
              </w:rPr>
            </w:pPr>
            <w:r w:rsidRPr="00852F9F">
              <w:rPr>
                <w:rFonts w:cstheme="minorHAnsi"/>
                <w:sz w:val="15"/>
                <w:szCs w:val="15"/>
                <w:lang w:val="en-GB"/>
              </w:rPr>
              <w:t>2.2.2a</w:t>
            </w:r>
          </w:p>
        </w:tc>
        <w:tc>
          <w:tcPr>
            <w:tcW w:w="1120" w:type="pct"/>
          </w:tcPr>
          <w:p w14:paraId="2D4AD961" w14:textId="77777777" w:rsidR="00B656F6" w:rsidRPr="00852F9F" w:rsidRDefault="00B656F6" w:rsidP="008F0944">
            <w:pPr>
              <w:snapToGrid w:val="0"/>
              <w:rPr>
                <w:rFonts w:cstheme="minorHAnsi"/>
                <w:sz w:val="15"/>
                <w:szCs w:val="15"/>
                <w:lang w:val="en-GB"/>
              </w:rPr>
            </w:pPr>
            <w:r w:rsidRPr="00852F9F">
              <w:rPr>
                <w:rFonts w:cstheme="minorHAnsi"/>
                <w:sz w:val="15"/>
                <w:szCs w:val="15"/>
                <w:lang w:val="en-GB"/>
              </w:rPr>
              <w:t xml:space="preserve">Prevalence of wasting in children under 5 </w:t>
            </w:r>
            <w:r>
              <w:rPr>
                <w:rFonts w:cstheme="minorHAnsi"/>
                <w:sz w:val="15"/>
                <w:szCs w:val="15"/>
                <w:lang w:val="en-GB"/>
              </w:rPr>
              <w:t xml:space="preserve">years old </w:t>
            </w:r>
            <w:r w:rsidRPr="00852F9F">
              <w:rPr>
                <w:rFonts w:cstheme="minorHAnsi"/>
                <w:sz w:val="15"/>
                <w:szCs w:val="15"/>
                <w:lang w:val="en-GB"/>
              </w:rPr>
              <w:t>(%)</w:t>
            </w:r>
          </w:p>
        </w:tc>
        <w:tc>
          <w:tcPr>
            <w:tcW w:w="1000" w:type="pct"/>
            <w:noWrap/>
            <w:hideMark/>
          </w:tcPr>
          <w:p w14:paraId="2B8223EC" w14:textId="77777777" w:rsidR="00B656F6" w:rsidRPr="00852F9F" w:rsidRDefault="00B656F6" w:rsidP="008F0944">
            <w:pPr>
              <w:snapToGrid w:val="0"/>
              <w:rPr>
                <w:rFonts w:cstheme="minorHAnsi"/>
                <w:sz w:val="15"/>
                <w:szCs w:val="15"/>
                <w:lang w:val="en-GB"/>
              </w:rPr>
            </w:pPr>
            <w:r w:rsidRPr="00852F9F">
              <w:rPr>
                <w:rFonts w:cstheme="minorHAnsi"/>
                <w:sz w:val="15"/>
                <w:szCs w:val="15"/>
                <w:lang w:val="en-GB"/>
              </w:rPr>
              <w:t>Global Nutrition Targets 2025</w:t>
            </w:r>
          </w:p>
        </w:tc>
        <w:tc>
          <w:tcPr>
            <w:tcW w:w="2163" w:type="pct"/>
            <w:hideMark/>
          </w:tcPr>
          <w:p w14:paraId="3AA8EBBA" w14:textId="77777777" w:rsidR="00B656F6" w:rsidRPr="00852F9F" w:rsidRDefault="00B656F6" w:rsidP="008F0944">
            <w:pPr>
              <w:snapToGrid w:val="0"/>
              <w:rPr>
                <w:rFonts w:cstheme="minorHAnsi"/>
                <w:sz w:val="15"/>
                <w:szCs w:val="15"/>
                <w:lang w:val="en-GB"/>
              </w:rPr>
            </w:pPr>
            <w:r w:rsidRPr="00852F9F">
              <w:rPr>
                <w:rFonts w:cstheme="minorHAnsi"/>
                <w:sz w:val="15"/>
                <w:szCs w:val="15"/>
                <w:lang w:val="en-GB"/>
              </w:rPr>
              <w:t>Reduce and maintain childhood wasting to less than 5%.</w:t>
            </w:r>
          </w:p>
        </w:tc>
        <w:tc>
          <w:tcPr>
            <w:tcW w:w="161" w:type="pct"/>
          </w:tcPr>
          <w:p w14:paraId="7D6813FC" w14:textId="77777777" w:rsidR="00B656F6" w:rsidRPr="00852F9F" w:rsidRDefault="00B656F6" w:rsidP="008F0944">
            <w:pPr>
              <w:snapToGrid w:val="0"/>
              <w:rPr>
                <w:rFonts w:cstheme="minorHAnsi"/>
                <w:sz w:val="15"/>
                <w:szCs w:val="15"/>
                <w:lang w:val="en-GB"/>
              </w:rPr>
            </w:pPr>
            <w:r w:rsidRPr="00852F9F">
              <w:rPr>
                <w:rFonts w:cstheme="minorHAnsi"/>
                <w:sz w:val="15"/>
                <w:szCs w:val="15"/>
                <w:lang w:val="en-GB"/>
              </w:rPr>
              <w:t>2025</w:t>
            </w:r>
          </w:p>
        </w:tc>
      </w:tr>
      <w:tr w:rsidR="00B656F6" w:rsidRPr="00852F9F" w14:paraId="3F8C0F27" w14:textId="77777777" w:rsidTr="008F0944">
        <w:trPr>
          <w:trHeight w:val="20"/>
        </w:trPr>
        <w:tc>
          <w:tcPr>
            <w:tcW w:w="341" w:type="pct"/>
            <w:vMerge/>
          </w:tcPr>
          <w:p w14:paraId="7FB1D4D6" w14:textId="77777777" w:rsidR="00B656F6" w:rsidRPr="00852F9F" w:rsidRDefault="00B656F6" w:rsidP="008F0944">
            <w:pPr>
              <w:snapToGrid w:val="0"/>
              <w:rPr>
                <w:rFonts w:cstheme="minorHAnsi"/>
                <w:sz w:val="15"/>
                <w:szCs w:val="15"/>
                <w:lang w:val="en-GB"/>
              </w:rPr>
            </w:pPr>
          </w:p>
        </w:tc>
        <w:tc>
          <w:tcPr>
            <w:tcW w:w="215" w:type="pct"/>
            <w:noWrap/>
            <w:hideMark/>
          </w:tcPr>
          <w:p w14:paraId="643F218E" w14:textId="77777777" w:rsidR="00B656F6" w:rsidRPr="00852F9F" w:rsidRDefault="00B656F6" w:rsidP="008F0944">
            <w:pPr>
              <w:snapToGrid w:val="0"/>
              <w:rPr>
                <w:rFonts w:cstheme="minorHAnsi"/>
                <w:sz w:val="15"/>
                <w:szCs w:val="15"/>
                <w:lang w:val="en-GB"/>
              </w:rPr>
            </w:pPr>
            <w:r w:rsidRPr="00852F9F">
              <w:rPr>
                <w:rFonts w:cstheme="minorHAnsi"/>
                <w:sz w:val="15"/>
                <w:szCs w:val="15"/>
                <w:lang w:val="en-GB"/>
              </w:rPr>
              <w:t>2.2.2b</w:t>
            </w:r>
          </w:p>
        </w:tc>
        <w:tc>
          <w:tcPr>
            <w:tcW w:w="1120" w:type="pct"/>
          </w:tcPr>
          <w:p w14:paraId="64F742B0" w14:textId="77777777" w:rsidR="00B656F6" w:rsidRPr="00852F9F" w:rsidRDefault="00B656F6" w:rsidP="008F0944">
            <w:pPr>
              <w:snapToGrid w:val="0"/>
              <w:rPr>
                <w:rFonts w:cstheme="minorHAnsi"/>
                <w:sz w:val="15"/>
                <w:szCs w:val="15"/>
                <w:lang w:val="en-GB"/>
              </w:rPr>
            </w:pPr>
            <w:r w:rsidRPr="00852F9F">
              <w:rPr>
                <w:rFonts w:cstheme="minorHAnsi"/>
                <w:sz w:val="15"/>
                <w:szCs w:val="15"/>
                <w:lang w:val="en-GB"/>
              </w:rPr>
              <w:t>Prevalence of overweight in children aged 2</w:t>
            </w:r>
            <w:r>
              <w:rPr>
                <w:rFonts w:cstheme="minorHAnsi"/>
                <w:sz w:val="15"/>
                <w:szCs w:val="15"/>
                <w:lang w:val="en-GB"/>
              </w:rPr>
              <w:t>–</w:t>
            </w:r>
            <w:r w:rsidRPr="00852F9F">
              <w:rPr>
                <w:rFonts w:cstheme="minorHAnsi"/>
                <w:sz w:val="15"/>
                <w:szCs w:val="15"/>
                <w:lang w:val="en-GB"/>
              </w:rPr>
              <w:t xml:space="preserve">4 </w:t>
            </w:r>
            <w:r>
              <w:rPr>
                <w:rFonts w:cstheme="minorHAnsi"/>
                <w:sz w:val="15"/>
                <w:szCs w:val="15"/>
                <w:lang w:val="en-GB"/>
              </w:rPr>
              <w:t xml:space="preserve">years </w:t>
            </w:r>
            <w:r w:rsidRPr="00852F9F">
              <w:rPr>
                <w:rFonts w:cstheme="minorHAnsi"/>
                <w:sz w:val="15"/>
                <w:szCs w:val="15"/>
                <w:lang w:val="en-GB"/>
              </w:rPr>
              <w:t>(%)</w:t>
            </w:r>
          </w:p>
        </w:tc>
        <w:tc>
          <w:tcPr>
            <w:tcW w:w="1000" w:type="pct"/>
            <w:noWrap/>
            <w:hideMark/>
          </w:tcPr>
          <w:p w14:paraId="7CC64EAC" w14:textId="77777777" w:rsidR="00B656F6" w:rsidRPr="00852F9F" w:rsidRDefault="00B656F6" w:rsidP="008F0944">
            <w:pPr>
              <w:snapToGrid w:val="0"/>
              <w:rPr>
                <w:rFonts w:cstheme="minorHAnsi"/>
                <w:sz w:val="15"/>
                <w:szCs w:val="15"/>
                <w:lang w:val="en-GB"/>
              </w:rPr>
            </w:pPr>
            <w:r w:rsidRPr="00852F9F">
              <w:rPr>
                <w:rFonts w:cstheme="minorHAnsi"/>
                <w:sz w:val="15"/>
                <w:szCs w:val="15"/>
                <w:lang w:val="en-GB"/>
              </w:rPr>
              <w:t>Global Nutrition Targets 2025</w:t>
            </w:r>
          </w:p>
        </w:tc>
        <w:tc>
          <w:tcPr>
            <w:tcW w:w="2163" w:type="pct"/>
            <w:hideMark/>
          </w:tcPr>
          <w:p w14:paraId="5EC51C89" w14:textId="77777777" w:rsidR="00B656F6" w:rsidRPr="00852F9F" w:rsidRDefault="00B656F6" w:rsidP="008F0944">
            <w:pPr>
              <w:snapToGrid w:val="0"/>
              <w:rPr>
                <w:rFonts w:cstheme="minorHAnsi"/>
                <w:sz w:val="15"/>
                <w:szCs w:val="15"/>
                <w:lang w:val="en-GB"/>
              </w:rPr>
            </w:pPr>
            <w:r w:rsidRPr="00852F9F">
              <w:rPr>
                <w:rFonts w:cstheme="minorHAnsi"/>
                <w:sz w:val="15"/>
                <w:szCs w:val="15"/>
                <w:lang w:val="en-GB"/>
              </w:rPr>
              <w:t>Ensure that there is no increase in childhood overweight.</w:t>
            </w:r>
          </w:p>
        </w:tc>
        <w:tc>
          <w:tcPr>
            <w:tcW w:w="161" w:type="pct"/>
          </w:tcPr>
          <w:p w14:paraId="4AE49DF1" w14:textId="77777777" w:rsidR="00B656F6" w:rsidRPr="00852F9F" w:rsidRDefault="00B656F6" w:rsidP="008F0944">
            <w:pPr>
              <w:snapToGrid w:val="0"/>
              <w:rPr>
                <w:rFonts w:cstheme="minorHAnsi"/>
                <w:sz w:val="15"/>
                <w:szCs w:val="15"/>
                <w:lang w:val="en-GB"/>
              </w:rPr>
            </w:pPr>
            <w:r w:rsidRPr="00852F9F">
              <w:rPr>
                <w:rFonts w:cstheme="minorHAnsi"/>
                <w:sz w:val="15"/>
                <w:szCs w:val="15"/>
                <w:lang w:val="en-GB"/>
              </w:rPr>
              <w:t>2025</w:t>
            </w:r>
          </w:p>
        </w:tc>
      </w:tr>
      <w:tr w:rsidR="00B656F6" w:rsidRPr="00852F9F" w14:paraId="4D04016B" w14:textId="77777777" w:rsidTr="008F0944">
        <w:trPr>
          <w:trHeight w:val="20"/>
        </w:trPr>
        <w:tc>
          <w:tcPr>
            <w:tcW w:w="341" w:type="pct"/>
            <w:vMerge w:val="restart"/>
          </w:tcPr>
          <w:p w14:paraId="7B2E1485" w14:textId="77777777" w:rsidR="00B656F6" w:rsidRPr="00852F9F" w:rsidRDefault="00B656F6" w:rsidP="008F0944">
            <w:pPr>
              <w:snapToGrid w:val="0"/>
              <w:rPr>
                <w:rFonts w:cstheme="minorHAnsi"/>
                <w:sz w:val="15"/>
                <w:szCs w:val="15"/>
                <w:lang w:val="en-GB"/>
              </w:rPr>
            </w:pPr>
            <w:r w:rsidRPr="00852F9F">
              <w:rPr>
                <w:rFonts w:cstheme="minorHAnsi"/>
                <w:sz w:val="15"/>
                <w:szCs w:val="15"/>
                <w:lang w:val="en-GB"/>
              </w:rPr>
              <w:t>MCHRH</w:t>
            </w:r>
          </w:p>
        </w:tc>
        <w:tc>
          <w:tcPr>
            <w:tcW w:w="215" w:type="pct"/>
            <w:noWrap/>
            <w:hideMark/>
          </w:tcPr>
          <w:p w14:paraId="31D62BDA" w14:textId="77777777" w:rsidR="00B656F6" w:rsidRPr="00852F9F" w:rsidRDefault="00B656F6" w:rsidP="008F0944">
            <w:pPr>
              <w:snapToGrid w:val="0"/>
              <w:rPr>
                <w:rFonts w:cstheme="minorHAnsi"/>
                <w:sz w:val="15"/>
                <w:szCs w:val="15"/>
                <w:lang w:val="en-GB"/>
              </w:rPr>
            </w:pPr>
            <w:r w:rsidRPr="00852F9F">
              <w:rPr>
                <w:rFonts w:cstheme="minorHAnsi"/>
                <w:sz w:val="15"/>
                <w:szCs w:val="15"/>
                <w:lang w:val="en-GB"/>
              </w:rPr>
              <w:t>3.1.1</w:t>
            </w:r>
          </w:p>
        </w:tc>
        <w:tc>
          <w:tcPr>
            <w:tcW w:w="1120" w:type="pct"/>
          </w:tcPr>
          <w:p w14:paraId="005D15A7" w14:textId="77777777" w:rsidR="00B656F6" w:rsidRPr="00852F9F" w:rsidRDefault="00B656F6" w:rsidP="008F0944">
            <w:pPr>
              <w:snapToGrid w:val="0"/>
              <w:rPr>
                <w:rFonts w:cstheme="minorHAnsi"/>
                <w:sz w:val="15"/>
                <w:szCs w:val="15"/>
                <w:lang w:val="en-GB"/>
              </w:rPr>
            </w:pPr>
            <w:r w:rsidRPr="00852F9F">
              <w:rPr>
                <w:rFonts w:cstheme="minorHAnsi"/>
                <w:sz w:val="15"/>
                <w:szCs w:val="15"/>
                <w:lang w:val="en-GB"/>
              </w:rPr>
              <w:t>Maternal mortality ratio (maternal deaths per 100,000 live</w:t>
            </w:r>
            <w:r>
              <w:rPr>
                <w:rFonts w:cstheme="minorHAnsi"/>
                <w:sz w:val="15"/>
                <w:szCs w:val="15"/>
                <w:lang w:val="en-GB"/>
              </w:rPr>
              <w:t xml:space="preserve"> </w:t>
            </w:r>
            <w:r w:rsidRPr="00852F9F">
              <w:rPr>
                <w:rFonts w:cstheme="minorHAnsi"/>
                <w:sz w:val="15"/>
                <w:szCs w:val="15"/>
                <w:lang w:val="en-GB"/>
              </w:rPr>
              <w:t>births) in women aged 10</w:t>
            </w:r>
            <w:r>
              <w:rPr>
                <w:rFonts w:cstheme="minorHAnsi"/>
                <w:sz w:val="15"/>
                <w:szCs w:val="15"/>
                <w:lang w:val="en-GB"/>
              </w:rPr>
              <w:t>–</w:t>
            </w:r>
            <w:r w:rsidRPr="00852F9F">
              <w:rPr>
                <w:rFonts w:cstheme="minorHAnsi"/>
                <w:sz w:val="15"/>
                <w:szCs w:val="15"/>
                <w:lang w:val="en-GB"/>
              </w:rPr>
              <w:t>54 years</w:t>
            </w:r>
          </w:p>
        </w:tc>
        <w:tc>
          <w:tcPr>
            <w:tcW w:w="1000" w:type="pct"/>
            <w:noWrap/>
            <w:hideMark/>
          </w:tcPr>
          <w:p w14:paraId="0E1457C6" w14:textId="77777777" w:rsidR="00B656F6" w:rsidRPr="00852F9F" w:rsidRDefault="00B656F6" w:rsidP="008F0944">
            <w:pPr>
              <w:snapToGrid w:val="0"/>
              <w:rPr>
                <w:rFonts w:cstheme="minorHAnsi"/>
                <w:sz w:val="15"/>
                <w:szCs w:val="15"/>
                <w:lang w:val="en-GB"/>
              </w:rPr>
            </w:pPr>
            <w:r w:rsidRPr="00852F9F">
              <w:rPr>
                <w:rFonts w:cstheme="minorHAnsi"/>
                <w:sz w:val="15"/>
                <w:szCs w:val="15"/>
                <w:lang w:val="en-GB"/>
              </w:rPr>
              <w:t>SDG</w:t>
            </w:r>
          </w:p>
        </w:tc>
        <w:tc>
          <w:tcPr>
            <w:tcW w:w="2163" w:type="pct"/>
            <w:hideMark/>
          </w:tcPr>
          <w:p w14:paraId="3D7811EF" w14:textId="77777777" w:rsidR="00B656F6" w:rsidRPr="00852F9F" w:rsidRDefault="00B656F6" w:rsidP="008F0944">
            <w:pPr>
              <w:snapToGrid w:val="0"/>
              <w:rPr>
                <w:rFonts w:cstheme="minorHAnsi"/>
                <w:sz w:val="15"/>
                <w:szCs w:val="15"/>
                <w:lang w:val="en-GB"/>
              </w:rPr>
            </w:pPr>
            <w:r w:rsidRPr="00852F9F">
              <w:rPr>
                <w:rFonts w:cstheme="minorHAnsi"/>
                <w:sz w:val="15"/>
                <w:szCs w:val="15"/>
                <w:lang w:val="en-GB"/>
              </w:rPr>
              <w:t>By 2030, reduce the global maternal mortality ratio to less than 70 per 100,000 live births.</w:t>
            </w:r>
          </w:p>
        </w:tc>
        <w:tc>
          <w:tcPr>
            <w:tcW w:w="161" w:type="pct"/>
          </w:tcPr>
          <w:p w14:paraId="4254DF36" w14:textId="77777777" w:rsidR="00B656F6" w:rsidRPr="00852F9F" w:rsidRDefault="00B656F6" w:rsidP="008F0944">
            <w:pPr>
              <w:snapToGrid w:val="0"/>
              <w:rPr>
                <w:rFonts w:cstheme="minorHAnsi"/>
                <w:sz w:val="15"/>
                <w:szCs w:val="15"/>
                <w:lang w:val="en-GB"/>
              </w:rPr>
            </w:pPr>
            <w:r w:rsidRPr="00852F9F">
              <w:rPr>
                <w:rFonts w:cstheme="minorHAnsi"/>
                <w:sz w:val="15"/>
                <w:szCs w:val="15"/>
                <w:lang w:val="en-GB"/>
              </w:rPr>
              <w:t>2030</w:t>
            </w:r>
          </w:p>
        </w:tc>
      </w:tr>
      <w:tr w:rsidR="00B656F6" w:rsidRPr="00852F9F" w14:paraId="181781E8" w14:textId="77777777" w:rsidTr="008F0944">
        <w:trPr>
          <w:trHeight w:val="20"/>
        </w:trPr>
        <w:tc>
          <w:tcPr>
            <w:tcW w:w="341" w:type="pct"/>
            <w:vMerge/>
          </w:tcPr>
          <w:p w14:paraId="2DB747CE" w14:textId="77777777" w:rsidR="00B656F6" w:rsidRPr="00852F9F" w:rsidRDefault="00B656F6" w:rsidP="008F0944">
            <w:pPr>
              <w:snapToGrid w:val="0"/>
              <w:rPr>
                <w:rFonts w:cstheme="minorHAnsi"/>
                <w:sz w:val="15"/>
                <w:szCs w:val="15"/>
                <w:lang w:val="en-GB"/>
              </w:rPr>
            </w:pPr>
          </w:p>
        </w:tc>
        <w:tc>
          <w:tcPr>
            <w:tcW w:w="215" w:type="pct"/>
            <w:noWrap/>
            <w:hideMark/>
          </w:tcPr>
          <w:p w14:paraId="6B4A6CD2" w14:textId="77777777" w:rsidR="00B656F6" w:rsidRPr="00852F9F" w:rsidRDefault="00B656F6" w:rsidP="008F0944">
            <w:pPr>
              <w:snapToGrid w:val="0"/>
              <w:rPr>
                <w:rFonts w:cstheme="minorHAnsi"/>
                <w:sz w:val="15"/>
                <w:szCs w:val="15"/>
                <w:lang w:val="en-GB"/>
              </w:rPr>
            </w:pPr>
            <w:r w:rsidRPr="00852F9F">
              <w:rPr>
                <w:rFonts w:cstheme="minorHAnsi"/>
                <w:sz w:val="15"/>
                <w:szCs w:val="15"/>
                <w:lang w:val="en-GB"/>
              </w:rPr>
              <w:t>3.1.2</w:t>
            </w:r>
          </w:p>
        </w:tc>
        <w:tc>
          <w:tcPr>
            <w:tcW w:w="1120" w:type="pct"/>
          </w:tcPr>
          <w:p w14:paraId="213D9CF7" w14:textId="77777777" w:rsidR="00B656F6" w:rsidRPr="00852F9F" w:rsidRDefault="00B656F6" w:rsidP="008F0944">
            <w:pPr>
              <w:snapToGrid w:val="0"/>
              <w:rPr>
                <w:rFonts w:cstheme="minorHAnsi"/>
                <w:sz w:val="15"/>
                <w:szCs w:val="15"/>
                <w:lang w:val="en-GB"/>
              </w:rPr>
            </w:pPr>
            <w:r w:rsidRPr="00852F9F">
              <w:rPr>
                <w:rFonts w:cstheme="minorHAnsi"/>
                <w:sz w:val="15"/>
                <w:szCs w:val="15"/>
                <w:lang w:val="en-GB"/>
              </w:rPr>
              <w:t>Proportion of births attended by skilled health personnel (%)</w:t>
            </w:r>
          </w:p>
        </w:tc>
        <w:tc>
          <w:tcPr>
            <w:tcW w:w="1000" w:type="pct"/>
            <w:noWrap/>
            <w:hideMark/>
          </w:tcPr>
          <w:p w14:paraId="53BB8021" w14:textId="77777777" w:rsidR="00B656F6" w:rsidRPr="00852F9F" w:rsidRDefault="00B656F6" w:rsidP="008F0944">
            <w:pPr>
              <w:snapToGrid w:val="0"/>
              <w:rPr>
                <w:rFonts w:cstheme="minorHAnsi"/>
                <w:sz w:val="15"/>
                <w:szCs w:val="15"/>
                <w:lang w:val="en-GB"/>
              </w:rPr>
            </w:pPr>
            <w:r w:rsidRPr="00852F9F">
              <w:rPr>
                <w:rFonts w:cstheme="minorHAnsi"/>
                <w:sz w:val="15"/>
                <w:szCs w:val="15"/>
                <w:lang w:val="en-GB"/>
              </w:rPr>
              <w:t>No</w:t>
            </w:r>
          </w:p>
        </w:tc>
        <w:tc>
          <w:tcPr>
            <w:tcW w:w="2163" w:type="pct"/>
            <w:hideMark/>
          </w:tcPr>
          <w:p w14:paraId="5B2F4801" w14:textId="77777777" w:rsidR="00B656F6" w:rsidRPr="00852F9F" w:rsidRDefault="00B656F6" w:rsidP="008F0944">
            <w:pPr>
              <w:snapToGrid w:val="0"/>
              <w:rPr>
                <w:rFonts w:cstheme="minorHAnsi"/>
                <w:sz w:val="15"/>
                <w:szCs w:val="15"/>
                <w:lang w:val="en-GB"/>
              </w:rPr>
            </w:pPr>
            <w:r w:rsidRPr="00852F9F">
              <w:rPr>
                <w:rFonts w:cstheme="minorHAnsi"/>
                <w:sz w:val="15"/>
                <w:szCs w:val="15"/>
                <w:lang w:val="en-GB"/>
              </w:rPr>
              <w:t xml:space="preserve">　</w:t>
            </w:r>
          </w:p>
        </w:tc>
        <w:tc>
          <w:tcPr>
            <w:tcW w:w="161" w:type="pct"/>
          </w:tcPr>
          <w:p w14:paraId="3FEA3C49" w14:textId="77777777" w:rsidR="00B656F6" w:rsidRPr="00852F9F" w:rsidRDefault="00B656F6" w:rsidP="008F0944">
            <w:pPr>
              <w:snapToGrid w:val="0"/>
              <w:rPr>
                <w:rFonts w:cstheme="minorHAnsi"/>
                <w:sz w:val="15"/>
                <w:szCs w:val="15"/>
                <w:lang w:val="en-GB"/>
              </w:rPr>
            </w:pPr>
            <w:r w:rsidRPr="00852F9F">
              <w:rPr>
                <w:rFonts w:cstheme="minorHAnsi"/>
                <w:sz w:val="15"/>
                <w:szCs w:val="15"/>
                <w:lang w:val="en-GB"/>
              </w:rPr>
              <w:t>2030</w:t>
            </w:r>
          </w:p>
        </w:tc>
      </w:tr>
      <w:tr w:rsidR="00B656F6" w:rsidRPr="00852F9F" w14:paraId="561B52BA" w14:textId="77777777" w:rsidTr="008F0944">
        <w:trPr>
          <w:trHeight w:val="20"/>
        </w:trPr>
        <w:tc>
          <w:tcPr>
            <w:tcW w:w="341" w:type="pct"/>
            <w:vMerge/>
          </w:tcPr>
          <w:p w14:paraId="58DF5C66" w14:textId="77777777" w:rsidR="00B656F6" w:rsidRPr="00852F9F" w:rsidRDefault="00B656F6" w:rsidP="008F0944">
            <w:pPr>
              <w:snapToGrid w:val="0"/>
              <w:rPr>
                <w:rFonts w:cstheme="minorHAnsi"/>
                <w:sz w:val="15"/>
                <w:szCs w:val="15"/>
                <w:lang w:val="en-GB"/>
              </w:rPr>
            </w:pPr>
          </w:p>
        </w:tc>
        <w:tc>
          <w:tcPr>
            <w:tcW w:w="215" w:type="pct"/>
            <w:noWrap/>
            <w:hideMark/>
          </w:tcPr>
          <w:p w14:paraId="0BE89AF6" w14:textId="77777777" w:rsidR="00B656F6" w:rsidRPr="00852F9F" w:rsidRDefault="00B656F6" w:rsidP="008F0944">
            <w:pPr>
              <w:snapToGrid w:val="0"/>
              <w:rPr>
                <w:rFonts w:cstheme="minorHAnsi"/>
                <w:sz w:val="15"/>
                <w:szCs w:val="15"/>
                <w:lang w:val="en-GB"/>
              </w:rPr>
            </w:pPr>
            <w:r w:rsidRPr="00852F9F">
              <w:rPr>
                <w:rFonts w:cstheme="minorHAnsi"/>
                <w:sz w:val="15"/>
                <w:szCs w:val="15"/>
                <w:lang w:val="en-GB"/>
              </w:rPr>
              <w:t>3.2.1</w:t>
            </w:r>
          </w:p>
        </w:tc>
        <w:tc>
          <w:tcPr>
            <w:tcW w:w="1120" w:type="pct"/>
          </w:tcPr>
          <w:p w14:paraId="758D840A" w14:textId="77777777" w:rsidR="00B656F6" w:rsidRPr="00852F9F" w:rsidRDefault="00B656F6" w:rsidP="008F0944">
            <w:pPr>
              <w:snapToGrid w:val="0"/>
              <w:rPr>
                <w:rFonts w:cstheme="minorHAnsi"/>
                <w:sz w:val="15"/>
                <w:szCs w:val="15"/>
                <w:lang w:val="en-GB"/>
              </w:rPr>
            </w:pPr>
            <w:r w:rsidRPr="00852F9F">
              <w:rPr>
                <w:rFonts w:cstheme="minorHAnsi"/>
                <w:sz w:val="15"/>
                <w:szCs w:val="15"/>
                <w:lang w:val="en-GB"/>
              </w:rPr>
              <w:t>Under-5 mortality rate (probability of dying before the age of 5 per 1,000 live</w:t>
            </w:r>
            <w:r>
              <w:rPr>
                <w:rFonts w:cstheme="minorHAnsi"/>
                <w:sz w:val="15"/>
                <w:szCs w:val="15"/>
                <w:lang w:val="en-GB"/>
              </w:rPr>
              <w:t xml:space="preserve"> </w:t>
            </w:r>
            <w:r w:rsidRPr="00852F9F">
              <w:rPr>
                <w:rFonts w:cstheme="minorHAnsi"/>
                <w:sz w:val="15"/>
                <w:szCs w:val="15"/>
                <w:lang w:val="en-GB"/>
              </w:rPr>
              <w:t>births)</w:t>
            </w:r>
          </w:p>
        </w:tc>
        <w:tc>
          <w:tcPr>
            <w:tcW w:w="1000" w:type="pct"/>
            <w:noWrap/>
            <w:hideMark/>
          </w:tcPr>
          <w:p w14:paraId="510F6812" w14:textId="77777777" w:rsidR="00B656F6" w:rsidRPr="00852F9F" w:rsidRDefault="00B656F6" w:rsidP="008F0944">
            <w:pPr>
              <w:snapToGrid w:val="0"/>
              <w:rPr>
                <w:rFonts w:cstheme="minorHAnsi"/>
                <w:sz w:val="15"/>
                <w:szCs w:val="15"/>
                <w:lang w:val="en-GB"/>
              </w:rPr>
            </w:pPr>
            <w:r w:rsidRPr="00852F9F">
              <w:rPr>
                <w:rFonts w:cstheme="minorHAnsi"/>
                <w:sz w:val="15"/>
                <w:szCs w:val="15"/>
                <w:lang w:val="en-GB"/>
              </w:rPr>
              <w:t>SDG</w:t>
            </w:r>
          </w:p>
        </w:tc>
        <w:tc>
          <w:tcPr>
            <w:tcW w:w="2163" w:type="pct"/>
            <w:hideMark/>
          </w:tcPr>
          <w:p w14:paraId="57185EDE" w14:textId="77777777" w:rsidR="00B656F6" w:rsidRPr="00852F9F" w:rsidRDefault="00B656F6" w:rsidP="008F0944">
            <w:pPr>
              <w:snapToGrid w:val="0"/>
              <w:rPr>
                <w:rFonts w:cstheme="minorHAnsi"/>
                <w:sz w:val="15"/>
                <w:szCs w:val="15"/>
                <w:lang w:val="en-GB"/>
              </w:rPr>
            </w:pPr>
            <w:r w:rsidRPr="00852F9F">
              <w:rPr>
                <w:rFonts w:cstheme="minorHAnsi"/>
                <w:sz w:val="15"/>
                <w:szCs w:val="15"/>
                <w:lang w:val="en-GB"/>
              </w:rPr>
              <w:t>By 2030, end preventable deaths of newborns and children under 5 years of age, with all countries aiming to reduce neonatal mortality to at least as low as 12 per 1,000 live births and under-5 mortality to at least as low as 25 per 1,000 live births.</w:t>
            </w:r>
          </w:p>
        </w:tc>
        <w:tc>
          <w:tcPr>
            <w:tcW w:w="161" w:type="pct"/>
          </w:tcPr>
          <w:p w14:paraId="5CFC4CCE" w14:textId="77777777" w:rsidR="00B656F6" w:rsidRPr="00852F9F" w:rsidRDefault="00B656F6" w:rsidP="008F0944">
            <w:pPr>
              <w:snapToGrid w:val="0"/>
              <w:rPr>
                <w:rFonts w:cstheme="minorHAnsi"/>
                <w:sz w:val="15"/>
                <w:szCs w:val="15"/>
                <w:lang w:val="en-GB"/>
              </w:rPr>
            </w:pPr>
            <w:r w:rsidRPr="00852F9F">
              <w:rPr>
                <w:rFonts w:cstheme="minorHAnsi"/>
                <w:sz w:val="15"/>
                <w:szCs w:val="15"/>
                <w:lang w:val="en-GB"/>
              </w:rPr>
              <w:t>2030</w:t>
            </w:r>
          </w:p>
        </w:tc>
      </w:tr>
      <w:tr w:rsidR="00B656F6" w:rsidRPr="00852F9F" w14:paraId="3D6B840F" w14:textId="77777777" w:rsidTr="008F0944">
        <w:trPr>
          <w:trHeight w:val="20"/>
        </w:trPr>
        <w:tc>
          <w:tcPr>
            <w:tcW w:w="341" w:type="pct"/>
            <w:vMerge/>
          </w:tcPr>
          <w:p w14:paraId="714185E1" w14:textId="77777777" w:rsidR="00B656F6" w:rsidRPr="00852F9F" w:rsidRDefault="00B656F6" w:rsidP="008F0944">
            <w:pPr>
              <w:snapToGrid w:val="0"/>
              <w:rPr>
                <w:rFonts w:cstheme="minorHAnsi"/>
                <w:sz w:val="15"/>
                <w:szCs w:val="15"/>
                <w:lang w:val="en-GB"/>
              </w:rPr>
            </w:pPr>
          </w:p>
        </w:tc>
        <w:tc>
          <w:tcPr>
            <w:tcW w:w="215" w:type="pct"/>
            <w:noWrap/>
            <w:hideMark/>
          </w:tcPr>
          <w:p w14:paraId="79BA008C" w14:textId="77777777" w:rsidR="00B656F6" w:rsidRPr="00852F9F" w:rsidRDefault="00B656F6" w:rsidP="008F0944">
            <w:pPr>
              <w:snapToGrid w:val="0"/>
              <w:rPr>
                <w:rFonts w:cstheme="minorHAnsi"/>
                <w:sz w:val="15"/>
                <w:szCs w:val="15"/>
                <w:lang w:val="en-GB"/>
              </w:rPr>
            </w:pPr>
            <w:r w:rsidRPr="00852F9F">
              <w:rPr>
                <w:rFonts w:cstheme="minorHAnsi"/>
                <w:sz w:val="15"/>
                <w:szCs w:val="15"/>
                <w:lang w:val="en-GB"/>
              </w:rPr>
              <w:t>3.2.2</w:t>
            </w:r>
          </w:p>
        </w:tc>
        <w:tc>
          <w:tcPr>
            <w:tcW w:w="1120" w:type="pct"/>
          </w:tcPr>
          <w:p w14:paraId="6FB3E5C8" w14:textId="77777777" w:rsidR="00B656F6" w:rsidRPr="00852F9F" w:rsidRDefault="00B656F6" w:rsidP="008F0944">
            <w:pPr>
              <w:snapToGrid w:val="0"/>
              <w:rPr>
                <w:rFonts w:cstheme="minorHAnsi"/>
                <w:sz w:val="15"/>
                <w:szCs w:val="15"/>
                <w:lang w:val="en-GB"/>
              </w:rPr>
            </w:pPr>
            <w:r w:rsidRPr="00852F9F">
              <w:rPr>
                <w:rFonts w:cstheme="minorHAnsi"/>
                <w:sz w:val="15"/>
                <w:szCs w:val="15"/>
                <w:lang w:val="en-GB"/>
              </w:rPr>
              <w:t>Neonatal mortality rate (probability of dying during the first 28 days of life per 1,000 live</w:t>
            </w:r>
            <w:r>
              <w:rPr>
                <w:rFonts w:cstheme="minorHAnsi"/>
                <w:sz w:val="15"/>
                <w:szCs w:val="15"/>
                <w:lang w:val="en-GB"/>
              </w:rPr>
              <w:t xml:space="preserve"> </w:t>
            </w:r>
            <w:r w:rsidRPr="00852F9F">
              <w:rPr>
                <w:rFonts w:cstheme="minorHAnsi"/>
                <w:sz w:val="15"/>
                <w:szCs w:val="15"/>
                <w:lang w:val="en-GB"/>
              </w:rPr>
              <w:t>births)</w:t>
            </w:r>
          </w:p>
        </w:tc>
        <w:tc>
          <w:tcPr>
            <w:tcW w:w="1000" w:type="pct"/>
            <w:noWrap/>
            <w:hideMark/>
          </w:tcPr>
          <w:p w14:paraId="63830B49" w14:textId="77777777" w:rsidR="00B656F6" w:rsidRPr="00852F9F" w:rsidRDefault="00B656F6" w:rsidP="008F0944">
            <w:pPr>
              <w:snapToGrid w:val="0"/>
              <w:rPr>
                <w:rFonts w:cstheme="minorHAnsi"/>
                <w:sz w:val="15"/>
                <w:szCs w:val="15"/>
                <w:lang w:val="en-GB"/>
              </w:rPr>
            </w:pPr>
            <w:r w:rsidRPr="00852F9F">
              <w:rPr>
                <w:rFonts w:cstheme="minorHAnsi"/>
                <w:sz w:val="15"/>
                <w:szCs w:val="15"/>
                <w:lang w:val="en-GB"/>
              </w:rPr>
              <w:t>SDG</w:t>
            </w:r>
          </w:p>
        </w:tc>
        <w:tc>
          <w:tcPr>
            <w:tcW w:w="2163" w:type="pct"/>
            <w:hideMark/>
          </w:tcPr>
          <w:p w14:paraId="3554E36F" w14:textId="77777777" w:rsidR="00B656F6" w:rsidRPr="00852F9F" w:rsidRDefault="00B656F6" w:rsidP="008F0944">
            <w:pPr>
              <w:snapToGrid w:val="0"/>
              <w:rPr>
                <w:rFonts w:cstheme="minorHAnsi"/>
                <w:sz w:val="15"/>
                <w:szCs w:val="15"/>
                <w:lang w:val="en-GB"/>
              </w:rPr>
            </w:pPr>
            <w:r w:rsidRPr="00852F9F">
              <w:rPr>
                <w:rFonts w:cstheme="minorHAnsi"/>
                <w:sz w:val="15"/>
                <w:szCs w:val="15"/>
                <w:lang w:val="en-GB"/>
              </w:rPr>
              <w:t>By 2030, end preventable deaths of newborns and children under 5 years of age, with all countries aiming to reduce neonatal mortality to at least as low as 12 per 1,000 live births and under-5 mortality to at least as low as 25 per 1,000 live births.</w:t>
            </w:r>
          </w:p>
        </w:tc>
        <w:tc>
          <w:tcPr>
            <w:tcW w:w="161" w:type="pct"/>
          </w:tcPr>
          <w:p w14:paraId="14A5F317" w14:textId="77777777" w:rsidR="00B656F6" w:rsidRPr="00852F9F" w:rsidRDefault="00B656F6" w:rsidP="008F0944">
            <w:pPr>
              <w:snapToGrid w:val="0"/>
              <w:rPr>
                <w:rFonts w:cstheme="minorHAnsi"/>
                <w:sz w:val="15"/>
                <w:szCs w:val="15"/>
                <w:lang w:val="en-GB"/>
              </w:rPr>
            </w:pPr>
            <w:r w:rsidRPr="00852F9F">
              <w:rPr>
                <w:rFonts w:cstheme="minorHAnsi"/>
                <w:sz w:val="15"/>
                <w:szCs w:val="15"/>
                <w:lang w:val="en-GB"/>
              </w:rPr>
              <w:t>2030</w:t>
            </w:r>
          </w:p>
        </w:tc>
      </w:tr>
      <w:tr w:rsidR="00B656F6" w:rsidRPr="00852F9F" w14:paraId="76D1530A" w14:textId="77777777" w:rsidTr="008F0944">
        <w:trPr>
          <w:trHeight w:val="20"/>
        </w:trPr>
        <w:tc>
          <w:tcPr>
            <w:tcW w:w="341" w:type="pct"/>
            <w:vMerge/>
          </w:tcPr>
          <w:p w14:paraId="60B610F5" w14:textId="77777777" w:rsidR="00B656F6" w:rsidRPr="00852F9F" w:rsidRDefault="00B656F6" w:rsidP="008F0944">
            <w:pPr>
              <w:snapToGrid w:val="0"/>
              <w:rPr>
                <w:rFonts w:cstheme="minorHAnsi"/>
                <w:sz w:val="15"/>
                <w:szCs w:val="15"/>
                <w:lang w:val="en-GB"/>
              </w:rPr>
            </w:pPr>
          </w:p>
        </w:tc>
        <w:tc>
          <w:tcPr>
            <w:tcW w:w="215" w:type="pct"/>
            <w:noWrap/>
          </w:tcPr>
          <w:p w14:paraId="43B57B38" w14:textId="77777777" w:rsidR="00B656F6" w:rsidRPr="00852F9F" w:rsidRDefault="00B656F6" w:rsidP="008F0944">
            <w:pPr>
              <w:snapToGrid w:val="0"/>
              <w:rPr>
                <w:rFonts w:cstheme="minorHAnsi"/>
                <w:sz w:val="15"/>
                <w:szCs w:val="15"/>
                <w:lang w:val="en-GB"/>
              </w:rPr>
            </w:pPr>
            <w:r w:rsidRPr="00852F9F">
              <w:rPr>
                <w:rFonts w:cstheme="minorHAnsi"/>
                <w:sz w:val="15"/>
                <w:szCs w:val="15"/>
                <w:lang w:val="en-GB"/>
              </w:rPr>
              <w:t>3.b.1</w:t>
            </w:r>
          </w:p>
        </w:tc>
        <w:tc>
          <w:tcPr>
            <w:tcW w:w="1120" w:type="pct"/>
          </w:tcPr>
          <w:p w14:paraId="2444E29F" w14:textId="77777777" w:rsidR="00B656F6" w:rsidRPr="00852F9F" w:rsidRDefault="00B656F6" w:rsidP="008F0944">
            <w:pPr>
              <w:snapToGrid w:val="0"/>
              <w:rPr>
                <w:rFonts w:cstheme="minorHAnsi"/>
                <w:sz w:val="15"/>
                <w:szCs w:val="15"/>
                <w:lang w:val="en-GB"/>
              </w:rPr>
            </w:pPr>
            <w:r w:rsidRPr="00852F9F">
              <w:rPr>
                <w:rFonts w:cstheme="minorHAnsi"/>
                <w:sz w:val="15"/>
                <w:szCs w:val="15"/>
                <w:lang w:val="en-GB"/>
              </w:rPr>
              <w:t>Geometric mean of the coverage of eight vaccines, conditional on inclusion in national vaccine schedules, in target populations (%)</w:t>
            </w:r>
          </w:p>
        </w:tc>
        <w:tc>
          <w:tcPr>
            <w:tcW w:w="1000" w:type="pct"/>
            <w:noWrap/>
          </w:tcPr>
          <w:p w14:paraId="01B6A7FC" w14:textId="77777777" w:rsidR="00B656F6" w:rsidRPr="00852F9F" w:rsidRDefault="00B656F6" w:rsidP="008F0944">
            <w:pPr>
              <w:snapToGrid w:val="0"/>
              <w:rPr>
                <w:rFonts w:cstheme="minorHAnsi"/>
                <w:sz w:val="15"/>
                <w:szCs w:val="15"/>
                <w:lang w:val="en-GB"/>
              </w:rPr>
            </w:pPr>
            <w:r w:rsidRPr="00852F9F">
              <w:rPr>
                <w:rFonts w:cstheme="minorHAnsi"/>
                <w:sz w:val="15"/>
                <w:szCs w:val="15"/>
                <w:lang w:val="en-GB"/>
              </w:rPr>
              <w:t>SDG</w:t>
            </w:r>
          </w:p>
        </w:tc>
        <w:tc>
          <w:tcPr>
            <w:tcW w:w="2163" w:type="pct"/>
          </w:tcPr>
          <w:p w14:paraId="57572731" w14:textId="77777777" w:rsidR="00B656F6" w:rsidRPr="00852F9F" w:rsidRDefault="00B656F6" w:rsidP="008F0944">
            <w:pPr>
              <w:snapToGrid w:val="0"/>
              <w:rPr>
                <w:rFonts w:cstheme="minorHAnsi"/>
                <w:sz w:val="15"/>
                <w:szCs w:val="15"/>
                <w:lang w:val="en-GB"/>
              </w:rPr>
            </w:pPr>
            <w:r w:rsidRPr="00852F9F">
              <w:rPr>
                <w:rFonts w:cstheme="minorHAnsi"/>
                <w:sz w:val="15"/>
                <w:szCs w:val="15"/>
                <w:lang w:val="en-GB"/>
              </w:rPr>
              <w:t xml:space="preserve">Support the research and development of vaccines and medicines for the communicable and </w:t>
            </w:r>
            <w:r>
              <w:rPr>
                <w:rFonts w:cstheme="minorHAnsi"/>
                <w:sz w:val="15"/>
                <w:szCs w:val="15"/>
                <w:lang w:val="en-GB"/>
              </w:rPr>
              <w:t>NCDs</w:t>
            </w:r>
            <w:r w:rsidRPr="00852F9F">
              <w:rPr>
                <w:rFonts w:cstheme="minorHAnsi"/>
                <w:sz w:val="15"/>
                <w:szCs w:val="15"/>
                <w:lang w:val="en-GB"/>
              </w:rPr>
              <w:t xml:space="preserve"> that primarily affect developing countries, provide access to affordable essential medicines and vaccines, in accordance with the Doha Declaration on the TRIPS Agreement and Public Health, which affirms the right of developing countries to use the full provisions in the Agreement on Trade-Related Aspects of Intellectual Property Rights regarding flexibilities to protect public health, and, in particular, provide access to medicines for all.</w:t>
            </w:r>
          </w:p>
        </w:tc>
        <w:tc>
          <w:tcPr>
            <w:tcW w:w="161" w:type="pct"/>
          </w:tcPr>
          <w:p w14:paraId="458768EE" w14:textId="77777777" w:rsidR="00B656F6" w:rsidRPr="00852F9F" w:rsidRDefault="00B656F6" w:rsidP="008F0944">
            <w:pPr>
              <w:snapToGrid w:val="0"/>
              <w:rPr>
                <w:rFonts w:cstheme="minorHAnsi"/>
                <w:sz w:val="15"/>
                <w:szCs w:val="15"/>
                <w:lang w:val="en-GB"/>
              </w:rPr>
            </w:pPr>
            <w:r w:rsidRPr="00852F9F">
              <w:rPr>
                <w:rFonts w:cstheme="minorHAnsi"/>
                <w:sz w:val="15"/>
                <w:szCs w:val="15"/>
                <w:lang w:val="en-GB"/>
              </w:rPr>
              <w:t>2030</w:t>
            </w:r>
          </w:p>
        </w:tc>
      </w:tr>
      <w:tr w:rsidR="00B656F6" w:rsidRPr="00852F9F" w14:paraId="0EA9FDE1" w14:textId="77777777" w:rsidTr="008F0944">
        <w:trPr>
          <w:trHeight w:val="20"/>
        </w:trPr>
        <w:tc>
          <w:tcPr>
            <w:tcW w:w="341" w:type="pct"/>
            <w:vMerge/>
          </w:tcPr>
          <w:p w14:paraId="576BAC01" w14:textId="77777777" w:rsidR="00B656F6" w:rsidRPr="00852F9F" w:rsidRDefault="00B656F6" w:rsidP="008F0944">
            <w:pPr>
              <w:snapToGrid w:val="0"/>
              <w:rPr>
                <w:rFonts w:cstheme="minorHAnsi"/>
                <w:sz w:val="15"/>
                <w:szCs w:val="15"/>
                <w:lang w:val="en-GB"/>
              </w:rPr>
            </w:pPr>
          </w:p>
        </w:tc>
        <w:tc>
          <w:tcPr>
            <w:tcW w:w="215" w:type="pct"/>
            <w:noWrap/>
          </w:tcPr>
          <w:p w14:paraId="58B2887D" w14:textId="77777777" w:rsidR="00B656F6" w:rsidRPr="00852F9F" w:rsidRDefault="00B656F6" w:rsidP="008F0944">
            <w:pPr>
              <w:snapToGrid w:val="0"/>
              <w:rPr>
                <w:rFonts w:cstheme="minorHAnsi"/>
                <w:sz w:val="15"/>
                <w:szCs w:val="15"/>
                <w:lang w:val="en-GB"/>
              </w:rPr>
            </w:pPr>
            <w:r w:rsidRPr="00852F9F">
              <w:rPr>
                <w:rFonts w:cstheme="minorHAnsi"/>
                <w:sz w:val="15"/>
                <w:szCs w:val="15"/>
                <w:lang w:val="en-GB"/>
              </w:rPr>
              <w:t>3.7.1</w:t>
            </w:r>
          </w:p>
        </w:tc>
        <w:tc>
          <w:tcPr>
            <w:tcW w:w="1120" w:type="pct"/>
          </w:tcPr>
          <w:p w14:paraId="542B135A" w14:textId="77777777" w:rsidR="00B656F6" w:rsidRPr="00852F9F" w:rsidRDefault="00B656F6" w:rsidP="008F0944">
            <w:pPr>
              <w:snapToGrid w:val="0"/>
              <w:rPr>
                <w:rFonts w:cstheme="minorHAnsi"/>
                <w:sz w:val="15"/>
                <w:szCs w:val="15"/>
                <w:lang w:val="en-GB"/>
              </w:rPr>
            </w:pPr>
            <w:r w:rsidRPr="00852F9F">
              <w:rPr>
                <w:rFonts w:cstheme="minorHAnsi"/>
                <w:sz w:val="15"/>
                <w:szCs w:val="15"/>
                <w:lang w:val="en-GB"/>
              </w:rPr>
              <w:t>Proportion of women of reproductive age (15</w:t>
            </w:r>
            <w:r>
              <w:rPr>
                <w:rFonts w:cstheme="minorHAnsi"/>
                <w:sz w:val="15"/>
                <w:szCs w:val="15"/>
                <w:lang w:val="en-GB"/>
              </w:rPr>
              <w:t>–</w:t>
            </w:r>
            <w:r w:rsidRPr="00852F9F">
              <w:rPr>
                <w:rFonts w:cstheme="minorHAnsi"/>
                <w:sz w:val="15"/>
                <w:szCs w:val="15"/>
                <w:lang w:val="en-GB"/>
              </w:rPr>
              <w:t>49 years) who have their need for family planning satisfied with modern methods (%)</w:t>
            </w:r>
          </w:p>
        </w:tc>
        <w:tc>
          <w:tcPr>
            <w:tcW w:w="1000" w:type="pct"/>
            <w:noWrap/>
          </w:tcPr>
          <w:p w14:paraId="13924BC6" w14:textId="77777777" w:rsidR="00B656F6" w:rsidRPr="00852F9F" w:rsidRDefault="00B656F6" w:rsidP="008F0944">
            <w:pPr>
              <w:snapToGrid w:val="0"/>
              <w:rPr>
                <w:rFonts w:cstheme="minorHAnsi"/>
                <w:sz w:val="15"/>
                <w:szCs w:val="15"/>
                <w:lang w:val="en-GB"/>
              </w:rPr>
            </w:pPr>
            <w:r w:rsidRPr="00852F9F">
              <w:rPr>
                <w:rFonts w:cstheme="minorHAnsi"/>
                <w:sz w:val="15"/>
                <w:szCs w:val="15"/>
                <w:lang w:val="en-GB"/>
              </w:rPr>
              <w:t>SDG</w:t>
            </w:r>
          </w:p>
        </w:tc>
        <w:tc>
          <w:tcPr>
            <w:tcW w:w="2163" w:type="pct"/>
          </w:tcPr>
          <w:p w14:paraId="6E71A9DE" w14:textId="77777777" w:rsidR="00B656F6" w:rsidRPr="00197998" w:rsidRDefault="00B656F6" w:rsidP="008F0944">
            <w:pPr>
              <w:snapToGrid w:val="0"/>
              <w:rPr>
                <w:rFonts w:cstheme="minorHAnsi"/>
                <w:sz w:val="15"/>
                <w:szCs w:val="15"/>
                <w:lang w:val="en-GB"/>
              </w:rPr>
            </w:pPr>
            <w:r w:rsidRPr="00197998">
              <w:rPr>
                <w:rFonts w:cstheme="minorHAnsi"/>
                <w:sz w:val="15"/>
                <w:szCs w:val="15"/>
                <w:lang w:val="en-GB"/>
              </w:rPr>
              <w:t xml:space="preserve">By 2030, ensure </w:t>
            </w:r>
            <w:r w:rsidRPr="005A11D8">
              <w:rPr>
                <w:rFonts w:cstheme="minorHAnsi"/>
                <w:bCs/>
                <w:sz w:val="15"/>
                <w:szCs w:val="15"/>
                <w:lang w:val="en-GB"/>
              </w:rPr>
              <w:t>universal</w:t>
            </w:r>
            <w:r w:rsidRPr="00197998">
              <w:rPr>
                <w:rFonts w:cstheme="minorHAnsi"/>
                <w:sz w:val="15"/>
                <w:szCs w:val="15"/>
                <w:lang w:val="en-GB"/>
              </w:rPr>
              <w:t xml:space="preserve"> access to sexual and reproductive healthcare services, including for family planning, information and education, and the integration of reproductive health into national strategies and programs.</w:t>
            </w:r>
          </w:p>
        </w:tc>
        <w:tc>
          <w:tcPr>
            <w:tcW w:w="161" w:type="pct"/>
          </w:tcPr>
          <w:p w14:paraId="198E99AB" w14:textId="77777777" w:rsidR="00B656F6" w:rsidRPr="00852F9F" w:rsidRDefault="00B656F6" w:rsidP="008F0944">
            <w:pPr>
              <w:snapToGrid w:val="0"/>
              <w:rPr>
                <w:rFonts w:cstheme="minorHAnsi"/>
                <w:sz w:val="15"/>
                <w:szCs w:val="15"/>
                <w:lang w:val="en-GB"/>
              </w:rPr>
            </w:pPr>
            <w:r w:rsidRPr="00852F9F">
              <w:rPr>
                <w:rFonts w:cstheme="minorHAnsi"/>
                <w:sz w:val="15"/>
                <w:szCs w:val="15"/>
                <w:lang w:val="en-GB"/>
              </w:rPr>
              <w:t>2030</w:t>
            </w:r>
          </w:p>
        </w:tc>
      </w:tr>
      <w:tr w:rsidR="00B656F6" w:rsidRPr="00852F9F" w14:paraId="0F8B4F32" w14:textId="77777777" w:rsidTr="008F0944">
        <w:trPr>
          <w:trHeight w:val="20"/>
        </w:trPr>
        <w:tc>
          <w:tcPr>
            <w:tcW w:w="341" w:type="pct"/>
            <w:vMerge w:val="restart"/>
          </w:tcPr>
          <w:p w14:paraId="2A7D6287" w14:textId="77777777" w:rsidR="00B656F6" w:rsidRPr="00852F9F" w:rsidRDefault="00B656F6" w:rsidP="008F0944">
            <w:pPr>
              <w:snapToGrid w:val="0"/>
              <w:rPr>
                <w:rFonts w:cstheme="minorHAnsi"/>
                <w:sz w:val="15"/>
                <w:szCs w:val="15"/>
                <w:lang w:val="en-GB"/>
              </w:rPr>
            </w:pPr>
            <w:r w:rsidRPr="00852F9F">
              <w:rPr>
                <w:rFonts w:cstheme="minorHAnsi"/>
                <w:sz w:val="15"/>
                <w:szCs w:val="15"/>
                <w:lang w:val="en-GB"/>
              </w:rPr>
              <w:t xml:space="preserve">Infectious diseases </w:t>
            </w:r>
          </w:p>
        </w:tc>
        <w:tc>
          <w:tcPr>
            <w:tcW w:w="215" w:type="pct"/>
            <w:noWrap/>
            <w:hideMark/>
          </w:tcPr>
          <w:p w14:paraId="27399AF4" w14:textId="77777777" w:rsidR="00B656F6" w:rsidRPr="00852F9F" w:rsidRDefault="00B656F6" w:rsidP="008F0944">
            <w:pPr>
              <w:snapToGrid w:val="0"/>
              <w:rPr>
                <w:rFonts w:cstheme="minorHAnsi"/>
                <w:sz w:val="15"/>
                <w:szCs w:val="15"/>
                <w:lang w:val="en-GB"/>
              </w:rPr>
            </w:pPr>
            <w:r w:rsidRPr="00852F9F">
              <w:rPr>
                <w:rFonts w:cstheme="minorHAnsi"/>
                <w:sz w:val="15"/>
                <w:szCs w:val="15"/>
                <w:lang w:val="en-GB"/>
              </w:rPr>
              <w:t>3.3.1</w:t>
            </w:r>
          </w:p>
        </w:tc>
        <w:tc>
          <w:tcPr>
            <w:tcW w:w="1120" w:type="pct"/>
          </w:tcPr>
          <w:p w14:paraId="67FA482C" w14:textId="77777777" w:rsidR="00B656F6" w:rsidRPr="00852F9F" w:rsidRDefault="00B656F6" w:rsidP="008F0944">
            <w:pPr>
              <w:snapToGrid w:val="0"/>
              <w:rPr>
                <w:rFonts w:cstheme="minorHAnsi"/>
                <w:sz w:val="15"/>
                <w:szCs w:val="15"/>
                <w:lang w:val="en-GB"/>
              </w:rPr>
            </w:pPr>
            <w:r w:rsidRPr="00852F9F">
              <w:rPr>
                <w:rFonts w:cstheme="minorHAnsi"/>
                <w:sz w:val="15"/>
                <w:szCs w:val="15"/>
                <w:lang w:val="en-GB"/>
              </w:rPr>
              <w:t>Age-standardi</w:t>
            </w:r>
            <w:r>
              <w:rPr>
                <w:rFonts w:cstheme="minorHAnsi"/>
                <w:sz w:val="15"/>
                <w:szCs w:val="15"/>
                <w:lang w:val="en-GB"/>
              </w:rPr>
              <w:t>z</w:t>
            </w:r>
            <w:r w:rsidRPr="00852F9F">
              <w:rPr>
                <w:rFonts w:cstheme="minorHAnsi"/>
                <w:sz w:val="15"/>
                <w:szCs w:val="15"/>
                <w:lang w:val="en-GB"/>
              </w:rPr>
              <w:t>ed rate of new HIV infections (per 1,000 population)</w:t>
            </w:r>
          </w:p>
        </w:tc>
        <w:tc>
          <w:tcPr>
            <w:tcW w:w="1000" w:type="pct"/>
            <w:hideMark/>
          </w:tcPr>
          <w:p w14:paraId="07AFAF68" w14:textId="77777777" w:rsidR="00B656F6" w:rsidRPr="00852F9F" w:rsidRDefault="00B656F6" w:rsidP="008F0944">
            <w:pPr>
              <w:snapToGrid w:val="0"/>
              <w:rPr>
                <w:rFonts w:cstheme="minorHAnsi"/>
                <w:sz w:val="15"/>
                <w:szCs w:val="15"/>
                <w:lang w:val="en-GB"/>
              </w:rPr>
            </w:pPr>
            <w:r w:rsidRPr="00852F9F">
              <w:rPr>
                <w:rFonts w:cstheme="minorHAnsi"/>
                <w:sz w:val="15"/>
                <w:szCs w:val="15"/>
                <w:lang w:val="en-GB"/>
              </w:rPr>
              <w:t>Accelerating progress</w:t>
            </w:r>
            <w:r>
              <w:rPr>
                <w:rFonts w:cstheme="minorHAnsi"/>
                <w:sz w:val="15"/>
                <w:szCs w:val="15"/>
                <w:lang w:val="en-GB"/>
              </w:rPr>
              <w:t xml:space="preserve"> </w:t>
            </w:r>
            <w:r w:rsidRPr="00852F9F">
              <w:rPr>
                <w:rFonts w:cstheme="minorHAnsi"/>
                <w:sz w:val="15"/>
                <w:szCs w:val="15"/>
                <w:lang w:val="en-GB"/>
              </w:rPr>
              <w:t xml:space="preserve">on HIV, </w:t>
            </w:r>
            <w:r>
              <w:rPr>
                <w:rFonts w:cstheme="minorHAnsi"/>
                <w:sz w:val="15"/>
                <w:szCs w:val="15"/>
                <w:lang w:val="en-GB"/>
              </w:rPr>
              <w:t>TB</w:t>
            </w:r>
            <w:r w:rsidRPr="00852F9F">
              <w:rPr>
                <w:rFonts w:cstheme="minorHAnsi"/>
                <w:sz w:val="15"/>
                <w:szCs w:val="15"/>
                <w:lang w:val="en-GB"/>
              </w:rPr>
              <w:t>, malaria, hepatitis</w:t>
            </w:r>
            <w:r>
              <w:rPr>
                <w:rFonts w:cstheme="minorHAnsi"/>
                <w:sz w:val="15"/>
                <w:szCs w:val="15"/>
                <w:lang w:val="en-GB"/>
              </w:rPr>
              <w:t xml:space="preserve">, </w:t>
            </w:r>
            <w:r w:rsidRPr="00852F9F">
              <w:rPr>
                <w:rFonts w:cstheme="minorHAnsi"/>
                <w:sz w:val="15"/>
                <w:szCs w:val="15"/>
                <w:lang w:val="en-GB"/>
              </w:rPr>
              <w:t xml:space="preserve">and </w:t>
            </w:r>
            <w:r>
              <w:rPr>
                <w:rFonts w:cstheme="minorHAnsi"/>
                <w:sz w:val="15"/>
                <w:szCs w:val="15"/>
                <w:lang w:val="en-GB"/>
              </w:rPr>
              <w:t>NTDs</w:t>
            </w:r>
          </w:p>
        </w:tc>
        <w:tc>
          <w:tcPr>
            <w:tcW w:w="2163" w:type="pct"/>
            <w:hideMark/>
          </w:tcPr>
          <w:p w14:paraId="79E8E013" w14:textId="77777777" w:rsidR="00B656F6" w:rsidRPr="00197998" w:rsidRDefault="00B656F6" w:rsidP="008F0944">
            <w:pPr>
              <w:snapToGrid w:val="0"/>
              <w:rPr>
                <w:rFonts w:cstheme="minorHAnsi"/>
                <w:sz w:val="15"/>
                <w:szCs w:val="15"/>
                <w:lang w:val="en-GB"/>
              </w:rPr>
            </w:pPr>
            <w:r w:rsidRPr="00197998">
              <w:rPr>
                <w:rFonts w:cstheme="minorHAnsi"/>
                <w:sz w:val="15"/>
                <w:szCs w:val="15"/>
                <w:lang w:val="en-GB"/>
              </w:rPr>
              <w:t>Reduce new HIV infections to less than 500</w:t>
            </w:r>
            <w:r>
              <w:rPr>
                <w:rFonts w:cstheme="minorHAnsi"/>
                <w:sz w:val="15"/>
                <w:szCs w:val="15"/>
                <w:lang w:val="en-GB"/>
              </w:rPr>
              <w:t>,</w:t>
            </w:r>
            <w:r w:rsidRPr="00197998">
              <w:rPr>
                <w:rFonts w:cstheme="minorHAnsi"/>
                <w:sz w:val="15"/>
                <w:szCs w:val="15"/>
                <w:lang w:val="en-GB"/>
              </w:rPr>
              <w:t>000 by 2020 (compared with</w:t>
            </w:r>
            <w:r>
              <w:rPr>
                <w:rFonts w:cstheme="minorHAnsi"/>
                <w:sz w:val="15"/>
                <w:szCs w:val="15"/>
                <w:lang w:val="en-GB"/>
              </w:rPr>
              <w:t xml:space="preserve"> </w:t>
            </w:r>
            <w:r w:rsidRPr="00197998">
              <w:rPr>
                <w:rFonts w:cstheme="minorHAnsi"/>
                <w:sz w:val="15"/>
                <w:szCs w:val="15"/>
                <w:lang w:val="en-GB"/>
              </w:rPr>
              <w:t>2.1 million new HIV infections in 2010) and</w:t>
            </w:r>
            <w:r>
              <w:rPr>
                <w:rFonts w:cstheme="minorHAnsi"/>
                <w:sz w:val="15"/>
                <w:szCs w:val="15"/>
                <w:lang w:val="en-GB"/>
              </w:rPr>
              <w:t>,</w:t>
            </w:r>
            <w:r w:rsidRPr="00197998">
              <w:rPr>
                <w:rFonts w:cstheme="minorHAnsi"/>
                <w:sz w:val="15"/>
                <w:szCs w:val="15"/>
                <w:lang w:val="en-GB"/>
              </w:rPr>
              <w:t xml:space="preserve"> by 2030</w:t>
            </w:r>
            <w:r>
              <w:rPr>
                <w:rFonts w:cstheme="minorHAnsi"/>
                <w:sz w:val="15"/>
                <w:szCs w:val="15"/>
                <w:lang w:val="en-GB"/>
              </w:rPr>
              <w:t>,</w:t>
            </w:r>
            <w:r w:rsidRPr="00197998">
              <w:rPr>
                <w:rFonts w:cstheme="minorHAnsi"/>
                <w:sz w:val="15"/>
                <w:szCs w:val="15"/>
                <w:lang w:val="en-GB"/>
              </w:rPr>
              <w:t xml:space="preserve"> reduce the annual number of new</w:t>
            </w:r>
            <w:r>
              <w:rPr>
                <w:rFonts w:cstheme="minorHAnsi"/>
                <w:sz w:val="15"/>
                <w:szCs w:val="15"/>
                <w:lang w:val="en-GB"/>
              </w:rPr>
              <w:t xml:space="preserve"> </w:t>
            </w:r>
            <w:r w:rsidRPr="00197998">
              <w:rPr>
                <w:rFonts w:cstheme="minorHAnsi"/>
                <w:sz w:val="15"/>
                <w:szCs w:val="15"/>
                <w:lang w:val="en-GB"/>
              </w:rPr>
              <w:t>infections by 90%</w:t>
            </w:r>
            <w:r>
              <w:rPr>
                <w:rFonts w:cstheme="minorHAnsi"/>
                <w:sz w:val="15"/>
                <w:szCs w:val="15"/>
                <w:lang w:val="en-GB"/>
              </w:rPr>
              <w:t>.</w:t>
            </w:r>
          </w:p>
        </w:tc>
        <w:tc>
          <w:tcPr>
            <w:tcW w:w="161" w:type="pct"/>
          </w:tcPr>
          <w:p w14:paraId="75E93B0D" w14:textId="77777777" w:rsidR="00B656F6" w:rsidRPr="00852F9F" w:rsidRDefault="00B656F6" w:rsidP="008F0944">
            <w:pPr>
              <w:snapToGrid w:val="0"/>
              <w:rPr>
                <w:rFonts w:cstheme="minorHAnsi"/>
                <w:sz w:val="15"/>
                <w:szCs w:val="15"/>
                <w:lang w:val="en-GB"/>
              </w:rPr>
            </w:pPr>
            <w:r w:rsidRPr="00852F9F">
              <w:rPr>
                <w:rFonts w:cstheme="minorHAnsi"/>
                <w:sz w:val="15"/>
                <w:szCs w:val="15"/>
                <w:lang w:val="en-GB"/>
              </w:rPr>
              <w:t>2030</w:t>
            </w:r>
          </w:p>
        </w:tc>
      </w:tr>
      <w:tr w:rsidR="00B656F6" w:rsidRPr="00852F9F" w14:paraId="40298A6E" w14:textId="77777777" w:rsidTr="008F0944">
        <w:trPr>
          <w:trHeight w:val="20"/>
        </w:trPr>
        <w:tc>
          <w:tcPr>
            <w:tcW w:w="341" w:type="pct"/>
            <w:vMerge/>
          </w:tcPr>
          <w:p w14:paraId="6E69F32C" w14:textId="77777777" w:rsidR="00B656F6" w:rsidRPr="00852F9F" w:rsidRDefault="00B656F6" w:rsidP="008F0944">
            <w:pPr>
              <w:snapToGrid w:val="0"/>
              <w:rPr>
                <w:rFonts w:cstheme="minorHAnsi"/>
                <w:sz w:val="15"/>
                <w:szCs w:val="15"/>
                <w:lang w:val="en-GB"/>
              </w:rPr>
            </w:pPr>
          </w:p>
        </w:tc>
        <w:tc>
          <w:tcPr>
            <w:tcW w:w="215" w:type="pct"/>
            <w:noWrap/>
            <w:hideMark/>
          </w:tcPr>
          <w:p w14:paraId="71A2E028" w14:textId="77777777" w:rsidR="00B656F6" w:rsidRPr="00852F9F" w:rsidRDefault="00B656F6" w:rsidP="008F0944">
            <w:pPr>
              <w:snapToGrid w:val="0"/>
              <w:rPr>
                <w:rFonts w:cstheme="minorHAnsi"/>
                <w:sz w:val="15"/>
                <w:szCs w:val="15"/>
                <w:lang w:val="en-GB"/>
              </w:rPr>
            </w:pPr>
            <w:r w:rsidRPr="00852F9F">
              <w:rPr>
                <w:rFonts w:cstheme="minorHAnsi"/>
                <w:sz w:val="15"/>
                <w:szCs w:val="15"/>
                <w:lang w:val="en-GB"/>
              </w:rPr>
              <w:t>3.3.2</w:t>
            </w:r>
          </w:p>
        </w:tc>
        <w:tc>
          <w:tcPr>
            <w:tcW w:w="1120" w:type="pct"/>
          </w:tcPr>
          <w:p w14:paraId="107E646E" w14:textId="77777777" w:rsidR="00B656F6" w:rsidRPr="00852F9F" w:rsidRDefault="00B656F6" w:rsidP="008F0944">
            <w:pPr>
              <w:snapToGrid w:val="0"/>
              <w:rPr>
                <w:rFonts w:cstheme="minorHAnsi"/>
                <w:sz w:val="15"/>
                <w:szCs w:val="15"/>
                <w:lang w:val="en-GB"/>
              </w:rPr>
            </w:pPr>
            <w:r w:rsidRPr="00852F9F">
              <w:rPr>
                <w:rFonts w:cstheme="minorHAnsi"/>
                <w:sz w:val="15"/>
                <w:szCs w:val="15"/>
                <w:lang w:val="en-GB"/>
              </w:rPr>
              <w:t>Age-standardi</w:t>
            </w:r>
            <w:r>
              <w:rPr>
                <w:rFonts w:cstheme="minorHAnsi"/>
                <w:sz w:val="15"/>
                <w:szCs w:val="15"/>
                <w:lang w:val="en-GB"/>
              </w:rPr>
              <w:t>z</w:t>
            </w:r>
            <w:r w:rsidRPr="00852F9F">
              <w:rPr>
                <w:rFonts w:cstheme="minorHAnsi"/>
                <w:sz w:val="15"/>
                <w:szCs w:val="15"/>
                <w:lang w:val="en-GB"/>
              </w:rPr>
              <w:t xml:space="preserve">ed rate of </w:t>
            </w:r>
            <w:r>
              <w:rPr>
                <w:rFonts w:cstheme="minorHAnsi"/>
                <w:sz w:val="15"/>
                <w:szCs w:val="15"/>
                <w:lang w:val="en-GB"/>
              </w:rPr>
              <w:t>TB</w:t>
            </w:r>
            <w:r w:rsidRPr="00852F9F">
              <w:rPr>
                <w:rFonts w:cstheme="minorHAnsi"/>
                <w:sz w:val="15"/>
                <w:szCs w:val="15"/>
                <w:lang w:val="en-GB"/>
              </w:rPr>
              <w:t xml:space="preserve"> cases (per 100,000 population)</w:t>
            </w:r>
          </w:p>
        </w:tc>
        <w:tc>
          <w:tcPr>
            <w:tcW w:w="1000" w:type="pct"/>
            <w:hideMark/>
          </w:tcPr>
          <w:p w14:paraId="5BDF9A37" w14:textId="77777777" w:rsidR="00B656F6" w:rsidRPr="00852F9F" w:rsidRDefault="00B656F6" w:rsidP="008F0944">
            <w:pPr>
              <w:snapToGrid w:val="0"/>
              <w:rPr>
                <w:rFonts w:cstheme="minorHAnsi"/>
                <w:sz w:val="15"/>
                <w:szCs w:val="15"/>
                <w:lang w:val="en-GB"/>
              </w:rPr>
            </w:pPr>
            <w:r w:rsidRPr="00852F9F">
              <w:rPr>
                <w:rFonts w:cstheme="minorHAnsi"/>
                <w:sz w:val="15"/>
                <w:szCs w:val="15"/>
                <w:lang w:val="en-GB"/>
              </w:rPr>
              <w:t>Accelerating progress</w:t>
            </w:r>
            <w:r>
              <w:rPr>
                <w:rFonts w:cstheme="minorHAnsi"/>
                <w:sz w:val="15"/>
                <w:szCs w:val="15"/>
                <w:lang w:val="en-GB"/>
              </w:rPr>
              <w:t xml:space="preserve"> </w:t>
            </w:r>
            <w:r w:rsidRPr="00852F9F">
              <w:rPr>
                <w:rFonts w:cstheme="minorHAnsi"/>
                <w:sz w:val="15"/>
                <w:szCs w:val="15"/>
                <w:lang w:val="en-GB"/>
              </w:rPr>
              <w:t xml:space="preserve">on HIV, </w:t>
            </w:r>
            <w:r>
              <w:rPr>
                <w:rFonts w:cstheme="minorHAnsi"/>
                <w:sz w:val="15"/>
                <w:szCs w:val="15"/>
                <w:lang w:val="en-GB"/>
              </w:rPr>
              <w:t>TB</w:t>
            </w:r>
            <w:r w:rsidRPr="00852F9F">
              <w:rPr>
                <w:rFonts w:cstheme="minorHAnsi"/>
                <w:sz w:val="15"/>
                <w:szCs w:val="15"/>
                <w:lang w:val="en-GB"/>
              </w:rPr>
              <w:t>, malaria, hepatitis</w:t>
            </w:r>
            <w:r>
              <w:rPr>
                <w:rFonts w:cstheme="minorHAnsi"/>
                <w:sz w:val="15"/>
                <w:szCs w:val="15"/>
                <w:lang w:val="en-GB"/>
              </w:rPr>
              <w:t xml:space="preserve">, </w:t>
            </w:r>
            <w:r w:rsidRPr="00852F9F">
              <w:rPr>
                <w:rFonts w:cstheme="minorHAnsi"/>
                <w:sz w:val="15"/>
                <w:szCs w:val="15"/>
                <w:lang w:val="en-GB"/>
              </w:rPr>
              <w:t xml:space="preserve">and </w:t>
            </w:r>
            <w:r>
              <w:rPr>
                <w:rFonts w:cstheme="minorHAnsi"/>
                <w:sz w:val="15"/>
                <w:szCs w:val="15"/>
                <w:lang w:val="en-GB"/>
              </w:rPr>
              <w:t>NTDs</w:t>
            </w:r>
          </w:p>
        </w:tc>
        <w:tc>
          <w:tcPr>
            <w:tcW w:w="2163" w:type="pct"/>
            <w:hideMark/>
          </w:tcPr>
          <w:p w14:paraId="2C2C0A0C" w14:textId="77777777" w:rsidR="00B656F6" w:rsidRPr="00197998" w:rsidRDefault="00B656F6" w:rsidP="008F0944">
            <w:pPr>
              <w:snapToGrid w:val="0"/>
              <w:rPr>
                <w:rFonts w:cstheme="minorHAnsi"/>
                <w:sz w:val="15"/>
                <w:szCs w:val="15"/>
                <w:lang w:val="en-GB"/>
              </w:rPr>
            </w:pPr>
            <w:r w:rsidRPr="00197998">
              <w:rPr>
                <w:rFonts w:cstheme="minorHAnsi"/>
                <w:sz w:val="15"/>
                <w:szCs w:val="15"/>
                <w:lang w:val="en-GB"/>
              </w:rPr>
              <w:t>Reduce TB incidence rate by 80% by 2030 (compared with 2015).</w:t>
            </w:r>
          </w:p>
        </w:tc>
        <w:tc>
          <w:tcPr>
            <w:tcW w:w="161" w:type="pct"/>
          </w:tcPr>
          <w:p w14:paraId="308A2E93" w14:textId="77777777" w:rsidR="00B656F6" w:rsidRPr="00852F9F" w:rsidRDefault="00B656F6" w:rsidP="008F0944">
            <w:pPr>
              <w:snapToGrid w:val="0"/>
              <w:rPr>
                <w:rFonts w:cstheme="minorHAnsi"/>
                <w:sz w:val="15"/>
                <w:szCs w:val="15"/>
                <w:lang w:val="en-GB"/>
              </w:rPr>
            </w:pPr>
            <w:r w:rsidRPr="00852F9F">
              <w:rPr>
                <w:rFonts w:cstheme="minorHAnsi"/>
                <w:sz w:val="15"/>
                <w:szCs w:val="15"/>
                <w:lang w:val="en-GB"/>
              </w:rPr>
              <w:t>2030</w:t>
            </w:r>
          </w:p>
        </w:tc>
      </w:tr>
      <w:tr w:rsidR="00B656F6" w:rsidRPr="00852F9F" w14:paraId="5C8D35CA" w14:textId="77777777" w:rsidTr="008F0944">
        <w:trPr>
          <w:trHeight w:val="20"/>
        </w:trPr>
        <w:tc>
          <w:tcPr>
            <w:tcW w:w="341" w:type="pct"/>
            <w:vMerge/>
          </w:tcPr>
          <w:p w14:paraId="14B06D50" w14:textId="77777777" w:rsidR="00B656F6" w:rsidRPr="00852F9F" w:rsidRDefault="00B656F6" w:rsidP="008F0944">
            <w:pPr>
              <w:snapToGrid w:val="0"/>
              <w:rPr>
                <w:rFonts w:cstheme="minorHAnsi"/>
                <w:sz w:val="15"/>
                <w:szCs w:val="15"/>
                <w:lang w:val="en-GB"/>
              </w:rPr>
            </w:pPr>
          </w:p>
        </w:tc>
        <w:tc>
          <w:tcPr>
            <w:tcW w:w="215" w:type="pct"/>
            <w:noWrap/>
            <w:hideMark/>
          </w:tcPr>
          <w:p w14:paraId="4F5E5740" w14:textId="77777777" w:rsidR="00B656F6" w:rsidRPr="00852F9F" w:rsidRDefault="00B656F6" w:rsidP="008F0944">
            <w:pPr>
              <w:snapToGrid w:val="0"/>
              <w:rPr>
                <w:rFonts w:cstheme="minorHAnsi"/>
                <w:sz w:val="15"/>
                <w:szCs w:val="15"/>
                <w:lang w:val="en-GB"/>
              </w:rPr>
            </w:pPr>
            <w:r w:rsidRPr="00852F9F">
              <w:rPr>
                <w:rFonts w:cstheme="minorHAnsi"/>
                <w:sz w:val="15"/>
                <w:szCs w:val="15"/>
                <w:lang w:val="en-GB"/>
              </w:rPr>
              <w:t>3.3.3</w:t>
            </w:r>
          </w:p>
        </w:tc>
        <w:tc>
          <w:tcPr>
            <w:tcW w:w="1120" w:type="pct"/>
          </w:tcPr>
          <w:p w14:paraId="71460D23" w14:textId="77777777" w:rsidR="00B656F6" w:rsidRPr="00852F9F" w:rsidRDefault="00B656F6" w:rsidP="008F0944">
            <w:pPr>
              <w:snapToGrid w:val="0"/>
              <w:rPr>
                <w:rFonts w:cstheme="minorHAnsi"/>
                <w:sz w:val="15"/>
                <w:szCs w:val="15"/>
                <w:lang w:val="en-GB"/>
              </w:rPr>
            </w:pPr>
            <w:r w:rsidRPr="00852F9F">
              <w:rPr>
                <w:rFonts w:cstheme="minorHAnsi"/>
                <w:sz w:val="15"/>
                <w:szCs w:val="15"/>
                <w:lang w:val="en-GB"/>
              </w:rPr>
              <w:t>Age-standardi</w:t>
            </w:r>
            <w:r>
              <w:rPr>
                <w:rFonts w:cstheme="minorHAnsi"/>
                <w:sz w:val="15"/>
                <w:szCs w:val="15"/>
                <w:lang w:val="en-GB"/>
              </w:rPr>
              <w:t>z</w:t>
            </w:r>
            <w:r w:rsidRPr="00852F9F">
              <w:rPr>
                <w:rFonts w:cstheme="minorHAnsi"/>
                <w:sz w:val="15"/>
                <w:szCs w:val="15"/>
                <w:lang w:val="en-GB"/>
              </w:rPr>
              <w:t>ed rate of malaria cases (per 1,000 population)</w:t>
            </w:r>
          </w:p>
        </w:tc>
        <w:tc>
          <w:tcPr>
            <w:tcW w:w="1000" w:type="pct"/>
            <w:noWrap/>
            <w:hideMark/>
          </w:tcPr>
          <w:p w14:paraId="2772DE38" w14:textId="77777777" w:rsidR="00B656F6" w:rsidRPr="00852F9F" w:rsidRDefault="00B656F6" w:rsidP="008F0944">
            <w:pPr>
              <w:snapToGrid w:val="0"/>
              <w:rPr>
                <w:rFonts w:cstheme="minorHAnsi"/>
                <w:sz w:val="15"/>
                <w:szCs w:val="15"/>
                <w:lang w:val="en-GB"/>
              </w:rPr>
            </w:pPr>
            <w:r w:rsidRPr="00852F9F">
              <w:rPr>
                <w:rFonts w:cstheme="minorHAnsi"/>
                <w:sz w:val="15"/>
                <w:szCs w:val="15"/>
                <w:lang w:val="en-GB"/>
              </w:rPr>
              <w:t>Global technical strategy for malaria</w:t>
            </w:r>
            <w:r>
              <w:rPr>
                <w:rFonts w:cstheme="minorHAnsi"/>
                <w:sz w:val="15"/>
                <w:szCs w:val="15"/>
                <w:lang w:val="en-GB"/>
              </w:rPr>
              <w:t>,</w:t>
            </w:r>
            <w:r w:rsidRPr="00852F9F">
              <w:rPr>
                <w:rFonts w:cstheme="minorHAnsi"/>
                <w:sz w:val="15"/>
                <w:szCs w:val="15"/>
                <w:lang w:val="en-GB"/>
              </w:rPr>
              <w:t xml:space="preserve"> 2016</w:t>
            </w:r>
            <w:r>
              <w:rPr>
                <w:rFonts w:cstheme="minorHAnsi"/>
                <w:sz w:val="15"/>
                <w:szCs w:val="15"/>
                <w:lang w:val="en-GB"/>
              </w:rPr>
              <w:t>–</w:t>
            </w:r>
            <w:r w:rsidRPr="00852F9F">
              <w:rPr>
                <w:rFonts w:cstheme="minorHAnsi"/>
                <w:sz w:val="15"/>
                <w:szCs w:val="15"/>
                <w:lang w:val="en-GB"/>
              </w:rPr>
              <w:t>2030</w:t>
            </w:r>
          </w:p>
        </w:tc>
        <w:tc>
          <w:tcPr>
            <w:tcW w:w="2163" w:type="pct"/>
            <w:hideMark/>
          </w:tcPr>
          <w:p w14:paraId="7CC3D066" w14:textId="77777777" w:rsidR="00B656F6" w:rsidRPr="00197998" w:rsidRDefault="00B656F6" w:rsidP="008F0944">
            <w:pPr>
              <w:snapToGrid w:val="0"/>
              <w:rPr>
                <w:rFonts w:cstheme="minorHAnsi"/>
                <w:sz w:val="15"/>
                <w:szCs w:val="15"/>
                <w:lang w:val="en-GB"/>
              </w:rPr>
            </w:pPr>
            <w:r w:rsidRPr="00197998">
              <w:rPr>
                <w:rFonts w:cstheme="minorHAnsi"/>
                <w:sz w:val="15"/>
                <w:szCs w:val="15"/>
                <w:lang w:val="en-GB"/>
              </w:rPr>
              <w:t>Reduce malaria case incidence by at least 90% by 2030 (compared with 2015).</w:t>
            </w:r>
          </w:p>
        </w:tc>
        <w:tc>
          <w:tcPr>
            <w:tcW w:w="161" w:type="pct"/>
          </w:tcPr>
          <w:p w14:paraId="7F1ED2E2" w14:textId="77777777" w:rsidR="00B656F6" w:rsidRPr="00852F9F" w:rsidRDefault="00B656F6" w:rsidP="008F0944">
            <w:pPr>
              <w:snapToGrid w:val="0"/>
              <w:rPr>
                <w:rFonts w:cstheme="minorHAnsi"/>
                <w:sz w:val="15"/>
                <w:szCs w:val="15"/>
                <w:lang w:val="en-GB"/>
              </w:rPr>
            </w:pPr>
            <w:r w:rsidRPr="00852F9F">
              <w:rPr>
                <w:rFonts w:cstheme="minorHAnsi"/>
                <w:sz w:val="15"/>
                <w:szCs w:val="15"/>
                <w:lang w:val="en-GB"/>
              </w:rPr>
              <w:t>2030</w:t>
            </w:r>
          </w:p>
        </w:tc>
      </w:tr>
      <w:tr w:rsidR="00B656F6" w:rsidRPr="00852F9F" w14:paraId="680EE41D" w14:textId="77777777" w:rsidTr="008F0944">
        <w:trPr>
          <w:trHeight w:val="20"/>
        </w:trPr>
        <w:tc>
          <w:tcPr>
            <w:tcW w:w="341" w:type="pct"/>
            <w:vMerge/>
          </w:tcPr>
          <w:p w14:paraId="305572CE" w14:textId="77777777" w:rsidR="00B656F6" w:rsidRPr="00852F9F" w:rsidRDefault="00B656F6" w:rsidP="008F0944">
            <w:pPr>
              <w:snapToGrid w:val="0"/>
              <w:rPr>
                <w:rFonts w:cstheme="minorHAnsi"/>
                <w:sz w:val="15"/>
                <w:szCs w:val="15"/>
                <w:lang w:val="en-GB"/>
              </w:rPr>
            </w:pPr>
          </w:p>
        </w:tc>
        <w:tc>
          <w:tcPr>
            <w:tcW w:w="215" w:type="pct"/>
            <w:noWrap/>
            <w:hideMark/>
          </w:tcPr>
          <w:p w14:paraId="59221C4E" w14:textId="77777777" w:rsidR="00B656F6" w:rsidRPr="00852F9F" w:rsidRDefault="00B656F6" w:rsidP="008F0944">
            <w:pPr>
              <w:snapToGrid w:val="0"/>
              <w:rPr>
                <w:rFonts w:cstheme="minorHAnsi"/>
                <w:sz w:val="15"/>
                <w:szCs w:val="15"/>
                <w:lang w:val="en-GB"/>
              </w:rPr>
            </w:pPr>
            <w:r w:rsidRPr="00852F9F">
              <w:rPr>
                <w:rFonts w:cstheme="minorHAnsi"/>
                <w:sz w:val="15"/>
                <w:szCs w:val="15"/>
                <w:lang w:val="en-GB"/>
              </w:rPr>
              <w:t>3.3.4</w:t>
            </w:r>
          </w:p>
        </w:tc>
        <w:tc>
          <w:tcPr>
            <w:tcW w:w="1120" w:type="pct"/>
          </w:tcPr>
          <w:p w14:paraId="0CA4C384" w14:textId="77777777" w:rsidR="00B656F6" w:rsidRPr="00852F9F" w:rsidRDefault="00B656F6" w:rsidP="008F0944">
            <w:pPr>
              <w:snapToGrid w:val="0"/>
              <w:rPr>
                <w:rFonts w:cstheme="minorHAnsi"/>
                <w:sz w:val="15"/>
                <w:szCs w:val="15"/>
                <w:lang w:val="en-GB"/>
              </w:rPr>
            </w:pPr>
            <w:r w:rsidRPr="00852F9F">
              <w:rPr>
                <w:rFonts w:cstheme="minorHAnsi"/>
                <w:sz w:val="15"/>
                <w:szCs w:val="15"/>
                <w:lang w:val="en-GB"/>
              </w:rPr>
              <w:t>Age-standardi</w:t>
            </w:r>
            <w:r>
              <w:rPr>
                <w:rFonts w:cstheme="minorHAnsi"/>
                <w:sz w:val="15"/>
                <w:szCs w:val="15"/>
                <w:lang w:val="en-GB"/>
              </w:rPr>
              <w:t>z</w:t>
            </w:r>
            <w:r w:rsidRPr="00852F9F">
              <w:rPr>
                <w:rFonts w:cstheme="minorHAnsi"/>
                <w:sz w:val="15"/>
                <w:szCs w:val="15"/>
                <w:lang w:val="en-GB"/>
              </w:rPr>
              <w:t>ed rate of hepatitis B incidence (per 100,000 population)</w:t>
            </w:r>
          </w:p>
        </w:tc>
        <w:tc>
          <w:tcPr>
            <w:tcW w:w="1000" w:type="pct"/>
            <w:noWrap/>
            <w:hideMark/>
          </w:tcPr>
          <w:p w14:paraId="27ED5700" w14:textId="77777777" w:rsidR="00B656F6" w:rsidRPr="00852F9F" w:rsidRDefault="00B656F6" w:rsidP="008F0944">
            <w:pPr>
              <w:snapToGrid w:val="0"/>
              <w:rPr>
                <w:rFonts w:cstheme="minorHAnsi"/>
                <w:sz w:val="15"/>
                <w:szCs w:val="15"/>
                <w:lang w:val="en-GB"/>
              </w:rPr>
            </w:pPr>
            <w:r w:rsidRPr="00852F9F">
              <w:rPr>
                <w:rFonts w:cstheme="minorHAnsi"/>
                <w:sz w:val="15"/>
                <w:szCs w:val="15"/>
                <w:lang w:val="en-GB"/>
              </w:rPr>
              <w:t>Global health sector strategy on viral hepatitis, 2016–2021</w:t>
            </w:r>
          </w:p>
        </w:tc>
        <w:tc>
          <w:tcPr>
            <w:tcW w:w="2163" w:type="pct"/>
            <w:hideMark/>
          </w:tcPr>
          <w:p w14:paraId="572F6FBE" w14:textId="77777777" w:rsidR="00B656F6" w:rsidRPr="00197998" w:rsidRDefault="00B656F6" w:rsidP="008F0944">
            <w:pPr>
              <w:snapToGrid w:val="0"/>
              <w:rPr>
                <w:rFonts w:cstheme="minorHAnsi"/>
                <w:sz w:val="15"/>
                <w:szCs w:val="15"/>
                <w:lang w:val="en-GB"/>
              </w:rPr>
            </w:pPr>
            <w:r w:rsidRPr="00197998">
              <w:rPr>
                <w:rFonts w:cstheme="minorHAnsi"/>
                <w:sz w:val="15"/>
                <w:szCs w:val="15"/>
                <w:lang w:val="en-GB"/>
              </w:rPr>
              <w:t>Between 6 and 10 million infections are reduced to 0.9 million infections by 2030 (95% decline in hepatitis B virus infections, 80% decline in hepatitis C virus infections).</w:t>
            </w:r>
          </w:p>
        </w:tc>
        <w:tc>
          <w:tcPr>
            <w:tcW w:w="161" w:type="pct"/>
          </w:tcPr>
          <w:p w14:paraId="51DEB692" w14:textId="77777777" w:rsidR="00B656F6" w:rsidRPr="00852F9F" w:rsidRDefault="00B656F6" w:rsidP="008F0944">
            <w:pPr>
              <w:snapToGrid w:val="0"/>
              <w:rPr>
                <w:rFonts w:cstheme="minorHAnsi"/>
                <w:sz w:val="15"/>
                <w:szCs w:val="15"/>
                <w:lang w:val="en-GB"/>
              </w:rPr>
            </w:pPr>
            <w:r w:rsidRPr="00852F9F">
              <w:rPr>
                <w:rFonts w:cstheme="minorHAnsi"/>
                <w:sz w:val="15"/>
                <w:szCs w:val="15"/>
                <w:lang w:val="en-GB"/>
              </w:rPr>
              <w:t>2030</w:t>
            </w:r>
          </w:p>
        </w:tc>
      </w:tr>
      <w:tr w:rsidR="00B656F6" w:rsidRPr="00852F9F" w14:paraId="6CC4B953" w14:textId="77777777" w:rsidTr="008F0944">
        <w:trPr>
          <w:trHeight w:val="20"/>
        </w:trPr>
        <w:tc>
          <w:tcPr>
            <w:tcW w:w="341" w:type="pct"/>
            <w:vMerge/>
          </w:tcPr>
          <w:p w14:paraId="1E522E03" w14:textId="77777777" w:rsidR="00B656F6" w:rsidRPr="00852F9F" w:rsidRDefault="00B656F6" w:rsidP="008F0944">
            <w:pPr>
              <w:snapToGrid w:val="0"/>
              <w:rPr>
                <w:rFonts w:cstheme="minorHAnsi"/>
                <w:sz w:val="15"/>
                <w:szCs w:val="15"/>
                <w:lang w:val="en-GB"/>
              </w:rPr>
            </w:pPr>
          </w:p>
        </w:tc>
        <w:tc>
          <w:tcPr>
            <w:tcW w:w="215" w:type="pct"/>
            <w:noWrap/>
            <w:hideMark/>
          </w:tcPr>
          <w:p w14:paraId="51BBFE22" w14:textId="77777777" w:rsidR="00B656F6" w:rsidRPr="00852F9F" w:rsidRDefault="00B656F6" w:rsidP="008F0944">
            <w:pPr>
              <w:snapToGrid w:val="0"/>
              <w:rPr>
                <w:rFonts w:cstheme="minorHAnsi"/>
                <w:sz w:val="15"/>
                <w:szCs w:val="15"/>
                <w:lang w:val="en-GB"/>
              </w:rPr>
            </w:pPr>
            <w:r w:rsidRPr="00852F9F">
              <w:rPr>
                <w:rFonts w:cstheme="minorHAnsi"/>
                <w:sz w:val="15"/>
                <w:szCs w:val="15"/>
                <w:lang w:val="en-GB"/>
              </w:rPr>
              <w:t>3.3.5</w:t>
            </w:r>
          </w:p>
        </w:tc>
        <w:tc>
          <w:tcPr>
            <w:tcW w:w="1120" w:type="pct"/>
          </w:tcPr>
          <w:p w14:paraId="34113E69" w14:textId="77777777" w:rsidR="00B656F6" w:rsidRPr="00852F9F" w:rsidRDefault="00B656F6" w:rsidP="008F0944">
            <w:pPr>
              <w:snapToGrid w:val="0"/>
              <w:rPr>
                <w:rFonts w:cstheme="minorHAnsi"/>
                <w:sz w:val="15"/>
                <w:szCs w:val="15"/>
                <w:lang w:val="en-GB"/>
              </w:rPr>
            </w:pPr>
            <w:r w:rsidRPr="00852F9F">
              <w:rPr>
                <w:rFonts w:cstheme="minorHAnsi"/>
                <w:sz w:val="15"/>
                <w:szCs w:val="15"/>
                <w:lang w:val="en-GB"/>
              </w:rPr>
              <w:t>Age-standardi</w:t>
            </w:r>
            <w:r>
              <w:rPr>
                <w:rFonts w:cstheme="minorHAnsi"/>
                <w:sz w:val="15"/>
                <w:szCs w:val="15"/>
                <w:lang w:val="en-GB"/>
              </w:rPr>
              <w:t>z</w:t>
            </w:r>
            <w:r w:rsidRPr="00852F9F">
              <w:rPr>
                <w:rFonts w:cstheme="minorHAnsi"/>
                <w:sz w:val="15"/>
                <w:szCs w:val="15"/>
                <w:lang w:val="en-GB"/>
              </w:rPr>
              <w:t xml:space="preserve">ed prevalence of the sum of 15 NTDs (%) *Prevalence estimates reported here may exceed 100% </w:t>
            </w:r>
            <w:r>
              <w:rPr>
                <w:rFonts w:cstheme="minorHAnsi"/>
                <w:sz w:val="15"/>
                <w:szCs w:val="15"/>
                <w:lang w:val="en-GB"/>
              </w:rPr>
              <w:t>because</w:t>
            </w:r>
            <w:r w:rsidRPr="00852F9F">
              <w:rPr>
                <w:rFonts w:cstheme="minorHAnsi"/>
                <w:sz w:val="15"/>
                <w:szCs w:val="15"/>
                <w:lang w:val="en-GB"/>
              </w:rPr>
              <w:t xml:space="preserve"> they reflect the sum of prevalent cases of 15 NTDs</w:t>
            </w:r>
          </w:p>
        </w:tc>
        <w:tc>
          <w:tcPr>
            <w:tcW w:w="1000" w:type="pct"/>
            <w:hideMark/>
          </w:tcPr>
          <w:p w14:paraId="149416BE" w14:textId="77777777" w:rsidR="00B656F6" w:rsidRPr="00852F9F" w:rsidRDefault="00B656F6" w:rsidP="008F0944">
            <w:pPr>
              <w:snapToGrid w:val="0"/>
              <w:rPr>
                <w:rFonts w:cstheme="minorHAnsi"/>
                <w:sz w:val="15"/>
                <w:szCs w:val="15"/>
                <w:lang w:val="en-GB"/>
              </w:rPr>
            </w:pPr>
            <w:r w:rsidRPr="00852F9F">
              <w:rPr>
                <w:rFonts w:cstheme="minorHAnsi"/>
                <w:sz w:val="15"/>
                <w:szCs w:val="15"/>
                <w:lang w:val="en-GB"/>
              </w:rPr>
              <w:t>Accelerating progress</w:t>
            </w:r>
            <w:r>
              <w:rPr>
                <w:rFonts w:cstheme="minorHAnsi"/>
                <w:sz w:val="15"/>
                <w:szCs w:val="15"/>
                <w:lang w:val="en-GB"/>
              </w:rPr>
              <w:t xml:space="preserve"> </w:t>
            </w:r>
            <w:r w:rsidRPr="00852F9F">
              <w:rPr>
                <w:rFonts w:cstheme="minorHAnsi"/>
                <w:sz w:val="15"/>
                <w:szCs w:val="15"/>
                <w:lang w:val="en-GB"/>
              </w:rPr>
              <w:t xml:space="preserve">on HIV, </w:t>
            </w:r>
            <w:r>
              <w:rPr>
                <w:rFonts w:cstheme="minorHAnsi"/>
                <w:sz w:val="15"/>
                <w:szCs w:val="15"/>
                <w:lang w:val="en-GB"/>
              </w:rPr>
              <w:t>TB</w:t>
            </w:r>
            <w:r w:rsidRPr="00852F9F">
              <w:rPr>
                <w:rFonts w:cstheme="minorHAnsi"/>
                <w:sz w:val="15"/>
                <w:szCs w:val="15"/>
                <w:lang w:val="en-GB"/>
              </w:rPr>
              <w:t>, malaria, hepatitis</w:t>
            </w:r>
            <w:r>
              <w:rPr>
                <w:rFonts w:cstheme="minorHAnsi"/>
                <w:sz w:val="15"/>
                <w:szCs w:val="15"/>
                <w:lang w:val="en-GB"/>
              </w:rPr>
              <w:t xml:space="preserve">, </w:t>
            </w:r>
            <w:r w:rsidRPr="00852F9F">
              <w:rPr>
                <w:rFonts w:cstheme="minorHAnsi"/>
                <w:sz w:val="15"/>
                <w:szCs w:val="15"/>
                <w:lang w:val="en-GB"/>
              </w:rPr>
              <w:t xml:space="preserve">and </w:t>
            </w:r>
            <w:r>
              <w:rPr>
                <w:rFonts w:cstheme="minorHAnsi"/>
                <w:sz w:val="15"/>
                <w:szCs w:val="15"/>
                <w:lang w:val="en-GB"/>
              </w:rPr>
              <w:t>NTDs</w:t>
            </w:r>
          </w:p>
        </w:tc>
        <w:tc>
          <w:tcPr>
            <w:tcW w:w="2163" w:type="pct"/>
            <w:hideMark/>
          </w:tcPr>
          <w:p w14:paraId="10392D46" w14:textId="77777777" w:rsidR="00B656F6" w:rsidRPr="00197998" w:rsidRDefault="00B656F6" w:rsidP="008F0944">
            <w:pPr>
              <w:snapToGrid w:val="0"/>
              <w:rPr>
                <w:rFonts w:cstheme="minorHAnsi"/>
                <w:sz w:val="15"/>
                <w:szCs w:val="15"/>
                <w:lang w:val="en-GB"/>
              </w:rPr>
            </w:pPr>
            <w:r w:rsidRPr="00197998">
              <w:rPr>
                <w:rFonts w:cstheme="minorHAnsi"/>
                <w:sz w:val="15"/>
                <w:szCs w:val="15"/>
                <w:lang w:val="en-GB"/>
              </w:rPr>
              <w:t xml:space="preserve">The NTD community now has to operationalize its proposed indicator, deciding what </w:t>
            </w:r>
            <w:r>
              <w:rPr>
                <w:rFonts w:cstheme="minorHAnsi"/>
                <w:sz w:val="15"/>
                <w:szCs w:val="15"/>
                <w:lang w:val="en-GB"/>
              </w:rPr>
              <w:t>“</w:t>
            </w:r>
            <w:r w:rsidRPr="00197998">
              <w:rPr>
                <w:rFonts w:cstheme="minorHAnsi"/>
                <w:sz w:val="15"/>
                <w:szCs w:val="15"/>
                <w:lang w:val="en-GB"/>
              </w:rPr>
              <w:t>the end</w:t>
            </w:r>
            <w:r>
              <w:rPr>
                <w:rFonts w:cstheme="minorHAnsi"/>
                <w:sz w:val="15"/>
                <w:szCs w:val="15"/>
                <w:lang w:val="en-GB"/>
              </w:rPr>
              <w:t>”</w:t>
            </w:r>
            <w:r w:rsidRPr="00197998">
              <w:rPr>
                <w:rFonts w:cstheme="minorHAnsi"/>
                <w:sz w:val="15"/>
                <w:szCs w:val="15"/>
                <w:lang w:val="en-GB"/>
              </w:rPr>
              <w:t xml:space="preserve"> of NTDs by 2030 means in terms of the number of people requiring interventions—globally as well as for individual countries and NTDs. Based on the projections mentioned above, a </w:t>
            </w:r>
            <w:r>
              <w:rPr>
                <w:rFonts w:cstheme="minorHAnsi"/>
                <w:sz w:val="15"/>
                <w:szCs w:val="15"/>
                <w:lang w:val="en-GB"/>
              </w:rPr>
              <w:t>“</w:t>
            </w:r>
            <w:r w:rsidRPr="00197998">
              <w:rPr>
                <w:rFonts w:cstheme="minorHAnsi"/>
                <w:sz w:val="15"/>
                <w:szCs w:val="15"/>
                <w:lang w:val="en-GB"/>
              </w:rPr>
              <w:t>90% reduction in the number of people requiring interventions</w:t>
            </w:r>
            <w:r>
              <w:rPr>
                <w:rFonts w:cstheme="minorHAnsi"/>
                <w:sz w:val="15"/>
                <w:szCs w:val="15"/>
                <w:lang w:val="en-GB"/>
              </w:rPr>
              <w:t>”</w:t>
            </w:r>
            <w:r w:rsidRPr="00197998">
              <w:rPr>
                <w:rFonts w:cstheme="minorHAnsi"/>
                <w:sz w:val="15"/>
                <w:szCs w:val="15"/>
                <w:lang w:val="en-GB"/>
              </w:rPr>
              <w:t xml:space="preserve"> could be one </w:t>
            </w:r>
            <w:r w:rsidRPr="00197998">
              <w:rPr>
                <w:rFonts w:cstheme="minorHAnsi"/>
                <w:sz w:val="15"/>
                <w:szCs w:val="15"/>
                <w:lang w:val="en-GB"/>
              </w:rPr>
              <w:lastRenderedPageBreak/>
              <w:t>milestone for success at the global level.</w:t>
            </w:r>
          </w:p>
        </w:tc>
        <w:tc>
          <w:tcPr>
            <w:tcW w:w="161" w:type="pct"/>
          </w:tcPr>
          <w:p w14:paraId="7C8A9D62" w14:textId="77777777" w:rsidR="00B656F6" w:rsidRPr="00852F9F" w:rsidRDefault="00B656F6" w:rsidP="008F0944">
            <w:pPr>
              <w:snapToGrid w:val="0"/>
              <w:rPr>
                <w:rFonts w:cstheme="minorHAnsi"/>
                <w:sz w:val="15"/>
                <w:szCs w:val="15"/>
                <w:lang w:val="en-GB"/>
              </w:rPr>
            </w:pPr>
            <w:r w:rsidRPr="00852F9F">
              <w:rPr>
                <w:rFonts w:cstheme="minorHAnsi"/>
                <w:sz w:val="15"/>
                <w:szCs w:val="15"/>
                <w:lang w:val="en-GB"/>
              </w:rPr>
              <w:lastRenderedPageBreak/>
              <w:t>2030</w:t>
            </w:r>
          </w:p>
        </w:tc>
      </w:tr>
      <w:tr w:rsidR="00B656F6" w:rsidRPr="00852F9F" w14:paraId="2C18660F" w14:textId="77777777" w:rsidTr="008F0944">
        <w:trPr>
          <w:trHeight w:val="20"/>
        </w:trPr>
        <w:tc>
          <w:tcPr>
            <w:tcW w:w="341" w:type="pct"/>
            <w:vMerge w:val="restart"/>
          </w:tcPr>
          <w:p w14:paraId="5206A7C0" w14:textId="77777777" w:rsidR="00B656F6" w:rsidRPr="00852F9F" w:rsidRDefault="00B656F6" w:rsidP="008F0944">
            <w:pPr>
              <w:snapToGrid w:val="0"/>
              <w:rPr>
                <w:rFonts w:cstheme="minorHAnsi"/>
                <w:sz w:val="15"/>
                <w:szCs w:val="15"/>
                <w:lang w:val="en-GB"/>
              </w:rPr>
            </w:pPr>
            <w:r w:rsidRPr="00852F9F">
              <w:rPr>
                <w:rFonts w:cstheme="minorHAnsi"/>
                <w:sz w:val="15"/>
                <w:szCs w:val="15"/>
                <w:lang w:val="en-GB"/>
              </w:rPr>
              <w:t>NCDs and mental health</w:t>
            </w:r>
          </w:p>
        </w:tc>
        <w:tc>
          <w:tcPr>
            <w:tcW w:w="215" w:type="pct"/>
            <w:noWrap/>
            <w:hideMark/>
          </w:tcPr>
          <w:p w14:paraId="645E61AA" w14:textId="77777777" w:rsidR="00B656F6" w:rsidRPr="00852F9F" w:rsidRDefault="00B656F6" w:rsidP="008F0944">
            <w:pPr>
              <w:snapToGrid w:val="0"/>
              <w:rPr>
                <w:rFonts w:cstheme="minorHAnsi"/>
                <w:sz w:val="15"/>
                <w:szCs w:val="15"/>
                <w:lang w:val="en-GB"/>
              </w:rPr>
            </w:pPr>
            <w:r w:rsidRPr="00852F9F">
              <w:rPr>
                <w:rFonts w:cstheme="minorHAnsi"/>
                <w:sz w:val="15"/>
                <w:szCs w:val="15"/>
                <w:lang w:val="en-GB"/>
              </w:rPr>
              <w:t>3.4.1</w:t>
            </w:r>
          </w:p>
        </w:tc>
        <w:tc>
          <w:tcPr>
            <w:tcW w:w="1120" w:type="pct"/>
          </w:tcPr>
          <w:p w14:paraId="13D5ACB3" w14:textId="77777777" w:rsidR="00B656F6" w:rsidRPr="00852F9F" w:rsidRDefault="00B656F6" w:rsidP="008F0944">
            <w:pPr>
              <w:snapToGrid w:val="0"/>
              <w:rPr>
                <w:rFonts w:cstheme="minorHAnsi"/>
                <w:sz w:val="15"/>
                <w:szCs w:val="15"/>
                <w:lang w:val="en-GB"/>
              </w:rPr>
            </w:pPr>
            <w:r w:rsidRPr="00852F9F">
              <w:rPr>
                <w:rFonts w:cstheme="minorHAnsi"/>
                <w:sz w:val="15"/>
                <w:szCs w:val="15"/>
                <w:lang w:val="en-GB"/>
              </w:rPr>
              <w:t>Age-standardi</w:t>
            </w:r>
            <w:r>
              <w:rPr>
                <w:rFonts w:cstheme="minorHAnsi"/>
                <w:sz w:val="15"/>
                <w:szCs w:val="15"/>
                <w:lang w:val="en-GB"/>
              </w:rPr>
              <w:t>z</w:t>
            </w:r>
            <w:r w:rsidRPr="00852F9F">
              <w:rPr>
                <w:rFonts w:cstheme="minorHAnsi"/>
                <w:sz w:val="15"/>
                <w:szCs w:val="15"/>
                <w:lang w:val="en-GB"/>
              </w:rPr>
              <w:t>ed death rate due to cardiovascular disease, cancer, diabetes, and chronic respiratory disease in populations aged 30</w:t>
            </w:r>
            <w:r>
              <w:rPr>
                <w:rFonts w:cstheme="minorHAnsi"/>
                <w:sz w:val="15"/>
                <w:szCs w:val="15"/>
                <w:lang w:val="en-GB"/>
              </w:rPr>
              <w:t>–</w:t>
            </w:r>
            <w:r w:rsidRPr="00852F9F">
              <w:rPr>
                <w:rFonts w:cstheme="minorHAnsi"/>
                <w:sz w:val="15"/>
                <w:szCs w:val="15"/>
                <w:lang w:val="en-GB"/>
              </w:rPr>
              <w:t>70 (per 100,000 population)</w:t>
            </w:r>
          </w:p>
        </w:tc>
        <w:tc>
          <w:tcPr>
            <w:tcW w:w="1000" w:type="pct"/>
            <w:noWrap/>
            <w:hideMark/>
          </w:tcPr>
          <w:p w14:paraId="074EFEC3" w14:textId="77777777" w:rsidR="00B656F6" w:rsidRPr="00852F9F" w:rsidRDefault="00B656F6" w:rsidP="008F0944">
            <w:pPr>
              <w:snapToGrid w:val="0"/>
              <w:rPr>
                <w:rFonts w:cstheme="minorHAnsi"/>
                <w:sz w:val="15"/>
                <w:szCs w:val="15"/>
                <w:lang w:val="en-GB"/>
              </w:rPr>
            </w:pPr>
            <w:r w:rsidRPr="00852F9F">
              <w:rPr>
                <w:rFonts w:cstheme="minorHAnsi"/>
                <w:sz w:val="15"/>
                <w:szCs w:val="15"/>
                <w:lang w:val="en-GB"/>
              </w:rPr>
              <w:t>SDG</w:t>
            </w:r>
          </w:p>
        </w:tc>
        <w:tc>
          <w:tcPr>
            <w:tcW w:w="2163" w:type="pct"/>
            <w:hideMark/>
          </w:tcPr>
          <w:p w14:paraId="7C9026FF" w14:textId="77777777" w:rsidR="00B656F6" w:rsidRPr="00197998" w:rsidRDefault="00B656F6" w:rsidP="008F0944">
            <w:pPr>
              <w:snapToGrid w:val="0"/>
              <w:rPr>
                <w:rFonts w:cstheme="minorHAnsi"/>
                <w:sz w:val="15"/>
                <w:szCs w:val="15"/>
                <w:lang w:val="en-GB"/>
              </w:rPr>
            </w:pPr>
            <w:r w:rsidRPr="00197998">
              <w:rPr>
                <w:rFonts w:cstheme="minorHAnsi"/>
                <w:sz w:val="15"/>
                <w:szCs w:val="15"/>
                <w:lang w:val="en-GB"/>
              </w:rPr>
              <w:t>By 2030, reduce by one</w:t>
            </w:r>
            <w:r>
              <w:rPr>
                <w:rFonts w:cstheme="minorHAnsi"/>
                <w:sz w:val="15"/>
                <w:szCs w:val="15"/>
                <w:lang w:val="en-GB"/>
              </w:rPr>
              <w:t>-</w:t>
            </w:r>
            <w:r w:rsidRPr="00197998">
              <w:rPr>
                <w:rFonts w:cstheme="minorHAnsi"/>
                <w:sz w:val="15"/>
                <w:szCs w:val="15"/>
                <w:lang w:val="en-GB"/>
              </w:rPr>
              <w:t xml:space="preserve">third premature mortality from </w:t>
            </w:r>
            <w:r>
              <w:rPr>
                <w:rFonts w:cstheme="minorHAnsi"/>
                <w:sz w:val="15"/>
                <w:szCs w:val="15"/>
                <w:lang w:val="en-GB"/>
              </w:rPr>
              <w:t>NCDs</w:t>
            </w:r>
            <w:r w:rsidRPr="00197998">
              <w:rPr>
                <w:rFonts w:cstheme="minorHAnsi"/>
                <w:sz w:val="15"/>
                <w:szCs w:val="15"/>
                <w:lang w:val="en-GB"/>
              </w:rPr>
              <w:t xml:space="preserve"> through prevention and treatment and promote mental health and well-being.</w:t>
            </w:r>
          </w:p>
        </w:tc>
        <w:tc>
          <w:tcPr>
            <w:tcW w:w="161" w:type="pct"/>
          </w:tcPr>
          <w:p w14:paraId="413512A0" w14:textId="77777777" w:rsidR="00B656F6" w:rsidRPr="00852F9F" w:rsidRDefault="00B656F6" w:rsidP="008F0944">
            <w:pPr>
              <w:snapToGrid w:val="0"/>
              <w:rPr>
                <w:rFonts w:cstheme="minorHAnsi"/>
                <w:sz w:val="15"/>
                <w:szCs w:val="15"/>
                <w:lang w:val="en-GB"/>
              </w:rPr>
            </w:pPr>
            <w:r w:rsidRPr="00852F9F">
              <w:rPr>
                <w:rFonts w:cstheme="minorHAnsi"/>
                <w:sz w:val="15"/>
                <w:szCs w:val="15"/>
                <w:lang w:val="en-GB"/>
              </w:rPr>
              <w:t>2030</w:t>
            </w:r>
          </w:p>
        </w:tc>
      </w:tr>
      <w:tr w:rsidR="00B656F6" w:rsidRPr="00852F9F" w14:paraId="320C0F5D" w14:textId="77777777" w:rsidTr="008F0944">
        <w:trPr>
          <w:trHeight w:val="20"/>
        </w:trPr>
        <w:tc>
          <w:tcPr>
            <w:tcW w:w="341" w:type="pct"/>
            <w:vMerge/>
          </w:tcPr>
          <w:p w14:paraId="3F10106F" w14:textId="77777777" w:rsidR="00B656F6" w:rsidRPr="00852F9F" w:rsidRDefault="00B656F6" w:rsidP="008F0944">
            <w:pPr>
              <w:snapToGrid w:val="0"/>
              <w:rPr>
                <w:rFonts w:cstheme="minorHAnsi"/>
                <w:sz w:val="15"/>
                <w:szCs w:val="15"/>
                <w:lang w:val="en-GB"/>
              </w:rPr>
            </w:pPr>
          </w:p>
        </w:tc>
        <w:tc>
          <w:tcPr>
            <w:tcW w:w="215" w:type="pct"/>
            <w:noWrap/>
            <w:hideMark/>
          </w:tcPr>
          <w:p w14:paraId="66535AFF" w14:textId="77777777" w:rsidR="00B656F6" w:rsidRPr="00852F9F" w:rsidRDefault="00B656F6" w:rsidP="008F0944">
            <w:pPr>
              <w:snapToGrid w:val="0"/>
              <w:rPr>
                <w:rFonts w:cstheme="minorHAnsi"/>
                <w:sz w:val="15"/>
                <w:szCs w:val="15"/>
                <w:lang w:val="en-GB"/>
              </w:rPr>
            </w:pPr>
            <w:r w:rsidRPr="00852F9F">
              <w:rPr>
                <w:rFonts w:cstheme="minorHAnsi"/>
                <w:sz w:val="15"/>
                <w:szCs w:val="15"/>
                <w:lang w:val="en-GB"/>
              </w:rPr>
              <w:t>3.4.2</w:t>
            </w:r>
          </w:p>
        </w:tc>
        <w:tc>
          <w:tcPr>
            <w:tcW w:w="1120" w:type="pct"/>
          </w:tcPr>
          <w:p w14:paraId="26D6DF53" w14:textId="77777777" w:rsidR="00B656F6" w:rsidRPr="00852F9F" w:rsidRDefault="00B656F6" w:rsidP="008F0944">
            <w:pPr>
              <w:snapToGrid w:val="0"/>
              <w:rPr>
                <w:rFonts w:cstheme="minorHAnsi"/>
                <w:sz w:val="15"/>
                <w:szCs w:val="15"/>
                <w:lang w:val="en-GB"/>
              </w:rPr>
            </w:pPr>
            <w:r w:rsidRPr="00852F9F">
              <w:rPr>
                <w:rFonts w:cstheme="minorHAnsi"/>
                <w:sz w:val="15"/>
                <w:szCs w:val="15"/>
                <w:lang w:val="en-GB"/>
              </w:rPr>
              <w:t>Age-standardi</w:t>
            </w:r>
            <w:r>
              <w:rPr>
                <w:rFonts w:cstheme="minorHAnsi"/>
                <w:sz w:val="15"/>
                <w:szCs w:val="15"/>
                <w:lang w:val="en-GB"/>
              </w:rPr>
              <w:t>z</w:t>
            </w:r>
            <w:r w:rsidRPr="00852F9F">
              <w:rPr>
                <w:rFonts w:cstheme="minorHAnsi"/>
                <w:sz w:val="15"/>
                <w:szCs w:val="15"/>
                <w:lang w:val="en-GB"/>
              </w:rPr>
              <w:t>ed death rate due to self-harm (per 100,000 population)</w:t>
            </w:r>
          </w:p>
        </w:tc>
        <w:tc>
          <w:tcPr>
            <w:tcW w:w="1000" w:type="pct"/>
            <w:noWrap/>
            <w:hideMark/>
          </w:tcPr>
          <w:p w14:paraId="1C424234" w14:textId="77777777" w:rsidR="00B656F6" w:rsidRPr="00852F9F" w:rsidRDefault="00B656F6" w:rsidP="008F0944">
            <w:pPr>
              <w:snapToGrid w:val="0"/>
              <w:rPr>
                <w:rFonts w:cstheme="minorHAnsi"/>
                <w:sz w:val="15"/>
                <w:szCs w:val="15"/>
                <w:lang w:val="en-GB"/>
              </w:rPr>
            </w:pPr>
            <w:r w:rsidRPr="00852F9F">
              <w:rPr>
                <w:rFonts w:cstheme="minorHAnsi"/>
                <w:sz w:val="15"/>
                <w:szCs w:val="15"/>
                <w:lang w:val="en-GB"/>
              </w:rPr>
              <w:t>SDG</w:t>
            </w:r>
          </w:p>
        </w:tc>
        <w:tc>
          <w:tcPr>
            <w:tcW w:w="2163" w:type="pct"/>
            <w:hideMark/>
          </w:tcPr>
          <w:p w14:paraId="34F29092" w14:textId="77777777" w:rsidR="00B656F6" w:rsidRPr="00197998" w:rsidRDefault="00B656F6" w:rsidP="008F0944">
            <w:pPr>
              <w:snapToGrid w:val="0"/>
              <w:rPr>
                <w:rFonts w:cstheme="minorHAnsi"/>
                <w:sz w:val="15"/>
                <w:szCs w:val="15"/>
                <w:lang w:val="en-GB"/>
              </w:rPr>
            </w:pPr>
            <w:r w:rsidRPr="00197998">
              <w:rPr>
                <w:rFonts w:cstheme="minorHAnsi"/>
                <w:sz w:val="15"/>
                <w:szCs w:val="15"/>
                <w:lang w:val="en-GB"/>
              </w:rPr>
              <w:t>By 2030, reduce by one</w:t>
            </w:r>
            <w:r>
              <w:rPr>
                <w:rFonts w:cstheme="minorHAnsi"/>
                <w:sz w:val="15"/>
                <w:szCs w:val="15"/>
                <w:lang w:val="en-GB"/>
              </w:rPr>
              <w:t>-</w:t>
            </w:r>
            <w:r w:rsidRPr="00197998">
              <w:rPr>
                <w:rFonts w:cstheme="minorHAnsi"/>
                <w:sz w:val="15"/>
                <w:szCs w:val="15"/>
                <w:lang w:val="en-GB"/>
              </w:rPr>
              <w:t xml:space="preserve">third premature mortality from </w:t>
            </w:r>
            <w:r>
              <w:rPr>
                <w:rFonts w:cstheme="minorHAnsi"/>
                <w:sz w:val="15"/>
                <w:szCs w:val="15"/>
                <w:lang w:val="en-GB"/>
              </w:rPr>
              <w:t>NCDs</w:t>
            </w:r>
            <w:r w:rsidRPr="00197998">
              <w:rPr>
                <w:rFonts w:cstheme="minorHAnsi"/>
                <w:sz w:val="15"/>
                <w:szCs w:val="15"/>
                <w:lang w:val="en-GB"/>
              </w:rPr>
              <w:t xml:space="preserve"> through prevention and treatment and promote mental health and well-being.</w:t>
            </w:r>
          </w:p>
        </w:tc>
        <w:tc>
          <w:tcPr>
            <w:tcW w:w="161" w:type="pct"/>
          </w:tcPr>
          <w:p w14:paraId="58A0F60C" w14:textId="77777777" w:rsidR="00B656F6" w:rsidRPr="00852F9F" w:rsidRDefault="00B656F6" w:rsidP="008F0944">
            <w:pPr>
              <w:snapToGrid w:val="0"/>
              <w:rPr>
                <w:rFonts w:cstheme="minorHAnsi"/>
                <w:sz w:val="15"/>
                <w:szCs w:val="15"/>
                <w:lang w:val="en-GB"/>
              </w:rPr>
            </w:pPr>
            <w:r w:rsidRPr="00852F9F">
              <w:rPr>
                <w:rFonts w:cstheme="minorHAnsi"/>
                <w:sz w:val="15"/>
                <w:szCs w:val="15"/>
                <w:lang w:val="en-GB"/>
              </w:rPr>
              <w:t>2030</w:t>
            </w:r>
          </w:p>
        </w:tc>
      </w:tr>
      <w:tr w:rsidR="00B656F6" w:rsidRPr="00852F9F" w14:paraId="1ED7E849" w14:textId="77777777" w:rsidTr="008F0944">
        <w:trPr>
          <w:trHeight w:val="20"/>
        </w:trPr>
        <w:tc>
          <w:tcPr>
            <w:tcW w:w="341" w:type="pct"/>
            <w:vMerge/>
          </w:tcPr>
          <w:p w14:paraId="13B636EF" w14:textId="77777777" w:rsidR="00B656F6" w:rsidRPr="00852F9F" w:rsidRDefault="00B656F6" w:rsidP="008F0944">
            <w:pPr>
              <w:snapToGrid w:val="0"/>
              <w:rPr>
                <w:rFonts w:cstheme="minorHAnsi"/>
                <w:sz w:val="15"/>
                <w:szCs w:val="15"/>
                <w:lang w:val="en-GB"/>
              </w:rPr>
            </w:pPr>
          </w:p>
        </w:tc>
        <w:tc>
          <w:tcPr>
            <w:tcW w:w="215" w:type="pct"/>
            <w:noWrap/>
            <w:hideMark/>
          </w:tcPr>
          <w:p w14:paraId="506621A0" w14:textId="77777777" w:rsidR="00B656F6" w:rsidRPr="00852F9F" w:rsidRDefault="00B656F6" w:rsidP="008F0944">
            <w:pPr>
              <w:snapToGrid w:val="0"/>
              <w:rPr>
                <w:rFonts w:cstheme="minorHAnsi"/>
                <w:sz w:val="15"/>
                <w:szCs w:val="15"/>
                <w:lang w:val="en-GB"/>
              </w:rPr>
            </w:pPr>
            <w:r w:rsidRPr="00852F9F">
              <w:rPr>
                <w:rFonts w:cstheme="minorHAnsi"/>
                <w:sz w:val="15"/>
                <w:szCs w:val="15"/>
                <w:lang w:val="en-GB"/>
              </w:rPr>
              <w:t>3.5.2</w:t>
            </w:r>
          </w:p>
        </w:tc>
        <w:tc>
          <w:tcPr>
            <w:tcW w:w="1120" w:type="pct"/>
          </w:tcPr>
          <w:p w14:paraId="7924D6CE" w14:textId="77777777" w:rsidR="00B656F6" w:rsidRPr="00852F9F" w:rsidRDefault="00B656F6" w:rsidP="008F0944">
            <w:pPr>
              <w:snapToGrid w:val="0"/>
              <w:rPr>
                <w:rFonts w:cstheme="minorHAnsi"/>
                <w:sz w:val="15"/>
                <w:szCs w:val="15"/>
                <w:lang w:val="en-GB"/>
              </w:rPr>
            </w:pPr>
            <w:r w:rsidRPr="00852F9F">
              <w:rPr>
                <w:rFonts w:cstheme="minorHAnsi"/>
                <w:sz w:val="15"/>
                <w:szCs w:val="15"/>
                <w:lang w:val="en-GB"/>
              </w:rPr>
              <w:t>Risk-weighted prevalence of alcohol consumption, as measured by the SEV for alcohol use (%)</w:t>
            </w:r>
          </w:p>
        </w:tc>
        <w:tc>
          <w:tcPr>
            <w:tcW w:w="1000" w:type="pct"/>
            <w:noWrap/>
            <w:hideMark/>
          </w:tcPr>
          <w:p w14:paraId="15519B51" w14:textId="77777777" w:rsidR="00B656F6" w:rsidRPr="00852F9F" w:rsidRDefault="00B656F6" w:rsidP="008F0944">
            <w:pPr>
              <w:snapToGrid w:val="0"/>
              <w:rPr>
                <w:rFonts w:cstheme="minorHAnsi"/>
                <w:sz w:val="15"/>
                <w:szCs w:val="15"/>
                <w:lang w:val="en-GB"/>
              </w:rPr>
            </w:pPr>
            <w:r w:rsidRPr="00852F9F">
              <w:rPr>
                <w:rFonts w:cstheme="minorHAnsi"/>
                <w:sz w:val="15"/>
                <w:szCs w:val="15"/>
                <w:lang w:val="en-GB"/>
              </w:rPr>
              <w:t>Global action plan for the prevention and control of NCDs</w:t>
            </w:r>
            <w:r>
              <w:rPr>
                <w:rFonts w:cstheme="minorHAnsi"/>
                <w:sz w:val="15"/>
                <w:szCs w:val="15"/>
                <w:lang w:val="en-GB"/>
              </w:rPr>
              <w:t>,</w:t>
            </w:r>
            <w:r w:rsidRPr="00852F9F">
              <w:rPr>
                <w:rFonts w:cstheme="minorHAnsi"/>
                <w:sz w:val="15"/>
                <w:szCs w:val="15"/>
                <w:lang w:val="en-GB"/>
              </w:rPr>
              <w:t xml:space="preserve"> 2013</w:t>
            </w:r>
            <w:r>
              <w:rPr>
                <w:rFonts w:cstheme="minorHAnsi"/>
                <w:sz w:val="15"/>
                <w:szCs w:val="15"/>
                <w:lang w:val="en-GB"/>
              </w:rPr>
              <w:t>–</w:t>
            </w:r>
            <w:r w:rsidRPr="00852F9F">
              <w:rPr>
                <w:rFonts w:cstheme="minorHAnsi"/>
                <w:sz w:val="15"/>
                <w:szCs w:val="15"/>
                <w:lang w:val="en-GB"/>
              </w:rPr>
              <w:t>2020</w:t>
            </w:r>
          </w:p>
        </w:tc>
        <w:tc>
          <w:tcPr>
            <w:tcW w:w="2163" w:type="pct"/>
            <w:hideMark/>
          </w:tcPr>
          <w:p w14:paraId="76C03D47" w14:textId="77777777" w:rsidR="00B656F6" w:rsidRPr="00197998" w:rsidRDefault="00B656F6" w:rsidP="008F0944">
            <w:pPr>
              <w:snapToGrid w:val="0"/>
              <w:rPr>
                <w:rFonts w:cstheme="minorHAnsi"/>
                <w:sz w:val="15"/>
                <w:szCs w:val="15"/>
                <w:lang w:val="en-GB"/>
              </w:rPr>
            </w:pPr>
            <w:r w:rsidRPr="00197998">
              <w:rPr>
                <w:rFonts w:cstheme="minorHAnsi"/>
                <w:sz w:val="15"/>
                <w:szCs w:val="15"/>
                <w:lang w:val="en-GB"/>
              </w:rPr>
              <w:t>At least 10% relative reduction in the harmful use of alcohol 2, as appropriate, within the national context.</w:t>
            </w:r>
          </w:p>
        </w:tc>
        <w:tc>
          <w:tcPr>
            <w:tcW w:w="161" w:type="pct"/>
          </w:tcPr>
          <w:p w14:paraId="47FBB83D" w14:textId="77777777" w:rsidR="00B656F6" w:rsidRPr="00852F9F" w:rsidRDefault="00B656F6" w:rsidP="008F0944">
            <w:pPr>
              <w:snapToGrid w:val="0"/>
              <w:rPr>
                <w:rFonts w:cstheme="minorHAnsi"/>
                <w:sz w:val="15"/>
                <w:szCs w:val="15"/>
                <w:lang w:val="en-GB"/>
              </w:rPr>
            </w:pPr>
            <w:r w:rsidRPr="00852F9F">
              <w:rPr>
                <w:rFonts w:cstheme="minorHAnsi"/>
                <w:sz w:val="15"/>
                <w:szCs w:val="15"/>
                <w:lang w:val="en-GB"/>
              </w:rPr>
              <w:t>2025</w:t>
            </w:r>
          </w:p>
        </w:tc>
      </w:tr>
      <w:tr w:rsidR="00B656F6" w:rsidRPr="00852F9F" w14:paraId="079F8CA6" w14:textId="77777777" w:rsidTr="008F0944">
        <w:trPr>
          <w:trHeight w:val="20"/>
        </w:trPr>
        <w:tc>
          <w:tcPr>
            <w:tcW w:w="341" w:type="pct"/>
            <w:vMerge/>
          </w:tcPr>
          <w:p w14:paraId="5BF6F01D" w14:textId="77777777" w:rsidR="00B656F6" w:rsidRPr="00852F9F" w:rsidRDefault="00B656F6" w:rsidP="008F0944">
            <w:pPr>
              <w:snapToGrid w:val="0"/>
              <w:rPr>
                <w:rFonts w:cstheme="minorHAnsi"/>
                <w:sz w:val="15"/>
                <w:szCs w:val="15"/>
                <w:lang w:val="en-GB"/>
              </w:rPr>
            </w:pPr>
          </w:p>
        </w:tc>
        <w:tc>
          <w:tcPr>
            <w:tcW w:w="215" w:type="pct"/>
            <w:noWrap/>
          </w:tcPr>
          <w:p w14:paraId="2B668032" w14:textId="77777777" w:rsidR="00B656F6" w:rsidRPr="00852F9F" w:rsidRDefault="00B656F6" w:rsidP="008F0944">
            <w:pPr>
              <w:snapToGrid w:val="0"/>
              <w:rPr>
                <w:rFonts w:cstheme="minorHAnsi"/>
                <w:sz w:val="15"/>
                <w:szCs w:val="15"/>
                <w:lang w:val="en-GB"/>
              </w:rPr>
            </w:pPr>
            <w:r w:rsidRPr="00852F9F">
              <w:rPr>
                <w:rFonts w:cstheme="minorHAnsi"/>
                <w:sz w:val="15"/>
                <w:szCs w:val="15"/>
                <w:lang w:val="en-GB"/>
              </w:rPr>
              <w:t>3.a.1</w:t>
            </w:r>
          </w:p>
        </w:tc>
        <w:tc>
          <w:tcPr>
            <w:tcW w:w="1120" w:type="pct"/>
          </w:tcPr>
          <w:p w14:paraId="1650DB14" w14:textId="77777777" w:rsidR="00B656F6" w:rsidRPr="00852F9F" w:rsidRDefault="00B656F6" w:rsidP="008F0944">
            <w:pPr>
              <w:snapToGrid w:val="0"/>
              <w:rPr>
                <w:rFonts w:cstheme="minorHAnsi"/>
                <w:sz w:val="15"/>
                <w:szCs w:val="15"/>
                <w:lang w:val="en-GB"/>
              </w:rPr>
            </w:pPr>
            <w:r w:rsidRPr="00852F9F">
              <w:rPr>
                <w:rFonts w:cstheme="minorHAnsi"/>
                <w:sz w:val="15"/>
                <w:szCs w:val="15"/>
                <w:lang w:val="en-GB"/>
              </w:rPr>
              <w:t>Age-standardi</w:t>
            </w:r>
            <w:r>
              <w:rPr>
                <w:rFonts w:cstheme="minorHAnsi"/>
                <w:sz w:val="15"/>
                <w:szCs w:val="15"/>
                <w:lang w:val="en-GB"/>
              </w:rPr>
              <w:t>z</w:t>
            </w:r>
            <w:r w:rsidRPr="00852F9F">
              <w:rPr>
                <w:rFonts w:cstheme="minorHAnsi"/>
                <w:sz w:val="15"/>
                <w:szCs w:val="15"/>
                <w:lang w:val="en-GB"/>
              </w:rPr>
              <w:t xml:space="preserve">ed prevalence of daily smoking in populations aged 10 </w:t>
            </w:r>
            <w:r>
              <w:rPr>
                <w:rFonts w:cstheme="minorHAnsi"/>
                <w:sz w:val="15"/>
                <w:szCs w:val="15"/>
                <w:lang w:val="en-GB"/>
              </w:rPr>
              <w:t xml:space="preserve">years </w:t>
            </w:r>
            <w:r w:rsidRPr="00852F9F">
              <w:rPr>
                <w:rFonts w:cstheme="minorHAnsi"/>
                <w:sz w:val="15"/>
                <w:szCs w:val="15"/>
                <w:lang w:val="en-GB"/>
              </w:rPr>
              <w:t>and older (%)</w:t>
            </w:r>
          </w:p>
        </w:tc>
        <w:tc>
          <w:tcPr>
            <w:tcW w:w="1000" w:type="pct"/>
            <w:noWrap/>
          </w:tcPr>
          <w:p w14:paraId="36F14ABC" w14:textId="77777777" w:rsidR="00B656F6" w:rsidRPr="00852F9F" w:rsidRDefault="00B656F6" w:rsidP="008F0944">
            <w:pPr>
              <w:snapToGrid w:val="0"/>
              <w:rPr>
                <w:rFonts w:cstheme="minorHAnsi"/>
                <w:sz w:val="15"/>
                <w:szCs w:val="15"/>
                <w:lang w:val="en-GB"/>
              </w:rPr>
            </w:pPr>
            <w:r w:rsidRPr="00852F9F">
              <w:rPr>
                <w:rFonts w:cstheme="minorHAnsi"/>
                <w:sz w:val="15"/>
                <w:szCs w:val="15"/>
                <w:lang w:val="en-GB"/>
              </w:rPr>
              <w:t>Global action plan for the prevention and control of NCDs</w:t>
            </w:r>
            <w:r>
              <w:rPr>
                <w:rFonts w:cstheme="minorHAnsi"/>
                <w:sz w:val="15"/>
                <w:szCs w:val="15"/>
                <w:lang w:val="en-GB"/>
              </w:rPr>
              <w:t>,</w:t>
            </w:r>
            <w:r w:rsidRPr="00852F9F">
              <w:rPr>
                <w:rFonts w:cstheme="minorHAnsi"/>
                <w:sz w:val="15"/>
                <w:szCs w:val="15"/>
                <w:lang w:val="en-GB"/>
              </w:rPr>
              <w:t xml:space="preserve"> 2013</w:t>
            </w:r>
            <w:r>
              <w:rPr>
                <w:rFonts w:cstheme="minorHAnsi"/>
                <w:sz w:val="15"/>
                <w:szCs w:val="15"/>
                <w:lang w:val="en-GB"/>
              </w:rPr>
              <w:t>–</w:t>
            </w:r>
            <w:r w:rsidRPr="00852F9F">
              <w:rPr>
                <w:rFonts w:cstheme="minorHAnsi"/>
                <w:sz w:val="15"/>
                <w:szCs w:val="15"/>
                <w:lang w:val="en-GB"/>
              </w:rPr>
              <w:t>2020</w:t>
            </w:r>
          </w:p>
        </w:tc>
        <w:tc>
          <w:tcPr>
            <w:tcW w:w="2163" w:type="pct"/>
          </w:tcPr>
          <w:p w14:paraId="61CCD82D" w14:textId="77777777" w:rsidR="00B656F6" w:rsidRPr="00197998" w:rsidRDefault="00B656F6" w:rsidP="008F0944">
            <w:pPr>
              <w:snapToGrid w:val="0"/>
              <w:rPr>
                <w:rFonts w:cstheme="minorHAnsi"/>
                <w:sz w:val="15"/>
                <w:szCs w:val="15"/>
                <w:lang w:val="en-GB"/>
              </w:rPr>
            </w:pPr>
            <w:r w:rsidRPr="00197998">
              <w:rPr>
                <w:rFonts w:cstheme="minorHAnsi"/>
                <w:sz w:val="15"/>
                <w:szCs w:val="15"/>
                <w:lang w:val="en-GB"/>
              </w:rPr>
              <w:t>A 30% relative reduction in prevalence of current tobacco use in persons aged 15+ years.</w:t>
            </w:r>
          </w:p>
        </w:tc>
        <w:tc>
          <w:tcPr>
            <w:tcW w:w="161" w:type="pct"/>
          </w:tcPr>
          <w:p w14:paraId="0A8E13F0" w14:textId="77777777" w:rsidR="00B656F6" w:rsidRPr="00852F9F" w:rsidRDefault="00B656F6" w:rsidP="008F0944">
            <w:pPr>
              <w:snapToGrid w:val="0"/>
              <w:rPr>
                <w:rFonts w:cstheme="minorHAnsi"/>
                <w:sz w:val="15"/>
                <w:szCs w:val="15"/>
                <w:lang w:val="en-GB"/>
              </w:rPr>
            </w:pPr>
            <w:r w:rsidRPr="00852F9F">
              <w:rPr>
                <w:rFonts w:cstheme="minorHAnsi"/>
                <w:sz w:val="15"/>
                <w:szCs w:val="15"/>
                <w:lang w:val="en-GB"/>
              </w:rPr>
              <w:t>2025</w:t>
            </w:r>
          </w:p>
        </w:tc>
      </w:tr>
      <w:tr w:rsidR="00B656F6" w:rsidRPr="00852F9F" w14:paraId="21E05481" w14:textId="77777777" w:rsidTr="008F0944">
        <w:trPr>
          <w:trHeight w:val="20"/>
        </w:trPr>
        <w:tc>
          <w:tcPr>
            <w:tcW w:w="341" w:type="pct"/>
          </w:tcPr>
          <w:p w14:paraId="0EE36119" w14:textId="77777777" w:rsidR="00B656F6" w:rsidRPr="00852F9F" w:rsidRDefault="00B656F6" w:rsidP="008F0944">
            <w:pPr>
              <w:snapToGrid w:val="0"/>
              <w:rPr>
                <w:rFonts w:cstheme="minorHAnsi"/>
                <w:sz w:val="15"/>
                <w:szCs w:val="15"/>
                <w:lang w:val="en-GB"/>
              </w:rPr>
            </w:pPr>
            <w:r w:rsidRPr="00852F9F">
              <w:rPr>
                <w:rFonts w:cstheme="minorHAnsi"/>
                <w:sz w:val="15"/>
                <w:szCs w:val="15"/>
                <w:lang w:val="en-GB"/>
              </w:rPr>
              <w:t xml:space="preserve">Road injuries </w:t>
            </w:r>
          </w:p>
        </w:tc>
        <w:tc>
          <w:tcPr>
            <w:tcW w:w="215" w:type="pct"/>
            <w:noWrap/>
            <w:hideMark/>
          </w:tcPr>
          <w:p w14:paraId="4410B6AD" w14:textId="77777777" w:rsidR="00B656F6" w:rsidRPr="00852F9F" w:rsidRDefault="00B656F6" w:rsidP="008F0944">
            <w:pPr>
              <w:snapToGrid w:val="0"/>
              <w:rPr>
                <w:rFonts w:cstheme="minorHAnsi"/>
                <w:sz w:val="15"/>
                <w:szCs w:val="15"/>
                <w:lang w:val="en-GB"/>
              </w:rPr>
            </w:pPr>
            <w:r w:rsidRPr="00852F9F">
              <w:rPr>
                <w:rFonts w:cstheme="minorHAnsi"/>
                <w:sz w:val="15"/>
                <w:szCs w:val="15"/>
                <w:lang w:val="en-GB"/>
              </w:rPr>
              <w:t>3.6.1</w:t>
            </w:r>
          </w:p>
        </w:tc>
        <w:tc>
          <w:tcPr>
            <w:tcW w:w="1120" w:type="pct"/>
          </w:tcPr>
          <w:p w14:paraId="503CE656" w14:textId="77777777" w:rsidR="00B656F6" w:rsidRPr="00852F9F" w:rsidRDefault="00B656F6" w:rsidP="008F0944">
            <w:pPr>
              <w:snapToGrid w:val="0"/>
              <w:rPr>
                <w:rFonts w:cstheme="minorHAnsi"/>
                <w:sz w:val="15"/>
                <w:szCs w:val="15"/>
                <w:lang w:val="en-GB"/>
              </w:rPr>
            </w:pPr>
            <w:r w:rsidRPr="00852F9F">
              <w:rPr>
                <w:rFonts w:cstheme="minorHAnsi"/>
                <w:sz w:val="15"/>
                <w:szCs w:val="15"/>
                <w:lang w:val="en-GB"/>
              </w:rPr>
              <w:t>Age-standardi</w:t>
            </w:r>
            <w:r>
              <w:rPr>
                <w:rFonts w:cstheme="minorHAnsi"/>
                <w:sz w:val="15"/>
                <w:szCs w:val="15"/>
                <w:lang w:val="en-GB"/>
              </w:rPr>
              <w:t>z</w:t>
            </w:r>
            <w:r w:rsidRPr="00852F9F">
              <w:rPr>
                <w:rFonts w:cstheme="minorHAnsi"/>
                <w:sz w:val="15"/>
                <w:szCs w:val="15"/>
                <w:lang w:val="en-GB"/>
              </w:rPr>
              <w:t>ed death rate due to road injuries (per 100,000 population)</w:t>
            </w:r>
          </w:p>
        </w:tc>
        <w:tc>
          <w:tcPr>
            <w:tcW w:w="1000" w:type="pct"/>
            <w:noWrap/>
            <w:hideMark/>
          </w:tcPr>
          <w:p w14:paraId="4B5D42C4" w14:textId="77777777" w:rsidR="00B656F6" w:rsidRPr="00852F9F" w:rsidRDefault="00B656F6" w:rsidP="008F0944">
            <w:pPr>
              <w:snapToGrid w:val="0"/>
              <w:rPr>
                <w:rFonts w:cstheme="minorHAnsi"/>
                <w:sz w:val="15"/>
                <w:szCs w:val="15"/>
                <w:lang w:val="en-GB"/>
              </w:rPr>
            </w:pPr>
            <w:r w:rsidRPr="00852F9F">
              <w:rPr>
                <w:rFonts w:cstheme="minorHAnsi"/>
                <w:sz w:val="15"/>
                <w:szCs w:val="15"/>
                <w:lang w:val="en-GB"/>
              </w:rPr>
              <w:t>SDG</w:t>
            </w:r>
          </w:p>
        </w:tc>
        <w:tc>
          <w:tcPr>
            <w:tcW w:w="2163" w:type="pct"/>
            <w:hideMark/>
          </w:tcPr>
          <w:p w14:paraId="53D724A8" w14:textId="77777777" w:rsidR="00B656F6" w:rsidRPr="00197998" w:rsidRDefault="00B656F6" w:rsidP="008F0944">
            <w:pPr>
              <w:snapToGrid w:val="0"/>
              <w:rPr>
                <w:rFonts w:cstheme="minorHAnsi"/>
                <w:sz w:val="15"/>
                <w:szCs w:val="15"/>
                <w:lang w:val="en-GB"/>
              </w:rPr>
            </w:pPr>
            <w:r w:rsidRPr="00197998">
              <w:rPr>
                <w:rFonts w:cstheme="minorHAnsi"/>
                <w:sz w:val="15"/>
                <w:szCs w:val="15"/>
                <w:lang w:val="en-GB"/>
              </w:rPr>
              <w:t>By 2020, halve the number of global deaths and injuries from road traffic accidents.</w:t>
            </w:r>
          </w:p>
        </w:tc>
        <w:tc>
          <w:tcPr>
            <w:tcW w:w="161" w:type="pct"/>
          </w:tcPr>
          <w:p w14:paraId="7FA6177F" w14:textId="77777777" w:rsidR="00B656F6" w:rsidRPr="00852F9F" w:rsidRDefault="00B656F6" w:rsidP="008F0944">
            <w:pPr>
              <w:snapToGrid w:val="0"/>
              <w:rPr>
                <w:rFonts w:cstheme="minorHAnsi"/>
                <w:sz w:val="15"/>
                <w:szCs w:val="15"/>
                <w:lang w:val="en-GB"/>
              </w:rPr>
            </w:pPr>
            <w:r w:rsidRPr="00852F9F">
              <w:rPr>
                <w:rFonts w:cstheme="minorHAnsi"/>
                <w:sz w:val="15"/>
                <w:szCs w:val="15"/>
                <w:lang w:val="en-GB"/>
              </w:rPr>
              <w:t>2020</w:t>
            </w:r>
          </w:p>
        </w:tc>
      </w:tr>
      <w:tr w:rsidR="00B656F6" w:rsidRPr="00852F9F" w14:paraId="67752DEC" w14:textId="77777777" w:rsidTr="008F0944">
        <w:trPr>
          <w:trHeight w:val="20"/>
        </w:trPr>
        <w:tc>
          <w:tcPr>
            <w:tcW w:w="341" w:type="pct"/>
            <w:vMerge w:val="restart"/>
          </w:tcPr>
          <w:p w14:paraId="3616ABF6" w14:textId="77777777" w:rsidR="00B656F6" w:rsidRPr="00852F9F" w:rsidRDefault="00B656F6" w:rsidP="008F0944">
            <w:pPr>
              <w:snapToGrid w:val="0"/>
              <w:rPr>
                <w:rFonts w:cstheme="minorHAnsi"/>
                <w:sz w:val="15"/>
                <w:szCs w:val="15"/>
                <w:lang w:val="en-GB"/>
              </w:rPr>
            </w:pPr>
            <w:r w:rsidRPr="00852F9F">
              <w:rPr>
                <w:rFonts w:cstheme="minorHAnsi"/>
                <w:sz w:val="15"/>
                <w:szCs w:val="15"/>
                <w:lang w:val="en-GB"/>
              </w:rPr>
              <w:t xml:space="preserve">Environmental health </w:t>
            </w:r>
          </w:p>
        </w:tc>
        <w:tc>
          <w:tcPr>
            <w:tcW w:w="215" w:type="pct"/>
            <w:noWrap/>
            <w:hideMark/>
          </w:tcPr>
          <w:p w14:paraId="1ECFC0B4" w14:textId="77777777" w:rsidR="00B656F6" w:rsidRPr="00852F9F" w:rsidRDefault="00B656F6" w:rsidP="008F0944">
            <w:pPr>
              <w:snapToGrid w:val="0"/>
              <w:rPr>
                <w:rFonts w:cstheme="minorHAnsi"/>
                <w:sz w:val="15"/>
                <w:szCs w:val="15"/>
                <w:lang w:val="en-GB"/>
              </w:rPr>
            </w:pPr>
            <w:r w:rsidRPr="00852F9F">
              <w:rPr>
                <w:rFonts w:cstheme="minorHAnsi"/>
                <w:sz w:val="15"/>
                <w:szCs w:val="15"/>
                <w:lang w:val="en-GB"/>
              </w:rPr>
              <w:t>3.9.1</w:t>
            </w:r>
          </w:p>
        </w:tc>
        <w:tc>
          <w:tcPr>
            <w:tcW w:w="1120" w:type="pct"/>
          </w:tcPr>
          <w:p w14:paraId="2320860B" w14:textId="77777777" w:rsidR="00B656F6" w:rsidRPr="00852F9F" w:rsidRDefault="00B656F6" w:rsidP="008F0944">
            <w:pPr>
              <w:snapToGrid w:val="0"/>
              <w:rPr>
                <w:rFonts w:cstheme="minorHAnsi"/>
                <w:sz w:val="15"/>
                <w:szCs w:val="15"/>
                <w:lang w:val="en-GB"/>
              </w:rPr>
            </w:pPr>
            <w:r w:rsidRPr="00852F9F">
              <w:rPr>
                <w:rFonts w:cstheme="minorHAnsi"/>
                <w:sz w:val="15"/>
                <w:szCs w:val="15"/>
                <w:lang w:val="en-GB"/>
              </w:rPr>
              <w:t>Age-standardi</w:t>
            </w:r>
            <w:r>
              <w:rPr>
                <w:rFonts w:cstheme="minorHAnsi"/>
                <w:sz w:val="15"/>
                <w:szCs w:val="15"/>
                <w:lang w:val="en-GB"/>
              </w:rPr>
              <w:t>z</w:t>
            </w:r>
            <w:r w:rsidRPr="00852F9F">
              <w:rPr>
                <w:rFonts w:cstheme="minorHAnsi"/>
                <w:sz w:val="15"/>
                <w:szCs w:val="15"/>
                <w:lang w:val="en-GB"/>
              </w:rPr>
              <w:t>ed death rate attributable to household air pollution and ambient air pollution (per 100,000 population)</w:t>
            </w:r>
          </w:p>
        </w:tc>
        <w:tc>
          <w:tcPr>
            <w:tcW w:w="1000" w:type="pct"/>
            <w:hideMark/>
          </w:tcPr>
          <w:p w14:paraId="31C326DE" w14:textId="77777777" w:rsidR="00B656F6" w:rsidRPr="00852F9F" w:rsidRDefault="00B656F6" w:rsidP="008F0944">
            <w:pPr>
              <w:snapToGrid w:val="0"/>
              <w:rPr>
                <w:rFonts w:cstheme="minorHAnsi"/>
                <w:sz w:val="15"/>
                <w:szCs w:val="15"/>
                <w:lang w:val="en-GB"/>
              </w:rPr>
            </w:pPr>
            <w:r w:rsidRPr="00852F9F">
              <w:rPr>
                <w:rFonts w:cstheme="minorHAnsi"/>
                <w:sz w:val="15"/>
                <w:szCs w:val="15"/>
                <w:lang w:val="en-GB"/>
              </w:rPr>
              <w:t>SDG</w:t>
            </w:r>
          </w:p>
        </w:tc>
        <w:tc>
          <w:tcPr>
            <w:tcW w:w="2163" w:type="pct"/>
            <w:hideMark/>
          </w:tcPr>
          <w:p w14:paraId="26B6E871" w14:textId="77777777" w:rsidR="00B656F6" w:rsidRPr="00197998" w:rsidRDefault="00B656F6" w:rsidP="008F0944">
            <w:pPr>
              <w:snapToGrid w:val="0"/>
              <w:rPr>
                <w:rFonts w:cstheme="minorHAnsi"/>
                <w:sz w:val="15"/>
                <w:szCs w:val="15"/>
                <w:lang w:val="en-GB"/>
              </w:rPr>
            </w:pPr>
            <w:r w:rsidRPr="00197998">
              <w:rPr>
                <w:rFonts w:cstheme="minorHAnsi"/>
                <w:sz w:val="15"/>
                <w:szCs w:val="15"/>
                <w:lang w:val="en-GB"/>
              </w:rPr>
              <w:t xml:space="preserve">By 2030, </w:t>
            </w:r>
            <w:r w:rsidRPr="005A11D8">
              <w:rPr>
                <w:rFonts w:cstheme="minorHAnsi"/>
                <w:bCs/>
                <w:sz w:val="15"/>
                <w:szCs w:val="15"/>
                <w:lang w:val="en-GB"/>
              </w:rPr>
              <w:t>substantially reduce</w:t>
            </w:r>
            <w:r w:rsidRPr="00197998">
              <w:rPr>
                <w:rFonts w:cstheme="minorHAnsi"/>
                <w:sz w:val="15"/>
                <w:szCs w:val="15"/>
                <w:lang w:val="en-GB"/>
              </w:rPr>
              <w:t xml:space="preserve"> the number of deaths and illnesses from hazardous chemicals and air, water</w:t>
            </w:r>
            <w:r>
              <w:rPr>
                <w:rFonts w:cstheme="minorHAnsi"/>
                <w:sz w:val="15"/>
                <w:szCs w:val="15"/>
                <w:lang w:val="en-GB"/>
              </w:rPr>
              <w:t>,</w:t>
            </w:r>
            <w:r w:rsidRPr="00197998">
              <w:rPr>
                <w:rFonts w:cstheme="minorHAnsi"/>
                <w:sz w:val="15"/>
                <w:szCs w:val="15"/>
                <w:lang w:val="en-GB"/>
              </w:rPr>
              <w:t xml:space="preserve"> and soil pollution and contamination.</w:t>
            </w:r>
          </w:p>
        </w:tc>
        <w:tc>
          <w:tcPr>
            <w:tcW w:w="161" w:type="pct"/>
          </w:tcPr>
          <w:p w14:paraId="52001011" w14:textId="77777777" w:rsidR="00B656F6" w:rsidRPr="00852F9F" w:rsidRDefault="00B656F6" w:rsidP="008F0944">
            <w:pPr>
              <w:snapToGrid w:val="0"/>
              <w:rPr>
                <w:rFonts w:cstheme="minorHAnsi"/>
                <w:sz w:val="15"/>
                <w:szCs w:val="15"/>
                <w:lang w:val="en-GB"/>
              </w:rPr>
            </w:pPr>
            <w:r w:rsidRPr="00852F9F">
              <w:rPr>
                <w:rFonts w:cstheme="minorHAnsi"/>
                <w:sz w:val="15"/>
                <w:szCs w:val="15"/>
                <w:lang w:val="en-GB"/>
              </w:rPr>
              <w:t>2030</w:t>
            </w:r>
          </w:p>
        </w:tc>
      </w:tr>
      <w:tr w:rsidR="00B656F6" w:rsidRPr="00852F9F" w14:paraId="7D9BE409" w14:textId="77777777" w:rsidTr="008F0944">
        <w:trPr>
          <w:trHeight w:val="20"/>
        </w:trPr>
        <w:tc>
          <w:tcPr>
            <w:tcW w:w="341" w:type="pct"/>
            <w:vMerge/>
          </w:tcPr>
          <w:p w14:paraId="156F9718" w14:textId="77777777" w:rsidR="00B656F6" w:rsidRPr="00852F9F" w:rsidRDefault="00B656F6" w:rsidP="008F0944">
            <w:pPr>
              <w:snapToGrid w:val="0"/>
              <w:rPr>
                <w:rFonts w:cstheme="minorHAnsi"/>
                <w:sz w:val="15"/>
                <w:szCs w:val="15"/>
                <w:lang w:val="en-GB"/>
              </w:rPr>
            </w:pPr>
          </w:p>
        </w:tc>
        <w:tc>
          <w:tcPr>
            <w:tcW w:w="215" w:type="pct"/>
            <w:noWrap/>
            <w:hideMark/>
          </w:tcPr>
          <w:p w14:paraId="75043DD2" w14:textId="77777777" w:rsidR="00B656F6" w:rsidRPr="00852F9F" w:rsidRDefault="00B656F6" w:rsidP="008F0944">
            <w:pPr>
              <w:snapToGrid w:val="0"/>
              <w:rPr>
                <w:rFonts w:cstheme="minorHAnsi"/>
                <w:sz w:val="15"/>
                <w:szCs w:val="15"/>
                <w:lang w:val="en-GB"/>
              </w:rPr>
            </w:pPr>
            <w:r w:rsidRPr="00852F9F">
              <w:rPr>
                <w:rFonts w:cstheme="minorHAnsi"/>
                <w:sz w:val="15"/>
                <w:szCs w:val="15"/>
                <w:lang w:val="en-GB"/>
              </w:rPr>
              <w:t>3.9.2</w:t>
            </w:r>
          </w:p>
        </w:tc>
        <w:tc>
          <w:tcPr>
            <w:tcW w:w="1120" w:type="pct"/>
          </w:tcPr>
          <w:p w14:paraId="3EC493C8" w14:textId="77777777" w:rsidR="00B656F6" w:rsidRPr="00852F9F" w:rsidRDefault="00B656F6" w:rsidP="008F0944">
            <w:pPr>
              <w:snapToGrid w:val="0"/>
              <w:rPr>
                <w:rFonts w:cstheme="minorHAnsi"/>
                <w:sz w:val="15"/>
                <w:szCs w:val="15"/>
                <w:lang w:val="en-GB"/>
              </w:rPr>
            </w:pPr>
            <w:r w:rsidRPr="00852F9F">
              <w:rPr>
                <w:rFonts w:cstheme="minorHAnsi"/>
                <w:sz w:val="15"/>
                <w:szCs w:val="15"/>
                <w:lang w:val="en-GB"/>
              </w:rPr>
              <w:t>Age-standardi</w:t>
            </w:r>
            <w:r>
              <w:rPr>
                <w:rFonts w:cstheme="minorHAnsi"/>
                <w:sz w:val="15"/>
                <w:szCs w:val="15"/>
                <w:lang w:val="en-GB"/>
              </w:rPr>
              <w:t>z</w:t>
            </w:r>
            <w:r w:rsidRPr="00852F9F">
              <w:rPr>
                <w:rFonts w:cstheme="minorHAnsi"/>
                <w:sz w:val="15"/>
                <w:szCs w:val="15"/>
                <w:lang w:val="en-GB"/>
              </w:rPr>
              <w:t>ed death rate attributable to unsafe WaSH (per 100,000 population)</w:t>
            </w:r>
          </w:p>
        </w:tc>
        <w:tc>
          <w:tcPr>
            <w:tcW w:w="1000" w:type="pct"/>
            <w:hideMark/>
          </w:tcPr>
          <w:p w14:paraId="1666281D" w14:textId="77777777" w:rsidR="00B656F6" w:rsidRPr="00852F9F" w:rsidRDefault="00B656F6" w:rsidP="008F0944">
            <w:pPr>
              <w:snapToGrid w:val="0"/>
              <w:rPr>
                <w:rFonts w:cstheme="minorHAnsi"/>
                <w:sz w:val="15"/>
                <w:szCs w:val="15"/>
                <w:lang w:val="en-GB"/>
              </w:rPr>
            </w:pPr>
            <w:r w:rsidRPr="00852F9F">
              <w:rPr>
                <w:rFonts w:cstheme="minorHAnsi"/>
                <w:sz w:val="15"/>
                <w:szCs w:val="15"/>
                <w:lang w:val="en-GB"/>
              </w:rPr>
              <w:t>SDG</w:t>
            </w:r>
          </w:p>
        </w:tc>
        <w:tc>
          <w:tcPr>
            <w:tcW w:w="2163" w:type="pct"/>
            <w:hideMark/>
          </w:tcPr>
          <w:p w14:paraId="681DACCF" w14:textId="77777777" w:rsidR="00B656F6" w:rsidRPr="00197998" w:rsidRDefault="00B656F6" w:rsidP="008F0944">
            <w:pPr>
              <w:snapToGrid w:val="0"/>
              <w:rPr>
                <w:rFonts w:cstheme="minorHAnsi"/>
                <w:sz w:val="15"/>
                <w:szCs w:val="15"/>
                <w:lang w:val="en-GB"/>
              </w:rPr>
            </w:pPr>
            <w:r w:rsidRPr="00197998">
              <w:rPr>
                <w:rFonts w:cstheme="minorHAnsi"/>
                <w:sz w:val="15"/>
                <w:szCs w:val="15"/>
                <w:lang w:val="en-GB"/>
              </w:rPr>
              <w:t xml:space="preserve">By 2030, </w:t>
            </w:r>
            <w:r w:rsidRPr="005A11D8">
              <w:rPr>
                <w:rFonts w:cstheme="minorHAnsi"/>
                <w:bCs/>
                <w:sz w:val="15"/>
                <w:szCs w:val="15"/>
                <w:lang w:val="en-GB"/>
              </w:rPr>
              <w:t>substantially reduce</w:t>
            </w:r>
            <w:r w:rsidRPr="00197998">
              <w:rPr>
                <w:rFonts w:cstheme="minorHAnsi"/>
                <w:sz w:val="15"/>
                <w:szCs w:val="15"/>
                <w:lang w:val="en-GB"/>
              </w:rPr>
              <w:t xml:space="preserve"> the number of deaths and illnesses from hazardous chemicals and air, water</w:t>
            </w:r>
            <w:r>
              <w:rPr>
                <w:rFonts w:cstheme="minorHAnsi"/>
                <w:sz w:val="15"/>
                <w:szCs w:val="15"/>
                <w:lang w:val="en-GB"/>
              </w:rPr>
              <w:t>,</w:t>
            </w:r>
            <w:r w:rsidRPr="00197998">
              <w:rPr>
                <w:rFonts w:cstheme="minorHAnsi"/>
                <w:sz w:val="15"/>
                <w:szCs w:val="15"/>
                <w:lang w:val="en-GB"/>
              </w:rPr>
              <w:t xml:space="preserve"> and soil pollution and contamination.</w:t>
            </w:r>
          </w:p>
        </w:tc>
        <w:tc>
          <w:tcPr>
            <w:tcW w:w="161" w:type="pct"/>
          </w:tcPr>
          <w:p w14:paraId="557B7DF4" w14:textId="77777777" w:rsidR="00B656F6" w:rsidRPr="00852F9F" w:rsidRDefault="00B656F6" w:rsidP="008F0944">
            <w:pPr>
              <w:snapToGrid w:val="0"/>
              <w:rPr>
                <w:rFonts w:cstheme="minorHAnsi"/>
                <w:sz w:val="15"/>
                <w:szCs w:val="15"/>
                <w:lang w:val="en-GB"/>
              </w:rPr>
            </w:pPr>
            <w:r w:rsidRPr="00852F9F">
              <w:rPr>
                <w:rFonts w:cstheme="minorHAnsi"/>
                <w:sz w:val="15"/>
                <w:szCs w:val="15"/>
                <w:lang w:val="en-GB"/>
              </w:rPr>
              <w:t>2030</w:t>
            </w:r>
          </w:p>
        </w:tc>
      </w:tr>
      <w:tr w:rsidR="00B656F6" w:rsidRPr="00852F9F" w14:paraId="31B0704D" w14:textId="77777777" w:rsidTr="008F0944">
        <w:trPr>
          <w:trHeight w:val="20"/>
        </w:trPr>
        <w:tc>
          <w:tcPr>
            <w:tcW w:w="341" w:type="pct"/>
            <w:vMerge/>
          </w:tcPr>
          <w:p w14:paraId="60882AC6" w14:textId="77777777" w:rsidR="00B656F6" w:rsidRPr="00852F9F" w:rsidRDefault="00B656F6" w:rsidP="008F0944">
            <w:pPr>
              <w:snapToGrid w:val="0"/>
              <w:rPr>
                <w:rFonts w:cstheme="minorHAnsi"/>
                <w:sz w:val="15"/>
                <w:szCs w:val="15"/>
                <w:lang w:val="en-GB"/>
              </w:rPr>
            </w:pPr>
          </w:p>
        </w:tc>
        <w:tc>
          <w:tcPr>
            <w:tcW w:w="215" w:type="pct"/>
            <w:noWrap/>
            <w:hideMark/>
          </w:tcPr>
          <w:p w14:paraId="62DDD15C" w14:textId="77777777" w:rsidR="00B656F6" w:rsidRPr="00852F9F" w:rsidRDefault="00B656F6" w:rsidP="008F0944">
            <w:pPr>
              <w:snapToGrid w:val="0"/>
              <w:rPr>
                <w:rFonts w:cstheme="minorHAnsi"/>
                <w:sz w:val="15"/>
                <w:szCs w:val="15"/>
                <w:lang w:val="en-GB"/>
              </w:rPr>
            </w:pPr>
            <w:r w:rsidRPr="00852F9F">
              <w:rPr>
                <w:rFonts w:cstheme="minorHAnsi"/>
                <w:sz w:val="15"/>
                <w:szCs w:val="15"/>
                <w:lang w:val="en-GB"/>
              </w:rPr>
              <w:t>3.9.3</w:t>
            </w:r>
          </w:p>
        </w:tc>
        <w:tc>
          <w:tcPr>
            <w:tcW w:w="1120" w:type="pct"/>
          </w:tcPr>
          <w:p w14:paraId="72B591AF" w14:textId="77777777" w:rsidR="00B656F6" w:rsidRPr="00852F9F" w:rsidRDefault="00B656F6" w:rsidP="008F0944">
            <w:pPr>
              <w:snapToGrid w:val="0"/>
              <w:rPr>
                <w:rFonts w:cstheme="minorHAnsi"/>
                <w:sz w:val="15"/>
                <w:szCs w:val="15"/>
                <w:lang w:val="en-GB"/>
              </w:rPr>
            </w:pPr>
            <w:r w:rsidRPr="00852F9F">
              <w:rPr>
                <w:rFonts w:cstheme="minorHAnsi"/>
                <w:sz w:val="15"/>
                <w:szCs w:val="15"/>
                <w:lang w:val="en-GB"/>
              </w:rPr>
              <w:t>Age-standardi</w:t>
            </w:r>
            <w:r>
              <w:rPr>
                <w:rFonts w:cstheme="minorHAnsi"/>
                <w:sz w:val="15"/>
                <w:szCs w:val="15"/>
                <w:lang w:val="en-GB"/>
              </w:rPr>
              <w:t>z</w:t>
            </w:r>
            <w:r w:rsidRPr="00852F9F">
              <w:rPr>
                <w:rFonts w:cstheme="minorHAnsi"/>
                <w:sz w:val="15"/>
                <w:szCs w:val="15"/>
                <w:lang w:val="en-GB"/>
              </w:rPr>
              <w:t>ed death rate due to unintentional poisonings (per 100,000 population)</w:t>
            </w:r>
          </w:p>
        </w:tc>
        <w:tc>
          <w:tcPr>
            <w:tcW w:w="1000" w:type="pct"/>
            <w:hideMark/>
          </w:tcPr>
          <w:p w14:paraId="3AA2C98E" w14:textId="77777777" w:rsidR="00B656F6" w:rsidRPr="00852F9F" w:rsidRDefault="00B656F6" w:rsidP="008F0944">
            <w:pPr>
              <w:snapToGrid w:val="0"/>
              <w:rPr>
                <w:rFonts w:cstheme="minorHAnsi"/>
                <w:sz w:val="15"/>
                <w:szCs w:val="15"/>
                <w:lang w:val="en-GB"/>
              </w:rPr>
            </w:pPr>
            <w:r w:rsidRPr="00852F9F">
              <w:rPr>
                <w:rFonts w:cstheme="minorHAnsi"/>
                <w:sz w:val="15"/>
                <w:szCs w:val="15"/>
                <w:lang w:val="en-GB"/>
              </w:rPr>
              <w:t>SDG</w:t>
            </w:r>
          </w:p>
        </w:tc>
        <w:tc>
          <w:tcPr>
            <w:tcW w:w="2163" w:type="pct"/>
            <w:hideMark/>
          </w:tcPr>
          <w:p w14:paraId="121B247B" w14:textId="77777777" w:rsidR="00B656F6" w:rsidRPr="00197998" w:rsidRDefault="00B656F6" w:rsidP="008F0944">
            <w:pPr>
              <w:snapToGrid w:val="0"/>
              <w:rPr>
                <w:rFonts w:cstheme="minorHAnsi"/>
                <w:sz w:val="15"/>
                <w:szCs w:val="15"/>
                <w:lang w:val="en-GB"/>
              </w:rPr>
            </w:pPr>
            <w:r w:rsidRPr="00197998">
              <w:rPr>
                <w:rFonts w:cstheme="minorHAnsi"/>
                <w:sz w:val="15"/>
                <w:szCs w:val="15"/>
                <w:lang w:val="en-GB"/>
              </w:rPr>
              <w:t xml:space="preserve">By 2030, </w:t>
            </w:r>
            <w:r w:rsidRPr="005A11D8">
              <w:rPr>
                <w:rFonts w:cstheme="minorHAnsi"/>
                <w:bCs/>
                <w:sz w:val="15"/>
                <w:szCs w:val="15"/>
                <w:lang w:val="en-GB"/>
              </w:rPr>
              <w:t>substantially reduce</w:t>
            </w:r>
            <w:r w:rsidRPr="00197998">
              <w:rPr>
                <w:rFonts w:cstheme="minorHAnsi"/>
                <w:sz w:val="15"/>
                <w:szCs w:val="15"/>
                <w:lang w:val="en-GB"/>
              </w:rPr>
              <w:t xml:space="preserve"> the number of deaths and illnesses from hazardous chemicals and air, water</w:t>
            </w:r>
            <w:r>
              <w:rPr>
                <w:rFonts w:cstheme="minorHAnsi"/>
                <w:sz w:val="15"/>
                <w:szCs w:val="15"/>
                <w:lang w:val="en-GB"/>
              </w:rPr>
              <w:t>,</w:t>
            </w:r>
            <w:r w:rsidRPr="00197998">
              <w:rPr>
                <w:rFonts w:cstheme="minorHAnsi"/>
                <w:sz w:val="15"/>
                <w:szCs w:val="15"/>
                <w:lang w:val="en-GB"/>
              </w:rPr>
              <w:t xml:space="preserve"> and soil pollution and contamination.</w:t>
            </w:r>
          </w:p>
        </w:tc>
        <w:tc>
          <w:tcPr>
            <w:tcW w:w="161" w:type="pct"/>
          </w:tcPr>
          <w:p w14:paraId="365338A2" w14:textId="77777777" w:rsidR="00B656F6" w:rsidRPr="00852F9F" w:rsidRDefault="00B656F6" w:rsidP="008F0944">
            <w:pPr>
              <w:snapToGrid w:val="0"/>
              <w:rPr>
                <w:rFonts w:cstheme="minorHAnsi"/>
                <w:sz w:val="15"/>
                <w:szCs w:val="15"/>
                <w:lang w:val="en-GB"/>
              </w:rPr>
            </w:pPr>
            <w:r w:rsidRPr="00852F9F">
              <w:rPr>
                <w:rFonts w:cstheme="minorHAnsi"/>
                <w:sz w:val="15"/>
                <w:szCs w:val="15"/>
                <w:lang w:val="en-GB"/>
              </w:rPr>
              <w:t>2030</w:t>
            </w:r>
          </w:p>
        </w:tc>
      </w:tr>
      <w:tr w:rsidR="00B656F6" w:rsidRPr="00852F9F" w14:paraId="3F04D7C0" w14:textId="77777777" w:rsidTr="008F0944">
        <w:trPr>
          <w:trHeight w:val="20"/>
        </w:trPr>
        <w:tc>
          <w:tcPr>
            <w:tcW w:w="341" w:type="pct"/>
            <w:vMerge/>
          </w:tcPr>
          <w:p w14:paraId="58D0FE75" w14:textId="77777777" w:rsidR="00B656F6" w:rsidRPr="00852F9F" w:rsidRDefault="00B656F6" w:rsidP="008F0944">
            <w:pPr>
              <w:snapToGrid w:val="0"/>
              <w:rPr>
                <w:rFonts w:cstheme="minorHAnsi"/>
                <w:sz w:val="15"/>
                <w:szCs w:val="15"/>
                <w:lang w:val="en-GB"/>
              </w:rPr>
            </w:pPr>
          </w:p>
        </w:tc>
        <w:tc>
          <w:tcPr>
            <w:tcW w:w="215" w:type="pct"/>
            <w:noWrap/>
            <w:hideMark/>
          </w:tcPr>
          <w:p w14:paraId="64BEA917" w14:textId="77777777" w:rsidR="00B656F6" w:rsidRPr="00852F9F" w:rsidRDefault="00B656F6" w:rsidP="008F0944">
            <w:pPr>
              <w:snapToGrid w:val="0"/>
              <w:rPr>
                <w:rFonts w:cstheme="minorHAnsi"/>
                <w:sz w:val="15"/>
                <w:szCs w:val="15"/>
                <w:lang w:val="en-GB"/>
              </w:rPr>
            </w:pPr>
            <w:r w:rsidRPr="00852F9F">
              <w:rPr>
                <w:rFonts w:cstheme="minorHAnsi"/>
                <w:sz w:val="15"/>
                <w:szCs w:val="15"/>
                <w:lang w:val="en-GB"/>
              </w:rPr>
              <w:t>6.1.1</w:t>
            </w:r>
          </w:p>
        </w:tc>
        <w:tc>
          <w:tcPr>
            <w:tcW w:w="1120" w:type="pct"/>
          </w:tcPr>
          <w:p w14:paraId="0169C85A" w14:textId="77777777" w:rsidR="00B656F6" w:rsidRPr="00852F9F" w:rsidRDefault="00B656F6" w:rsidP="008F0944">
            <w:pPr>
              <w:snapToGrid w:val="0"/>
              <w:rPr>
                <w:rFonts w:cstheme="minorHAnsi"/>
                <w:sz w:val="15"/>
                <w:szCs w:val="15"/>
                <w:lang w:val="en-GB"/>
              </w:rPr>
            </w:pPr>
            <w:r w:rsidRPr="00852F9F">
              <w:rPr>
                <w:rFonts w:cstheme="minorHAnsi"/>
                <w:sz w:val="15"/>
                <w:szCs w:val="15"/>
                <w:lang w:val="en-GB"/>
              </w:rPr>
              <w:t>Risk-weighted prevalence of populations using unsafe or unimproved water sources, as measured by the SEV for unsafe water (%)</w:t>
            </w:r>
          </w:p>
        </w:tc>
        <w:tc>
          <w:tcPr>
            <w:tcW w:w="1000" w:type="pct"/>
            <w:hideMark/>
          </w:tcPr>
          <w:p w14:paraId="5237D4E0" w14:textId="77777777" w:rsidR="00B656F6" w:rsidRPr="00852F9F" w:rsidRDefault="00B656F6" w:rsidP="008F0944">
            <w:pPr>
              <w:snapToGrid w:val="0"/>
              <w:rPr>
                <w:rFonts w:cstheme="minorHAnsi"/>
                <w:sz w:val="15"/>
                <w:szCs w:val="15"/>
                <w:lang w:val="en-GB"/>
              </w:rPr>
            </w:pPr>
            <w:r w:rsidRPr="00852F9F">
              <w:rPr>
                <w:rFonts w:cstheme="minorHAnsi"/>
                <w:sz w:val="15"/>
                <w:szCs w:val="15"/>
                <w:lang w:val="en-GB"/>
              </w:rPr>
              <w:t>SDG</w:t>
            </w:r>
          </w:p>
        </w:tc>
        <w:tc>
          <w:tcPr>
            <w:tcW w:w="2163" w:type="pct"/>
            <w:hideMark/>
          </w:tcPr>
          <w:p w14:paraId="42EE6759" w14:textId="77777777" w:rsidR="00B656F6" w:rsidRPr="00197998" w:rsidRDefault="00B656F6" w:rsidP="008F0944">
            <w:pPr>
              <w:snapToGrid w:val="0"/>
              <w:rPr>
                <w:rFonts w:cstheme="minorHAnsi"/>
                <w:sz w:val="15"/>
                <w:szCs w:val="15"/>
                <w:lang w:val="en-GB"/>
              </w:rPr>
            </w:pPr>
            <w:r w:rsidRPr="00197998">
              <w:rPr>
                <w:rFonts w:cstheme="minorHAnsi"/>
                <w:sz w:val="15"/>
                <w:szCs w:val="15"/>
                <w:lang w:val="en-GB"/>
              </w:rPr>
              <w:t xml:space="preserve">By 2030, achieve </w:t>
            </w:r>
            <w:r w:rsidRPr="005A11D8">
              <w:rPr>
                <w:rFonts w:cstheme="minorHAnsi"/>
                <w:bCs/>
                <w:sz w:val="15"/>
                <w:szCs w:val="15"/>
                <w:lang w:val="en-GB"/>
              </w:rPr>
              <w:t>universal</w:t>
            </w:r>
            <w:r w:rsidRPr="00197998">
              <w:rPr>
                <w:rFonts w:cstheme="minorHAnsi"/>
                <w:sz w:val="15"/>
                <w:szCs w:val="15"/>
                <w:lang w:val="en-GB"/>
              </w:rPr>
              <w:t xml:space="preserve"> and equitable access to safe and affordable drinking water for all.</w:t>
            </w:r>
          </w:p>
        </w:tc>
        <w:tc>
          <w:tcPr>
            <w:tcW w:w="161" w:type="pct"/>
          </w:tcPr>
          <w:p w14:paraId="4EFF9BB2" w14:textId="77777777" w:rsidR="00B656F6" w:rsidRPr="00852F9F" w:rsidRDefault="00B656F6" w:rsidP="008F0944">
            <w:pPr>
              <w:snapToGrid w:val="0"/>
              <w:rPr>
                <w:rFonts w:cstheme="minorHAnsi"/>
                <w:sz w:val="15"/>
                <w:szCs w:val="15"/>
                <w:lang w:val="en-GB"/>
              </w:rPr>
            </w:pPr>
            <w:r w:rsidRPr="00852F9F">
              <w:rPr>
                <w:rFonts w:cstheme="minorHAnsi"/>
                <w:sz w:val="15"/>
                <w:szCs w:val="15"/>
                <w:lang w:val="en-GB"/>
              </w:rPr>
              <w:t>2030</w:t>
            </w:r>
          </w:p>
        </w:tc>
      </w:tr>
      <w:tr w:rsidR="00B656F6" w:rsidRPr="00852F9F" w14:paraId="388EC3AF" w14:textId="77777777" w:rsidTr="008F0944">
        <w:trPr>
          <w:trHeight w:val="20"/>
        </w:trPr>
        <w:tc>
          <w:tcPr>
            <w:tcW w:w="341" w:type="pct"/>
            <w:vMerge/>
          </w:tcPr>
          <w:p w14:paraId="37D5C3A8" w14:textId="77777777" w:rsidR="00B656F6" w:rsidRPr="00852F9F" w:rsidRDefault="00B656F6" w:rsidP="008F0944">
            <w:pPr>
              <w:snapToGrid w:val="0"/>
              <w:rPr>
                <w:rFonts w:cstheme="minorHAnsi"/>
                <w:sz w:val="15"/>
                <w:szCs w:val="15"/>
                <w:lang w:val="en-GB"/>
              </w:rPr>
            </w:pPr>
          </w:p>
        </w:tc>
        <w:tc>
          <w:tcPr>
            <w:tcW w:w="215" w:type="pct"/>
            <w:noWrap/>
            <w:hideMark/>
          </w:tcPr>
          <w:p w14:paraId="1EBFD4E2" w14:textId="77777777" w:rsidR="00B656F6" w:rsidRPr="00852F9F" w:rsidRDefault="00B656F6" w:rsidP="008F0944">
            <w:pPr>
              <w:snapToGrid w:val="0"/>
              <w:rPr>
                <w:rFonts w:cstheme="minorHAnsi"/>
                <w:sz w:val="15"/>
                <w:szCs w:val="15"/>
                <w:lang w:val="en-GB"/>
              </w:rPr>
            </w:pPr>
            <w:r w:rsidRPr="00852F9F">
              <w:rPr>
                <w:rFonts w:cstheme="minorHAnsi"/>
                <w:sz w:val="15"/>
                <w:szCs w:val="15"/>
                <w:lang w:val="en-GB"/>
              </w:rPr>
              <w:t>6.2.1a</w:t>
            </w:r>
          </w:p>
        </w:tc>
        <w:tc>
          <w:tcPr>
            <w:tcW w:w="1120" w:type="pct"/>
          </w:tcPr>
          <w:p w14:paraId="40569534" w14:textId="77777777" w:rsidR="00B656F6" w:rsidRPr="00852F9F" w:rsidRDefault="00B656F6" w:rsidP="008F0944">
            <w:pPr>
              <w:snapToGrid w:val="0"/>
              <w:rPr>
                <w:rFonts w:cstheme="minorHAnsi"/>
                <w:sz w:val="15"/>
                <w:szCs w:val="15"/>
                <w:lang w:val="en-GB"/>
              </w:rPr>
            </w:pPr>
            <w:r w:rsidRPr="00852F9F">
              <w:rPr>
                <w:rFonts w:cstheme="minorHAnsi"/>
                <w:sz w:val="15"/>
                <w:szCs w:val="15"/>
                <w:lang w:val="en-GB"/>
              </w:rPr>
              <w:t>Risk-weighted prevalence of populations using unsafe or unimproved sanitation, as measured by the SEV for unsafe sanitation (%)</w:t>
            </w:r>
          </w:p>
        </w:tc>
        <w:tc>
          <w:tcPr>
            <w:tcW w:w="1000" w:type="pct"/>
            <w:hideMark/>
          </w:tcPr>
          <w:p w14:paraId="54A6C115" w14:textId="77777777" w:rsidR="00B656F6" w:rsidRPr="00852F9F" w:rsidRDefault="00B656F6" w:rsidP="008F0944">
            <w:pPr>
              <w:snapToGrid w:val="0"/>
              <w:rPr>
                <w:rFonts w:cstheme="minorHAnsi"/>
                <w:sz w:val="15"/>
                <w:szCs w:val="15"/>
                <w:lang w:val="en-GB"/>
              </w:rPr>
            </w:pPr>
            <w:r w:rsidRPr="00852F9F">
              <w:rPr>
                <w:rFonts w:cstheme="minorHAnsi"/>
                <w:sz w:val="15"/>
                <w:szCs w:val="15"/>
                <w:lang w:val="en-GB"/>
              </w:rPr>
              <w:t>SDG</w:t>
            </w:r>
          </w:p>
        </w:tc>
        <w:tc>
          <w:tcPr>
            <w:tcW w:w="2163" w:type="pct"/>
            <w:hideMark/>
          </w:tcPr>
          <w:p w14:paraId="1C4A30A0" w14:textId="77777777" w:rsidR="00B656F6" w:rsidRPr="00197998" w:rsidRDefault="00B656F6" w:rsidP="008F0944">
            <w:pPr>
              <w:snapToGrid w:val="0"/>
              <w:rPr>
                <w:rFonts w:cstheme="minorHAnsi"/>
                <w:sz w:val="15"/>
                <w:szCs w:val="15"/>
                <w:lang w:val="en-GB"/>
              </w:rPr>
            </w:pPr>
            <w:r w:rsidRPr="00197998">
              <w:rPr>
                <w:rFonts w:cstheme="minorHAnsi"/>
                <w:sz w:val="15"/>
                <w:szCs w:val="15"/>
                <w:lang w:val="en-GB"/>
              </w:rPr>
              <w:t xml:space="preserve">By 2030, achieve access to </w:t>
            </w:r>
            <w:r w:rsidRPr="005A11D8">
              <w:rPr>
                <w:rFonts w:cstheme="minorHAnsi"/>
                <w:bCs/>
                <w:sz w:val="15"/>
                <w:szCs w:val="15"/>
                <w:lang w:val="en-GB"/>
              </w:rPr>
              <w:t>adequate</w:t>
            </w:r>
            <w:r w:rsidRPr="00197998">
              <w:rPr>
                <w:rFonts w:cstheme="minorHAnsi"/>
                <w:sz w:val="15"/>
                <w:szCs w:val="15"/>
                <w:lang w:val="en-GB"/>
              </w:rPr>
              <w:t xml:space="preserve"> and equitable sanitation and hygiene for all and end open defecation, paying special attention to the needs of women and girls and those in vulnerable situations.</w:t>
            </w:r>
          </w:p>
        </w:tc>
        <w:tc>
          <w:tcPr>
            <w:tcW w:w="161" w:type="pct"/>
          </w:tcPr>
          <w:p w14:paraId="6538367A" w14:textId="77777777" w:rsidR="00B656F6" w:rsidRPr="00852F9F" w:rsidRDefault="00B656F6" w:rsidP="008F0944">
            <w:pPr>
              <w:snapToGrid w:val="0"/>
              <w:rPr>
                <w:rFonts w:cstheme="minorHAnsi"/>
                <w:sz w:val="15"/>
                <w:szCs w:val="15"/>
                <w:lang w:val="en-GB"/>
              </w:rPr>
            </w:pPr>
            <w:r w:rsidRPr="00852F9F">
              <w:rPr>
                <w:rFonts w:cstheme="minorHAnsi"/>
                <w:sz w:val="15"/>
                <w:szCs w:val="15"/>
                <w:lang w:val="en-GB"/>
              </w:rPr>
              <w:t>2030</w:t>
            </w:r>
          </w:p>
        </w:tc>
      </w:tr>
      <w:tr w:rsidR="00B656F6" w:rsidRPr="00852F9F" w14:paraId="78535727" w14:textId="77777777" w:rsidTr="008F0944">
        <w:trPr>
          <w:trHeight w:val="20"/>
        </w:trPr>
        <w:tc>
          <w:tcPr>
            <w:tcW w:w="341" w:type="pct"/>
            <w:vMerge/>
          </w:tcPr>
          <w:p w14:paraId="57F5D07D" w14:textId="77777777" w:rsidR="00B656F6" w:rsidRPr="00852F9F" w:rsidRDefault="00B656F6" w:rsidP="008F0944">
            <w:pPr>
              <w:snapToGrid w:val="0"/>
              <w:rPr>
                <w:rFonts w:cstheme="minorHAnsi"/>
                <w:sz w:val="15"/>
                <w:szCs w:val="15"/>
                <w:lang w:val="en-GB"/>
              </w:rPr>
            </w:pPr>
          </w:p>
        </w:tc>
        <w:tc>
          <w:tcPr>
            <w:tcW w:w="215" w:type="pct"/>
            <w:noWrap/>
            <w:hideMark/>
          </w:tcPr>
          <w:p w14:paraId="0C4C22EE" w14:textId="77777777" w:rsidR="00B656F6" w:rsidRPr="00852F9F" w:rsidRDefault="00B656F6" w:rsidP="008F0944">
            <w:pPr>
              <w:snapToGrid w:val="0"/>
              <w:rPr>
                <w:rFonts w:cstheme="minorHAnsi"/>
                <w:sz w:val="15"/>
                <w:szCs w:val="15"/>
                <w:lang w:val="en-GB"/>
              </w:rPr>
            </w:pPr>
            <w:r w:rsidRPr="00852F9F">
              <w:rPr>
                <w:rFonts w:cstheme="minorHAnsi"/>
                <w:sz w:val="15"/>
                <w:szCs w:val="15"/>
                <w:lang w:val="en-GB"/>
              </w:rPr>
              <w:t>6.2.1b</w:t>
            </w:r>
          </w:p>
        </w:tc>
        <w:tc>
          <w:tcPr>
            <w:tcW w:w="1120" w:type="pct"/>
          </w:tcPr>
          <w:p w14:paraId="5FE4BDEE" w14:textId="77777777" w:rsidR="00B656F6" w:rsidRPr="00852F9F" w:rsidRDefault="00B656F6" w:rsidP="008F0944">
            <w:pPr>
              <w:snapToGrid w:val="0"/>
              <w:rPr>
                <w:rFonts w:cstheme="minorHAnsi"/>
                <w:sz w:val="15"/>
                <w:szCs w:val="15"/>
                <w:lang w:val="en-GB"/>
              </w:rPr>
            </w:pPr>
            <w:r w:rsidRPr="00852F9F">
              <w:rPr>
                <w:rFonts w:cstheme="minorHAnsi"/>
                <w:sz w:val="15"/>
                <w:szCs w:val="15"/>
                <w:lang w:val="en-GB"/>
              </w:rPr>
              <w:t>Risk-weighted prevalence of populations without access to a handwashing facility, as measured by the SEV for unsafe hygiene (%)</w:t>
            </w:r>
          </w:p>
        </w:tc>
        <w:tc>
          <w:tcPr>
            <w:tcW w:w="1000" w:type="pct"/>
            <w:hideMark/>
          </w:tcPr>
          <w:p w14:paraId="65573983" w14:textId="77777777" w:rsidR="00B656F6" w:rsidRPr="00852F9F" w:rsidRDefault="00B656F6" w:rsidP="008F0944">
            <w:pPr>
              <w:snapToGrid w:val="0"/>
              <w:rPr>
                <w:rFonts w:cstheme="minorHAnsi"/>
                <w:sz w:val="15"/>
                <w:szCs w:val="15"/>
                <w:lang w:val="en-GB"/>
              </w:rPr>
            </w:pPr>
            <w:r w:rsidRPr="00852F9F">
              <w:rPr>
                <w:rFonts w:cstheme="minorHAnsi"/>
                <w:sz w:val="15"/>
                <w:szCs w:val="15"/>
                <w:lang w:val="en-GB"/>
              </w:rPr>
              <w:t>SDG</w:t>
            </w:r>
          </w:p>
        </w:tc>
        <w:tc>
          <w:tcPr>
            <w:tcW w:w="2163" w:type="pct"/>
            <w:hideMark/>
          </w:tcPr>
          <w:p w14:paraId="5E463F90" w14:textId="77777777" w:rsidR="00B656F6" w:rsidRPr="00197998" w:rsidRDefault="00B656F6" w:rsidP="008F0944">
            <w:pPr>
              <w:snapToGrid w:val="0"/>
              <w:rPr>
                <w:rFonts w:cstheme="minorHAnsi"/>
                <w:sz w:val="15"/>
                <w:szCs w:val="15"/>
                <w:lang w:val="en-GB"/>
              </w:rPr>
            </w:pPr>
            <w:r w:rsidRPr="00197998">
              <w:rPr>
                <w:rFonts w:cstheme="minorHAnsi"/>
                <w:sz w:val="15"/>
                <w:szCs w:val="15"/>
                <w:lang w:val="en-GB"/>
              </w:rPr>
              <w:t xml:space="preserve">By 2030, achieve access to </w:t>
            </w:r>
            <w:r w:rsidRPr="005A11D8">
              <w:rPr>
                <w:rFonts w:cstheme="minorHAnsi"/>
                <w:bCs/>
                <w:sz w:val="15"/>
                <w:szCs w:val="15"/>
                <w:lang w:val="en-GB"/>
              </w:rPr>
              <w:t>adequate</w:t>
            </w:r>
            <w:r w:rsidRPr="00197998">
              <w:rPr>
                <w:rFonts w:cstheme="minorHAnsi"/>
                <w:sz w:val="15"/>
                <w:szCs w:val="15"/>
                <w:lang w:val="en-GB"/>
              </w:rPr>
              <w:t xml:space="preserve"> and equitable sanitation and hygiene for all and end open defecation, paying special attention to the needs of women and girls and those in vulnerable situations.</w:t>
            </w:r>
          </w:p>
        </w:tc>
        <w:tc>
          <w:tcPr>
            <w:tcW w:w="161" w:type="pct"/>
          </w:tcPr>
          <w:p w14:paraId="48016382" w14:textId="77777777" w:rsidR="00B656F6" w:rsidRPr="00852F9F" w:rsidRDefault="00B656F6" w:rsidP="008F0944">
            <w:pPr>
              <w:snapToGrid w:val="0"/>
              <w:rPr>
                <w:rFonts w:cstheme="minorHAnsi"/>
                <w:sz w:val="15"/>
                <w:szCs w:val="15"/>
                <w:lang w:val="en-GB"/>
              </w:rPr>
            </w:pPr>
            <w:r w:rsidRPr="00852F9F">
              <w:rPr>
                <w:rFonts w:cstheme="minorHAnsi"/>
                <w:sz w:val="15"/>
                <w:szCs w:val="15"/>
                <w:lang w:val="en-GB"/>
              </w:rPr>
              <w:t>2030</w:t>
            </w:r>
          </w:p>
        </w:tc>
      </w:tr>
      <w:tr w:rsidR="00B656F6" w:rsidRPr="00852F9F" w14:paraId="249B283C" w14:textId="77777777" w:rsidTr="008F0944">
        <w:trPr>
          <w:trHeight w:val="20"/>
        </w:trPr>
        <w:tc>
          <w:tcPr>
            <w:tcW w:w="341" w:type="pct"/>
            <w:vMerge/>
          </w:tcPr>
          <w:p w14:paraId="304366B5" w14:textId="77777777" w:rsidR="00B656F6" w:rsidRPr="00852F9F" w:rsidRDefault="00B656F6" w:rsidP="008F0944">
            <w:pPr>
              <w:snapToGrid w:val="0"/>
              <w:rPr>
                <w:rFonts w:cstheme="minorHAnsi"/>
                <w:sz w:val="15"/>
                <w:szCs w:val="15"/>
                <w:lang w:val="en-GB"/>
              </w:rPr>
            </w:pPr>
          </w:p>
        </w:tc>
        <w:tc>
          <w:tcPr>
            <w:tcW w:w="215" w:type="pct"/>
            <w:noWrap/>
            <w:hideMark/>
          </w:tcPr>
          <w:p w14:paraId="24C80B31" w14:textId="77777777" w:rsidR="00B656F6" w:rsidRPr="00852F9F" w:rsidRDefault="00B656F6" w:rsidP="008F0944">
            <w:pPr>
              <w:snapToGrid w:val="0"/>
              <w:rPr>
                <w:rFonts w:cstheme="minorHAnsi"/>
                <w:sz w:val="15"/>
                <w:szCs w:val="15"/>
                <w:lang w:val="en-GB"/>
              </w:rPr>
            </w:pPr>
            <w:r w:rsidRPr="00852F9F">
              <w:rPr>
                <w:rFonts w:cstheme="minorHAnsi"/>
                <w:sz w:val="15"/>
                <w:szCs w:val="15"/>
                <w:lang w:val="en-GB"/>
              </w:rPr>
              <w:t>7.1.2</w:t>
            </w:r>
          </w:p>
        </w:tc>
        <w:tc>
          <w:tcPr>
            <w:tcW w:w="1120" w:type="pct"/>
          </w:tcPr>
          <w:p w14:paraId="29621DAF" w14:textId="77777777" w:rsidR="00B656F6" w:rsidRPr="00852F9F" w:rsidRDefault="00B656F6" w:rsidP="008F0944">
            <w:pPr>
              <w:snapToGrid w:val="0"/>
              <w:rPr>
                <w:rFonts w:cstheme="minorHAnsi"/>
                <w:sz w:val="15"/>
                <w:szCs w:val="15"/>
                <w:lang w:val="en-GB"/>
              </w:rPr>
            </w:pPr>
            <w:r w:rsidRPr="00852F9F">
              <w:rPr>
                <w:rFonts w:cstheme="minorHAnsi"/>
                <w:sz w:val="15"/>
                <w:szCs w:val="15"/>
                <w:lang w:val="en-GB"/>
              </w:rPr>
              <w:t>Risk-weighted prevalence of household air pollution, as measured by the SEV for household air pollution (%)</w:t>
            </w:r>
          </w:p>
        </w:tc>
        <w:tc>
          <w:tcPr>
            <w:tcW w:w="1000" w:type="pct"/>
            <w:hideMark/>
          </w:tcPr>
          <w:p w14:paraId="341995F8" w14:textId="77777777" w:rsidR="00B656F6" w:rsidRPr="00852F9F" w:rsidRDefault="00B656F6" w:rsidP="008F0944">
            <w:pPr>
              <w:snapToGrid w:val="0"/>
              <w:rPr>
                <w:rFonts w:cstheme="minorHAnsi"/>
                <w:sz w:val="15"/>
                <w:szCs w:val="15"/>
                <w:lang w:val="en-GB"/>
              </w:rPr>
            </w:pPr>
            <w:r w:rsidRPr="00852F9F">
              <w:rPr>
                <w:rFonts w:cstheme="minorHAnsi"/>
                <w:sz w:val="15"/>
                <w:szCs w:val="15"/>
                <w:lang w:val="en-GB"/>
              </w:rPr>
              <w:t>SDG</w:t>
            </w:r>
          </w:p>
        </w:tc>
        <w:tc>
          <w:tcPr>
            <w:tcW w:w="2163" w:type="pct"/>
            <w:hideMark/>
          </w:tcPr>
          <w:p w14:paraId="549B2B4D" w14:textId="77777777" w:rsidR="00B656F6" w:rsidRPr="00197998" w:rsidRDefault="00B656F6" w:rsidP="008F0944">
            <w:pPr>
              <w:snapToGrid w:val="0"/>
              <w:rPr>
                <w:rFonts w:cstheme="minorHAnsi"/>
                <w:sz w:val="15"/>
                <w:szCs w:val="15"/>
                <w:lang w:val="en-GB"/>
              </w:rPr>
            </w:pPr>
            <w:r w:rsidRPr="00197998">
              <w:rPr>
                <w:rFonts w:cstheme="minorHAnsi"/>
                <w:sz w:val="15"/>
                <w:szCs w:val="15"/>
                <w:lang w:val="en-GB"/>
              </w:rPr>
              <w:t xml:space="preserve">By 2030, ensure </w:t>
            </w:r>
            <w:r w:rsidRPr="005A11D8">
              <w:rPr>
                <w:rFonts w:cstheme="minorHAnsi"/>
                <w:bCs/>
                <w:sz w:val="15"/>
                <w:szCs w:val="15"/>
                <w:lang w:val="en-GB"/>
              </w:rPr>
              <w:t>universal</w:t>
            </w:r>
            <w:r w:rsidRPr="00197998">
              <w:rPr>
                <w:rFonts w:cstheme="minorHAnsi"/>
                <w:sz w:val="15"/>
                <w:szCs w:val="15"/>
                <w:lang w:val="en-GB"/>
              </w:rPr>
              <w:t xml:space="preserve"> access to affordable, reliable</w:t>
            </w:r>
            <w:r>
              <w:rPr>
                <w:rFonts w:cstheme="minorHAnsi"/>
                <w:sz w:val="15"/>
                <w:szCs w:val="15"/>
                <w:lang w:val="en-GB"/>
              </w:rPr>
              <w:t>,</w:t>
            </w:r>
            <w:r w:rsidRPr="00197998">
              <w:rPr>
                <w:rFonts w:cstheme="minorHAnsi"/>
                <w:sz w:val="15"/>
                <w:szCs w:val="15"/>
                <w:lang w:val="en-GB"/>
              </w:rPr>
              <w:t xml:space="preserve"> and modern energy services.</w:t>
            </w:r>
          </w:p>
        </w:tc>
        <w:tc>
          <w:tcPr>
            <w:tcW w:w="161" w:type="pct"/>
          </w:tcPr>
          <w:p w14:paraId="5FD90B80" w14:textId="77777777" w:rsidR="00B656F6" w:rsidRPr="00852F9F" w:rsidRDefault="00B656F6" w:rsidP="008F0944">
            <w:pPr>
              <w:snapToGrid w:val="0"/>
              <w:rPr>
                <w:rFonts w:cstheme="minorHAnsi"/>
                <w:sz w:val="15"/>
                <w:szCs w:val="15"/>
                <w:lang w:val="en-GB"/>
              </w:rPr>
            </w:pPr>
            <w:r w:rsidRPr="00852F9F">
              <w:rPr>
                <w:rFonts w:cstheme="minorHAnsi"/>
                <w:sz w:val="15"/>
                <w:szCs w:val="15"/>
                <w:lang w:val="en-GB"/>
              </w:rPr>
              <w:t>2030</w:t>
            </w:r>
          </w:p>
        </w:tc>
      </w:tr>
      <w:tr w:rsidR="00B656F6" w:rsidRPr="00852F9F" w14:paraId="60DCDD6F" w14:textId="77777777" w:rsidTr="008F0944">
        <w:trPr>
          <w:trHeight w:val="20"/>
        </w:trPr>
        <w:tc>
          <w:tcPr>
            <w:tcW w:w="341" w:type="pct"/>
            <w:vMerge/>
          </w:tcPr>
          <w:p w14:paraId="6F634D80" w14:textId="77777777" w:rsidR="00B656F6" w:rsidRPr="00852F9F" w:rsidRDefault="00B656F6" w:rsidP="008F0944">
            <w:pPr>
              <w:snapToGrid w:val="0"/>
              <w:rPr>
                <w:rFonts w:cstheme="minorHAnsi"/>
                <w:sz w:val="15"/>
                <w:szCs w:val="15"/>
                <w:lang w:val="en-GB"/>
              </w:rPr>
            </w:pPr>
          </w:p>
        </w:tc>
        <w:tc>
          <w:tcPr>
            <w:tcW w:w="215" w:type="pct"/>
            <w:noWrap/>
            <w:hideMark/>
          </w:tcPr>
          <w:p w14:paraId="4FA1212F" w14:textId="77777777" w:rsidR="00B656F6" w:rsidRPr="00852F9F" w:rsidRDefault="00B656F6" w:rsidP="008F0944">
            <w:pPr>
              <w:snapToGrid w:val="0"/>
              <w:rPr>
                <w:rFonts w:cstheme="minorHAnsi"/>
                <w:sz w:val="15"/>
                <w:szCs w:val="15"/>
                <w:lang w:val="en-GB"/>
              </w:rPr>
            </w:pPr>
            <w:r w:rsidRPr="00852F9F">
              <w:rPr>
                <w:rFonts w:cstheme="minorHAnsi"/>
                <w:sz w:val="15"/>
                <w:szCs w:val="15"/>
                <w:lang w:val="en-GB"/>
              </w:rPr>
              <w:t>11.6.2</w:t>
            </w:r>
          </w:p>
        </w:tc>
        <w:tc>
          <w:tcPr>
            <w:tcW w:w="1120" w:type="pct"/>
          </w:tcPr>
          <w:p w14:paraId="7382E150" w14:textId="77777777" w:rsidR="00B656F6" w:rsidRPr="00852F9F" w:rsidRDefault="00B656F6" w:rsidP="008F0944">
            <w:pPr>
              <w:snapToGrid w:val="0"/>
              <w:rPr>
                <w:rFonts w:cstheme="minorHAnsi"/>
                <w:sz w:val="15"/>
                <w:szCs w:val="15"/>
                <w:lang w:val="en-GB"/>
              </w:rPr>
            </w:pPr>
            <w:r w:rsidRPr="00852F9F">
              <w:rPr>
                <w:rFonts w:cstheme="minorHAnsi"/>
                <w:sz w:val="15"/>
                <w:szCs w:val="15"/>
                <w:lang w:val="en-GB"/>
              </w:rPr>
              <w:t xml:space="preserve">Population-weighted mean levels of fine </w:t>
            </w:r>
            <w:r>
              <w:rPr>
                <w:rFonts w:cstheme="minorHAnsi"/>
                <w:sz w:val="15"/>
                <w:szCs w:val="15"/>
                <w:lang w:val="en-GB"/>
              </w:rPr>
              <w:t>PM</w:t>
            </w:r>
            <w:r w:rsidRPr="00852F9F">
              <w:rPr>
                <w:rFonts w:cstheme="minorHAnsi"/>
                <w:sz w:val="15"/>
                <w:szCs w:val="15"/>
                <w:lang w:val="en-GB"/>
              </w:rPr>
              <w:t xml:space="preserve"> smaller than 2.5 </w:t>
            </w:r>
            <w:r>
              <w:rPr>
                <w:rFonts w:cstheme="minorHAnsi"/>
                <w:sz w:val="15"/>
                <w:szCs w:val="15"/>
                <w:lang w:val="en-GB"/>
              </w:rPr>
              <w:t xml:space="preserve">µm </w:t>
            </w:r>
            <w:r w:rsidRPr="00852F9F">
              <w:rPr>
                <w:rFonts w:cstheme="minorHAnsi"/>
                <w:sz w:val="15"/>
                <w:szCs w:val="15"/>
                <w:lang w:val="en-GB"/>
              </w:rPr>
              <w:t>in diameter (PM2.5)</w:t>
            </w:r>
          </w:p>
        </w:tc>
        <w:tc>
          <w:tcPr>
            <w:tcW w:w="1000" w:type="pct"/>
            <w:hideMark/>
          </w:tcPr>
          <w:p w14:paraId="7F0AA0B6" w14:textId="77777777" w:rsidR="00B656F6" w:rsidRPr="00852F9F" w:rsidRDefault="00B656F6" w:rsidP="008F0944">
            <w:pPr>
              <w:snapToGrid w:val="0"/>
              <w:rPr>
                <w:rFonts w:cstheme="minorHAnsi"/>
                <w:sz w:val="15"/>
                <w:szCs w:val="15"/>
                <w:lang w:val="en-GB"/>
              </w:rPr>
            </w:pPr>
            <w:r w:rsidRPr="00852F9F">
              <w:rPr>
                <w:rFonts w:cstheme="minorHAnsi"/>
                <w:sz w:val="15"/>
                <w:szCs w:val="15"/>
                <w:lang w:val="en-GB"/>
              </w:rPr>
              <w:t xml:space="preserve">WHO </w:t>
            </w:r>
            <w:r>
              <w:rPr>
                <w:rFonts w:cstheme="minorHAnsi"/>
                <w:sz w:val="15"/>
                <w:szCs w:val="15"/>
                <w:lang w:val="en-GB"/>
              </w:rPr>
              <w:t>a</w:t>
            </w:r>
            <w:r w:rsidRPr="00852F9F">
              <w:rPr>
                <w:rFonts w:cstheme="minorHAnsi"/>
                <w:sz w:val="15"/>
                <w:szCs w:val="15"/>
                <w:lang w:val="en-GB"/>
              </w:rPr>
              <w:t xml:space="preserve">ir quality guidelines for </w:t>
            </w:r>
            <w:r>
              <w:rPr>
                <w:rFonts w:cstheme="minorHAnsi"/>
                <w:sz w:val="15"/>
                <w:szCs w:val="15"/>
                <w:lang w:val="en-GB"/>
              </w:rPr>
              <w:t>PM</w:t>
            </w:r>
            <w:r w:rsidRPr="00852F9F">
              <w:rPr>
                <w:rFonts w:cstheme="minorHAnsi"/>
                <w:sz w:val="15"/>
                <w:szCs w:val="15"/>
                <w:lang w:val="en-GB"/>
              </w:rPr>
              <w:t>, ozone, nitrogen dioxide</w:t>
            </w:r>
            <w:r>
              <w:rPr>
                <w:rFonts w:cstheme="minorHAnsi"/>
                <w:sz w:val="15"/>
                <w:szCs w:val="15"/>
                <w:lang w:val="en-GB"/>
              </w:rPr>
              <w:t>,</w:t>
            </w:r>
            <w:r w:rsidRPr="00852F9F">
              <w:rPr>
                <w:rFonts w:cstheme="minorHAnsi"/>
                <w:sz w:val="15"/>
                <w:szCs w:val="15"/>
                <w:lang w:val="en-GB"/>
              </w:rPr>
              <w:t xml:space="preserve"> and </w:t>
            </w:r>
            <w:r>
              <w:rPr>
                <w:rFonts w:cstheme="minorHAnsi"/>
                <w:sz w:val="15"/>
                <w:szCs w:val="15"/>
                <w:lang w:val="en-GB"/>
              </w:rPr>
              <w:t>s</w:t>
            </w:r>
            <w:r w:rsidRPr="00852F9F">
              <w:rPr>
                <w:rFonts w:cstheme="minorHAnsi"/>
                <w:sz w:val="15"/>
                <w:szCs w:val="15"/>
                <w:lang w:val="en-GB"/>
              </w:rPr>
              <w:t>ulphur dioxide: global update 2005: summary of risk assessment</w:t>
            </w:r>
          </w:p>
        </w:tc>
        <w:tc>
          <w:tcPr>
            <w:tcW w:w="2163" w:type="pct"/>
            <w:hideMark/>
          </w:tcPr>
          <w:p w14:paraId="55C460A0" w14:textId="77777777" w:rsidR="00B656F6" w:rsidRPr="00197998" w:rsidRDefault="00B656F6" w:rsidP="008F0944">
            <w:pPr>
              <w:snapToGrid w:val="0"/>
              <w:rPr>
                <w:rFonts w:cstheme="minorHAnsi"/>
                <w:sz w:val="15"/>
                <w:szCs w:val="15"/>
                <w:lang w:val="en-GB"/>
              </w:rPr>
            </w:pPr>
            <w:r w:rsidRPr="00197998">
              <w:rPr>
                <w:rFonts w:cstheme="minorHAnsi"/>
                <w:sz w:val="15"/>
                <w:szCs w:val="15"/>
                <w:lang w:val="en-GB"/>
              </w:rPr>
              <w:t xml:space="preserve">An annual average concentration of 10 µg/m3 was chosen as the long-term guideline value for PM2.5. </w:t>
            </w:r>
          </w:p>
        </w:tc>
        <w:tc>
          <w:tcPr>
            <w:tcW w:w="161" w:type="pct"/>
          </w:tcPr>
          <w:p w14:paraId="69BBB35D" w14:textId="77777777" w:rsidR="00B656F6" w:rsidRPr="00852F9F" w:rsidRDefault="00B656F6" w:rsidP="008F0944">
            <w:pPr>
              <w:snapToGrid w:val="0"/>
              <w:rPr>
                <w:rFonts w:cstheme="minorHAnsi"/>
                <w:sz w:val="15"/>
                <w:szCs w:val="15"/>
                <w:lang w:val="en-GB"/>
              </w:rPr>
            </w:pPr>
            <w:r w:rsidRPr="00852F9F">
              <w:rPr>
                <w:rFonts w:cstheme="minorHAnsi"/>
                <w:sz w:val="15"/>
                <w:szCs w:val="15"/>
                <w:lang w:val="en-GB"/>
              </w:rPr>
              <w:t>2030</w:t>
            </w:r>
          </w:p>
        </w:tc>
      </w:tr>
      <w:tr w:rsidR="00B656F6" w:rsidRPr="00852F9F" w14:paraId="03E72C63" w14:textId="77777777" w:rsidTr="008F0944">
        <w:trPr>
          <w:trHeight w:val="20"/>
        </w:trPr>
        <w:tc>
          <w:tcPr>
            <w:tcW w:w="341" w:type="pct"/>
          </w:tcPr>
          <w:p w14:paraId="1427E5AF" w14:textId="77777777" w:rsidR="00B656F6" w:rsidRPr="00852F9F" w:rsidRDefault="00B656F6" w:rsidP="008F0944">
            <w:pPr>
              <w:snapToGrid w:val="0"/>
              <w:rPr>
                <w:rFonts w:cstheme="minorHAnsi"/>
                <w:sz w:val="15"/>
                <w:szCs w:val="15"/>
                <w:lang w:val="en-GB"/>
              </w:rPr>
            </w:pPr>
            <w:r w:rsidRPr="00852F9F">
              <w:rPr>
                <w:rFonts w:cstheme="minorHAnsi"/>
                <w:sz w:val="15"/>
                <w:szCs w:val="15"/>
                <w:lang w:val="en-GB"/>
              </w:rPr>
              <w:t>UHC</w:t>
            </w:r>
          </w:p>
        </w:tc>
        <w:tc>
          <w:tcPr>
            <w:tcW w:w="215" w:type="pct"/>
            <w:noWrap/>
          </w:tcPr>
          <w:p w14:paraId="59A335CD" w14:textId="77777777" w:rsidR="00B656F6" w:rsidRPr="00852F9F" w:rsidRDefault="00B656F6" w:rsidP="008F0944">
            <w:pPr>
              <w:snapToGrid w:val="0"/>
              <w:rPr>
                <w:rFonts w:cstheme="minorHAnsi"/>
                <w:sz w:val="15"/>
                <w:szCs w:val="15"/>
                <w:lang w:val="en-GB"/>
              </w:rPr>
            </w:pPr>
            <w:r w:rsidRPr="00852F9F">
              <w:rPr>
                <w:rFonts w:cstheme="minorHAnsi"/>
                <w:sz w:val="15"/>
                <w:szCs w:val="15"/>
                <w:lang w:val="en-GB"/>
              </w:rPr>
              <w:t>3.8.1</w:t>
            </w:r>
          </w:p>
        </w:tc>
        <w:tc>
          <w:tcPr>
            <w:tcW w:w="1120" w:type="pct"/>
          </w:tcPr>
          <w:p w14:paraId="6553E165" w14:textId="77777777" w:rsidR="00B656F6" w:rsidRPr="00852F9F" w:rsidRDefault="00B656F6" w:rsidP="008F0944">
            <w:pPr>
              <w:snapToGrid w:val="0"/>
              <w:rPr>
                <w:rFonts w:cstheme="minorHAnsi"/>
                <w:sz w:val="15"/>
                <w:szCs w:val="15"/>
                <w:lang w:val="en-GB"/>
              </w:rPr>
            </w:pPr>
            <w:r w:rsidRPr="00852F9F">
              <w:rPr>
                <w:rFonts w:cstheme="minorHAnsi"/>
                <w:sz w:val="15"/>
                <w:szCs w:val="15"/>
                <w:lang w:val="en-GB"/>
              </w:rPr>
              <w:t xml:space="preserve">Coverage of essential health services, as defined by the UHC index </w:t>
            </w:r>
            <w:r>
              <w:rPr>
                <w:rFonts w:cstheme="minorHAnsi"/>
                <w:sz w:val="15"/>
                <w:szCs w:val="15"/>
                <w:lang w:val="en-GB"/>
              </w:rPr>
              <w:t>comprising</w:t>
            </w:r>
            <w:r w:rsidRPr="00852F9F">
              <w:rPr>
                <w:rFonts w:cstheme="minorHAnsi"/>
                <w:sz w:val="15"/>
                <w:szCs w:val="15"/>
                <w:lang w:val="en-GB"/>
              </w:rPr>
              <w:t xml:space="preserve"> the coverage of </w:t>
            </w:r>
            <w:r>
              <w:rPr>
                <w:rFonts w:cstheme="minorHAnsi"/>
                <w:sz w:val="15"/>
                <w:szCs w:val="15"/>
                <w:lang w:val="en-GB"/>
              </w:rPr>
              <w:t>nine</w:t>
            </w:r>
            <w:r w:rsidRPr="00852F9F">
              <w:rPr>
                <w:rFonts w:cstheme="minorHAnsi"/>
                <w:sz w:val="15"/>
                <w:szCs w:val="15"/>
                <w:lang w:val="en-GB"/>
              </w:rPr>
              <w:t xml:space="preserve"> tracer interventions and risk-standardi</w:t>
            </w:r>
            <w:r>
              <w:rPr>
                <w:rFonts w:cstheme="minorHAnsi"/>
                <w:sz w:val="15"/>
                <w:szCs w:val="15"/>
                <w:lang w:val="en-GB"/>
              </w:rPr>
              <w:t>z</w:t>
            </w:r>
            <w:r w:rsidRPr="00852F9F">
              <w:rPr>
                <w:rFonts w:cstheme="minorHAnsi"/>
                <w:sz w:val="15"/>
                <w:szCs w:val="15"/>
                <w:lang w:val="en-GB"/>
              </w:rPr>
              <w:t>ed death rates from 32 causes amenable to personal healthcare (scale of 0 to 100)</w:t>
            </w:r>
          </w:p>
        </w:tc>
        <w:tc>
          <w:tcPr>
            <w:tcW w:w="1000" w:type="pct"/>
          </w:tcPr>
          <w:p w14:paraId="5DFADD6B" w14:textId="77777777" w:rsidR="00B656F6" w:rsidRPr="00852F9F" w:rsidRDefault="00B656F6" w:rsidP="008F0944">
            <w:pPr>
              <w:snapToGrid w:val="0"/>
              <w:rPr>
                <w:rFonts w:cstheme="minorHAnsi"/>
                <w:sz w:val="15"/>
                <w:szCs w:val="15"/>
                <w:lang w:val="en-GB"/>
              </w:rPr>
            </w:pPr>
            <w:r w:rsidRPr="00852F9F">
              <w:rPr>
                <w:rFonts w:cstheme="minorHAnsi"/>
                <w:sz w:val="15"/>
                <w:szCs w:val="15"/>
                <w:lang w:val="en-GB"/>
              </w:rPr>
              <w:t>SDG</w:t>
            </w:r>
          </w:p>
        </w:tc>
        <w:tc>
          <w:tcPr>
            <w:tcW w:w="2163" w:type="pct"/>
          </w:tcPr>
          <w:p w14:paraId="7C0D4A21" w14:textId="77777777" w:rsidR="00B656F6" w:rsidRPr="00197998" w:rsidRDefault="00B656F6" w:rsidP="008F0944">
            <w:pPr>
              <w:snapToGrid w:val="0"/>
              <w:rPr>
                <w:rFonts w:cstheme="minorHAnsi"/>
                <w:sz w:val="15"/>
                <w:szCs w:val="15"/>
                <w:lang w:val="en-GB"/>
              </w:rPr>
            </w:pPr>
            <w:r w:rsidRPr="00197998">
              <w:rPr>
                <w:rFonts w:cstheme="minorHAnsi"/>
                <w:sz w:val="15"/>
                <w:szCs w:val="15"/>
                <w:lang w:val="en-GB"/>
              </w:rPr>
              <w:t xml:space="preserve">Achieve </w:t>
            </w:r>
            <w:r>
              <w:rPr>
                <w:rFonts w:cstheme="minorHAnsi"/>
                <w:bCs/>
                <w:sz w:val="15"/>
                <w:szCs w:val="15"/>
                <w:lang w:val="en-GB"/>
              </w:rPr>
              <w:t>UHC</w:t>
            </w:r>
            <w:r w:rsidRPr="00197998">
              <w:rPr>
                <w:rFonts w:cstheme="minorHAnsi"/>
                <w:sz w:val="15"/>
                <w:szCs w:val="15"/>
                <w:lang w:val="en-GB"/>
              </w:rPr>
              <w:t>, including financial risk protection</w:t>
            </w:r>
            <w:r>
              <w:rPr>
                <w:rFonts w:cstheme="minorHAnsi"/>
                <w:sz w:val="15"/>
                <w:szCs w:val="15"/>
                <w:lang w:val="en-GB"/>
              </w:rPr>
              <w:t>;</w:t>
            </w:r>
            <w:r w:rsidRPr="00197998">
              <w:rPr>
                <w:rFonts w:cstheme="minorHAnsi"/>
                <w:sz w:val="15"/>
                <w:szCs w:val="15"/>
                <w:lang w:val="en-GB"/>
              </w:rPr>
              <w:t xml:space="preserve"> access to quality essential healthcare services</w:t>
            </w:r>
            <w:r>
              <w:rPr>
                <w:rFonts w:cstheme="minorHAnsi"/>
                <w:sz w:val="15"/>
                <w:szCs w:val="15"/>
                <w:lang w:val="en-GB"/>
              </w:rPr>
              <w:t>;</w:t>
            </w:r>
            <w:r w:rsidRPr="00197998">
              <w:rPr>
                <w:rFonts w:cstheme="minorHAnsi"/>
                <w:sz w:val="15"/>
                <w:szCs w:val="15"/>
                <w:lang w:val="en-GB"/>
              </w:rPr>
              <w:t xml:space="preserve"> and access to safe, effective, quality</w:t>
            </w:r>
            <w:r>
              <w:rPr>
                <w:rFonts w:cstheme="minorHAnsi"/>
                <w:sz w:val="15"/>
                <w:szCs w:val="15"/>
                <w:lang w:val="en-GB"/>
              </w:rPr>
              <w:t>,</w:t>
            </w:r>
            <w:r w:rsidRPr="00197998">
              <w:rPr>
                <w:rFonts w:cstheme="minorHAnsi"/>
                <w:sz w:val="15"/>
                <w:szCs w:val="15"/>
                <w:lang w:val="en-GB"/>
              </w:rPr>
              <w:t xml:space="preserve"> and affordable essential medicines and vaccines for all.</w:t>
            </w:r>
          </w:p>
        </w:tc>
        <w:tc>
          <w:tcPr>
            <w:tcW w:w="161" w:type="pct"/>
          </w:tcPr>
          <w:p w14:paraId="24E1C249" w14:textId="77777777" w:rsidR="00B656F6" w:rsidRPr="00852F9F" w:rsidRDefault="00B656F6" w:rsidP="008F0944">
            <w:pPr>
              <w:snapToGrid w:val="0"/>
              <w:rPr>
                <w:rFonts w:cstheme="minorHAnsi"/>
                <w:sz w:val="15"/>
                <w:szCs w:val="15"/>
                <w:lang w:val="en-GB"/>
              </w:rPr>
            </w:pPr>
            <w:r w:rsidRPr="00852F9F">
              <w:rPr>
                <w:rFonts w:cstheme="minorHAnsi"/>
                <w:sz w:val="15"/>
                <w:szCs w:val="15"/>
                <w:lang w:val="en-GB"/>
              </w:rPr>
              <w:t>2030</w:t>
            </w:r>
          </w:p>
        </w:tc>
      </w:tr>
    </w:tbl>
    <w:p w14:paraId="569E787A" w14:textId="77777777" w:rsidR="00B656F6" w:rsidRDefault="00B656F6" w:rsidP="00B656F6">
      <w:pPr>
        <w:rPr>
          <w:rFonts w:ascii="Calibri" w:hAnsi="Calibri" w:cs="Calibri"/>
        </w:rPr>
        <w:sectPr w:rsidR="00B656F6" w:rsidSect="00EB4864">
          <w:pgSz w:w="16838" w:h="11906" w:orient="landscape" w:code="9"/>
          <w:pgMar w:top="1440" w:right="1440" w:bottom="1440" w:left="1440" w:header="720" w:footer="720" w:gutter="0"/>
          <w:lnNumType w:countBy="1" w:restart="continuous"/>
          <w:cols w:space="720"/>
          <w:docGrid w:linePitch="360"/>
        </w:sectPr>
      </w:pPr>
      <w:r w:rsidRPr="00B656F6">
        <w:rPr>
          <w:rFonts w:ascii="Calibri" w:hAnsi="Calibri" w:cs="Calibri"/>
        </w:rPr>
        <w:lastRenderedPageBreak/>
        <w:t>Abbreviations: MCHRH, maternal and child health and reproductive health; NCD, noncommunicable disease; NTD, neglected tropical disease; SDG, Sustainable Development Goal; SEV, summary exposure value; PM, particulate matter; TB, tuberculosis; UHC, universal health coverage; WaSH, water, sanitation, and hygiene; TRIPS,  trade-related aspects of intellectual property rights</w:t>
      </w:r>
    </w:p>
    <w:p w14:paraId="1880C819" w14:textId="77777777" w:rsidR="00B656F6" w:rsidRPr="00755F09" w:rsidRDefault="00B656F6" w:rsidP="00B656F6">
      <w:pPr>
        <w:rPr>
          <w:rFonts w:ascii="Calibri" w:hAnsi="Calibri" w:cs="Calibri"/>
        </w:rPr>
      </w:pPr>
      <w:r w:rsidRPr="00755F09">
        <w:rPr>
          <w:rFonts w:ascii="Calibri" w:hAnsi="Calibri" w:cs="Calibri"/>
        </w:rPr>
        <w:lastRenderedPageBreak/>
        <w:t>To compare performance of these indicators and to combine the indicators in each thematic topic, we transformed the absolute values of the 28 indicators to an index ranging from 0 to 100. Among values estimated for the year 1990</w:t>
      </w:r>
      <w:r>
        <w:rPr>
          <w:rFonts w:ascii="Calibri" w:hAnsi="Calibri" w:cs="Calibri"/>
        </w:rPr>
        <w:t>–</w:t>
      </w:r>
      <w:r w:rsidRPr="00755F09">
        <w:rPr>
          <w:rFonts w:ascii="Calibri" w:hAnsi="Calibri" w:cs="Calibri"/>
        </w:rPr>
        <w:t>2015 of each indicator in China, the worst value was set as 0 after we teased out the outliers (outliers were defined as values standing outside of 1</w:t>
      </w:r>
      <w:r>
        <w:rPr>
          <w:rFonts w:ascii="Calibri" w:hAnsi="Calibri" w:cs="Calibri"/>
        </w:rPr>
        <w:t>.</w:t>
      </w:r>
      <w:r w:rsidRPr="00755F09">
        <w:rPr>
          <w:rFonts w:ascii="Calibri" w:hAnsi="Calibri" w:cs="Calibri"/>
        </w:rPr>
        <w:t>5 times the interquartile range). The scaling of attainment index for the indicators of incidence and mortality rates were performed in log space. The values of the SDG 2030 targets (some of which have a target year of 2020 or 2025 according to WHO guidelines; see Table 1) were set as 100. Details about how they were set for goals without quantitative targets can be found in</w:t>
      </w:r>
      <w:r>
        <w:rPr>
          <w:rFonts w:ascii="Calibri" w:hAnsi="Calibri" w:cs="Calibri"/>
        </w:rPr>
        <w:t xml:space="preserve"> S1 A</w:t>
      </w:r>
      <w:r w:rsidRPr="00755F09">
        <w:rPr>
          <w:rFonts w:ascii="Calibri" w:hAnsi="Calibri" w:cs="Calibri"/>
        </w:rPr>
        <w:t>ppendix.</w:t>
      </w:r>
    </w:p>
    <w:p w14:paraId="1F893084" w14:textId="77777777" w:rsidR="00B656F6" w:rsidRPr="00755F09" w:rsidRDefault="00B656F6" w:rsidP="00B656F6">
      <w:pPr>
        <w:rPr>
          <w:rFonts w:ascii="Calibri" w:hAnsi="Calibri" w:cs="Calibri"/>
          <w:vertAlign w:val="superscript"/>
        </w:rPr>
      </w:pPr>
      <w:r w:rsidRPr="00755F09">
        <w:rPr>
          <w:rFonts w:ascii="Calibri" w:hAnsi="Calibri" w:cs="Calibri"/>
        </w:rPr>
        <w:t>The index of each thematic topic was obtained through calculating the geometric mean of the index of each indicator under the same topic. We adjusted the score to 1 if it is less than 1 to calculate a valid geometric mean. We followed the previous studies and adopted the preference-weighted approach to assign equal weight to the indicators in accordance to the preferences of UN member states stated in the 2030 Agenda for Sustainable Development</w:t>
      </w:r>
      <w:r>
        <w:rPr>
          <w:rFonts w:ascii="Calibri" w:hAnsi="Calibri" w:cs="Calibri"/>
        </w:rPr>
        <w:t xml:space="preserve"> [</w:t>
      </w:r>
      <w:r w:rsidRPr="00755F09">
        <w:rPr>
          <w:rFonts w:ascii="Calibri" w:hAnsi="Calibri" w:cs="Calibri"/>
        </w:rPr>
        <w:fldChar w:fldCharType="begin"/>
      </w:r>
      <w:r w:rsidRPr="00755F09">
        <w:rPr>
          <w:rFonts w:ascii="Calibri" w:hAnsi="Calibri" w:cs="Calibri"/>
        </w:rPr>
        <w:instrText xml:space="preserve"> REF _Ref533029901 \r  \* MERGEFORMAT </w:instrText>
      </w:r>
      <w:r w:rsidRPr="00755F09">
        <w:rPr>
          <w:rFonts w:ascii="Calibri" w:hAnsi="Calibri" w:cs="Calibri"/>
        </w:rPr>
        <w:fldChar w:fldCharType="separate"/>
      </w:r>
      <w:r>
        <w:rPr>
          <w:rFonts w:ascii="Calibri" w:hAnsi="Calibri" w:cs="Calibri"/>
        </w:rPr>
        <w:t>10</w:t>
      </w:r>
      <w:r w:rsidRPr="00755F09">
        <w:rPr>
          <w:rFonts w:ascii="Calibri" w:hAnsi="Calibri" w:cs="Calibri"/>
        </w:rPr>
        <w:fldChar w:fldCharType="end"/>
      </w:r>
      <w:r w:rsidRPr="00755F09">
        <w:rPr>
          <w:rFonts w:ascii="Calibri" w:hAnsi="Calibri" w:cs="Calibri"/>
        </w:rPr>
        <w:t>,</w:t>
      </w:r>
      <w:r w:rsidRPr="00755F09">
        <w:rPr>
          <w:rFonts w:ascii="Calibri" w:hAnsi="Calibri" w:cs="Calibri"/>
        </w:rPr>
        <w:fldChar w:fldCharType="begin"/>
      </w:r>
      <w:r w:rsidRPr="00755F09">
        <w:rPr>
          <w:rFonts w:ascii="Calibri" w:hAnsi="Calibri" w:cs="Calibri"/>
        </w:rPr>
        <w:instrText xml:space="preserve"> REF _Ref522900281 \r  \* MERGEFORMAT </w:instrText>
      </w:r>
      <w:r w:rsidRPr="00755F09">
        <w:rPr>
          <w:rFonts w:ascii="Calibri" w:hAnsi="Calibri" w:cs="Calibri"/>
        </w:rPr>
        <w:fldChar w:fldCharType="separate"/>
      </w:r>
      <w:r>
        <w:rPr>
          <w:rFonts w:ascii="Calibri" w:hAnsi="Calibri" w:cs="Calibri"/>
        </w:rPr>
        <w:t>23</w:t>
      </w:r>
      <w:r w:rsidRPr="00755F09">
        <w:rPr>
          <w:rFonts w:ascii="Calibri" w:hAnsi="Calibri" w:cs="Calibri"/>
        </w:rPr>
        <w:fldChar w:fldCharType="end"/>
      </w:r>
      <w:r w:rsidRPr="00755F09">
        <w:rPr>
          <w:rFonts w:ascii="Calibri" w:hAnsi="Calibri" w:cs="Calibri"/>
        </w:rPr>
        <w:t>,</w:t>
      </w:r>
      <w:r w:rsidRPr="00755F09">
        <w:rPr>
          <w:rFonts w:ascii="Calibri" w:hAnsi="Calibri" w:cs="Calibri"/>
        </w:rPr>
        <w:fldChar w:fldCharType="begin"/>
      </w:r>
      <w:r w:rsidRPr="00755F09">
        <w:rPr>
          <w:rFonts w:ascii="Calibri" w:hAnsi="Calibri" w:cs="Calibri"/>
        </w:rPr>
        <w:instrText xml:space="preserve"> REF _Ref533348862 \r \h  \* MERGEFORMAT </w:instrText>
      </w:r>
      <w:r w:rsidRPr="00755F09">
        <w:rPr>
          <w:rFonts w:ascii="Calibri" w:hAnsi="Calibri" w:cs="Calibri"/>
        </w:rPr>
      </w:r>
      <w:r w:rsidRPr="00755F09">
        <w:rPr>
          <w:rFonts w:ascii="Calibri" w:hAnsi="Calibri" w:cs="Calibri"/>
        </w:rPr>
        <w:fldChar w:fldCharType="separate"/>
      </w:r>
      <w:r>
        <w:rPr>
          <w:rFonts w:ascii="Calibri" w:hAnsi="Calibri" w:cs="Calibri"/>
        </w:rPr>
        <w:t>24</w:t>
      </w:r>
      <w:r w:rsidRPr="00755F09">
        <w:rPr>
          <w:rFonts w:ascii="Calibri" w:hAnsi="Calibri" w:cs="Calibri"/>
        </w:rPr>
        <w:fldChar w:fldCharType="end"/>
      </w:r>
      <w:r w:rsidRPr="00755F09">
        <w:rPr>
          <w:rFonts w:ascii="Calibri" w:hAnsi="Calibri" w:cs="Calibri"/>
        </w:rPr>
        <w:t>,</w:t>
      </w:r>
      <w:r w:rsidRPr="00755F09">
        <w:rPr>
          <w:rFonts w:ascii="Calibri" w:hAnsi="Calibri" w:cs="Calibri"/>
        </w:rPr>
        <w:fldChar w:fldCharType="begin"/>
      </w:r>
      <w:r w:rsidRPr="00755F09">
        <w:rPr>
          <w:rFonts w:ascii="Calibri" w:hAnsi="Calibri" w:cs="Calibri"/>
        </w:rPr>
        <w:instrText xml:space="preserve"> REF _Ref18919817 \r  \* MERGEFORMAT </w:instrText>
      </w:r>
      <w:r w:rsidRPr="00755F09">
        <w:rPr>
          <w:rFonts w:ascii="Calibri" w:hAnsi="Calibri" w:cs="Calibri"/>
        </w:rPr>
        <w:fldChar w:fldCharType="separate"/>
      </w:r>
      <w:r>
        <w:rPr>
          <w:rFonts w:ascii="Calibri" w:hAnsi="Calibri" w:cs="Calibri"/>
        </w:rPr>
        <w:t>25</w:t>
      </w:r>
      <w:r w:rsidRPr="00755F09">
        <w:rPr>
          <w:rFonts w:ascii="Calibri" w:hAnsi="Calibri" w:cs="Calibri"/>
        </w:rPr>
        <w:fldChar w:fldCharType="end"/>
      </w:r>
      <w:r w:rsidRPr="00755F09">
        <w:rPr>
          <w:rFonts w:ascii="Calibri" w:hAnsi="Calibri" w:cs="Calibri"/>
        </w:rPr>
        <w:t>].</w:t>
      </w:r>
    </w:p>
    <w:p w14:paraId="6D16EBBA" w14:textId="77777777" w:rsidR="00B656F6" w:rsidRPr="00566686" w:rsidRDefault="00B656F6" w:rsidP="00B656F6">
      <w:pPr>
        <w:outlineLvl w:val="0"/>
        <w:rPr>
          <w:rFonts w:ascii="Calibri" w:hAnsi="Calibri" w:cs="Calibri"/>
          <w:b/>
          <w:bCs/>
          <w:iCs/>
        </w:rPr>
      </w:pPr>
      <w:r w:rsidRPr="00566686">
        <w:rPr>
          <w:rFonts w:ascii="Calibri" w:hAnsi="Calibri" w:cs="Calibri"/>
          <w:b/>
          <w:bCs/>
          <w:iCs/>
        </w:rPr>
        <w:t>SDG indicators projections</w:t>
      </w:r>
    </w:p>
    <w:p w14:paraId="235E2C1E" w14:textId="77777777" w:rsidR="00B656F6" w:rsidRPr="00755F09" w:rsidRDefault="00B656F6" w:rsidP="00B656F6">
      <w:pPr>
        <w:rPr>
          <w:rFonts w:ascii="Calibri" w:hAnsi="Calibri" w:cs="Calibri"/>
          <w:b/>
          <w:color w:val="FF0000"/>
        </w:rPr>
      </w:pPr>
      <w:r w:rsidRPr="00755F09">
        <w:rPr>
          <w:rFonts w:ascii="Calibri" w:hAnsi="Calibri" w:cs="Calibri"/>
        </w:rPr>
        <w:t>We projected the sex-specific absolute values for indicators whe</w:t>
      </w:r>
      <w:r>
        <w:rPr>
          <w:rFonts w:ascii="Calibri" w:hAnsi="Calibri" w:cs="Calibri"/>
        </w:rPr>
        <w:t>n</w:t>
      </w:r>
      <w:r w:rsidRPr="00755F09">
        <w:rPr>
          <w:rFonts w:ascii="Calibri" w:hAnsi="Calibri" w:cs="Calibri"/>
        </w:rPr>
        <w:t>ever necessary. After comparing project results from five projection methods for accuracy and reliability, we adopted the modified projection model derived from the GBD 2016 SDG study</w:t>
      </w:r>
      <w:r>
        <w:rPr>
          <w:rFonts w:ascii="Calibri" w:hAnsi="Calibri" w:cs="Calibri"/>
        </w:rPr>
        <w:t xml:space="preserve"> [</w:t>
      </w:r>
      <w:r w:rsidRPr="00755F09">
        <w:rPr>
          <w:rFonts w:ascii="Calibri" w:hAnsi="Calibri" w:cs="Calibri"/>
        </w:rPr>
        <w:fldChar w:fldCharType="begin"/>
      </w:r>
      <w:r w:rsidRPr="00755F09">
        <w:rPr>
          <w:rFonts w:ascii="Calibri" w:hAnsi="Calibri" w:cs="Calibri"/>
        </w:rPr>
        <w:instrText xml:space="preserve"> REF _Ref522900281 \r  \* MERGEFORMAT </w:instrText>
      </w:r>
      <w:r w:rsidRPr="00755F09">
        <w:rPr>
          <w:rFonts w:ascii="Calibri" w:hAnsi="Calibri" w:cs="Calibri"/>
        </w:rPr>
        <w:fldChar w:fldCharType="separate"/>
      </w:r>
      <w:r>
        <w:rPr>
          <w:rFonts w:ascii="Calibri" w:hAnsi="Calibri" w:cs="Calibri"/>
        </w:rPr>
        <w:t>23</w:t>
      </w:r>
      <w:r w:rsidRPr="00755F09">
        <w:rPr>
          <w:rFonts w:ascii="Calibri" w:hAnsi="Calibri" w:cs="Calibri"/>
        </w:rPr>
        <w:fldChar w:fldCharType="end"/>
      </w:r>
      <w:r w:rsidRPr="00755F09">
        <w:rPr>
          <w:rFonts w:ascii="Calibri" w:hAnsi="Calibri" w:cs="Calibri"/>
        </w:rPr>
        <w:t>]</w:t>
      </w:r>
      <w:r w:rsidRPr="008F0944">
        <w:rPr>
          <w:rFonts w:ascii="Calibri" w:hAnsi="Calibri" w:cs="Calibri"/>
        </w:rPr>
        <w:t>.</w:t>
      </w:r>
    </w:p>
    <w:p w14:paraId="6ECF43F3" w14:textId="77777777" w:rsidR="00B656F6" w:rsidRPr="00755F09" w:rsidRDefault="00B656F6" w:rsidP="00B656F6">
      <w:pPr>
        <w:rPr>
          <w:rFonts w:ascii="Calibri" w:hAnsi="Calibri" w:cs="Calibri"/>
        </w:rPr>
      </w:pPr>
      <w:r w:rsidRPr="00755F09">
        <w:rPr>
          <w:rFonts w:ascii="Calibri" w:hAnsi="Calibri" w:cs="Calibri"/>
        </w:rPr>
        <w:t xml:space="preserve">The following adjustments were made based on the GBD 2016 SDG projection model: </w:t>
      </w:r>
      <w:r>
        <w:rPr>
          <w:rFonts w:ascii="Calibri" w:hAnsi="Calibri" w:cs="Calibri"/>
        </w:rPr>
        <w:t>(</w:t>
      </w:r>
      <w:r w:rsidRPr="00755F09">
        <w:rPr>
          <w:rFonts w:ascii="Calibri" w:hAnsi="Calibri" w:cs="Calibri"/>
        </w:rPr>
        <w:t xml:space="preserve">1) we used weighted mean annual rate of change to predict the data trend after the weight matrix </w:t>
      </w:r>
      <m:oMath>
        <m:r>
          <m:rPr>
            <m:sty m:val="p"/>
          </m:rPr>
          <w:rPr>
            <w:rFonts w:ascii="Cambria Math" w:hAnsi="Cambria Math" w:cs="Calibri"/>
          </w:rPr>
          <m:t>ω</m:t>
        </m:r>
      </m:oMath>
      <w:r w:rsidRPr="00755F09">
        <w:rPr>
          <w:rFonts w:ascii="Calibri" w:hAnsi="Calibri" w:cs="Calibri"/>
        </w:rPr>
        <w:t xml:space="preserve"> was confirmed</w:t>
      </w:r>
      <w:r>
        <w:rPr>
          <w:rFonts w:ascii="Calibri" w:hAnsi="Calibri" w:cs="Calibri"/>
        </w:rPr>
        <w:t>, and</w:t>
      </w:r>
      <w:r w:rsidRPr="00755F09">
        <w:rPr>
          <w:rFonts w:ascii="Calibri" w:hAnsi="Calibri" w:cs="Calibri"/>
        </w:rPr>
        <w:t xml:space="preserve"> </w:t>
      </w:r>
      <w:r>
        <w:rPr>
          <w:rFonts w:ascii="Calibri" w:hAnsi="Calibri" w:cs="Calibri"/>
        </w:rPr>
        <w:t>(</w:t>
      </w:r>
      <w:r w:rsidRPr="00755F09">
        <w:rPr>
          <w:rFonts w:ascii="Calibri" w:hAnsi="Calibri" w:cs="Calibri"/>
        </w:rPr>
        <w:t xml:space="preserve">2) the </w:t>
      </w:r>
      <m:oMath>
        <m:r>
          <m:rPr>
            <m:sty m:val="p"/>
          </m:rPr>
          <w:rPr>
            <w:rFonts w:ascii="Cambria Math" w:hAnsi="Cambria Math" w:cs="Calibri"/>
          </w:rPr>
          <m:t>ω</m:t>
        </m:r>
      </m:oMath>
      <w:r w:rsidRPr="00755F09">
        <w:rPr>
          <w:rFonts w:ascii="Calibri" w:hAnsi="Calibri" w:cs="Calibri"/>
        </w:rPr>
        <w:t xml:space="preserve"> was defined by the trend of each indicator in each province in China. Therefore, we only present the scaled mean scores without uncertainty intervals. Detail</w:t>
      </w:r>
      <w:r>
        <w:rPr>
          <w:rFonts w:ascii="Calibri" w:hAnsi="Calibri" w:cs="Calibri"/>
        </w:rPr>
        <w:t>ed</w:t>
      </w:r>
      <w:r w:rsidRPr="00755F09">
        <w:rPr>
          <w:rFonts w:ascii="Calibri" w:hAnsi="Calibri" w:cs="Calibri"/>
        </w:rPr>
        <w:t xml:space="preserve"> methods about the projection model can be found in </w:t>
      </w:r>
      <w:r>
        <w:rPr>
          <w:rFonts w:ascii="Calibri" w:hAnsi="Calibri" w:cs="Calibri"/>
        </w:rPr>
        <w:t>S1 A</w:t>
      </w:r>
      <w:r w:rsidRPr="00755F09">
        <w:rPr>
          <w:rFonts w:ascii="Calibri" w:hAnsi="Calibri" w:cs="Calibri"/>
        </w:rPr>
        <w:t>ppendix</w:t>
      </w:r>
      <w:r>
        <w:rPr>
          <w:rFonts w:ascii="Calibri" w:hAnsi="Calibri" w:cs="Calibri"/>
        </w:rPr>
        <w:t>.</w:t>
      </w:r>
    </w:p>
    <w:p w14:paraId="206EC54E" w14:textId="77777777" w:rsidR="00B656F6" w:rsidRPr="00566686" w:rsidRDefault="00B656F6" w:rsidP="00B656F6">
      <w:pPr>
        <w:outlineLvl w:val="0"/>
        <w:rPr>
          <w:rFonts w:ascii="Calibri" w:hAnsi="Calibri" w:cs="Calibri"/>
          <w:b/>
          <w:bCs/>
          <w:iCs/>
        </w:rPr>
      </w:pPr>
      <w:r w:rsidRPr="00566686">
        <w:rPr>
          <w:rFonts w:ascii="Calibri" w:hAnsi="Calibri" w:cs="Calibri"/>
          <w:b/>
          <w:bCs/>
          <w:iCs/>
        </w:rPr>
        <w:t>SDG indicators attainment and its progress</w:t>
      </w:r>
    </w:p>
    <w:p w14:paraId="5493F6E9" w14:textId="77777777" w:rsidR="00B656F6" w:rsidRPr="00755F09" w:rsidRDefault="00B656F6" w:rsidP="00B656F6">
      <w:pPr>
        <w:shd w:val="clear" w:color="auto" w:fill="FFFFFF"/>
        <w:spacing w:line="276" w:lineRule="auto"/>
        <w:rPr>
          <w:rFonts w:ascii="Calibri" w:eastAsia="Microsoft YaHei UI" w:hAnsi="Calibri" w:cs="Calibri"/>
          <w:color w:val="000000"/>
          <w:sz w:val="24"/>
          <w:szCs w:val="24"/>
        </w:rPr>
      </w:pPr>
      <w:r w:rsidRPr="00755F09">
        <w:rPr>
          <w:rFonts w:ascii="Calibri" w:hAnsi="Calibri" w:cs="Calibri"/>
        </w:rPr>
        <w:t>We put an attainment index of 90 as the threshold for the successful attainment of the health- related SDG targets after considering technical and political factors</w:t>
      </w:r>
      <w:r>
        <w:rPr>
          <w:rFonts w:ascii="Calibri" w:hAnsi="Calibri" w:cs="Calibri"/>
        </w:rPr>
        <w:t xml:space="preserve"> because</w:t>
      </w:r>
      <w:r w:rsidRPr="00755F09">
        <w:rPr>
          <w:rFonts w:ascii="Calibri" w:hAnsi="Calibri" w:cs="Calibri"/>
        </w:rPr>
        <w:t xml:space="preserve"> we wanted to aim high for the Chinese policy makers of both national and provincial governments so that they can invest more resources and make greater efforts in improving </w:t>
      </w:r>
      <w:r>
        <w:rPr>
          <w:rFonts w:ascii="Calibri" w:hAnsi="Calibri" w:cs="Calibri"/>
        </w:rPr>
        <w:t xml:space="preserve">the </w:t>
      </w:r>
      <w:r w:rsidRPr="00755F09">
        <w:rPr>
          <w:rFonts w:ascii="Calibri" w:hAnsi="Calibri" w:cs="Calibri"/>
        </w:rPr>
        <w:t xml:space="preserve">health of </w:t>
      </w:r>
      <w:r>
        <w:rPr>
          <w:rFonts w:ascii="Calibri" w:hAnsi="Calibri" w:cs="Calibri"/>
        </w:rPr>
        <w:t>their</w:t>
      </w:r>
      <w:r w:rsidRPr="00755F09">
        <w:rPr>
          <w:rFonts w:ascii="Calibri" w:hAnsi="Calibri" w:cs="Calibri"/>
        </w:rPr>
        <w:t xml:space="preserve"> people.</w:t>
      </w:r>
    </w:p>
    <w:p w14:paraId="4B741D9D" w14:textId="77777777" w:rsidR="00B656F6" w:rsidRPr="00755F09" w:rsidRDefault="00B656F6" w:rsidP="00B656F6">
      <w:pPr>
        <w:rPr>
          <w:rFonts w:ascii="Calibri" w:hAnsi="Calibri" w:cs="Calibri"/>
        </w:rPr>
      </w:pPr>
      <w:r w:rsidRPr="00755F09">
        <w:rPr>
          <w:rFonts w:ascii="Calibri" w:hAnsi="Calibri" w:cs="Calibri"/>
        </w:rPr>
        <w:t>To further compare the progress of each thematic topic in each province, we calculated the annual change rate of the index from 2016 to 2030 by dividing the change of index by the number of years.</w:t>
      </w:r>
    </w:p>
    <w:p w14:paraId="40A0E920" w14:textId="77777777" w:rsidR="00B656F6" w:rsidRPr="00566686" w:rsidRDefault="00B656F6" w:rsidP="00B656F6">
      <w:pPr>
        <w:outlineLvl w:val="0"/>
        <w:rPr>
          <w:rFonts w:ascii="Calibri" w:hAnsi="Calibri" w:cs="Calibri"/>
          <w:b/>
          <w:bCs/>
          <w:iCs/>
        </w:rPr>
      </w:pPr>
      <w:r w:rsidRPr="00566686">
        <w:rPr>
          <w:rFonts w:ascii="Calibri" w:hAnsi="Calibri" w:cs="Calibri"/>
          <w:b/>
          <w:bCs/>
          <w:iCs/>
        </w:rPr>
        <w:t>Geographic and sex disparity</w:t>
      </w:r>
    </w:p>
    <w:p w14:paraId="781C4956" w14:textId="77777777" w:rsidR="00B656F6" w:rsidRPr="00755F09" w:rsidRDefault="00B656F6" w:rsidP="00B656F6">
      <w:pPr>
        <w:rPr>
          <w:rFonts w:ascii="Calibri" w:hAnsi="Calibri" w:cs="Calibri"/>
        </w:rPr>
      </w:pPr>
      <w:r w:rsidRPr="00755F09">
        <w:rPr>
          <w:rFonts w:ascii="Calibri" w:hAnsi="Calibri" w:cs="Calibri"/>
        </w:rPr>
        <w:t>The analysis was, whe</w:t>
      </w:r>
      <w:r>
        <w:rPr>
          <w:rFonts w:ascii="Calibri" w:hAnsi="Calibri" w:cs="Calibri"/>
        </w:rPr>
        <w:t>n</w:t>
      </w:r>
      <w:r w:rsidRPr="00755F09">
        <w:rPr>
          <w:rFonts w:ascii="Calibri" w:hAnsi="Calibri" w:cs="Calibri"/>
        </w:rPr>
        <w:t>ever possible, disaggregated by sex and geographic region. Geographic disparities were explored through the analysis of the seven topics at the provincial level. We also described regional disparities based on official statistical categorization of eastern, central</w:t>
      </w:r>
      <w:r>
        <w:rPr>
          <w:rFonts w:ascii="Calibri" w:hAnsi="Calibri" w:cs="Calibri"/>
        </w:rPr>
        <w:t>,</w:t>
      </w:r>
      <w:r w:rsidRPr="00755F09">
        <w:rPr>
          <w:rFonts w:ascii="Calibri" w:hAnsi="Calibri" w:cs="Calibri"/>
        </w:rPr>
        <w:t xml:space="preserve"> and western part</w:t>
      </w:r>
      <w:r>
        <w:rPr>
          <w:rFonts w:ascii="Calibri" w:hAnsi="Calibri" w:cs="Calibri"/>
        </w:rPr>
        <w:t>s</w:t>
      </w:r>
      <w:r w:rsidRPr="00755F09">
        <w:rPr>
          <w:rFonts w:ascii="Calibri" w:hAnsi="Calibri" w:cs="Calibri"/>
        </w:rPr>
        <w:t xml:space="preserve"> of China in line with the socioeconomic development status. Jiangsu, Hubei, and Yunnan province</w:t>
      </w:r>
      <w:r>
        <w:rPr>
          <w:rFonts w:ascii="Calibri" w:hAnsi="Calibri" w:cs="Calibri"/>
        </w:rPr>
        <w:t>s</w:t>
      </w:r>
      <w:r w:rsidRPr="00755F09">
        <w:rPr>
          <w:rFonts w:ascii="Calibri" w:hAnsi="Calibri" w:cs="Calibri"/>
        </w:rPr>
        <w:t xml:space="preserve"> were selected to represent the high-, middle-, and low-income regions, respectively</w:t>
      </w:r>
      <w:r>
        <w:rPr>
          <w:rFonts w:ascii="Calibri" w:hAnsi="Calibri" w:cs="Calibri"/>
        </w:rPr>
        <w:t>,</w:t>
      </w:r>
      <w:r w:rsidRPr="00755F09">
        <w:rPr>
          <w:rFonts w:ascii="Calibri" w:hAnsi="Calibri" w:cs="Calibri"/>
        </w:rPr>
        <w:t xml:space="preserve"> for qualitative analysis. The three provinces were selected based on the location of our project partners, the feasibility of research implementation, and most importantly, the representativeness of the three different socioeconomic development levels. Rural</w:t>
      </w:r>
      <w:r>
        <w:rPr>
          <w:rFonts w:ascii="Calibri" w:hAnsi="Calibri" w:cs="Calibri"/>
        </w:rPr>
        <w:t>/</w:t>
      </w:r>
      <w:r w:rsidRPr="00755F09">
        <w:rPr>
          <w:rFonts w:ascii="Calibri" w:hAnsi="Calibri" w:cs="Calibri"/>
        </w:rPr>
        <w:t>urban</w:t>
      </w:r>
      <w:r>
        <w:rPr>
          <w:rFonts w:ascii="Calibri" w:hAnsi="Calibri" w:cs="Calibri"/>
        </w:rPr>
        <w:t xml:space="preserve"> and </w:t>
      </w:r>
      <w:r w:rsidRPr="00755F09">
        <w:rPr>
          <w:rFonts w:ascii="Calibri" w:hAnsi="Calibri" w:cs="Calibri"/>
        </w:rPr>
        <w:t xml:space="preserve">sex disparities were also explored </w:t>
      </w:r>
      <w:r>
        <w:rPr>
          <w:rFonts w:ascii="Calibri" w:hAnsi="Calibri" w:cs="Calibri"/>
        </w:rPr>
        <w:t>when</w:t>
      </w:r>
      <w:r w:rsidRPr="00755F09">
        <w:rPr>
          <w:rFonts w:ascii="Calibri" w:hAnsi="Calibri" w:cs="Calibri"/>
        </w:rPr>
        <w:t xml:space="preserve"> data </w:t>
      </w:r>
      <w:r>
        <w:rPr>
          <w:rFonts w:ascii="Calibri" w:hAnsi="Calibri" w:cs="Calibri"/>
        </w:rPr>
        <w:t>were</w:t>
      </w:r>
      <w:r w:rsidRPr="00755F09">
        <w:rPr>
          <w:rFonts w:ascii="Calibri" w:hAnsi="Calibri" w:cs="Calibri"/>
        </w:rPr>
        <w:t xml:space="preserve"> available</w:t>
      </w:r>
      <w:r w:rsidRPr="00755F09">
        <w:rPr>
          <w:rFonts w:ascii="Calibri" w:hAnsi="Calibri" w:cs="Calibri"/>
          <w:b/>
        </w:rPr>
        <w:t xml:space="preserve">. </w:t>
      </w:r>
      <w:r w:rsidRPr="00755F09">
        <w:rPr>
          <w:rFonts w:ascii="Calibri" w:hAnsi="Calibri" w:cs="Calibri"/>
        </w:rPr>
        <w:t>To define accurately urban and rural population</w:t>
      </w:r>
      <w:r>
        <w:rPr>
          <w:rFonts w:ascii="Calibri" w:hAnsi="Calibri" w:cs="Calibri"/>
        </w:rPr>
        <w:t>s</w:t>
      </w:r>
      <w:r w:rsidRPr="00755F09">
        <w:rPr>
          <w:rFonts w:ascii="Calibri" w:hAnsi="Calibri" w:cs="Calibri"/>
        </w:rPr>
        <w:t xml:space="preserve"> in China has not been easy, but government agencies and institutions have increasingly used the actual location of people’s residence to define urban and rural population</w:t>
      </w:r>
      <w:r>
        <w:rPr>
          <w:rFonts w:ascii="Calibri" w:hAnsi="Calibri" w:cs="Calibri"/>
        </w:rPr>
        <w:t>s</w:t>
      </w:r>
      <w:r w:rsidRPr="00755F09">
        <w:rPr>
          <w:rFonts w:ascii="Calibri" w:hAnsi="Calibri" w:cs="Calibri"/>
        </w:rPr>
        <w:t>, instead of the household registration (</w:t>
      </w:r>
      <w:r w:rsidRPr="00755F09">
        <w:rPr>
          <w:rFonts w:ascii="Calibri" w:hAnsi="Calibri" w:cs="Calibri"/>
          <w:i/>
        </w:rPr>
        <w:t>hukou</w:t>
      </w:r>
      <w:r w:rsidRPr="00755F09">
        <w:rPr>
          <w:rFonts w:ascii="Calibri" w:hAnsi="Calibri" w:cs="Calibri"/>
        </w:rPr>
        <w:t>) system in recent years.</w:t>
      </w:r>
      <w:r w:rsidRPr="00755F09">
        <w:t xml:space="preserve"> </w:t>
      </w:r>
      <w:r w:rsidRPr="00755F09">
        <w:rPr>
          <w:rFonts w:ascii="Calibri" w:hAnsi="Calibri" w:cs="Calibri"/>
        </w:rPr>
        <w:t>We acknowledge that sex differences refer to those that are based on biology or physiology</w:t>
      </w:r>
      <w:r>
        <w:rPr>
          <w:rFonts w:ascii="Calibri" w:hAnsi="Calibri" w:cs="Calibri"/>
        </w:rPr>
        <w:t>,</w:t>
      </w:r>
      <w:r w:rsidRPr="00755F09">
        <w:rPr>
          <w:rFonts w:ascii="Calibri" w:hAnsi="Calibri" w:cs="Calibri"/>
        </w:rPr>
        <w:t xml:space="preserve"> whereas gender differences go further to encompass socially constructed differences, but in our study, data were only available by sex and not gender.</w:t>
      </w:r>
    </w:p>
    <w:p w14:paraId="70366AD7" w14:textId="77777777" w:rsidR="00B656F6" w:rsidRPr="00566686" w:rsidRDefault="00B656F6" w:rsidP="00B656F6">
      <w:pPr>
        <w:outlineLvl w:val="0"/>
        <w:rPr>
          <w:rFonts w:ascii="Calibri" w:hAnsi="Calibri" w:cs="Calibri"/>
          <w:b/>
          <w:bCs/>
          <w:iCs/>
        </w:rPr>
      </w:pPr>
      <w:r w:rsidRPr="00566686">
        <w:rPr>
          <w:rFonts w:ascii="Calibri" w:hAnsi="Calibri" w:cs="Calibri"/>
          <w:b/>
          <w:bCs/>
          <w:iCs/>
        </w:rPr>
        <w:t>Data quality and methodology robustness</w:t>
      </w:r>
    </w:p>
    <w:p w14:paraId="72ADAB05" w14:textId="77777777" w:rsidR="00B656F6" w:rsidRPr="00755F09" w:rsidRDefault="00B656F6" w:rsidP="00B656F6">
      <w:pPr>
        <w:rPr>
          <w:rFonts w:ascii="Calibri" w:hAnsi="Calibri" w:cs="Calibri"/>
          <w:i/>
        </w:rPr>
      </w:pPr>
      <w:r w:rsidRPr="00755F09">
        <w:rPr>
          <w:rFonts w:ascii="Calibri" w:hAnsi="Calibri" w:cs="Calibri"/>
        </w:rPr>
        <w:t>To ensure data quality of the GBD 2016 study results, we compared the GBD 2016 data with other official sources of data in China, which reported the same indicators, including but not limited to national and provincial surveillance, survey, disease registry</w:t>
      </w:r>
      <w:r>
        <w:rPr>
          <w:rFonts w:ascii="Calibri" w:hAnsi="Calibri" w:cs="Calibri"/>
        </w:rPr>
        <w:t>,</w:t>
      </w:r>
      <w:r w:rsidRPr="00755F09">
        <w:rPr>
          <w:rFonts w:ascii="Calibri" w:hAnsi="Calibri" w:cs="Calibri"/>
        </w:rPr>
        <w:t xml:space="preserve"> and death registry </w:t>
      </w:r>
      <w:r>
        <w:rPr>
          <w:rFonts w:ascii="Calibri" w:hAnsi="Calibri" w:cs="Calibri"/>
        </w:rPr>
        <w:t>[</w:t>
      </w:r>
      <w:r w:rsidRPr="00755F09">
        <w:rPr>
          <w:rFonts w:ascii="Calibri" w:hAnsi="Calibri" w:cs="Calibri"/>
        </w:rPr>
        <w:fldChar w:fldCharType="begin"/>
      </w:r>
      <w:r w:rsidRPr="00755F09">
        <w:rPr>
          <w:rFonts w:ascii="Calibri" w:hAnsi="Calibri" w:cs="Calibri"/>
        </w:rPr>
        <w:instrText xml:space="preserve"> REF _Ref18950178 \r  \* MERGEFORMAT </w:instrText>
      </w:r>
      <w:r w:rsidRPr="00755F09">
        <w:rPr>
          <w:rFonts w:ascii="Calibri" w:hAnsi="Calibri" w:cs="Calibri"/>
        </w:rPr>
        <w:fldChar w:fldCharType="separate"/>
      </w:r>
      <w:r>
        <w:rPr>
          <w:rFonts w:ascii="Calibri" w:hAnsi="Calibri" w:cs="Calibri"/>
        </w:rPr>
        <w:t>3</w:t>
      </w:r>
      <w:r w:rsidRPr="00755F09">
        <w:rPr>
          <w:rFonts w:ascii="Calibri" w:hAnsi="Calibri" w:cs="Calibri"/>
        </w:rPr>
        <w:fldChar w:fldCharType="end"/>
      </w:r>
      <w:r w:rsidRPr="00755F09">
        <w:rPr>
          <w:rFonts w:ascii="Calibri" w:hAnsi="Calibri" w:cs="Calibri"/>
        </w:rPr>
        <w:t>,</w:t>
      </w:r>
      <w:r w:rsidRPr="00755F09">
        <w:rPr>
          <w:rFonts w:ascii="Calibri" w:hAnsi="Calibri" w:cs="Calibri"/>
        </w:rPr>
        <w:fldChar w:fldCharType="begin"/>
      </w:r>
      <w:r w:rsidRPr="00755F09">
        <w:rPr>
          <w:rFonts w:ascii="Calibri" w:hAnsi="Calibri" w:cs="Calibri"/>
        </w:rPr>
        <w:instrText xml:space="preserve"> REF _Ref18950532 \r  \* MERGEFORMAT </w:instrText>
      </w:r>
      <w:r w:rsidRPr="00755F09">
        <w:rPr>
          <w:rFonts w:ascii="Calibri" w:hAnsi="Calibri" w:cs="Calibri"/>
        </w:rPr>
        <w:fldChar w:fldCharType="separate"/>
      </w:r>
      <w:r>
        <w:rPr>
          <w:rFonts w:ascii="Calibri" w:hAnsi="Calibri" w:cs="Calibri"/>
        </w:rPr>
        <w:t>16</w:t>
      </w:r>
      <w:r w:rsidRPr="00755F09">
        <w:rPr>
          <w:rFonts w:ascii="Calibri" w:hAnsi="Calibri" w:cs="Calibri"/>
        </w:rPr>
        <w:fldChar w:fldCharType="end"/>
      </w:r>
      <w:r w:rsidRPr="00755F09">
        <w:rPr>
          <w:rFonts w:ascii="Calibri" w:hAnsi="Calibri" w:cs="Calibri"/>
        </w:rPr>
        <w:t>,</w:t>
      </w:r>
      <w:r w:rsidRPr="00755F09">
        <w:rPr>
          <w:rFonts w:ascii="Calibri" w:hAnsi="Calibri" w:cs="Calibri"/>
        </w:rPr>
        <w:fldChar w:fldCharType="begin"/>
      </w:r>
      <w:r w:rsidRPr="00755F09">
        <w:rPr>
          <w:rFonts w:ascii="Calibri" w:hAnsi="Calibri" w:cs="Calibri"/>
        </w:rPr>
        <w:instrText xml:space="preserve"> REF _Ref18950554 \r  \* MERGEFORMAT </w:instrText>
      </w:r>
      <w:r w:rsidRPr="00755F09">
        <w:rPr>
          <w:rFonts w:ascii="Calibri" w:hAnsi="Calibri" w:cs="Calibri"/>
        </w:rPr>
        <w:fldChar w:fldCharType="separate"/>
      </w:r>
      <w:r>
        <w:rPr>
          <w:rFonts w:ascii="Calibri" w:hAnsi="Calibri" w:cs="Calibri"/>
        </w:rPr>
        <w:t>17</w:t>
      </w:r>
      <w:r w:rsidRPr="00755F09">
        <w:rPr>
          <w:rFonts w:ascii="Calibri" w:hAnsi="Calibri" w:cs="Calibri"/>
        </w:rPr>
        <w:fldChar w:fldCharType="end"/>
      </w:r>
      <w:r w:rsidRPr="00755F09">
        <w:rPr>
          <w:rFonts w:ascii="Calibri" w:hAnsi="Calibri" w:cs="Calibri"/>
        </w:rPr>
        <w:t>,</w:t>
      </w:r>
      <w:r w:rsidRPr="00755F09">
        <w:rPr>
          <w:rFonts w:ascii="Calibri" w:hAnsi="Calibri" w:cs="Calibri"/>
        </w:rPr>
        <w:fldChar w:fldCharType="begin"/>
      </w:r>
      <w:r w:rsidRPr="00755F09">
        <w:rPr>
          <w:rFonts w:ascii="Calibri" w:hAnsi="Calibri" w:cs="Calibri"/>
        </w:rPr>
        <w:instrText xml:space="preserve"> REF _Ref18950325 \r  \* MERGEFORMAT </w:instrText>
      </w:r>
      <w:r w:rsidRPr="00755F09">
        <w:rPr>
          <w:rFonts w:ascii="Calibri" w:hAnsi="Calibri" w:cs="Calibri"/>
        </w:rPr>
        <w:fldChar w:fldCharType="separate"/>
      </w:r>
      <w:r>
        <w:rPr>
          <w:rFonts w:ascii="Calibri" w:hAnsi="Calibri" w:cs="Calibri"/>
        </w:rPr>
        <w:t>18</w:t>
      </w:r>
      <w:r w:rsidRPr="00755F09">
        <w:rPr>
          <w:rFonts w:ascii="Calibri" w:hAnsi="Calibri" w:cs="Calibri"/>
        </w:rPr>
        <w:fldChar w:fldCharType="end"/>
      </w:r>
      <w:r w:rsidRPr="00755F09">
        <w:rPr>
          <w:rFonts w:ascii="Calibri" w:hAnsi="Calibri" w:cs="Calibri"/>
        </w:rPr>
        <w:t>,</w:t>
      </w:r>
      <w:r w:rsidRPr="00755F09">
        <w:rPr>
          <w:rFonts w:ascii="Calibri" w:hAnsi="Calibri" w:cs="Calibri"/>
        </w:rPr>
        <w:fldChar w:fldCharType="begin"/>
      </w:r>
      <w:r w:rsidRPr="00755F09">
        <w:rPr>
          <w:rFonts w:ascii="Calibri" w:hAnsi="Calibri" w:cs="Calibri"/>
        </w:rPr>
        <w:instrText xml:space="preserve"> REF _Ref18950359 \r  \* MERGEFORMAT </w:instrText>
      </w:r>
      <w:r w:rsidRPr="00755F09">
        <w:rPr>
          <w:rFonts w:ascii="Calibri" w:hAnsi="Calibri" w:cs="Calibri"/>
        </w:rPr>
        <w:fldChar w:fldCharType="separate"/>
      </w:r>
      <w:r>
        <w:rPr>
          <w:rFonts w:ascii="Calibri" w:hAnsi="Calibri" w:cs="Calibri"/>
        </w:rPr>
        <w:t>19</w:t>
      </w:r>
      <w:r w:rsidRPr="00755F09">
        <w:rPr>
          <w:rFonts w:ascii="Calibri" w:hAnsi="Calibri" w:cs="Calibri"/>
        </w:rPr>
        <w:fldChar w:fldCharType="end"/>
      </w:r>
      <w:r w:rsidRPr="00755F09">
        <w:rPr>
          <w:rFonts w:ascii="Calibri" w:hAnsi="Calibri" w:cs="Calibri"/>
        </w:rPr>
        <w:t>,</w:t>
      </w:r>
      <w:r w:rsidRPr="00755F09">
        <w:rPr>
          <w:rFonts w:ascii="Calibri" w:hAnsi="Calibri" w:cs="Calibri"/>
        </w:rPr>
        <w:fldChar w:fldCharType="begin"/>
      </w:r>
      <w:r w:rsidRPr="00755F09">
        <w:rPr>
          <w:rFonts w:ascii="Calibri" w:hAnsi="Calibri" w:cs="Calibri"/>
        </w:rPr>
        <w:instrText xml:space="preserve"> REF _Ref533346362 \r  \* MERGEFORMAT </w:instrText>
      </w:r>
      <w:r w:rsidRPr="00755F09">
        <w:rPr>
          <w:rFonts w:ascii="Calibri" w:hAnsi="Calibri" w:cs="Calibri"/>
        </w:rPr>
        <w:fldChar w:fldCharType="separate"/>
      </w:r>
      <w:r>
        <w:rPr>
          <w:rFonts w:ascii="Calibri" w:hAnsi="Calibri" w:cs="Calibri"/>
        </w:rPr>
        <w:t>20</w:t>
      </w:r>
      <w:r w:rsidRPr="00755F09">
        <w:rPr>
          <w:rFonts w:ascii="Calibri" w:hAnsi="Calibri" w:cs="Calibri"/>
        </w:rPr>
        <w:fldChar w:fldCharType="end"/>
      </w:r>
      <w:r w:rsidRPr="00755F09">
        <w:rPr>
          <w:rFonts w:ascii="Calibri" w:hAnsi="Calibri" w:cs="Calibri"/>
        </w:rPr>
        <w:t>,</w:t>
      </w:r>
      <w:r w:rsidRPr="00755F09">
        <w:rPr>
          <w:rFonts w:ascii="Calibri" w:hAnsi="Calibri" w:cs="Calibri"/>
        </w:rPr>
        <w:fldChar w:fldCharType="begin"/>
      </w:r>
      <w:r w:rsidRPr="00755F09">
        <w:rPr>
          <w:rFonts w:ascii="Calibri" w:hAnsi="Calibri" w:cs="Calibri"/>
        </w:rPr>
        <w:instrText xml:space="preserve"> REF _Ref522907984 \r  \* MERGEFORMAT </w:instrText>
      </w:r>
      <w:r w:rsidRPr="00755F09">
        <w:rPr>
          <w:rFonts w:ascii="Calibri" w:hAnsi="Calibri" w:cs="Calibri"/>
        </w:rPr>
        <w:fldChar w:fldCharType="separate"/>
      </w:r>
      <w:r>
        <w:rPr>
          <w:rFonts w:ascii="Calibri" w:hAnsi="Calibri" w:cs="Calibri"/>
        </w:rPr>
        <w:t>21</w:t>
      </w:r>
      <w:r w:rsidRPr="00755F09">
        <w:rPr>
          <w:rFonts w:ascii="Calibri" w:hAnsi="Calibri" w:cs="Calibri"/>
        </w:rPr>
        <w:fldChar w:fldCharType="end"/>
      </w:r>
      <w:r w:rsidRPr="00755F09">
        <w:rPr>
          <w:rFonts w:ascii="Calibri" w:hAnsi="Calibri" w:cs="Calibri"/>
        </w:rPr>
        <w:t>,</w:t>
      </w:r>
      <w:r w:rsidRPr="00755F09">
        <w:rPr>
          <w:rFonts w:ascii="Calibri" w:hAnsi="Calibri" w:cs="Calibri"/>
        </w:rPr>
        <w:fldChar w:fldCharType="begin"/>
      </w:r>
      <w:r w:rsidRPr="00755F09">
        <w:rPr>
          <w:rFonts w:ascii="Calibri" w:hAnsi="Calibri" w:cs="Calibri"/>
        </w:rPr>
        <w:instrText xml:space="preserve"> REF _Ref524372004 \r  \* MERGEFORMAT </w:instrText>
      </w:r>
      <w:r w:rsidRPr="00755F09">
        <w:rPr>
          <w:rFonts w:ascii="Calibri" w:hAnsi="Calibri" w:cs="Calibri"/>
        </w:rPr>
        <w:fldChar w:fldCharType="separate"/>
      </w:r>
      <w:r>
        <w:rPr>
          <w:rFonts w:ascii="Calibri" w:hAnsi="Calibri" w:cs="Calibri"/>
        </w:rPr>
        <w:t>22</w:t>
      </w:r>
      <w:r w:rsidRPr="00755F09">
        <w:rPr>
          <w:rFonts w:ascii="Calibri" w:hAnsi="Calibri" w:cs="Calibri"/>
        </w:rPr>
        <w:fldChar w:fldCharType="end"/>
      </w:r>
      <w:r w:rsidRPr="00755F09">
        <w:rPr>
          <w:rFonts w:ascii="Calibri" w:hAnsi="Calibri" w:cs="Calibri"/>
        </w:rPr>
        <w:t>]. In cases of significant inconsistencies, we consulted technical experts and the GBD 2016 study team for clarifications of possible explanations and solutions.</w:t>
      </w:r>
    </w:p>
    <w:p w14:paraId="0B86D4D5" w14:textId="77777777" w:rsidR="00B656F6" w:rsidRPr="00755F09" w:rsidRDefault="00B656F6" w:rsidP="00B656F6">
      <w:pPr>
        <w:rPr>
          <w:rFonts w:ascii="Calibri" w:hAnsi="Calibri" w:cs="Calibri"/>
        </w:rPr>
      </w:pPr>
      <w:r w:rsidRPr="00755F09">
        <w:rPr>
          <w:rFonts w:ascii="Calibri" w:hAnsi="Calibri" w:cs="Calibri"/>
        </w:rPr>
        <w:t>To enhance the methodological robustness of the inclusion, categorization, measurement, and attainment of indicators, we organized consultation meetings with technical experts including from WHO and National Health Commission of China to reach practical solutions and consensus on the use of most reliable data.</w:t>
      </w:r>
    </w:p>
    <w:p w14:paraId="4E9FA627" w14:textId="77777777" w:rsidR="00B656F6" w:rsidRPr="00566686" w:rsidRDefault="00B656F6" w:rsidP="00B656F6">
      <w:pPr>
        <w:outlineLvl w:val="0"/>
        <w:rPr>
          <w:rFonts w:ascii="Calibri" w:hAnsi="Calibri" w:cs="Calibri"/>
          <w:b/>
          <w:sz w:val="28"/>
          <w:szCs w:val="28"/>
        </w:rPr>
      </w:pPr>
      <w:r w:rsidRPr="00566686">
        <w:rPr>
          <w:rFonts w:ascii="Calibri" w:hAnsi="Calibri" w:cs="Calibri"/>
          <w:b/>
          <w:sz w:val="28"/>
          <w:szCs w:val="28"/>
        </w:rPr>
        <w:lastRenderedPageBreak/>
        <w:t>Results</w:t>
      </w:r>
    </w:p>
    <w:p w14:paraId="5DB5F78A" w14:textId="77777777" w:rsidR="00B656F6" w:rsidRPr="00566686" w:rsidRDefault="00B656F6" w:rsidP="00B656F6">
      <w:pPr>
        <w:outlineLvl w:val="0"/>
        <w:rPr>
          <w:rFonts w:ascii="Calibri" w:hAnsi="Calibri" w:cs="Calibri"/>
          <w:b/>
          <w:bCs/>
          <w:iCs/>
          <w:szCs w:val="24"/>
        </w:rPr>
      </w:pPr>
      <w:bookmarkStart w:id="3" w:name="_Hlk17964593"/>
      <w:r w:rsidRPr="00566686">
        <w:rPr>
          <w:rFonts w:ascii="Calibri" w:hAnsi="Calibri" w:cs="Calibri"/>
          <w:b/>
          <w:bCs/>
          <w:iCs/>
          <w:szCs w:val="24"/>
        </w:rPr>
        <w:t>Overview of the current performance and future attainment of the health-related SDG indicators</w:t>
      </w:r>
    </w:p>
    <w:bookmarkEnd w:id="3"/>
    <w:p w14:paraId="28E64D04" w14:textId="77777777" w:rsidR="00B656F6" w:rsidRDefault="00B656F6" w:rsidP="00B656F6">
      <w:pPr>
        <w:rPr>
          <w:rFonts w:ascii="Calibri" w:hAnsi="Calibri" w:cs="Calibri"/>
          <w:szCs w:val="24"/>
        </w:rPr>
        <w:sectPr w:rsidR="00B656F6" w:rsidSect="00766AA5">
          <w:pgSz w:w="11906" w:h="16838" w:code="9"/>
          <w:pgMar w:top="1440" w:right="1440" w:bottom="1440" w:left="1440" w:header="720" w:footer="720" w:gutter="0"/>
          <w:lnNumType w:countBy="1" w:restart="continuous"/>
          <w:cols w:space="720"/>
          <w:docGrid w:linePitch="360"/>
        </w:sectPr>
      </w:pPr>
      <w:r w:rsidRPr="00755F09">
        <w:rPr>
          <w:rFonts w:ascii="Calibri" w:hAnsi="Calibri" w:cs="Calibri"/>
          <w:szCs w:val="24"/>
        </w:rPr>
        <w:t>Table 2 presents the national and provincial performance of the attainment index by each indicator and thematic topic in 2016. Overall, China performed best in child nutrition and MCHRH</w:t>
      </w:r>
      <w:r>
        <w:rPr>
          <w:rFonts w:ascii="Calibri" w:hAnsi="Calibri" w:cs="Calibri"/>
          <w:szCs w:val="24"/>
        </w:rPr>
        <w:t>,</w:t>
      </w:r>
      <w:r w:rsidRPr="00755F09">
        <w:rPr>
          <w:rFonts w:ascii="Calibri" w:hAnsi="Calibri" w:cs="Calibri"/>
          <w:szCs w:val="24"/>
        </w:rPr>
        <w:t xml:space="preserve"> with the attainment index </w:t>
      </w:r>
      <w:r>
        <w:rPr>
          <w:rFonts w:ascii="Calibri" w:hAnsi="Calibri" w:cs="Calibri"/>
          <w:szCs w:val="24"/>
        </w:rPr>
        <w:t xml:space="preserve">scores </w:t>
      </w:r>
      <w:r w:rsidRPr="00755F09">
        <w:rPr>
          <w:rFonts w:ascii="Calibri" w:hAnsi="Calibri" w:cs="Calibri"/>
          <w:szCs w:val="24"/>
        </w:rPr>
        <w:t>of 93</w:t>
      </w:r>
      <w:r>
        <w:rPr>
          <w:rFonts w:ascii="Calibri" w:hAnsi="Calibri" w:cs="Calibri"/>
          <w:szCs w:val="24"/>
        </w:rPr>
        <w:t>.</w:t>
      </w:r>
      <w:r w:rsidRPr="00755F09">
        <w:rPr>
          <w:rFonts w:ascii="Calibri" w:hAnsi="Calibri" w:cs="Calibri"/>
          <w:szCs w:val="24"/>
        </w:rPr>
        <w:t>0 and 91</w:t>
      </w:r>
      <w:r>
        <w:rPr>
          <w:rFonts w:ascii="Calibri" w:hAnsi="Calibri" w:cs="Calibri"/>
          <w:szCs w:val="24"/>
        </w:rPr>
        <w:t>.</w:t>
      </w:r>
      <w:r w:rsidRPr="00755F09">
        <w:rPr>
          <w:rFonts w:ascii="Calibri" w:hAnsi="Calibri" w:cs="Calibri"/>
          <w:szCs w:val="24"/>
        </w:rPr>
        <w:t>8</w:t>
      </w:r>
      <w:r>
        <w:rPr>
          <w:rFonts w:ascii="Calibri" w:hAnsi="Calibri" w:cs="Calibri"/>
          <w:szCs w:val="24"/>
        </w:rPr>
        <w:t>,</w:t>
      </w:r>
      <w:r w:rsidRPr="00755F09">
        <w:rPr>
          <w:rFonts w:ascii="Calibri" w:hAnsi="Calibri" w:cs="Calibri"/>
          <w:szCs w:val="24"/>
        </w:rPr>
        <w:t xml:space="preserve"> respectively</w:t>
      </w:r>
      <w:r>
        <w:rPr>
          <w:rFonts w:ascii="Calibri" w:hAnsi="Calibri" w:cs="Calibri"/>
          <w:szCs w:val="24"/>
        </w:rPr>
        <w:t>,</w:t>
      </w:r>
      <w:r w:rsidRPr="00755F09">
        <w:rPr>
          <w:rFonts w:ascii="Calibri" w:hAnsi="Calibri" w:cs="Calibri"/>
          <w:szCs w:val="24"/>
        </w:rPr>
        <w:t xml:space="preserve"> in 2016, followed by NCDs (69</w:t>
      </w:r>
      <w:r>
        <w:rPr>
          <w:rFonts w:ascii="Calibri" w:hAnsi="Calibri" w:cs="Calibri"/>
          <w:szCs w:val="24"/>
        </w:rPr>
        <w:t>.</w:t>
      </w:r>
      <w:r w:rsidRPr="00755F09">
        <w:rPr>
          <w:rFonts w:ascii="Calibri" w:hAnsi="Calibri" w:cs="Calibri"/>
          <w:szCs w:val="24"/>
        </w:rPr>
        <w:t>4), road injuries (63</w:t>
      </w:r>
      <w:r>
        <w:rPr>
          <w:rFonts w:ascii="Calibri" w:hAnsi="Calibri" w:cs="Calibri"/>
          <w:szCs w:val="24"/>
        </w:rPr>
        <w:t>.</w:t>
      </w:r>
      <w:r w:rsidRPr="00755F09">
        <w:rPr>
          <w:rFonts w:ascii="Calibri" w:hAnsi="Calibri" w:cs="Calibri"/>
          <w:szCs w:val="24"/>
        </w:rPr>
        <w:t>6), infectious diseases (63</w:t>
      </w:r>
      <w:r>
        <w:rPr>
          <w:rFonts w:ascii="Calibri" w:hAnsi="Calibri" w:cs="Calibri"/>
          <w:szCs w:val="24"/>
        </w:rPr>
        <w:t>.</w:t>
      </w:r>
      <w:r w:rsidRPr="00755F09">
        <w:rPr>
          <w:rFonts w:ascii="Calibri" w:hAnsi="Calibri" w:cs="Calibri"/>
          <w:szCs w:val="24"/>
        </w:rPr>
        <w:t>0), environmental health (62</w:t>
      </w:r>
      <w:r>
        <w:rPr>
          <w:rFonts w:ascii="Calibri" w:hAnsi="Calibri" w:cs="Calibri"/>
          <w:szCs w:val="24"/>
        </w:rPr>
        <w:t>.</w:t>
      </w:r>
      <w:r w:rsidRPr="00755F09">
        <w:rPr>
          <w:rFonts w:ascii="Calibri" w:hAnsi="Calibri" w:cs="Calibri"/>
          <w:szCs w:val="24"/>
        </w:rPr>
        <w:t>9), and UHC (54</w:t>
      </w:r>
      <w:r>
        <w:rPr>
          <w:rFonts w:ascii="Calibri" w:hAnsi="Calibri" w:cs="Calibri"/>
          <w:szCs w:val="24"/>
        </w:rPr>
        <w:t>.</w:t>
      </w:r>
      <w:r w:rsidRPr="00755F09">
        <w:rPr>
          <w:rFonts w:ascii="Calibri" w:hAnsi="Calibri" w:cs="Calibri"/>
          <w:szCs w:val="24"/>
        </w:rPr>
        <w:t>4). In looking further into environmental health and NCDs, the indicators related to the NCDs mortality (79</w:t>
      </w:r>
      <w:r>
        <w:rPr>
          <w:rFonts w:ascii="Calibri" w:hAnsi="Calibri" w:cs="Calibri"/>
          <w:szCs w:val="24"/>
        </w:rPr>
        <w:t>.</w:t>
      </w:r>
      <w:r w:rsidRPr="00755F09">
        <w:rPr>
          <w:rFonts w:ascii="Calibri" w:hAnsi="Calibri" w:cs="Calibri"/>
          <w:szCs w:val="24"/>
        </w:rPr>
        <w:t>7) and environmental health mortality (75</w:t>
      </w:r>
      <w:r>
        <w:rPr>
          <w:rFonts w:ascii="Calibri" w:hAnsi="Calibri" w:cs="Calibri"/>
          <w:szCs w:val="24"/>
        </w:rPr>
        <w:t>.</w:t>
      </w:r>
      <w:r w:rsidRPr="00755F09">
        <w:rPr>
          <w:rFonts w:ascii="Calibri" w:hAnsi="Calibri" w:cs="Calibri"/>
          <w:szCs w:val="24"/>
        </w:rPr>
        <w:t>5) scored higher. However, the indicators related to the NCD risk factors (60</w:t>
      </w:r>
      <w:r>
        <w:rPr>
          <w:rFonts w:ascii="Calibri" w:hAnsi="Calibri" w:cs="Calibri"/>
          <w:szCs w:val="24"/>
        </w:rPr>
        <w:t>.</w:t>
      </w:r>
      <w:r w:rsidRPr="00755F09">
        <w:rPr>
          <w:rFonts w:ascii="Calibri" w:hAnsi="Calibri" w:cs="Calibri"/>
          <w:szCs w:val="24"/>
        </w:rPr>
        <w:t>5) and environmental health exposures (57</w:t>
      </w:r>
      <w:r>
        <w:rPr>
          <w:rFonts w:ascii="Calibri" w:hAnsi="Calibri" w:cs="Calibri"/>
          <w:szCs w:val="24"/>
        </w:rPr>
        <w:t>.</w:t>
      </w:r>
      <w:r w:rsidRPr="00755F09">
        <w:rPr>
          <w:rFonts w:ascii="Calibri" w:hAnsi="Calibri" w:cs="Calibri"/>
          <w:szCs w:val="24"/>
        </w:rPr>
        <w:t xml:space="preserve">5) scored comparatively lower. </w:t>
      </w:r>
    </w:p>
    <w:p w14:paraId="26254ACD" w14:textId="77777777" w:rsidR="00B656F6" w:rsidRPr="00AD3C0D" w:rsidRDefault="00B656F6" w:rsidP="00B656F6">
      <w:pPr>
        <w:rPr>
          <w:rFonts w:cstheme="minorHAnsi"/>
          <w:b/>
          <w:bCs/>
          <w:lang w:val="en-GB"/>
        </w:rPr>
      </w:pPr>
      <w:r w:rsidRPr="00B656F6">
        <w:rPr>
          <w:rFonts w:hint="eastAsia"/>
          <w:b/>
          <w:bCs/>
        </w:rPr>
        <w:lastRenderedPageBreak/>
        <w:t>T</w:t>
      </w:r>
      <w:r w:rsidRPr="00B656F6">
        <w:rPr>
          <w:b/>
          <w:bCs/>
        </w:rPr>
        <w:t xml:space="preserve">able 2. </w:t>
      </w:r>
      <w:r w:rsidRPr="00B656F6">
        <w:rPr>
          <w:rFonts w:cstheme="minorHAnsi"/>
          <w:b/>
          <w:bCs/>
          <w:lang w:val="en-GB"/>
        </w:rPr>
        <w:t>The scores of the 28 selected SDG health indicators under different thematic topics of Chinese provinces in 2016.</w:t>
      </w:r>
    </w:p>
    <w:tbl>
      <w:tblPr>
        <w:tblW w:w="5000" w:type="pct"/>
        <w:tblCellMar>
          <w:left w:w="45" w:type="dxa"/>
          <w:right w:w="45" w:type="dxa"/>
        </w:tblCellMar>
        <w:tblLook w:val="04A0" w:firstRow="1" w:lastRow="0" w:firstColumn="1" w:lastColumn="0" w:noHBand="0" w:noVBand="1"/>
      </w:tblPr>
      <w:tblGrid>
        <w:gridCol w:w="365"/>
        <w:gridCol w:w="1308"/>
        <w:gridCol w:w="340"/>
        <w:gridCol w:w="398"/>
        <w:gridCol w:w="340"/>
        <w:gridCol w:w="340"/>
        <w:gridCol w:w="398"/>
        <w:gridCol w:w="340"/>
        <w:gridCol w:w="398"/>
        <w:gridCol w:w="399"/>
        <w:gridCol w:w="399"/>
        <w:gridCol w:w="341"/>
        <w:gridCol w:w="341"/>
        <w:gridCol w:w="341"/>
        <w:gridCol w:w="341"/>
        <w:gridCol w:w="399"/>
        <w:gridCol w:w="341"/>
        <w:gridCol w:w="341"/>
        <w:gridCol w:w="343"/>
        <w:gridCol w:w="341"/>
        <w:gridCol w:w="341"/>
        <w:gridCol w:w="341"/>
        <w:gridCol w:w="341"/>
        <w:gridCol w:w="341"/>
        <w:gridCol w:w="341"/>
        <w:gridCol w:w="341"/>
        <w:gridCol w:w="341"/>
        <w:gridCol w:w="341"/>
        <w:gridCol w:w="341"/>
        <w:gridCol w:w="343"/>
        <w:gridCol w:w="341"/>
        <w:gridCol w:w="341"/>
        <w:gridCol w:w="341"/>
        <w:gridCol w:w="341"/>
        <w:gridCol w:w="341"/>
        <w:gridCol w:w="346"/>
        <w:gridCol w:w="341"/>
      </w:tblGrid>
      <w:tr w:rsidR="00B656F6" w:rsidRPr="00634756" w14:paraId="71587B4D" w14:textId="77777777" w:rsidTr="008F0944">
        <w:trPr>
          <w:cantSplit/>
          <w:trHeight w:val="376"/>
        </w:trPr>
        <w:tc>
          <w:tcPr>
            <w:tcW w:w="131" w:type="pct"/>
            <w:tcBorders>
              <w:top w:val="nil"/>
              <w:left w:val="nil"/>
              <w:bottom w:val="nil"/>
              <w:right w:val="nil"/>
            </w:tcBorders>
            <w:shd w:val="clear" w:color="auto" w:fill="F2F2F2" w:themeFill="background1" w:themeFillShade="F2"/>
            <w:textDirection w:val="tbRlV"/>
          </w:tcPr>
          <w:p w14:paraId="7FB364B9" w14:textId="77777777" w:rsidR="00B656F6" w:rsidRPr="00EB4864" w:rsidRDefault="00B656F6" w:rsidP="008F0944">
            <w:pPr>
              <w:rPr>
                <w:rFonts w:ascii="Times New Roman" w:eastAsia="Times New Roman" w:hAnsi="Times New Roman" w:cs="Times New Roman"/>
                <w:b/>
                <w:sz w:val="15"/>
                <w:szCs w:val="15"/>
              </w:rPr>
            </w:pPr>
          </w:p>
        </w:tc>
        <w:tc>
          <w:tcPr>
            <w:tcW w:w="469" w:type="pct"/>
            <w:tcBorders>
              <w:top w:val="nil"/>
              <w:left w:val="nil"/>
              <w:bottom w:val="nil"/>
              <w:right w:val="nil"/>
            </w:tcBorders>
            <w:shd w:val="clear" w:color="auto" w:fill="F2F2F2" w:themeFill="background1" w:themeFillShade="F2"/>
            <w:noWrap/>
            <w:textDirection w:val="tbRlV"/>
            <w:vAlign w:val="center"/>
          </w:tcPr>
          <w:p w14:paraId="202C0DA3" w14:textId="77777777" w:rsidR="00B656F6" w:rsidRPr="008F0944" w:rsidRDefault="00B656F6" w:rsidP="008F0944">
            <w:pPr>
              <w:rPr>
                <w:rFonts w:ascii="Calibri" w:eastAsia="等线" w:hAnsi="Calibri" w:cs="Calibri"/>
                <w:b/>
                <w:color w:val="000000"/>
                <w:sz w:val="15"/>
                <w:szCs w:val="15"/>
              </w:rPr>
            </w:pPr>
          </w:p>
        </w:tc>
        <w:tc>
          <w:tcPr>
            <w:tcW w:w="508" w:type="pct"/>
            <w:gridSpan w:val="4"/>
            <w:tcBorders>
              <w:top w:val="nil"/>
              <w:left w:val="nil"/>
              <w:bottom w:val="nil"/>
              <w:right w:val="nil"/>
            </w:tcBorders>
            <w:shd w:val="clear" w:color="000000" w:fill="F8CBAD"/>
            <w:vAlign w:val="center"/>
          </w:tcPr>
          <w:p w14:paraId="5513E694" w14:textId="77777777" w:rsidR="00B656F6" w:rsidRPr="00EB4864" w:rsidRDefault="00B656F6" w:rsidP="008F0944">
            <w:pPr>
              <w:jc w:val="center"/>
              <w:rPr>
                <w:rFonts w:ascii="Calibri" w:eastAsia="等线" w:hAnsi="Calibri" w:cs="Calibri"/>
                <w:b/>
                <w:color w:val="000000"/>
                <w:sz w:val="15"/>
                <w:szCs w:val="15"/>
              </w:rPr>
            </w:pPr>
            <w:r w:rsidRPr="00EB4864">
              <w:rPr>
                <w:rFonts w:ascii="Calibri" w:eastAsia="等线" w:hAnsi="Calibri" w:cs="Calibri"/>
                <w:b/>
                <w:color w:val="000000"/>
                <w:sz w:val="15"/>
                <w:szCs w:val="15"/>
              </w:rPr>
              <w:t xml:space="preserve">Child </w:t>
            </w:r>
            <w:r>
              <w:rPr>
                <w:rFonts w:ascii="Calibri" w:eastAsia="等线" w:hAnsi="Calibri" w:cs="Calibri"/>
                <w:b/>
                <w:color w:val="000000"/>
                <w:sz w:val="15"/>
                <w:szCs w:val="15"/>
              </w:rPr>
              <w:t>n</w:t>
            </w:r>
            <w:r w:rsidRPr="00EB4864">
              <w:rPr>
                <w:rFonts w:ascii="Calibri" w:eastAsia="等线" w:hAnsi="Calibri" w:cs="Calibri"/>
                <w:b/>
                <w:color w:val="000000"/>
                <w:sz w:val="15"/>
                <w:szCs w:val="15"/>
              </w:rPr>
              <w:t>utrition</w:t>
            </w:r>
          </w:p>
        </w:tc>
        <w:tc>
          <w:tcPr>
            <w:tcW w:w="938" w:type="pct"/>
            <w:gridSpan w:val="7"/>
            <w:tcBorders>
              <w:top w:val="nil"/>
              <w:left w:val="nil"/>
              <w:bottom w:val="nil"/>
              <w:right w:val="nil"/>
            </w:tcBorders>
            <w:shd w:val="clear" w:color="000000" w:fill="FFD966"/>
            <w:vAlign w:val="center"/>
          </w:tcPr>
          <w:p w14:paraId="778196BA" w14:textId="77777777" w:rsidR="00B656F6" w:rsidRPr="00EB4864" w:rsidRDefault="00B656F6" w:rsidP="008F0944">
            <w:pPr>
              <w:jc w:val="center"/>
              <w:rPr>
                <w:rFonts w:ascii="Calibri" w:eastAsia="等线" w:hAnsi="Calibri" w:cs="Calibri"/>
                <w:b/>
                <w:color w:val="000000"/>
                <w:sz w:val="15"/>
                <w:szCs w:val="15"/>
              </w:rPr>
            </w:pPr>
            <w:r w:rsidRPr="00EB4864">
              <w:rPr>
                <w:rFonts w:ascii="Calibri" w:eastAsia="等线" w:hAnsi="Calibri" w:cs="Calibri"/>
                <w:b/>
                <w:color w:val="000000"/>
                <w:sz w:val="15"/>
                <w:szCs w:val="15"/>
              </w:rPr>
              <w:t xml:space="preserve">Maternal and </w:t>
            </w:r>
            <w:r>
              <w:rPr>
                <w:rFonts w:ascii="Calibri" w:eastAsia="等线" w:hAnsi="Calibri" w:cs="Calibri"/>
                <w:b/>
                <w:color w:val="000000"/>
                <w:sz w:val="15"/>
                <w:szCs w:val="15"/>
              </w:rPr>
              <w:t>c</w:t>
            </w:r>
            <w:r w:rsidRPr="00EB4864">
              <w:rPr>
                <w:rFonts w:ascii="Calibri" w:eastAsia="等线" w:hAnsi="Calibri" w:cs="Calibri"/>
                <w:b/>
                <w:color w:val="000000"/>
                <w:sz w:val="15"/>
                <w:szCs w:val="15"/>
              </w:rPr>
              <w:t xml:space="preserve">hild </w:t>
            </w:r>
            <w:r>
              <w:rPr>
                <w:rFonts w:ascii="Calibri" w:eastAsia="等线" w:hAnsi="Calibri" w:cs="Calibri"/>
                <w:b/>
                <w:color w:val="000000"/>
                <w:sz w:val="15"/>
                <w:szCs w:val="15"/>
              </w:rPr>
              <w:t>h</w:t>
            </w:r>
            <w:r w:rsidRPr="00EB4864">
              <w:rPr>
                <w:rFonts w:ascii="Calibri" w:eastAsia="等线" w:hAnsi="Calibri" w:cs="Calibri"/>
                <w:b/>
                <w:color w:val="000000"/>
                <w:sz w:val="15"/>
                <w:szCs w:val="15"/>
              </w:rPr>
              <w:t>ealth</w:t>
            </w:r>
          </w:p>
          <w:p w14:paraId="41804B0A" w14:textId="77777777" w:rsidR="00B656F6" w:rsidRPr="00EB4864" w:rsidRDefault="00B656F6" w:rsidP="008F0944">
            <w:pPr>
              <w:jc w:val="center"/>
              <w:rPr>
                <w:rFonts w:ascii="Calibri" w:eastAsia="等线" w:hAnsi="Calibri" w:cs="Calibri"/>
                <w:b/>
                <w:color w:val="000000"/>
                <w:sz w:val="15"/>
                <w:szCs w:val="15"/>
              </w:rPr>
            </w:pPr>
            <w:r>
              <w:rPr>
                <w:rFonts w:ascii="Calibri" w:eastAsia="等线" w:hAnsi="Calibri" w:cs="Calibri"/>
                <w:b/>
                <w:color w:val="000000"/>
                <w:sz w:val="15"/>
                <w:szCs w:val="15"/>
              </w:rPr>
              <w:t>and</w:t>
            </w:r>
            <w:r w:rsidRPr="00EB4864">
              <w:rPr>
                <w:rFonts w:ascii="Calibri" w:eastAsia="等线" w:hAnsi="Calibri" w:cs="Calibri"/>
                <w:b/>
                <w:color w:val="000000"/>
                <w:sz w:val="15"/>
                <w:szCs w:val="15"/>
              </w:rPr>
              <w:t xml:space="preserve"> </w:t>
            </w:r>
            <w:r>
              <w:rPr>
                <w:rFonts w:ascii="Calibri" w:eastAsia="等线" w:hAnsi="Calibri" w:cs="Calibri"/>
                <w:b/>
                <w:color w:val="000000"/>
                <w:sz w:val="15"/>
                <w:szCs w:val="15"/>
              </w:rPr>
              <w:t>r</w:t>
            </w:r>
            <w:r w:rsidRPr="00EB4864">
              <w:rPr>
                <w:rFonts w:ascii="Calibri" w:eastAsia="等线" w:hAnsi="Calibri" w:cs="Calibri"/>
                <w:b/>
                <w:color w:val="000000"/>
                <w:sz w:val="15"/>
                <w:szCs w:val="15"/>
              </w:rPr>
              <w:t xml:space="preserve">eproductive </w:t>
            </w:r>
            <w:r>
              <w:rPr>
                <w:rFonts w:ascii="Calibri" w:eastAsia="等线" w:hAnsi="Calibri" w:cs="Calibri"/>
                <w:b/>
                <w:color w:val="000000"/>
                <w:sz w:val="15"/>
                <w:szCs w:val="15"/>
              </w:rPr>
              <w:t>h</w:t>
            </w:r>
            <w:r w:rsidRPr="00EB4864">
              <w:rPr>
                <w:rFonts w:ascii="Calibri" w:eastAsia="等线" w:hAnsi="Calibri" w:cs="Calibri"/>
                <w:b/>
                <w:color w:val="000000"/>
                <w:sz w:val="15"/>
                <w:szCs w:val="15"/>
              </w:rPr>
              <w:t>ealth</w:t>
            </w:r>
          </w:p>
        </w:tc>
        <w:tc>
          <w:tcPr>
            <w:tcW w:w="754" w:type="pct"/>
            <w:gridSpan w:val="6"/>
            <w:tcBorders>
              <w:top w:val="nil"/>
              <w:left w:val="nil"/>
              <w:bottom w:val="nil"/>
              <w:right w:val="nil"/>
            </w:tcBorders>
            <w:shd w:val="clear" w:color="000000" w:fill="FF6699"/>
            <w:vAlign w:val="center"/>
          </w:tcPr>
          <w:p w14:paraId="71CBA701" w14:textId="77777777" w:rsidR="00B656F6" w:rsidRPr="00EB4864" w:rsidRDefault="00B656F6" w:rsidP="008F0944">
            <w:pPr>
              <w:jc w:val="center"/>
              <w:rPr>
                <w:rFonts w:ascii="Calibri" w:eastAsia="等线" w:hAnsi="Calibri" w:cs="Calibri"/>
                <w:b/>
                <w:color w:val="000000"/>
                <w:sz w:val="15"/>
                <w:szCs w:val="15"/>
              </w:rPr>
            </w:pPr>
            <w:r w:rsidRPr="00EB4864">
              <w:rPr>
                <w:rFonts w:ascii="Calibri" w:eastAsia="等线" w:hAnsi="Calibri" w:cs="Calibri"/>
                <w:b/>
                <w:color w:val="000000"/>
                <w:sz w:val="15"/>
                <w:szCs w:val="15"/>
              </w:rPr>
              <w:t xml:space="preserve">Infectious </w:t>
            </w:r>
            <w:r>
              <w:rPr>
                <w:rFonts w:ascii="Calibri" w:eastAsia="等线" w:hAnsi="Calibri" w:cs="Calibri"/>
                <w:b/>
                <w:color w:val="000000"/>
                <w:sz w:val="15"/>
                <w:szCs w:val="15"/>
              </w:rPr>
              <w:t>d</w:t>
            </w:r>
            <w:r w:rsidRPr="00EB4864">
              <w:rPr>
                <w:rFonts w:ascii="Calibri" w:eastAsia="等线" w:hAnsi="Calibri" w:cs="Calibri"/>
                <w:b/>
                <w:color w:val="000000"/>
                <w:sz w:val="15"/>
                <w:szCs w:val="15"/>
              </w:rPr>
              <w:t>iseases</w:t>
            </w:r>
          </w:p>
        </w:tc>
        <w:tc>
          <w:tcPr>
            <w:tcW w:w="366" w:type="pct"/>
            <w:gridSpan w:val="3"/>
            <w:tcBorders>
              <w:top w:val="nil"/>
              <w:left w:val="nil"/>
              <w:bottom w:val="nil"/>
              <w:right w:val="nil"/>
            </w:tcBorders>
            <w:shd w:val="clear" w:color="000000" w:fill="A9D08E"/>
            <w:vAlign w:val="center"/>
          </w:tcPr>
          <w:p w14:paraId="2CD2D28B" w14:textId="77777777" w:rsidR="00B656F6" w:rsidRPr="00EB4864" w:rsidRDefault="00B656F6" w:rsidP="008F0944">
            <w:pPr>
              <w:jc w:val="center"/>
              <w:rPr>
                <w:rFonts w:ascii="Calibri" w:eastAsia="等线" w:hAnsi="Calibri" w:cs="Calibri"/>
                <w:b/>
                <w:color w:val="000000"/>
                <w:sz w:val="15"/>
                <w:szCs w:val="15"/>
              </w:rPr>
            </w:pPr>
            <w:r w:rsidRPr="00EB4864">
              <w:rPr>
                <w:rFonts w:ascii="Calibri" w:eastAsia="等线" w:hAnsi="Calibri" w:cs="Calibri"/>
                <w:b/>
                <w:color w:val="000000"/>
                <w:sz w:val="15"/>
                <w:szCs w:val="15"/>
              </w:rPr>
              <w:t xml:space="preserve">NCD </w:t>
            </w:r>
            <w:r>
              <w:rPr>
                <w:rFonts w:ascii="Calibri" w:eastAsia="等线" w:hAnsi="Calibri" w:cs="Calibri"/>
                <w:b/>
                <w:color w:val="000000"/>
                <w:sz w:val="15"/>
                <w:szCs w:val="15"/>
              </w:rPr>
              <w:t>and m</w:t>
            </w:r>
            <w:r w:rsidRPr="00EB4864">
              <w:rPr>
                <w:rFonts w:ascii="Calibri" w:eastAsia="等线" w:hAnsi="Calibri" w:cs="Calibri"/>
                <w:b/>
                <w:color w:val="000000"/>
                <w:sz w:val="15"/>
                <w:szCs w:val="15"/>
              </w:rPr>
              <w:t xml:space="preserve">ental </w:t>
            </w:r>
            <w:r>
              <w:rPr>
                <w:rFonts w:ascii="Calibri" w:eastAsia="等线" w:hAnsi="Calibri" w:cs="Calibri"/>
                <w:b/>
                <w:color w:val="000000"/>
                <w:sz w:val="15"/>
                <w:szCs w:val="15"/>
              </w:rPr>
              <w:t>h</w:t>
            </w:r>
            <w:r w:rsidRPr="00EB4864">
              <w:rPr>
                <w:rFonts w:ascii="Calibri" w:eastAsia="等线" w:hAnsi="Calibri" w:cs="Calibri"/>
                <w:b/>
                <w:color w:val="000000"/>
                <w:sz w:val="15"/>
                <w:szCs w:val="15"/>
              </w:rPr>
              <w:t>ealth</w:t>
            </w:r>
          </w:p>
        </w:tc>
        <w:tc>
          <w:tcPr>
            <w:tcW w:w="366" w:type="pct"/>
            <w:gridSpan w:val="3"/>
            <w:tcBorders>
              <w:top w:val="nil"/>
              <w:left w:val="nil"/>
              <w:bottom w:val="nil"/>
              <w:right w:val="nil"/>
            </w:tcBorders>
            <w:shd w:val="clear" w:color="000000" w:fill="CCFF33"/>
            <w:vAlign w:val="center"/>
          </w:tcPr>
          <w:p w14:paraId="2EE3D7AB" w14:textId="77777777" w:rsidR="00B656F6" w:rsidRPr="00EB4864" w:rsidRDefault="00B656F6" w:rsidP="008F0944">
            <w:pPr>
              <w:jc w:val="center"/>
              <w:rPr>
                <w:rFonts w:ascii="Calibri" w:eastAsia="等线" w:hAnsi="Calibri" w:cs="Calibri"/>
                <w:b/>
                <w:color w:val="000000"/>
                <w:sz w:val="15"/>
                <w:szCs w:val="15"/>
              </w:rPr>
            </w:pPr>
            <w:r w:rsidRPr="00EB4864">
              <w:rPr>
                <w:rFonts w:ascii="Calibri" w:eastAsia="等线" w:hAnsi="Calibri" w:cs="Calibri"/>
                <w:b/>
                <w:color w:val="000000"/>
                <w:sz w:val="15"/>
                <w:szCs w:val="15"/>
              </w:rPr>
              <w:t xml:space="preserve">NCD </w:t>
            </w:r>
            <w:r>
              <w:rPr>
                <w:rFonts w:ascii="Calibri" w:eastAsia="等线" w:hAnsi="Calibri" w:cs="Calibri"/>
                <w:b/>
                <w:color w:val="000000"/>
                <w:sz w:val="15"/>
                <w:szCs w:val="15"/>
              </w:rPr>
              <w:t>r</w:t>
            </w:r>
            <w:r w:rsidRPr="00EB4864">
              <w:rPr>
                <w:rFonts w:ascii="Calibri" w:eastAsia="等线" w:hAnsi="Calibri" w:cs="Calibri"/>
                <w:b/>
                <w:color w:val="000000"/>
                <w:sz w:val="15"/>
                <w:szCs w:val="15"/>
              </w:rPr>
              <w:t xml:space="preserve">isk </w:t>
            </w:r>
            <w:r>
              <w:rPr>
                <w:rFonts w:ascii="Calibri" w:eastAsia="等线" w:hAnsi="Calibri" w:cs="Calibri"/>
                <w:b/>
                <w:color w:val="000000"/>
                <w:sz w:val="15"/>
                <w:szCs w:val="15"/>
              </w:rPr>
              <w:t>f</w:t>
            </w:r>
            <w:r w:rsidRPr="00EB4864">
              <w:rPr>
                <w:rFonts w:ascii="Calibri" w:eastAsia="等线" w:hAnsi="Calibri" w:cs="Calibri"/>
                <w:b/>
                <w:color w:val="000000"/>
                <w:sz w:val="15"/>
                <w:szCs w:val="15"/>
              </w:rPr>
              <w:t>actors</w:t>
            </w:r>
          </w:p>
        </w:tc>
        <w:tc>
          <w:tcPr>
            <w:tcW w:w="122" w:type="pct"/>
            <w:tcBorders>
              <w:top w:val="nil"/>
              <w:left w:val="nil"/>
              <w:bottom w:val="nil"/>
              <w:right w:val="nil"/>
            </w:tcBorders>
            <w:shd w:val="clear" w:color="000000" w:fill="CC3300"/>
            <w:vAlign w:val="center"/>
          </w:tcPr>
          <w:p w14:paraId="75D5854C" w14:textId="77777777" w:rsidR="00B656F6" w:rsidRPr="00EB4864" w:rsidRDefault="00B656F6" w:rsidP="008F0944">
            <w:pPr>
              <w:jc w:val="center"/>
              <w:rPr>
                <w:rFonts w:ascii="Calibri" w:eastAsia="等线" w:hAnsi="Calibri" w:cs="Calibri"/>
                <w:b/>
                <w:color w:val="000000"/>
                <w:sz w:val="15"/>
                <w:szCs w:val="15"/>
              </w:rPr>
            </w:pPr>
          </w:p>
        </w:tc>
        <w:tc>
          <w:tcPr>
            <w:tcW w:w="489" w:type="pct"/>
            <w:gridSpan w:val="4"/>
            <w:tcBorders>
              <w:top w:val="nil"/>
              <w:left w:val="nil"/>
              <w:bottom w:val="nil"/>
              <w:right w:val="nil"/>
            </w:tcBorders>
            <w:shd w:val="clear" w:color="000000" w:fill="00B0F0"/>
            <w:vAlign w:val="center"/>
          </w:tcPr>
          <w:p w14:paraId="1B67AE12" w14:textId="77777777" w:rsidR="00B656F6" w:rsidRPr="00EB4864" w:rsidRDefault="00B656F6" w:rsidP="008F0944">
            <w:pPr>
              <w:jc w:val="center"/>
              <w:rPr>
                <w:rFonts w:ascii="Calibri" w:eastAsia="等线" w:hAnsi="Calibri" w:cs="Calibri"/>
                <w:b/>
                <w:color w:val="000000"/>
                <w:sz w:val="15"/>
                <w:szCs w:val="15"/>
              </w:rPr>
            </w:pPr>
            <w:r w:rsidRPr="00EB4864">
              <w:rPr>
                <w:rFonts w:ascii="Calibri" w:eastAsia="等线" w:hAnsi="Calibri" w:cs="Calibri"/>
                <w:b/>
                <w:color w:val="000000"/>
                <w:sz w:val="15"/>
                <w:szCs w:val="15"/>
              </w:rPr>
              <w:t xml:space="preserve">Environmental </w:t>
            </w:r>
            <w:r>
              <w:rPr>
                <w:rFonts w:ascii="Calibri" w:eastAsia="等线" w:hAnsi="Calibri" w:cs="Calibri"/>
                <w:b/>
                <w:color w:val="000000"/>
                <w:sz w:val="15"/>
                <w:szCs w:val="15"/>
              </w:rPr>
              <w:t>o</w:t>
            </w:r>
            <w:r w:rsidRPr="00EB4864">
              <w:rPr>
                <w:rFonts w:ascii="Calibri" w:eastAsia="等线" w:hAnsi="Calibri" w:cs="Calibri"/>
                <w:b/>
                <w:color w:val="000000"/>
                <w:sz w:val="15"/>
                <w:szCs w:val="15"/>
              </w:rPr>
              <w:t>utcomes</w:t>
            </w:r>
          </w:p>
        </w:tc>
        <w:tc>
          <w:tcPr>
            <w:tcW w:w="734" w:type="pct"/>
            <w:gridSpan w:val="6"/>
            <w:tcBorders>
              <w:top w:val="nil"/>
              <w:left w:val="nil"/>
              <w:bottom w:val="nil"/>
              <w:right w:val="nil"/>
            </w:tcBorders>
            <w:shd w:val="clear" w:color="auto" w:fill="8496B0" w:themeFill="text2" w:themeFillTint="99"/>
            <w:vAlign w:val="center"/>
          </w:tcPr>
          <w:p w14:paraId="738DACF2" w14:textId="77777777" w:rsidR="00B656F6" w:rsidRPr="00EB4864" w:rsidRDefault="00B656F6" w:rsidP="008F0944">
            <w:pPr>
              <w:jc w:val="center"/>
              <w:rPr>
                <w:rFonts w:ascii="Calibri" w:eastAsia="等线" w:hAnsi="Calibri" w:cs="Calibri"/>
                <w:b/>
                <w:color w:val="000000"/>
                <w:sz w:val="15"/>
                <w:szCs w:val="15"/>
              </w:rPr>
            </w:pPr>
            <w:r w:rsidRPr="00EB4864">
              <w:rPr>
                <w:rFonts w:ascii="Calibri" w:eastAsia="等线" w:hAnsi="Calibri" w:cs="Calibri"/>
                <w:b/>
                <w:color w:val="000000"/>
                <w:sz w:val="15"/>
                <w:szCs w:val="15"/>
              </w:rPr>
              <w:t xml:space="preserve">Environmental </w:t>
            </w:r>
            <w:r>
              <w:rPr>
                <w:rFonts w:ascii="Calibri" w:eastAsia="等线" w:hAnsi="Calibri" w:cs="Calibri"/>
                <w:b/>
                <w:color w:val="000000"/>
                <w:sz w:val="15"/>
                <w:szCs w:val="15"/>
              </w:rPr>
              <w:t>f</w:t>
            </w:r>
            <w:r w:rsidRPr="00EB4864">
              <w:rPr>
                <w:rFonts w:ascii="Calibri" w:eastAsia="等线" w:hAnsi="Calibri" w:cs="Calibri"/>
                <w:b/>
                <w:color w:val="000000"/>
                <w:sz w:val="15"/>
                <w:szCs w:val="15"/>
              </w:rPr>
              <w:t>actors</w:t>
            </w:r>
          </w:p>
        </w:tc>
        <w:tc>
          <w:tcPr>
            <w:tcW w:w="122" w:type="pct"/>
            <w:tcBorders>
              <w:top w:val="nil"/>
              <w:left w:val="nil"/>
              <w:bottom w:val="nil"/>
              <w:right w:val="nil"/>
            </w:tcBorders>
            <w:shd w:val="clear" w:color="000000" w:fill="9999FF"/>
            <w:textDirection w:val="btLr"/>
            <w:vAlign w:val="center"/>
          </w:tcPr>
          <w:p w14:paraId="1D30B9E6" w14:textId="77777777" w:rsidR="00B656F6" w:rsidRPr="00EB4864" w:rsidRDefault="00B656F6" w:rsidP="008F0944">
            <w:pPr>
              <w:rPr>
                <w:rFonts w:ascii="Calibri" w:eastAsia="等线" w:hAnsi="Calibri" w:cs="Calibri"/>
                <w:b/>
                <w:color w:val="000000"/>
                <w:sz w:val="15"/>
                <w:szCs w:val="15"/>
              </w:rPr>
            </w:pPr>
          </w:p>
        </w:tc>
      </w:tr>
      <w:tr w:rsidR="00B656F6" w:rsidRPr="00634756" w14:paraId="6D0CDD45" w14:textId="77777777" w:rsidTr="008F0944">
        <w:trPr>
          <w:cantSplit/>
          <w:trHeight w:val="1226"/>
        </w:trPr>
        <w:tc>
          <w:tcPr>
            <w:tcW w:w="599" w:type="pct"/>
            <w:gridSpan w:val="2"/>
            <w:tcBorders>
              <w:top w:val="nil"/>
              <w:left w:val="nil"/>
              <w:bottom w:val="nil"/>
              <w:right w:val="nil"/>
            </w:tcBorders>
            <w:shd w:val="clear" w:color="auto" w:fill="F2F2F2" w:themeFill="background1" w:themeFillShade="F2"/>
            <w:textDirection w:val="tbRlV"/>
            <w:vAlign w:val="center"/>
          </w:tcPr>
          <w:p w14:paraId="6A7F3580" w14:textId="77777777" w:rsidR="00B656F6" w:rsidRPr="008F0944" w:rsidRDefault="00B656F6" w:rsidP="008F0944">
            <w:pPr>
              <w:jc w:val="center"/>
              <w:rPr>
                <w:rFonts w:ascii="Calibri" w:eastAsia="等线" w:hAnsi="Calibri" w:cs="Calibri"/>
                <w:b/>
                <w:color w:val="000000"/>
                <w:sz w:val="15"/>
                <w:szCs w:val="15"/>
              </w:rPr>
            </w:pPr>
            <w:r w:rsidRPr="008F0944">
              <w:rPr>
                <w:rFonts w:ascii="Calibri" w:eastAsia="等线" w:hAnsi="Calibri" w:cs="Calibri"/>
                <w:b/>
                <w:color w:val="000000"/>
                <w:sz w:val="15"/>
                <w:szCs w:val="15"/>
              </w:rPr>
              <w:t>Provinces</w:t>
            </w:r>
          </w:p>
        </w:tc>
        <w:tc>
          <w:tcPr>
            <w:tcW w:w="122" w:type="pct"/>
            <w:tcBorders>
              <w:top w:val="nil"/>
              <w:left w:val="nil"/>
              <w:bottom w:val="nil"/>
              <w:right w:val="nil"/>
            </w:tcBorders>
            <w:shd w:val="clear" w:color="000000" w:fill="F8CBAD"/>
            <w:textDirection w:val="btLr"/>
            <w:vAlign w:val="center"/>
            <w:hideMark/>
          </w:tcPr>
          <w:p w14:paraId="2D346B82" w14:textId="77777777" w:rsidR="00B656F6" w:rsidRPr="00EB4864" w:rsidRDefault="00B656F6" w:rsidP="008F0944">
            <w:pPr>
              <w:rPr>
                <w:rFonts w:ascii="Calibri" w:eastAsia="等线" w:hAnsi="Calibri" w:cs="Calibri"/>
                <w:b/>
                <w:color w:val="000000"/>
                <w:sz w:val="15"/>
                <w:szCs w:val="15"/>
              </w:rPr>
            </w:pPr>
            <w:r w:rsidRPr="00EB4864">
              <w:rPr>
                <w:rFonts w:ascii="Calibri" w:eastAsia="等线" w:hAnsi="Calibri" w:cs="Calibri"/>
                <w:b/>
                <w:color w:val="000000"/>
                <w:sz w:val="15"/>
                <w:szCs w:val="15"/>
              </w:rPr>
              <w:t xml:space="preserve">Child </w:t>
            </w:r>
            <w:r>
              <w:rPr>
                <w:rFonts w:ascii="Calibri" w:eastAsia="等线" w:hAnsi="Calibri" w:cs="Calibri"/>
                <w:b/>
                <w:color w:val="000000"/>
                <w:sz w:val="15"/>
                <w:szCs w:val="15"/>
              </w:rPr>
              <w:t>s</w:t>
            </w:r>
            <w:r w:rsidRPr="00EB4864">
              <w:rPr>
                <w:rFonts w:ascii="Calibri" w:eastAsia="等线" w:hAnsi="Calibri" w:cs="Calibri"/>
                <w:b/>
                <w:color w:val="000000"/>
                <w:sz w:val="15"/>
                <w:szCs w:val="15"/>
              </w:rPr>
              <w:t>tunting</w:t>
            </w:r>
          </w:p>
        </w:tc>
        <w:tc>
          <w:tcPr>
            <w:tcW w:w="143" w:type="pct"/>
            <w:tcBorders>
              <w:top w:val="nil"/>
              <w:left w:val="nil"/>
              <w:bottom w:val="nil"/>
              <w:right w:val="nil"/>
            </w:tcBorders>
            <w:shd w:val="clear" w:color="000000" w:fill="F8CBAD"/>
            <w:textDirection w:val="btLr"/>
            <w:vAlign w:val="center"/>
            <w:hideMark/>
          </w:tcPr>
          <w:p w14:paraId="4F0D254E" w14:textId="77777777" w:rsidR="00B656F6" w:rsidRPr="00EB4864" w:rsidRDefault="00B656F6" w:rsidP="008F0944">
            <w:pPr>
              <w:rPr>
                <w:rFonts w:ascii="Calibri" w:eastAsia="等线" w:hAnsi="Calibri" w:cs="Calibri"/>
                <w:b/>
                <w:color w:val="000000"/>
                <w:sz w:val="15"/>
                <w:szCs w:val="15"/>
              </w:rPr>
            </w:pPr>
            <w:r w:rsidRPr="00EB4864">
              <w:rPr>
                <w:rFonts w:ascii="Calibri" w:eastAsia="等线" w:hAnsi="Calibri" w:cs="Calibri"/>
                <w:b/>
                <w:color w:val="000000"/>
                <w:sz w:val="15"/>
                <w:szCs w:val="15"/>
              </w:rPr>
              <w:t xml:space="preserve">Child </w:t>
            </w:r>
            <w:r>
              <w:rPr>
                <w:rFonts w:ascii="Calibri" w:eastAsia="等线" w:hAnsi="Calibri" w:cs="Calibri"/>
                <w:b/>
                <w:color w:val="000000"/>
                <w:sz w:val="15"/>
                <w:szCs w:val="15"/>
              </w:rPr>
              <w:t>w</w:t>
            </w:r>
            <w:r w:rsidRPr="00EB4864">
              <w:rPr>
                <w:rFonts w:ascii="Calibri" w:eastAsia="等线" w:hAnsi="Calibri" w:cs="Calibri"/>
                <w:b/>
                <w:color w:val="000000"/>
                <w:sz w:val="15"/>
                <w:szCs w:val="15"/>
              </w:rPr>
              <w:t>asting</w:t>
            </w:r>
          </w:p>
        </w:tc>
        <w:tc>
          <w:tcPr>
            <w:tcW w:w="122" w:type="pct"/>
            <w:tcBorders>
              <w:top w:val="nil"/>
              <w:left w:val="nil"/>
              <w:bottom w:val="nil"/>
              <w:right w:val="nil"/>
            </w:tcBorders>
            <w:shd w:val="clear" w:color="000000" w:fill="F8CBAD"/>
            <w:textDirection w:val="btLr"/>
            <w:vAlign w:val="center"/>
            <w:hideMark/>
          </w:tcPr>
          <w:p w14:paraId="465CFB53" w14:textId="77777777" w:rsidR="00B656F6" w:rsidRPr="00EB4864" w:rsidRDefault="00B656F6" w:rsidP="008F0944">
            <w:pPr>
              <w:rPr>
                <w:rFonts w:ascii="Calibri" w:eastAsia="等线" w:hAnsi="Calibri" w:cs="Calibri"/>
                <w:b/>
                <w:color w:val="000000"/>
                <w:sz w:val="15"/>
                <w:szCs w:val="15"/>
              </w:rPr>
            </w:pPr>
            <w:r w:rsidRPr="00EB4864">
              <w:rPr>
                <w:rFonts w:ascii="Calibri" w:eastAsia="等线" w:hAnsi="Calibri" w:cs="Calibri"/>
                <w:b/>
                <w:color w:val="000000"/>
                <w:sz w:val="15"/>
                <w:szCs w:val="15"/>
              </w:rPr>
              <w:t xml:space="preserve">Child </w:t>
            </w:r>
            <w:r>
              <w:rPr>
                <w:rFonts w:ascii="Calibri" w:eastAsia="等线" w:hAnsi="Calibri" w:cs="Calibri"/>
                <w:b/>
                <w:color w:val="000000"/>
                <w:sz w:val="15"/>
                <w:szCs w:val="15"/>
              </w:rPr>
              <w:t>o</w:t>
            </w:r>
            <w:r w:rsidRPr="00EB4864">
              <w:rPr>
                <w:rFonts w:ascii="Calibri" w:eastAsia="等线" w:hAnsi="Calibri" w:cs="Calibri"/>
                <w:b/>
                <w:color w:val="000000"/>
                <w:sz w:val="15"/>
                <w:szCs w:val="15"/>
              </w:rPr>
              <w:t>verweight</w:t>
            </w:r>
          </w:p>
        </w:tc>
        <w:tc>
          <w:tcPr>
            <w:tcW w:w="122" w:type="pct"/>
            <w:tcBorders>
              <w:top w:val="nil"/>
              <w:left w:val="nil"/>
              <w:bottom w:val="nil"/>
              <w:right w:val="nil"/>
            </w:tcBorders>
            <w:shd w:val="clear" w:color="000000" w:fill="F8CBAD"/>
            <w:textDirection w:val="btLr"/>
            <w:vAlign w:val="center"/>
            <w:hideMark/>
          </w:tcPr>
          <w:p w14:paraId="78227EC2" w14:textId="77777777" w:rsidR="00B656F6" w:rsidRPr="00EB4864" w:rsidRDefault="00B656F6" w:rsidP="008F0944">
            <w:pPr>
              <w:rPr>
                <w:rFonts w:ascii="Calibri" w:eastAsia="等线" w:hAnsi="Calibri" w:cs="Calibri"/>
                <w:b/>
                <w:color w:val="000000"/>
                <w:sz w:val="15"/>
                <w:szCs w:val="15"/>
              </w:rPr>
            </w:pPr>
            <w:r w:rsidRPr="00EB4864">
              <w:rPr>
                <w:rFonts w:ascii="Calibri" w:eastAsia="等线" w:hAnsi="Calibri" w:cs="Calibri"/>
                <w:b/>
                <w:color w:val="000000"/>
                <w:sz w:val="15"/>
                <w:szCs w:val="15"/>
              </w:rPr>
              <w:t>Subtotal</w:t>
            </w:r>
          </w:p>
        </w:tc>
        <w:tc>
          <w:tcPr>
            <w:tcW w:w="143" w:type="pct"/>
            <w:tcBorders>
              <w:top w:val="nil"/>
              <w:left w:val="nil"/>
              <w:bottom w:val="nil"/>
              <w:right w:val="nil"/>
            </w:tcBorders>
            <w:shd w:val="clear" w:color="000000" w:fill="FFD966"/>
            <w:textDirection w:val="btLr"/>
            <w:vAlign w:val="center"/>
            <w:hideMark/>
          </w:tcPr>
          <w:p w14:paraId="5E65CFFC" w14:textId="77777777" w:rsidR="00B656F6" w:rsidRPr="00EB4864" w:rsidRDefault="00B656F6" w:rsidP="008F0944">
            <w:pPr>
              <w:rPr>
                <w:rFonts w:ascii="Calibri" w:eastAsia="等线" w:hAnsi="Calibri" w:cs="Calibri"/>
                <w:b/>
                <w:color w:val="000000"/>
                <w:sz w:val="15"/>
                <w:szCs w:val="15"/>
              </w:rPr>
            </w:pPr>
            <w:r w:rsidRPr="00EB4864">
              <w:rPr>
                <w:rFonts w:ascii="Calibri" w:eastAsia="等线" w:hAnsi="Calibri" w:cs="Calibri"/>
                <w:b/>
                <w:color w:val="000000"/>
                <w:sz w:val="15"/>
                <w:szCs w:val="15"/>
              </w:rPr>
              <w:t xml:space="preserve">Mat Mort </w:t>
            </w:r>
            <w:r>
              <w:rPr>
                <w:rFonts w:ascii="Calibri" w:eastAsia="等线" w:hAnsi="Calibri" w:cs="Calibri"/>
                <w:b/>
                <w:color w:val="000000"/>
                <w:sz w:val="15"/>
                <w:szCs w:val="15"/>
              </w:rPr>
              <w:t>r</w:t>
            </w:r>
            <w:r w:rsidRPr="00EB4864">
              <w:rPr>
                <w:rFonts w:ascii="Calibri" w:eastAsia="等线" w:hAnsi="Calibri" w:cs="Calibri"/>
                <w:b/>
                <w:color w:val="000000"/>
                <w:sz w:val="15"/>
                <w:szCs w:val="15"/>
              </w:rPr>
              <w:t>atio</w:t>
            </w:r>
          </w:p>
        </w:tc>
        <w:tc>
          <w:tcPr>
            <w:tcW w:w="122" w:type="pct"/>
            <w:tcBorders>
              <w:top w:val="nil"/>
              <w:left w:val="nil"/>
              <w:bottom w:val="nil"/>
              <w:right w:val="nil"/>
            </w:tcBorders>
            <w:shd w:val="clear" w:color="000000" w:fill="FFD966"/>
            <w:textDirection w:val="btLr"/>
            <w:vAlign w:val="center"/>
            <w:hideMark/>
          </w:tcPr>
          <w:p w14:paraId="02E8EBF7" w14:textId="77777777" w:rsidR="00B656F6" w:rsidRPr="00EB4864" w:rsidRDefault="00B656F6" w:rsidP="008F0944">
            <w:pPr>
              <w:rPr>
                <w:rFonts w:ascii="Calibri" w:eastAsia="等线" w:hAnsi="Calibri" w:cs="Calibri"/>
                <w:b/>
                <w:color w:val="000000"/>
                <w:sz w:val="15"/>
                <w:szCs w:val="15"/>
              </w:rPr>
            </w:pPr>
            <w:r w:rsidRPr="00EB4864">
              <w:rPr>
                <w:rFonts w:ascii="Calibri" w:eastAsia="等线" w:hAnsi="Calibri" w:cs="Calibri"/>
                <w:b/>
                <w:color w:val="000000"/>
                <w:sz w:val="15"/>
                <w:szCs w:val="15"/>
              </w:rPr>
              <w:t xml:space="preserve">Skilled </w:t>
            </w:r>
            <w:r>
              <w:rPr>
                <w:rFonts w:ascii="Calibri" w:eastAsia="等线" w:hAnsi="Calibri" w:cs="Calibri"/>
                <w:b/>
                <w:color w:val="000000"/>
                <w:sz w:val="15"/>
                <w:szCs w:val="15"/>
              </w:rPr>
              <w:t>b</w:t>
            </w:r>
            <w:r w:rsidRPr="00EB4864">
              <w:rPr>
                <w:rFonts w:ascii="Calibri" w:eastAsia="等线" w:hAnsi="Calibri" w:cs="Calibri"/>
                <w:b/>
                <w:color w:val="000000"/>
                <w:sz w:val="15"/>
                <w:szCs w:val="15"/>
              </w:rPr>
              <w:t xml:space="preserve">irth </w:t>
            </w:r>
            <w:r>
              <w:rPr>
                <w:rFonts w:ascii="Calibri" w:eastAsia="等线" w:hAnsi="Calibri" w:cs="Calibri"/>
                <w:b/>
                <w:color w:val="000000"/>
                <w:sz w:val="15"/>
                <w:szCs w:val="15"/>
              </w:rPr>
              <w:t>a</w:t>
            </w:r>
            <w:r w:rsidRPr="00EB4864">
              <w:rPr>
                <w:rFonts w:ascii="Calibri" w:eastAsia="等线" w:hAnsi="Calibri" w:cs="Calibri"/>
                <w:b/>
                <w:color w:val="000000"/>
                <w:sz w:val="15"/>
                <w:szCs w:val="15"/>
              </w:rPr>
              <w:t>ttend</w:t>
            </w:r>
          </w:p>
        </w:tc>
        <w:tc>
          <w:tcPr>
            <w:tcW w:w="143" w:type="pct"/>
            <w:tcBorders>
              <w:top w:val="nil"/>
              <w:left w:val="nil"/>
              <w:bottom w:val="nil"/>
              <w:right w:val="nil"/>
            </w:tcBorders>
            <w:shd w:val="clear" w:color="000000" w:fill="FFD966"/>
            <w:textDirection w:val="btLr"/>
            <w:vAlign w:val="center"/>
            <w:hideMark/>
          </w:tcPr>
          <w:p w14:paraId="3CB1080C" w14:textId="77777777" w:rsidR="00B656F6" w:rsidRPr="00EB4864" w:rsidRDefault="00B656F6" w:rsidP="008F0944">
            <w:pPr>
              <w:rPr>
                <w:rFonts w:ascii="Calibri" w:eastAsia="等线" w:hAnsi="Calibri" w:cs="Calibri"/>
                <w:b/>
                <w:color w:val="000000"/>
                <w:sz w:val="15"/>
                <w:szCs w:val="15"/>
              </w:rPr>
            </w:pPr>
            <w:r w:rsidRPr="00EB4864">
              <w:rPr>
                <w:rFonts w:ascii="Calibri" w:eastAsia="等线" w:hAnsi="Calibri" w:cs="Calibri"/>
                <w:b/>
                <w:color w:val="000000"/>
                <w:sz w:val="15"/>
                <w:szCs w:val="15"/>
              </w:rPr>
              <w:t>Under-5 Mort</w:t>
            </w:r>
          </w:p>
        </w:tc>
        <w:tc>
          <w:tcPr>
            <w:tcW w:w="143" w:type="pct"/>
            <w:tcBorders>
              <w:top w:val="nil"/>
              <w:left w:val="nil"/>
              <w:bottom w:val="nil"/>
              <w:right w:val="nil"/>
            </w:tcBorders>
            <w:shd w:val="clear" w:color="000000" w:fill="FFD966"/>
            <w:textDirection w:val="btLr"/>
            <w:vAlign w:val="center"/>
            <w:hideMark/>
          </w:tcPr>
          <w:p w14:paraId="6E8E795E" w14:textId="77777777" w:rsidR="00B656F6" w:rsidRPr="00EB4864" w:rsidRDefault="00B656F6" w:rsidP="008F0944">
            <w:pPr>
              <w:rPr>
                <w:rFonts w:ascii="Calibri" w:eastAsia="等线" w:hAnsi="Calibri" w:cs="Calibri"/>
                <w:b/>
                <w:color w:val="000000"/>
                <w:sz w:val="15"/>
                <w:szCs w:val="15"/>
              </w:rPr>
            </w:pPr>
            <w:r w:rsidRPr="00EB4864">
              <w:rPr>
                <w:rFonts w:ascii="Calibri" w:eastAsia="等线" w:hAnsi="Calibri" w:cs="Calibri"/>
                <w:b/>
                <w:color w:val="000000"/>
                <w:sz w:val="15"/>
                <w:szCs w:val="15"/>
              </w:rPr>
              <w:t>Neonatal Mort</w:t>
            </w:r>
          </w:p>
        </w:tc>
        <w:tc>
          <w:tcPr>
            <w:tcW w:w="143" w:type="pct"/>
            <w:tcBorders>
              <w:top w:val="nil"/>
              <w:left w:val="nil"/>
              <w:bottom w:val="nil"/>
              <w:right w:val="nil"/>
            </w:tcBorders>
            <w:shd w:val="clear" w:color="000000" w:fill="FFD966"/>
            <w:textDirection w:val="btLr"/>
            <w:vAlign w:val="center"/>
            <w:hideMark/>
          </w:tcPr>
          <w:p w14:paraId="6AD30727" w14:textId="77777777" w:rsidR="00B656F6" w:rsidRPr="00EB4864" w:rsidRDefault="00B656F6" w:rsidP="008F0944">
            <w:pPr>
              <w:rPr>
                <w:rFonts w:ascii="Calibri" w:eastAsia="等线" w:hAnsi="Calibri" w:cs="Calibri"/>
                <w:b/>
                <w:color w:val="000000"/>
                <w:sz w:val="15"/>
                <w:szCs w:val="15"/>
              </w:rPr>
            </w:pPr>
            <w:r w:rsidRPr="00EB4864">
              <w:rPr>
                <w:rFonts w:ascii="Calibri" w:eastAsia="等线" w:hAnsi="Calibri" w:cs="Calibri"/>
                <w:b/>
                <w:color w:val="000000"/>
                <w:sz w:val="15"/>
                <w:szCs w:val="15"/>
              </w:rPr>
              <w:t>Vaccine Cov</w:t>
            </w:r>
          </w:p>
        </w:tc>
        <w:tc>
          <w:tcPr>
            <w:tcW w:w="122" w:type="pct"/>
            <w:tcBorders>
              <w:top w:val="nil"/>
              <w:left w:val="nil"/>
              <w:bottom w:val="nil"/>
              <w:right w:val="nil"/>
            </w:tcBorders>
            <w:shd w:val="clear" w:color="000000" w:fill="FFD966"/>
            <w:textDirection w:val="btLr"/>
            <w:vAlign w:val="center"/>
            <w:hideMark/>
          </w:tcPr>
          <w:p w14:paraId="3CC654AF" w14:textId="77777777" w:rsidR="00B656F6" w:rsidRPr="00EB4864" w:rsidRDefault="00B656F6" w:rsidP="008F0944">
            <w:pPr>
              <w:rPr>
                <w:rFonts w:ascii="Calibri" w:eastAsia="等线" w:hAnsi="Calibri" w:cs="Calibri"/>
                <w:b/>
                <w:color w:val="000000"/>
                <w:sz w:val="15"/>
                <w:szCs w:val="15"/>
              </w:rPr>
            </w:pPr>
            <w:r w:rsidRPr="00EB4864">
              <w:rPr>
                <w:rFonts w:ascii="Calibri" w:eastAsia="等线" w:hAnsi="Calibri" w:cs="Calibri"/>
                <w:b/>
                <w:color w:val="000000"/>
                <w:sz w:val="15"/>
                <w:szCs w:val="15"/>
              </w:rPr>
              <w:t>FP Need Met, Mod</w:t>
            </w:r>
          </w:p>
        </w:tc>
        <w:tc>
          <w:tcPr>
            <w:tcW w:w="122" w:type="pct"/>
            <w:tcBorders>
              <w:top w:val="nil"/>
              <w:left w:val="nil"/>
              <w:bottom w:val="nil"/>
              <w:right w:val="nil"/>
            </w:tcBorders>
            <w:shd w:val="clear" w:color="000000" w:fill="FFD966"/>
            <w:textDirection w:val="btLr"/>
            <w:vAlign w:val="center"/>
            <w:hideMark/>
          </w:tcPr>
          <w:p w14:paraId="1FAB9E9C" w14:textId="77777777" w:rsidR="00B656F6" w:rsidRPr="00EB4864" w:rsidRDefault="00B656F6" w:rsidP="008F0944">
            <w:pPr>
              <w:rPr>
                <w:rFonts w:ascii="Calibri" w:eastAsia="等线" w:hAnsi="Calibri" w:cs="Calibri"/>
                <w:b/>
                <w:color w:val="000000"/>
                <w:sz w:val="15"/>
                <w:szCs w:val="15"/>
              </w:rPr>
            </w:pPr>
            <w:r w:rsidRPr="00EB4864">
              <w:rPr>
                <w:rFonts w:ascii="Calibri" w:eastAsia="等线" w:hAnsi="Calibri" w:cs="Calibri"/>
                <w:b/>
                <w:color w:val="000000"/>
                <w:sz w:val="15"/>
                <w:szCs w:val="15"/>
              </w:rPr>
              <w:t>Subtotal</w:t>
            </w:r>
          </w:p>
        </w:tc>
        <w:tc>
          <w:tcPr>
            <w:tcW w:w="122" w:type="pct"/>
            <w:tcBorders>
              <w:top w:val="nil"/>
              <w:left w:val="nil"/>
              <w:bottom w:val="nil"/>
              <w:right w:val="nil"/>
            </w:tcBorders>
            <w:shd w:val="clear" w:color="000000" w:fill="FF6699"/>
            <w:textDirection w:val="btLr"/>
            <w:vAlign w:val="center"/>
            <w:hideMark/>
          </w:tcPr>
          <w:p w14:paraId="15F082C4" w14:textId="77777777" w:rsidR="00B656F6" w:rsidRPr="00EB4864" w:rsidRDefault="00B656F6" w:rsidP="008F0944">
            <w:pPr>
              <w:rPr>
                <w:rFonts w:ascii="Calibri" w:eastAsia="等线" w:hAnsi="Calibri" w:cs="Calibri"/>
                <w:b/>
                <w:color w:val="000000"/>
                <w:sz w:val="15"/>
                <w:szCs w:val="15"/>
              </w:rPr>
            </w:pPr>
            <w:r w:rsidRPr="00EB4864">
              <w:rPr>
                <w:rFonts w:ascii="Calibri" w:eastAsia="等线" w:hAnsi="Calibri" w:cs="Calibri"/>
                <w:b/>
                <w:color w:val="000000"/>
                <w:sz w:val="15"/>
                <w:szCs w:val="15"/>
              </w:rPr>
              <w:t>HIV Incid</w:t>
            </w:r>
          </w:p>
        </w:tc>
        <w:tc>
          <w:tcPr>
            <w:tcW w:w="122" w:type="pct"/>
            <w:tcBorders>
              <w:top w:val="nil"/>
              <w:left w:val="nil"/>
              <w:bottom w:val="nil"/>
              <w:right w:val="nil"/>
            </w:tcBorders>
            <w:shd w:val="clear" w:color="000000" w:fill="FF6699"/>
            <w:textDirection w:val="btLr"/>
            <w:vAlign w:val="center"/>
            <w:hideMark/>
          </w:tcPr>
          <w:p w14:paraId="46D5669B" w14:textId="77777777" w:rsidR="00B656F6" w:rsidRPr="00EB4864" w:rsidRDefault="00B656F6" w:rsidP="008F0944">
            <w:pPr>
              <w:rPr>
                <w:rFonts w:ascii="Calibri" w:eastAsia="等线" w:hAnsi="Calibri" w:cs="Calibri"/>
                <w:b/>
                <w:color w:val="000000"/>
                <w:sz w:val="15"/>
                <w:szCs w:val="15"/>
              </w:rPr>
            </w:pPr>
            <w:r w:rsidRPr="00EB4864">
              <w:rPr>
                <w:rFonts w:ascii="Calibri" w:eastAsia="等线" w:hAnsi="Calibri" w:cs="Calibri"/>
                <w:b/>
                <w:color w:val="000000"/>
                <w:sz w:val="15"/>
                <w:szCs w:val="15"/>
              </w:rPr>
              <w:t>TB Incid</w:t>
            </w:r>
          </w:p>
        </w:tc>
        <w:tc>
          <w:tcPr>
            <w:tcW w:w="143" w:type="pct"/>
            <w:tcBorders>
              <w:top w:val="nil"/>
              <w:left w:val="nil"/>
              <w:bottom w:val="nil"/>
              <w:right w:val="nil"/>
            </w:tcBorders>
            <w:shd w:val="clear" w:color="000000" w:fill="FF6699"/>
            <w:textDirection w:val="btLr"/>
            <w:vAlign w:val="center"/>
            <w:hideMark/>
          </w:tcPr>
          <w:p w14:paraId="03CE1424" w14:textId="77777777" w:rsidR="00B656F6" w:rsidRPr="00EB4864" w:rsidRDefault="00B656F6" w:rsidP="008F0944">
            <w:pPr>
              <w:rPr>
                <w:rFonts w:ascii="Calibri" w:eastAsia="等线" w:hAnsi="Calibri" w:cs="Calibri"/>
                <w:b/>
                <w:color w:val="000000"/>
                <w:sz w:val="15"/>
                <w:szCs w:val="15"/>
              </w:rPr>
            </w:pPr>
            <w:r w:rsidRPr="00EB4864">
              <w:rPr>
                <w:rFonts w:ascii="Calibri" w:eastAsia="等线" w:hAnsi="Calibri" w:cs="Calibri"/>
                <w:b/>
                <w:color w:val="000000"/>
                <w:sz w:val="15"/>
                <w:szCs w:val="15"/>
              </w:rPr>
              <w:t>Malaria Incid</w:t>
            </w:r>
          </w:p>
        </w:tc>
        <w:tc>
          <w:tcPr>
            <w:tcW w:w="122" w:type="pct"/>
            <w:tcBorders>
              <w:top w:val="nil"/>
              <w:left w:val="nil"/>
              <w:bottom w:val="nil"/>
              <w:right w:val="nil"/>
            </w:tcBorders>
            <w:shd w:val="clear" w:color="000000" w:fill="FF6699"/>
            <w:textDirection w:val="btLr"/>
            <w:vAlign w:val="center"/>
            <w:hideMark/>
          </w:tcPr>
          <w:p w14:paraId="13E755AA" w14:textId="77777777" w:rsidR="00B656F6" w:rsidRPr="00EB4864" w:rsidRDefault="00B656F6" w:rsidP="008F0944">
            <w:pPr>
              <w:rPr>
                <w:rFonts w:ascii="Calibri" w:eastAsia="等线" w:hAnsi="Calibri" w:cs="Calibri"/>
                <w:b/>
                <w:color w:val="000000"/>
                <w:sz w:val="15"/>
                <w:szCs w:val="15"/>
              </w:rPr>
            </w:pPr>
            <w:r w:rsidRPr="00EB4864">
              <w:rPr>
                <w:rFonts w:ascii="Calibri" w:eastAsia="等线" w:hAnsi="Calibri" w:cs="Calibri"/>
                <w:b/>
                <w:color w:val="000000"/>
                <w:sz w:val="15"/>
                <w:szCs w:val="15"/>
              </w:rPr>
              <w:t>Hep B Incid</w:t>
            </w:r>
          </w:p>
        </w:tc>
        <w:tc>
          <w:tcPr>
            <w:tcW w:w="122" w:type="pct"/>
            <w:tcBorders>
              <w:top w:val="nil"/>
              <w:left w:val="nil"/>
              <w:bottom w:val="nil"/>
              <w:right w:val="nil"/>
            </w:tcBorders>
            <w:shd w:val="clear" w:color="000000" w:fill="FF6699"/>
            <w:textDirection w:val="btLr"/>
            <w:vAlign w:val="center"/>
            <w:hideMark/>
          </w:tcPr>
          <w:p w14:paraId="2CCE1128" w14:textId="77777777" w:rsidR="00B656F6" w:rsidRPr="00EB4864" w:rsidRDefault="00B656F6" w:rsidP="008F0944">
            <w:pPr>
              <w:rPr>
                <w:rFonts w:ascii="Calibri" w:eastAsia="等线" w:hAnsi="Calibri" w:cs="Calibri"/>
                <w:b/>
                <w:color w:val="000000"/>
                <w:sz w:val="15"/>
                <w:szCs w:val="15"/>
              </w:rPr>
            </w:pPr>
            <w:r w:rsidRPr="00EB4864">
              <w:rPr>
                <w:rFonts w:ascii="Calibri" w:eastAsia="等线" w:hAnsi="Calibri" w:cs="Calibri"/>
                <w:b/>
                <w:color w:val="000000"/>
                <w:sz w:val="15"/>
                <w:szCs w:val="15"/>
              </w:rPr>
              <w:t>NTD Prev</w:t>
            </w:r>
          </w:p>
        </w:tc>
        <w:tc>
          <w:tcPr>
            <w:tcW w:w="123" w:type="pct"/>
            <w:tcBorders>
              <w:top w:val="nil"/>
              <w:left w:val="nil"/>
              <w:bottom w:val="nil"/>
              <w:right w:val="nil"/>
            </w:tcBorders>
            <w:shd w:val="clear" w:color="000000" w:fill="FF6699"/>
            <w:textDirection w:val="btLr"/>
            <w:vAlign w:val="center"/>
            <w:hideMark/>
          </w:tcPr>
          <w:p w14:paraId="7875006C" w14:textId="77777777" w:rsidR="00B656F6" w:rsidRPr="00EB4864" w:rsidRDefault="00B656F6" w:rsidP="008F0944">
            <w:pPr>
              <w:rPr>
                <w:rFonts w:ascii="Calibri" w:eastAsia="等线" w:hAnsi="Calibri" w:cs="Calibri"/>
                <w:b/>
                <w:color w:val="000000"/>
                <w:sz w:val="15"/>
                <w:szCs w:val="15"/>
              </w:rPr>
            </w:pPr>
            <w:r w:rsidRPr="00EB4864">
              <w:rPr>
                <w:rFonts w:ascii="Calibri" w:eastAsia="等线" w:hAnsi="Calibri" w:cs="Calibri"/>
                <w:b/>
                <w:color w:val="000000"/>
                <w:sz w:val="15"/>
                <w:szCs w:val="15"/>
              </w:rPr>
              <w:t>Subtotal</w:t>
            </w:r>
          </w:p>
        </w:tc>
        <w:tc>
          <w:tcPr>
            <w:tcW w:w="122" w:type="pct"/>
            <w:tcBorders>
              <w:top w:val="nil"/>
              <w:left w:val="nil"/>
              <w:bottom w:val="nil"/>
              <w:right w:val="nil"/>
            </w:tcBorders>
            <w:shd w:val="clear" w:color="000000" w:fill="A9D08E"/>
            <w:textDirection w:val="btLr"/>
            <w:vAlign w:val="center"/>
            <w:hideMark/>
          </w:tcPr>
          <w:p w14:paraId="3B9E27B8" w14:textId="77777777" w:rsidR="00B656F6" w:rsidRPr="00EB4864" w:rsidRDefault="00B656F6" w:rsidP="008F0944">
            <w:pPr>
              <w:rPr>
                <w:rFonts w:ascii="Calibri" w:eastAsia="等线" w:hAnsi="Calibri" w:cs="Calibri"/>
                <w:b/>
                <w:color w:val="000000"/>
                <w:sz w:val="15"/>
                <w:szCs w:val="15"/>
              </w:rPr>
            </w:pPr>
            <w:r w:rsidRPr="00EB4864">
              <w:rPr>
                <w:rFonts w:ascii="Calibri" w:eastAsia="等线" w:hAnsi="Calibri" w:cs="Calibri"/>
                <w:b/>
                <w:color w:val="000000"/>
                <w:sz w:val="15"/>
                <w:szCs w:val="15"/>
              </w:rPr>
              <w:t>NCD Mort</w:t>
            </w:r>
          </w:p>
        </w:tc>
        <w:tc>
          <w:tcPr>
            <w:tcW w:w="122" w:type="pct"/>
            <w:tcBorders>
              <w:top w:val="nil"/>
              <w:left w:val="nil"/>
              <w:bottom w:val="nil"/>
              <w:right w:val="nil"/>
            </w:tcBorders>
            <w:shd w:val="clear" w:color="000000" w:fill="A9D08E"/>
            <w:textDirection w:val="btLr"/>
            <w:vAlign w:val="center"/>
            <w:hideMark/>
          </w:tcPr>
          <w:p w14:paraId="3D669AAE" w14:textId="77777777" w:rsidR="00B656F6" w:rsidRPr="00EB4864" w:rsidRDefault="00B656F6" w:rsidP="008F0944">
            <w:pPr>
              <w:rPr>
                <w:rFonts w:ascii="Calibri" w:eastAsia="等线" w:hAnsi="Calibri" w:cs="Calibri"/>
                <w:b/>
                <w:color w:val="000000"/>
                <w:sz w:val="15"/>
                <w:szCs w:val="15"/>
              </w:rPr>
            </w:pPr>
            <w:r w:rsidRPr="00EB4864">
              <w:rPr>
                <w:rFonts w:ascii="Calibri" w:eastAsia="等线" w:hAnsi="Calibri" w:cs="Calibri"/>
                <w:b/>
                <w:color w:val="000000"/>
                <w:sz w:val="15"/>
                <w:szCs w:val="15"/>
              </w:rPr>
              <w:t>Suicide Mort</w:t>
            </w:r>
          </w:p>
        </w:tc>
        <w:tc>
          <w:tcPr>
            <w:tcW w:w="122" w:type="pct"/>
            <w:tcBorders>
              <w:top w:val="nil"/>
              <w:left w:val="nil"/>
              <w:bottom w:val="nil"/>
              <w:right w:val="nil"/>
            </w:tcBorders>
            <w:shd w:val="clear" w:color="000000" w:fill="A9D08E"/>
            <w:textDirection w:val="btLr"/>
            <w:vAlign w:val="center"/>
            <w:hideMark/>
          </w:tcPr>
          <w:p w14:paraId="2448E113" w14:textId="77777777" w:rsidR="00B656F6" w:rsidRPr="00EB4864" w:rsidRDefault="00B656F6" w:rsidP="008F0944">
            <w:pPr>
              <w:rPr>
                <w:rFonts w:ascii="Calibri" w:eastAsia="等线" w:hAnsi="Calibri" w:cs="Calibri"/>
                <w:b/>
                <w:color w:val="000000"/>
                <w:sz w:val="15"/>
                <w:szCs w:val="15"/>
              </w:rPr>
            </w:pPr>
            <w:r w:rsidRPr="00EB4864">
              <w:rPr>
                <w:rFonts w:ascii="Calibri" w:eastAsia="等线" w:hAnsi="Calibri" w:cs="Calibri"/>
                <w:b/>
                <w:color w:val="000000"/>
                <w:sz w:val="15"/>
                <w:szCs w:val="15"/>
              </w:rPr>
              <w:t>Subtotal</w:t>
            </w:r>
          </w:p>
        </w:tc>
        <w:tc>
          <w:tcPr>
            <w:tcW w:w="122" w:type="pct"/>
            <w:tcBorders>
              <w:top w:val="nil"/>
              <w:left w:val="nil"/>
              <w:bottom w:val="nil"/>
              <w:right w:val="nil"/>
            </w:tcBorders>
            <w:shd w:val="clear" w:color="000000" w:fill="CCFF33"/>
            <w:textDirection w:val="btLr"/>
            <w:vAlign w:val="center"/>
            <w:hideMark/>
          </w:tcPr>
          <w:p w14:paraId="1AEF63E8" w14:textId="77777777" w:rsidR="00B656F6" w:rsidRPr="00EB4864" w:rsidRDefault="00B656F6" w:rsidP="008F0944">
            <w:pPr>
              <w:rPr>
                <w:rFonts w:ascii="Calibri" w:eastAsia="等线" w:hAnsi="Calibri" w:cs="Calibri"/>
                <w:b/>
                <w:color w:val="000000"/>
                <w:sz w:val="15"/>
                <w:szCs w:val="15"/>
              </w:rPr>
            </w:pPr>
            <w:r w:rsidRPr="00EB4864">
              <w:rPr>
                <w:rFonts w:ascii="Calibri" w:eastAsia="等线" w:hAnsi="Calibri" w:cs="Calibri"/>
                <w:b/>
                <w:color w:val="000000"/>
                <w:sz w:val="15"/>
                <w:szCs w:val="15"/>
              </w:rPr>
              <w:t>Smoking Prev</w:t>
            </w:r>
          </w:p>
        </w:tc>
        <w:tc>
          <w:tcPr>
            <w:tcW w:w="122" w:type="pct"/>
            <w:tcBorders>
              <w:top w:val="nil"/>
              <w:left w:val="nil"/>
              <w:bottom w:val="nil"/>
              <w:right w:val="nil"/>
            </w:tcBorders>
            <w:shd w:val="clear" w:color="000000" w:fill="CCFF33"/>
            <w:textDirection w:val="btLr"/>
            <w:vAlign w:val="center"/>
            <w:hideMark/>
          </w:tcPr>
          <w:p w14:paraId="6CD87220" w14:textId="77777777" w:rsidR="00B656F6" w:rsidRPr="00EB4864" w:rsidRDefault="00B656F6" w:rsidP="008F0944">
            <w:pPr>
              <w:rPr>
                <w:rFonts w:ascii="Calibri" w:eastAsia="等线" w:hAnsi="Calibri" w:cs="Calibri"/>
                <w:b/>
                <w:color w:val="000000"/>
                <w:sz w:val="15"/>
                <w:szCs w:val="15"/>
              </w:rPr>
            </w:pPr>
            <w:r w:rsidRPr="00EB4864">
              <w:rPr>
                <w:rFonts w:ascii="Calibri" w:eastAsia="等线" w:hAnsi="Calibri" w:cs="Calibri"/>
                <w:b/>
                <w:color w:val="000000"/>
                <w:sz w:val="15"/>
                <w:szCs w:val="15"/>
              </w:rPr>
              <w:t xml:space="preserve">Alcohol </w:t>
            </w:r>
            <w:r>
              <w:rPr>
                <w:rFonts w:ascii="Calibri" w:eastAsia="等线" w:hAnsi="Calibri" w:cs="Calibri"/>
                <w:b/>
                <w:color w:val="000000"/>
                <w:sz w:val="15"/>
                <w:szCs w:val="15"/>
              </w:rPr>
              <w:t>u</w:t>
            </w:r>
            <w:r w:rsidRPr="00EB4864">
              <w:rPr>
                <w:rFonts w:ascii="Calibri" w:eastAsia="等线" w:hAnsi="Calibri" w:cs="Calibri"/>
                <w:b/>
                <w:color w:val="000000"/>
                <w:sz w:val="15"/>
                <w:szCs w:val="15"/>
              </w:rPr>
              <w:t>se</w:t>
            </w:r>
          </w:p>
        </w:tc>
        <w:tc>
          <w:tcPr>
            <w:tcW w:w="122" w:type="pct"/>
            <w:tcBorders>
              <w:top w:val="nil"/>
              <w:left w:val="nil"/>
              <w:bottom w:val="nil"/>
              <w:right w:val="nil"/>
            </w:tcBorders>
            <w:shd w:val="clear" w:color="000000" w:fill="CCFF33"/>
            <w:textDirection w:val="btLr"/>
            <w:vAlign w:val="center"/>
            <w:hideMark/>
          </w:tcPr>
          <w:p w14:paraId="469F3454" w14:textId="77777777" w:rsidR="00B656F6" w:rsidRPr="00EB4864" w:rsidRDefault="00B656F6" w:rsidP="008F0944">
            <w:pPr>
              <w:rPr>
                <w:rFonts w:ascii="Calibri" w:eastAsia="等线" w:hAnsi="Calibri" w:cs="Calibri"/>
                <w:b/>
                <w:color w:val="000000"/>
                <w:sz w:val="15"/>
                <w:szCs w:val="15"/>
              </w:rPr>
            </w:pPr>
            <w:r w:rsidRPr="00EB4864">
              <w:rPr>
                <w:rFonts w:ascii="Calibri" w:eastAsia="等线" w:hAnsi="Calibri" w:cs="Calibri"/>
                <w:b/>
                <w:color w:val="000000"/>
                <w:sz w:val="15"/>
                <w:szCs w:val="15"/>
              </w:rPr>
              <w:t>Subtotal</w:t>
            </w:r>
          </w:p>
        </w:tc>
        <w:tc>
          <w:tcPr>
            <w:tcW w:w="122" w:type="pct"/>
            <w:tcBorders>
              <w:top w:val="nil"/>
              <w:left w:val="nil"/>
              <w:bottom w:val="nil"/>
              <w:right w:val="nil"/>
            </w:tcBorders>
            <w:shd w:val="clear" w:color="000000" w:fill="CC3300"/>
            <w:textDirection w:val="btLr"/>
            <w:vAlign w:val="center"/>
            <w:hideMark/>
          </w:tcPr>
          <w:p w14:paraId="64A75A59" w14:textId="77777777" w:rsidR="00B656F6" w:rsidRPr="00EB4864" w:rsidRDefault="00B656F6" w:rsidP="008F0944">
            <w:pPr>
              <w:rPr>
                <w:rFonts w:ascii="Calibri" w:eastAsia="等线" w:hAnsi="Calibri" w:cs="Calibri"/>
                <w:b/>
                <w:color w:val="000000"/>
                <w:sz w:val="15"/>
                <w:szCs w:val="15"/>
              </w:rPr>
            </w:pPr>
            <w:r w:rsidRPr="00EB4864">
              <w:rPr>
                <w:rFonts w:ascii="Calibri" w:eastAsia="等线" w:hAnsi="Calibri" w:cs="Calibri"/>
                <w:b/>
                <w:color w:val="000000"/>
                <w:sz w:val="15"/>
                <w:szCs w:val="15"/>
              </w:rPr>
              <w:t>Road Inj Mort</w:t>
            </w:r>
          </w:p>
        </w:tc>
        <w:tc>
          <w:tcPr>
            <w:tcW w:w="122" w:type="pct"/>
            <w:tcBorders>
              <w:top w:val="nil"/>
              <w:left w:val="nil"/>
              <w:bottom w:val="nil"/>
              <w:right w:val="nil"/>
            </w:tcBorders>
            <w:shd w:val="clear" w:color="000000" w:fill="00B0F0"/>
            <w:textDirection w:val="btLr"/>
            <w:vAlign w:val="center"/>
            <w:hideMark/>
          </w:tcPr>
          <w:p w14:paraId="0341EE63" w14:textId="77777777" w:rsidR="00B656F6" w:rsidRPr="00EB4864" w:rsidRDefault="00B656F6" w:rsidP="008F0944">
            <w:pPr>
              <w:rPr>
                <w:rFonts w:ascii="Calibri" w:eastAsia="等线" w:hAnsi="Calibri" w:cs="Calibri"/>
                <w:b/>
                <w:color w:val="000000"/>
                <w:sz w:val="15"/>
                <w:szCs w:val="15"/>
              </w:rPr>
            </w:pPr>
            <w:r w:rsidRPr="00EB4864">
              <w:rPr>
                <w:rFonts w:ascii="Calibri" w:eastAsia="等线" w:hAnsi="Calibri" w:cs="Calibri"/>
                <w:b/>
                <w:color w:val="000000"/>
                <w:sz w:val="15"/>
                <w:szCs w:val="15"/>
              </w:rPr>
              <w:t>Air Poll Mort</w:t>
            </w:r>
          </w:p>
        </w:tc>
        <w:tc>
          <w:tcPr>
            <w:tcW w:w="122" w:type="pct"/>
            <w:tcBorders>
              <w:top w:val="nil"/>
              <w:left w:val="nil"/>
              <w:bottom w:val="nil"/>
              <w:right w:val="nil"/>
            </w:tcBorders>
            <w:shd w:val="clear" w:color="000000" w:fill="00B0F0"/>
            <w:textDirection w:val="btLr"/>
            <w:vAlign w:val="center"/>
            <w:hideMark/>
          </w:tcPr>
          <w:p w14:paraId="13630E94" w14:textId="77777777" w:rsidR="00B656F6" w:rsidRPr="00EB4864" w:rsidRDefault="00B656F6" w:rsidP="008F0944">
            <w:pPr>
              <w:rPr>
                <w:rFonts w:ascii="Calibri" w:eastAsia="等线" w:hAnsi="Calibri" w:cs="Calibri"/>
                <w:b/>
                <w:color w:val="000000"/>
                <w:sz w:val="15"/>
                <w:szCs w:val="15"/>
              </w:rPr>
            </w:pPr>
            <w:r w:rsidRPr="00EB4864">
              <w:rPr>
                <w:rFonts w:ascii="Calibri" w:eastAsia="等线" w:hAnsi="Calibri" w:cs="Calibri"/>
                <w:b/>
                <w:color w:val="000000"/>
                <w:sz w:val="15"/>
                <w:szCs w:val="15"/>
              </w:rPr>
              <w:t>WaSH Mort</w:t>
            </w:r>
          </w:p>
        </w:tc>
        <w:tc>
          <w:tcPr>
            <w:tcW w:w="122" w:type="pct"/>
            <w:tcBorders>
              <w:top w:val="nil"/>
              <w:left w:val="nil"/>
              <w:bottom w:val="nil"/>
              <w:right w:val="nil"/>
            </w:tcBorders>
            <w:shd w:val="clear" w:color="000000" w:fill="00B0F0"/>
            <w:textDirection w:val="btLr"/>
            <w:vAlign w:val="center"/>
            <w:hideMark/>
          </w:tcPr>
          <w:p w14:paraId="5A33099A" w14:textId="77777777" w:rsidR="00B656F6" w:rsidRPr="00EB4864" w:rsidRDefault="00B656F6" w:rsidP="008F0944">
            <w:pPr>
              <w:rPr>
                <w:rFonts w:ascii="Calibri" w:eastAsia="等线" w:hAnsi="Calibri" w:cs="Calibri"/>
                <w:b/>
                <w:color w:val="000000"/>
                <w:sz w:val="15"/>
                <w:szCs w:val="15"/>
              </w:rPr>
            </w:pPr>
            <w:r w:rsidRPr="00EB4864">
              <w:rPr>
                <w:rFonts w:ascii="Calibri" w:eastAsia="等线" w:hAnsi="Calibri" w:cs="Calibri"/>
                <w:b/>
                <w:color w:val="000000"/>
                <w:sz w:val="15"/>
                <w:szCs w:val="15"/>
              </w:rPr>
              <w:t>Poisoning Mort</w:t>
            </w:r>
          </w:p>
        </w:tc>
        <w:tc>
          <w:tcPr>
            <w:tcW w:w="123" w:type="pct"/>
            <w:tcBorders>
              <w:top w:val="nil"/>
              <w:left w:val="nil"/>
              <w:bottom w:val="nil"/>
              <w:right w:val="nil"/>
            </w:tcBorders>
            <w:shd w:val="clear" w:color="000000" w:fill="00B0F0"/>
            <w:textDirection w:val="btLr"/>
            <w:vAlign w:val="center"/>
            <w:hideMark/>
          </w:tcPr>
          <w:p w14:paraId="73042E83" w14:textId="77777777" w:rsidR="00B656F6" w:rsidRPr="00EB4864" w:rsidRDefault="00B656F6" w:rsidP="008F0944">
            <w:pPr>
              <w:rPr>
                <w:rFonts w:ascii="Calibri" w:eastAsia="等线" w:hAnsi="Calibri" w:cs="Calibri"/>
                <w:b/>
                <w:color w:val="000000"/>
                <w:sz w:val="15"/>
                <w:szCs w:val="15"/>
              </w:rPr>
            </w:pPr>
            <w:r w:rsidRPr="00EB4864">
              <w:rPr>
                <w:rFonts w:ascii="Calibri" w:eastAsia="等线" w:hAnsi="Calibri" w:cs="Calibri"/>
                <w:b/>
                <w:color w:val="000000"/>
                <w:sz w:val="15"/>
                <w:szCs w:val="15"/>
              </w:rPr>
              <w:t>Subtotal</w:t>
            </w:r>
          </w:p>
        </w:tc>
        <w:tc>
          <w:tcPr>
            <w:tcW w:w="122" w:type="pct"/>
            <w:tcBorders>
              <w:top w:val="nil"/>
              <w:left w:val="nil"/>
              <w:bottom w:val="nil"/>
              <w:right w:val="nil"/>
            </w:tcBorders>
            <w:shd w:val="clear" w:color="auto" w:fill="8496B0" w:themeFill="text2" w:themeFillTint="99"/>
            <w:textDirection w:val="btLr"/>
            <w:vAlign w:val="center"/>
            <w:hideMark/>
          </w:tcPr>
          <w:p w14:paraId="02794211" w14:textId="77777777" w:rsidR="00B656F6" w:rsidRPr="00EB4864" w:rsidRDefault="00B656F6" w:rsidP="008F0944">
            <w:pPr>
              <w:rPr>
                <w:rFonts w:ascii="Calibri" w:eastAsia="等线" w:hAnsi="Calibri" w:cs="Calibri"/>
                <w:b/>
                <w:color w:val="000000"/>
                <w:sz w:val="15"/>
                <w:szCs w:val="15"/>
              </w:rPr>
            </w:pPr>
            <w:r w:rsidRPr="00EB4864">
              <w:rPr>
                <w:rFonts w:ascii="Calibri" w:eastAsia="等线" w:hAnsi="Calibri" w:cs="Calibri"/>
                <w:b/>
                <w:color w:val="000000"/>
                <w:sz w:val="15"/>
                <w:szCs w:val="15"/>
              </w:rPr>
              <w:t>Mean PM2.5</w:t>
            </w:r>
          </w:p>
        </w:tc>
        <w:tc>
          <w:tcPr>
            <w:tcW w:w="122" w:type="pct"/>
            <w:tcBorders>
              <w:top w:val="nil"/>
              <w:left w:val="nil"/>
              <w:bottom w:val="nil"/>
              <w:right w:val="nil"/>
            </w:tcBorders>
            <w:shd w:val="clear" w:color="auto" w:fill="8496B0" w:themeFill="text2" w:themeFillTint="99"/>
            <w:textDirection w:val="btLr"/>
            <w:vAlign w:val="center"/>
            <w:hideMark/>
          </w:tcPr>
          <w:p w14:paraId="00E83E00" w14:textId="77777777" w:rsidR="00B656F6" w:rsidRPr="00EB4864" w:rsidRDefault="00B656F6" w:rsidP="008F0944">
            <w:pPr>
              <w:rPr>
                <w:rFonts w:ascii="Calibri" w:eastAsia="等线" w:hAnsi="Calibri" w:cs="Calibri"/>
                <w:b/>
                <w:color w:val="000000"/>
                <w:sz w:val="15"/>
                <w:szCs w:val="15"/>
              </w:rPr>
            </w:pPr>
            <w:r w:rsidRPr="00EB4864">
              <w:rPr>
                <w:rFonts w:ascii="Calibri" w:eastAsia="等线" w:hAnsi="Calibri" w:cs="Calibri"/>
                <w:b/>
                <w:color w:val="000000"/>
                <w:sz w:val="15"/>
                <w:szCs w:val="15"/>
              </w:rPr>
              <w:t xml:space="preserve">HH </w:t>
            </w:r>
            <w:r>
              <w:rPr>
                <w:rFonts w:ascii="Calibri" w:eastAsia="等线" w:hAnsi="Calibri" w:cs="Calibri"/>
                <w:b/>
                <w:color w:val="000000"/>
                <w:sz w:val="15"/>
                <w:szCs w:val="15"/>
              </w:rPr>
              <w:t>a</w:t>
            </w:r>
            <w:r w:rsidRPr="00EB4864">
              <w:rPr>
                <w:rFonts w:ascii="Calibri" w:eastAsia="等线" w:hAnsi="Calibri" w:cs="Calibri"/>
                <w:b/>
                <w:color w:val="000000"/>
                <w:sz w:val="15"/>
                <w:szCs w:val="15"/>
              </w:rPr>
              <w:t>ir Poll</w:t>
            </w:r>
          </w:p>
        </w:tc>
        <w:tc>
          <w:tcPr>
            <w:tcW w:w="122" w:type="pct"/>
            <w:tcBorders>
              <w:top w:val="nil"/>
              <w:left w:val="nil"/>
              <w:bottom w:val="nil"/>
              <w:right w:val="nil"/>
            </w:tcBorders>
            <w:shd w:val="clear" w:color="auto" w:fill="8496B0" w:themeFill="text2" w:themeFillTint="99"/>
            <w:textDirection w:val="btLr"/>
            <w:vAlign w:val="center"/>
            <w:hideMark/>
          </w:tcPr>
          <w:p w14:paraId="689F45D7" w14:textId="77777777" w:rsidR="00B656F6" w:rsidRPr="00EB4864" w:rsidRDefault="00B656F6" w:rsidP="008F0944">
            <w:pPr>
              <w:rPr>
                <w:rFonts w:ascii="Calibri" w:eastAsia="等线" w:hAnsi="Calibri" w:cs="Calibri"/>
                <w:b/>
                <w:color w:val="000000"/>
                <w:sz w:val="15"/>
                <w:szCs w:val="15"/>
              </w:rPr>
            </w:pPr>
            <w:r w:rsidRPr="00EB4864">
              <w:rPr>
                <w:rFonts w:ascii="Calibri" w:eastAsia="等线" w:hAnsi="Calibri" w:cs="Calibri"/>
                <w:b/>
                <w:color w:val="000000"/>
                <w:sz w:val="15"/>
                <w:szCs w:val="15"/>
              </w:rPr>
              <w:t>Water</w:t>
            </w:r>
          </w:p>
        </w:tc>
        <w:tc>
          <w:tcPr>
            <w:tcW w:w="122" w:type="pct"/>
            <w:tcBorders>
              <w:top w:val="nil"/>
              <w:left w:val="nil"/>
              <w:bottom w:val="nil"/>
              <w:right w:val="nil"/>
            </w:tcBorders>
            <w:shd w:val="clear" w:color="auto" w:fill="8496B0" w:themeFill="text2" w:themeFillTint="99"/>
            <w:textDirection w:val="btLr"/>
            <w:vAlign w:val="center"/>
            <w:hideMark/>
          </w:tcPr>
          <w:p w14:paraId="414730A7" w14:textId="77777777" w:rsidR="00B656F6" w:rsidRPr="00EB4864" w:rsidRDefault="00B656F6" w:rsidP="008F0944">
            <w:pPr>
              <w:rPr>
                <w:rFonts w:ascii="Calibri" w:eastAsia="等线" w:hAnsi="Calibri" w:cs="Calibri"/>
                <w:b/>
                <w:color w:val="000000"/>
                <w:sz w:val="15"/>
                <w:szCs w:val="15"/>
              </w:rPr>
            </w:pPr>
            <w:r w:rsidRPr="00EB4864">
              <w:rPr>
                <w:rFonts w:ascii="Calibri" w:eastAsia="等线" w:hAnsi="Calibri" w:cs="Calibri"/>
                <w:b/>
                <w:color w:val="000000"/>
                <w:sz w:val="15"/>
                <w:szCs w:val="15"/>
              </w:rPr>
              <w:t>Sanitation</w:t>
            </w:r>
          </w:p>
        </w:tc>
        <w:tc>
          <w:tcPr>
            <w:tcW w:w="122" w:type="pct"/>
            <w:tcBorders>
              <w:top w:val="nil"/>
              <w:left w:val="nil"/>
              <w:bottom w:val="nil"/>
              <w:right w:val="nil"/>
            </w:tcBorders>
            <w:shd w:val="clear" w:color="auto" w:fill="8496B0" w:themeFill="text2" w:themeFillTint="99"/>
            <w:textDirection w:val="btLr"/>
            <w:vAlign w:val="center"/>
            <w:hideMark/>
          </w:tcPr>
          <w:p w14:paraId="63223E73" w14:textId="77777777" w:rsidR="00B656F6" w:rsidRPr="00EB4864" w:rsidRDefault="00B656F6" w:rsidP="008F0944">
            <w:pPr>
              <w:rPr>
                <w:rFonts w:ascii="Calibri" w:eastAsia="等线" w:hAnsi="Calibri" w:cs="Calibri"/>
                <w:b/>
                <w:color w:val="000000"/>
                <w:sz w:val="15"/>
                <w:szCs w:val="15"/>
              </w:rPr>
            </w:pPr>
            <w:r w:rsidRPr="00EB4864">
              <w:rPr>
                <w:rFonts w:ascii="Calibri" w:eastAsia="等线" w:hAnsi="Calibri" w:cs="Calibri"/>
                <w:b/>
                <w:color w:val="000000"/>
                <w:sz w:val="15"/>
                <w:szCs w:val="15"/>
              </w:rPr>
              <w:t>Hygiene</w:t>
            </w:r>
          </w:p>
        </w:tc>
        <w:tc>
          <w:tcPr>
            <w:tcW w:w="123" w:type="pct"/>
            <w:tcBorders>
              <w:top w:val="nil"/>
              <w:left w:val="nil"/>
              <w:bottom w:val="nil"/>
              <w:right w:val="nil"/>
            </w:tcBorders>
            <w:shd w:val="clear" w:color="auto" w:fill="8496B0" w:themeFill="text2" w:themeFillTint="99"/>
            <w:textDirection w:val="btLr"/>
            <w:vAlign w:val="center"/>
            <w:hideMark/>
          </w:tcPr>
          <w:p w14:paraId="33C29C11" w14:textId="77777777" w:rsidR="00B656F6" w:rsidRPr="00EB4864" w:rsidRDefault="00B656F6" w:rsidP="008F0944">
            <w:pPr>
              <w:rPr>
                <w:rFonts w:ascii="Calibri" w:eastAsia="等线" w:hAnsi="Calibri" w:cs="Calibri"/>
                <w:b/>
                <w:color w:val="000000"/>
                <w:sz w:val="15"/>
                <w:szCs w:val="15"/>
              </w:rPr>
            </w:pPr>
            <w:r w:rsidRPr="00EB4864">
              <w:rPr>
                <w:rFonts w:ascii="Calibri" w:eastAsia="等线" w:hAnsi="Calibri" w:cs="Calibri"/>
                <w:b/>
                <w:color w:val="000000"/>
                <w:sz w:val="15"/>
                <w:szCs w:val="15"/>
              </w:rPr>
              <w:t>Subtotal</w:t>
            </w:r>
          </w:p>
        </w:tc>
        <w:tc>
          <w:tcPr>
            <w:tcW w:w="122" w:type="pct"/>
            <w:tcBorders>
              <w:top w:val="nil"/>
              <w:left w:val="nil"/>
              <w:bottom w:val="nil"/>
              <w:right w:val="nil"/>
            </w:tcBorders>
            <w:shd w:val="clear" w:color="000000" w:fill="9999FF"/>
            <w:textDirection w:val="btLr"/>
            <w:vAlign w:val="center"/>
            <w:hideMark/>
          </w:tcPr>
          <w:p w14:paraId="4BEA0D4B" w14:textId="77777777" w:rsidR="00B656F6" w:rsidRPr="00EB4864" w:rsidRDefault="00B656F6" w:rsidP="008F0944">
            <w:pPr>
              <w:rPr>
                <w:rFonts w:ascii="Calibri" w:eastAsia="等线" w:hAnsi="Calibri" w:cs="Calibri"/>
                <w:b/>
                <w:color w:val="000000"/>
                <w:sz w:val="15"/>
                <w:szCs w:val="15"/>
              </w:rPr>
            </w:pPr>
            <w:r w:rsidRPr="00EB4864">
              <w:rPr>
                <w:rFonts w:ascii="Calibri" w:eastAsia="等线" w:hAnsi="Calibri" w:cs="Calibri"/>
                <w:b/>
                <w:color w:val="000000"/>
                <w:sz w:val="15"/>
                <w:szCs w:val="15"/>
              </w:rPr>
              <w:t xml:space="preserve">UHC </w:t>
            </w:r>
            <w:r>
              <w:rPr>
                <w:rFonts w:ascii="Calibri" w:eastAsia="等线" w:hAnsi="Calibri" w:cs="Calibri"/>
                <w:b/>
                <w:color w:val="000000"/>
                <w:sz w:val="15"/>
                <w:szCs w:val="15"/>
              </w:rPr>
              <w:t>i</w:t>
            </w:r>
            <w:r w:rsidRPr="00EB4864">
              <w:rPr>
                <w:rFonts w:ascii="Calibri" w:eastAsia="等线" w:hAnsi="Calibri" w:cs="Calibri"/>
                <w:b/>
                <w:color w:val="000000"/>
                <w:sz w:val="15"/>
                <w:szCs w:val="15"/>
              </w:rPr>
              <w:t>ndex</w:t>
            </w:r>
          </w:p>
        </w:tc>
      </w:tr>
      <w:tr w:rsidR="00B656F6" w:rsidRPr="00634756" w14:paraId="474512FD" w14:textId="77777777" w:rsidTr="008F0944">
        <w:trPr>
          <w:trHeight w:val="113"/>
        </w:trPr>
        <w:tc>
          <w:tcPr>
            <w:tcW w:w="131" w:type="pct"/>
            <w:tcBorders>
              <w:top w:val="nil"/>
              <w:left w:val="nil"/>
              <w:bottom w:val="nil"/>
              <w:right w:val="nil"/>
            </w:tcBorders>
            <w:shd w:val="clear" w:color="auto" w:fill="FBE4D5" w:themeFill="accent2" w:themeFillTint="33"/>
          </w:tcPr>
          <w:p w14:paraId="219196E8" w14:textId="77777777" w:rsidR="00B656F6" w:rsidRPr="00634756" w:rsidRDefault="00B656F6" w:rsidP="008F0944">
            <w:pPr>
              <w:snapToGrid w:val="0"/>
              <w:jc w:val="right"/>
              <w:rPr>
                <w:rFonts w:ascii="等线" w:eastAsia="等线" w:hAnsi="等线" w:cs="宋体"/>
                <w:b/>
                <w:bCs/>
                <w:color w:val="000000"/>
                <w:sz w:val="15"/>
                <w:szCs w:val="15"/>
              </w:rPr>
            </w:pPr>
          </w:p>
        </w:tc>
        <w:tc>
          <w:tcPr>
            <w:tcW w:w="469" w:type="pct"/>
            <w:tcBorders>
              <w:top w:val="nil"/>
              <w:left w:val="nil"/>
              <w:bottom w:val="nil"/>
              <w:right w:val="nil"/>
            </w:tcBorders>
            <w:shd w:val="clear" w:color="auto" w:fill="FBE4D5" w:themeFill="accent2" w:themeFillTint="33"/>
            <w:noWrap/>
            <w:vAlign w:val="center"/>
            <w:hideMark/>
          </w:tcPr>
          <w:p w14:paraId="6956F90D" w14:textId="77777777" w:rsidR="00B656F6" w:rsidRPr="00634756" w:rsidRDefault="00B656F6" w:rsidP="008F0944">
            <w:pPr>
              <w:snapToGrid w:val="0"/>
              <w:jc w:val="right"/>
              <w:rPr>
                <w:rFonts w:ascii="等线" w:eastAsia="等线" w:hAnsi="等线" w:cs="宋体"/>
                <w:b/>
                <w:bCs/>
                <w:color w:val="000000"/>
                <w:sz w:val="15"/>
                <w:szCs w:val="15"/>
              </w:rPr>
            </w:pPr>
            <w:r w:rsidRPr="00634756">
              <w:rPr>
                <w:rFonts w:ascii="等线" w:eastAsia="等线" w:hAnsi="等线" w:cs="宋体"/>
                <w:b/>
                <w:bCs/>
                <w:color w:val="000000"/>
                <w:sz w:val="15"/>
                <w:szCs w:val="15"/>
              </w:rPr>
              <w:t>China</w:t>
            </w:r>
          </w:p>
        </w:tc>
        <w:tc>
          <w:tcPr>
            <w:tcW w:w="122" w:type="pct"/>
            <w:tcBorders>
              <w:top w:val="nil"/>
              <w:left w:val="nil"/>
              <w:bottom w:val="nil"/>
              <w:right w:val="nil"/>
            </w:tcBorders>
            <w:shd w:val="clear" w:color="000000" w:fill="90CB7E"/>
            <w:noWrap/>
            <w:vAlign w:val="center"/>
            <w:hideMark/>
          </w:tcPr>
          <w:p w14:paraId="489D5F75"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86</w:t>
            </w:r>
          </w:p>
        </w:tc>
        <w:tc>
          <w:tcPr>
            <w:tcW w:w="143" w:type="pct"/>
            <w:tcBorders>
              <w:top w:val="nil"/>
              <w:left w:val="nil"/>
              <w:bottom w:val="nil"/>
              <w:right w:val="nil"/>
            </w:tcBorders>
            <w:shd w:val="clear" w:color="000000" w:fill="63BE7B"/>
            <w:noWrap/>
            <w:vAlign w:val="center"/>
            <w:hideMark/>
          </w:tcPr>
          <w:p w14:paraId="5863EF62"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22" w:type="pct"/>
            <w:tcBorders>
              <w:top w:val="nil"/>
              <w:left w:val="nil"/>
              <w:bottom w:val="nil"/>
              <w:right w:val="nil"/>
            </w:tcBorders>
            <w:shd w:val="clear" w:color="000000" w:fill="76C47D"/>
            <w:noWrap/>
            <w:vAlign w:val="center"/>
            <w:hideMark/>
          </w:tcPr>
          <w:p w14:paraId="0CE36150"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94</w:t>
            </w:r>
          </w:p>
        </w:tc>
        <w:tc>
          <w:tcPr>
            <w:tcW w:w="122" w:type="pct"/>
            <w:tcBorders>
              <w:top w:val="nil"/>
              <w:left w:val="nil"/>
              <w:bottom w:val="nil"/>
              <w:right w:val="nil"/>
            </w:tcBorders>
            <w:shd w:val="clear" w:color="000000" w:fill="7FC67D"/>
            <w:noWrap/>
            <w:vAlign w:val="center"/>
            <w:hideMark/>
          </w:tcPr>
          <w:p w14:paraId="0A190452"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91</w:t>
            </w:r>
          </w:p>
        </w:tc>
        <w:tc>
          <w:tcPr>
            <w:tcW w:w="143" w:type="pct"/>
            <w:tcBorders>
              <w:top w:val="nil"/>
              <w:left w:val="nil"/>
              <w:bottom w:val="nil"/>
              <w:right w:val="nil"/>
            </w:tcBorders>
            <w:shd w:val="clear" w:color="000000" w:fill="63BE7B"/>
            <w:noWrap/>
            <w:vAlign w:val="center"/>
            <w:hideMark/>
          </w:tcPr>
          <w:p w14:paraId="7CC7717C"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22" w:type="pct"/>
            <w:tcBorders>
              <w:top w:val="nil"/>
              <w:left w:val="nil"/>
              <w:bottom w:val="nil"/>
              <w:right w:val="nil"/>
            </w:tcBorders>
            <w:shd w:val="clear" w:color="000000" w:fill="7BC57D"/>
            <w:noWrap/>
            <w:vAlign w:val="center"/>
            <w:hideMark/>
          </w:tcPr>
          <w:p w14:paraId="0A59AEFE"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92</w:t>
            </w:r>
          </w:p>
        </w:tc>
        <w:tc>
          <w:tcPr>
            <w:tcW w:w="143" w:type="pct"/>
            <w:tcBorders>
              <w:top w:val="nil"/>
              <w:left w:val="nil"/>
              <w:bottom w:val="nil"/>
              <w:right w:val="nil"/>
            </w:tcBorders>
            <w:shd w:val="clear" w:color="000000" w:fill="63BE7B"/>
            <w:noWrap/>
            <w:vAlign w:val="center"/>
            <w:hideMark/>
          </w:tcPr>
          <w:p w14:paraId="2D9AED03"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43" w:type="pct"/>
            <w:tcBorders>
              <w:top w:val="nil"/>
              <w:left w:val="nil"/>
              <w:bottom w:val="nil"/>
              <w:right w:val="nil"/>
            </w:tcBorders>
            <w:shd w:val="clear" w:color="000000" w:fill="63BE7B"/>
            <w:noWrap/>
            <w:vAlign w:val="center"/>
            <w:hideMark/>
          </w:tcPr>
          <w:p w14:paraId="2B836269"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43" w:type="pct"/>
            <w:tcBorders>
              <w:top w:val="nil"/>
              <w:left w:val="nil"/>
              <w:bottom w:val="nil"/>
              <w:right w:val="nil"/>
            </w:tcBorders>
            <w:shd w:val="clear" w:color="000000" w:fill="6AC07C"/>
            <w:noWrap/>
            <w:vAlign w:val="center"/>
            <w:hideMark/>
          </w:tcPr>
          <w:p w14:paraId="6A631335"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98</w:t>
            </w:r>
          </w:p>
        </w:tc>
        <w:tc>
          <w:tcPr>
            <w:tcW w:w="122" w:type="pct"/>
            <w:tcBorders>
              <w:top w:val="nil"/>
              <w:left w:val="nil"/>
              <w:bottom w:val="nil"/>
              <w:right w:val="nil"/>
            </w:tcBorders>
            <w:shd w:val="clear" w:color="000000" w:fill="CEDD82"/>
            <w:noWrap/>
            <w:vAlign w:val="center"/>
            <w:hideMark/>
          </w:tcPr>
          <w:p w14:paraId="75E4D9E0"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66</w:t>
            </w:r>
          </w:p>
        </w:tc>
        <w:tc>
          <w:tcPr>
            <w:tcW w:w="122" w:type="pct"/>
            <w:tcBorders>
              <w:top w:val="nil"/>
              <w:left w:val="nil"/>
              <w:bottom w:val="nil"/>
              <w:right w:val="nil"/>
            </w:tcBorders>
            <w:shd w:val="clear" w:color="000000" w:fill="7DC67D"/>
            <w:noWrap/>
            <w:vAlign w:val="center"/>
            <w:hideMark/>
          </w:tcPr>
          <w:p w14:paraId="67876FB7"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92</w:t>
            </w:r>
          </w:p>
        </w:tc>
        <w:tc>
          <w:tcPr>
            <w:tcW w:w="122" w:type="pct"/>
            <w:tcBorders>
              <w:top w:val="nil"/>
              <w:left w:val="nil"/>
              <w:bottom w:val="nil"/>
              <w:right w:val="nil"/>
            </w:tcBorders>
            <w:shd w:val="clear" w:color="000000" w:fill="FDD17F"/>
            <w:noWrap/>
            <w:vAlign w:val="center"/>
            <w:hideMark/>
          </w:tcPr>
          <w:p w14:paraId="51D5BDBC"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40</w:t>
            </w:r>
          </w:p>
        </w:tc>
        <w:tc>
          <w:tcPr>
            <w:tcW w:w="122" w:type="pct"/>
            <w:tcBorders>
              <w:top w:val="nil"/>
              <w:left w:val="nil"/>
              <w:bottom w:val="nil"/>
              <w:right w:val="nil"/>
            </w:tcBorders>
            <w:shd w:val="clear" w:color="000000" w:fill="D6E082"/>
            <w:noWrap/>
            <w:vAlign w:val="center"/>
            <w:hideMark/>
          </w:tcPr>
          <w:p w14:paraId="0FDCB19D"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63</w:t>
            </w:r>
          </w:p>
        </w:tc>
        <w:tc>
          <w:tcPr>
            <w:tcW w:w="143" w:type="pct"/>
            <w:tcBorders>
              <w:top w:val="nil"/>
              <w:left w:val="nil"/>
              <w:bottom w:val="nil"/>
              <w:right w:val="nil"/>
            </w:tcBorders>
            <w:shd w:val="clear" w:color="000000" w:fill="63BE7B"/>
            <w:noWrap/>
            <w:vAlign w:val="center"/>
            <w:hideMark/>
          </w:tcPr>
          <w:p w14:paraId="20967F1F"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22" w:type="pct"/>
            <w:tcBorders>
              <w:top w:val="nil"/>
              <w:left w:val="nil"/>
              <w:bottom w:val="nil"/>
              <w:right w:val="nil"/>
            </w:tcBorders>
            <w:shd w:val="clear" w:color="000000" w:fill="FEE883"/>
            <w:noWrap/>
            <w:vAlign w:val="center"/>
            <w:hideMark/>
          </w:tcPr>
          <w:p w14:paraId="48978CBF"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49</w:t>
            </w:r>
          </w:p>
        </w:tc>
        <w:tc>
          <w:tcPr>
            <w:tcW w:w="122" w:type="pct"/>
            <w:tcBorders>
              <w:top w:val="nil"/>
              <w:left w:val="nil"/>
              <w:bottom w:val="nil"/>
              <w:right w:val="nil"/>
            </w:tcBorders>
            <w:shd w:val="clear" w:color="000000" w:fill="A2D07F"/>
            <w:noWrap/>
            <w:vAlign w:val="center"/>
            <w:hideMark/>
          </w:tcPr>
          <w:p w14:paraId="78FF55F9"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80</w:t>
            </w:r>
          </w:p>
        </w:tc>
        <w:tc>
          <w:tcPr>
            <w:tcW w:w="123" w:type="pct"/>
            <w:tcBorders>
              <w:top w:val="nil"/>
              <w:left w:val="nil"/>
              <w:bottom w:val="nil"/>
              <w:right w:val="nil"/>
            </w:tcBorders>
            <w:shd w:val="clear" w:color="000000" w:fill="D7E082"/>
            <w:noWrap/>
            <w:vAlign w:val="center"/>
            <w:hideMark/>
          </w:tcPr>
          <w:p w14:paraId="76922272"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63</w:t>
            </w:r>
          </w:p>
        </w:tc>
        <w:tc>
          <w:tcPr>
            <w:tcW w:w="122" w:type="pct"/>
            <w:tcBorders>
              <w:top w:val="nil"/>
              <w:left w:val="nil"/>
              <w:bottom w:val="nil"/>
              <w:right w:val="nil"/>
            </w:tcBorders>
            <w:shd w:val="clear" w:color="000000" w:fill="BCD881"/>
            <w:noWrap/>
            <w:vAlign w:val="center"/>
            <w:hideMark/>
          </w:tcPr>
          <w:p w14:paraId="5F406C51"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72</w:t>
            </w:r>
          </w:p>
        </w:tc>
        <w:tc>
          <w:tcPr>
            <w:tcW w:w="122" w:type="pct"/>
            <w:tcBorders>
              <w:top w:val="nil"/>
              <w:left w:val="nil"/>
              <w:bottom w:val="nil"/>
              <w:right w:val="nil"/>
            </w:tcBorders>
            <w:shd w:val="clear" w:color="000000" w:fill="87C97E"/>
            <w:noWrap/>
            <w:vAlign w:val="center"/>
            <w:hideMark/>
          </w:tcPr>
          <w:p w14:paraId="458857D6"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89</w:t>
            </w:r>
          </w:p>
        </w:tc>
        <w:tc>
          <w:tcPr>
            <w:tcW w:w="122" w:type="pct"/>
            <w:tcBorders>
              <w:top w:val="nil"/>
              <w:left w:val="nil"/>
              <w:bottom w:val="nil"/>
              <w:right w:val="nil"/>
            </w:tcBorders>
            <w:shd w:val="clear" w:color="000000" w:fill="A3D17F"/>
            <w:noWrap/>
            <w:vAlign w:val="center"/>
            <w:hideMark/>
          </w:tcPr>
          <w:p w14:paraId="1A9E829D"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80</w:t>
            </w:r>
          </w:p>
        </w:tc>
        <w:tc>
          <w:tcPr>
            <w:tcW w:w="122" w:type="pct"/>
            <w:tcBorders>
              <w:top w:val="nil"/>
              <w:left w:val="nil"/>
              <w:bottom w:val="nil"/>
              <w:right w:val="nil"/>
            </w:tcBorders>
            <w:shd w:val="clear" w:color="000000" w:fill="B5D680"/>
            <w:noWrap/>
            <w:vAlign w:val="center"/>
            <w:hideMark/>
          </w:tcPr>
          <w:p w14:paraId="4E057AA8"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74</w:t>
            </w:r>
          </w:p>
        </w:tc>
        <w:tc>
          <w:tcPr>
            <w:tcW w:w="122" w:type="pct"/>
            <w:tcBorders>
              <w:top w:val="nil"/>
              <w:left w:val="nil"/>
              <w:bottom w:val="nil"/>
              <w:right w:val="nil"/>
            </w:tcBorders>
            <w:shd w:val="clear" w:color="000000" w:fill="FEE983"/>
            <w:noWrap/>
            <w:vAlign w:val="center"/>
            <w:hideMark/>
          </w:tcPr>
          <w:p w14:paraId="433F4CA8"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50</w:t>
            </w:r>
          </w:p>
        </w:tc>
        <w:tc>
          <w:tcPr>
            <w:tcW w:w="122" w:type="pct"/>
            <w:tcBorders>
              <w:top w:val="nil"/>
              <w:left w:val="nil"/>
              <w:bottom w:val="nil"/>
              <w:right w:val="nil"/>
            </w:tcBorders>
            <w:shd w:val="clear" w:color="000000" w:fill="DFE283"/>
            <w:noWrap/>
            <w:vAlign w:val="center"/>
            <w:hideMark/>
          </w:tcPr>
          <w:p w14:paraId="6E6CA9C3"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60</w:t>
            </w:r>
          </w:p>
        </w:tc>
        <w:tc>
          <w:tcPr>
            <w:tcW w:w="122" w:type="pct"/>
            <w:tcBorders>
              <w:top w:val="nil"/>
              <w:left w:val="nil"/>
              <w:bottom w:val="nil"/>
              <w:right w:val="nil"/>
            </w:tcBorders>
            <w:shd w:val="clear" w:color="000000" w:fill="D5DF82"/>
            <w:noWrap/>
            <w:vAlign w:val="center"/>
            <w:hideMark/>
          </w:tcPr>
          <w:p w14:paraId="59B98AC9"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64</w:t>
            </w:r>
          </w:p>
        </w:tc>
        <w:tc>
          <w:tcPr>
            <w:tcW w:w="122" w:type="pct"/>
            <w:tcBorders>
              <w:top w:val="nil"/>
              <w:left w:val="nil"/>
              <w:bottom w:val="nil"/>
              <w:right w:val="nil"/>
            </w:tcBorders>
            <w:shd w:val="clear" w:color="000000" w:fill="E8E583"/>
            <w:noWrap/>
            <w:vAlign w:val="center"/>
            <w:hideMark/>
          </w:tcPr>
          <w:p w14:paraId="3E0E1F0E"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58</w:t>
            </w:r>
          </w:p>
        </w:tc>
        <w:tc>
          <w:tcPr>
            <w:tcW w:w="122" w:type="pct"/>
            <w:tcBorders>
              <w:top w:val="nil"/>
              <w:left w:val="nil"/>
              <w:bottom w:val="nil"/>
              <w:right w:val="nil"/>
            </w:tcBorders>
            <w:shd w:val="clear" w:color="000000" w:fill="74C37C"/>
            <w:noWrap/>
            <w:vAlign w:val="center"/>
            <w:hideMark/>
          </w:tcPr>
          <w:p w14:paraId="3ECA345A"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95</w:t>
            </w:r>
          </w:p>
        </w:tc>
        <w:tc>
          <w:tcPr>
            <w:tcW w:w="122" w:type="pct"/>
            <w:tcBorders>
              <w:top w:val="nil"/>
              <w:left w:val="nil"/>
              <w:bottom w:val="nil"/>
              <w:right w:val="nil"/>
            </w:tcBorders>
            <w:shd w:val="clear" w:color="000000" w:fill="A5D27F"/>
            <w:noWrap/>
            <w:vAlign w:val="center"/>
            <w:hideMark/>
          </w:tcPr>
          <w:p w14:paraId="6E47397C"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79</w:t>
            </w:r>
          </w:p>
        </w:tc>
        <w:tc>
          <w:tcPr>
            <w:tcW w:w="123" w:type="pct"/>
            <w:tcBorders>
              <w:top w:val="nil"/>
              <w:left w:val="nil"/>
              <w:bottom w:val="nil"/>
              <w:right w:val="nil"/>
            </w:tcBorders>
            <w:shd w:val="clear" w:color="000000" w:fill="B0D580"/>
            <w:noWrap/>
            <w:vAlign w:val="center"/>
            <w:hideMark/>
          </w:tcPr>
          <w:p w14:paraId="3D752D41"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75</w:t>
            </w:r>
          </w:p>
        </w:tc>
        <w:tc>
          <w:tcPr>
            <w:tcW w:w="122" w:type="pct"/>
            <w:tcBorders>
              <w:top w:val="nil"/>
              <w:left w:val="nil"/>
              <w:bottom w:val="nil"/>
              <w:right w:val="nil"/>
            </w:tcBorders>
            <w:shd w:val="clear" w:color="000000" w:fill="FCB97A"/>
            <w:noWrap/>
            <w:vAlign w:val="center"/>
            <w:hideMark/>
          </w:tcPr>
          <w:p w14:paraId="5355DCF8"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31</w:t>
            </w:r>
          </w:p>
        </w:tc>
        <w:tc>
          <w:tcPr>
            <w:tcW w:w="122" w:type="pct"/>
            <w:tcBorders>
              <w:top w:val="nil"/>
              <w:left w:val="nil"/>
              <w:bottom w:val="nil"/>
              <w:right w:val="nil"/>
            </w:tcBorders>
            <w:shd w:val="clear" w:color="000000" w:fill="B0D580"/>
            <w:noWrap/>
            <w:vAlign w:val="center"/>
            <w:hideMark/>
          </w:tcPr>
          <w:p w14:paraId="200B0571"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76</w:t>
            </w:r>
          </w:p>
        </w:tc>
        <w:tc>
          <w:tcPr>
            <w:tcW w:w="122" w:type="pct"/>
            <w:tcBorders>
              <w:top w:val="nil"/>
              <w:left w:val="nil"/>
              <w:bottom w:val="nil"/>
              <w:right w:val="nil"/>
            </w:tcBorders>
            <w:shd w:val="clear" w:color="000000" w:fill="EEE683"/>
            <w:noWrap/>
            <w:vAlign w:val="center"/>
            <w:hideMark/>
          </w:tcPr>
          <w:p w14:paraId="61DC7061"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56</w:t>
            </w:r>
          </w:p>
        </w:tc>
        <w:tc>
          <w:tcPr>
            <w:tcW w:w="122" w:type="pct"/>
            <w:tcBorders>
              <w:top w:val="nil"/>
              <w:left w:val="nil"/>
              <w:bottom w:val="nil"/>
              <w:right w:val="nil"/>
            </w:tcBorders>
            <w:shd w:val="clear" w:color="000000" w:fill="BAD780"/>
            <w:noWrap/>
            <w:vAlign w:val="center"/>
            <w:hideMark/>
          </w:tcPr>
          <w:p w14:paraId="60D01925"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72</w:t>
            </w:r>
          </w:p>
        </w:tc>
        <w:tc>
          <w:tcPr>
            <w:tcW w:w="122" w:type="pct"/>
            <w:tcBorders>
              <w:top w:val="nil"/>
              <w:left w:val="nil"/>
              <w:bottom w:val="nil"/>
              <w:right w:val="nil"/>
            </w:tcBorders>
            <w:shd w:val="clear" w:color="000000" w:fill="CDDD82"/>
            <w:noWrap/>
            <w:vAlign w:val="center"/>
            <w:hideMark/>
          </w:tcPr>
          <w:p w14:paraId="2A618D77"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66</w:t>
            </w:r>
          </w:p>
        </w:tc>
        <w:tc>
          <w:tcPr>
            <w:tcW w:w="123" w:type="pct"/>
            <w:tcBorders>
              <w:top w:val="nil"/>
              <w:left w:val="nil"/>
              <w:bottom w:val="nil"/>
              <w:right w:val="nil"/>
            </w:tcBorders>
            <w:shd w:val="clear" w:color="000000" w:fill="F0E784"/>
            <w:noWrap/>
            <w:vAlign w:val="center"/>
            <w:hideMark/>
          </w:tcPr>
          <w:p w14:paraId="7B7CCCB8"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55</w:t>
            </w:r>
          </w:p>
        </w:tc>
        <w:tc>
          <w:tcPr>
            <w:tcW w:w="122" w:type="pct"/>
            <w:tcBorders>
              <w:top w:val="nil"/>
              <w:left w:val="nil"/>
              <w:bottom w:val="nil"/>
              <w:right w:val="nil"/>
            </w:tcBorders>
            <w:shd w:val="clear" w:color="000000" w:fill="F2E884"/>
            <w:noWrap/>
            <w:vAlign w:val="center"/>
            <w:hideMark/>
          </w:tcPr>
          <w:p w14:paraId="7DC69B69"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54</w:t>
            </w:r>
          </w:p>
        </w:tc>
      </w:tr>
      <w:tr w:rsidR="00B656F6" w:rsidRPr="00634756" w14:paraId="40F57550" w14:textId="77777777" w:rsidTr="008F0944">
        <w:tblPrEx>
          <w:tblCellMar>
            <w:left w:w="33" w:type="dxa"/>
            <w:right w:w="33" w:type="dxa"/>
          </w:tblCellMar>
        </w:tblPrEx>
        <w:trPr>
          <w:trHeight w:val="84"/>
        </w:trPr>
        <w:tc>
          <w:tcPr>
            <w:tcW w:w="131" w:type="pct"/>
            <w:vMerge w:val="restart"/>
            <w:tcBorders>
              <w:top w:val="nil"/>
              <w:left w:val="nil"/>
              <w:right w:val="nil"/>
            </w:tcBorders>
            <w:shd w:val="clear" w:color="auto" w:fill="FFF2CC" w:themeFill="accent4" w:themeFillTint="33"/>
            <w:textDirection w:val="btLr"/>
          </w:tcPr>
          <w:p w14:paraId="3FF659E3" w14:textId="77777777" w:rsidR="00B656F6" w:rsidRPr="00634756" w:rsidRDefault="00B656F6" w:rsidP="008F0944">
            <w:pPr>
              <w:snapToGrid w:val="0"/>
              <w:ind w:left="113" w:right="113"/>
              <w:jc w:val="right"/>
              <w:rPr>
                <w:rFonts w:ascii="等线" w:eastAsia="等线" w:hAnsi="等线" w:cs="宋体"/>
                <w:b/>
                <w:color w:val="000000"/>
                <w:sz w:val="15"/>
                <w:szCs w:val="15"/>
              </w:rPr>
            </w:pPr>
            <w:r w:rsidRPr="00634756">
              <w:rPr>
                <w:rFonts w:ascii="等线" w:eastAsia="等线" w:hAnsi="等线" w:cs="宋体"/>
                <w:b/>
                <w:color w:val="000000"/>
                <w:sz w:val="15"/>
                <w:szCs w:val="15"/>
              </w:rPr>
              <w:t>Eastern China</w:t>
            </w:r>
          </w:p>
        </w:tc>
        <w:tc>
          <w:tcPr>
            <w:tcW w:w="469" w:type="pct"/>
            <w:tcBorders>
              <w:top w:val="nil"/>
              <w:left w:val="nil"/>
              <w:bottom w:val="nil"/>
              <w:right w:val="nil"/>
            </w:tcBorders>
            <w:shd w:val="clear" w:color="auto" w:fill="FFF2CC" w:themeFill="accent4" w:themeFillTint="33"/>
            <w:noWrap/>
            <w:vAlign w:val="center"/>
            <w:hideMark/>
          </w:tcPr>
          <w:p w14:paraId="68E33B78" w14:textId="77777777" w:rsidR="00B656F6" w:rsidRPr="00EB4864" w:rsidRDefault="00B656F6" w:rsidP="008F0944">
            <w:pPr>
              <w:snapToGrid w:val="0"/>
              <w:jc w:val="right"/>
              <w:rPr>
                <w:rFonts w:ascii="等线" w:eastAsia="等线" w:hAnsi="等线" w:cs="宋体"/>
                <w:b/>
                <w:color w:val="000000"/>
                <w:sz w:val="15"/>
                <w:szCs w:val="15"/>
              </w:rPr>
            </w:pPr>
            <w:r w:rsidRPr="00EB4864">
              <w:rPr>
                <w:rFonts w:ascii="等线" w:eastAsia="等线" w:hAnsi="等线" w:cs="宋体"/>
                <w:b/>
                <w:color w:val="000000"/>
                <w:sz w:val="15"/>
                <w:szCs w:val="15"/>
              </w:rPr>
              <w:t>Beijing*</w:t>
            </w:r>
          </w:p>
        </w:tc>
        <w:tc>
          <w:tcPr>
            <w:tcW w:w="122" w:type="pct"/>
            <w:tcBorders>
              <w:top w:val="nil"/>
              <w:left w:val="nil"/>
              <w:bottom w:val="nil"/>
              <w:right w:val="nil"/>
            </w:tcBorders>
            <w:shd w:val="clear" w:color="000000" w:fill="7DC67D"/>
            <w:noWrap/>
            <w:vAlign w:val="center"/>
            <w:hideMark/>
          </w:tcPr>
          <w:p w14:paraId="706D5AE9"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92</w:t>
            </w:r>
          </w:p>
        </w:tc>
        <w:tc>
          <w:tcPr>
            <w:tcW w:w="143" w:type="pct"/>
            <w:tcBorders>
              <w:top w:val="nil"/>
              <w:left w:val="nil"/>
              <w:bottom w:val="nil"/>
              <w:right w:val="nil"/>
            </w:tcBorders>
            <w:shd w:val="clear" w:color="000000" w:fill="63BE7B"/>
            <w:noWrap/>
            <w:vAlign w:val="center"/>
            <w:hideMark/>
          </w:tcPr>
          <w:p w14:paraId="2E458133"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22" w:type="pct"/>
            <w:tcBorders>
              <w:top w:val="nil"/>
              <w:left w:val="nil"/>
              <w:bottom w:val="nil"/>
              <w:right w:val="nil"/>
            </w:tcBorders>
            <w:shd w:val="clear" w:color="000000" w:fill="F8696B"/>
            <w:noWrap/>
            <w:vAlign w:val="center"/>
            <w:hideMark/>
          </w:tcPr>
          <w:p w14:paraId="3B7A5260"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0</w:t>
            </w:r>
          </w:p>
        </w:tc>
        <w:tc>
          <w:tcPr>
            <w:tcW w:w="122" w:type="pct"/>
            <w:tcBorders>
              <w:top w:val="nil"/>
              <w:left w:val="nil"/>
              <w:bottom w:val="nil"/>
              <w:right w:val="nil"/>
            </w:tcBorders>
            <w:shd w:val="clear" w:color="000000" w:fill="FCB77A"/>
            <w:noWrap/>
            <w:vAlign w:val="center"/>
            <w:hideMark/>
          </w:tcPr>
          <w:p w14:paraId="5EB70656"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30</w:t>
            </w:r>
          </w:p>
        </w:tc>
        <w:tc>
          <w:tcPr>
            <w:tcW w:w="143" w:type="pct"/>
            <w:tcBorders>
              <w:top w:val="nil"/>
              <w:left w:val="nil"/>
              <w:bottom w:val="nil"/>
              <w:right w:val="nil"/>
            </w:tcBorders>
            <w:shd w:val="clear" w:color="000000" w:fill="63BE7B"/>
            <w:noWrap/>
            <w:vAlign w:val="center"/>
            <w:hideMark/>
          </w:tcPr>
          <w:p w14:paraId="2E7B0CCD"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22" w:type="pct"/>
            <w:tcBorders>
              <w:top w:val="nil"/>
              <w:left w:val="nil"/>
              <w:bottom w:val="nil"/>
              <w:right w:val="nil"/>
            </w:tcBorders>
            <w:shd w:val="clear" w:color="000000" w:fill="6FC27C"/>
            <w:noWrap/>
            <w:vAlign w:val="center"/>
            <w:hideMark/>
          </w:tcPr>
          <w:p w14:paraId="41A6DC1B"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96</w:t>
            </w:r>
          </w:p>
        </w:tc>
        <w:tc>
          <w:tcPr>
            <w:tcW w:w="143" w:type="pct"/>
            <w:tcBorders>
              <w:top w:val="nil"/>
              <w:left w:val="nil"/>
              <w:bottom w:val="nil"/>
              <w:right w:val="nil"/>
            </w:tcBorders>
            <w:shd w:val="clear" w:color="000000" w:fill="63BE7B"/>
            <w:noWrap/>
            <w:vAlign w:val="center"/>
            <w:hideMark/>
          </w:tcPr>
          <w:p w14:paraId="3956C429"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43" w:type="pct"/>
            <w:tcBorders>
              <w:top w:val="nil"/>
              <w:left w:val="nil"/>
              <w:bottom w:val="nil"/>
              <w:right w:val="nil"/>
            </w:tcBorders>
            <w:shd w:val="clear" w:color="000000" w:fill="63BE7B"/>
            <w:noWrap/>
            <w:vAlign w:val="center"/>
            <w:hideMark/>
          </w:tcPr>
          <w:p w14:paraId="50B03641"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43" w:type="pct"/>
            <w:tcBorders>
              <w:top w:val="nil"/>
              <w:left w:val="nil"/>
              <w:bottom w:val="nil"/>
              <w:right w:val="nil"/>
            </w:tcBorders>
            <w:shd w:val="clear" w:color="000000" w:fill="A5D17F"/>
            <w:noWrap/>
            <w:vAlign w:val="center"/>
            <w:hideMark/>
          </w:tcPr>
          <w:p w14:paraId="131E41E5"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79</w:t>
            </w:r>
          </w:p>
        </w:tc>
        <w:tc>
          <w:tcPr>
            <w:tcW w:w="122" w:type="pct"/>
            <w:tcBorders>
              <w:top w:val="nil"/>
              <w:left w:val="nil"/>
              <w:bottom w:val="nil"/>
              <w:right w:val="nil"/>
            </w:tcBorders>
            <w:shd w:val="clear" w:color="000000" w:fill="A4D17F"/>
            <w:noWrap/>
            <w:vAlign w:val="center"/>
            <w:hideMark/>
          </w:tcPr>
          <w:p w14:paraId="0AD29F59"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79</w:t>
            </w:r>
          </w:p>
        </w:tc>
        <w:tc>
          <w:tcPr>
            <w:tcW w:w="122" w:type="pct"/>
            <w:tcBorders>
              <w:top w:val="nil"/>
              <w:left w:val="nil"/>
              <w:bottom w:val="nil"/>
              <w:right w:val="nil"/>
            </w:tcBorders>
            <w:shd w:val="clear" w:color="000000" w:fill="7DC67D"/>
            <w:noWrap/>
            <w:vAlign w:val="center"/>
            <w:hideMark/>
          </w:tcPr>
          <w:p w14:paraId="4D37D2CD"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92</w:t>
            </w:r>
          </w:p>
        </w:tc>
        <w:tc>
          <w:tcPr>
            <w:tcW w:w="122" w:type="pct"/>
            <w:tcBorders>
              <w:top w:val="nil"/>
              <w:left w:val="nil"/>
              <w:bottom w:val="nil"/>
              <w:right w:val="nil"/>
            </w:tcBorders>
            <w:shd w:val="clear" w:color="000000" w:fill="81C77D"/>
            <w:noWrap/>
            <w:vAlign w:val="center"/>
            <w:hideMark/>
          </w:tcPr>
          <w:p w14:paraId="719EE886"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91</w:t>
            </w:r>
          </w:p>
        </w:tc>
        <w:tc>
          <w:tcPr>
            <w:tcW w:w="122" w:type="pct"/>
            <w:tcBorders>
              <w:top w:val="nil"/>
              <w:left w:val="nil"/>
              <w:bottom w:val="nil"/>
              <w:right w:val="nil"/>
            </w:tcBorders>
            <w:shd w:val="clear" w:color="000000" w:fill="9ACE7F"/>
            <w:noWrap/>
            <w:vAlign w:val="center"/>
            <w:hideMark/>
          </w:tcPr>
          <w:p w14:paraId="784B45A7"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83</w:t>
            </w:r>
          </w:p>
        </w:tc>
        <w:tc>
          <w:tcPr>
            <w:tcW w:w="143" w:type="pct"/>
            <w:tcBorders>
              <w:top w:val="nil"/>
              <w:left w:val="nil"/>
              <w:bottom w:val="nil"/>
              <w:right w:val="nil"/>
            </w:tcBorders>
            <w:shd w:val="clear" w:color="000000" w:fill="63BE7B"/>
            <w:noWrap/>
            <w:vAlign w:val="center"/>
            <w:hideMark/>
          </w:tcPr>
          <w:p w14:paraId="7ABC03F0"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22" w:type="pct"/>
            <w:tcBorders>
              <w:top w:val="nil"/>
              <w:left w:val="nil"/>
              <w:bottom w:val="nil"/>
              <w:right w:val="nil"/>
            </w:tcBorders>
            <w:shd w:val="clear" w:color="000000" w:fill="DBE182"/>
            <w:noWrap/>
            <w:vAlign w:val="center"/>
            <w:hideMark/>
          </w:tcPr>
          <w:p w14:paraId="19EFFA29"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62</w:t>
            </w:r>
          </w:p>
        </w:tc>
        <w:tc>
          <w:tcPr>
            <w:tcW w:w="122" w:type="pct"/>
            <w:tcBorders>
              <w:top w:val="nil"/>
              <w:left w:val="nil"/>
              <w:bottom w:val="nil"/>
              <w:right w:val="nil"/>
            </w:tcBorders>
            <w:shd w:val="clear" w:color="000000" w:fill="85C87D"/>
            <w:noWrap/>
            <w:vAlign w:val="center"/>
            <w:hideMark/>
          </w:tcPr>
          <w:p w14:paraId="265CC6FF"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89</w:t>
            </w:r>
          </w:p>
        </w:tc>
        <w:tc>
          <w:tcPr>
            <w:tcW w:w="123" w:type="pct"/>
            <w:tcBorders>
              <w:top w:val="nil"/>
              <w:left w:val="nil"/>
              <w:bottom w:val="nil"/>
              <w:right w:val="nil"/>
            </w:tcBorders>
            <w:shd w:val="clear" w:color="000000" w:fill="96CD7E"/>
            <w:noWrap/>
            <w:vAlign w:val="center"/>
            <w:hideMark/>
          </w:tcPr>
          <w:p w14:paraId="504ADEC8"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84</w:t>
            </w:r>
          </w:p>
        </w:tc>
        <w:tc>
          <w:tcPr>
            <w:tcW w:w="122" w:type="pct"/>
            <w:tcBorders>
              <w:top w:val="nil"/>
              <w:left w:val="nil"/>
              <w:bottom w:val="nil"/>
              <w:right w:val="nil"/>
            </w:tcBorders>
            <w:shd w:val="clear" w:color="000000" w:fill="A0D07F"/>
            <w:noWrap/>
            <w:vAlign w:val="center"/>
            <w:hideMark/>
          </w:tcPr>
          <w:p w14:paraId="635176B2"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81</w:t>
            </w:r>
          </w:p>
        </w:tc>
        <w:tc>
          <w:tcPr>
            <w:tcW w:w="122" w:type="pct"/>
            <w:tcBorders>
              <w:top w:val="nil"/>
              <w:left w:val="nil"/>
              <w:bottom w:val="nil"/>
              <w:right w:val="nil"/>
            </w:tcBorders>
            <w:shd w:val="clear" w:color="000000" w:fill="6EC17C"/>
            <w:noWrap/>
            <w:vAlign w:val="center"/>
            <w:hideMark/>
          </w:tcPr>
          <w:p w14:paraId="474374EA"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97</w:t>
            </w:r>
          </w:p>
        </w:tc>
        <w:tc>
          <w:tcPr>
            <w:tcW w:w="122" w:type="pct"/>
            <w:tcBorders>
              <w:top w:val="nil"/>
              <w:left w:val="nil"/>
              <w:bottom w:val="nil"/>
              <w:right w:val="nil"/>
            </w:tcBorders>
            <w:shd w:val="clear" w:color="000000" w:fill="88C97E"/>
            <w:noWrap/>
            <w:vAlign w:val="center"/>
            <w:hideMark/>
          </w:tcPr>
          <w:p w14:paraId="01E8FE38"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88</w:t>
            </w:r>
          </w:p>
        </w:tc>
        <w:tc>
          <w:tcPr>
            <w:tcW w:w="122" w:type="pct"/>
            <w:tcBorders>
              <w:top w:val="nil"/>
              <w:left w:val="nil"/>
              <w:bottom w:val="nil"/>
              <w:right w:val="nil"/>
            </w:tcBorders>
            <w:shd w:val="clear" w:color="000000" w:fill="C3DA81"/>
            <w:noWrap/>
            <w:vAlign w:val="center"/>
            <w:hideMark/>
          </w:tcPr>
          <w:p w14:paraId="626D4936"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69</w:t>
            </w:r>
          </w:p>
        </w:tc>
        <w:tc>
          <w:tcPr>
            <w:tcW w:w="122" w:type="pct"/>
            <w:tcBorders>
              <w:top w:val="nil"/>
              <w:left w:val="nil"/>
              <w:bottom w:val="nil"/>
              <w:right w:val="nil"/>
            </w:tcBorders>
            <w:shd w:val="clear" w:color="000000" w:fill="F8696B"/>
            <w:noWrap/>
            <w:vAlign w:val="center"/>
            <w:hideMark/>
          </w:tcPr>
          <w:p w14:paraId="159E9688"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0</w:t>
            </w:r>
          </w:p>
        </w:tc>
        <w:tc>
          <w:tcPr>
            <w:tcW w:w="122" w:type="pct"/>
            <w:tcBorders>
              <w:top w:val="nil"/>
              <w:left w:val="nil"/>
              <w:bottom w:val="nil"/>
              <w:right w:val="nil"/>
            </w:tcBorders>
            <w:shd w:val="clear" w:color="000000" w:fill="F97E6F"/>
            <w:noWrap/>
            <w:vAlign w:val="center"/>
            <w:hideMark/>
          </w:tcPr>
          <w:p w14:paraId="000197D5"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w:t>
            </w:r>
          </w:p>
        </w:tc>
        <w:tc>
          <w:tcPr>
            <w:tcW w:w="122" w:type="pct"/>
            <w:tcBorders>
              <w:top w:val="nil"/>
              <w:left w:val="nil"/>
              <w:bottom w:val="nil"/>
              <w:right w:val="nil"/>
            </w:tcBorders>
            <w:shd w:val="clear" w:color="000000" w:fill="8ECB7E"/>
            <w:noWrap/>
            <w:vAlign w:val="center"/>
            <w:hideMark/>
          </w:tcPr>
          <w:p w14:paraId="582A713D"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86</w:t>
            </w:r>
          </w:p>
        </w:tc>
        <w:tc>
          <w:tcPr>
            <w:tcW w:w="122" w:type="pct"/>
            <w:tcBorders>
              <w:top w:val="nil"/>
              <w:left w:val="nil"/>
              <w:bottom w:val="nil"/>
              <w:right w:val="nil"/>
            </w:tcBorders>
            <w:shd w:val="clear" w:color="000000" w:fill="BAD780"/>
            <w:noWrap/>
            <w:vAlign w:val="center"/>
            <w:hideMark/>
          </w:tcPr>
          <w:p w14:paraId="6F47071A"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72</w:t>
            </w:r>
          </w:p>
        </w:tc>
        <w:tc>
          <w:tcPr>
            <w:tcW w:w="122" w:type="pct"/>
            <w:tcBorders>
              <w:top w:val="nil"/>
              <w:left w:val="nil"/>
              <w:bottom w:val="nil"/>
              <w:right w:val="nil"/>
            </w:tcBorders>
            <w:shd w:val="clear" w:color="000000" w:fill="68C07C"/>
            <w:noWrap/>
            <w:vAlign w:val="center"/>
            <w:hideMark/>
          </w:tcPr>
          <w:p w14:paraId="12E86543"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99</w:t>
            </w:r>
          </w:p>
        </w:tc>
        <w:tc>
          <w:tcPr>
            <w:tcW w:w="122" w:type="pct"/>
            <w:tcBorders>
              <w:top w:val="nil"/>
              <w:left w:val="nil"/>
              <w:bottom w:val="nil"/>
              <w:right w:val="nil"/>
            </w:tcBorders>
            <w:shd w:val="clear" w:color="000000" w:fill="71C27C"/>
            <w:noWrap/>
            <w:vAlign w:val="center"/>
            <w:hideMark/>
          </w:tcPr>
          <w:p w14:paraId="788175B5"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96</w:t>
            </w:r>
          </w:p>
        </w:tc>
        <w:tc>
          <w:tcPr>
            <w:tcW w:w="123" w:type="pct"/>
            <w:tcBorders>
              <w:top w:val="nil"/>
              <w:left w:val="nil"/>
              <w:bottom w:val="nil"/>
              <w:right w:val="nil"/>
            </w:tcBorders>
            <w:shd w:val="clear" w:color="000000" w:fill="89C97E"/>
            <w:noWrap/>
            <w:vAlign w:val="center"/>
            <w:hideMark/>
          </w:tcPr>
          <w:p w14:paraId="198D8DB4"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88</w:t>
            </w:r>
          </w:p>
        </w:tc>
        <w:tc>
          <w:tcPr>
            <w:tcW w:w="122" w:type="pct"/>
            <w:tcBorders>
              <w:top w:val="nil"/>
              <w:left w:val="nil"/>
              <w:bottom w:val="nil"/>
              <w:right w:val="nil"/>
            </w:tcBorders>
            <w:shd w:val="clear" w:color="000000" w:fill="F8756D"/>
            <w:noWrap/>
            <w:vAlign w:val="center"/>
            <w:hideMark/>
          </w:tcPr>
          <w:p w14:paraId="6681EA0F"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5</w:t>
            </w:r>
          </w:p>
        </w:tc>
        <w:tc>
          <w:tcPr>
            <w:tcW w:w="122" w:type="pct"/>
            <w:tcBorders>
              <w:top w:val="nil"/>
              <w:left w:val="nil"/>
              <w:bottom w:val="nil"/>
              <w:right w:val="nil"/>
            </w:tcBorders>
            <w:shd w:val="clear" w:color="000000" w:fill="70C27C"/>
            <w:noWrap/>
            <w:vAlign w:val="center"/>
            <w:hideMark/>
          </w:tcPr>
          <w:p w14:paraId="20FD4015"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96</w:t>
            </w:r>
          </w:p>
        </w:tc>
        <w:tc>
          <w:tcPr>
            <w:tcW w:w="122" w:type="pct"/>
            <w:tcBorders>
              <w:top w:val="nil"/>
              <w:left w:val="nil"/>
              <w:bottom w:val="nil"/>
              <w:right w:val="nil"/>
            </w:tcBorders>
            <w:shd w:val="clear" w:color="000000" w:fill="C2DA81"/>
            <w:noWrap/>
            <w:vAlign w:val="center"/>
            <w:hideMark/>
          </w:tcPr>
          <w:p w14:paraId="2E90180F"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70</w:t>
            </w:r>
          </w:p>
        </w:tc>
        <w:tc>
          <w:tcPr>
            <w:tcW w:w="122" w:type="pct"/>
            <w:tcBorders>
              <w:top w:val="nil"/>
              <w:left w:val="nil"/>
              <w:bottom w:val="nil"/>
              <w:right w:val="nil"/>
            </w:tcBorders>
            <w:shd w:val="clear" w:color="000000" w:fill="72C37C"/>
            <w:noWrap/>
            <w:vAlign w:val="center"/>
            <w:hideMark/>
          </w:tcPr>
          <w:p w14:paraId="68F7B44A"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95</w:t>
            </w:r>
          </w:p>
        </w:tc>
        <w:tc>
          <w:tcPr>
            <w:tcW w:w="122" w:type="pct"/>
            <w:tcBorders>
              <w:top w:val="nil"/>
              <w:left w:val="nil"/>
              <w:bottom w:val="nil"/>
              <w:right w:val="nil"/>
            </w:tcBorders>
            <w:shd w:val="clear" w:color="000000" w:fill="9ECF7F"/>
            <w:noWrap/>
            <w:vAlign w:val="center"/>
            <w:hideMark/>
          </w:tcPr>
          <w:p w14:paraId="01CC679C"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81</w:t>
            </w:r>
          </w:p>
        </w:tc>
        <w:tc>
          <w:tcPr>
            <w:tcW w:w="123" w:type="pct"/>
            <w:tcBorders>
              <w:top w:val="nil"/>
              <w:left w:val="nil"/>
              <w:bottom w:val="nil"/>
              <w:right w:val="nil"/>
            </w:tcBorders>
            <w:shd w:val="clear" w:color="000000" w:fill="FDD37F"/>
            <w:noWrap/>
            <w:vAlign w:val="center"/>
            <w:hideMark/>
          </w:tcPr>
          <w:p w14:paraId="19AF6E4B"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41</w:t>
            </w:r>
          </w:p>
        </w:tc>
        <w:tc>
          <w:tcPr>
            <w:tcW w:w="122" w:type="pct"/>
            <w:tcBorders>
              <w:top w:val="nil"/>
              <w:left w:val="nil"/>
              <w:bottom w:val="nil"/>
              <w:right w:val="nil"/>
            </w:tcBorders>
            <w:shd w:val="clear" w:color="000000" w:fill="BDD881"/>
            <w:noWrap/>
            <w:vAlign w:val="center"/>
            <w:hideMark/>
          </w:tcPr>
          <w:p w14:paraId="7A26E393"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71</w:t>
            </w:r>
          </w:p>
        </w:tc>
      </w:tr>
      <w:tr w:rsidR="00B656F6" w:rsidRPr="00634756" w14:paraId="7928D7E2" w14:textId="77777777" w:rsidTr="008F0944">
        <w:trPr>
          <w:trHeight w:val="113"/>
        </w:trPr>
        <w:tc>
          <w:tcPr>
            <w:tcW w:w="131" w:type="pct"/>
            <w:vMerge/>
            <w:tcBorders>
              <w:left w:val="nil"/>
              <w:right w:val="nil"/>
            </w:tcBorders>
            <w:shd w:val="clear" w:color="auto" w:fill="FFF2CC" w:themeFill="accent4" w:themeFillTint="33"/>
          </w:tcPr>
          <w:p w14:paraId="23A26218" w14:textId="77777777" w:rsidR="00B656F6" w:rsidRPr="00634756" w:rsidRDefault="00B656F6" w:rsidP="008F0944">
            <w:pPr>
              <w:snapToGrid w:val="0"/>
              <w:jc w:val="right"/>
              <w:rPr>
                <w:rFonts w:ascii="等线" w:eastAsia="等线" w:hAnsi="等线" w:cs="宋体"/>
                <w:b/>
                <w:color w:val="000000"/>
                <w:sz w:val="15"/>
                <w:szCs w:val="15"/>
              </w:rPr>
            </w:pPr>
          </w:p>
        </w:tc>
        <w:tc>
          <w:tcPr>
            <w:tcW w:w="469" w:type="pct"/>
            <w:tcBorders>
              <w:top w:val="nil"/>
              <w:left w:val="nil"/>
              <w:bottom w:val="nil"/>
              <w:right w:val="nil"/>
            </w:tcBorders>
            <w:shd w:val="clear" w:color="auto" w:fill="FFF2CC" w:themeFill="accent4" w:themeFillTint="33"/>
            <w:noWrap/>
            <w:vAlign w:val="center"/>
            <w:hideMark/>
          </w:tcPr>
          <w:p w14:paraId="2799F901" w14:textId="77777777" w:rsidR="00B656F6" w:rsidRPr="00EB4864" w:rsidRDefault="00B656F6" w:rsidP="008F0944">
            <w:pPr>
              <w:snapToGrid w:val="0"/>
              <w:jc w:val="right"/>
              <w:rPr>
                <w:rFonts w:ascii="等线" w:eastAsia="等线" w:hAnsi="等线" w:cs="宋体"/>
                <w:b/>
                <w:color w:val="000000"/>
                <w:sz w:val="15"/>
                <w:szCs w:val="15"/>
              </w:rPr>
            </w:pPr>
            <w:r w:rsidRPr="00EB4864">
              <w:rPr>
                <w:rFonts w:ascii="等线" w:eastAsia="等线" w:hAnsi="等线" w:cs="宋体"/>
                <w:b/>
                <w:color w:val="000000"/>
                <w:sz w:val="15"/>
                <w:szCs w:val="15"/>
              </w:rPr>
              <w:t>Tianjin*</w:t>
            </w:r>
          </w:p>
        </w:tc>
        <w:tc>
          <w:tcPr>
            <w:tcW w:w="122" w:type="pct"/>
            <w:tcBorders>
              <w:top w:val="nil"/>
              <w:left w:val="nil"/>
              <w:bottom w:val="nil"/>
              <w:right w:val="nil"/>
            </w:tcBorders>
            <w:shd w:val="clear" w:color="000000" w:fill="81C77D"/>
            <w:noWrap/>
            <w:vAlign w:val="center"/>
            <w:hideMark/>
          </w:tcPr>
          <w:p w14:paraId="58F25D60"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91</w:t>
            </w:r>
          </w:p>
        </w:tc>
        <w:tc>
          <w:tcPr>
            <w:tcW w:w="143" w:type="pct"/>
            <w:tcBorders>
              <w:top w:val="nil"/>
              <w:left w:val="nil"/>
              <w:bottom w:val="nil"/>
              <w:right w:val="nil"/>
            </w:tcBorders>
            <w:shd w:val="clear" w:color="000000" w:fill="63BE7B"/>
            <w:noWrap/>
            <w:vAlign w:val="center"/>
            <w:hideMark/>
          </w:tcPr>
          <w:p w14:paraId="64F506B0"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22" w:type="pct"/>
            <w:tcBorders>
              <w:top w:val="nil"/>
              <w:left w:val="nil"/>
              <w:bottom w:val="nil"/>
              <w:right w:val="nil"/>
            </w:tcBorders>
            <w:shd w:val="clear" w:color="000000" w:fill="F8696B"/>
            <w:noWrap/>
            <w:vAlign w:val="center"/>
            <w:hideMark/>
          </w:tcPr>
          <w:p w14:paraId="270E6D79"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0</w:t>
            </w:r>
          </w:p>
        </w:tc>
        <w:tc>
          <w:tcPr>
            <w:tcW w:w="122" w:type="pct"/>
            <w:tcBorders>
              <w:top w:val="nil"/>
              <w:left w:val="nil"/>
              <w:bottom w:val="nil"/>
              <w:right w:val="nil"/>
            </w:tcBorders>
            <w:shd w:val="clear" w:color="000000" w:fill="FCB77A"/>
            <w:noWrap/>
            <w:vAlign w:val="center"/>
            <w:hideMark/>
          </w:tcPr>
          <w:p w14:paraId="6F8A8522"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30</w:t>
            </w:r>
          </w:p>
        </w:tc>
        <w:tc>
          <w:tcPr>
            <w:tcW w:w="143" w:type="pct"/>
            <w:tcBorders>
              <w:top w:val="nil"/>
              <w:left w:val="nil"/>
              <w:bottom w:val="nil"/>
              <w:right w:val="nil"/>
            </w:tcBorders>
            <w:shd w:val="clear" w:color="000000" w:fill="63BE7B"/>
            <w:noWrap/>
            <w:vAlign w:val="center"/>
            <w:hideMark/>
          </w:tcPr>
          <w:p w14:paraId="302262D0"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22" w:type="pct"/>
            <w:tcBorders>
              <w:top w:val="nil"/>
              <w:left w:val="nil"/>
              <w:bottom w:val="nil"/>
              <w:right w:val="nil"/>
            </w:tcBorders>
            <w:shd w:val="clear" w:color="000000" w:fill="70C27C"/>
            <w:noWrap/>
            <w:vAlign w:val="center"/>
            <w:hideMark/>
          </w:tcPr>
          <w:p w14:paraId="323589F9"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96</w:t>
            </w:r>
          </w:p>
        </w:tc>
        <w:tc>
          <w:tcPr>
            <w:tcW w:w="143" w:type="pct"/>
            <w:tcBorders>
              <w:top w:val="nil"/>
              <w:left w:val="nil"/>
              <w:bottom w:val="nil"/>
              <w:right w:val="nil"/>
            </w:tcBorders>
            <w:shd w:val="clear" w:color="000000" w:fill="63BE7B"/>
            <w:noWrap/>
            <w:vAlign w:val="center"/>
            <w:hideMark/>
          </w:tcPr>
          <w:p w14:paraId="4AFAE914"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43" w:type="pct"/>
            <w:tcBorders>
              <w:top w:val="nil"/>
              <w:left w:val="nil"/>
              <w:bottom w:val="nil"/>
              <w:right w:val="nil"/>
            </w:tcBorders>
            <w:shd w:val="clear" w:color="000000" w:fill="63BE7B"/>
            <w:noWrap/>
            <w:vAlign w:val="center"/>
            <w:hideMark/>
          </w:tcPr>
          <w:p w14:paraId="16CC7305"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43" w:type="pct"/>
            <w:tcBorders>
              <w:top w:val="nil"/>
              <w:left w:val="nil"/>
              <w:bottom w:val="nil"/>
              <w:right w:val="nil"/>
            </w:tcBorders>
            <w:shd w:val="clear" w:color="000000" w:fill="9ECF7F"/>
            <w:noWrap/>
            <w:vAlign w:val="center"/>
            <w:hideMark/>
          </w:tcPr>
          <w:p w14:paraId="3C65369F"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81</w:t>
            </w:r>
          </w:p>
        </w:tc>
        <w:tc>
          <w:tcPr>
            <w:tcW w:w="122" w:type="pct"/>
            <w:tcBorders>
              <w:top w:val="nil"/>
              <w:left w:val="nil"/>
              <w:bottom w:val="nil"/>
              <w:right w:val="nil"/>
            </w:tcBorders>
            <w:shd w:val="clear" w:color="000000" w:fill="B0D580"/>
            <w:noWrap/>
            <w:vAlign w:val="center"/>
            <w:hideMark/>
          </w:tcPr>
          <w:p w14:paraId="11ED4742"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76</w:t>
            </w:r>
          </w:p>
        </w:tc>
        <w:tc>
          <w:tcPr>
            <w:tcW w:w="122" w:type="pct"/>
            <w:tcBorders>
              <w:top w:val="nil"/>
              <w:left w:val="nil"/>
              <w:bottom w:val="nil"/>
              <w:right w:val="nil"/>
            </w:tcBorders>
            <w:shd w:val="clear" w:color="000000" w:fill="7EC67D"/>
            <w:noWrap/>
            <w:vAlign w:val="center"/>
            <w:hideMark/>
          </w:tcPr>
          <w:p w14:paraId="56D36C1E"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92</w:t>
            </w:r>
          </w:p>
        </w:tc>
        <w:tc>
          <w:tcPr>
            <w:tcW w:w="122" w:type="pct"/>
            <w:tcBorders>
              <w:top w:val="nil"/>
              <w:left w:val="nil"/>
              <w:bottom w:val="nil"/>
              <w:right w:val="nil"/>
            </w:tcBorders>
            <w:shd w:val="clear" w:color="000000" w:fill="86C97E"/>
            <w:noWrap/>
            <w:vAlign w:val="center"/>
            <w:hideMark/>
          </w:tcPr>
          <w:p w14:paraId="07E79D22"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89</w:t>
            </w:r>
          </w:p>
        </w:tc>
        <w:tc>
          <w:tcPr>
            <w:tcW w:w="122" w:type="pct"/>
            <w:tcBorders>
              <w:top w:val="nil"/>
              <w:left w:val="nil"/>
              <w:bottom w:val="nil"/>
              <w:right w:val="nil"/>
            </w:tcBorders>
            <w:shd w:val="clear" w:color="000000" w:fill="8DCB7E"/>
            <w:noWrap/>
            <w:vAlign w:val="center"/>
            <w:hideMark/>
          </w:tcPr>
          <w:p w14:paraId="5B83D9D9"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87</w:t>
            </w:r>
          </w:p>
        </w:tc>
        <w:tc>
          <w:tcPr>
            <w:tcW w:w="143" w:type="pct"/>
            <w:tcBorders>
              <w:top w:val="nil"/>
              <w:left w:val="nil"/>
              <w:bottom w:val="nil"/>
              <w:right w:val="nil"/>
            </w:tcBorders>
            <w:shd w:val="clear" w:color="000000" w:fill="63BE7B"/>
            <w:noWrap/>
            <w:vAlign w:val="center"/>
            <w:hideMark/>
          </w:tcPr>
          <w:p w14:paraId="6C493205"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22" w:type="pct"/>
            <w:tcBorders>
              <w:top w:val="nil"/>
              <w:left w:val="nil"/>
              <w:bottom w:val="nil"/>
              <w:right w:val="nil"/>
            </w:tcBorders>
            <w:shd w:val="clear" w:color="000000" w:fill="E1E383"/>
            <w:noWrap/>
            <w:vAlign w:val="center"/>
            <w:hideMark/>
          </w:tcPr>
          <w:p w14:paraId="4F10E200"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60</w:t>
            </w:r>
          </w:p>
        </w:tc>
        <w:tc>
          <w:tcPr>
            <w:tcW w:w="122" w:type="pct"/>
            <w:tcBorders>
              <w:top w:val="nil"/>
              <w:left w:val="nil"/>
              <w:bottom w:val="nil"/>
              <w:right w:val="nil"/>
            </w:tcBorders>
            <w:shd w:val="clear" w:color="000000" w:fill="88C97E"/>
            <w:noWrap/>
            <w:vAlign w:val="center"/>
            <w:hideMark/>
          </w:tcPr>
          <w:p w14:paraId="55BB0153"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88</w:t>
            </w:r>
          </w:p>
        </w:tc>
        <w:tc>
          <w:tcPr>
            <w:tcW w:w="123" w:type="pct"/>
            <w:tcBorders>
              <w:top w:val="nil"/>
              <w:left w:val="nil"/>
              <w:bottom w:val="nil"/>
              <w:right w:val="nil"/>
            </w:tcBorders>
            <w:shd w:val="clear" w:color="000000" w:fill="97CD7E"/>
            <w:noWrap/>
            <w:vAlign w:val="center"/>
            <w:hideMark/>
          </w:tcPr>
          <w:p w14:paraId="022EB981"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84</w:t>
            </w:r>
          </w:p>
        </w:tc>
        <w:tc>
          <w:tcPr>
            <w:tcW w:w="122" w:type="pct"/>
            <w:tcBorders>
              <w:top w:val="nil"/>
              <w:left w:val="nil"/>
              <w:bottom w:val="nil"/>
              <w:right w:val="nil"/>
            </w:tcBorders>
            <w:shd w:val="clear" w:color="000000" w:fill="AFD480"/>
            <w:noWrap/>
            <w:vAlign w:val="center"/>
            <w:hideMark/>
          </w:tcPr>
          <w:p w14:paraId="558F3000"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76</w:t>
            </w:r>
          </w:p>
        </w:tc>
        <w:tc>
          <w:tcPr>
            <w:tcW w:w="122" w:type="pct"/>
            <w:tcBorders>
              <w:top w:val="nil"/>
              <w:left w:val="nil"/>
              <w:bottom w:val="nil"/>
              <w:right w:val="nil"/>
            </w:tcBorders>
            <w:shd w:val="clear" w:color="000000" w:fill="73C37C"/>
            <w:noWrap/>
            <w:vAlign w:val="center"/>
            <w:hideMark/>
          </w:tcPr>
          <w:p w14:paraId="71315B4C"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95</w:t>
            </w:r>
          </w:p>
        </w:tc>
        <w:tc>
          <w:tcPr>
            <w:tcW w:w="122" w:type="pct"/>
            <w:tcBorders>
              <w:top w:val="nil"/>
              <w:left w:val="nil"/>
              <w:bottom w:val="nil"/>
              <w:right w:val="nil"/>
            </w:tcBorders>
            <w:shd w:val="clear" w:color="000000" w:fill="93CC7E"/>
            <w:noWrap/>
            <w:vAlign w:val="center"/>
            <w:hideMark/>
          </w:tcPr>
          <w:p w14:paraId="0D8867A7"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85</w:t>
            </w:r>
          </w:p>
        </w:tc>
        <w:tc>
          <w:tcPr>
            <w:tcW w:w="122" w:type="pct"/>
            <w:tcBorders>
              <w:top w:val="nil"/>
              <w:left w:val="nil"/>
              <w:bottom w:val="nil"/>
              <w:right w:val="nil"/>
            </w:tcBorders>
            <w:shd w:val="clear" w:color="000000" w:fill="C1D981"/>
            <w:noWrap/>
            <w:vAlign w:val="center"/>
            <w:hideMark/>
          </w:tcPr>
          <w:p w14:paraId="44FD1AA7"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70</w:t>
            </w:r>
          </w:p>
        </w:tc>
        <w:tc>
          <w:tcPr>
            <w:tcW w:w="122" w:type="pct"/>
            <w:tcBorders>
              <w:top w:val="nil"/>
              <w:left w:val="nil"/>
              <w:bottom w:val="nil"/>
              <w:right w:val="nil"/>
            </w:tcBorders>
            <w:shd w:val="clear" w:color="000000" w:fill="F8696B"/>
            <w:noWrap/>
            <w:vAlign w:val="center"/>
            <w:hideMark/>
          </w:tcPr>
          <w:p w14:paraId="3CF46038"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0</w:t>
            </w:r>
          </w:p>
        </w:tc>
        <w:tc>
          <w:tcPr>
            <w:tcW w:w="122" w:type="pct"/>
            <w:tcBorders>
              <w:top w:val="nil"/>
              <w:left w:val="nil"/>
              <w:bottom w:val="nil"/>
              <w:right w:val="nil"/>
            </w:tcBorders>
            <w:shd w:val="clear" w:color="000000" w:fill="F97E6F"/>
            <w:noWrap/>
            <w:vAlign w:val="center"/>
            <w:hideMark/>
          </w:tcPr>
          <w:p w14:paraId="061C1F3C"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w:t>
            </w:r>
          </w:p>
        </w:tc>
        <w:tc>
          <w:tcPr>
            <w:tcW w:w="122" w:type="pct"/>
            <w:tcBorders>
              <w:top w:val="nil"/>
              <w:left w:val="nil"/>
              <w:bottom w:val="nil"/>
              <w:right w:val="nil"/>
            </w:tcBorders>
            <w:shd w:val="clear" w:color="000000" w:fill="B3D680"/>
            <w:noWrap/>
            <w:vAlign w:val="center"/>
            <w:hideMark/>
          </w:tcPr>
          <w:p w14:paraId="7FE700EF"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74</w:t>
            </w:r>
          </w:p>
        </w:tc>
        <w:tc>
          <w:tcPr>
            <w:tcW w:w="122" w:type="pct"/>
            <w:tcBorders>
              <w:top w:val="nil"/>
              <w:left w:val="nil"/>
              <w:bottom w:val="nil"/>
              <w:right w:val="nil"/>
            </w:tcBorders>
            <w:shd w:val="clear" w:color="000000" w:fill="D6DF82"/>
            <w:noWrap/>
            <w:vAlign w:val="center"/>
            <w:hideMark/>
          </w:tcPr>
          <w:p w14:paraId="5C1BBD3E"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63</w:t>
            </w:r>
          </w:p>
        </w:tc>
        <w:tc>
          <w:tcPr>
            <w:tcW w:w="122" w:type="pct"/>
            <w:tcBorders>
              <w:top w:val="nil"/>
              <w:left w:val="nil"/>
              <w:bottom w:val="nil"/>
              <w:right w:val="nil"/>
            </w:tcBorders>
            <w:shd w:val="clear" w:color="000000" w:fill="6BC17C"/>
            <w:noWrap/>
            <w:vAlign w:val="center"/>
            <w:hideMark/>
          </w:tcPr>
          <w:p w14:paraId="2F37ED6F"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98</w:t>
            </w:r>
          </w:p>
        </w:tc>
        <w:tc>
          <w:tcPr>
            <w:tcW w:w="122" w:type="pct"/>
            <w:tcBorders>
              <w:top w:val="nil"/>
              <w:left w:val="nil"/>
              <w:bottom w:val="nil"/>
              <w:right w:val="nil"/>
            </w:tcBorders>
            <w:shd w:val="clear" w:color="000000" w:fill="8ACA7E"/>
            <w:noWrap/>
            <w:vAlign w:val="center"/>
            <w:hideMark/>
          </w:tcPr>
          <w:p w14:paraId="0F9C831C"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88</w:t>
            </w:r>
          </w:p>
        </w:tc>
        <w:tc>
          <w:tcPr>
            <w:tcW w:w="123" w:type="pct"/>
            <w:tcBorders>
              <w:top w:val="nil"/>
              <w:left w:val="nil"/>
              <w:bottom w:val="nil"/>
              <w:right w:val="nil"/>
            </w:tcBorders>
            <w:shd w:val="clear" w:color="000000" w:fill="9DCF7F"/>
            <w:noWrap/>
            <w:vAlign w:val="center"/>
            <w:hideMark/>
          </w:tcPr>
          <w:p w14:paraId="025E7D1A"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82</w:t>
            </w:r>
          </w:p>
        </w:tc>
        <w:tc>
          <w:tcPr>
            <w:tcW w:w="122" w:type="pct"/>
            <w:tcBorders>
              <w:top w:val="nil"/>
              <w:left w:val="nil"/>
              <w:bottom w:val="nil"/>
              <w:right w:val="nil"/>
            </w:tcBorders>
            <w:shd w:val="clear" w:color="000000" w:fill="F8696B"/>
            <w:noWrap/>
            <w:vAlign w:val="center"/>
            <w:hideMark/>
          </w:tcPr>
          <w:p w14:paraId="7DF1FD32"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0</w:t>
            </w:r>
          </w:p>
        </w:tc>
        <w:tc>
          <w:tcPr>
            <w:tcW w:w="122" w:type="pct"/>
            <w:tcBorders>
              <w:top w:val="nil"/>
              <w:left w:val="nil"/>
              <w:bottom w:val="nil"/>
              <w:right w:val="nil"/>
            </w:tcBorders>
            <w:shd w:val="clear" w:color="000000" w:fill="7AC57D"/>
            <w:noWrap/>
            <w:vAlign w:val="center"/>
            <w:hideMark/>
          </w:tcPr>
          <w:p w14:paraId="478B748E"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93</w:t>
            </w:r>
          </w:p>
        </w:tc>
        <w:tc>
          <w:tcPr>
            <w:tcW w:w="122" w:type="pct"/>
            <w:tcBorders>
              <w:top w:val="nil"/>
              <w:left w:val="nil"/>
              <w:bottom w:val="nil"/>
              <w:right w:val="nil"/>
            </w:tcBorders>
            <w:shd w:val="clear" w:color="000000" w:fill="CADC81"/>
            <w:noWrap/>
            <w:vAlign w:val="center"/>
            <w:hideMark/>
          </w:tcPr>
          <w:p w14:paraId="4C035310"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67</w:t>
            </w:r>
          </w:p>
        </w:tc>
        <w:tc>
          <w:tcPr>
            <w:tcW w:w="122" w:type="pct"/>
            <w:tcBorders>
              <w:top w:val="nil"/>
              <w:left w:val="nil"/>
              <w:bottom w:val="nil"/>
              <w:right w:val="nil"/>
            </w:tcBorders>
            <w:shd w:val="clear" w:color="000000" w:fill="78C47D"/>
            <w:noWrap/>
            <w:vAlign w:val="center"/>
            <w:hideMark/>
          </w:tcPr>
          <w:p w14:paraId="369660BC"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93</w:t>
            </w:r>
          </w:p>
        </w:tc>
        <w:tc>
          <w:tcPr>
            <w:tcW w:w="122" w:type="pct"/>
            <w:tcBorders>
              <w:top w:val="nil"/>
              <w:left w:val="nil"/>
              <w:bottom w:val="nil"/>
              <w:right w:val="nil"/>
            </w:tcBorders>
            <w:shd w:val="clear" w:color="000000" w:fill="A5D27F"/>
            <w:noWrap/>
            <w:vAlign w:val="center"/>
            <w:hideMark/>
          </w:tcPr>
          <w:p w14:paraId="4209D08F"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79</w:t>
            </w:r>
          </w:p>
        </w:tc>
        <w:tc>
          <w:tcPr>
            <w:tcW w:w="123" w:type="pct"/>
            <w:tcBorders>
              <w:top w:val="nil"/>
              <w:left w:val="nil"/>
              <w:bottom w:val="nil"/>
              <w:right w:val="nil"/>
            </w:tcBorders>
            <w:shd w:val="clear" w:color="000000" w:fill="FBAF78"/>
            <w:noWrap/>
            <w:vAlign w:val="center"/>
            <w:hideMark/>
          </w:tcPr>
          <w:p w14:paraId="0D92C3A3"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27</w:t>
            </w:r>
          </w:p>
        </w:tc>
        <w:tc>
          <w:tcPr>
            <w:tcW w:w="122" w:type="pct"/>
            <w:tcBorders>
              <w:top w:val="nil"/>
              <w:left w:val="nil"/>
              <w:bottom w:val="nil"/>
              <w:right w:val="nil"/>
            </w:tcBorders>
            <w:shd w:val="clear" w:color="000000" w:fill="CCDD82"/>
            <w:noWrap/>
            <w:vAlign w:val="center"/>
            <w:hideMark/>
          </w:tcPr>
          <w:p w14:paraId="5267F4D8"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67</w:t>
            </w:r>
          </w:p>
        </w:tc>
      </w:tr>
      <w:tr w:rsidR="00B656F6" w:rsidRPr="00634756" w14:paraId="39B7FB5F" w14:textId="77777777" w:rsidTr="008F0944">
        <w:trPr>
          <w:trHeight w:val="113"/>
        </w:trPr>
        <w:tc>
          <w:tcPr>
            <w:tcW w:w="131" w:type="pct"/>
            <w:vMerge/>
            <w:tcBorders>
              <w:left w:val="nil"/>
              <w:right w:val="nil"/>
            </w:tcBorders>
            <w:shd w:val="clear" w:color="auto" w:fill="FFF2CC" w:themeFill="accent4" w:themeFillTint="33"/>
          </w:tcPr>
          <w:p w14:paraId="2EEEFC01" w14:textId="77777777" w:rsidR="00B656F6" w:rsidRPr="00634756" w:rsidRDefault="00B656F6" w:rsidP="008F0944">
            <w:pPr>
              <w:snapToGrid w:val="0"/>
              <w:jc w:val="right"/>
              <w:rPr>
                <w:rFonts w:ascii="等线" w:eastAsia="等线" w:hAnsi="等线" w:cs="宋体"/>
                <w:b/>
                <w:color w:val="000000"/>
                <w:sz w:val="15"/>
                <w:szCs w:val="15"/>
              </w:rPr>
            </w:pPr>
          </w:p>
        </w:tc>
        <w:tc>
          <w:tcPr>
            <w:tcW w:w="469" w:type="pct"/>
            <w:tcBorders>
              <w:top w:val="nil"/>
              <w:left w:val="nil"/>
              <w:bottom w:val="nil"/>
              <w:right w:val="nil"/>
            </w:tcBorders>
            <w:shd w:val="clear" w:color="auto" w:fill="FFF2CC" w:themeFill="accent4" w:themeFillTint="33"/>
            <w:noWrap/>
            <w:vAlign w:val="center"/>
            <w:hideMark/>
          </w:tcPr>
          <w:p w14:paraId="2146726E" w14:textId="77777777" w:rsidR="00B656F6" w:rsidRPr="00EB4864" w:rsidRDefault="00B656F6" w:rsidP="008F0944">
            <w:pPr>
              <w:snapToGrid w:val="0"/>
              <w:jc w:val="right"/>
              <w:rPr>
                <w:rFonts w:ascii="等线" w:eastAsia="等线" w:hAnsi="等线" w:cs="宋体"/>
                <w:b/>
                <w:color w:val="000000"/>
                <w:sz w:val="15"/>
                <w:szCs w:val="15"/>
              </w:rPr>
            </w:pPr>
            <w:r w:rsidRPr="00EB4864">
              <w:rPr>
                <w:rFonts w:ascii="等线" w:eastAsia="等线" w:hAnsi="等线" w:cs="宋体"/>
                <w:b/>
                <w:color w:val="000000"/>
                <w:sz w:val="15"/>
                <w:szCs w:val="15"/>
              </w:rPr>
              <w:t>Hebei</w:t>
            </w:r>
          </w:p>
        </w:tc>
        <w:tc>
          <w:tcPr>
            <w:tcW w:w="122" w:type="pct"/>
            <w:tcBorders>
              <w:top w:val="nil"/>
              <w:left w:val="nil"/>
              <w:bottom w:val="nil"/>
              <w:right w:val="nil"/>
            </w:tcBorders>
            <w:shd w:val="clear" w:color="000000" w:fill="8BCA7E"/>
            <w:noWrap/>
            <w:vAlign w:val="center"/>
            <w:hideMark/>
          </w:tcPr>
          <w:p w14:paraId="26A0A50D"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87</w:t>
            </w:r>
          </w:p>
        </w:tc>
        <w:tc>
          <w:tcPr>
            <w:tcW w:w="143" w:type="pct"/>
            <w:tcBorders>
              <w:top w:val="nil"/>
              <w:left w:val="nil"/>
              <w:bottom w:val="nil"/>
              <w:right w:val="nil"/>
            </w:tcBorders>
            <w:shd w:val="clear" w:color="000000" w:fill="63BE7B"/>
            <w:noWrap/>
            <w:vAlign w:val="center"/>
            <w:hideMark/>
          </w:tcPr>
          <w:p w14:paraId="7BE8BB4F"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22" w:type="pct"/>
            <w:tcBorders>
              <w:top w:val="nil"/>
              <w:left w:val="nil"/>
              <w:bottom w:val="nil"/>
              <w:right w:val="nil"/>
            </w:tcBorders>
            <w:shd w:val="clear" w:color="000000" w:fill="76C47D"/>
            <w:noWrap/>
            <w:vAlign w:val="center"/>
            <w:hideMark/>
          </w:tcPr>
          <w:p w14:paraId="2A66D2DE"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94</w:t>
            </w:r>
          </w:p>
        </w:tc>
        <w:tc>
          <w:tcPr>
            <w:tcW w:w="122" w:type="pct"/>
            <w:tcBorders>
              <w:top w:val="nil"/>
              <w:left w:val="nil"/>
              <w:bottom w:val="nil"/>
              <w:right w:val="nil"/>
            </w:tcBorders>
            <w:shd w:val="clear" w:color="000000" w:fill="7CC67D"/>
            <w:noWrap/>
            <w:vAlign w:val="center"/>
            <w:hideMark/>
          </w:tcPr>
          <w:p w14:paraId="45B44A37"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92</w:t>
            </w:r>
          </w:p>
        </w:tc>
        <w:tc>
          <w:tcPr>
            <w:tcW w:w="143" w:type="pct"/>
            <w:tcBorders>
              <w:top w:val="nil"/>
              <w:left w:val="nil"/>
              <w:bottom w:val="nil"/>
              <w:right w:val="nil"/>
            </w:tcBorders>
            <w:shd w:val="clear" w:color="000000" w:fill="63BE7B"/>
            <w:noWrap/>
            <w:vAlign w:val="center"/>
            <w:hideMark/>
          </w:tcPr>
          <w:p w14:paraId="30900955"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22" w:type="pct"/>
            <w:tcBorders>
              <w:top w:val="nil"/>
              <w:left w:val="nil"/>
              <w:bottom w:val="nil"/>
              <w:right w:val="nil"/>
            </w:tcBorders>
            <w:shd w:val="clear" w:color="000000" w:fill="80C77D"/>
            <w:noWrap/>
            <w:vAlign w:val="center"/>
            <w:hideMark/>
          </w:tcPr>
          <w:p w14:paraId="20C2C431"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91</w:t>
            </w:r>
          </w:p>
        </w:tc>
        <w:tc>
          <w:tcPr>
            <w:tcW w:w="143" w:type="pct"/>
            <w:tcBorders>
              <w:top w:val="nil"/>
              <w:left w:val="nil"/>
              <w:bottom w:val="nil"/>
              <w:right w:val="nil"/>
            </w:tcBorders>
            <w:shd w:val="clear" w:color="000000" w:fill="63BE7B"/>
            <w:noWrap/>
            <w:vAlign w:val="center"/>
            <w:hideMark/>
          </w:tcPr>
          <w:p w14:paraId="6AED5C1F"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43" w:type="pct"/>
            <w:tcBorders>
              <w:top w:val="nil"/>
              <w:left w:val="nil"/>
              <w:bottom w:val="nil"/>
              <w:right w:val="nil"/>
            </w:tcBorders>
            <w:shd w:val="clear" w:color="000000" w:fill="63BE7B"/>
            <w:noWrap/>
            <w:vAlign w:val="center"/>
            <w:hideMark/>
          </w:tcPr>
          <w:p w14:paraId="2EF406AD"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43" w:type="pct"/>
            <w:tcBorders>
              <w:top w:val="nil"/>
              <w:left w:val="nil"/>
              <w:bottom w:val="nil"/>
              <w:right w:val="nil"/>
            </w:tcBorders>
            <w:shd w:val="clear" w:color="000000" w:fill="79C57D"/>
            <w:noWrap/>
            <w:vAlign w:val="center"/>
            <w:hideMark/>
          </w:tcPr>
          <w:p w14:paraId="62B0E699"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93</w:t>
            </w:r>
          </w:p>
        </w:tc>
        <w:tc>
          <w:tcPr>
            <w:tcW w:w="122" w:type="pct"/>
            <w:tcBorders>
              <w:top w:val="nil"/>
              <w:left w:val="nil"/>
              <w:bottom w:val="nil"/>
              <w:right w:val="nil"/>
            </w:tcBorders>
            <w:shd w:val="clear" w:color="000000" w:fill="CEDD82"/>
            <w:noWrap/>
            <w:vAlign w:val="center"/>
            <w:hideMark/>
          </w:tcPr>
          <w:p w14:paraId="378B6DEC"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66</w:t>
            </w:r>
          </w:p>
        </w:tc>
        <w:tc>
          <w:tcPr>
            <w:tcW w:w="122" w:type="pct"/>
            <w:tcBorders>
              <w:top w:val="nil"/>
              <w:left w:val="nil"/>
              <w:bottom w:val="nil"/>
              <w:right w:val="nil"/>
            </w:tcBorders>
            <w:shd w:val="clear" w:color="000000" w:fill="80C77D"/>
            <w:noWrap/>
            <w:vAlign w:val="center"/>
            <w:hideMark/>
          </w:tcPr>
          <w:p w14:paraId="7B04D79D"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91</w:t>
            </w:r>
          </w:p>
        </w:tc>
        <w:tc>
          <w:tcPr>
            <w:tcW w:w="122" w:type="pct"/>
            <w:tcBorders>
              <w:top w:val="nil"/>
              <w:left w:val="nil"/>
              <w:bottom w:val="nil"/>
              <w:right w:val="nil"/>
            </w:tcBorders>
            <w:shd w:val="clear" w:color="000000" w:fill="7BC57D"/>
            <w:noWrap/>
            <w:vAlign w:val="center"/>
            <w:hideMark/>
          </w:tcPr>
          <w:p w14:paraId="03D09CEC"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93</w:t>
            </w:r>
          </w:p>
        </w:tc>
        <w:tc>
          <w:tcPr>
            <w:tcW w:w="122" w:type="pct"/>
            <w:tcBorders>
              <w:top w:val="nil"/>
              <w:left w:val="nil"/>
              <w:bottom w:val="nil"/>
              <w:right w:val="nil"/>
            </w:tcBorders>
            <w:shd w:val="clear" w:color="000000" w:fill="94CD7E"/>
            <w:noWrap/>
            <w:vAlign w:val="center"/>
            <w:hideMark/>
          </w:tcPr>
          <w:p w14:paraId="7520B903"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84</w:t>
            </w:r>
          </w:p>
        </w:tc>
        <w:tc>
          <w:tcPr>
            <w:tcW w:w="143" w:type="pct"/>
            <w:tcBorders>
              <w:top w:val="nil"/>
              <w:left w:val="nil"/>
              <w:bottom w:val="nil"/>
              <w:right w:val="nil"/>
            </w:tcBorders>
            <w:shd w:val="clear" w:color="000000" w:fill="63BE7B"/>
            <w:noWrap/>
            <w:vAlign w:val="center"/>
            <w:hideMark/>
          </w:tcPr>
          <w:p w14:paraId="03669989"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22" w:type="pct"/>
            <w:tcBorders>
              <w:top w:val="nil"/>
              <w:left w:val="nil"/>
              <w:bottom w:val="nil"/>
              <w:right w:val="nil"/>
            </w:tcBorders>
            <w:shd w:val="clear" w:color="000000" w:fill="F7E984"/>
            <w:noWrap/>
            <w:vAlign w:val="center"/>
            <w:hideMark/>
          </w:tcPr>
          <w:p w14:paraId="121CD08C"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53</w:t>
            </w:r>
          </w:p>
        </w:tc>
        <w:tc>
          <w:tcPr>
            <w:tcW w:w="122" w:type="pct"/>
            <w:tcBorders>
              <w:top w:val="nil"/>
              <w:left w:val="nil"/>
              <w:bottom w:val="nil"/>
              <w:right w:val="nil"/>
            </w:tcBorders>
            <w:shd w:val="clear" w:color="000000" w:fill="8BCA7E"/>
            <w:noWrap/>
            <w:vAlign w:val="center"/>
            <w:hideMark/>
          </w:tcPr>
          <w:p w14:paraId="7679520A"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87</w:t>
            </w:r>
          </w:p>
        </w:tc>
        <w:tc>
          <w:tcPr>
            <w:tcW w:w="123" w:type="pct"/>
            <w:tcBorders>
              <w:top w:val="nil"/>
              <w:left w:val="nil"/>
              <w:bottom w:val="nil"/>
              <w:right w:val="nil"/>
            </w:tcBorders>
            <w:shd w:val="clear" w:color="000000" w:fill="9DCF7F"/>
            <w:noWrap/>
            <w:vAlign w:val="center"/>
            <w:hideMark/>
          </w:tcPr>
          <w:p w14:paraId="274D38E7"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82</w:t>
            </w:r>
          </w:p>
        </w:tc>
        <w:tc>
          <w:tcPr>
            <w:tcW w:w="122" w:type="pct"/>
            <w:tcBorders>
              <w:top w:val="nil"/>
              <w:left w:val="nil"/>
              <w:bottom w:val="nil"/>
              <w:right w:val="nil"/>
            </w:tcBorders>
            <w:shd w:val="clear" w:color="000000" w:fill="C4DA81"/>
            <w:noWrap/>
            <w:vAlign w:val="center"/>
            <w:hideMark/>
          </w:tcPr>
          <w:p w14:paraId="588CC5B7"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69</w:t>
            </w:r>
          </w:p>
        </w:tc>
        <w:tc>
          <w:tcPr>
            <w:tcW w:w="122" w:type="pct"/>
            <w:tcBorders>
              <w:top w:val="nil"/>
              <w:left w:val="nil"/>
              <w:bottom w:val="nil"/>
              <w:right w:val="nil"/>
            </w:tcBorders>
            <w:shd w:val="clear" w:color="000000" w:fill="7FC67D"/>
            <w:noWrap/>
            <w:vAlign w:val="center"/>
            <w:hideMark/>
          </w:tcPr>
          <w:p w14:paraId="2B89E87B"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91</w:t>
            </w:r>
          </w:p>
        </w:tc>
        <w:tc>
          <w:tcPr>
            <w:tcW w:w="122" w:type="pct"/>
            <w:tcBorders>
              <w:top w:val="nil"/>
              <w:left w:val="nil"/>
              <w:bottom w:val="nil"/>
              <w:right w:val="nil"/>
            </w:tcBorders>
            <w:shd w:val="clear" w:color="000000" w:fill="A4D17F"/>
            <w:noWrap/>
            <w:vAlign w:val="center"/>
            <w:hideMark/>
          </w:tcPr>
          <w:p w14:paraId="64A878D8"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79</w:t>
            </w:r>
          </w:p>
        </w:tc>
        <w:tc>
          <w:tcPr>
            <w:tcW w:w="122" w:type="pct"/>
            <w:tcBorders>
              <w:top w:val="nil"/>
              <w:left w:val="nil"/>
              <w:bottom w:val="nil"/>
              <w:right w:val="nil"/>
            </w:tcBorders>
            <w:shd w:val="clear" w:color="000000" w:fill="A9D380"/>
            <w:noWrap/>
            <w:vAlign w:val="center"/>
            <w:hideMark/>
          </w:tcPr>
          <w:p w14:paraId="2E30DF38"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78</w:t>
            </w:r>
          </w:p>
        </w:tc>
        <w:tc>
          <w:tcPr>
            <w:tcW w:w="122" w:type="pct"/>
            <w:tcBorders>
              <w:top w:val="nil"/>
              <w:left w:val="nil"/>
              <w:bottom w:val="nil"/>
              <w:right w:val="nil"/>
            </w:tcBorders>
            <w:shd w:val="clear" w:color="000000" w:fill="FDCF7E"/>
            <w:noWrap/>
            <w:vAlign w:val="center"/>
            <w:hideMark/>
          </w:tcPr>
          <w:p w14:paraId="23F03EA3"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40</w:t>
            </w:r>
          </w:p>
        </w:tc>
        <w:tc>
          <w:tcPr>
            <w:tcW w:w="122" w:type="pct"/>
            <w:tcBorders>
              <w:top w:val="nil"/>
              <w:left w:val="nil"/>
              <w:bottom w:val="nil"/>
              <w:right w:val="nil"/>
            </w:tcBorders>
            <w:shd w:val="clear" w:color="000000" w:fill="EEE784"/>
            <w:noWrap/>
            <w:vAlign w:val="center"/>
            <w:hideMark/>
          </w:tcPr>
          <w:p w14:paraId="529FBE24"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55</w:t>
            </w:r>
          </w:p>
        </w:tc>
        <w:tc>
          <w:tcPr>
            <w:tcW w:w="122" w:type="pct"/>
            <w:tcBorders>
              <w:top w:val="nil"/>
              <w:left w:val="nil"/>
              <w:bottom w:val="nil"/>
              <w:right w:val="nil"/>
            </w:tcBorders>
            <w:shd w:val="clear" w:color="000000" w:fill="FEE983"/>
            <w:noWrap/>
            <w:vAlign w:val="center"/>
            <w:hideMark/>
          </w:tcPr>
          <w:p w14:paraId="554E5D7E"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50</w:t>
            </w:r>
          </w:p>
        </w:tc>
        <w:tc>
          <w:tcPr>
            <w:tcW w:w="122" w:type="pct"/>
            <w:tcBorders>
              <w:top w:val="nil"/>
              <w:left w:val="nil"/>
              <w:bottom w:val="nil"/>
              <w:right w:val="nil"/>
            </w:tcBorders>
            <w:shd w:val="clear" w:color="000000" w:fill="EFE784"/>
            <w:noWrap/>
            <w:vAlign w:val="center"/>
            <w:hideMark/>
          </w:tcPr>
          <w:p w14:paraId="3A6592A0"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55</w:t>
            </w:r>
          </w:p>
        </w:tc>
        <w:tc>
          <w:tcPr>
            <w:tcW w:w="122" w:type="pct"/>
            <w:tcBorders>
              <w:top w:val="nil"/>
              <w:left w:val="nil"/>
              <w:bottom w:val="nil"/>
              <w:right w:val="nil"/>
            </w:tcBorders>
            <w:shd w:val="clear" w:color="000000" w:fill="6EC27C"/>
            <w:noWrap/>
            <w:vAlign w:val="center"/>
            <w:hideMark/>
          </w:tcPr>
          <w:p w14:paraId="65B6D485"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97</w:t>
            </w:r>
          </w:p>
        </w:tc>
        <w:tc>
          <w:tcPr>
            <w:tcW w:w="122" w:type="pct"/>
            <w:tcBorders>
              <w:top w:val="nil"/>
              <w:left w:val="nil"/>
              <w:bottom w:val="nil"/>
              <w:right w:val="nil"/>
            </w:tcBorders>
            <w:shd w:val="clear" w:color="000000" w:fill="BED981"/>
            <w:noWrap/>
            <w:vAlign w:val="center"/>
            <w:hideMark/>
          </w:tcPr>
          <w:p w14:paraId="3203EEB3"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71</w:t>
            </w:r>
          </w:p>
        </w:tc>
        <w:tc>
          <w:tcPr>
            <w:tcW w:w="123" w:type="pct"/>
            <w:tcBorders>
              <w:top w:val="nil"/>
              <w:left w:val="nil"/>
              <w:bottom w:val="nil"/>
              <w:right w:val="nil"/>
            </w:tcBorders>
            <w:shd w:val="clear" w:color="000000" w:fill="B9D780"/>
            <w:noWrap/>
            <w:vAlign w:val="center"/>
            <w:hideMark/>
          </w:tcPr>
          <w:p w14:paraId="5BE91095"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72</w:t>
            </w:r>
          </w:p>
        </w:tc>
        <w:tc>
          <w:tcPr>
            <w:tcW w:w="122" w:type="pct"/>
            <w:tcBorders>
              <w:top w:val="nil"/>
              <w:left w:val="nil"/>
              <w:bottom w:val="nil"/>
              <w:right w:val="nil"/>
            </w:tcBorders>
            <w:shd w:val="clear" w:color="000000" w:fill="F98871"/>
            <w:noWrap/>
            <w:vAlign w:val="center"/>
            <w:hideMark/>
          </w:tcPr>
          <w:p w14:paraId="172E0FE1"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12</w:t>
            </w:r>
          </w:p>
        </w:tc>
        <w:tc>
          <w:tcPr>
            <w:tcW w:w="122" w:type="pct"/>
            <w:tcBorders>
              <w:top w:val="nil"/>
              <w:left w:val="nil"/>
              <w:bottom w:val="nil"/>
              <w:right w:val="nil"/>
            </w:tcBorders>
            <w:shd w:val="clear" w:color="000000" w:fill="BBD881"/>
            <w:noWrap/>
            <w:vAlign w:val="center"/>
            <w:hideMark/>
          </w:tcPr>
          <w:p w14:paraId="5D23E5DB"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72</w:t>
            </w:r>
          </w:p>
        </w:tc>
        <w:tc>
          <w:tcPr>
            <w:tcW w:w="122" w:type="pct"/>
            <w:tcBorders>
              <w:top w:val="nil"/>
              <w:left w:val="nil"/>
              <w:bottom w:val="nil"/>
              <w:right w:val="nil"/>
            </w:tcBorders>
            <w:shd w:val="clear" w:color="000000" w:fill="E6E483"/>
            <w:noWrap/>
            <w:vAlign w:val="center"/>
            <w:hideMark/>
          </w:tcPr>
          <w:p w14:paraId="4535E876"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58</w:t>
            </w:r>
          </w:p>
        </w:tc>
        <w:tc>
          <w:tcPr>
            <w:tcW w:w="122" w:type="pct"/>
            <w:tcBorders>
              <w:top w:val="nil"/>
              <w:left w:val="nil"/>
              <w:bottom w:val="nil"/>
              <w:right w:val="nil"/>
            </w:tcBorders>
            <w:shd w:val="clear" w:color="000000" w:fill="ABD380"/>
            <w:noWrap/>
            <w:vAlign w:val="center"/>
            <w:hideMark/>
          </w:tcPr>
          <w:p w14:paraId="4023D1E8"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77</w:t>
            </w:r>
          </w:p>
        </w:tc>
        <w:tc>
          <w:tcPr>
            <w:tcW w:w="122" w:type="pct"/>
            <w:tcBorders>
              <w:top w:val="nil"/>
              <w:left w:val="nil"/>
              <w:bottom w:val="nil"/>
              <w:right w:val="nil"/>
            </w:tcBorders>
            <w:shd w:val="clear" w:color="000000" w:fill="C1D981"/>
            <w:noWrap/>
            <w:vAlign w:val="center"/>
            <w:hideMark/>
          </w:tcPr>
          <w:p w14:paraId="39387F5B"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70</w:t>
            </w:r>
          </w:p>
        </w:tc>
        <w:tc>
          <w:tcPr>
            <w:tcW w:w="123" w:type="pct"/>
            <w:tcBorders>
              <w:top w:val="nil"/>
              <w:left w:val="nil"/>
              <w:bottom w:val="nil"/>
              <w:right w:val="nil"/>
            </w:tcBorders>
            <w:shd w:val="clear" w:color="000000" w:fill="FEDB80"/>
            <w:noWrap/>
            <w:vAlign w:val="center"/>
            <w:hideMark/>
          </w:tcPr>
          <w:p w14:paraId="477AAA3D"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44</w:t>
            </w:r>
          </w:p>
        </w:tc>
        <w:tc>
          <w:tcPr>
            <w:tcW w:w="122" w:type="pct"/>
            <w:tcBorders>
              <w:top w:val="nil"/>
              <w:left w:val="nil"/>
              <w:bottom w:val="nil"/>
              <w:right w:val="nil"/>
            </w:tcBorders>
            <w:shd w:val="clear" w:color="000000" w:fill="EBE583"/>
            <w:noWrap/>
            <w:vAlign w:val="center"/>
            <w:hideMark/>
          </w:tcPr>
          <w:p w14:paraId="47E1BA61"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57</w:t>
            </w:r>
          </w:p>
        </w:tc>
      </w:tr>
      <w:tr w:rsidR="00B656F6" w:rsidRPr="00634756" w14:paraId="3D010636" w14:textId="77777777" w:rsidTr="008F0944">
        <w:trPr>
          <w:trHeight w:val="113"/>
        </w:trPr>
        <w:tc>
          <w:tcPr>
            <w:tcW w:w="131" w:type="pct"/>
            <w:vMerge/>
            <w:tcBorders>
              <w:left w:val="nil"/>
              <w:right w:val="nil"/>
            </w:tcBorders>
            <w:shd w:val="clear" w:color="auto" w:fill="FFF2CC" w:themeFill="accent4" w:themeFillTint="33"/>
          </w:tcPr>
          <w:p w14:paraId="62334713" w14:textId="77777777" w:rsidR="00B656F6" w:rsidRPr="00634756" w:rsidRDefault="00B656F6" w:rsidP="008F0944">
            <w:pPr>
              <w:snapToGrid w:val="0"/>
              <w:jc w:val="right"/>
              <w:rPr>
                <w:rFonts w:ascii="等线" w:eastAsia="等线" w:hAnsi="等线" w:cs="宋体"/>
                <w:b/>
                <w:color w:val="000000"/>
                <w:sz w:val="15"/>
                <w:szCs w:val="15"/>
              </w:rPr>
            </w:pPr>
          </w:p>
        </w:tc>
        <w:tc>
          <w:tcPr>
            <w:tcW w:w="469" w:type="pct"/>
            <w:tcBorders>
              <w:top w:val="nil"/>
              <w:left w:val="nil"/>
              <w:bottom w:val="nil"/>
              <w:right w:val="nil"/>
            </w:tcBorders>
            <w:shd w:val="clear" w:color="auto" w:fill="FFF2CC" w:themeFill="accent4" w:themeFillTint="33"/>
            <w:noWrap/>
            <w:vAlign w:val="center"/>
            <w:hideMark/>
          </w:tcPr>
          <w:p w14:paraId="643A7C64" w14:textId="77777777" w:rsidR="00B656F6" w:rsidRPr="00EB4864" w:rsidRDefault="00B656F6" w:rsidP="008F0944">
            <w:pPr>
              <w:snapToGrid w:val="0"/>
              <w:jc w:val="right"/>
              <w:rPr>
                <w:rFonts w:ascii="等线" w:eastAsia="等线" w:hAnsi="等线" w:cs="宋体"/>
                <w:b/>
                <w:color w:val="000000"/>
                <w:sz w:val="15"/>
                <w:szCs w:val="15"/>
              </w:rPr>
            </w:pPr>
            <w:r w:rsidRPr="00EB4864">
              <w:rPr>
                <w:rFonts w:ascii="等线" w:eastAsia="等线" w:hAnsi="等线" w:cs="宋体"/>
                <w:b/>
                <w:color w:val="000000"/>
                <w:sz w:val="15"/>
                <w:szCs w:val="15"/>
              </w:rPr>
              <w:t>Liaoning</w:t>
            </w:r>
          </w:p>
        </w:tc>
        <w:tc>
          <w:tcPr>
            <w:tcW w:w="122" w:type="pct"/>
            <w:tcBorders>
              <w:top w:val="nil"/>
              <w:left w:val="nil"/>
              <w:bottom w:val="nil"/>
              <w:right w:val="nil"/>
            </w:tcBorders>
            <w:shd w:val="clear" w:color="000000" w:fill="80C77D"/>
            <w:noWrap/>
            <w:vAlign w:val="center"/>
            <w:hideMark/>
          </w:tcPr>
          <w:p w14:paraId="32C2F606"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91</w:t>
            </w:r>
          </w:p>
        </w:tc>
        <w:tc>
          <w:tcPr>
            <w:tcW w:w="143" w:type="pct"/>
            <w:tcBorders>
              <w:top w:val="nil"/>
              <w:left w:val="nil"/>
              <w:bottom w:val="nil"/>
              <w:right w:val="nil"/>
            </w:tcBorders>
            <w:shd w:val="clear" w:color="000000" w:fill="63BE7B"/>
            <w:noWrap/>
            <w:vAlign w:val="center"/>
            <w:hideMark/>
          </w:tcPr>
          <w:p w14:paraId="7C651B05"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22" w:type="pct"/>
            <w:tcBorders>
              <w:top w:val="nil"/>
              <w:left w:val="nil"/>
              <w:bottom w:val="nil"/>
              <w:right w:val="nil"/>
            </w:tcBorders>
            <w:shd w:val="clear" w:color="000000" w:fill="7AC57D"/>
            <w:noWrap/>
            <w:vAlign w:val="center"/>
            <w:hideMark/>
          </w:tcPr>
          <w:p w14:paraId="4DCA7CA9"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93</w:t>
            </w:r>
          </w:p>
        </w:tc>
        <w:tc>
          <w:tcPr>
            <w:tcW w:w="122" w:type="pct"/>
            <w:tcBorders>
              <w:top w:val="nil"/>
              <w:left w:val="nil"/>
              <w:bottom w:val="nil"/>
              <w:right w:val="nil"/>
            </w:tcBorders>
            <w:shd w:val="clear" w:color="000000" w:fill="78C47D"/>
            <w:noWrap/>
            <w:vAlign w:val="center"/>
            <w:hideMark/>
          </w:tcPr>
          <w:p w14:paraId="6C1D4452"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94</w:t>
            </w:r>
          </w:p>
        </w:tc>
        <w:tc>
          <w:tcPr>
            <w:tcW w:w="143" w:type="pct"/>
            <w:tcBorders>
              <w:top w:val="nil"/>
              <w:left w:val="nil"/>
              <w:bottom w:val="nil"/>
              <w:right w:val="nil"/>
            </w:tcBorders>
            <w:shd w:val="clear" w:color="000000" w:fill="63BE7B"/>
            <w:noWrap/>
            <w:vAlign w:val="center"/>
            <w:hideMark/>
          </w:tcPr>
          <w:p w14:paraId="39D2F154"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22" w:type="pct"/>
            <w:tcBorders>
              <w:top w:val="nil"/>
              <w:left w:val="nil"/>
              <w:bottom w:val="nil"/>
              <w:right w:val="nil"/>
            </w:tcBorders>
            <w:shd w:val="clear" w:color="000000" w:fill="73C37C"/>
            <w:noWrap/>
            <w:vAlign w:val="center"/>
            <w:hideMark/>
          </w:tcPr>
          <w:p w14:paraId="6C8100F3"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95</w:t>
            </w:r>
          </w:p>
        </w:tc>
        <w:tc>
          <w:tcPr>
            <w:tcW w:w="143" w:type="pct"/>
            <w:tcBorders>
              <w:top w:val="nil"/>
              <w:left w:val="nil"/>
              <w:bottom w:val="nil"/>
              <w:right w:val="nil"/>
            </w:tcBorders>
            <w:shd w:val="clear" w:color="000000" w:fill="63BE7B"/>
            <w:noWrap/>
            <w:vAlign w:val="center"/>
            <w:hideMark/>
          </w:tcPr>
          <w:p w14:paraId="2C0E5786"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43" w:type="pct"/>
            <w:tcBorders>
              <w:top w:val="nil"/>
              <w:left w:val="nil"/>
              <w:bottom w:val="nil"/>
              <w:right w:val="nil"/>
            </w:tcBorders>
            <w:shd w:val="clear" w:color="000000" w:fill="63BE7B"/>
            <w:noWrap/>
            <w:vAlign w:val="center"/>
            <w:hideMark/>
          </w:tcPr>
          <w:p w14:paraId="3D40833A"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43" w:type="pct"/>
            <w:tcBorders>
              <w:top w:val="nil"/>
              <w:left w:val="nil"/>
              <w:bottom w:val="nil"/>
              <w:right w:val="nil"/>
            </w:tcBorders>
            <w:shd w:val="clear" w:color="000000" w:fill="96CD7E"/>
            <w:noWrap/>
            <w:vAlign w:val="center"/>
            <w:hideMark/>
          </w:tcPr>
          <w:p w14:paraId="6EF70FD9"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84</w:t>
            </w:r>
          </w:p>
        </w:tc>
        <w:tc>
          <w:tcPr>
            <w:tcW w:w="122" w:type="pct"/>
            <w:tcBorders>
              <w:top w:val="nil"/>
              <w:left w:val="nil"/>
              <w:bottom w:val="nil"/>
              <w:right w:val="nil"/>
            </w:tcBorders>
            <w:shd w:val="clear" w:color="000000" w:fill="C1D981"/>
            <w:noWrap/>
            <w:vAlign w:val="center"/>
            <w:hideMark/>
          </w:tcPr>
          <w:p w14:paraId="1727F87D"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70</w:t>
            </w:r>
          </w:p>
        </w:tc>
        <w:tc>
          <w:tcPr>
            <w:tcW w:w="122" w:type="pct"/>
            <w:tcBorders>
              <w:top w:val="nil"/>
              <w:left w:val="nil"/>
              <w:bottom w:val="nil"/>
              <w:right w:val="nil"/>
            </w:tcBorders>
            <w:shd w:val="clear" w:color="000000" w:fill="80C77D"/>
            <w:noWrap/>
            <w:vAlign w:val="center"/>
            <w:hideMark/>
          </w:tcPr>
          <w:p w14:paraId="7374823D"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91</w:t>
            </w:r>
          </w:p>
        </w:tc>
        <w:tc>
          <w:tcPr>
            <w:tcW w:w="122" w:type="pct"/>
            <w:tcBorders>
              <w:top w:val="nil"/>
              <w:left w:val="nil"/>
              <w:bottom w:val="nil"/>
              <w:right w:val="nil"/>
            </w:tcBorders>
            <w:shd w:val="clear" w:color="000000" w:fill="9FD07F"/>
            <w:noWrap/>
            <w:vAlign w:val="center"/>
            <w:hideMark/>
          </w:tcPr>
          <w:p w14:paraId="57B54C27"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81</w:t>
            </w:r>
          </w:p>
        </w:tc>
        <w:tc>
          <w:tcPr>
            <w:tcW w:w="122" w:type="pct"/>
            <w:tcBorders>
              <w:top w:val="nil"/>
              <w:left w:val="nil"/>
              <w:bottom w:val="nil"/>
              <w:right w:val="nil"/>
            </w:tcBorders>
            <w:shd w:val="clear" w:color="000000" w:fill="C9DC81"/>
            <w:noWrap/>
            <w:vAlign w:val="center"/>
            <w:hideMark/>
          </w:tcPr>
          <w:p w14:paraId="613766E2"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68</w:t>
            </w:r>
          </w:p>
        </w:tc>
        <w:tc>
          <w:tcPr>
            <w:tcW w:w="143" w:type="pct"/>
            <w:tcBorders>
              <w:top w:val="nil"/>
              <w:left w:val="nil"/>
              <w:bottom w:val="nil"/>
              <w:right w:val="nil"/>
            </w:tcBorders>
            <w:shd w:val="clear" w:color="000000" w:fill="63BE7B"/>
            <w:noWrap/>
            <w:vAlign w:val="center"/>
            <w:hideMark/>
          </w:tcPr>
          <w:p w14:paraId="2572C977"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22" w:type="pct"/>
            <w:tcBorders>
              <w:top w:val="nil"/>
              <w:left w:val="nil"/>
              <w:bottom w:val="nil"/>
              <w:right w:val="nil"/>
            </w:tcBorders>
            <w:shd w:val="clear" w:color="000000" w:fill="F6E984"/>
            <w:noWrap/>
            <w:vAlign w:val="center"/>
            <w:hideMark/>
          </w:tcPr>
          <w:p w14:paraId="3FA79A25"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53</w:t>
            </w:r>
          </w:p>
        </w:tc>
        <w:tc>
          <w:tcPr>
            <w:tcW w:w="122" w:type="pct"/>
            <w:tcBorders>
              <w:top w:val="nil"/>
              <w:left w:val="nil"/>
              <w:bottom w:val="nil"/>
              <w:right w:val="nil"/>
            </w:tcBorders>
            <w:shd w:val="clear" w:color="000000" w:fill="9ACE7F"/>
            <w:noWrap/>
            <w:vAlign w:val="center"/>
            <w:hideMark/>
          </w:tcPr>
          <w:p w14:paraId="1BD154F6"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83</w:t>
            </w:r>
          </w:p>
        </w:tc>
        <w:tc>
          <w:tcPr>
            <w:tcW w:w="123" w:type="pct"/>
            <w:tcBorders>
              <w:top w:val="nil"/>
              <w:left w:val="nil"/>
              <w:bottom w:val="nil"/>
              <w:right w:val="nil"/>
            </w:tcBorders>
            <w:shd w:val="clear" w:color="000000" w:fill="B1D580"/>
            <w:noWrap/>
            <w:vAlign w:val="center"/>
            <w:hideMark/>
          </w:tcPr>
          <w:p w14:paraId="48B51AD6"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75</w:t>
            </w:r>
          </w:p>
        </w:tc>
        <w:tc>
          <w:tcPr>
            <w:tcW w:w="122" w:type="pct"/>
            <w:tcBorders>
              <w:top w:val="nil"/>
              <w:left w:val="nil"/>
              <w:bottom w:val="nil"/>
              <w:right w:val="nil"/>
            </w:tcBorders>
            <w:shd w:val="clear" w:color="000000" w:fill="BAD780"/>
            <w:noWrap/>
            <w:vAlign w:val="center"/>
            <w:hideMark/>
          </w:tcPr>
          <w:p w14:paraId="66D369CB"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72</w:t>
            </w:r>
          </w:p>
        </w:tc>
        <w:tc>
          <w:tcPr>
            <w:tcW w:w="122" w:type="pct"/>
            <w:tcBorders>
              <w:top w:val="nil"/>
              <w:left w:val="nil"/>
              <w:bottom w:val="nil"/>
              <w:right w:val="nil"/>
            </w:tcBorders>
            <w:shd w:val="clear" w:color="000000" w:fill="7DC67D"/>
            <w:noWrap/>
            <w:vAlign w:val="center"/>
            <w:hideMark/>
          </w:tcPr>
          <w:p w14:paraId="578E79B8"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92</w:t>
            </w:r>
          </w:p>
        </w:tc>
        <w:tc>
          <w:tcPr>
            <w:tcW w:w="122" w:type="pct"/>
            <w:tcBorders>
              <w:top w:val="nil"/>
              <w:left w:val="nil"/>
              <w:bottom w:val="nil"/>
              <w:right w:val="nil"/>
            </w:tcBorders>
            <w:shd w:val="clear" w:color="000000" w:fill="9DCF7F"/>
            <w:noWrap/>
            <w:vAlign w:val="center"/>
            <w:hideMark/>
          </w:tcPr>
          <w:p w14:paraId="0FE0740B"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81</w:t>
            </w:r>
          </w:p>
        </w:tc>
        <w:tc>
          <w:tcPr>
            <w:tcW w:w="122" w:type="pct"/>
            <w:tcBorders>
              <w:top w:val="nil"/>
              <w:left w:val="nil"/>
              <w:bottom w:val="nil"/>
              <w:right w:val="nil"/>
            </w:tcBorders>
            <w:shd w:val="clear" w:color="000000" w:fill="C2DA81"/>
            <w:noWrap/>
            <w:vAlign w:val="center"/>
            <w:hideMark/>
          </w:tcPr>
          <w:p w14:paraId="30D08890"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70</w:t>
            </w:r>
          </w:p>
        </w:tc>
        <w:tc>
          <w:tcPr>
            <w:tcW w:w="122" w:type="pct"/>
            <w:tcBorders>
              <w:top w:val="nil"/>
              <w:left w:val="nil"/>
              <w:bottom w:val="nil"/>
              <w:right w:val="nil"/>
            </w:tcBorders>
            <w:shd w:val="clear" w:color="000000" w:fill="FEE382"/>
            <w:noWrap/>
            <w:vAlign w:val="center"/>
            <w:hideMark/>
          </w:tcPr>
          <w:p w14:paraId="4B13C97D"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47</w:t>
            </w:r>
          </w:p>
        </w:tc>
        <w:tc>
          <w:tcPr>
            <w:tcW w:w="122" w:type="pct"/>
            <w:tcBorders>
              <w:top w:val="nil"/>
              <w:left w:val="nil"/>
              <w:bottom w:val="nil"/>
              <w:right w:val="nil"/>
            </w:tcBorders>
            <w:shd w:val="clear" w:color="000000" w:fill="E9E583"/>
            <w:noWrap/>
            <w:vAlign w:val="center"/>
            <w:hideMark/>
          </w:tcPr>
          <w:p w14:paraId="51259DB2"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57</w:t>
            </w:r>
          </w:p>
        </w:tc>
        <w:tc>
          <w:tcPr>
            <w:tcW w:w="122" w:type="pct"/>
            <w:tcBorders>
              <w:top w:val="nil"/>
              <w:left w:val="nil"/>
              <w:bottom w:val="nil"/>
              <w:right w:val="nil"/>
            </w:tcBorders>
            <w:shd w:val="clear" w:color="000000" w:fill="B3D680"/>
            <w:noWrap/>
            <w:vAlign w:val="center"/>
            <w:hideMark/>
          </w:tcPr>
          <w:p w14:paraId="2B1F94F9"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74</w:t>
            </w:r>
          </w:p>
        </w:tc>
        <w:tc>
          <w:tcPr>
            <w:tcW w:w="122" w:type="pct"/>
            <w:tcBorders>
              <w:top w:val="nil"/>
              <w:left w:val="nil"/>
              <w:bottom w:val="nil"/>
              <w:right w:val="nil"/>
            </w:tcBorders>
            <w:shd w:val="clear" w:color="000000" w:fill="E0E283"/>
            <w:noWrap/>
            <w:vAlign w:val="center"/>
            <w:hideMark/>
          </w:tcPr>
          <w:p w14:paraId="75A2F017"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60</w:t>
            </w:r>
          </w:p>
        </w:tc>
        <w:tc>
          <w:tcPr>
            <w:tcW w:w="122" w:type="pct"/>
            <w:tcBorders>
              <w:top w:val="nil"/>
              <w:left w:val="nil"/>
              <w:bottom w:val="nil"/>
              <w:right w:val="nil"/>
            </w:tcBorders>
            <w:shd w:val="clear" w:color="000000" w:fill="70C27C"/>
            <w:noWrap/>
            <w:vAlign w:val="center"/>
            <w:hideMark/>
          </w:tcPr>
          <w:p w14:paraId="06E1A82E"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96</w:t>
            </w:r>
          </w:p>
        </w:tc>
        <w:tc>
          <w:tcPr>
            <w:tcW w:w="122" w:type="pct"/>
            <w:tcBorders>
              <w:top w:val="nil"/>
              <w:left w:val="nil"/>
              <w:bottom w:val="nil"/>
              <w:right w:val="nil"/>
            </w:tcBorders>
            <w:shd w:val="clear" w:color="000000" w:fill="8FCB7E"/>
            <w:noWrap/>
            <w:vAlign w:val="center"/>
            <w:hideMark/>
          </w:tcPr>
          <w:p w14:paraId="19FDB013"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86</w:t>
            </w:r>
          </w:p>
        </w:tc>
        <w:tc>
          <w:tcPr>
            <w:tcW w:w="123" w:type="pct"/>
            <w:tcBorders>
              <w:top w:val="nil"/>
              <w:left w:val="nil"/>
              <w:bottom w:val="nil"/>
              <w:right w:val="nil"/>
            </w:tcBorders>
            <w:shd w:val="clear" w:color="000000" w:fill="A4D17F"/>
            <w:noWrap/>
            <w:vAlign w:val="center"/>
            <w:hideMark/>
          </w:tcPr>
          <w:p w14:paraId="345887B1"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79</w:t>
            </w:r>
          </w:p>
        </w:tc>
        <w:tc>
          <w:tcPr>
            <w:tcW w:w="122" w:type="pct"/>
            <w:tcBorders>
              <w:top w:val="nil"/>
              <w:left w:val="nil"/>
              <w:bottom w:val="nil"/>
              <w:right w:val="nil"/>
            </w:tcBorders>
            <w:shd w:val="clear" w:color="000000" w:fill="FBA977"/>
            <w:noWrap/>
            <w:vAlign w:val="center"/>
            <w:hideMark/>
          </w:tcPr>
          <w:p w14:paraId="435A7362"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25</w:t>
            </w:r>
          </w:p>
        </w:tc>
        <w:tc>
          <w:tcPr>
            <w:tcW w:w="122" w:type="pct"/>
            <w:tcBorders>
              <w:top w:val="nil"/>
              <w:left w:val="nil"/>
              <w:bottom w:val="nil"/>
              <w:right w:val="nil"/>
            </w:tcBorders>
            <w:shd w:val="clear" w:color="000000" w:fill="9FD07F"/>
            <w:noWrap/>
            <w:vAlign w:val="center"/>
            <w:hideMark/>
          </w:tcPr>
          <w:p w14:paraId="00094787"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81</w:t>
            </w:r>
          </w:p>
        </w:tc>
        <w:tc>
          <w:tcPr>
            <w:tcW w:w="122" w:type="pct"/>
            <w:tcBorders>
              <w:top w:val="nil"/>
              <w:left w:val="nil"/>
              <w:bottom w:val="nil"/>
              <w:right w:val="nil"/>
            </w:tcBorders>
            <w:shd w:val="clear" w:color="000000" w:fill="EDE683"/>
            <w:noWrap/>
            <w:vAlign w:val="center"/>
            <w:hideMark/>
          </w:tcPr>
          <w:p w14:paraId="7F09C01C"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56</w:t>
            </w:r>
          </w:p>
        </w:tc>
        <w:tc>
          <w:tcPr>
            <w:tcW w:w="122" w:type="pct"/>
            <w:tcBorders>
              <w:top w:val="nil"/>
              <w:left w:val="nil"/>
              <w:bottom w:val="nil"/>
              <w:right w:val="nil"/>
            </w:tcBorders>
            <w:shd w:val="clear" w:color="000000" w:fill="C8DB81"/>
            <w:noWrap/>
            <w:vAlign w:val="center"/>
            <w:hideMark/>
          </w:tcPr>
          <w:p w14:paraId="341BE99C"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68</w:t>
            </w:r>
          </w:p>
        </w:tc>
        <w:tc>
          <w:tcPr>
            <w:tcW w:w="122" w:type="pct"/>
            <w:tcBorders>
              <w:top w:val="nil"/>
              <w:left w:val="nil"/>
              <w:bottom w:val="nil"/>
              <w:right w:val="nil"/>
            </w:tcBorders>
            <w:shd w:val="clear" w:color="000000" w:fill="D4DF82"/>
            <w:noWrap/>
            <w:vAlign w:val="center"/>
            <w:hideMark/>
          </w:tcPr>
          <w:p w14:paraId="2DDDDB77"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64</w:t>
            </w:r>
          </w:p>
        </w:tc>
        <w:tc>
          <w:tcPr>
            <w:tcW w:w="123" w:type="pct"/>
            <w:tcBorders>
              <w:top w:val="nil"/>
              <w:left w:val="nil"/>
              <w:bottom w:val="nil"/>
              <w:right w:val="nil"/>
            </w:tcBorders>
            <w:shd w:val="clear" w:color="000000" w:fill="F9EA84"/>
            <w:noWrap/>
            <w:vAlign w:val="center"/>
            <w:hideMark/>
          </w:tcPr>
          <w:p w14:paraId="33393D3F"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52</w:t>
            </w:r>
          </w:p>
        </w:tc>
        <w:tc>
          <w:tcPr>
            <w:tcW w:w="122" w:type="pct"/>
            <w:tcBorders>
              <w:top w:val="nil"/>
              <w:left w:val="nil"/>
              <w:bottom w:val="nil"/>
              <w:right w:val="nil"/>
            </w:tcBorders>
            <w:shd w:val="clear" w:color="000000" w:fill="DFE283"/>
            <w:noWrap/>
            <w:vAlign w:val="center"/>
            <w:hideMark/>
          </w:tcPr>
          <w:p w14:paraId="35EF6BA2"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60</w:t>
            </w:r>
          </w:p>
        </w:tc>
      </w:tr>
      <w:tr w:rsidR="00B656F6" w:rsidRPr="00634756" w14:paraId="794E78E3" w14:textId="77777777" w:rsidTr="008F0944">
        <w:trPr>
          <w:trHeight w:val="113"/>
        </w:trPr>
        <w:tc>
          <w:tcPr>
            <w:tcW w:w="131" w:type="pct"/>
            <w:vMerge/>
            <w:tcBorders>
              <w:left w:val="nil"/>
              <w:right w:val="nil"/>
            </w:tcBorders>
            <w:shd w:val="clear" w:color="auto" w:fill="FFF2CC" w:themeFill="accent4" w:themeFillTint="33"/>
          </w:tcPr>
          <w:p w14:paraId="6B580FB8" w14:textId="77777777" w:rsidR="00B656F6" w:rsidRPr="00634756" w:rsidRDefault="00B656F6" w:rsidP="008F0944">
            <w:pPr>
              <w:snapToGrid w:val="0"/>
              <w:jc w:val="right"/>
              <w:rPr>
                <w:rFonts w:ascii="等线" w:eastAsia="等线" w:hAnsi="等线" w:cs="宋体"/>
                <w:b/>
                <w:color w:val="000000"/>
                <w:sz w:val="15"/>
                <w:szCs w:val="15"/>
              </w:rPr>
            </w:pPr>
          </w:p>
        </w:tc>
        <w:tc>
          <w:tcPr>
            <w:tcW w:w="469" w:type="pct"/>
            <w:tcBorders>
              <w:top w:val="nil"/>
              <w:left w:val="nil"/>
              <w:bottom w:val="nil"/>
              <w:right w:val="nil"/>
            </w:tcBorders>
            <w:shd w:val="clear" w:color="auto" w:fill="FFF2CC" w:themeFill="accent4" w:themeFillTint="33"/>
            <w:noWrap/>
            <w:vAlign w:val="center"/>
            <w:hideMark/>
          </w:tcPr>
          <w:p w14:paraId="2C5FF856" w14:textId="77777777" w:rsidR="00B656F6" w:rsidRPr="00EB4864" w:rsidRDefault="00B656F6" w:rsidP="008F0944">
            <w:pPr>
              <w:snapToGrid w:val="0"/>
              <w:jc w:val="right"/>
              <w:rPr>
                <w:rFonts w:ascii="等线" w:eastAsia="等线" w:hAnsi="等线" w:cs="宋体"/>
                <w:b/>
                <w:color w:val="000000"/>
                <w:sz w:val="15"/>
                <w:szCs w:val="15"/>
              </w:rPr>
            </w:pPr>
            <w:r w:rsidRPr="00EB4864">
              <w:rPr>
                <w:rFonts w:ascii="等线" w:eastAsia="等线" w:hAnsi="等线" w:cs="宋体"/>
                <w:b/>
                <w:color w:val="000000"/>
                <w:sz w:val="15"/>
                <w:szCs w:val="15"/>
              </w:rPr>
              <w:t>Shanghai*</w:t>
            </w:r>
          </w:p>
        </w:tc>
        <w:tc>
          <w:tcPr>
            <w:tcW w:w="122" w:type="pct"/>
            <w:tcBorders>
              <w:top w:val="nil"/>
              <w:left w:val="nil"/>
              <w:bottom w:val="nil"/>
              <w:right w:val="nil"/>
            </w:tcBorders>
            <w:shd w:val="clear" w:color="000000" w:fill="7FC67D"/>
            <w:noWrap/>
            <w:vAlign w:val="center"/>
            <w:hideMark/>
          </w:tcPr>
          <w:p w14:paraId="78C6C3B2"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91</w:t>
            </w:r>
          </w:p>
        </w:tc>
        <w:tc>
          <w:tcPr>
            <w:tcW w:w="143" w:type="pct"/>
            <w:tcBorders>
              <w:top w:val="nil"/>
              <w:left w:val="nil"/>
              <w:bottom w:val="nil"/>
              <w:right w:val="nil"/>
            </w:tcBorders>
            <w:shd w:val="clear" w:color="000000" w:fill="63BE7B"/>
            <w:noWrap/>
            <w:vAlign w:val="center"/>
            <w:hideMark/>
          </w:tcPr>
          <w:p w14:paraId="7C4E764D"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22" w:type="pct"/>
            <w:tcBorders>
              <w:top w:val="nil"/>
              <w:left w:val="nil"/>
              <w:bottom w:val="nil"/>
              <w:right w:val="nil"/>
            </w:tcBorders>
            <w:shd w:val="clear" w:color="000000" w:fill="DEE283"/>
            <w:noWrap/>
            <w:vAlign w:val="center"/>
            <w:hideMark/>
          </w:tcPr>
          <w:p w14:paraId="691D64E0"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61</w:t>
            </w:r>
          </w:p>
        </w:tc>
        <w:tc>
          <w:tcPr>
            <w:tcW w:w="122" w:type="pct"/>
            <w:tcBorders>
              <w:top w:val="nil"/>
              <w:left w:val="nil"/>
              <w:bottom w:val="nil"/>
              <w:right w:val="nil"/>
            </w:tcBorders>
            <w:shd w:val="clear" w:color="000000" w:fill="95CD7E"/>
            <w:noWrap/>
            <w:vAlign w:val="center"/>
            <w:hideMark/>
          </w:tcPr>
          <w:p w14:paraId="27B3DDC9"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84</w:t>
            </w:r>
          </w:p>
        </w:tc>
        <w:tc>
          <w:tcPr>
            <w:tcW w:w="143" w:type="pct"/>
            <w:tcBorders>
              <w:top w:val="nil"/>
              <w:left w:val="nil"/>
              <w:bottom w:val="nil"/>
              <w:right w:val="nil"/>
            </w:tcBorders>
            <w:shd w:val="clear" w:color="000000" w:fill="63BE7B"/>
            <w:noWrap/>
            <w:vAlign w:val="center"/>
            <w:hideMark/>
          </w:tcPr>
          <w:p w14:paraId="3A503DE3"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22" w:type="pct"/>
            <w:tcBorders>
              <w:top w:val="nil"/>
              <w:left w:val="nil"/>
              <w:bottom w:val="nil"/>
              <w:right w:val="nil"/>
            </w:tcBorders>
            <w:shd w:val="clear" w:color="000000" w:fill="6FC27C"/>
            <w:noWrap/>
            <w:vAlign w:val="center"/>
            <w:hideMark/>
          </w:tcPr>
          <w:p w14:paraId="33630D73"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96</w:t>
            </w:r>
          </w:p>
        </w:tc>
        <w:tc>
          <w:tcPr>
            <w:tcW w:w="143" w:type="pct"/>
            <w:tcBorders>
              <w:top w:val="nil"/>
              <w:left w:val="nil"/>
              <w:bottom w:val="nil"/>
              <w:right w:val="nil"/>
            </w:tcBorders>
            <w:shd w:val="clear" w:color="000000" w:fill="63BE7B"/>
            <w:noWrap/>
            <w:vAlign w:val="center"/>
            <w:hideMark/>
          </w:tcPr>
          <w:p w14:paraId="7A07C266"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43" w:type="pct"/>
            <w:tcBorders>
              <w:top w:val="nil"/>
              <w:left w:val="nil"/>
              <w:bottom w:val="nil"/>
              <w:right w:val="nil"/>
            </w:tcBorders>
            <w:shd w:val="clear" w:color="000000" w:fill="63BE7B"/>
            <w:noWrap/>
            <w:vAlign w:val="center"/>
            <w:hideMark/>
          </w:tcPr>
          <w:p w14:paraId="16B9CA27"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43" w:type="pct"/>
            <w:tcBorders>
              <w:top w:val="nil"/>
              <w:left w:val="nil"/>
              <w:bottom w:val="nil"/>
              <w:right w:val="nil"/>
            </w:tcBorders>
            <w:shd w:val="clear" w:color="000000" w:fill="A4D17F"/>
            <w:noWrap/>
            <w:vAlign w:val="center"/>
            <w:hideMark/>
          </w:tcPr>
          <w:p w14:paraId="708D00D3"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79</w:t>
            </w:r>
          </w:p>
        </w:tc>
        <w:tc>
          <w:tcPr>
            <w:tcW w:w="122" w:type="pct"/>
            <w:tcBorders>
              <w:top w:val="nil"/>
              <w:left w:val="nil"/>
              <w:bottom w:val="nil"/>
              <w:right w:val="nil"/>
            </w:tcBorders>
            <w:shd w:val="clear" w:color="000000" w:fill="A6D27F"/>
            <w:noWrap/>
            <w:vAlign w:val="center"/>
            <w:hideMark/>
          </w:tcPr>
          <w:p w14:paraId="6C658381"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79</w:t>
            </w:r>
          </w:p>
        </w:tc>
        <w:tc>
          <w:tcPr>
            <w:tcW w:w="122" w:type="pct"/>
            <w:tcBorders>
              <w:top w:val="nil"/>
              <w:left w:val="nil"/>
              <w:bottom w:val="nil"/>
              <w:right w:val="nil"/>
            </w:tcBorders>
            <w:shd w:val="clear" w:color="000000" w:fill="7DC67D"/>
            <w:noWrap/>
            <w:vAlign w:val="center"/>
            <w:hideMark/>
          </w:tcPr>
          <w:p w14:paraId="0D72D896"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92</w:t>
            </w:r>
          </w:p>
        </w:tc>
        <w:tc>
          <w:tcPr>
            <w:tcW w:w="122" w:type="pct"/>
            <w:tcBorders>
              <w:top w:val="nil"/>
              <w:left w:val="nil"/>
              <w:bottom w:val="nil"/>
              <w:right w:val="nil"/>
            </w:tcBorders>
            <w:shd w:val="clear" w:color="000000" w:fill="86C97E"/>
            <w:noWrap/>
            <w:vAlign w:val="center"/>
            <w:hideMark/>
          </w:tcPr>
          <w:p w14:paraId="09EBBB8D"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89</w:t>
            </w:r>
          </w:p>
        </w:tc>
        <w:tc>
          <w:tcPr>
            <w:tcW w:w="122" w:type="pct"/>
            <w:tcBorders>
              <w:top w:val="nil"/>
              <w:left w:val="nil"/>
              <w:bottom w:val="nil"/>
              <w:right w:val="nil"/>
            </w:tcBorders>
            <w:shd w:val="clear" w:color="000000" w:fill="A3D17F"/>
            <w:noWrap/>
            <w:vAlign w:val="center"/>
            <w:hideMark/>
          </w:tcPr>
          <w:p w14:paraId="3386C785"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80</w:t>
            </w:r>
          </w:p>
        </w:tc>
        <w:tc>
          <w:tcPr>
            <w:tcW w:w="143" w:type="pct"/>
            <w:tcBorders>
              <w:top w:val="nil"/>
              <w:left w:val="nil"/>
              <w:bottom w:val="nil"/>
              <w:right w:val="nil"/>
            </w:tcBorders>
            <w:shd w:val="clear" w:color="000000" w:fill="63BE7B"/>
            <w:noWrap/>
            <w:vAlign w:val="center"/>
            <w:hideMark/>
          </w:tcPr>
          <w:p w14:paraId="54A1151A"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22" w:type="pct"/>
            <w:tcBorders>
              <w:top w:val="nil"/>
              <w:left w:val="nil"/>
              <w:bottom w:val="nil"/>
              <w:right w:val="nil"/>
            </w:tcBorders>
            <w:shd w:val="clear" w:color="000000" w:fill="F1E784"/>
            <w:noWrap/>
            <w:vAlign w:val="center"/>
            <w:hideMark/>
          </w:tcPr>
          <w:p w14:paraId="42B373D7"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54</w:t>
            </w:r>
          </w:p>
        </w:tc>
        <w:tc>
          <w:tcPr>
            <w:tcW w:w="122" w:type="pct"/>
            <w:tcBorders>
              <w:top w:val="nil"/>
              <w:left w:val="nil"/>
              <w:bottom w:val="nil"/>
              <w:right w:val="nil"/>
            </w:tcBorders>
            <w:shd w:val="clear" w:color="000000" w:fill="90CB7E"/>
            <w:noWrap/>
            <w:vAlign w:val="center"/>
            <w:hideMark/>
          </w:tcPr>
          <w:p w14:paraId="796FE06F"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86</w:t>
            </w:r>
          </w:p>
        </w:tc>
        <w:tc>
          <w:tcPr>
            <w:tcW w:w="123" w:type="pct"/>
            <w:tcBorders>
              <w:top w:val="nil"/>
              <w:left w:val="nil"/>
              <w:bottom w:val="nil"/>
              <w:right w:val="nil"/>
            </w:tcBorders>
            <w:shd w:val="clear" w:color="000000" w:fill="A1D07F"/>
            <w:noWrap/>
            <w:vAlign w:val="center"/>
            <w:hideMark/>
          </w:tcPr>
          <w:p w14:paraId="540200A7"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80</w:t>
            </w:r>
          </w:p>
        </w:tc>
        <w:tc>
          <w:tcPr>
            <w:tcW w:w="122" w:type="pct"/>
            <w:tcBorders>
              <w:top w:val="nil"/>
              <w:left w:val="nil"/>
              <w:bottom w:val="nil"/>
              <w:right w:val="nil"/>
            </w:tcBorders>
            <w:shd w:val="clear" w:color="000000" w:fill="9CCF7F"/>
            <w:noWrap/>
            <w:vAlign w:val="center"/>
            <w:hideMark/>
          </w:tcPr>
          <w:p w14:paraId="6BDFEA18"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82</w:t>
            </w:r>
          </w:p>
        </w:tc>
        <w:tc>
          <w:tcPr>
            <w:tcW w:w="122" w:type="pct"/>
            <w:tcBorders>
              <w:top w:val="nil"/>
              <w:left w:val="nil"/>
              <w:bottom w:val="nil"/>
              <w:right w:val="nil"/>
            </w:tcBorders>
            <w:shd w:val="clear" w:color="000000" w:fill="6EC27C"/>
            <w:noWrap/>
            <w:vAlign w:val="center"/>
            <w:hideMark/>
          </w:tcPr>
          <w:p w14:paraId="08249C59"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97</w:t>
            </w:r>
          </w:p>
        </w:tc>
        <w:tc>
          <w:tcPr>
            <w:tcW w:w="122" w:type="pct"/>
            <w:tcBorders>
              <w:top w:val="nil"/>
              <w:left w:val="nil"/>
              <w:bottom w:val="nil"/>
              <w:right w:val="nil"/>
            </w:tcBorders>
            <w:shd w:val="clear" w:color="000000" w:fill="86C87D"/>
            <w:noWrap/>
            <w:vAlign w:val="center"/>
            <w:hideMark/>
          </w:tcPr>
          <w:p w14:paraId="7F8EBF18"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89</w:t>
            </w:r>
          </w:p>
        </w:tc>
        <w:tc>
          <w:tcPr>
            <w:tcW w:w="122" w:type="pct"/>
            <w:tcBorders>
              <w:top w:val="nil"/>
              <w:left w:val="nil"/>
              <w:bottom w:val="nil"/>
              <w:right w:val="nil"/>
            </w:tcBorders>
            <w:shd w:val="clear" w:color="000000" w:fill="9BCE7F"/>
            <w:noWrap/>
            <w:vAlign w:val="center"/>
            <w:hideMark/>
          </w:tcPr>
          <w:p w14:paraId="224607D6"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82</w:t>
            </w:r>
          </w:p>
        </w:tc>
        <w:tc>
          <w:tcPr>
            <w:tcW w:w="122" w:type="pct"/>
            <w:tcBorders>
              <w:top w:val="nil"/>
              <w:left w:val="nil"/>
              <w:bottom w:val="nil"/>
              <w:right w:val="nil"/>
            </w:tcBorders>
            <w:shd w:val="clear" w:color="000000" w:fill="F8696B"/>
            <w:noWrap/>
            <w:vAlign w:val="center"/>
            <w:hideMark/>
          </w:tcPr>
          <w:p w14:paraId="73A769FE"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0</w:t>
            </w:r>
          </w:p>
        </w:tc>
        <w:tc>
          <w:tcPr>
            <w:tcW w:w="122" w:type="pct"/>
            <w:tcBorders>
              <w:top w:val="nil"/>
              <w:left w:val="nil"/>
              <w:bottom w:val="nil"/>
              <w:right w:val="nil"/>
            </w:tcBorders>
            <w:shd w:val="clear" w:color="000000" w:fill="F9806F"/>
            <w:noWrap/>
            <w:vAlign w:val="center"/>
            <w:hideMark/>
          </w:tcPr>
          <w:p w14:paraId="789A1986"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w:t>
            </w:r>
          </w:p>
        </w:tc>
        <w:tc>
          <w:tcPr>
            <w:tcW w:w="122" w:type="pct"/>
            <w:tcBorders>
              <w:top w:val="nil"/>
              <w:left w:val="nil"/>
              <w:bottom w:val="nil"/>
              <w:right w:val="nil"/>
            </w:tcBorders>
            <w:shd w:val="clear" w:color="000000" w:fill="9ACE7F"/>
            <w:noWrap/>
            <w:vAlign w:val="center"/>
            <w:hideMark/>
          </w:tcPr>
          <w:p w14:paraId="4AD22B61"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83</w:t>
            </w:r>
          </w:p>
        </w:tc>
        <w:tc>
          <w:tcPr>
            <w:tcW w:w="122" w:type="pct"/>
            <w:tcBorders>
              <w:top w:val="nil"/>
              <w:left w:val="nil"/>
              <w:bottom w:val="nil"/>
              <w:right w:val="nil"/>
            </w:tcBorders>
            <w:shd w:val="clear" w:color="000000" w:fill="AAD380"/>
            <w:noWrap/>
            <w:vAlign w:val="center"/>
            <w:hideMark/>
          </w:tcPr>
          <w:p w14:paraId="7BD71242"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77</w:t>
            </w:r>
          </w:p>
        </w:tc>
        <w:tc>
          <w:tcPr>
            <w:tcW w:w="122" w:type="pct"/>
            <w:tcBorders>
              <w:top w:val="nil"/>
              <w:left w:val="nil"/>
              <w:bottom w:val="nil"/>
              <w:right w:val="nil"/>
            </w:tcBorders>
            <w:shd w:val="clear" w:color="000000" w:fill="67BF7C"/>
            <w:noWrap/>
            <w:vAlign w:val="center"/>
            <w:hideMark/>
          </w:tcPr>
          <w:p w14:paraId="04E46F02"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99</w:t>
            </w:r>
          </w:p>
        </w:tc>
        <w:tc>
          <w:tcPr>
            <w:tcW w:w="122" w:type="pct"/>
            <w:tcBorders>
              <w:top w:val="nil"/>
              <w:left w:val="nil"/>
              <w:bottom w:val="nil"/>
              <w:right w:val="nil"/>
            </w:tcBorders>
            <w:shd w:val="clear" w:color="000000" w:fill="70C27C"/>
            <w:noWrap/>
            <w:vAlign w:val="center"/>
            <w:hideMark/>
          </w:tcPr>
          <w:p w14:paraId="4A834B1C"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96</w:t>
            </w:r>
          </w:p>
        </w:tc>
        <w:tc>
          <w:tcPr>
            <w:tcW w:w="123" w:type="pct"/>
            <w:tcBorders>
              <w:top w:val="nil"/>
              <w:left w:val="nil"/>
              <w:bottom w:val="nil"/>
              <w:right w:val="nil"/>
            </w:tcBorders>
            <w:shd w:val="clear" w:color="000000" w:fill="82C77D"/>
            <w:noWrap/>
            <w:vAlign w:val="center"/>
            <w:hideMark/>
          </w:tcPr>
          <w:p w14:paraId="29E55188"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90</w:t>
            </w:r>
          </w:p>
        </w:tc>
        <w:tc>
          <w:tcPr>
            <w:tcW w:w="122" w:type="pct"/>
            <w:tcBorders>
              <w:top w:val="nil"/>
              <w:left w:val="nil"/>
              <w:bottom w:val="nil"/>
              <w:right w:val="nil"/>
            </w:tcBorders>
            <w:shd w:val="clear" w:color="000000" w:fill="F97D6E"/>
            <w:noWrap/>
            <w:vAlign w:val="center"/>
            <w:hideMark/>
          </w:tcPr>
          <w:p w14:paraId="5D759882"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w:t>
            </w:r>
          </w:p>
        </w:tc>
        <w:tc>
          <w:tcPr>
            <w:tcW w:w="122" w:type="pct"/>
            <w:tcBorders>
              <w:top w:val="nil"/>
              <w:left w:val="nil"/>
              <w:bottom w:val="nil"/>
              <w:right w:val="nil"/>
            </w:tcBorders>
            <w:shd w:val="clear" w:color="000000" w:fill="69C07C"/>
            <w:noWrap/>
            <w:vAlign w:val="center"/>
            <w:hideMark/>
          </w:tcPr>
          <w:p w14:paraId="0368A5B9"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98</w:t>
            </w:r>
          </w:p>
        </w:tc>
        <w:tc>
          <w:tcPr>
            <w:tcW w:w="122" w:type="pct"/>
            <w:tcBorders>
              <w:top w:val="nil"/>
              <w:left w:val="nil"/>
              <w:bottom w:val="nil"/>
              <w:right w:val="nil"/>
            </w:tcBorders>
            <w:shd w:val="clear" w:color="000000" w:fill="C6DB81"/>
            <w:noWrap/>
            <w:vAlign w:val="center"/>
            <w:hideMark/>
          </w:tcPr>
          <w:p w14:paraId="60AA4C4C"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69</w:t>
            </w:r>
          </w:p>
        </w:tc>
        <w:tc>
          <w:tcPr>
            <w:tcW w:w="122" w:type="pct"/>
            <w:tcBorders>
              <w:top w:val="nil"/>
              <w:left w:val="nil"/>
              <w:bottom w:val="nil"/>
              <w:right w:val="nil"/>
            </w:tcBorders>
            <w:shd w:val="clear" w:color="000000" w:fill="74C37C"/>
            <w:noWrap/>
            <w:vAlign w:val="center"/>
            <w:hideMark/>
          </w:tcPr>
          <w:p w14:paraId="003DF241"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95</w:t>
            </w:r>
          </w:p>
        </w:tc>
        <w:tc>
          <w:tcPr>
            <w:tcW w:w="122" w:type="pct"/>
            <w:tcBorders>
              <w:top w:val="nil"/>
              <w:left w:val="nil"/>
              <w:bottom w:val="nil"/>
              <w:right w:val="nil"/>
            </w:tcBorders>
            <w:shd w:val="clear" w:color="000000" w:fill="A0D07F"/>
            <w:noWrap/>
            <w:vAlign w:val="center"/>
            <w:hideMark/>
          </w:tcPr>
          <w:p w14:paraId="638357A4"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81</w:t>
            </w:r>
          </w:p>
        </w:tc>
        <w:tc>
          <w:tcPr>
            <w:tcW w:w="123" w:type="pct"/>
            <w:tcBorders>
              <w:top w:val="nil"/>
              <w:left w:val="nil"/>
              <w:bottom w:val="nil"/>
              <w:right w:val="nil"/>
            </w:tcBorders>
            <w:shd w:val="clear" w:color="000000" w:fill="FEE182"/>
            <w:noWrap/>
            <w:vAlign w:val="center"/>
            <w:hideMark/>
          </w:tcPr>
          <w:p w14:paraId="40C618FA"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46</w:t>
            </w:r>
          </w:p>
        </w:tc>
        <w:tc>
          <w:tcPr>
            <w:tcW w:w="122" w:type="pct"/>
            <w:tcBorders>
              <w:top w:val="nil"/>
              <w:left w:val="nil"/>
              <w:bottom w:val="nil"/>
              <w:right w:val="nil"/>
            </w:tcBorders>
            <w:shd w:val="clear" w:color="000000" w:fill="C0D981"/>
            <w:noWrap/>
            <w:vAlign w:val="center"/>
            <w:hideMark/>
          </w:tcPr>
          <w:p w14:paraId="0AB9145A"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70</w:t>
            </w:r>
          </w:p>
        </w:tc>
      </w:tr>
      <w:tr w:rsidR="00B656F6" w:rsidRPr="00634756" w14:paraId="2E23C353" w14:textId="77777777" w:rsidTr="008F0944">
        <w:trPr>
          <w:trHeight w:val="113"/>
        </w:trPr>
        <w:tc>
          <w:tcPr>
            <w:tcW w:w="131" w:type="pct"/>
            <w:vMerge/>
            <w:tcBorders>
              <w:left w:val="nil"/>
              <w:right w:val="nil"/>
            </w:tcBorders>
            <w:shd w:val="clear" w:color="auto" w:fill="FFF2CC" w:themeFill="accent4" w:themeFillTint="33"/>
          </w:tcPr>
          <w:p w14:paraId="5280A582" w14:textId="77777777" w:rsidR="00B656F6" w:rsidRPr="00634756" w:rsidRDefault="00B656F6" w:rsidP="008F0944">
            <w:pPr>
              <w:snapToGrid w:val="0"/>
              <w:jc w:val="right"/>
              <w:rPr>
                <w:rFonts w:ascii="等线" w:eastAsia="等线" w:hAnsi="等线" w:cs="宋体"/>
                <w:b/>
                <w:color w:val="000000"/>
                <w:sz w:val="15"/>
                <w:szCs w:val="15"/>
              </w:rPr>
            </w:pPr>
          </w:p>
        </w:tc>
        <w:tc>
          <w:tcPr>
            <w:tcW w:w="469" w:type="pct"/>
            <w:tcBorders>
              <w:top w:val="nil"/>
              <w:left w:val="nil"/>
              <w:bottom w:val="nil"/>
              <w:right w:val="nil"/>
            </w:tcBorders>
            <w:shd w:val="clear" w:color="auto" w:fill="FFF2CC" w:themeFill="accent4" w:themeFillTint="33"/>
            <w:noWrap/>
            <w:vAlign w:val="center"/>
            <w:hideMark/>
          </w:tcPr>
          <w:p w14:paraId="2C5A4E9C" w14:textId="77777777" w:rsidR="00B656F6" w:rsidRPr="00EB4864" w:rsidRDefault="00B656F6" w:rsidP="008F0944">
            <w:pPr>
              <w:snapToGrid w:val="0"/>
              <w:jc w:val="right"/>
              <w:rPr>
                <w:rFonts w:ascii="等线" w:eastAsia="等线" w:hAnsi="等线" w:cs="宋体"/>
                <w:b/>
                <w:color w:val="000000"/>
                <w:sz w:val="15"/>
                <w:szCs w:val="15"/>
              </w:rPr>
            </w:pPr>
            <w:r w:rsidRPr="00EB4864">
              <w:rPr>
                <w:rFonts w:ascii="等线" w:eastAsia="等线" w:hAnsi="等线" w:cs="宋体"/>
                <w:b/>
                <w:color w:val="000000"/>
                <w:sz w:val="15"/>
                <w:szCs w:val="15"/>
              </w:rPr>
              <w:t>Jiangsu</w:t>
            </w:r>
          </w:p>
        </w:tc>
        <w:tc>
          <w:tcPr>
            <w:tcW w:w="122" w:type="pct"/>
            <w:tcBorders>
              <w:top w:val="nil"/>
              <w:left w:val="nil"/>
              <w:bottom w:val="nil"/>
              <w:right w:val="nil"/>
            </w:tcBorders>
            <w:shd w:val="clear" w:color="000000" w:fill="84C87D"/>
            <w:noWrap/>
            <w:vAlign w:val="center"/>
            <w:hideMark/>
          </w:tcPr>
          <w:p w14:paraId="1F867D1B"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90</w:t>
            </w:r>
          </w:p>
        </w:tc>
        <w:tc>
          <w:tcPr>
            <w:tcW w:w="143" w:type="pct"/>
            <w:tcBorders>
              <w:top w:val="nil"/>
              <w:left w:val="nil"/>
              <w:bottom w:val="nil"/>
              <w:right w:val="nil"/>
            </w:tcBorders>
            <w:shd w:val="clear" w:color="000000" w:fill="63BE7B"/>
            <w:noWrap/>
            <w:vAlign w:val="center"/>
            <w:hideMark/>
          </w:tcPr>
          <w:p w14:paraId="057A44C3"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22" w:type="pct"/>
            <w:tcBorders>
              <w:top w:val="nil"/>
              <w:left w:val="nil"/>
              <w:bottom w:val="nil"/>
              <w:right w:val="nil"/>
            </w:tcBorders>
            <w:shd w:val="clear" w:color="000000" w:fill="76C47D"/>
            <w:noWrap/>
            <w:vAlign w:val="center"/>
            <w:hideMark/>
          </w:tcPr>
          <w:p w14:paraId="3EAC990C"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94</w:t>
            </w:r>
          </w:p>
        </w:tc>
        <w:tc>
          <w:tcPr>
            <w:tcW w:w="122" w:type="pct"/>
            <w:tcBorders>
              <w:top w:val="nil"/>
              <w:left w:val="nil"/>
              <w:bottom w:val="nil"/>
              <w:right w:val="nil"/>
            </w:tcBorders>
            <w:shd w:val="clear" w:color="000000" w:fill="78C57D"/>
            <w:noWrap/>
            <w:vAlign w:val="center"/>
            <w:hideMark/>
          </w:tcPr>
          <w:p w14:paraId="7E7841A4"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93</w:t>
            </w:r>
          </w:p>
        </w:tc>
        <w:tc>
          <w:tcPr>
            <w:tcW w:w="143" w:type="pct"/>
            <w:tcBorders>
              <w:top w:val="nil"/>
              <w:left w:val="nil"/>
              <w:bottom w:val="nil"/>
              <w:right w:val="nil"/>
            </w:tcBorders>
            <w:shd w:val="clear" w:color="000000" w:fill="63BE7B"/>
            <w:noWrap/>
            <w:vAlign w:val="center"/>
            <w:hideMark/>
          </w:tcPr>
          <w:p w14:paraId="667B1A13"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22" w:type="pct"/>
            <w:tcBorders>
              <w:top w:val="nil"/>
              <w:left w:val="nil"/>
              <w:bottom w:val="nil"/>
              <w:right w:val="nil"/>
            </w:tcBorders>
            <w:shd w:val="clear" w:color="000000" w:fill="6EC27C"/>
            <w:noWrap/>
            <w:vAlign w:val="center"/>
            <w:hideMark/>
          </w:tcPr>
          <w:p w14:paraId="1BA44184"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97</w:t>
            </w:r>
          </w:p>
        </w:tc>
        <w:tc>
          <w:tcPr>
            <w:tcW w:w="143" w:type="pct"/>
            <w:tcBorders>
              <w:top w:val="nil"/>
              <w:left w:val="nil"/>
              <w:bottom w:val="nil"/>
              <w:right w:val="nil"/>
            </w:tcBorders>
            <w:shd w:val="clear" w:color="000000" w:fill="63BE7B"/>
            <w:noWrap/>
            <w:vAlign w:val="center"/>
            <w:hideMark/>
          </w:tcPr>
          <w:p w14:paraId="07722D0A"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43" w:type="pct"/>
            <w:tcBorders>
              <w:top w:val="nil"/>
              <w:left w:val="nil"/>
              <w:bottom w:val="nil"/>
              <w:right w:val="nil"/>
            </w:tcBorders>
            <w:shd w:val="clear" w:color="000000" w:fill="63BE7B"/>
            <w:noWrap/>
            <w:vAlign w:val="center"/>
            <w:hideMark/>
          </w:tcPr>
          <w:p w14:paraId="42368211"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43" w:type="pct"/>
            <w:tcBorders>
              <w:top w:val="nil"/>
              <w:left w:val="nil"/>
              <w:bottom w:val="nil"/>
              <w:right w:val="nil"/>
            </w:tcBorders>
            <w:shd w:val="clear" w:color="000000" w:fill="A0D07F"/>
            <w:noWrap/>
            <w:vAlign w:val="center"/>
            <w:hideMark/>
          </w:tcPr>
          <w:p w14:paraId="4028B12C"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81</w:t>
            </w:r>
          </w:p>
        </w:tc>
        <w:tc>
          <w:tcPr>
            <w:tcW w:w="122" w:type="pct"/>
            <w:tcBorders>
              <w:top w:val="nil"/>
              <w:left w:val="nil"/>
              <w:bottom w:val="nil"/>
              <w:right w:val="nil"/>
            </w:tcBorders>
            <w:shd w:val="clear" w:color="000000" w:fill="BFD981"/>
            <w:noWrap/>
            <w:vAlign w:val="center"/>
            <w:hideMark/>
          </w:tcPr>
          <w:p w14:paraId="7421CD82"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71</w:t>
            </w:r>
          </w:p>
        </w:tc>
        <w:tc>
          <w:tcPr>
            <w:tcW w:w="122" w:type="pct"/>
            <w:tcBorders>
              <w:top w:val="nil"/>
              <w:left w:val="nil"/>
              <w:bottom w:val="nil"/>
              <w:right w:val="nil"/>
            </w:tcBorders>
            <w:shd w:val="clear" w:color="000000" w:fill="81C77D"/>
            <w:noWrap/>
            <w:vAlign w:val="center"/>
            <w:hideMark/>
          </w:tcPr>
          <w:p w14:paraId="4FD5DCFA"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91</w:t>
            </w:r>
          </w:p>
        </w:tc>
        <w:tc>
          <w:tcPr>
            <w:tcW w:w="122" w:type="pct"/>
            <w:tcBorders>
              <w:top w:val="nil"/>
              <w:left w:val="nil"/>
              <w:bottom w:val="nil"/>
              <w:right w:val="nil"/>
            </w:tcBorders>
            <w:shd w:val="clear" w:color="000000" w:fill="92CC7E"/>
            <w:noWrap/>
            <w:vAlign w:val="center"/>
            <w:hideMark/>
          </w:tcPr>
          <w:p w14:paraId="5A8B3A43"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85</w:t>
            </w:r>
          </w:p>
        </w:tc>
        <w:tc>
          <w:tcPr>
            <w:tcW w:w="122" w:type="pct"/>
            <w:tcBorders>
              <w:top w:val="nil"/>
              <w:left w:val="nil"/>
              <w:bottom w:val="nil"/>
              <w:right w:val="nil"/>
            </w:tcBorders>
            <w:shd w:val="clear" w:color="000000" w:fill="92CC7E"/>
            <w:noWrap/>
            <w:vAlign w:val="center"/>
            <w:hideMark/>
          </w:tcPr>
          <w:p w14:paraId="2A46F535"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85</w:t>
            </w:r>
          </w:p>
        </w:tc>
        <w:tc>
          <w:tcPr>
            <w:tcW w:w="143" w:type="pct"/>
            <w:tcBorders>
              <w:top w:val="nil"/>
              <w:left w:val="nil"/>
              <w:bottom w:val="nil"/>
              <w:right w:val="nil"/>
            </w:tcBorders>
            <w:shd w:val="clear" w:color="000000" w:fill="63BE7B"/>
            <w:noWrap/>
            <w:vAlign w:val="center"/>
            <w:hideMark/>
          </w:tcPr>
          <w:p w14:paraId="7F39B60F"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22" w:type="pct"/>
            <w:tcBorders>
              <w:top w:val="nil"/>
              <w:left w:val="nil"/>
              <w:bottom w:val="nil"/>
              <w:right w:val="nil"/>
            </w:tcBorders>
            <w:shd w:val="clear" w:color="000000" w:fill="EBE683"/>
            <w:noWrap/>
            <w:vAlign w:val="center"/>
            <w:hideMark/>
          </w:tcPr>
          <w:p w14:paraId="640A6C69"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57</w:t>
            </w:r>
          </w:p>
        </w:tc>
        <w:tc>
          <w:tcPr>
            <w:tcW w:w="122" w:type="pct"/>
            <w:tcBorders>
              <w:top w:val="nil"/>
              <w:left w:val="nil"/>
              <w:bottom w:val="nil"/>
              <w:right w:val="nil"/>
            </w:tcBorders>
            <w:shd w:val="clear" w:color="000000" w:fill="93CC7E"/>
            <w:noWrap/>
            <w:vAlign w:val="center"/>
            <w:hideMark/>
          </w:tcPr>
          <w:p w14:paraId="7EEDE7DC"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85</w:t>
            </w:r>
          </w:p>
        </w:tc>
        <w:tc>
          <w:tcPr>
            <w:tcW w:w="123" w:type="pct"/>
            <w:tcBorders>
              <w:top w:val="nil"/>
              <w:left w:val="nil"/>
              <w:bottom w:val="nil"/>
              <w:right w:val="nil"/>
            </w:tcBorders>
            <w:shd w:val="clear" w:color="000000" w:fill="9FD07F"/>
            <w:noWrap/>
            <w:vAlign w:val="center"/>
            <w:hideMark/>
          </w:tcPr>
          <w:p w14:paraId="07E4DC76"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81</w:t>
            </w:r>
          </w:p>
        </w:tc>
        <w:tc>
          <w:tcPr>
            <w:tcW w:w="122" w:type="pct"/>
            <w:tcBorders>
              <w:top w:val="nil"/>
              <w:left w:val="nil"/>
              <w:bottom w:val="nil"/>
              <w:right w:val="nil"/>
            </w:tcBorders>
            <w:shd w:val="clear" w:color="000000" w:fill="A7D27F"/>
            <w:noWrap/>
            <w:vAlign w:val="center"/>
            <w:hideMark/>
          </w:tcPr>
          <w:p w14:paraId="71EA3FF4"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78</w:t>
            </w:r>
          </w:p>
        </w:tc>
        <w:tc>
          <w:tcPr>
            <w:tcW w:w="122" w:type="pct"/>
            <w:tcBorders>
              <w:top w:val="nil"/>
              <w:left w:val="nil"/>
              <w:bottom w:val="nil"/>
              <w:right w:val="nil"/>
            </w:tcBorders>
            <w:shd w:val="clear" w:color="000000" w:fill="7AC57D"/>
            <w:noWrap/>
            <w:vAlign w:val="center"/>
            <w:hideMark/>
          </w:tcPr>
          <w:p w14:paraId="42A47079"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93</w:t>
            </w:r>
          </w:p>
        </w:tc>
        <w:tc>
          <w:tcPr>
            <w:tcW w:w="122" w:type="pct"/>
            <w:tcBorders>
              <w:top w:val="nil"/>
              <w:left w:val="nil"/>
              <w:bottom w:val="nil"/>
              <w:right w:val="nil"/>
            </w:tcBorders>
            <w:shd w:val="clear" w:color="000000" w:fill="91CC7E"/>
            <w:noWrap/>
            <w:vAlign w:val="center"/>
            <w:hideMark/>
          </w:tcPr>
          <w:p w14:paraId="397B9D1C"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85</w:t>
            </w:r>
          </w:p>
        </w:tc>
        <w:tc>
          <w:tcPr>
            <w:tcW w:w="122" w:type="pct"/>
            <w:tcBorders>
              <w:top w:val="nil"/>
              <w:left w:val="nil"/>
              <w:bottom w:val="nil"/>
              <w:right w:val="nil"/>
            </w:tcBorders>
            <w:shd w:val="clear" w:color="000000" w:fill="A7D27F"/>
            <w:noWrap/>
            <w:vAlign w:val="center"/>
            <w:hideMark/>
          </w:tcPr>
          <w:p w14:paraId="56471C21"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78</w:t>
            </w:r>
          </w:p>
        </w:tc>
        <w:tc>
          <w:tcPr>
            <w:tcW w:w="122" w:type="pct"/>
            <w:tcBorders>
              <w:top w:val="nil"/>
              <w:left w:val="nil"/>
              <w:bottom w:val="nil"/>
              <w:right w:val="nil"/>
            </w:tcBorders>
            <w:shd w:val="clear" w:color="000000" w:fill="FA9F75"/>
            <w:noWrap/>
            <w:vAlign w:val="center"/>
            <w:hideMark/>
          </w:tcPr>
          <w:p w14:paraId="010EF97B"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21</w:t>
            </w:r>
          </w:p>
        </w:tc>
        <w:tc>
          <w:tcPr>
            <w:tcW w:w="122" w:type="pct"/>
            <w:tcBorders>
              <w:top w:val="nil"/>
              <w:left w:val="nil"/>
              <w:bottom w:val="nil"/>
              <w:right w:val="nil"/>
            </w:tcBorders>
            <w:shd w:val="clear" w:color="000000" w:fill="FDD27F"/>
            <w:noWrap/>
            <w:vAlign w:val="center"/>
            <w:hideMark/>
          </w:tcPr>
          <w:p w14:paraId="36858ED8"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41</w:t>
            </w:r>
          </w:p>
        </w:tc>
        <w:tc>
          <w:tcPr>
            <w:tcW w:w="122" w:type="pct"/>
            <w:tcBorders>
              <w:top w:val="nil"/>
              <w:left w:val="nil"/>
              <w:bottom w:val="nil"/>
              <w:right w:val="nil"/>
            </w:tcBorders>
            <w:shd w:val="clear" w:color="000000" w:fill="BFD981"/>
            <w:noWrap/>
            <w:vAlign w:val="center"/>
            <w:hideMark/>
          </w:tcPr>
          <w:p w14:paraId="3CC5BFEC"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71</w:t>
            </w:r>
          </w:p>
        </w:tc>
        <w:tc>
          <w:tcPr>
            <w:tcW w:w="122" w:type="pct"/>
            <w:tcBorders>
              <w:top w:val="nil"/>
              <w:left w:val="nil"/>
              <w:bottom w:val="nil"/>
              <w:right w:val="nil"/>
            </w:tcBorders>
            <w:shd w:val="clear" w:color="000000" w:fill="C5DB81"/>
            <w:noWrap/>
            <w:vAlign w:val="center"/>
            <w:hideMark/>
          </w:tcPr>
          <w:p w14:paraId="0960A2AB"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69</w:t>
            </w:r>
          </w:p>
        </w:tc>
        <w:tc>
          <w:tcPr>
            <w:tcW w:w="122" w:type="pct"/>
            <w:tcBorders>
              <w:top w:val="nil"/>
              <w:left w:val="nil"/>
              <w:bottom w:val="nil"/>
              <w:right w:val="nil"/>
            </w:tcBorders>
            <w:shd w:val="clear" w:color="000000" w:fill="69C07C"/>
            <w:noWrap/>
            <w:vAlign w:val="center"/>
            <w:hideMark/>
          </w:tcPr>
          <w:p w14:paraId="5B4D3D1B"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98</w:t>
            </w:r>
          </w:p>
        </w:tc>
        <w:tc>
          <w:tcPr>
            <w:tcW w:w="122" w:type="pct"/>
            <w:tcBorders>
              <w:top w:val="nil"/>
              <w:left w:val="nil"/>
              <w:bottom w:val="nil"/>
              <w:right w:val="nil"/>
            </w:tcBorders>
            <w:shd w:val="clear" w:color="000000" w:fill="80C77D"/>
            <w:noWrap/>
            <w:vAlign w:val="center"/>
            <w:hideMark/>
          </w:tcPr>
          <w:p w14:paraId="3D2E1D7C"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91</w:t>
            </w:r>
          </w:p>
        </w:tc>
        <w:tc>
          <w:tcPr>
            <w:tcW w:w="123" w:type="pct"/>
            <w:tcBorders>
              <w:top w:val="nil"/>
              <w:left w:val="nil"/>
              <w:bottom w:val="nil"/>
              <w:right w:val="nil"/>
            </w:tcBorders>
            <w:shd w:val="clear" w:color="000000" w:fill="93CC7E"/>
            <w:noWrap/>
            <w:vAlign w:val="center"/>
            <w:hideMark/>
          </w:tcPr>
          <w:p w14:paraId="2D2DEE5F"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85</w:t>
            </w:r>
          </w:p>
        </w:tc>
        <w:tc>
          <w:tcPr>
            <w:tcW w:w="122" w:type="pct"/>
            <w:tcBorders>
              <w:top w:val="nil"/>
              <w:left w:val="nil"/>
              <w:bottom w:val="nil"/>
              <w:right w:val="nil"/>
            </w:tcBorders>
            <w:shd w:val="clear" w:color="000000" w:fill="F86C6B"/>
            <w:noWrap/>
            <w:vAlign w:val="center"/>
            <w:hideMark/>
          </w:tcPr>
          <w:p w14:paraId="561E818F"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w:t>
            </w:r>
          </w:p>
        </w:tc>
        <w:tc>
          <w:tcPr>
            <w:tcW w:w="122" w:type="pct"/>
            <w:tcBorders>
              <w:top w:val="nil"/>
              <w:left w:val="nil"/>
              <w:bottom w:val="nil"/>
              <w:right w:val="nil"/>
            </w:tcBorders>
            <w:shd w:val="clear" w:color="000000" w:fill="8AC97E"/>
            <w:noWrap/>
            <w:vAlign w:val="center"/>
            <w:hideMark/>
          </w:tcPr>
          <w:p w14:paraId="6B5D3CFD"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88</w:t>
            </w:r>
          </w:p>
        </w:tc>
        <w:tc>
          <w:tcPr>
            <w:tcW w:w="122" w:type="pct"/>
            <w:tcBorders>
              <w:top w:val="nil"/>
              <w:left w:val="nil"/>
              <w:bottom w:val="nil"/>
              <w:right w:val="nil"/>
            </w:tcBorders>
            <w:shd w:val="clear" w:color="000000" w:fill="CEDD82"/>
            <w:noWrap/>
            <w:vAlign w:val="center"/>
            <w:hideMark/>
          </w:tcPr>
          <w:p w14:paraId="72F9A148"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66</w:t>
            </w:r>
          </w:p>
        </w:tc>
        <w:tc>
          <w:tcPr>
            <w:tcW w:w="122" w:type="pct"/>
            <w:tcBorders>
              <w:top w:val="nil"/>
              <w:left w:val="nil"/>
              <w:bottom w:val="nil"/>
              <w:right w:val="nil"/>
            </w:tcBorders>
            <w:shd w:val="clear" w:color="000000" w:fill="97CD7E"/>
            <w:noWrap/>
            <w:vAlign w:val="center"/>
            <w:hideMark/>
          </w:tcPr>
          <w:p w14:paraId="6DAD2C3B"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84</w:t>
            </w:r>
          </w:p>
        </w:tc>
        <w:tc>
          <w:tcPr>
            <w:tcW w:w="122" w:type="pct"/>
            <w:tcBorders>
              <w:top w:val="nil"/>
              <w:left w:val="nil"/>
              <w:bottom w:val="nil"/>
              <w:right w:val="nil"/>
            </w:tcBorders>
            <w:shd w:val="clear" w:color="000000" w:fill="A9D380"/>
            <w:noWrap/>
            <w:vAlign w:val="center"/>
            <w:hideMark/>
          </w:tcPr>
          <w:p w14:paraId="2786D4FD"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78</w:t>
            </w:r>
          </w:p>
        </w:tc>
        <w:tc>
          <w:tcPr>
            <w:tcW w:w="123" w:type="pct"/>
            <w:tcBorders>
              <w:top w:val="nil"/>
              <w:left w:val="nil"/>
              <w:bottom w:val="nil"/>
              <w:right w:val="nil"/>
            </w:tcBorders>
            <w:shd w:val="clear" w:color="000000" w:fill="FBB178"/>
            <w:noWrap/>
            <w:vAlign w:val="center"/>
            <w:hideMark/>
          </w:tcPr>
          <w:p w14:paraId="7AA5A3A1"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28</w:t>
            </w:r>
          </w:p>
        </w:tc>
        <w:tc>
          <w:tcPr>
            <w:tcW w:w="122" w:type="pct"/>
            <w:tcBorders>
              <w:top w:val="nil"/>
              <w:left w:val="nil"/>
              <w:bottom w:val="nil"/>
              <w:right w:val="nil"/>
            </w:tcBorders>
            <w:shd w:val="clear" w:color="000000" w:fill="C8DB81"/>
            <w:noWrap/>
            <w:vAlign w:val="center"/>
            <w:hideMark/>
          </w:tcPr>
          <w:p w14:paraId="3F8360C2"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68</w:t>
            </w:r>
          </w:p>
        </w:tc>
      </w:tr>
      <w:tr w:rsidR="00B656F6" w:rsidRPr="00634756" w14:paraId="742FD5D5" w14:textId="77777777" w:rsidTr="008F0944">
        <w:trPr>
          <w:trHeight w:val="113"/>
        </w:trPr>
        <w:tc>
          <w:tcPr>
            <w:tcW w:w="131" w:type="pct"/>
            <w:vMerge/>
            <w:tcBorders>
              <w:left w:val="nil"/>
              <w:right w:val="nil"/>
            </w:tcBorders>
            <w:shd w:val="clear" w:color="auto" w:fill="FFF2CC" w:themeFill="accent4" w:themeFillTint="33"/>
          </w:tcPr>
          <w:p w14:paraId="2D09209E" w14:textId="77777777" w:rsidR="00B656F6" w:rsidRPr="00634756" w:rsidRDefault="00B656F6" w:rsidP="008F0944">
            <w:pPr>
              <w:snapToGrid w:val="0"/>
              <w:jc w:val="right"/>
              <w:rPr>
                <w:rFonts w:ascii="等线" w:eastAsia="等线" w:hAnsi="等线" w:cs="宋体"/>
                <w:b/>
                <w:color w:val="000000"/>
                <w:sz w:val="15"/>
                <w:szCs w:val="15"/>
              </w:rPr>
            </w:pPr>
          </w:p>
        </w:tc>
        <w:tc>
          <w:tcPr>
            <w:tcW w:w="469" w:type="pct"/>
            <w:tcBorders>
              <w:top w:val="nil"/>
              <w:left w:val="nil"/>
              <w:bottom w:val="nil"/>
              <w:right w:val="nil"/>
            </w:tcBorders>
            <w:shd w:val="clear" w:color="auto" w:fill="FFF2CC" w:themeFill="accent4" w:themeFillTint="33"/>
            <w:noWrap/>
            <w:vAlign w:val="center"/>
            <w:hideMark/>
          </w:tcPr>
          <w:p w14:paraId="52352297" w14:textId="77777777" w:rsidR="00B656F6" w:rsidRPr="00EB4864" w:rsidRDefault="00B656F6" w:rsidP="008F0944">
            <w:pPr>
              <w:snapToGrid w:val="0"/>
              <w:jc w:val="right"/>
              <w:rPr>
                <w:rFonts w:ascii="等线" w:eastAsia="等线" w:hAnsi="等线" w:cs="宋体"/>
                <w:b/>
                <w:color w:val="000000"/>
                <w:sz w:val="15"/>
                <w:szCs w:val="15"/>
              </w:rPr>
            </w:pPr>
            <w:r w:rsidRPr="00EB4864">
              <w:rPr>
                <w:rFonts w:ascii="等线" w:eastAsia="等线" w:hAnsi="等线" w:cs="宋体"/>
                <w:b/>
                <w:color w:val="000000"/>
                <w:sz w:val="15"/>
                <w:szCs w:val="15"/>
              </w:rPr>
              <w:t>Zhejiang</w:t>
            </w:r>
          </w:p>
        </w:tc>
        <w:tc>
          <w:tcPr>
            <w:tcW w:w="122" w:type="pct"/>
            <w:tcBorders>
              <w:top w:val="nil"/>
              <w:left w:val="nil"/>
              <w:bottom w:val="nil"/>
              <w:right w:val="nil"/>
            </w:tcBorders>
            <w:shd w:val="clear" w:color="000000" w:fill="7EC67D"/>
            <w:noWrap/>
            <w:vAlign w:val="center"/>
            <w:hideMark/>
          </w:tcPr>
          <w:p w14:paraId="5B7CE8D9"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92</w:t>
            </w:r>
          </w:p>
        </w:tc>
        <w:tc>
          <w:tcPr>
            <w:tcW w:w="143" w:type="pct"/>
            <w:tcBorders>
              <w:top w:val="nil"/>
              <w:left w:val="nil"/>
              <w:bottom w:val="nil"/>
              <w:right w:val="nil"/>
            </w:tcBorders>
            <w:shd w:val="clear" w:color="000000" w:fill="63BE7B"/>
            <w:noWrap/>
            <w:vAlign w:val="center"/>
            <w:hideMark/>
          </w:tcPr>
          <w:p w14:paraId="61FDBF8C"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22" w:type="pct"/>
            <w:tcBorders>
              <w:top w:val="nil"/>
              <w:left w:val="nil"/>
              <w:bottom w:val="nil"/>
              <w:right w:val="nil"/>
            </w:tcBorders>
            <w:shd w:val="clear" w:color="000000" w:fill="83C77D"/>
            <w:noWrap/>
            <w:vAlign w:val="center"/>
            <w:hideMark/>
          </w:tcPr>
          <w:p w14:paraId="5EAA3B38"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90</w:t>
            </w:r>
          </w:p>
        </w:tc>
        <w:tc>
          <w:tcPr>
            <w:tcW w:w="122" w:type="pct"/>
            <w:tcBorders>
              <w:top w:val="nil"/>
              <w:left w:val="nil"/>
              <w:bottom w:val="nil"/>
              <w:right w:val="nil"/>
            </w:tcBorders>
            <w:shd w:val="clear" w:color="000000" w:fill="79C57D"/>
            <w:noWrap/>
            <w:vAlign w:val="center"/>
            <w:hideMark/>
          </w:tcPr>
          <w:p w14:paraId="43AEB99F"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93</w:t>
            </w:r>
          </w:p>
        </w:tc>
        <w:tc>
          <w:tcPr>
            <w:tcW w:w="143" w:type="pct"/>
            <w:tcBorders>
              <w:top w:val="nil"/>
              <w:left w:val="nil"/>
              <w:bottom w:val="nil"/>
              <w:right w:val="nil"/>
            </w:tcBorders>
            <w:shd w:val="clear" w:color="000000" w:fill="63BE7B"/>
            <w:noWrap/>
            <w:vAlign w:val="center"/>
            <w:hideMark/>
          </w:tcPr>
          <w:p w14:paraId="2113E048"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22" w:type="pct"/>
            <w:tcBorders>
              <w:top w:val="nil"/>
              <w:left w:val="nil"/>
              <w:bottom w:val="nil"/>
              <w:right w:val="nil"/>
            </w:tcBorders>
            <w:shd w:val="clear" w:color="000000" w:fill="6FC27C"/>
            <w:noWrap/>
            <w:vAlign w:val="center"/>
            <w:hideMark/>
          </w:tcPr>
          <w:p w14:paraId="128FE3A1"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96</w:t>
            </w:r>
          </w:p>
        </w:tc>
        <w:tc>
          <w:tcPr>
            <w:tcW w:w="143" w:type="pct"/>
            <w:tcBorders>
              <w:top w:val="nil"/>
              <w:left w:val="nil"/>
              <w:bottom w:val="nil"/>
              <w:right w:val="nil"/>
            </w:tcBorders>
            <w:shd w:val="clear" w:color="000000" w:fill="63BE7B"/>
            <w:noWrap/>
            <w:vAlign w:val="center"/>
            <w:hideMark/>
          </w:tcPr>
          <w:p w14:paraId="351C572E"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43" w:type="pct"/>
            <w:tcBorders>
              <w:top w:val="nil"/>
              <w:left w:val="nil"/>
              <w:bottom w:val="nil"/>
              <w:right w:val="nil"/>
            </w:tcBorders>
            <w:shd w:val="clear" w:color="000000" w:fill="63BE7B"/>
            <w:noWrap/>
            <w:vAlign w:val="center"/>
            <w:hideMark/>
          </w:tcPr>
          <w:p w14:paraId="1B494253"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43" w:type="pct"/>
            <w:tcBorders>
              <w:top w:val="nil"/>
              <w:left w:val="nil"/>
              <w:bottom w:val="nil"/>
              <w:right w:val="nil"/>
            </w:tcBorders>
            <w:shd w:val="clear" w:color="000000" w:fill="9DCF7F"/>
            <w:noWrap/>
            <w:vAlign w:val="center"/>
            <w:hideMark/>
          </w:tcPr>
          <w:p w14:paraId="64822FFC"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81</w:t>
            </w:r>
          </w:p>
        </w:tc>
        <w:tc>
          <w:tcPr>
            <w:tcW w:w="122" w:type="pct"/>
            <w:tcBorders>
              <w:top w:val="nil"/>
              <w:left w:val="nil"/>
              <w:bottom w:val="nil"/>
              <w:right w:val="nil"/>
            </w:tcBorders>
            <w:shd w:val="clear" w:color="000000" w:fill="BDD881"/>
            <w:noWrap/>
            <w:vAlign w:val="center"/>
            <w:hideMark/>
          </w:tcPr>
          <w:p w14:paraId="7177BB79"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71</w:t>
            </w:r>
          </w:p>
        </w:tc>
        <w:tc>
          <w:tcPr>
            <w:tcW w:w="122" w:type="pct"/>
            <w:tcBorders>
              <w:top w:val="nil"/>
              <w:left w:val="nil"/>
              <w:bottom w:val="nil"/>
              <w:right w:val="nil"/>
            </w:tcBorders>
            <w:shd w:val="clear" w:color="000000" w:fill="80C77D"/>
            <w:noWrap/>
            <w:vAlign w:val="center"/>
            <w:hideMark/>
          </w:tcPr>
          <w:p w14:paraId="19600480"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91</w:t>
            </w:r>
          </w:p>
        </w:tc>
        <w:tc>
          <w:tcPr>
            <w:tcW w:w="122" w:type="pct"/>
            <w:tcBorders>
              <w:top w:val="nil"/>
              <w:left w:val="nil"/>
              <w:bottom w:val="nil"/>
              <w:right w:val="nil"/>
            </w:tcBorders>
            <w:shd w:val="clear" w:color="000000" w:fill="92CC7E"/>
            <w:noWrap/>
            <w:vAlign w:val="center"/>
            <w:hideMark/>
          </w:tcPr>
          <w:p w14:paraId="13995993"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85</w:t>
            </w:r>
          </w:p>
        </w:tc>
        <w:tc>
          <w:tcPr>
            <w:tcW w:w="122" w:type="pct"/>
            <w:tcBorders>
              <w:top w:val="nil"/>
              <w:left w:val="nil"/>
              <w:bottom w:val="nil"/>
              <w:right w:val="nil"/>
            </w:tcBorders>
            <w:shd w:val="clear" w:color="000000" w:fill="99CE7F"/>
            <w:noWrap/>
            <w:vAlign w:val="center"/>
            <w:hideMark/>
          </w:tcPr>
          <w:p w14:paraId="7D0E2348"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83</w:t>
            </w:r>
          </w:p>
        </w:tc>
        <w:tc>
          <w:tcPr>
            <w:tcW w:w="143" w:type="pct"/>
            <w:tcBorders>
              <w:top w:val="nil"/>
              <w:left w:val="nil"/>
              <w:bottom w:val="nil"/>
              <w:right w:val="nil"/>
            </w:tcBorders>
            <w:shd w:val="clear" w:color="000000" w:fill="63BE7B"/>
            <w:noWrap/>
            <w:vAlign w:val="center"/>
            <w:hideMark/>
          </w:tcPr>
          <w:p w14:paraId="226C7AEB"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22" w:type="pct"/>
            <w:tcBorders>
              <w:top w:val="nil"/>
              <w:left w:val="nil"/>
              <w:bottom w:val="nil"/>
              <w:right w:val="nil"/>
            </w:tcBorders>
            <w:shd w:val="clear" w:color="000000" w:fill="FEDF81"/>
            <w:noWrap/>
            <w:vAlign w:val="center"/>
            <w:hideMark/>
          </w:tcPr>
          <w:p w14:paraId="36B4434B"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46</w:t>
            </w:r>
          </w:p>
        </w:tc>
        <w:tc>
          <w:tcPr>
            <w:tcW w:w="122" w:type="pct"/>
            <w:tcBorders>
              <w:top w:val="nil"/>
              <w:left w:val="nil"/>
              <w:bottom w:val="nil"/>
              <w:right w:val="nil"/>
            </w:tcBorders>
            <w:shd w:val="clear" w:color="000000" w:fill="A1D07F"/>
            <w:noWrap/>
            <w:vAlign w:val="center"/>
            <w:hideMark/>
          </w:tcPr>
          <w:p w14:paraId="3C865762"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80</w:t>
            </w:r>
          </w:p>
        </w:tc>
        <w:tc>
          <w:tcPr>
            <w:tcW w:w="123" w:type="pct"/>
            <w:tcBorders>
              <w:top w:val="nil"/>
              <w:left w:val="nil"/>
              <w:bottom w:val="nil"/>
              <w:right w:val="nil"/>
            </w:tcBorders>
            <w:shd w:val="clear" w:color="000000" w:fill="AED480"/>
            <w:noWrap/>
            <w:vAlign w:val="center"/>
            <w:hideMark/>
          </w:tcPr>
          <w:p w14:paraId="08D31ADA"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76</w:t>
            </w:r>
          </w:p>
        </w:tc>
        <w:tc>
          <w:tcPr>
            <w:tcW w:w="122" w:type="pct"/>
            <w:tcBorders>
              <w:top w:val="nil"/>
              <w:left w:val="nil"/>
              <w:bottom w:val="nil"/>
              <w:right w:val="nil"/>
            </w:tcBorders>
            <w:shd w:val="clear" w:color="000000" w:fill="A1D07F"/>
            <w:noWrap/>
            <w:vAlign w:val="center"/>
            <w:hideMark/>
          </w:tcPr>
          <w:p w14:paraId="25B9E547"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80</w:t>
            </w:r>
          </w:p>
        </w:tc>
        <w:tc>
          <w:tcPr>
            <w:tcW w:w="122" w:type="pct"/>
            <w:tcBorders>
              <w:top w:val="nil"/>
              <w:left w:val="nil"/>
              <w:bottom w:val="nil"/>
              <w:right w:val="nil"/>
            </w:tcBorders>
            <w:shd w:val="clear" w:color="000000" w:fill="7BC57D"/>
            <w:noWrap/>
            <w:vAlign w:val="center"/>
            <w:hideMark/>
          </w:tcPr>
          <w:p w14:paraId="679DA497"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93</w:t>
            </w:r>
          </w:p>
        </w:tc>
        <w:tc>
          <w:tcPr>
            <w:tcW w:w="122" w:type="pct"/>
            <w:tcBorders>
              <w:top w:val="nil"/>
              <w:left w:val="nil"/>
              <w:bottom w:val="nil"/>
              <w:right w:val="nil"/>
            </w:tcBorders>
            <w:shd w:val="clear" w:color="000000" w:fill="8FCB7E"/>
            <w:noWrap/>
            <w:vAlign w:val="center"/>
            <w:hideMark/>
          </w:tcPr>
          <w:p w14:paraId="25C01FDB"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86</w:t>
            </w:r>
          </w:p>
        </w:tc>
        <w:tc>
          <w:tcPr>
            <w:tcW w:w="122" w:type="pct"/>
            <w:tcBorders>
              <w:top w:val="nil"/>
              <w:left w:val="nil"/>
              <w:bottom w:val="nil"/>
              <w:right w:val="nil"/>
            </w:tcBorders>
            <w:shd w:val="clear" w:color="000000" w:fill="AAD380"/>
            <w:noWrap/>
            <w:vAlign w:val="center"/>
            <w:hideMark/>
          </w:tcPr>
          <w:p w14:paraId="5692D6B8"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77</w:t>
            </w:r>
          </w:p>
        </w:tc>
        <w:tc>
          <w:tcPr>
            <w:tcW w:w="122" w:type="pct"/>
            <w:tcBorders>
              <w:top w:val="nil"/>
              <w:left w:val="nil"/>
              <w:bottom w:val="nil"/>
              <w:right w:val="nil"/>
            </w:tcBorders>
            <w:shd w:val="clear" w:color="000000" w:fill="FCB579"/>
            <w:noWrap/>
            <w:vAlign w:val="center"/>
            <w:hideMark/>
          </w:tcPr>
          <w:p w14:paraId="5A443998"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29</w:t>
            </w:r>
          </w:p>
        </w:tc>
        <w:tc>
          <w:tcPr>
            <w:tcW w:w="122" w:type="pct"/>
            <w:tcBorders>
              <w:top w:val="nil"/>
              <w:left w:val="nil"/>
              <w:bottom w:val="nil"/>
              <w:right w:val="nil"/>
            </w:tcBorders>
            <w:shd w:val="clear" w:color="000000" w:fill="FEE482"/>
            <w:noWrap/>
            <w:vAlign w:val="center"/>
            <w:hideMark/>
          </w:tcPr>
          <w:p w14:paraId="06625384"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48</w:t>
            </w:r>
          </w:p>
        </w:tc>
        <w:tc>
          <w:tcPr>
            <w:tcW w:w="122" w:type="pct"/>
            <w:tcBorders>
              <w:top w:val="nil"/>
              <w:left w:val="nil"/>
              <w:bottom w:val="nil"/>
              <w:right w:val="nil"/>
            </w:tcBorders>
            <w:shd w:val="clear" w:color="000000" w:fill="C9DC81"/>
            <w:noWrap/>
            <w:vAlign w:val="center"/>
            <w:hideMark/>
          </w:tcPr>
          <w:p w14:paraId="052A9386"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67</w:t>
            </w:r>
          </w:p>
        </w:tc>
        <w:tc>
          <w:tcPr>
            <w:tcW w:w="122" w:type="pct"/>
            <w:tcBorders>
              <w:top w:val="nil"/>
              <w:left w:val="nil"/>
              <w:bottom w:val="nil"/>
              <w:right w:val="nil"/>
            </w:tcBorders>
            <w:shd w:val="clear" w:color="000000" w:fill="B5D680"/>
            <w:noWrap/>
            <w:vAlign w:val="center"/>
            <w:hideMark/>
          </w:tcPr>
          <w:p w14:paraId="4D6A215E"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74</w:t>
            </w:r>
          </w:p>
        </w:tc>
        <w:tc>
          <w:tcPr>
            <w:tcW w:w="122" w:type="pct"/>
            <w:tcBorders>
              <w:top w:val="nil"/>
              <w:left w:val="nil"/>
              <w:bottom w:val="nil"/>
              <w:right w:val="nil"/>
            </w:tcBorders>
            <w:shd w:val="clear" w:color="000000" w:fill="6BC17C"/>
            <w:noWrap/>
            <w:vAlign w:val="center"/>
            <w:hideMark/>
          </w:tcPr>
          <w:p w14:paraId="7B8EFAFF"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97</w:t>
            </w:r>
          </w:p>
        </w:tc>
        <w:tc>
          <w:tcPr>
            <w:tcW w:w="122" w:type="pct"/>
            <w:tcBorders>
              <w:top w:val="nil"/>
              <w:left w:val="nil"/>
              <w:bottom w:val="nil"/>
              <w:right w:val="nil"/>
            </w:tcBorders>
            <w:shd w:val="clear" w:color="000000" w:fill="7BC57D"/>
            <w:noWrap/>
            <w:vAlign w:val="center"/>
            <w:hideMark/>
          </w:tcPr>
          <w:p w14:paraId="373FFF66"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93</w:t>
            </w:r>
          </w:p>
        </w:tc>
        <w:tc>
          <w:tcPr>
            <w:tcW w:w="123" w:type="pct"/>
            <w:tcBorders>
              <w:top w:val="nil"/>
              <w:left w:val="nil"/>
              <w:bottom w:val="nil"/>
              <w:right w:val="nil"/>
            </w:tcBorders>
            <w:shd w:val="clear" w:color="000000" w:fill="8BCA7E"/>
            <w:noWrap/>
            <w:vAlign w:val="center"/>
            <w:hideMark/>
          </w:tcPr>
          <w:p w14:paraId="2D35C226"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87</w:t>
            </w:r>
          </w:p>
        </w:tc>
        <w:tc>
          <w:tcPr>
            <w:tcW w:w="122" w:type="pct"/>
            <w:tcBorders>
              <w:top w:val="nil"/>
              <w:left w:val="nil"/>
              <w:bottom w:val="nil"/>
              <w:right w:val="nil"/>
            </w:tcBorders>
            <w:shd w:val="clear" w:color="000000" w:fill="FDD07E"/>
            <w:noWrap/>
            <w:vAlign w:val="center"/>
            <w:hideMark/>
          </w:tcPr>
          <w:p w14:paraId="0265FA55"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40</w:t>
            </w:r>
          </w:p>
        </w:tc>
        <w:tc>
          <w:tcPr>
            <w:tcW w:w="122" w:type="pct"/>
            <w:tcBorders>
              <w:top w:val="nil"/>
              <w:left w:val="nil"/>
              <w:bottom w:val="nil"/>
              <w:right w:val="nil"/>
            </w:tcBorders>
            <w:shd w:val="clear" w:color="000000" w:fill="7BC57D"/>
            <w:noWrap/>
            <w:vAlign w:val="center"/>
            <w:hideMark/>
          </w:tcPr>
          <w:p w14:paraId="1D415025"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92</w:t>
            </w:r>
          </w:p>
        </w:tc>
        <w:tc>
          <w:tcPr>
            <w:tcW w:w="122" w:type="pct"/>
            <w:tcBorders>
              <w:top w:val="nil"/>
              <w:left w:val="nil"/>
              <w:bottom w:val="nil"/>
              <w:right w:val="nil"/>
            </w:tcBorders>
            <w:shd w:val="clear" w:color="000000" w:fill="DCE182"/>
            <w:noWrap/>
            <w:vAlign w:val="center"/>
            <w:hideMark/>
          </w:tcPr>
          <w:p w14:paraId="6DAC56EF"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61</w:t>
            </w:r>
          </w:p>
        </w:tc>
        <w:tc>
          <w:tcPr>
            <w:tcW w:w="122" w:type="pct"/>
            <w:tcBorders>
              <w:top w:val="nil"/>
              <w:left w:val="nil"/>
              <w:bottom w:val="nil"/>
              <w:right w:val="nil"/>
            </w:tcBorders>
            <w:shd w:val="clear" w:color="000000" w:fill="7DC67D"/>
            <w:noWrap/>
            <w:vAlign w:val="center"/>
            <w:hideMark/>
          </w:tcPr>
          <w:p w14:paraId="07900836"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92</w:t>
            </w:r>
          </w:p>
        </w:tc>
        <w:tc>
          <w:tcPr>
            <w:tcW w:w="122" w:type="pct"/>
            <w:tcBorders>
              <w:top w:val="nil"/>
              <w:left w:val="nil"/>
              <w:bottom w:val="nil"/>
              <w:right w:val="nil"/>
            </w:tcBorders>
            <w:shd w:val="clear" w:color="000000" w:fill="B5D680"/>
            <w:noWrap/>
            <w:vAlign w:val="center"/>
            <w:hideMark/>
          </w:tcPr>
          <w:p w14:paraId="3B97BCFC"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74</w:t>
            </w:r>
          </w:p>
        </w:tc>
        <w:tc>
          <w:tcPr>
            <w:tcW w:w="123" w:type="pct"/>
            <w:tcBorders>
              <w:top w:val="nil"/>
              <w:left w:val="nil"/>
              <w:bottom w:val="nil"/>
              <w:right w:val="nil"/>
            </w:tcBorders>
            <w:shd w:val="clear" w:color="000000" w:fill="CFDD82"/>
            <w:noWrap/>
            <w:vAlign w:val="center"/>
            <w:hideMark/>
          </w:tcPr>
          <w:p w14:paraId="4739E052"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66</w:t>
            </w:r>
          </w:p>
        </w:tc>
        <w:tc>
          <w:tcPr>
            <w:tcW w:w="122" w:type="pct"/>
            <w:tcBorders>
              <w:top w:val="nil"/>
              <w:left w:val="nil"/>
              <w:bottom w:val="nil"/>
              <w:right w:val="nil"/>
            </w:tcBorders>
            <w:shd w:val="clear" w:color="000000" w:fill="CADC81"/>
            <w:noWrap/>
            <w:vAlign w:val="center"/>
            <w:hideMark/>
          </w:tcPr>
          <w:p w14:paraId="125F7C4A"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67</w:t>
            </w:r>
          </w:p>
        </w:tc>
      </w:tr>
      <w:tr w:rsidR="00B656F6" w:rsidRPr="00634756" w14:paraId="27D2A3BB" w14:textId="77777777" w:rsidTr="008F0944">
        <w:trPr>
          <w:trHeight w:val="113"/>
        </w:trPr>
        <w:tc>
          <w:tcPr>
            <w:tcW w:w="131" w:type="pct"/>
            <w:vMerge/>
            <w:tcBorders>
              <w:left w:val="nil"/>
              <w:right w:val="nil"/>
            </w:tcBorders>
            <w:shd w:val="clear" w:color="auto" w:fill="FFF2CC" w:themeFill="accent4" w:themeFillTint="33"/>
          </w:tcPr>
          <w:p w14:paraId="6A2B39FF" w14:textId="77777777" w:rsidR="00B656F6" w:rsidRPr="00634756" w:rsidRDefault="00B656F6" w:rsidP="008F0944">
            <w:pPr>
              <w:snapToGrid w:val="0"/>
              <w:jc w:val="right"/>
              <w:rPr>
                <w:rFonts w:ascii="等线" w:eastAsia="等线" w:hAnsi="等线" w:cs="宋体"/>
                <w:b/>
                <w:color w:val="000000"/>
                <w:sz w:val="15"/>
                <w:szCs w:val="15"/>
              </w:rPr>
            </w:pPr>
          </w:p>
        </w:tc>
        <w:tc>
          <w:tcPr>
            <w:tcW w:w="469" w:type="pct"/>
            <w:tcBorders>
              <w:top w:val="nil"/>
              <w:left w:val="nil"/>
              <w:bottom w:val="nil"/>
              <w:right w:val="nil"/>
            </w:tcBorders>
            <w:shd w:val="clear" w:color="auto" w:fill="FFF2CC" w:themeFill="accent4" w:themeFillTint="33"/>
            <w:noWrap/>
            <w:vAlign w:val="center"/>
            <w:hideMark/>
          </w:tcPr>
          <w:p w14:paraId="175CE1F4" w14:textId="77777777" w:rsidR="00B656F6" w:rsidRPr="00EB4864" w:rsidRDefault="00B656F6" w:rsidP="008F0944">
            <w:pPr>
              <w:snapToGrid w:val="0"/>
              <w:jc w:val="right"/>
              <w:rPr>
                <w:rFonts w:ascii="等线" w:eastAsia="等线" w:hAnsi="等线" w:cs="宋体"/>
                <w:b/>
                <w:color w:val="000000"/>
                <w:sz w:val="15"/>
                <w:szCs w:val="15"/>
              </w:rPr>
            </w:pPr>
            <w:r w:rsidRPr="00EB4864">
              <w:rPr>
                <w:rFonts w:ascii="等线" w:eastAsia="等线" w:hAnsi="等线" w:cs="宋体"/>
                <w:b/>
                <w:color w:val="000000"/>
                <w:sz w:val="15"/>
                <w:szCs w:val="15"/>
              </w:rPr>
              <w:t>Fujian</w:t>
            </w:r>
          </w:p>
        </w:tc>
        <w:tc>
          <w:tcPr>
            <w:tcW w:w="122" w:type="pct"/>
            <w:tcBorders>
              <w:top w:val="nil"/>
              <w:left w:val="nil"/>
              <w:bottom w:val="nil"/>
              <w:right w:val="nil"/>
            </w:tcBorders>
            <w:shd w:val="clear" w:color="000000" w:fill="8BCA7E"/>
            <w:noWrap/>
            <w:vAlign w:val="center"/>
            <w:hideMark/>
          </w:tcPr>
          <w:p w14:paraId="6154F9D9"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87</w:t>
            </w:r>
          </w:p>
        </w:tc>
        <w:tc>
          <w:tcPr>
            <w:tcW w:w="143" w:type="pct"/>
            <w:tcBorders>
              <w:top w:val="nil"/>
              <w:left w:val="nil"/>
              <w:bottom w:val="nil"/>
              <w:right w:val="nil"/>
            </w:tcBorders>
            <w:shd w:val="clear" w:color="000000" w:fill="63BE7B"/>
            <w:noWrap/>
            <w:vAlign w:val="center"/>
            <w:hideMark/>
          </w:tcPr>
          <w:p w14:paraId="1401DA1E"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22" w:type="pct"/>
            <w:tcBorders>
              <w:top w:val="nil"/>
              <w:left w:val="nil"/>
              <w:bottom w:val="nil"/>
              <w:right w:val="nil"/>
            </w:tcBorders>
            <w:shd w:val="clear" w:color="000000" w:fill="70C27C"/>
            <w:noWrap/>
            <w:vAlign w:val="center"/>
            <w:hideMark/>
          </w:tcPr>
          <w:p w14:paraId="26197409"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96</w:t>
            </w:r>
          </w:p>
        </w:tc>
        <w:tc>
          <w:tcPr>
            <w:tcW w:w="122" w:type="pct"/>
            <w:tcBorders>
              <w:top w:val="nil"/>
              <w:left w:val="nil"/>
              <w:bottom w:val="nil"/>
              <w:right w:val="nil"/>
            </w:tcBorders>
            <w:shd w:val="clear" w:color="000000" w:fill="7BC57D"/>
            <w:noWrap/>
            <w:vAlign w:val="center"/>
            <w:hideMark/>
          </w:tcPr>
          <w:p w14:paraId="39854D85"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92</w:t>
            </w:r>
          </w:p>
        </w:tc>
        <w:tc>
          <w:tcPr>
            <w:tcW w:w="143" w:type="pct"/>
            <w:tcBorders>
              <w:top w:val="nil"/>
              <w:left w:val="nil"/>
              <w:bottom w:val="nil"/>
              <w:right w:val="nil"/>
            </w:tcBorders>
            <w:shd w:val="clear" w:color="000000" w:fill="63BE7B"/>
            <w:noWrap/>
            <w:vAlign w:val="center"/>
            <w:hideMark/>
          </w:tcPr>
          <w:p w14:paraId="49FBAF66"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22" w:type="pct"/>
            <w:tcBorders>
              <w:top w:val="nil"/>
              <w:left w:val="nil"/>
              <w:bottom w:val="nil"/>
              <w:right w:val="nil"/>
            </w:tcBorders>
            <w:shd w:val="clear" w:color="000000" w:fill="71C37C"/>
            <w:noWrap/>
            <w:vAlign w:val="center"/>
            <w:hideMark/>
          </w:tcPr>
          <w:p w14:paraId="5784ABDA"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96</w:t>
            </w:r>
          </w:p>
        </w:tc>
        <w:tc>
          <w:tcPr>
            <w:tcW w:w="143" w:type="pct"/>
            <w:tcBorders>
              <w:top w:val="nil"/>
              <w:left w:val="nil"/>
              <w:bottom w:val="nil"/>
              <w:right w:val="nil"/>
            </w:tcBorders>
            <w:shd w:val="clear" w:color="000000" w:fill="63BE7B"/>
            <w:noWrap/>
            <w:vAlign w:val="center"/>
            <w:hideMark/>
          </w:tcPr>
          <w:p w14:paraId="17C1B532"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43" w:type="pct"/>
            <w:tcBorders>
              <w:top w:val="nil"/>
              <w:left w:val="nil"/>
              <w:bottom w:val="nil"/>
              <w:right w:val="nil"/>
            </w:tcBorders>
            <w:shd w:val="clear" w:color="000000" w:fill="63BE7B"/>
            <w:noWrap/>
            <w:vAlign w:val="center"/>
            <w:hideMark/>
          </w:tcPr>
          <w:p w14:paraId="7D510153"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43" w:type="pct"/>
            <w:tcBorders>
              <w:top w:val="nil"/>
              <w:left w:val="nil"/>
              <w:bottom w:val="nil"/>
              <w:right w:val="nil"/>
            </w:tcBorders>
            <w:shd w:val="clear" w:color="000000" w:fill="88C97E"/>
            <w:noWrap/>
            <w:vAlign w:val="center"/>
            <w:hideMark/>
          </w:tcPr>
          <w:p w14:paraId="27ACB5E7"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88</w:t>
            </w:r>
          </w:p>
        </w:tc>
        <w:tc>
          <w:tcPr>
            <w:tcW w:w="122" w:type="pct"/>
            <w:tcBorders>
              <w:top w:val="nil"/>
              <w:left w:val="nil"/>
              <w:bottom w:val="nil"/>
              <w:right w:val="nil"/>
            </w:tcBorders>
            <w:shd w:val="clear" w:color="000000" w:fill="C7DB81"/>
            <w:noWrap/>
            <w:vAlign w:val="center"/>
            <w:hideMark/>
          </w:tcPr>
          <w:p w14:paraId="27CB365C"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68</w:t>
            </w:r>
          </w:p>
        </w:tc>
        <w:tc>
          <w:tcPr>
            <w:tcW w:w="122" w:type="pct"/>
            <w:tcBorders>
              <w:top w:val="nil"/>
              <w:left w:val="nil"/>
              <w:bottom w:val="nil"/>
              <w:right w:val="nil"/>
            </w:tcBorders>
            <w:shd w:val="clear" w:color="000000" w:fill="7FC67D"/>
            <w:noWrap/>
            <w:vAlign w:val="center"/>
            <w:hideMark/>
          </w:tcPr>
          <w:p w14:paraId="39F1404A"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91</w:t>
            </w:r>
          </w:p>
        </w:tc>
        <w:tc>
          <w:tcPr>
            <w:tcW w:w="122" w:type="pct"/>
            <w:tcBorders>
              <w:top w:val="nil"/>
              <w:left w:val="nil"/>
              <w:bottom w:val="nil"/>
              <w:right w:val="nil"/>
            </w:tcBorders>
            <w:shd w:val="clear" w:color="000000" w:fill="9ECF7F"/>
            <w:noWrap/>
            <w:vAlign w:val="center"/>
            <w:hideMark/>
          </w:tcPr>
          <w:p w14:paraId="773C1AB1"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81</w:t>
            </w:r>
          </w:p>
        </w:tc>
        <w:tc>
          <w:tcPr>
            <w:tcW w:w="122" w:type="pct"/>
            <w:tcBorders>
              <w:top w:val="nil"/>
              <w:left w:val="nil"/>
              <w:bottom w:val="nil"/>
              <w:right w:val="nil"/>
            </w:tcBorders>
            <w:shd w:val="clear" w:color="000000" w:fill="B5D680"/>
            <w:noWrap/>
            <w:vAlign w:val="center"/>
            <w:hideMark/>
          </w:tcPr>
          <w:p w14:paraId="57D8E0E6"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74</w:t>
            </w:r>
          </w:p>
        </w:tc>
        <w:tc>
          <w:tcPr>
            <w:tcW w:w="143" w:type="pct"/>
            <w:tcBorders>
              <w:top w:val="nil"/>
              <w:left w:val="nil"/>
              <w:bottom w:val="nil"/>
              <w:right w:val="nil"/>
            </w:tcBorders>
            <w:shd w:val="clear" w:color="000000" w:fill="63BE7B"/>
            <w:noWrap/>
            <w:vAlign w:val="center"/>
            <w:hideMark/>
          </w:tcPr>
          <w:p w14:paraId="3638C746"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22" w:type="pct"/>
            <w:tcBorders>
              <w:top w:val="nil"/>
              <w:left w:val="nil"/>
              <w:bottom w:val="nil"/>
              <w:right w:val="nil"/>
            </w:tcBorders>
            <w:shd w:val="clear" w:color="000000" w:fill="EBE683"/>
            <w:noWrap/>
            <w:vAlign w:val="center"/>
            <w:hideMark/>
          </w:tcPr>
          <w:p w14:paraId="3B419B9A"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57</w:t>
            </w:r>
          </w:p>
        </w:tc>
        <w:tc>
          <w:tcPr>
            <w:tcW w:w="122" w:type="pct"/>
            <w:tcBorders>
              <w:top w:val="nil"/>
              <w:left w:val="nil"/>
              <w:bottom w:val="nil"/>
              <w:right w:val="nil"/>
            </w:tcBorders>
            <w:shd w:val="clear" w:color="000000" w:fill="AFD480"/>
            <w:noWrap/>
            <w:vAlign w:val="center"/>
            <w:hideMark/>
          </w:tcPr>
          <w:p w14:paraId="5EFB2E3F"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76</w:t>
            </w:r>
          </w:p>
        </w:tc>
        <w:tc>
          <w:tcPr>
            <w:tcW w:w="123" w:type="pct"/>
            <w:tcBorders>
              <w:top w:val="nil"/>
              <w:left w:val="nil"/>
              <w:bottom w:val="nil"/>
              <w:right w:val="nil"/>
            </w:tcBorders>
            <w:shd w:val="clear" w:color="000000" w:fill="AED480"/>
            <w:noWrap/>
            <w:vAlign w:val="center"/>
            <w:hideMark/>
          </w:tcPr>
          <w:p w14:paraId="652A15C7"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76</w:t>
            </w:r>
          </w:p>
        </w:tc>
        <w:tc>
          <w:tcPr>
            <w:tcW w:w="122" w:type="pct"/>
            <w:tcBorders>
              <w:top w:val="nil"/>
              <w:left w:val="nil"/>
              <w:bottom w:val="nil"/>
              <w:right w:val="nil"/>
            </w:tcBorders>
            <w:shd w:val="clear" w:color="000000" w:fill="ADD480"/>
            <w:noWrap/>
            <w:vAlign w:val="center"/>
            <w:hideMark/>
          </w:tcPr>
          <w:p w14:paraId="1A926CE7"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77</w:t>
            </w:r>
          </w:p>
        </w:tc>
        <w:tc>
          <w:tcPr>
            <w:tcW w:w="122" w:type="pct"/>
            <w:tcBorders>
              <w:top w:val="nil"/>
              <w:left w:val="nil"/>
              <w:bottom w:val="nil"/>
              <w:right w:val="nil"/>
            </w:tcBorders>
            <w:shd w:val="clear" w:color="000000" w:fill="83C87D"/>
            <w:noWrap/>
            <w:vAlign w:val="center"/>
            <w:hideMark/>
          </w:tcPr>
          <w:p w14:paraId="7E68AC30"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90</w:t>
            </w:r>
          </w:p>
        </w:tc>
        <w:tc>
          <w:tcPr>
            <w:tcW w:w="122" w:type="pct"/>
            <w:tcBorders>
              <w:top w:val="nil"/>
              <w:left w:val="nil"/>
              <w:bottom w:val="nil"/>
              <w:right w:val="nil"/>
            </w:tcBorders>
            <w:shd w:val="clear" w:color="000000" w:fill="99CE7F"/>
            <w:noWrap/>
            <w:vAlign w:val="center"/>
            <w:hideMark/>
          </w:tcPr>
          <w:p w14:paraId="10A29837"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83</w:t>
            </w:r>
          </w:p>
        </w:tc>
        <w:tc>
          <w:tcPr>
            <w:tcW w:w="122" w:type="pct"/>
            <w:tcBorders>
              <w:top w:val="nil"/>
              <w:left w:val="nil"/>
              <w:bottom w:val="nil"/>
              <w:right w:val="nil"/>
            </w:tcBorders>
            <w:shd w:val="clear" w:color="000000" w:fill="C1DA81"/>
            <w:noWrap/>
            <w:vAlign w:val="center"/>
            <w:hideMark/>
          </w:tcPr>
          <w:p w14:paraId="48B62350"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70</w:t>
            </w:r>
          </w:p>
        </w:tc>
        <w:tc>
          <w:tcPr>
            <w:tcW w:w="122" w:type="pct"/>
            <w:tcBorders>
              <w:top w:val="nil"/>
              <w:left w:val="nil"/>
              <w:bottom w:val="nil"/>
              <w:right w:val="nil"/>
            </w:tcBorders>
            <w:shd w:val="clear" w:color="000000" w:fill="FEDA80"/>
            <w:noWrap/>
            <w:vAlign w:val="center"/>
            <w:hideMark/>
          </w:tcPr>
          <w:p w14:paraId="0E7589C9"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44</w:t>
            </w:r>
          </w:p>
        </w:tc>
        <w:tc>
          <w:tcPr>
            <w:tcW w:w="122" w:type="pct"/>
            <w:tcBorders>
              <w:top w:val="nil"/>
              <w:left w:val="nil"/>
              <w:bottom w:val="nil"/>
              <w:right w:val="nil"/>
            </w:tcBorders>
            <w:shd w:val="clear" w:color="000000" w:fill="EFE784"/>
            <w:noWrap/>
            <w:vAlign w:val="center"/>
            <w:hideMark/>
          </w:tcPr>
          <w:p w14:paraId="4E338FB4"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55</w:t>
            </w:r>
          </w:p>
        </w:tc>
        <w:tc>
          <w:tcPr>
            <w:tcW w:w="122" w:type="pct"/>
            <w:tcBorders>
              <w:top w:val="nil"/>
              <w:left w:val="nil"/>
              <w:bottom w:val="nil"/>
              <w:right w:val="nil"/>
            </w:tcBorders>
            <w:shd w:val="clear" w:color="000000" w:fill="B9D780"/>
            <w:noWrap/>
            <w:vAlign w:val="center"/>
            <w:hideMark/>
          </w:tcPr>
          <w:p w14:paraId="2B1CC243"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73</w:t>
            </w:r>
          </w:p>
        </w:tc>
        <w:tc>
          <w:tcPr>
            <w:tcW w:w="122" w:type="pct"/>
            <w:tcBorders>
              <w:top w:val="nil"/>
              <w:left w:val="nil"/>
              <w:bottom w:val="nil"/>
              <w:right w:val="nil"/>
            </w:tcBorders>
            <w:shd w:val="clear" w:color="000000" w:fill="B9D780"/>
            <w:noWrap/>
            <w:vAlign w:val="center"/>
            <w:hideMark/>
          </w:tcPr>
          <w:p w14:paraId="09553DF7"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73</w:t>
            </w:r>
          </w:p>
        </w:tc>
        <w:tc>
          <w:tcPr>
            <w:tcW w:w="122" w:type="pct"/>
            <w:tcBorders>
              <w:top w:val="nil"/>
              <w:left w:val="nil"/>
              <w:bottom w:val="nil"/>
              <w:right w:val="nil"/>
            </w:tcBorders>
            <w:shd w:val="clear" w:color="000000" w:fill="70C27C"/>
            <w:noWrap/>
            <w:vAlign w:val="center"/>
            <w:hideMark/>
          </w:tcPr>
          <w:p w14:paraId="2636D3FF"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96</w:t>
            </w:r>
          </w:p>
        </w:tc>
        <w:tc>
          <w:tcPr>
            <w:tcW w:w="122" w:type="pct"/>
            <w:tcBorders>
              <w:top w:val="nil"/>
              <w:left w:val="nil"/>
              <w:bottom w:val="nil"/>
              <w:right w:val="nil"/>
            </w:tcBorders>
            <w:shd w:val="clear" w:color="000000" w:fill="86C87D"/>
            <w:noWrap/>
            <w:vAlign w:val="center"/>
            <w:hideMark/>
          </w:tcPr>
          <w:p w14:paraId="206F9802"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89</w:t>
            </w:r>
          </w:p>
        </w:tc>
        <w:tc>
          <w:tcPr>
            <w:tcW w:w="123" w:type="pct"/>
            <w:tcBorders>
              <w:top w:val="nil"/>
              <w:left w:val="nil"/>
              <w:bottom w:val="nil"/>
              <w:right w:val="nil"/>
            </w:tcBorders>
            <w:shd w:val="clear" w:color="000000" w:fill="91CC7E"/>
            <w:noWrap/>
            <w:vAlign w:val="center"/>
            <w:hideMark/>
          </w:tcPr>
          <w:p w14:paraId="74274B4E"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85</w:t>
            </w:r>
          </w:p>
        </w:tc>
        <w:tc>
          <w:tcPr>
            <w:tcW w:w="122" w:type="pct"/>
            <w:tcBorders>
              <w:top w:val="nil"/>
              <w:left w:val="nil"/>
              <w:bottom w:val="nil"/>
              <w:right w:val="nil"/>
            </w:tcBorders>
            <w:shd w:val="clear" w:color="000000" w:fill="D0DE82"/>
            <w:noWrap/>
            <w:vAlign w:val="center"/>
            <w:hideMark/>
          </w:tcPr>
          <w:p w14:paraId="2280F396"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65</w:t>
            </w:r>
          </w:p>
        </w:tc>
        <w:tc>
          <w:tcPr>
            <w:tcW w:w="122" w:type="pct"/>
            <w:tcBorders>
              <w:top w:val="nil"/>
              <w:left w:val="nil"/>
              <w:bottom w:val="nil"/>
              <w:right w:val="nil"/>
            </w:tcBorders>
            <w:shd w:val="clear" w:color="000000" w:fill="86C97E"/>
            <w:noWrap/>
            <w:vAlign w:val="center"/>
            <w:hideMark/>
          </w:tcPr>
          <w:p w14:paraId="480D8BE5"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89</w:t>
            </w:r>
          </w:p>
        </w:tc>
        <w:tc>
          <w:tcPr>
            <w:tcW w:w="122" w:type="pct"/>
            <w:tcBorders>
              <w:top w:val="nil"/>
              <w:left w:val="nil"/>
              <w:bottom w:val="nil"/>
              <w:right w:val="nil"/>
            </w:tcBorders>
            <w:shd w:val="clear" w:color="000000" w:fill="E3E383"/>
            <w:noWrap/>
            <w:vAlign w:val="center"/>
            <w:hideMark/>
          </w:tcPr>
          <w:p w14:paraId="4ABCB831"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59</w:t>
            </w:r>
          </w:p>
        </w:tc>
        <w:tc>
          <w:tcPr>
            <w:tcW w:w="122" w:type="pct"/>
            <w:tcBorders>
              <w:top w:val="nil"/>
              <w:left w:val="nil"/>
              <w:bottom w:val="nil"/>
              <w:right w:val="nil"/>
            </w:tcBorders>
            <w:shd w:val="clear" w:color="000000" w:fill="A6D27F"/>
            <w:noWrap/>
            <w:vAlign w:val="center"/>
            <w:hideMark/>
          </w:tcPr>
          <w:p w14:paraId="44F30E23"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79</w:t>
            </w:r>
          </w:p>
        </w:tc>
        <w:tc>
          <w:tcPr>
            <w:tcW w:w="122" w:type="pct"/>
            <w:tcBorders>
              <w:top w:val="nil"/>
              <w:left w:val="nil"/>
              <w:bottom w:val="nil"/>
              <w:right w:val="nil"/>
            </w:tcBorders>
            <w:shd w:val="clear" w:color="000000" w:fill="BED981"/>
            <w:noWrap/>
            <w:vAlign w:val="center"/>
            <w:hideMark/>
          </w:tcPr>
          <w:p w14:paraId="3B72227E"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71</w:t>
            </w:r>
          </w:p>
        </w:tc>
        <w:tc>
          <w:tcPr>
            <w:tcW w:w="123" w:type="pct"/>
            <w:tcBorders>
              <w:top w:val="nil"/>
              <w:left w:val="nil"/>
              <w:bottom w:val="nil"/>
              <w:right w:val="nil"/>
            </w:tcBorders>
            <w:shd w:val="clear" w:color="000000" w:fill="BED981"/>
            <w:noWrap/>
            <w:vAlign w:val="center"/>
            <w:hideMark/>
          </w:tcPr>
          <w:p w14:paraId="24A20415"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71</w:t>
            </w:r>
          </w:p>
        </w:tc>
        <w:tc>
          <w:tcPr>
            <w:tcW w:w="122" w:type="pct"/>
            <w:tcBorders>
              <w:top w:val="nil"/>
              <w:left w:val="nil"/>
              <w:bottom w:val="nil"/>
              <w:right w:val="nil"/>
            </w:tcBorders>
            <w:shd w:val="clear" w:color="000000" w:fill="DDE182"/>
            <w:noWrap/>
            <w:vAlign w:val="center"/>
            <w:hideMark/>
          </w:tcPr>
          <w:p w14:paraId="768357F7"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61</w:t>
            </w:r>
          </w:p>
        </w:tc>
      </w:tr>
      <w:tr w:rsidR="00B656F6" w:rsidRPr="00634756" w14:paraId="5B5AE335" w14:textId="77777777" w:rsidTr="008F0944">
        <w:trPr>
          <w:trHeight w:val="113"/>
        </w:trPr>
        <w:tc>
          <w:tcPr>
            <w:tcW w:w="131" w:type="pct"/>
            <w:vMerge/>
            <w:tcBorders>
              <w:left w:val="nil"/>
              <w:right w:val="nil"/>
            </w:tcBorders>
            <w:shd w:val="clear" w:color="auto" w:fill="FFF2CC" w:themeFill="accent4" w:themeFillTint="33"/>
          </w:tcPr>
          <w:p w14:paraId="56E0004B" w14:textId="77777777" w:rsidR="00B656F6" w:rsidRPr="00634756" w:rsidRDefault="00B656F6" w:rsidP="008F0944">
            <w:pPr>
              <w:snapToGrid w:val="0"/>
              <w:jc w:val="right"/>
              <w:rPr>
                <w:rFonts w:ascii="等线" w:eastAsia="等线" w:hAnsi="等线" w:cs="宋体"/>
                <w:b/>
                <w:color w:val="000000"/>
                <w:sz w:val="15"/>
                <w:szCs w:val="15"/>
              </w:rPr>
            </w:pPr>
          </w:p>
        </w:tc>
        <w:tc>
          <w:tcPr>
            <w:tcW w:w="469" w:type="pct"/>
            <w:tcBorders>
              <w:top w:val="nil"/>
              <w:left w:val="nil"/>
              <w:bottom w:val="nil"/>
              <w:right w:val="nil"/>
            </w:tcBorders>
            <w:shd w:val="clear" w:color="auto" w:fill="FFF2CC" w:themeFill="accent4" w:themeFillTint="33"/>
            <w:noWrap/>
            <w:vAlign w:val="center"/>
            <w:hideMark/>
          </w:tcPr>
          <w:p w14:paraId="6A782266" w14:textId="77777777" w:rsidR="00B656F6" w:rsidRPr="00EB4864" w:rsidRDefault="00B656F6" w:rsidP="008F0944">
            <w:pPr>
              <w:snapToGrid w:val="0"/>
              <w:jc w:val="right"/>
              <w:rPr>
                <w:rFonts w:ascii="等线" w:eastAsia="等线" w:hAnsi="等线" w:cs="宋体"/>
                <w:b/>
                <w:color w:val="000000"/>
                <w:sz w:val="15"/>
                <w:szCs w:val="15"/>
              </w:rPr>
            </w:pPr>
            <w:r w:rsidRPr="00EB4864">
              <w:rPr>
                <w:rFonts w:ascii="等线" w:eastAsia="等线" w:hAnsi="等线" w:cs="宋体"/>
                <w:b/>
                <w:color w:val="000000"/>
                <w:sz w:val="15"/>
                <w:szCs w:val="15"/>
              </w:rPr>
              <w:t>Shandong</w:t>
            </w:r>
          </w:p>
        </w:tc>
        <w:tc>
          <w:tcPr>
            <w:tcW w:w="122" w:type="pct"/>
            <w:tcBorders>
              <w:top w:val="nil"/>
              <w:left w:val="nil"/>
              <w:bottom w:val="nil"/>
              <w:right w:val="nil"/>
            </w:tcBorders>
            <w:shd w:val="clear" w:color="000000" w:fill="8CCA7E"/>
            <w:noWrap/>
            <w:vAlign w:val="center"/>
            <w:hideMark/>
          </w:tcPr>
          <w:p w14:paraId="1DCC8523"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87</w:t>
            </w:r>
          </w:p>
        </w:tc>
        <w:tc>
          <w:tcPr>
            <w:tcW w:w="143" w:type="pct"/>
            <w:tcBorders>
              <w:top w:val="nil"/>
              <w:left w:val="nil"/>
              <w:bottom w:val="nil"/>
              <w:right w:val="nil"/>
            </w:tcBorders>
            <w:shd w:val="clear" w:color="000000" w:fill="63BE7B"/>
            <w:noWrap/>
            <w:vAlign w:val="center"/>
            <w:hideMark/>
          </w:tcPr>
          <w:p w14:paraId="4A1C60A3"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22" w:type="pct"/>
            <w:tcBorders>
              <w:top w:val="nil"/>
              <w:left w:val="nil"/>
              <w:bottom w:val="nil"/>
              <w:right w:val="nil"/>
            </w:tcBorders>
            <w:shd w:val="clear" w:color="000000" w:fill="F8696B"/>
            <w:noWrap/>
            <w:vAlign w:val="center"/>
            <w:hideMark/>
          </w:tcPr>
          <w:p w14:paraId="3DB42DA6"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0</w:t>
            </w:r>
          </w:p>
        </w:tc>
        <w:tc>
          <w:tcPr>
            <w:tcW w:w="122" w:type="pct"/>
            <w:tcBorders>
              <w:top w:val="nil"/>
              <w:left w:val="nil"/>
              <w:bottom w:val="nil"/>
              <w:right w:val="nil"/>
            </w:tcBorders>
            <w:shd w:val="clear" w:color="000000" w:fill="FCB579"/>
            <w:noWrap/>
            <w:vAlign w:val="center"/>
            <w:hideMark/>
          </w:tcPr>
          <w:p w14:paraId="44480A61"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29</w:t>
            </w:r>
          </w:p>
        </w:tc>
        <w:tc>
          <w:tcPr>
            <w:tcW w:w="143" w:type="pct"/>
            <w:tcBorders>
              <w:top w:val="nil"/>
              <w:left w:val="nil"/>
              <w:bottom w:val="nil"/>
              <w:right w:val="nil"/>
            </w:tcBorders>
            <w:shd w:val="clear" w:color="000000" w:fill="63BE7B"/>
            <w:noWrap/>
            <w:vAlign w:val="center"/>
            <w:hideMark/>
          </w:tcPr>
          <w:p w14:paraId="1AC2F33F"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22" w:type="pct"/>
            <w:tcBorders>
              <w:top w:val="nil"/>
              <w:left w:val="nil"/>
              <w:bottom w:val="nil"/>
              <w:right w:val="nil"/>
            </w:tcBorders>
            <w:shd w:val="clear" w:color="000000" w:fill="70C27C"/>
            <w:noWrap/>
            <w:vAlign w:val="center"/>
            <w:hideMark/>
          </w:tcPr>
          <w:p w14:paraId="43FA80B8"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96</w:t>
            </w:r>
          </w:p>
        </w:tc>
        <w:tc>
          <w:tcPr>
            <w:tcW w:w="143" w:type="pct"/>
            <w:tcBorders>
              <w:top w:val="nil"/>
              <w:left w:val="nil"/>
              <w:bottom w:val="nil"/>
              <w:right w:val="nil"/>
            </w:tcBorders>
            <w:shd w:val="clear" w:color="000000" w:fill="63BE7B"/>
            <w:noWrap/>
            <w:vAlign w:val="center"/>
            <w:hideMark/>
          </w:tcPr>
          <w:p w14:paraId="7C28DB99"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43" w:type="pct"/>
            <w:tcBorders>
              <w:top w:val="nil"/>
              <w:left w:val="nil"/>
              <w:bottom w:val="nil"/>
              <w:right w:val="nil"/>
            </w:tcBorders>
            <w:shd w:val="clear" w:color="000000" w:fill="63BE7B"/>
            <w:noWrap/>
            <w:vAlign w:val="center"/>
            <w:hideMark/>
          </w:tcPr>
          <w:p w14:paraId="467D64BB"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43" w:type="pct"/>
            <w:tcBorders>
              <w:top w:val="nil"/>
              <w:left w:val="nil"/>
              <w:bottom w:val="nil"/>
              <w:right w:val="nil"/>
            </w:tcBorders>
            <w:shd w:val="clear" w:color="000000" w:fill="90CB7E"/>
            <w:noWrap/>
            <w:vAlign w:val="center"/>
            <w:hideMark/>
          </w:tcPr>
          <w:p w14:paraId="538E465B"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86</w:t>
            </w:r>
          </w:p>
        </w:tc>
        <w:tc>
          <w:tcPr>
            <w:tcW w:w="122" w:type="pct"/>
            <w:tcBorders>
              <w:top w:val="nil"/>
              <w:left w:val="nil"/>
              <w:bottom w:val="nil"/>
              <w:right w:val="nil"/>
            </w:tcBorders>
            <w:shd w:val="clear" w:color="000000" w:fill="C2DA81"/>
            <w:noWrap/>
            <w:vAlign w:val="center"/>
            <w:hideMark/>
          </w:tcPr>
          <w:p w14:paraId="142DE488"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70</w:t>
            </w:r>
          </w:p>
        </w:tc>
        <w:tc>
          <w:tcPr>
            <w:tcW w:w="122" w:type="pct"/>
            <w:tcBorders>
              <w:top w:val="nil"/>
              <w:left w:val="nil"/>
              <w:bottom w:val="nil"/>
              <w:right w:val="nil"/>
            </w:tcBorders>
            <w:shd w:val="clear" w:color="000000" w:fill="7FC67D"/>
            <w:noWrap/>
            <w:vAlign w:val="center"/>
            <w:hideMark/>
          </w:tcPr>
          <w:p w14:paraId="3FA4F638"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91</w:t>
            </w:r>
          </w:p>
        </w:tc>
        <w:tc>
          <w:tcPr>
            <w:tcW w:w="122" w:type="pct"/>
            <w:tcBorders>
              <w:top w:val="nil"/>
              <w:left w:val="nil"/>
              <w:bottom w:val="nil"/>
              <w:right w:val="nil"/>
            </w:tcBorders>
            <w:shd w:val="clear" w:color="000000" w:fill="75C37C"/>
            <w:noWrap/>
            <w:vAlign w:val="center"/>
            <w:hideMark/>
          </w:tcPr>
          <w:p w14:paraId="3686A0C1"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94</w:t>
            </w:r>
          </w:p>
        </w:tc>
        <w:tc>
          <w:tcPr>
            <w:tcW w:w="122" w:type="pct"/>
            <w:tcBorders>
              <w:top w:val="nil"/>
              <w:left w:val="nil"/>
              <w:bottom w:val="nil"/>
              <w:right w:val="nil"/>
            </w:tcBorders>
            <w:shd w:val="clear" w:color="000000" w:fill="8BCA7E"/>
            <w:noWrap/>
            <w:vAlign w:val="center"/>
            <w:hideMark/>
          </w:tcPr>
          <w:p w14:paraId="65D1E0DB"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87</w:t>
            </w:r>
          </w:p>
        </w:tc>
        <w:tc>
          <w:tcPr>
            <w:tcW w:w="143" w:type="pct"/>
            <w:tcBorders>
              <w:top w:val="nil"/>
              <w:left w:val="nil"/>
              <w:bottom w:val="nil"/>
              <w:right w:val="nil"/>
            </w:tcBorders>
            <w:shd w:val="clear" w:color="000000" w:fill="63BE7B"/>
            <w:noWrap/>
            <w:vAlign w:val="center"/>
            <w:hideMark/>
          </w:tcPr>
          <w:p w14:paraId="3FAC1C1B"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22" w:type="pct"/>
            <w:tcBorders>
              <w:top w:val="nil"/>
              <w:left w:val="nil"/>
              <w:bottom w:val="nil"/>
              <w:right w:val="nil"/>
            </w:tcBorders>
            <w:shd w:val="clear" w:color="000000" w:fill="F4E884"/>
            <w:noWrap/>
            <w:vAlign w:val="center"/>
            <w:hideMark/>
          </w:tcPr>
          <w:p w14:paraId="48BF1CE3"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54</w:t>
            </w:r>
          </w:p>
        </w:tc>
        <w:tc>
          <w:tcPr>
            <w:tcW w:w="122" w:type="pct"/>
            <w:tcBorders>
              <w:top w:val="nil"/>
              <w:left w:val="nil"/>
              <w:bottom w:val="nil"/>
              <w:right w:val="nil"/>
            </w:tcBorders>
            <w:shd w:val="clear" w:color="000000" w:fill="92CC7E"/>
            <w:noWrap/>
            <w:vAlign w:val="center"/>
            <w:hideMark/>
          </w:tcPr>
          <w:p w14:paraId="66C40B93"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85</w:t>
            </w:r>
          </w:p>
        </w:tc>
        <w:tc>
          <w:tcPr>
            <w:tcW w:w="123" w:type="pct"/>
            <w:tcBorders>
              <w:top w:val="nil"/>
              <w:left w:val="nil"/>
              <w:bottom w:val="nil"/>
              <w:right w:val="nil"/>
            </w:tcBorders>
            <w:shd w:val="clear" w:color="000000" w:fill="9BCE7F"/>
            <w:noWrap/>
            <w:vAlign w:val="center"/>
            <w:hideMark/>
          </w:tcPr>
          <w:p w14:paraId="09FD01D0"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82</w:t>
            </w:r>
          </w:p>
        </w:tc>
        <w:tc>
          <w:tcPr>
            <w:tcW w:w="122" w:type="pct"/>
            <w:tcBorders>
              <w:top w:val="nil"/>
              <w:left w:val="nil"/>
              <w:bottom w:val="nil"/>
              <w:right w:val="nil"/>
            </w:tcBorders>
            <w:shd w:val="clear" w:color="000000" w:fill="B8D780"/>
            <w:noWrap/>
            <w:vAlign w:val="center"/>
            <w:hideMark/>
          </w:tcPr>
          <w:p w14:paraId="4A3B4242"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73</w:t>
            </w:r>
          </w:p>
        </w:tc>
        <w:tc>
          <w:tcPr>
            <w:tcW w:w="122" w:type="pct"/>
            <w:tcBorders>
              <w:top w:val="nil"/>
              <w:left w:val="nil"/>
              <w:bottom w:val="nil"/>
              <w:right w:val="nil"/>
            </w:tcBorders>
            <w:shd w:val="clear" w:color="000000" w:fill="90CB7E"/>
            <w:noWrap/>
            <w:vAlign w:val="center"/>
            <w:hideMark/>
          </w:tcPr>
          <w:p w14:paraId="5E69B292"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86</w:t>
            </w:r>
          </w:p>
        </w:tc>
        <w:tc>
          <w:tcPr>
            <w:tcW w:w="122" w:type="pct"/>
            <w:tcBorders>
              <w:top w:val="nil"/>
              <w:left w:val="nil"/>
              <w:bottom w:val="nil"/>
              <w:right w:val="nil"/>
            </w:tcBorders>
            <w:shd w:val="clear" w:color="000000" w:fill="A5D17F"/>
            <w:noWrap/>
            <w:vAlign w:val="center"/>
            <w:hideMark/>
          </w:tcPr>
          <w:p w14:paraId="17F467A7"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79</w:t>
            </w:r>
          </w:p>
        </w:tc>
        <w:tc>
          <w:tcPr>
            <w:tcW w:w="122" w:type="pct"/>
            <w:tcBorders>
              <w:top w:val="nil"/>
              <w:left w:val="nil"/>
              <w:bottom w:val="nil"/>
              <w:right w:val="nil"/>
            </w:tcBorders>
            <w:shd w:val="clear" w:color="000000" w:fill="ADD480"/>
            <w:noWrap/>
            <w:vAlign w:val="center"/>
            <w:hideMark/>
          </w:tcPr>
          <w:p w14:paraId="163938A1"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76</w:t>
            </w:r>
          </w:p>
        </w:tc>
        <w:tc>
          <w:tcPr>
            <w:tcW w:w="122" w:type="pct"/>
            <w:tcBorders>
              <w:top w:val="nil"/>
              <w:left w:val="nil"/>
              <w:bottom w:val="nil"/>
              <w:right w:val="nil"/>
            </w:tcBorders>
            <w:shd w:val="clear" w:color="000000" w:fill="FDCD7E"/>
            <w:noWrap/>
            <w:vAlign w:val="center"/>
            <w:hideMark/>
          </w:tcPr>
          <w:p w14:paraId="2C3E2C7D"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39</w:t>
            </w:r>
          </w:p>
        </w:tc>
        <w:tc>
          <w:tcPr>
            <w:tcW w:w="122" w:type="pct"/>
            <w:tcBorders>
              <w:top w:val="nil"/>
              <w:left w:val="nil"/>
              <w:bottom w:val="nil"/>
              <w:right w:val="nil"/>
            </w:tcBorders>
            <w:shd w:val="clear" w:color="000000" w:fill="F2E884"/>
            <w:noWrap/>
            <w:vAlign w:val="center"/>
            <w:hideMark/>
          </w:tcPr>
          <w:p w14:paraId="683D937F"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54</w:t>
            </w:r>
          </w:p>
        </w:tc>
        <w:tc>
          <w:tcPr>
            <w:tcW w:w="122" w:type="pct"/>
            <w:tcBorders>
              <w:top w:val="nil"/>
              <w:left w:val="nil"/>
              <w:bottom w:val="nil"/>
              <w:right w:val="nil"/>
            </w:tcBorders>
            <w:shd w:val="clear" w:color="000000" w:fill="E1E383"/>
            <w:noWrap/>
            <w:vAlign w:val="center"/>
            <w:hideMark/>
          </w:tcPr>
          <w:p w14:paraId="1D50520B"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60</w:t>
            </w:r>
          </w:p>
        </w:tc>
        <w:tc>
          <w:tcPr>
            <w:tcW w:w="122" w:type="pct"/>
            <w:tcBorders>
              <w:top w:val="nil"/>
              <w:left w:val="nil"/>
              <w:bottom w:val="nil"/>
              <w:right w:val="nil"/>
            </w:tcBorders>
            <w:shd w:val="clear" w:color="000000" w:fill="E6E483"/>
            <w:noWrap/>
            <w:vAlign w:val="center"/>
            <w:hideMark/>
          </w:tcPr>
          <w:p w14:paraId="2D6840D8"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58</w:t>
            </w:r>
          </w:p>
        </w:tc>
        <w:tc>
          <w:tcPr>
            <w:tcW w:w="122" w:type="pct"/>
            <w:tcBorders>
              <w:top w:val="nil"/>
              <w:left w:val="nil"/>
              <w:bottom w:val="nil"/>
              <w:right w:val="nil"/>
            </w:tcBorders>
            <w:shd w:val="clear" w:color="000000" w:fill="6DC17C"/>
            <w:noWrap/>
            <w:vAlign w:val="center"/>
            <w:hideMark/>
          </w:tcPr>
          <w:p w14:paraId="138C77F0"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97</w:t>
            </w:r>
          </w:p>
        </w:tc>
        <w:tc>
          <w:tcPr>
            <w:tcW w:w="122" w:type="pct"/>
            <w:tcBorders>
              <w:top w:val="nil"/>
              <w:left w:val="nil"/>
              <w:bottom w:val="nil"/>
              <w:right w:val="nil"/>
            </w:tcBorders>
            <w:shd w:val="clear" w:color="000000" w:fill="ADD480"/>
            <w:noWrap/>
            <w:vAlign w:val="center"/>
            <w:hideMark/>
          </w:tcPr>
          <w:p w14:paraId="0EE1E105"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76</w:t>
            </w:r>
          </w:p>
        </w:tc>
        <w:tc>
          <w:tcPr>
            <w:tcW w:w="123" w:type="pct"/>
            <w:tcBorders>
              <w:top w:val="nil"/>
              <w:left w:val="nil"/>
              <w:bottom w:val="nil"/>
              <w:right w:val="nil"/>
            </w:tcBorders>
            <w:shd w:val="clear" w:color="000000" w:fill="B0D580"/>
            <w:noWrap/>
            <w:vAlign w:val="center"/>
            <w:hideMark/>
          </w:tcPr>
          <w:p w14:paraId="0A824474"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75</w:t>
            </w:r>
          </w:p>
        </w:tc>
        <w:tc>
          <w:tcPr>
            <w:tcW w:w="122" w:type="pct"/>
            <w:tcBorders>
              <w:top w:val="nil"/>
              <w:left w:val="nil"/>
              <w:bottom w:val="nil"/>
              <w:right w:val="nil"/>
            </w:tcBorders>
            <w:shd w:val="clear" w:color="000000" w:fill="F98670"/>
            <w:noWrap/>
            <w:vAlign w:val="center"/>
            <w:hideMark/>
          </w:tcPr>
          <w:p w14:paraId="4288BC21"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11</w:t>
            </w:r>
          </w:p>
        </w:tc>
        <w:tc>
          <w:tcPr>
            <w:tcW w:w="122" w:type="pct"/>
            <w:tcBorders>
              <w:top w:val="nil"/>
              <w:left w:val="nil"/>
              <w:bottom w:val="nil"/>
              <w:right w:val="nil"/>
            </w:tcBorders>
            <w:shd w:val="clear" w:color="000000" w:fill="A8D27F"/>
            <w:noWrap/>
            <w:vAlign w:val="center"/>
            <w:hideMark/>
          </w:tcPr>
          <w:p w14:paraId="12A61B5A"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78</w:t>
            </w:r>
          </w:p>
        </w:tc>
        <w:tc>
          <w:tcPr>
            <w:tcW w:w="122" w:type="pct"/>
            <w:tcBorders>
              <w:top w:val="nil"/>
              <w:left w:val="nil"/>
              <w:bottom w:val="nil"/>
              <w:right w:val="nil"/>
            </w:tcBorders>
            <w:shd w:val="clear" w:color="000000" w:fill="F3E884"/>
            <w:noWrap/>
            <w:vAlign w:val="center"/>
            <w:hideMark/>
          </w:tcPr>
          <w:p w14:paraId="09740B9D"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54</w:t>
            </w:r>
          </w:p>
        </w:tc>
        <w:tc>
          <w:tcPr>
            <w:tcW w:w="122" w:type="pct"/>
            <w:tcBorders>
              <w:top w:val="nil"/>
              <w:left w:val="nil"/>
              <w:bottom w:val="nil"/>
              <w:right w:val="nil"/>
            </w:tcBorders>
            <w:shd w:val="clear" w:color="000000" w:fill="CCDD82"/>
            <w:noWrap/>
            <w:vAlign w:val="center"/>
            <w:hideMark/>
          </w:tcPr>
          <w:p w14:paraId="43EE3730"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66</w:t>
            </w:r>
          </w:p>
        </w:tc>
        <w:tc>
          <w:tcPr>
            <w:tcW w:w="122" w:type="pct"/>
            <w:tcBorders>
              <w:top w:val="nil"/>
              <w:left w:val="nil"/>
              <w:bottom w:val="nil"/>
              <w:right w:val="nil"/>
            </w:tcBorders>
            <w:shd w:val="clear" w:color="000000" w:fill="CDDD82"/>
            <w:noWrap/>
            <w:vAlign w:val="center"/>
            <w:hideMark/>
          </w:tcPr>
          <w:p w14:paraId="24C80C46"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66</w:t>
            </w:r>
          </w:p>
        </w:tc>
        <w:tc>
          <w:tcPr>
            <w:tcW w:w="123" w:type="pct"/>
            <w:tcBorders>
              <w:top w:val="nil"/>
              <w:left w:val="nil"/>
              <w:bottom w:val="nil"/>
              <w:right w:val="nil"/>
            </w:tcBorders>
            <w:shd w:val="clear" w:color="000000" w:fill="FDD680"/>
            <w:noWrap/>
            <w:vAlign w:val="center"/>
            <w:hideMark/>
          </w:tcPr>
          <w:p w14:paraId="298B991F"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42</w:t>
            </w:r>
          </w:p>
        </w:tc>
        <w:tc>
          <w:tcPr>
            <w:tcW w:w="122" w:type="pct"/>
            <w:tcBorders>
              <w:top w:val="nil"/>
              <w:left w:val="nil"/>
              <w:bottom w:val="nil"/>
              <w:right w:val="nil"/>
            </w:tcBorders>
            <w:shd w:val="clear" w:color="000000" w:fill="DCE182"/>
            <w:noWrap/>
            <w:vAlign w:val="center"/>
            <w:hideMark/>
          </w:tcPr>
          <w:p w14:paraId="6B7DFCDF"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61</w:t>
            </w:r>
          </w:p>
        </w:tc>
      </w:tr>
      <w:tr w:rsidR="00B656F6" w:rsidRPr="00634756" w14:paraId="0BF63A94" w14:textId="77777777" w:rsidTr="008F0944">
        <w:trPr>
          <w:trHeight w:val="113"/>
        </w:trPr>
        <w:tc>
          <w:tcPr>
            <w:tcW w:w="131" w:type="pct"/>
            <w:vMerge/>
            <w:tcBorders>
              <w:left w:val="nil"/>
              <w:right w:val="nil"/>
            </w:tcBorders>
            <w:shd w:val="clear" w:color="auto" w:fill="FFF2CC" w:themeFill="accent4" w:themeFillTint="33"/>
          </w:tcPr>
          <w:p w14:paraId="48CB4D2F" w14:textId="77777777" w:rsidR="00B656F6" w:rsidRPr="00634756" w:rsidRDefault="00B656F6" w:rsidP="008F0944">
            <w:pPr>
              <w:snapToGrid w:val="0"/>
              <w:jc w:val="right"/>
              <w:rPr>
                <w:rFonts w:ascii="等线" w:eastAsia="等线" w:hAnsi="等线" w:cs="宋体"/>
                <w:b/>
                <w:color w:val="000000"/>
                <w:sz w:val="15"/>
                <w:szCs w:val="15"/>
              </w:rPr>
            </w:pPr>
          </w:p>
        </w:tc>
        <w:tc>
          <w:tcPr>
            <w:tcW w:w="469" w:type="pct"/>
            <w:tcBorders>
              <w:top w:val="nil"/>
              <w:left w:val="nil"/>
              <w:bottom w:val="nil"/>
              <w:right w:val="nil"/>
            </w:tcBorders>
            <w:shd w:val="clear" w:color="auto" w:fill="FFF2CC" w:themeFill="accent4" w:themeFillTint="33"/>
            <w:noWrap/>
            <w:vAlign w:val="center"/>
            <w:hideMark/>
          </w:tcPr>
          <w:p w14:paraId="3A5CD140" w14:textId="77777777" w:rsidR="00B656F6" w:rsidRPr="00EB4864" w:rsidRDefault="00B656F6" w:rsidP="008F0944">
            <w:pPr>
              <w:snapToGrid w:val="0"/>
              <w:jc w:val="right"/>
              <w:rPr>
                <w:rFonts w:ascii="等线" w:eastAsia="等线" w:hAnsi="等线" w:cs="宋体"/>
                <w:b/>
                <w:color w:val="000000"/>
                <w:sz w:val="15"/>
                <w:szCs w:val="15"/>
              </w:rPr>
            </w:pPr>
            <w:r w:rsidRPr="00EB4864">
              <w:rPr>
                <w:rFonts w:ascii="等线" w:eastAsia="等线" w:hAnsi="等线" w:cs="宋体"/>
                <w:b/>
                <w:color w:val="000000"/>
                <w:sz w:val="15"/>
                <w:szCs w:val="15"/>
              </w:rPr>
              <w:t>Guangdong</w:t>
            </w:r>
          </w:p>
        </w:tc>
        <w:tc>
          <w:tcPr>
            <w:tcW w:w="122" w:type="pct"/>
            <w:tcBorders>
              <w:top w:val="nil"/>
              <w:left w:val="nil"/>
              <w:bottom w:val="nil"/>
              <w:right w:val="nil"/>
            </w:tcBorders>
            <w:shd w:val="clear" w:color="000000" w:fill="84C87D"/>
            <w:noWrap/>
            <w:vAlign w:val="center"/>
            <w:hideMark/>
          </w:tcPr>
          <w:p w14:paraId="15D4618A"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89</w:t>
            </w:r>
          </w:p>
        </w:tc>
        <w:tc>
          <w:tcPr>
            <w:tcW w:w="143" w:type="pct"/>
            <w:tcBorders>
              <w:top w:val="nil"/>
              <w:left w:val="nil"/>
              <w:bottom w:val="nil"/>
              <w:right w:val="nil"/>
            </w:tcBorders>
            <w:shd w:val="clear" w:color="000000" w:fill="63BE7B"/>
            <w:noWrap/>
            <w:vAlign w:val="center"/>
            <w:hideMark/>
          </w:tcPr>
          <w:p w14:paraId="0FAEA415"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22" w:type="pct"/>
            <w:tcBorders>
              <w:top w:val="nil"/>
              <w:left w:val="nil"/>
              <w:bottom w:val="nil"/>
              <w:right w:val="nil"/>
            </w:tcBorders>
            <w:shd w:val="clear" w:color="000000" w:fill="73C37C"/>
            <w:noWrap/>
            <w:vAlign w:val="center"/>
            <w:hideMark/>
          </w:tcPr>
          <w:p w14:paraId="39D96EE7"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95</w:t>
            </w:r>
          </w:p>
        </w:tc>
        <w:tc>
          <w:tcPr>
            <w:tcW w:w="122" w:type="pct"/>
            <w:tcBorders>
              <w:top w:val="nil"/>
              <w:left w:val="nil"/>
              <w:bottom w:val="nil"/>
              <w:right w:val="nil"/>
            </w:tcBorders>
            <w:shd w:val="clear" w:color="000000" w:fill="78C47D"/>
            <w:noWrap/>
            <w:vAlign w:val="center"/>
            <w:hideMark/>
          </w:tcPr>
          <w:p w14:paraId="65807360"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93</w:t>
            </w:r>
          </w:p>
        </w:tc>
        <w:tc>
          <w:tcPr>
            <w:tcW w:w="143" w:type="pct"/>
            <w:tcBorders>
              <w:top w:val="nil"/>
              <w:left w:val="nil"/>
              <w:bottom w:val="nil"/>
              <w:right w:val="nil"/>
            </w:tcBorders>
            <w:shd w:val="clear" w:color="000000" w:fill="63BE7B"/>
            <w:noWrap/>
            <w:vAlign w:val="center"/>
            <w:hideMark/>
          </w:tcPr>
          <w:p w14:paraId="0BD71374"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22" w:type="pct"/>
            <w:tcBorders>
              <w:top w:val="nil"/>
              <w:left w:val="nil"/>
              <w:bottom w:val="nil"/>
              <w:right w:val="nil"/>
            </w:tcBorders>
            <w:shd w:val="clear" w:color="000000" w:fill="70C27C"/>
            <w:noWrap/>
            <w:vAlign w:val="center"/>
            <w:hideMark/>
          </w:tcPr>
          <w:p w14:paraId="5511F9FE"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96</w:t>
            </w:r>
          </w:p>
        </w:tc>
        <w:tc>
          <w:tcPr>
            <w:tcW w:w="143" w:type="pct"/>
            <w:tcBorders>
              <w:top w:val="nil"/>
              <w:left w:val="nil"/>
              <w:bottom w:val="nil"/>
              <w:right w:val="nil"/>
            </w:tcBorders>
            <w:shd w:val="clear" w:color="000000" w:fill="63BE7B"/>
            <w:noWrap/>
            <w:vAlign w:val="center"/>
            <w:hideMark/>
          </w:tcPr>
          <w:p w14:paraId="2DB06F99"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43" w:type="pct"/>
            <w:tcBorders>
              <w:top w:val="nil"/>
              <w:left w:val="nil"/>
              <w:bottom w:val="nil"/>
              <w:right w:val="nil"/>
            </w:tcBorders>
            <w:shd w:val="clear" w:color="000000" w:fill="63BE7B"/>
            <w:noWrap/>
            <w:vAlign w:val="center"/>
            <w:hideMark/>
          </w:tcPr>
          <w:p w14:paraId="64B610C1"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43" w:type="pct"/>
            <w:tcBorders>
              <w:top w:val="nil"/>
              <w:left w:val="nil"/>
              <w:bottom w:val="nil"/>
              <w:right w:val="nil"/>
            </w:tcBorders>
            <w:shd w:val="clear" w:color="000000" w:fill="92CC7E"/>
            <w:noWrap/>
            <w:vAlign w:val="center"/>
            <w:hideMark/>
          </w:tcPr>
          <w:p w14:paraId="37ADA397"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85</w:t>
            </w:r>
          </w:p>
        </w:tc>
        <w:tc>
          <w:tcPr>
            <w:tcW w:w="122" w:type="pct"/>
            <w:tcBorders>
              <w:top w:val="nil"/>
              <w:left w:val="nil"/>
              <w:bottom w:val="nil"/>
              <w:right w:val="nil"/>
            </w:tcBorders>
            <w:shd w:val="clear" w:color="000000" w:fill="B7D780"/>
            <w:noWrap/>
            <w:vAlign w:val="center"/>
            <w:hideMark/>
          </w:tcPr>
          <w:p w14:paraId="1B69ABC7"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73</w:t>
            </w:r>
          </w:p>
        </w:tc>
        <w:tc>
          <w:tcPr>
            <w:tcW w:w="122" w:type="pct"/>
            <w:tcBorders>
              <w:top w:val="nil"/>
              <w:left w:val="nil"/>
              <w:bottom w:val="nil"/>
              <w:right w:val="nil"/>
            </w:tcBorders>
            <w:shd w:val="clear" w:color="000000" w:fill="7DC67D"/>
            <w:noWrap/>
            <w:vAlign w:val="center"/>
            <w:hideMark/>
          </w:tcPr>
          <w:p w14:paraId="3FEFB58E"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92</w:t>
            </w:r>
          </w:p>
        </w:tc>
        <w:tc>
          <w:tcPr>
            <w:tcW w:w="122" w:type="pct"/>
            <w:tcBorders>
              <w:top w:val="nil"/>
              <w:left w:val="nil"/>
              <w:bottom w:val="nil"/>
              <w:right w:val="nil"/>
            </w:tcBorders>
            <w:shd w:val="clear" w:color="000000" w:fill="FEDC81"/>
            <w:noWrap/>
            <w:vAlign w:val="center"/>
            <w:hideMark/>
          </w:tcPr>
          <w:p w14:paraId="6A14CE44"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44</w:t>
            </w:r>
          </w:p>
        </w:tc>
        <w:tc>
          <w:tcPr>
            <w:tcW w:w="122" w:type="pct"/>
            <w:tcBorders>
              <w:top w:val="nil"/>
              <w:left w:val="nil"/>
              <w:bottom w:val="nil"/>
              <w:right w:val="nil"/>
            </w:tcBorders>
            <w:shd w:val="clear" w:color="000000" w:fill="D9E082"/>
            <w:noWrap/>
            <w:vAlign w:val="center"/>
            <w:hideMark/>
          </w:tcPr>
          <w:p w14:paraId="3B3A040F"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62</w:t>
            </w:r>
          </w:p>
        </w:tc>
        <w:tc>
          <w:tcPr>
            <w:tcW w:w="143" w:type="pct"/>
            <w:tcBorders>
              <w:top w:val="nil"/>
              <w:left w:val="nil"/>
              <w:bottom w:val="nil"/>
              <w:right w:val="nil"/>
            </w:tcBorders>
            <w:shd w:val="clear" w:color="000000" w:fill="63BE7B"/>
            <w:noWrap/>
            <w:vAlign w:val="center"/>
            <w:hideMark/>
          </w:tcPr>
          <w:p w14:paraId="3BBA88DE"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22" w:type="pct"/>
            <w:tcBorders>
              <w:top w:val="nil"/>
              <w:left w:val="nil"/>
              <w:bottom w:val="nil"/>
              <w:right w:val="nil"/>
            </w:tcBorders>
            <w:shd w:val="clear" w:color="000000" w:fill="FEE883"/>
            <w:noWrap/>
            <w:vAlign w:val="center"/>
            <w:hideMark/>
          </w:tcPr>
          <w:p w14:paraId="7E21892E"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49</w:t>
            </w:r>
          </w:p>
        </w:tc>
        <w:tc>
          <w:tcPr>
            <w:tcW w:w="122" w:type="pct"/>
            <w:tcBorders>
              <w:top w:val="nil"/>
              <w:left w:val="nil"/>
              <w:bottom w:val="nil"/>
              <w:right w:val="nil"/>
            </w:tcBorders>
            <w:shd w:val="clear" w:color="000000" w:fill="C6DB81"/>
            <w:noWrap/>
            <w:vAlign w:val="center"/>
            <w:hideMark/>
          </w:tcPr>
          <w:p w14:paraId="6798B66D"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69</w:t>
            </w:r>
          </w:p>
        </w:tc>
        <w:tc>
          <w:tcPr>
            <w:tcW w:w="123" w:type="pct"/>
            <w:tcBorders>
              <w:top w:val="nil"/>
              <w:left w:val="nil"/>
              <w:bottom w:val="nil"/>
              <w:right w:val="nil"/>
            </w:tcBorders>
            <w:shd w:val="clear" w:color="000000" w:fill="D9E182"/>
            <w:noWrap/>
            <w:vAlign w:val="center"/>
            <w:hideMark/>
          </w:tcPr>
          <w:p w14:paraId="689B523B"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62</w:t>
            </w:r>
          </w:p>
        </w:tc>
        <w:tc>
          <w:tcPr>
            <w:tcW w:w="122" w:type="pct"/>
            <w:tcBorders>
              <w:top w:val="nil"/>
              <w:left w:val="nil"/>
              <w:bottom w:val="nil"/>
              <w:right w:val="nil"/>
            </w:tcBorders>
            <w:shd w:val="clear" w:color="000000" w:fill="ADD480"/>
            <w:noWrap/>
            <w:vAlign w:val="center"/>
            <w:hideMark/>
          </w:tcPr>
          <w:p w14:paraId="29AE8B16"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76</w:t>
            </w:r>
          </w:p>
        </w:tc>
        <w:tc>
          <w:tcPr>
            <w:tcW w:w="122" w:type="pct"/>
            <w:tcBorders>
              <w:top w:val="nil"/>
              <w:left w:val="nil"/>
              <w:bottom w:val="nil"/>
              <w:right w:val="nil"/>
            </w:tcBorders>
            <w:shd w:val="clear" w:color="000000" w:fill="75C47D"/>
            <w:noWrap/>
            <w:vAlign w:val="center"/>
            <w:hideMark/>
          </w:tcPr>
          <w:p w14:paraId="281A82D1"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94</w:t>
            </w:r>
          </w:p>
        </w:tc>
        <w:tc>
          <w:tcPr>
            <w:tcW w:w="122" w:type="pct"/>
            <w:tcBorders>
              <w:top w:val="nil"/>
              <w:left w:val="nil"/>
              <w:bottom w:val="nil"/>
              <w:right w:val="nil"/>
            </w:tcBorders>
            <w:shd w:val="clear" w:color="000000" w:fill="93CC7E"/>
            <w:noWrap/>
            <w:vAlign w:val="center"/>
            <w:hideMark/>
          </w:tcPr>
          <w:p w14:paraId="1C194BC4"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85</w:t>
            </w:r>
          </w:p>
        </w:tc>
        <w:tc>
          <w:tcPr>
            <w:tcW w:w="122" w:type="pct"/>
            <w:tcBorders>
              <w:top w:val="nil"/>
              <w:left w:val="nil"/>
              <w:bottom w:val="nil"/>
              <w:right w:val="nil"/>
            </w:tcBorders>
            <w:shd w:val="clear" w:color="000000" w:fill="BED981"/>
            <w:noWrap/>
            <w:vAlign w:val="center"/>
            <w:hideMark/>
          </w:tcPr>
          <w:p w14:paraId="117C6EC1"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71</w:t>
            </w:r>
          </w:p>
        </w:tc>
        <w:tc>
          <w:tcPr>
            <w:tcW w:w="122" w:type="pct"/>
            <w:tcBorders>
              <w:top w:val="nil"/>
              <w:left w:val="nil"/>
              <w:bottom w:val="nil"/>
              <w:right w:val="nil"/>
            </w:tcBorders>
            <w:shd w:val="clear" w:color="000000" w:fill="FBB279"/>
            <w:noWrap/>
            <w:vAlign w:val="center"/>
            <w:hideMark/>
          </w:tcPr>
          <w:p w14:paraId="6DB19FB4"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28</w:t>
            </w:r>
          </w:p>
        </w:tc>
        <w:tc>
          <w:tcPr>
            <w:tcW w:w="122" w:type="pct"/>
            <w:tcBorders>
              <w:top w:val="nil"/>
              <w:left w:val="nil"/>
              <w:bottom w:val="nil"/>
              <w:right w:val="nil"/>
            </w:tcBorders>
            <w:shd w:val="clear" w:color="000000" w:fill="FEDD81"/>
            <w:noWrap/>
            <w:vAlign w:val="center"/>
            <w:hideMark/>
          </w:tcPr>
          <w:p w14:paraId="5248A211"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45</w:t>
            </w:r>
          </w:p>
        </w:tc>
        <w:tc>
          <w:tcPr>
            <w:tcW w:w="122" w:type="pct"/>
            <w:tcBorders>
              <w:top w:val="nil"/>
              <w:left w:val="nil"/>
              <w:bottom w:val="nil"/>
              <w:right w:val="nil"/>
            </w:tcBorders>
            <w:shd w:val="clear" w:color="000000" w:fill="A9D380"/>
            <w:noWrap/>
            <w:vAlign w:val="center"/>
            <w:hideMark/>
          </w:tcPr>
          <w:p w14:paraId="477E52BF"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78</w:t>
            </w:r>
          </w:p>
        </w:tc>
        <w:tc>
          <w:tcPr>
            <w:tcW w:w="122" w:type="pct"/>
            <w:tcBorders>
              <w:top w:val="nil"/>
              <w:left w:val="nil"/>
              <w:bottom w:val="nil"/>
              <w:right w:val="nil"/>
            </w:tcBorders>
            <w:shd w:val="clear" w:color="000000" w:fill="C5DB81"/>
            <w:noWrap/>
            <w:vAlign w:val="center"/>
            <w:hideMark/>
          </w:tcPr>
          <w:p w14:paraId="54394ACB"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69</w:t>
            </w:r>
          </w:p>
        </w:tc>
        <w:tc>
          <w:tcPr>
            <w:tcW w:w="122" w:type="pct"/>
            <w:tcBorders>
              <w:top w:val="nil"/>
              <w:left w:val="nil"/>
              <w:bottom w:val="nil"/>
              <w:right w:val="nil"/>
            </w:tcBorders>
            <w:shd w:val="clear" w:color="000000" w:fill="6DC17C"/>
            <w:noWrap/>
            <w:vAlign w:val="center"/>
            <w:hideMark/>
          </w:tcPr>
          <w:p w14:paraId="34F72CAE"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97</w:t>
            </w:r>
          </w:p>
        </w:tc>
        <w:tc>
          <w:tcPr>
            <w:tcW w:w="122" w:type="pct"/>
            <w:tcBorders>
              <w:top w:val="nil"/>
              <w:left w:val="nil"/>
              <w:bottom w:val="nil"/>
              <w:right w:val="nil"/>
            </w:tcBorders>
            <w:shd w:val="clear" w:color="000000" w:fill="80C77D"/>
            <w:noWrap/>
            <w:vAlign w:val="center"/>
            <w:hideMark/>
          </w:tcPr>
          <w:p w14:paraId="0979EE60"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91</w:t>
            </w:r>
          </w:p>
        </w:tc>
        <w:tc>
          <w:tcPr>
            <w:tcW w:w="123" w:type="pct"/>
            <w:tcBorders>
              <w:top w:val="nil"/>
              <w:left w:val="nil"/>
              <w:bottom w:val="nil"/>
              <w:right w:val="nil"/>
            </w:tcBorders>
            <w:shd w:val="clear" w:color="000000" w:fill="93CC7E"/>
            <w:noWrap/>
            <w:vAlign w:val="center"/>
            <w:hideMark/>
          </w:tcPr>
          <w:p w14:paraId="25BA8037"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85</w:t>
            </w:r>
          </w:p>
        </w:tc>
        <w:tc>
          <w:tcPr>
            <w:tcW w:w="122" w:type="pct"/>
            <w:tcBorders>
              <w:top w:val="nil"/>
              <w:left w:val="nil"/>
              <w:bottom w:val="nil"/>
              <w:right w:val="nil"/>
            </w:tcBorders>
            <w:shd w:val="clear" w:color="000000" w:fill="F8E984"/>
            <w:noWrap/>
            <w:vAlign w:val="center"/>
            <w:hideMark/>
          </w:tcPr>
          <w:p w14:paraId="7ED57F50"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52</w:t>
            </w:r>
          </w:p>
        </w:tc>
        <w:tc>
          <w:tcPr>
            <w:tcW w:w="122" w:type="pct"/>
            <w:tcBorders>
              <w:top w:val="nil"/>
              <w:left w:val="nil"/>
              <w:bottom w:val="nil"/>
              <w:right w:val="nil"/>
            </w:tcBorders>
            <w:shd w:val="clear" w:color="000000" w:fill="81C77D"/>
            <w:noWrap/>
            <w:vAlign w:val="center"/>
            <w:hideMark/>
          </w:tcPr>
          <w:p w14:paraId="5F822F40"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90</w:t>
            </w:r>
          </w:p>
        </w:tc>
        <w:tc>
          <w:tcPr>
            <w:tcW w:w="122" w:type="pct"/>
            <w:tcBorders>
              <w:top w:val="nil"/>
              <w:left w:val="nil"/>
              <w:bottom w:val="nil"/>
              <w:right w:val="nil"/>
            </w:tcBorders>
            <w:shd w:val="clear" w:color="000000" w:fill="D4DF82"/>
            <w:noWrap/>
            <w:vAlign w:val="center"/>
            <w:hideMark/>
          </w:tcPr>
          <w:p w14:paraId="205B8896"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64</w:t>
            </w:r>
          </w:p>
        </w:tc>
        <w:tc>
          <w:tcPr>
            <w:tcW w:w="122" w:type="pct"/>
            <w:tcBorders>
              <w:top w:val="nil"/>
              <w:left w:val="nil"/>
              <w:bottom w:val="nil"/>
              <w:right w:val="nil"/>
            </w:tcBorders>
            <w:shd w:val="clear" w:color="000000" w:fill="87C97E"/>
            <w:noWrap/>
            <w:vAlign w:val="center"/>
            <w:hideMark/>
          </w:tcPr>
          <w:p w14:paraId="7293B044"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89</w:t>
            </w:r>
          </w:p>
        </w:tc>
        <w:tc>
          <w:tcPr>
            <w:tcW w:w="122" w:type="pct"/>
            <w:tcBorders>
              <w:top w:val="nil"/>
              <w:left w:val="nil"/>
              <w:bottom w:val="nil"/>
              <w:right w:val="nil"/>
            </w:tcBorders>
            <w:shd w:val="clear" w:color="000000" w:fill="AED480"/>
            <w:noWrap/>
            <w:vAlign w:val="center"/>
            <w:hideMark/>
          </w:tcPr>
          <w:p w14:paraId="26DE0F60"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76</w:t>
            </w:r>
          </w:p>
        </w:tc>
        <w:tc>
          <w:tcPr>
            <w:tcW w:w="123" w:type="pct"/>
            <w:tcBorders>
              <w:top w:val="nil"/>
              <w:left w:val="nil"/>
              <w:bottom w:val="nil"/>
              <w:right w:val="nil"/>
            </w:tcBorders>
            <w:shd w:val="clear" w:color="000000" w:fill="BFD981"/>
            <w:noWrap/>
            <w:vAlign w:val="center"/>
            <w:hideMark/>
          </w:tcPr>
          <w:p w14:paraId="3000944B"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71</w:t>
            </w:r>
          </w:p>
        </w:tc>
        <w:tc>
          <w:tcPr>
            <w:tcW w:w="122" w:type="pct"/>
            <w:tcBorders>
              <w:top w:val="nil"/>
              <w:left w:val="nil"/>
              <w:bottom w:val="nil"/>
              <w:right w:val="nil"/>
            </w:tcBorders>
            <w:shd w:val="clear" w:color="000000" w:fill="DDE283"/>
            <w:noWrap/>
            <w:vAlign w:val="center"/>
            <w:hideMark/>
          </w:tcPr>
          <w:p w14:paraId="2145C07D"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61</w:t>
            </w:r>
          </w:p>
        </w:tc>
      </w:tr>
      <w:tr w:rsidR="00B656F6" w:rsidRPr="00634756" w14:paraId="6165ED6B" w14:textId="77777777" w:rsidTr="008F0944">
        <w:trPr>
          <w:trHeight w:val="113"/>
        </w:trPr>
        <w:tc>
          <w:tcPr>
            <w:tcW w:w="131" w:type="pct"/>
            <w:vMerge/>
            <w:tcBorders>
              <w:left w:val="nil"/>
              <w:bottom w:val="nil"/>
              <w:right w:val="nil"/>
            </w:tcBorders>
            <w:shd w:val="clear" w:color="auto" w:fill="FFF2CC" w:themeFill="accent4" w:themeFillTint="33"/>
          </w:tcPr>
          <w:p w14:paraId="0031F7F7" w14:textId="77777777" w:rsidR="00B656F6" w:rsidRPr="00634756" w:rsidRDefault="00B656F6" w:rsidP="008F0944">
            <w:pPr>
              <w:snapToGrid w:val="0"/>
              <w:jc w:val="right"/>
              <w:rPr>
                <w:rFonts w:ascii="等线" w:eastAsia="等线" w:hAnsi="等线" w:cs="宋体"/>
                <w:b/>
                <w:color w:val="000000"/>
                <w:sz w:val="15"/>
                <w:szCs w:val="15"/>
              </w:rPr>
            </w:pPr>
          </w:p>
        </w:tc>
        <w:tc>
          <w:tcPr>
            <w:tcW w:w="469" w:type="pct"/>
            <w:tcBorders>
              <w:top w:val="nil"/>
              <w:left w:val="nil"/>
              <w:bottom w:val="nil"/>
              <w:right w:val="nil"/>
            </w:tcBorders>
            <w:shd w:val="clear" w:color="auto" w:fill="FFF2CC" w:themeFill="accent4" w:themeFillTint="33"/>
            <w:noWrap/>
            <w:vAlign w:val="center"/>
            <w:hideMark/>
          </w:tcPr>
          <w:p w14:paraId="18027B0D" w14:textId="77777777" w:rsidR="00B656F6" w:rsidRPr="00EB4864" w:rsidRDefault="00B656F6" w:rsidP="008F0944">
            <w:pPr>
              <w:snapToGrid w:val="0"/>
              <w:jc w:val="right"/>
              <w:rPr>
                <w:rFonts w:ascii="等线" w:eastAsia="等线" w:hAnsi="等线" w:cs="宋体"/>
                <w:b/>
                <w:color w:val="000000"/>
                <w:sz w:val="15"/>
                <w:szCs w:val="15"/>
              </w:rPr>
            </w:pPr>
            <w:r w:rsidRPr="00EB4864">
              <w:rPr>
                <w:rFonts w:ascii="等线" w:eastAsia="等线" w:hAnsi="等线" w:cs="宋体"/>
                <w:b/>
                <w:color w:val="000000"/>
                <w:sz w:val="15"/>
                <w:szCs w:val="15"/>
              </w:rPr>
              <w:t>Hainan</w:t>
            </w:r>
          </w:p>
        </w:tc>
        <w:tc>
          <w:tcPr>
            <w:tcW w:w="122" w:type="pct"/>
            <w:tcBorders>
              <w:top w:val="nil"/>
              <w:left w:val="nil"/>
              <w:bottom w:val="nil"/>
              <w:right w:val="nil"/>
            </w:tcBorders>
            <w:shd w:val="clear" w:color="000000" w:fill="8DCA7E"/>
            <w:noWrap/>
            <w:vAlign w:val="center"/>
            <w:hideMark/>
          </w:tcPr>
          <w:p w14:paraId="32375DAB"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87</w:t>
            </w:r>
          </w:p>
        </w:tc>
        <w:tc>
          <w:tcPr>
            <w:tcW w:w="143" w:type="pct"/>
            <w:tcBorders>
              <w:top w:val="nil"/>
              <w:left w:val="nil"/>
              <w:bottom w:val="nil"/>
              <w:right w:val="nil"/>
            </w:tcBorders>
            <w:shd w:val="clear" w:color="000000" w:fill="63BE7B"/>
            <w:noWrap/>
            <w:vAlign w:val="center"/>
            <w:hideMark/>
          </w:tcPr>
          <w:p w14:paraId="111136F5"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22" w:type="pct"/>
            <w:tcBorders>
              <w:top w:val="nil"/>
              <w:left w:val="nil"/>
              <w:bottom w:val="nil"/>
              <w:right w:val="nil"/>
            </w:tcBorders>
            <w:shd w:val="clear" w:color="000000" w:fill="68C07C"/>
            <w:noWrap/>
            <w:vAlign w:val="center"/>
            <w:hideMark/>
          </w:tcPr>
          <w:p w14:paraId="5C7605C8"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99</w:t>
            </w:r>
          </w:p>
        </w:tc>
        <w:tc>
          <w:tcPr>
            <w:tcW w:w="122" w:type="pct"/>
            <w:tcBorders>
              <w:top w:val="nil"/>
              <w:left w:val="nil"/>
              <w:bottom w:val="nil"/>
              <w:right w:val="nil"/>
            </w:tcBorders>
            <w:shd w:val="clear" w:color="000000" w:fill="7AC57D"/>
            <w:noWrap/>
            <w:vAlign w:val="center"/>
            <w:hideMark/>
          </w:tcPr>
          <w:p w14:paraId="36C8AD03"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93</w:t>
            </w:r>
          </w:p>
        </w:tc>
        <w:tc>
          <w:tcPr>
            <w:tcW w:w="143" w:type="pct"/>
            <w:tcBorders>
              <w:top w:val="nil"/>
              <w:left w:val="nil"/>
              <w:bottom w:val="nil"/>
              <w:right w:val="nil"/>
            </w:tcBorders>
            <w:shd w:val="clear" w:color="000000" w:fill="63BE7B"/>
            <w:noWrap/>
            <w:vAlign w:val="center"/>
            <w:hideMark/>
          </w:tcPr>
          <w:p w14:paraId="4BA22062"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22" w:type="pct"/>
            <w:tcBorders>
              <w:top w:val="nil"/>
              <w:left w:val="nil"/>
              <w:bottom w:val="nil"/>
              <w:right w:val="nil"/>
            </w:tcBorders>
            <w:shd w:val="clear" w:color="000000" w:fill="76C47D"/>
            <w:noWrap/>
            <w:vAlign w:val="center"/>
            <w:hideMark/>
          </w:tcPr>
          <w:p w14:paraId="25C136B4"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94</w:t>
            </w:r>
          </w:p>
        </w:tc>
        <w:tc>
          <w:tcPr>
            <w:tcW w:w="143" w:type="pct"/>
            <w:tcBorders>
              <w:top w:val="nil"/>
              <w:left w:val="nil"/>
              <w:bottom w:val="nil"/>
              <w:right w:val="nil"/>
            </w:tcBorders>
            <w:shd w:val="clear" w:color="000000" w:fill="63BE7B"/>
            <w:noWrap/>
            <w:vAlign w:val="center"/>
            <w:hideMark/>
          </w:tcPr>
          <w:p w14:paraId="005C6ED6"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43" w:type="pct"/>
            <w:tcBorders>
              <w:top w:val="nil"/>
              <w:left w:val="nil"/>
              <w:bottom w:val="nil"/>
              <w:right w:val="nil"/>
            </w:tcBorders>
            <w:shd w:val="clear" w:color="000000" w:fill="63BE7B"/>
            <w:noWrap/>
            <w:vAlign w:val="center"/>
            <w:hideMark/>
          </w:tcPr>
          <w:p w14:paraId="7514BA3E"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43" w:type="pct"/>
            <w:tcBorders>
              <w:top w:val="nil"/>
              <w:left w:val="nil"/>
              <w:bottom w:val="nil"/>
              <w:right w:val="nil"/>
            </w:tcBorders>
            <w:shd w:val="clear" w:color="000000" w:fill="6EC27C"/>
            <w:noWrap/>
            <w:vAlign w:val="center"/>
            <w:hideMark/>
          </w:tcPr>
          <w:p w14:paraId="3739C6B3"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97</w:t>
            </w:r>
          </w:p>
        </w:tc>
        <w:tc>
          <w:tcPr>
            <w:tcW w:w="122" w:type="pct"/>
            <w:tcBorders>
              <w:top w:val="nil"/>
              <w:left w:val="nil"/>
              <w:bottom w:val="nil"/>
              <w:right w:val="nil"/>
            </w:tcBorders>
            <w:shd w:val="clear" w:color="000000" w:fill="D0DE82"/>
            <w:noWrap/>
            <w:vAlign w:val="center"/>
            <w:hideMark/>
          </w:tcPr>
          <w:p w14:paraId="3E8891BA"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65</w:t>
            </w:r>
          </w:p>
        </w:tc>
        <w:tc>
          <w:tcPr>
            <w:tcW w:w="122" w:type="pct"/>
            <w:tcBorders>
              <w:top w:val="nil"/>
              <w:left w:val="nil"/>
              <w:bottom w:val="nil"/>
              <w:right w:val="nil"/>
            </w:tcBorders>
            <w:shd w:val="clear" w:color="000000" w:fill="7EC67D"/>
            <w:noWrap/>
            <w:vAlign w:val="center"/>
            <w:hideMark/>
          </w:tcPr>
          <w:p w14:paraId="184B581A"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92</w:t>
            </w:r>
          </w:p>
        </w:tc>
        <w:tc>
          <w:tcPr>
            <w:tcW w:w="122" w:type="pct"/>
            <w:tcBorders>
              <w:top w:val="nil"/>
              <w:left w:val="nil"/>
              <w:bottom w:val="nil"/>
              <w:right w:val="nil"/>
            </w:tcBorders>
            <w:shd w:val="clear" w:color="000000" w:fill="D0DE82"/>
            <w:noWrap/>
            <w:vAlign w:val="center"/>
            <w:hideMark/>
          </w:tcPr>
          <w:p w14:paraId="1D7F9485"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65</w:t>
            </w:r>
          </w:p>
        </w:tc>
        <w:tc>
          <w:tcPr>
            <w:tcW w:w="122" w:type="pct"/>
            <w:tcBorders>
              <w:top w:val="nil"/>
              <w:left w:val="nil"/>
              <w:bottom w:val="nil"/>
              <w:right w:val="nil"/>
            </w:tcBorders>
            <w:shd w:val="clear" w:color="000000" w:fill="FCB679"/>
            <w:noWrap/>
            <w:vAlign w:val="center"/>
            <w:hideMark/>
          </w:tcPr>
          <w:p w14:paraId="42717933"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30</w:t>
            </w:r>
          </w:p>
        </w:tc>
        <w:tc>
          <w:tcPr>
            <w:tcW w:w="143" w:type="pct"/>
            <w:tcBorders>
              <w:top w:val="nil"/>
              <w:left w:val="nil"/>
              <w:bottom w:val="nil"/>
              <w:right w:val="nil"/>
            </w:tcBorders>
            <w:shd w:val="clear" w:color="000000" w:fill="63BE7B"/>
            <w:noWrap/>
            <w:vAlign w:val="center"/>
            <w:hideMark/>
          </w:tcPr>
          <w:p w14:paraId="16436CED"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22" w:type="pct"/>
            <w:tcBorders>
              <w:top w:val="nil"/>
              <w:left w:val="nil"/>
              <w:bottom w:val="nil"/>
              <w:right w:val="nil"/>
            </w:tcBorders>
            <w:shd w:val="clear" w:color="000000" w:fill="FEDC81"/>
            <w:noWrap/>
            <w:vAlign w:val="center"/>
            <w:hideMark/>
          </w:tcPr>
          <w:p w14:paraId="33B679F2"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44</w:t>
            </w:r>
          </w:p>
        </w:tc>
        <w:tc>
          <w:tcPr>
            <w:tcW w:w="122" w:type="pct"/>
            <w:tcBorders>
              <w:top w:val="nil"/>
              <w:left w:val="nil"/>
              <w:bottom w:val="nil"/>
              <w:right w:val="nil"/>
            </w:tcBorders>
            <w:shd w:val="clear" w:color="000000" w:fill="ACD380"/>
            <w:noWrap/>
            <w:vAlign w:val="center"/>
            <w:hideMark/>
          </w:tcPr>
          <w:p w14:paraId="7A70F514"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77</w:t>
            </w:r>
          </w:p>
        </w:tc>
        <w:tc>
          <w:tcPr>
            <w:tcW w:w="123" w:type="pct"/>
            <w:tcBorders>
              <w:top w:val="nil"/>
              <w:left w:val="nil"/>
              <w:bottom w:val="nil"/>
              <w:right w:val="nil"/>
            </w:tcBorders>
            <w:shd w:val="clear" w:color="000000" w:fill="E6E483"/>
            <w:noWrap/>
            <w:vAlign w:val="center"/>
            <w:hideMark/>
          </w:tcPr>
          <w:p w14:paraId="5A76FAFF"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58</w:t>
            </w:r>
          </w:p>
        </w:tc>
        <w:tc>
          <w:tcPr>
            <w:tcW w:w="122" w:type="pct"/>
            <w:tcBorders>
              <w:top w:val="nil"/>
              <w:left w:val="nil"/>
              <w:bottom w:val="nil"/>
              <w:right w:val="nil"/>
            </w:tcBorders>
            <w:shd w:val="clear" w:color="000000" w:fill="BCD881"/>
            <w:noWrap/>
            <w:vAlign w:val="center"/>
            <w:hideMark/>
          </w:tcPr>
          <w:p w14:paraId="2187F6DC"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72</w:t>
            </w:r>
          </w:p>
        </w:tc>
        <w:tc>
          <w:tcPr>
            <w:tcW w:w="122" w:type="pct"/>
            <w:tcBorders>
              <w:top w:val="nil"/>
              <w:left w:val="nil"/>
              <w:bottom w:val="nil"/>
              <w:right w:val="nil"/>
            </w:tcBorders>
            <w:shd w:val="clear" w:color="000000" w:fill="8CCA7E"/>
            <w:noWrap/>
            <w:vAlign w:val="center"/>
            <w:hideMark/>
          </w:tcPr>
          <w:p w14:paraId="781610D0"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87</w:t>
            </w:r>
          </w:p>
        </w:tc>
        <w:tc>
          <w:tcPr>
            <w:tcW w:w="122" w:type="pct"/>
            <w:tcBorders>
              <w:top w:val="nil"/>
              <w:left w:val="nil"/>
              <w:bottom w:val="nil"/>
              <w:right w:val="nil"/>
            </w:tcBorders>
            <w:shd w:val="clear" w:color="000000" w:fill="A5D17F"/>
            <w:noWrap/>
            <w:vAlign w:val="center"/>
            <w:hideMark/>
          </w:tcPr>
          <w:p w14:paraId="018FF2ED"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79</w:t>
            </w:r>
          </w:p>
        </w:tc>
        <w:tc>
          <w:tcPr>
            <w:tcW w:w="122" w:type="pct"/>
            <w:tcBorders>
              <w:top w:val="nil"/>
              <w:left w:val="nil"/>
              <w:bottom w:val="nil"/>
              <w:right w:val="nil"/>
            </w:tcBorders>
            <w:shd w:val="clear" w:color="000000" w:fill="DCE182"/>
            <w:noWrap/>
            <w:vAlign w:val="center"/>
            <w:hideMark/>
          </w:tcPr>
          <w:p w14:paraId="0A672F37"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61</w:t>
            </w:r>
          </w:p>
        </w:tc>
        <w:tc>
          <w:tcPr>
            <w:tcW w:w="122" w:type="pct"/>
            <w:tcBorders>
              <w:top w:val="nil"/>
              <w:left w:val="nil"/>
              <w:bottom w:val="nil"/>
              <w:right w:val="nil"/>
            </w:tcBorders>
            <w:shd w:val="clear" w:color="000000" w:fill="FDEB84"/>
            <w:noWrap/>
            <w:vAlign w:val="center"/>
            <w:hideMark/>
          </w:tcPr>
          <w:p w14:paraId="338AFE8A"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51</w:t>
            </w:r>
          </w:p>
        </w:tc>
        <w:tc>
          <w:tcPr>
            <w:tcW w:w="122" w:type="pct"/>
            <w:tcBorders>
              <w:top w:val="nil"/>
              <w:left w:val="nil"/>
              <w:bottom w:val="nil"/>
              <w:right w:val="nil"/>
            </w:tcBorders>
            <w:shd w:val="clear" w:color="000000" w:fill="EDE683"/>
            <w:noWrap/>
            <w:vAlign w:val="center"/>
            <w:hideMark/>
          </w:tcPr>
          <w:p w14:paraId="7653C3E4"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56</w:t>
            </w:r>
          </w:p>
        </w:tc>
        <w:tc>
          <w:tcPr>
            <w:tcW w:w="122" w:type="pct"/>
            <w:tcBorders>
              <w:top w:val="nil"/>
              <w:left w:val="nil"/>
              <w:bottom w:val="nil"/>
              <w:right w:val="nil"/>
            </w:tcBorders>
            <w:shd w:val="clear" w:color="000000" w:fill="C1D981"/>
            <w:noWrap/>
            <w:vAlign w:val="center"/>
            <w:hideMark/>
          </w:tcPr>
          <w:p w14:paraId="068EFC87"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70</w:t>
            </w:r>
          </w:p>
        </w:tc>
        <w:tc>
          <w:tcPr>
            <w:tcW w:w="122" w:type="pct"/>
            <w:tcBorders>
              <w:top w:val="nil"/>
              <w:left w:val="nil"/>
              <w:bottom w:val="nil"/>
              <w:right w:val="nil"/>
            </w:tcBorders>
            <w:shd w:val="clear" w:color="000000" w:fill="DAE182"/>
            <w:noWrap/>
            <w:vAlign w:val="center"/>
            <w:hideMark/>
          </w:tcPr>
          <w:p w14:paraId="367A781F"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62</w:t>
            </w:r>
          </w:p>
        </w:tc>
        <w:tc>
          <w:tcPr>
            <w:tcW w:w="122" w:type="pct"/>
            <w:tcBorders>
              <w:top w:val="nil"/>
              <w:left w:val="nil"/>
              <w:bottom w:val="nil"/>
              <w:right w:val="nil"/>
            </w:tcBorders>
            <w:shd w:val="clear" w:color="000000" w:fill="78C47D"/>
            <w:noWrap/>
            <w:vAlign w:val="center"/>
            <w:hideMark/>
          </w:tcPr>
          <w:p w14:paraId="135F1621"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94</w:t>
            </w:r>
          </w:p>
        </w:tc>
        <w:tc>
          <w:tcPr>
            <w:tcW w:w="122" w:type="pct"/>
            <w:tcBorders>
              <w:top w:val="nil"/>
              <w:left w:val="nil"/>
              <w:bottom w:val="nil"/>
              <w:right w:val="nil"/>
            </w:tcBorders>
            <w:shd w:val="clear" w:color="000000" w:fill="A4D17F"/>
            <w:noWrap/>
            <w:vAlign w:val="center"/>
            <w:hideMark/>
          </w:tcPr>
          <w:p w14:paraId="41E0B3CC"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79</w:t>
            </w:r>
          </w:p>
        </w:tc>
        <w:tc>
          <w:tcPr>
            <w:tcW w:w="123" w:type="pct"/>
            <w:tcBorders>
              <w:top w:val="nil"/>
              <w:left w:val="nil"/>
              <w:bottom w:val="nil"/>
              <w:right w:val="nil"/>
            </w:tcBorders>
            <w:shd w:val="clear" w:color="000000" w:fill="AAD380"/>
            <w:noWrap/>
            <w:vAlign w:val="center"/>
            <w:hideMark/>
          </w:tcPr>
          <w:p w14:paraId="645E81B5"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77</w:t>
            </w:r>
          </w:p>
        </w:tc>
        <w:tc>
          <w:tcPr>
            <w:tcW w:w="122" w:type="pct"/>
            <w:tcBorders>
              <w:top w:val="nil"/>
              <w:left w:val="nil"/>
              <w:bottom w:val="nil"/>
              <w:right w:val="nil"/>
            </w:tcBorders>
            <w:shd w:val="clear" w:color="000000" w:fill="C2DA81"/>
            <w:noWrap/>
            <w:vAlign w:val="center"/>
            <w:hideMark/>
          </w:tcPr>
          <w:p w14:paraId="18A2EC7A"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70</w:t>
            </w:r>
          </w:p>
        </w:tc>
        <w:tc>
          <w:tcPr>
            <w:tcW w:w="122" w:type="pct"/>
            <w:tcBorders>
              <w:top w:val="nil"/>
              <w:left w:val="nil"/>
              <w:bottom w:val="nil"/>
              <w:right w:val="nil"/>
            </w:tcBorders>
            <w:shd w:val="clear" w:color="000000" w:fill="B1D580"/>
            <w:noWrap/>
            <w:vAlign w:val="center"/>
            <w:hideMark/>
          </w:tcPr>
          <w:p w14:paraId="3D56B121"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75</w:t>
            </w:r>
          </w:p>
        </w:tc>
        <w:tc>
          <w:tcPr>
            <w:tcW w:w="122" w:type="pct"/>
            <w:tcBorders>
              <w:top w:val="nil"/>
              <w:left w:val="nil"/>
              <w:bottom w:val="nil"/>
              <w:right w:val="nil"/>
            </w:tcBorders>
            <w:shd w:val="clear" w:color="000000" w:fill="EAE583"/>
            <w:noWrap/>
            <w:vAlign w:val="center"/>
            <w:hideMark/>
          </w:tcPr>
          <w:p w14:paraId="41D60A4B"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57</w:t>
            </w:r>
          </w:p>
        </w:tc>
        <w:tc>
          <w:tcPr>
            <w:tcW w:w="122" w:type="pct"/>
            <w:tcBorders>
              <w:top w:val="nil"/>
              <w:left w:val="nil"/>
              <w:bottom w:val="nil"/>
              <w:right w:val="nil"/>
            </w:tcBorders>
            <w:shd w:val="clear" w:color="000000" w:fill="B5D680"/>
            <w:noWrap/>
            <w:vAlign w:val="center"/>
            <w:hideMark/>
          </w:tcPr>
          <w:p w14:paraId="4B55A7C7"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74</w:t>
            </w:r>
          </w:p>
        </w:tc>
        <w:tc>
          <w:tcPr>
            <w:tcW w:w="122" w:type="pct"/>
            <w:tcBorders>
              <w:top w:val="nil"/>
              <w:left w:val="nil"/>
              <w:bottom w:val="nil"/>
              <w:right w:val="nil"/>
            </w:tcBorders>
            <w:shd w:val="clear" w:color="000000" w:fill="C6DB81"/>
            <w:noWrap/>
            <w:vAlign w:val="center"/>
            <w:hideMark/>
          </w:tcPr>
          <w:p w14:paraId="3012508A"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68</w:t>
            </w:r>
          </w:p>
        </w:tc>
        <w:tc>
          <w:tcPr>
            <w:tcW w:w="123" w:type="pct"/>
            <w:tcBorders>
              <w:top w:val="nil"/>
              <w:left w:val="nil"/>
              <w:bottom w:val="nil"/>
              <w:right w:val="nil"/>
            </w:tcBorders>
            <w:shd w:val="clear" w:color="000000" w:fill="C8DB81"/>
            <w:noWrap/>
            <w:vAlign w:val="center"/>
            <w:hideMark/>
          </w:tcPr>
          <w:p w14:paraId="49A89067"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68</w:t>
            </w:r>
          </w:p>
        </w:tc>
        <w:tc>
          <w:tcPr>
            <w:tcW w:w="122" w:type="pct"/>
            <w:tcBorders>
              <w:top w:val="nil"/>
              <w:left w:val="nil"/>
              <w:bottom w:val="nil"/>
              <w:right w:val="nil"/>
            </w:tcBorders>
            <w:shd w:val="clear" w:color="000000" w:fill="FCEB84"/>
            <w:noWrap/>
            <w:vAlign w:val="center"/>
            <w:hideMark/>
          </w:tcPr>
          <w:p w14:paraId="62B8AA30"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51</w:t>
            </w:r>
          </w:p>
        </w:tc>
      </w:tr>
      <w:tr w:rsidR="00B656F6" w:rsidRPr="00634756" w14:paraId="37AC8CDE" w14:textId="77777777" w:rsidTr="008F0944">
        <w:trPr>
          <w:trHeight w:val="113"/>
        </w:trPr>
        <w:tc>
          <w:tcPr>
            <w:tcW w:w="131" w:type="pct"/>
            <w:vMerge w:val="restart"/>
            <w:tcBorders>
              <w:top w:val="nil"/>
              <w:left w:val="nil"/>
              <w:right w:val="nil"/>
            </w:tcBorders>
            <w:shd w:val="clear" w:color="auto" w:fill="BDD6EE" w:themeFill="accent5" w:themeFillTint="66"/>
            <w:textDirection w:val="btLr"/>
          </w:tcPr>
          <w:p w14:paraId="1E5216FD" w14:textId="77777777" w:rsidR="00B656F6" w:rsidRPr="00634756" w:rsidRDefault="00B656F6" w:rsidP="008F0944">
            <w:pPr>
              <w:snapToGrid w:val="0"/>
              <w:jc w:val="right"/>
              <w:rPr>
                <w:rFonts w:ascii="等线" w:eastAsia="等线" w:hAnsi="等线" w:cs="宋体"/>
                <w:b/>
                <w:color w:val="000000"/>
                <w:sz w:val="15"/>
                <w:szCs w:val="15"/>
              </w:rPr>
            </w:pPr>
            <w:r w:rsidRPr="00634756">
              <w:rPr>
                <w:rFonts w:ascii="等线" w:eastAsia="等线" w:hAnsi="等线" w:cs="宋体"/>
                <w:b/>
                <w:color w:val="000000"/>
                <w:sz w:val="15"/>
                <w:szCs w:val="15"/>
              </w:rPr>
              <w:t>Central China</w:t>
            </w:r>
          </w:p>
        </w:tc>
        <w:tc>
          <w:tcPr>
            <w:tcW w:w="469" w:type="pct"/>
            <w:tcBorders>
              <w:top w:val="nil"/>
              <w:left w:val="nil"/>
              <w:bottom w:val="nil"/>
              <w:right w:val="nil"/>
            </w:tcBorders>
            <w:shd w:val="clear" w:color="auto" w:fill="BDD6EE" w:themeFill="accent5" w:themeFillTint="66"/>
            <w:noWrap/>
            <w:vAlign w:val="center"/>
            <w:hideMark/>
          </w:tcPr>
          <w:p w14:paraId="4E4897B7" w14:textId="77777777" w:rsidR="00B656F6" w:rsidRPr="00EB4864" w:rsidRDefault="00B656F6" w:rsidP="008F0944">
            <w:pPr>
              <w:snapToGrid w:val="0"/>
              <w:jc w:val="right"/>
              <w:rPr>
                <w:rFonts w:ascii="等线" w:eastAsia="等线" w:hAnsi="等线" w:cs="宋体"/>
                <w:b/>
                <w:color w:val="000000"/>
                <w:sz w:val="15"/>
                <w:szCs w:val="15"/>
              </w:rPr>
            </w:pPr>
            <w:r w:rsidRPr="00EB4864">
              <w:rPr>
                <w:rFonts w:ascii="等线" w:eastAsia="等线" w:hAnsi="等线" w:cs="宋体"/>
                <w:b/>
                <w:color w:val="000000"/>
                <w:sz w:val="15"/>
                <w:szCs w:val="15"/>
              </w:rPr>
              <w:t>Shanxi</w:t>
            </w:r>
          </w:p>
        </w:tc>
        <w:tc>
          <w:tcPr>
            <w:tcW w:w="122" w:type="pct"/>
            <w:tcBorders>
              <w:top w:val="nil"/>
              <w:left w:val="nil"/>
              <w:bottom w:val="nil"/>
              <w:right w:val="nil"/>
            </w:tcBorders>
            <w:shd w:val="clear" w:color="000000" w:fill="8CCA7E"/>
            <w:noWrap/>
            <w:vAlign w:val="center"/>
            <w:hideMark/>
          </w:tcPr>
          <w:p w14:paraId="51F11CF9"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87</w:t>
            </w:r>
          </w:p>
        </w:tc>
        <w:tc>
          <w:tcPr>
            <w:tcW w:w="143" w:type="pct"/>
            <w:tcBorders>
              <w:top w:val="nil"/>
              <w:left w:val="nil"/>
              <w:bottom w:val="nil"/>
              <w:right w:val="nil"/>
            </w:tcBorders>
            <w:shd w:val="clear" w:color="000000" w:fill="63BE7B"/>
            <w:noWrap/>
            <w:vAlign w:val="center"/>
            <w:hideMark/>
          </w:tcPr>
          <w:p w14:paraId="29F15FF7"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22" w:type="pct"/>
            <w:tcBorders>
              <w:top w:val="nil"/>
              <w:left w:val="nil"/>
              <w:bottom w:val="nil"/>
              <w:right w:val="nil"/>
            </w:tcBorders>
            <w:shd w:val="clear" w:color="000000" w:fill="75C47D"/>
            <w:noWrap/>
            <w:vAlign w:val="center"/>
            <w:hideMark/>
          </w:tcPr>
          <w:p w14:paraId="2BFB429A"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94</w:t>
            </w:r>
          </w:p>
        </w:tc>
        <w:tc>
          <w:tcPr>
            <w:tcW w:w="122" w:type="pct"/>
            <w:tcBorders>
              <w:top w:val="nil"/>
              <w:left w:val="nil"/>
              <w:bottom w:val="nil"/>
              <w:right w:val="nil"/>
            </w:tcBorders>
            <w:shd w:val="clear" w:color="000000" w:fill="7DC67D"/>
            <w:noWrap/>
            <w:vAlign w:val="center"/>
            <w:hideMark/>
          </w:tcPr>
          <w:p w14:paraId="6136C671"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92</w:t>
            </w:r>
          </w:p>
        </w:tc>
        <w:tc>
          <w:tcPr>
            <w:tcW w:w="143" w:type="pct"/>
            <w:tcBorders>
              <w:top w:val="nil"/>
              <w:left w:val="nil"/>
              <w:bottom w:val="nil"/>
              <w:right w:val="nil"/>
            </w:tcBorders>
            <w:shd w:val="clear" w:color="000000" w:fill="63BE7B"/>
            <w:noWrap/>
            <w:vAlign w:val="center"/>
            <w:hideMark/>
          </w:tcPr>
          <w:p w14:paraId="0D67B53F"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22" w:type="pct"/>
            <w:tcBorders>
              <w:top w:val="nil"/>
              <w:left w:val="nil"/>
              <w:bottom w:val="nil"/>
              <w:right w:val="nil"/>
            </w:tcBorders>
            <w:shd w:val="clear" w:color="000000" w:fill="9ACE7F"/>
            <w:noWrap/>
            <w:vAlign w:val="center"/>
            <w:hideMark/>
          </w:tcPr>
          <w:p w14:paraId="5EA0DD58"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82</w:t>
            </w:r>
          </w:p>
        </w:tc>
        <w:tc>
          <w:tcPr>
            <w:tcW w:w="143" w:type="pct"/>
            <w:tcBorders>
              <w:top w:val="nil"/>
              <w:left w:val="nil"/>
              <w:bottom w:val="nil"/>
              <w:right w:val="nil"/>
            </w:tcBorders>
            <w:shd w:val="clear" w:color="000000" w:fill="63BE7B"/>
            <w:noWrap/>
            <w:vAlign w:val="center"/>
            <w:hideMark/>
          </w:tcPr>
          <w:p w14:paraId="5C58604B"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43" w:type="pct"/>
            <w:tcBorders>
              <w:top w:val="nil"/>
              <w:left w:val="nil"/>
              <w:bottom w:val="nil"/>
              <w:right w:val="nil"/>
            </w:tcBorders>
            <w:shd w:val="clear" w:color="000000" w:fill="63BE7B"/>
            <w:noWrap/>
            <w:vAlign w:val="center"/>
            <w:hideMark/>
          </w:tcPr>
          <w:p w14:paraId="45730998"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43" w:type="pct"/>
            <w:tcBorders>
              <w:top w:val="nil"/>
              <w:left w:val="nil"/>
              <w:bottom w:val="nil"/>
              <w:right w:val="nil"/>
            </w:tcBorders>
            <w:shd w:val="clear" w:color="000000" w:fill="79C57D"/>
            <w:noWrap/>
            <w:vAlign w:val="center"/>
            <w:hideMark/>
          </w:tcPr>
          <w:p w14:paraId="6943D8B8"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93</w:t>
            </w:r>
          </w:p>
        </w:tc>
        <w:tc>
          <w:tcPr>
            <w:tcW w:w="122" w:type="pct"/>
            <w:tcBorders>
              <w:top w:val="nil"/>
              <w:left w:val="nil"/>
              <w:bottom w:val="nil"/>
              <w:right w:val="nil"/>
            </w:tcBorders>
            <w:shd w:val="clear" w:color="000000" w:fill="D1DE82"/>
            <w:noWrap/>
            <w:vAlign w:val="center"/>
            <w:hideMark/>
          </w:tcPr>
          <w:p w14:paraId="6ADDF624"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65</w:t>
            </w:r>
          </w:p>
        </w:tc>
        <w:tc>
          <w:tcPr>
            <w:tcW w:w="122" w:type="pct"/>
            <w:tcBorders>
              <w:top w:val="nil"/>
              <w:left w:val="nil"/>
              <w:bottom w:val="nil"/>
              <w:right w:val="nil"/>
            </w:tcBorders>
            <w:shd w:val="clear" w:color="000000" w:fill="86C87D"/>
            <w:noWrap/>
            <w:vAlign w:val="center"/>
            <w:hideMark/>
          </w:tcPr>
          <w:p w14:paraId="6038A11D"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89</w:t>
            </w:r>
          </w:p>
        </w:tc>
        <w:tc>
          <w:tcPr>
            <w:tcW w:w="122" w:type="pct"/>
            <w:tcBorders>
              <w:top w:val="nil"/>
              <w:left w:val="nil"/>
              <w:bottom w:val="nil"/>
              <w:right w:val="nil"/>
            </w:tcBorders>
            <w:shd w:val="clear" w:color="000000" w:fill="99CE7F"/>
            <w:noWrap/>
            <w:vAlign w:val="center"/>
            <w:hideMark/>
          </w:tcPr>
          <w:p w14:paraId="7789ADDF"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83</w:t>
            </w:r>
          </w:p>
        </w:tc>
        <w:tc>
          <w:tcPr>
            <w:tcW w:w="122" w:type="pct"/>
            <w:tcBorders>
              <w:top w:val="nil"/>
              <w:left w:val="nil"/>
              <w:bottom w:val="nil"/>
              <w:right w:val="nil"/>
            </w:tcBorders>
            <w:shd w:val="clear" w:color="000000" w:fill="A4D17F"/>
            <w:noWrap/>
            <w:vAlign w:val="center"/>
            <w:hideMark/>
          </w:tcPr>
          <w:p w14:paraId="77E04A21"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79</w:t>
            </w:r>
          </w:p>
        </w:tc>
        <w:tc>
          <w:tcPr>
            <w:tcW w:w="143" w:type="pct"/>
            <w:tcBorders>
              <w:top w:val="nil"/>
              <w:left w:val="nil"/>
              <w:bottom w:val="nil"/>
              <w:right w:val="nil"/>
            </w:tcBorders>
            <w:shd w:val="clear" w:color="000000" w:fill="63BE7B"/>
            <w:noWrap/>
            <w:vAlign w:val="center"/>
            <w:hideMark/>
          </w:tcPr>
          <w:p w14:paraId="7288D995"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22" w:type="pct"/>
            <w:tcBorders>
              <w:top w:val="nil"/>
              <w:left w:val="nil"/>
              <w:bottom w:val="nil"/>
              <w:right w:val="nil"/>
            </w:tcBorders>
            <w:shd w:val="clear" w:color="000000" w:fill="FFEB84"/>
            <w:noWrap/>
            <w:vAlign w:val="center"/>
            <w:hideMark/>
          </w:tcPr>
          <w:p w14:paraId="0710243D"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50</w:t>
            </w:r>
          </w:p>
        </w:tc>
        <w:tc>
          <w:tcPr>
            <w:tcW w:w="122" w:type="pct"/>
            <w:tcBorders>
              <w:top w:val="nil"/>
              <w:left w:val="nil"/>
              <w:bottom w:val="nil"/>
              <w:right w:val="nil"/>
            </w:tcBorders>
            <w:shd w:val="clear" w:color="000000" w:fill="A2D17F"/>
            <w:noWrap/>
            <w:vAlign w:val="center"/>
            <w:hideMark/>
          </w:tcPr>
          <w:p w14:paraId="114AFC6C"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80</w:t>
            </w:r>
          </w:p>
        </w:tc>
        <w:tc>
          <w:tcPr>
            <w:tcW w:w="123" w:type="pct"/>
            <w:tcBorders>
              <w:top w:val="nil"/>
              <w:left w:val="nil"/>
              <w:bottom w:val="nil"/>
              <w:right w:val="nil"/>
            </w:tcBorders>
            <w:shd w:val="clear" w:color="000000" w:fill="ADD480"/>
            <w:noWrap/>
            <w:vAlign w:val="center"/>
            <w:hideMark/>
          </w:tcPr>
          <w:p w14:paraId="04C280EC"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77</w:t>
            </w:r>
          </w:p>
        </w:tc>
        <w:tc>
          <w:tcPr>
            <w:tcW w:w="122" w:type="pct"/>
            <w:tcBorders>
              <w:top w:val="nil"/>
              <w:left w:val="nil"/>
              <w:bottom w:val="nil"/>
              <w:right w:val="nil"/>
            </w:tcBorders>
            <w:shd w:val="clear" w:color="000000" w:fill="C0D981"/>
            <w:noWrap/>
            <w:vAlign w:val="center"/>
            <w:hideMark/>
          </w:tcPr>
          <w:p w14:paraId="34D88E5D"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70</w:t>
            </w:r>
          </w:p>
        </w:tc>
        <w:tc>
          <w:tcPr>
            <w:tcW w:w="122" w:type="pct"/>
            <w:tcBorders>
              <w:top w:val="nil"/>
              <w:left w:val="nil"/>
              <w:bottom w:val="nil"/>
              <w:right w:val="nil"/>
            </w:tcBorders>
            <w:shd w:val="clear" w:color="000000" w:fill="7AC57D"/>
            <w:noWrap/>
            <w:vAlign w:val="center"/>
            <w:hideMark/>
          </w:tcPr>
          <w:p w14:paraId="72DA5B33"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93</w:t>
            </w:r>
          </w:p>
        </w:tc>
        <w:tc>
          <w:tcPr>
            <w:tcW w:w="122" w:type="pct"/>
            <w:tcBorders>
              <w:top w:val="nil"/>
              <w:left w:val="nil"/>
              <w:bottom w:val="nil"/>
              <w:right w:val="nil"/>
            </w:tcBorders>
            <w:shd w:val="clear" w:color="000000" w:fill="A0D07F"/>
            <w:noWrap/>
            <w:vAlign w:val="center"/>
            <w:hideMark/>
          </w:tcPr>
          <w:p w14:paraId="3DE9B66D"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81</w:t>
            </w:r>
          </w:p>
        </w:tc>
        <w:tc>
          <w:tcPr>
            <w:tcW w:w="122" w:type="pct"/>
            <w:tcBorders>
              <w:top w:val="nil"/>
              <w:left w:val="nil"/>
              <w:bottom w:val="nil"/>
              <w:right w:val="nil"/>
            </w:tcBorders>
            <w:shd w:val="clear" w:color="000000" w:fill="BAD881"/>
            <w:noWrap/>
            <w:vAlign w:val="center"/>
            <w:hideMark/>
          </w:tcPr>
          <w:p w14:paraId="4A085A06"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72</w:t>
            </w:r>
          </w:p>
        </w:tc>
        <w:tc>
          <w:tcPr>
            <w:tcW w:w="122" w:type="pct"/>
            <w:tcBorders>
              <w:top w:val="nil"/>
              <w:left w:val="nil"/>
              <w:bottom w:val="nil"/>
              <w:right w:val="nil"/>
            </w:tcBorders>
            <w:shd w:val="clear" w:color="000000" w:fill="F6E984"/>
            <w:noWrap/>
            <w:vAlign w:val="center"/>
            <w:hideMark/>
          </w:tcPr>
          <w:p w14:paraId="3D727DA2"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53</w:t>
            </w:r>
          </w:p>
        </w:tc>
        <w:tc>
          <w:tcPr>
            <w:tcW w:w="122" w:type="pct"/>
            <w:tcBorders>
              <w:top w:val="nil"/>
              <w:left w:val="nil"/>
              <w:bottom w:val="nil"/>
              <w:right w:val="nil"/>
            </w:tcBorders>
            <w:shd w:val="clear" w:color="000000" w:fill="DBE182"/>
            <w:noWrap/>
            <w:vAlign w:val="center"/>
            <w:hideMark/>
          </w:tcPr>
          <w:p w14:paraId="6C4A8771"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62</w:t>
            </w:r>
          </w:p>
        </w:tc>
        <w:tc>
          <w:tcPr>
            <w:tcW w:w="122" w:type="pct"/>
            <w:tcBorders>
              <w:top w:val="nil"/>
              <w:left w:val="nil"/>
              <w:bottom w:val="nil"/>
              <w:right w:val="nil"/>
            </w:tcBorders>
            <w:shd w:val="clear" w:color="000000" w:fill="F0E784"/>
            <w:noWrap/>
            <w:vAlign w:val="center"/>
            <w:hideMark/>
          </w:tcPr>
          <w:p w14:paraId="023AE0DB"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55</w:t>
            </w:r>
          </w:p>
        </w:tc>
        <w:tc>
          <w:tcPr>
            <w:tcW w:w="122" w:type="pct"/>
            <w:tcBorders>
              <w:top w:val="nil"/>
              <w:left w:val="nil"/>
              <w:bottom w:val="nil"/>
              <w:right w:val="nil"/>
            </w:tcBorders>
            <w:shd w:val="clear" w:color="000000" w:fill="F1E784"/>
            <w:noWrap/>
            <w:vAlign w:val="center"/>
            <w:hideMark/>
          </w:tcPr>
          <w:p w14:paraId="27D0ED21"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55</w:t>
            </w:r>
          </w:p>
        </w:tc>
        <w:tc>
          <w:tcPr>
            <w:tcW w:w="122" w:type="pct"/>
            <w:tcBorders>
              <w:top w:val="nil"/>
              <w:left w:val="nil"/>
              <w:bottom w:val="nil"/>
              <w:right w:val="nil"/>
            </w:tcBorders>
            <w:shd w:val="clear" w:color="000000" w:fill="70C27C"/>
            <w:noWrap/>
            <w:vAlign w:val="center"/>
            <w:hideMark/>
          </w:tcPr>
          <w:p w14:paraId="1525CDFB"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96</w:t>
            </w:r>
          </w:p>
        </w:tc>
        <w:tc>
          <w:tcPr>
            <w:tcW w:w="122" w:type="pct"/>
            <w:tcBorders>
              <w:top w:val="nil"/>
              <w:left w:val="nil"/>
              <w:bottom w:val="nil"/>
              <w:right w:val="nil"/>
            </w:tcBorders>
            <w:shd w:val="clear" w:color="000000" w:fill="C2DA81"/>
            <w:noWrap/>
            <w:vAlign w:val="center"/>
            <w:hideMark/>
          </w:tcPr>
          <w:p w14:paraId="665BC922"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70</w:t>
            </w:r>
          </w:p>
        </w:tc>
        <w:tc>
          <w:tcPr>
            <w:tcW w:w="123" w:type="pct"/>
            <w:tcBorders>
              <w:top w:val="nil"/>
              <w:left w:val="nil"/>
              <w:bottom w:val="nil"/>
              <w:right w:val="nil"/>
            </w:tcBorders>
            <w:shd w:val="clear" w:color="000000" w:fill="BCD881"/>
            <w:noWrap/>
            <w:vAlign w:val="center"/>
            <w:hideMark/>
          </w:tcPr>
          <w:p w14:paraId="6A400AF8"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72</w:t>
            </w:r>
          </w:p>
        </w:tc>
        <w:tc>
          <w:tcPr>
            <w:tcW w:w="122" w:type="pct"/>
            <w:tcBorders>
              <w:top w:val="nil"/>
              <w:left w:val="nil"/>
              <w:bottom w:val="nil"/>
              <w:right w:val="nil"/>
            </w:tcBorders>
            <w:shd w:val="clear" w:color="000000" w:fill="FDD17F"/>
            <w:noWrap/>
            <w:vAlign w:val="center"/>
            <w:hideMark/>
          </w:tcPr>
          <w:p w14:paraId="35F1C255"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40</w:t>
            </w:r>
          </w:p>
        </w:tc>
        <w:tc>
          <w:tcPr>
            <w:tcW w:w="122" w:type="pct"/>
            <w:tcBorders>
              <w:top w:val="nil"/>
              <w:left w:val="nil"/>
              <w:bottom w:val="nil"/>
              <w:right w:val="nil"/>
            </w:tcBorders>
            <w:shd w:val="clear" w:color="000000" w:fill="C8DB81"/>
            <w:noWrap/>
            <w:vAlign w:val="center"/>
            <w:hideMark/>
          </w:tcPr>
          <w:p w14:paraId="16B9027C"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68</w:t>
            </w:r>
          </w:p>
        </w:tc>
        <w:tc>
          <w:tcPr>
            <w:tcW w:w="122" w:type="pct"/>
            <w:tcBorders>
              <w:top w:val="nil"/>
              <w:left w:val="nil"/>
              <w:bottom w:val="nil"/>
              <w:right w:val="nil"/>
            </w:tcBorders>
            <w:shd w:val="clear" w:color="000000" w:fill="EBE683"/>
            <w:noWrap/>
            <w:vAlign w:val="center"/>
            <w:hideMark/>
          </w:tcPr>
          <w:p w14:paraId="52A10D16"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57</w:t>
            </w:r>
          </w:p>
        </w:tc>
        <w:tc>
          <w:tcPr>
            <w:tcW w:w="122" w:type="pct"/>
            <w:tcBorders>
              <w:top w:val="nil"/>
              <w:left w:val="nil"/>
              <w:bottom w:val="nil"/>
              <w:right w:val="nil"/>
            </w:tcBorders>
            <w:shd w:val="clear" w:color="000000" w:fill="B1D580"/>
            <w:noWrap/>
            <w:vAlign w:val="center"/>
            <w:hideMark/>
          </w:tcPr>
          <w:p w14:paraId="077FEE1F"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75</w:t>
            </w:r>
          </w:p>
        </w:tc>
        <w:tc>
          <w:tcPr>
            <w:tcW w:w="122" w:type="pct"/>
            <w:tcBorders>
              <w:top w:val="nil"/>
              <w:left w:val="nil"/>
              <w:bottom w:val="nil"/>
              <w:right w:val="nil"/>
            </w:tcBorders>
            <w:shd w:val="clear" w:color="000000" w:fill="C6DB81"/>
            <w:noWrap/>
            <w:vAlign w:val="center"/>
            <w:hideMark/>
          </w:tcPr>
          <w:p w14:paraId="51DEC8AB"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69</w:t>
            </w:r>
          </w:p>
        </w:tc>
        <w:tc>
          <w:tcPr>
            <w:tcW w:w="123" w:type="pct"/>
            <w:tcBorders>
              <w:top w:val="nil"/>
              <w:left w:val="nil"/>
              <w:bottom w:val="nil"/>
              <w:right w:val="nil"/>
            </w:tcBorders>
            <w:shd w:val="clear" w:color="000000" w:fill="E8E583"/>
            <w:noWrap/>
            <w:vAlign w:val="center"/>
            <w:hideMark/>
          </w:tcPr>
          <w:p w14:paraId="6AC524CE"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58</w:t>
            </w:r>
          </w:p>
        </w:tc>
        <w:tc>
          <w:tcPr>
            <w:tcW w:w="122" w:type="pct"/>
            <w:tcBorders>
              <w:top w:val="nil"/>
              <w:left w:val="nil"/>
              <w:bottom w:val="nil"/>
              <w:right w:val="nil"/>
            </w:tcBorders>
            <w:shd w:val="clear" w:color="000000" w:fill="EDE683"/>
            <w:noWrap/>
            <w:vAlign w:val="center"/>
            <w:hideMark/>
          </w:tcPr>
          <w:p w14:paraId="2821E720"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56</w:t>
            </w:r>
          </w:p>
        </w:tc>
      </w:tr>
      <w:tr w:rsidR="00B656F6" w:rsidRPr="00634756" w14:paraId="4C3EE70C" w14:textId="77777777" w:rsidTr="008F0944">
        <w:trPr>
          <w:trHeight w:val="113"/>
        </w:trPr>
        <w:tc>
          <w:tcPr>
            <w:tcW w:w="131" w:type="pct"/>
            <w:vMerge/>
            <w:tcBorders>
              <w:left w:val="nil"/>
              <w:right w:val="nil"/>
            </w:tcBorders>
            <w:shd w:val="clear" w:color="auto" w:fill="BDD6EE" w:themeFill="accent5" w:themeFillTint="66"/>
          </w:tcPr>
          <w:p w14:paraId="71A4FD1B" w14:textId="77777777" w:rsidR="00B656F6" w:rsidRPr="00634756" w:rsidRDefault="00B656F6" w:rsidP="008F0944">
            <w:pPr>
              <w:snapToGrid w:val="0"/>
              <w:jc w:val="right"/>
              <w:rPr>
                <w:rFonts w:ascii="等线" w:eastAsia="等线" w:hAnsi="等线" w:cs="宋体"/>
                <w:b/>
                <w:color w:val="000000"/>
                <w:sz w:val="15"/>
                <w:szCs w:val="15"/>
              </w:rPr>
            </w:pPr>
          </w:p>
        </w:tc>
        <w:tc>
          <w:tcPr>
            <w:tcW w:w="469" w:type="pct"/>
            <w:tcBorders>
              <w:top w:val="nil"/>
              <w:left w:val="nil"/>
              <w:bottom w:val="nil"/>
              <w:right w:val="nil"/>
            </w:tcBorders>
            <w:shd w:val="clear" w:color="auto" w:fill="BDD6EE" w:themeFill="accent5" w:themeFillTint="66"/>
            <w:noWrap/>
            <w:vAlign w:val="center"/>
            <w:hideMark/>
          </w:tcPr>
          <w:p w14:paraId="618EFA8E" w14:textId="77777777" w:rsidR="00B656F6" w:rsidRPr="00EB4864" w:rsidRDefault="00B656F6" w:rsidP="008F0944">
            <w:pPr>
              <w:snapToGrid w:val="0"/>
              <w:jc w:val="right"/>
              <w:rPr>
                <w:rFonts w:ascii="等线" w:eastAsia="等线" w:hAnsi="等线" w:cs="宋体"/>
                <w:b/>
                <w:color w:val="000000"/>
                <w:sz w:val="15"/>
                <w:szCs w:val="15"/>
              </w:rPr>
            </w:pPr>
            <w:r w:rsidRPr="00EB4864">
              <w:rPr>
                <w:rFonts w:ascii="等线" w:eastAsia="等线" w:hAnsi="等线" w:cs="宋体"/>
                <w:b/>
                <w:color w:val="000000"/>
                <w:sz w:val="15"/>
                <w:szCs w:val="15"/>
              </w:rPr>
              <w:t>Jilin</w:t>
            </w:r>
          </w:p>
        </w:tc>
        <w:tc>
          <w:tcPr>
            <w:tcW w:w="122" w:type="pct"/>
            <w:tcBorders>
              <w:top w:val="nil"/>
              <w:left w:val="nil"/>
              <w:bottom w:val="nil"/>
              <w:right w:val="nil"/>
            </w:tcBorders>
            <w:shd w:val="clear" w:color="000000" w:fill="8CCA7E"/>
            <w:noWrap/>
            <w:vAlign w:val="center"/>
            <w:hideMark/>
          </w:tcPr>
          <w:p w14:paraId="452EFC44"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87</w:t>
            </w:r>
          </w:p>
        </w:tc>
        <w:tc>
          <w:tcPr>
            <w:tcW w:w="143" w:type="pct"/>
            <w:tcBorders>
              <w:top w:val="nil"/>
              <w:left w:val="nil"/>
              <w:bottom w:val="nil"/>
              <w:right w:val="nil"/>
            </w:tcBorders>
            <w:shd w:val="clear" w:color="000000" w:fill="63BE7B"/>
            <w:noWrap/>
            <w:vAlign w:val="center"/>
            <w:hideMark/>
          </w:tcPr>
          <w:p w14:paraId="36909F03"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22" w:type="pct"/>
            <w:tcBorders>
              <w:top w:val="nil"/>
              <w:left w:val="nil"/>
              <w:bottom w:val="nil"/>
              <w:right w:val="nil"/>
            </w:tcBorders>
            <w:shd w:val="clear" w:color="000000" w:fill="74C37C"/>
            <w:noWrap/>
            <w:vAlign w:val="center"/>
            <w:hideMark/>
          </w:tcPr>
          <w:p w14:paraId="6530F58D"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95</w:t>
            </w:r>
          </w:p>
        </w:tc>
        <w:tc>
          <w:tcPr>
            <w:tcW w:w="122" w:type="pct"/>
            <w:tcBorders>
              <w:top w:val="nil"/>
              <w:left w:val="nil"/>
              <w:bottom w:val="nil"/>
              <w:right w:val="nil"/>
            </w:tcBorders>
            <w:shd w:val="clear" w:color="000000" w:fill="7CC67D"/>
            <w:noWrap/>
            <w:vAlign w:val="center"/>
            <w:hideMark/>
          </w:tcPr>
          <w:p w14:paraId="22491CA8"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92</w:t>
            </w:r>
          </w:p>
        </w:tc>
        <w:tc>
          <w:tcPr>
            <w:tcW w:w="143" w:type="pct"/>
            <w:tcBorders>
              <w:top w:val="nil"/>
              <w:left w:val="nil"/>
              <w:bottom w:val="nil"/>
              <w:right w:val="nil"/>
            </w:tcBorders>
            <w:shd w:val="clear" w:color="000000" w:fill="63BE7B"/>
            <w:noWrap/>
            <w:vAlign w:val="center"/>
            <w:hideMark/>
          </w:tcPr>
          <w:p w14:paraId="69DD2B3A"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22" w:type="pct"/>
            <w:tcBorders>
              <w:top w:val="nil"/>
              <w:left w:val="nil"/>
              <w:bottom w:val="nil"/>
              <w:right w:val="nil"/>
            </w:tcBorders>
            <w:shd w:val="clear" w:color="000000" w:fill="74C37C"/>
            <w:noWrap/>
            <w:vAlign w:val="center"/>
            <w:hideMark/>
          </w:tcPr>
          <w:p w14:paraId="64D033DF"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95</w:t>
            </w:r>
          </w:p>
        </w:tc>
        <w:tc>
          <w:tcPr>
            <w:tcW w:w="143" w:type="pct"/>
            <w:tcBorders>
              <w:top w:val="nil"/>
              <w:left w:val="nil"/>
              <w:bottom w:val="nil"/>
              <w:right w:val="nil"/>
            </w:tcBorders>
            <w:shd w:val="clear" w:color="000000" w:fill="63BE7B"/>
            <w:noWrap/>
            <w:vAlign w:val="center"/>
            <w:hideMark/>
          </w:tcPr>
          <w:p w14:paraId="2262F01E"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43" w:type="pct"/>
            <w:tcBorders>
              <w:top w:val="nil"/>
              <w:left w:val="nil"/>
              <w:bottom w:val="nil"/>
              <w:right w:val="nil"/>
            </w:tcBorders>
            <w:shd w:val="clear" w:color="000000" w:fill="63BE7B"/>
            <w:noWrap/>
            <w:vAlign w:val="center"/>
            <w:hideMark/>
          </w:tcPr>
          <w:p w14:paraId="48A27D46"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43" w:type="pct"/>
            <w:tcBorders>
              <w:top w:val="nil"/>
              <w:left w:val="nil"/>
              <w:bottom w:val="nil"/>
              <w:right w:val="nil"/>
            </w:tcBorders>
            <w:shd w:val="clear" w:color="000000" w:fill="80C77D"/>
            <w:noWrap/>
            <w:vAlign w:val="center"/>
            <w:hideMark/>
          </w:tcPr>
          <w:p w14:paraId="1CACC01F"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91</w:t>
            </w:r>
          </w:p>
        </w:tc>
        <w:tc>
          <w:tcPr>
            <w:tcW w:w="122" w:type="pct"/>
            <w:tcBorders>
              <w:top w:val="nil"/>
              <w:left w:val="nil"/>
              <w:bottom w:val="nil"/>
              <w:right w:val="nil"/>
            </w:tcBorders>
            <w:shd w:val="clear" w:color="000000" w:fill="C9DC81"/>
            <w:noWrap/>
            <w:vAlign w:val="center"/>
            <w:hideMark/>
          </w:tcPr>
          <w:p w14:paraId="2A532900"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67</w:t>
            </w:r>
          </w:p>
        </w:tc>
        <w:tc>
          <w:tcPr>
            <w:tcW w:w="122" w:type="pct"/>
            <w:tcBorders>
              <w:top w:val="nil"/>
              <w:left w:val="nil"/>
              <w:bottom w:val="nil"/>
              <w:right w:val="nil"/>
            </w:tcBorders>
            <w:shd w:val="clear" w:color="000000" w:fill="7FC67D"/>
            <w:noWrap/>
            <w:vAlign w:val="center"/>
            <w:hideMark/>
          </w:tcPr>
          <w:p w14:paraId="5358A044"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91</w:t>
            </w:r>
          </w:p>
        </w:tc>
        <w:tc>
          <w:tcPr>
            <w:tcW w:w="122" w:type="pct"/>
            <w:tcBorders>
              <w:top w:val="nil"/>
              <w:left w:val="nil"/>
              <w:bottom w:val="nil"/>
              <w:right w:val="nil"/>
            </w:tcBorders>
            <w:shd w:val="clear" w:color="000000" w:fill="9FD07F"/>
            <w:noWrap/>
            <w:vAlign w:val="center"/>
            <w:hideMark/>
          </w:tcPr>
          <w:p w14:paraId="0A09448C"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81</w:t>
            </w:r>
          </w:p>
        </w:tc>
        <w:tc>
          <w:tcPr>
            <w:tcW w:w="122" w:type="pct"/>
            <w:tcBorders>
              <w:top w:val="nil"/>
              <w:left w:val="nil"/>
              <w:bottom w:val="nil"/>
              <w:right w:val="nil"/>
            </w:tcBorders>
            <w:shd w:val="clear" w:color="000000" w:fill="E6E483"/>
            <w:noWrap/>
            <w:vAlign w:val="center"/>
            <w:hideMark/>
          </w:tcPr>
          <w:p w14:paraId="20975B4B"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58</w:t>
            </w:r>
          </w:p>
        </w:tc>
        <w:tc>
          <w:tcPr>
            <w:tcW w:w="143" w:type="pct"/>
            <w:tcBorders>
              <w:top w:val="nil"/>
              <w:left w:val="nil"/>
              <w:bottom w:val="nil"/>
              <w:right w:val="nil"/>
            </w:tcBorders>
            <w:shd w:val="clear" w:color="000000" w:fill="63BE7B"/>
            <w:noWrap/>
            <w:vAlign w:val="center"/>
            <w:hideMark/>
          </w:tcPr>
          <w:p w14:paraId="69961B12"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22" w:type="pct"/>
            <w:tcBorders>
              <w:top w:val="nil"/>
              <w:left w:val="nil"/>
              <w:bottom w:val="nil"/>
              <w:right w:val="nil"/>
            </w:tcBorders>
            <w:shd w:val="clear" w:color="000000" w:fill="FEE983"/>
            <w:noWrap/>
            <w:vAlign w:val="center"/>
            <w:hideMark/>
          </w:tcPr>
          <w:p w14:paraId="3E995EAD"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49</w:t>
            </w:r>
          </w:p>
        </w:tc>
        <w:tc>
          <w:tcPr>
            <w:tcW w:w="122" w:type="pct"/>
            <w:tcBorders>
              <w:top w:val="nil"/>
              <w:left w:val="nil"/>
              <w:bottom w:val="nil"/>
              <w:right w:val="nil"/>
            </w:tcBorders>
            <w:shd w:val="clear" w:color="000000" w:fill="96CD7E"/>
            <w:noWrap/>
            <w:vAlign w:val="center"/>
            <w:hideMark/>
          </w:tcPr>
          <w:p w14:paraId="1CD1E439"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84</w:t>
            </w:r>
          </w:p>
        </w:tc>
        <w:tc>
          <w:tcPr>
            <w:tcW w:w="123" w:type="pct"/>
            <w:tcBorders>
              <w:top w:val="nil"/>
              <w:left w:val="nil"/>
              <w:bottom w:val="nil"/>
              <w:right w:val="nil"/>
            </w:tcBorders>
            <w:shd w:val="clear" w:color="000000" w:fill="BAD881"/>
            <w:noWrap/>
            <w:vAlign w:val="center"/>
            <w:hideMark/>
          </w:tcPr>
          <w:p w14:paraId="3B2D1C39"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72</w:t>
            </w:r>
          </w:p>
        </w:tc>
        <w:tc>
          <w:tcPr>
            <w:tcW w:w="122" w:type="pct"/>
            <w:tcBorders>
              <w:top w:val="nil"/>
              <w:left w:val="nil"/>
              <w:bottom w:val="nil"/>
              <w:right w:val="nil"/>
            </w:tcBorders>
            <w:shd w:val="clear" w:color="000000" w:fill="C6DB81"/>
            <w:noWrap/>
            <w:vAlign w:val="center"/>
            <w:hideMark/>
          </w:tcPr>
          <w:p w14:paraId="4CA0956A"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69</w:t>
            </w:r>
          </w:p>
        </w:tc>
        <w:tc>
          <w:tcPr>
            <w:tcW w:w="122" w:type="pct"/>
            <w:tcBorders>
              <w:top w:val="nil"/>
              <w:left w:val="nil"/>
              <w:bottom w:val="nil"/>
              <w:right w:val="nil"/>
            </w:tcBorders>
            <w:shd w:val="clear" w:color="000000" w:fill="7EC67D"/>
            <w:noWrap/>
            <w:vAlign w:val="center"/>
            <w:hideMark/>
          </w:tcPr>
          <w:p w14:paraId="4790F420"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92</w:t>
            </w:r>
          </w:p>
        </w:tc>
        <w:tc>
          <w:tcPr>
            <w:tcW w:w="122" w:type="pct"/>
            <w:tcBorders>
              <w:top w:val="nil"/>
              <w:left w:val="nil"/>
              <w:bottom w:val="nil"/>
              <w:right w:val="nil"/>
            </w:tcBorders>
            <w:shd w:val="clear" w:color="000000" w:fill="A4D17F"/>
            <w:noWrap/>
            <w:vAlign w:val="center"/>
            <w:hideMark/>
          </w:tcPr>
          <w:p w14:paraId="1EF249B1"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79</w:t>
            </w:r>
          </w:p>
        </w:tc>
        <w:tc>
          <w:tcPr>
            <w:tcW w:w="122" w:type="pct"/>
            <w:tcBorders>
              <w:top w:val="nil"/>
              <w:left w:val="nil"/>
              <w:bottom w:val="nil"/>
              <w:right w:val="nil"/>
            </w:tcBorders>
            <w:shd w:val="clear" w:color="000000" w:fill="BAD881"/>
            <w:noWrap/>
            <w:vAlign w:val="center"/>
            <w:hideMark/>
          </w:tcPr>
          <w:p w14:paraId="5001CB84"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72</w:t>
            </w:r>
          </w:p>
        </w:tc>
        <w:tc>
          <w:tcPr>
            <w:tcW w:w="122" w:type="pct"/>
            <w:tcBorders>
              <w:top w:val="nil"/>
              <w:left w:val="nil"/>
              <w:bottom w:val="nil"/>
              <w:right w:val="nil"/>
            </w:tcBorders>
            <w:shd w:val="clear" w:color="000000" w:fill="FFEB84"/>
            <w:noWrap/>
            <w:vAlign w:val="center"/>
            <w:hideMark/>
          </w:tcPr>
          <w:p w14:paraId="6FE953FA"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50</w:t>
            </w:r>
          </w:p>
        </w:tc>
        <w:tc>
          <w:tcPr>
            <w:tcW w:w="122" w:type="pct"/>
            <w:tcBorders>
              <w:top w:val="nil"/>
              <w:left w:val="nil"/>
              <w:bottom w:val="nil"/>
              <w:right w:val="nil"/>
            </w:tcBorders>
            <w:shd w:val="clear" w:color="000000" w:fill="E0E283"/>
            <w:noWrap/>
            <w:vAlign w:val="center"/>
            <w:hideMark/>
          </w:tcPr>
          <w:p w14:paraId="65479388"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60</w:t>
            </w:r>
          </w:p>
        </w:tc>
        <w:tc>
          <w:tcPr>
            <w:tcW w:w="122" w:type="pct"/>
            <w:tcBorders>
              <w:top w:val="nil"/>
              <w:left w:val="nil"/>
              <w:bottom w:val="nil"/>
              <w:right w:val="nil"/>
            </w:tcBorders>
            <w:shd w:val="clear" w:color="000000" w:fill="B2D580"/>
            <w:noWrap/>
            <w:vAlign w:val="center"/>
            <w:hideMark/>
          </w:tcPr>
          <w:p w14:paraId="05F3B009"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75</w:t>
            </w:r>
          </w:p>
        </w:tc>
        <w:tc>
          <w:tcPr>
            <w:tcW w:w="122" w:type="pct"/>
            <w:tcBorders>
              <w:top w:val="nil"/>
              <w:left w:val="nil"/>
              <w:bottom w:val="nil"/>
              <w:right w:val="nil"/>
            </w:tcBorders>
            <w:shd w:val="clear" w:color="000000" w:fill="F3E884"/>
            <w:noWrap/>
            <w:vAlign w:val="center"/>
            <w:hideMark/>
          </w:tcPr>
          <w:p w14:paraId="70B504C3"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54</w:t>
            </w:r>
          </w:p>
        </w:tc>
        <w:tc>
          <w:tcPr>
            <w:tcW w:w="122" w:type="pct"/>
            <w:tcBorders>
              <w:top w:val="nil"/>
              <w:left w:val="nil"/>
              <w:bottom w:val="nil"/>
              <w:right w:val="nil"/>
            </w:tcBorders>
            <w:shd w:val="clear" w:color="000000" w:fill="6FC27C"/>
            <w:noWrap/>
            <w:vAlign w:val="center"/>
            <w:hideMark/>
          </w:tcPr>
          <w:p w14:paraId="6B848F38"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96</w:t>
            </w:r>
          </w:p>
        </w:tc>
        <w:tc>
          <w:tcPr>
            <w:tcW w:w="122" w:type="pct"/>
            <w:tcBorders>
              <w:top w:val="nil"/>
              <w:left w:val="nil"/>
              <w:bottom w:val="nil"/>
              <w:right w:val="nil"/>
            </w:tcBorders>
            <w:shd w:val="clear" w:color="000000" w:fill="ACD480"/>
            <w:noWrap/>
            <w:vAlign w:val="center"/>
            <w:hideMark/>
          </w:tcPr>
          <w:p w14:paraId="57774437"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77</w:t>
            </w:r>
          </w:p>
        </w:tc>
        <w:tc>
          <w:tcPr>
            <w:tcW w:w="123" w:type="pct"/>
            <w:tcBorders>
              <w:top w:val="nil"/>
              <w:left w:val="nil"/>
              <w:bottom w:val="nil"/>
              <w:right w:val="nil"/>
            </w:tcBorders>
            <w:shd w:val="clear" w:color="000000" w:fill="B6D680"/>
            <w:noWrap/>
            <w:vAlign w:val="center"/>
            <w:hideMark/>
          </w:tcPr>
          <w:p w14:paraId="1580C8FA"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74</w:t>
            </w:r>
          </w:p>
        </w:tc>
        <w:tc>
          <w:tcPr>
            <w:tcW w:w="122" w:type="pct"/>
            <w:tcBorders>
              <w:top w:val="nil"/>
              <w:left w:val="nil"/>
              <w:bottom w:val="nil"/>
              <w:right w:val="nil"/>
            </w:tcBorders>
            <w:shd w:val="clear" w:color="000000" w:fill="FCB77A"/>
            <w:noWrap/>
            <w:vAlign w:val="center"/>
            <w:hideMark/>
          </w:tcPr>
          <w:p w14:paraId="08AACDE1"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30</w:t>
            </w:r>
          </w:p>
        </w:tc>
        <w:tc>
          <w:tcPr>
            <w:tcW w:w="122" w:type="pct"/>
            <w:tcBorders>
              <w:top w:val="nil"/>
              <w:left w:val="nil"/>
              <w:bottom w:val="nil"/>
              <w:right w:val="nil"/>
            </w:tcBorders>
            <w:shd w:val="clear" w:color="000000" w:fill="BED881"/>
            <w:noWrap/>
            <w:vAlign w:val="center"/>
            <w:hideMark/>
          </w:tcPr>
          <w:p w14:paraId="1BA8E6EA"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71</w:t>
            </w:r>
          </w:p>
        </w:tc>
        <w:tc>
          <w:tcPr>
            <w:tcW w:w="122" w:type="pct"/>
            <w:tcBorders>
              <w:top w:val="nil"/>
              <w:left w:val="nil"/>
              <w:bottom w:val="nil"/>
              <w:right w:val="nil"/>
            </w:tcBorders>
            <w:shd w:val="clear" w:color="000000" w:fill="E5E483"/>
            <w:noWrap/>
            <w:vAlign w:val="center"/>
            <w:hideMark/>
          </w:tcPr>
          <w:p w14:paraId="39AF5EFF"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58</w:t>
            </w:r>
          </w:p>
        </w:tc>
        <w:tc>
          <w:tcPr>
            <w:tcW w:w="122" w:type="pct"/>
            <w:tcBorders>
              <w:top w:val="nil"/>
              <w:left w:val="nil"/>
              <w:bottom w:val="nil"/>
              <w:right w:val="nil"/>
            </w:tcBorders>
            <w:shd w:val="clear" w:color="000000" w:fill="AFD480"/>
            <w:noWrap/>
            <w:vAlign w:val="center"/>
            <w:hideMark/>
          </w:tcPr>
          <w:p w14:paraId="17DC3B20"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76</w:t>
            </w:r>
          </w:p>
        </w:tc>
        <w:tc>
          <w:tcPr>
            <w:tcW w:w="122" w:type="pct"/>
            <w:tcBorders>
              <w:top w:val="nil"/>
              <w:left w:val="nil"/>
              <w:bottom w:val="nil"/>
              <w:right w:val="nil"/>
            </w:tcBorders>
            <w:shd w:val="clear" w:color="000000" w:fill="C3DA81"/>
            <w:noWrap/>
            <w:vAlign w:val="center"/>
            <w:hideMark/>
          </w:tcPr>
          <w:p w14:paraId="76D4EFF9"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70</w:t>
            </w:r>
          </w:p>
        </w:tc>
        <w:tc>
          <w:tcPr>
            <w:tcW w:w="123" w:type="pct"/>
            <w:tcBorders>
              <w:top w:val="nil"/>
              <w:left w:val="nil"/>
              <w:bottom w:val="nil"/>
              <w:right w:val="nil"/>
            </w:tcBorders>
            <w:shd w:val="clear" w:color="000000" w:fill="F0E784"/>
            <w:noWrap/>
            <w:vAlign w:val="center"/>
            <w:hideMark/>
          </w:tcPr>
          <w:p w14:paraId="620709E2"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55</w:t>
            </w:r>
          </w:p>
        </w:tc>
        <w:tc>
          <w:tcPr>
            <w:tcW w:w="122" w:type="pct"/>
            <w:tcBorders>
              <w:top w:val="nil"/>
              <w:left w:val="nil"/>
              <w:bottom w:val="nil"/>
              <w:right w:val="nil"/>
            </w:tcBorders>
            <w:shd w:val="clear" w:color="000000" w:fill="EEE683"/>
            <w:noWrap/>
            <w:vAlign w:val="center"/>
            <w:hideMark/>
          </w:tcPr>
          <w:p w14:paraId="431308A1"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56</w:t>
            </w:r>
          </w:p>
        </w:tc>
      </w:tr>
      <w:tr w:rsidR="00B656F6" w:rsidRPr="00634756" w14:paraId="6FFF93A5" w14:textId="77777777" w:rsidTr="008F0944">
        <w:trPr>
          <w:trHeight w:val="113"/>
        </w:trPr>
        <w:tc>
          <w:tcPr>
            <w:tcW w:w="131" w:type="pct"/>
            <w:vMerge/>
            <w:tcBorders>
              <w:left w:val="nil"/>
              <w:right w:val="nil"/>
            </w:tcBorders>
            <w:shd w:val="clear" w:color="auto" w:fill="BDD6EE" w:themeFill="accent5" w:themeFillTint="66"/>
          </w:tcPr>
          <w:p w14:paraId="24329A0B" w14:textId="77777777" w:rsidR="00B656F6" w:rsidRPr="00634756" w:rsidRDefault="00B656F6" w:rsidP="008F0944">
            <w:pPr>
              <w:snapToGrid w:val="0"/>
              <w:jc w:val="right"/>
              <w:rPr>
                <w:rFonts w:ascii="等线" w:eastAsia="等线" w:hAnsi="等线" w:cs="宋体"/>
                <w:b/>
                <w:color w:val="000000"/>
                <w:sz w:val="15"/>
                <w:szCs w:val="15"/>
              </w:rPr>
            </w:pPr>
          </w:p>
        </w:tc>
        <w:tc>
          <w:tcPr>
            <w:tcW w:w="469" w:type="pct"/>
            <w:tcBorders>
              <w:top w:val="nil"/>
              <w:left w:val="nil"/>
              <w:bottom w:val="nil"/>
              <w:right w:val="nil"/>
            </w:tcBorders>
            <w:shd w:val="clear" w:color="auto" w:fill="BDD6EE" w:themeFill="accent5" w:themeFillTint="66"/>
            <w:noWrap/>
            <w:vAlign w:val="center"/>
            <w:hideMark/>
          </w:tcPr>
          <w:p w14:paraId="444C53F0" w14:textId="77777777" w:rsidR="00B656F6" w:rsidRPr="00EB4864" w:rsidRDefault="00B656F6" w:rsidP="008F0944">
            <w:pPr>
              <w:snapToGrid w:val="0"/>
              <w:jc w:val="right"/>
              <w:rPr>
                <w:rFonts w:ascii="等线" w:eastAsia="等线" w:hAnsi="等线" w:cs="宋体"/>
                <w:b/>
                <w:color w:val="000000"/>
                <w:sz w:val="15"/>
                <w:szCs w:val="15"/>
              </w:rPr>
            </w:pPr>
            <w:r w:rsidRPr="00EB4864">
              <w:rPr>
                <w:rFonts w:ascii="等线" w:eastAsia="等线" w:hAnsi="等线" w:cs="宋体"/>
                <w:b/>
                <w:color w:val="000000"/>
                <w:sz w:val="15"/>
                <w:szCs w:val="15"/>
              </w:rPr>
              <w:t>Heilongjiang</w:t>
            </w:r>
          </w:p>
        </w:tc>
        <w:tc>
          <w:tcPr>
            <w:tcW w:w="122" w:type="pct"/>
            <w:tcBorders>
              <w:top w:val="nil"/>
              <w:left w:val="nil"/>
              <w:bottom w:val="nil"/>
              <w:right w:val="nil"/>
            </w:tcBorders>
            <w:shd w:val="clear" w:color="000000" w:fill="82C77D"/>
            <w:noWrap/>
            <w:vAlign w:val="center"/>
            <w:hideMark/>
          </w:tcPr>
          <w:p w14:paraId="3F3D0404"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90</w:t>
            </w:r>
          </w:p>
        </w:tc>
        <w:tc>
          <w:tcPr>
            <w:tcW w:w="143" w:type="pct"/>
            <w:tcBorders>
              <w:top w:val="nil"/>
              <w:left w:val="nil"/>
              <w:bottom w:val="nil"/>
              <w:right w:val="nil"/>
            </w:tcBorders>
            <w:shd w:val="clear" w:color="000000" w:fill="63BE7B"/>
            <w:noWrap/>
            <w:vAlign w:val="center"/>
            <w:hideMark/>
          </w:tcPr>
          <w:p w14:paraId="22CFE186"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22" w:type="pct"/>
            <w:tcBorders>
              <w:top w:val="nil"/>
              <w:left w:val="nil"/>
              <w:bottom w:val="nil"/>
              <w:right w:val="nil"/>
            </w:tcBorders>
            <w:shd w:val="clear" w:color="000000" w:fill="6DC17C"/>
            <w:noWrap/>
            <w:vAlign w:val="center"/>
            <w:hideMark/>
          </w:tcPr>
          <w:p w14:paraId="1C0BA3E1"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97</w:t>
            </w:r>
          </w:p>
        </w:tc>
        <w:tc>
          <w:tcPr>
            <w:tcW w:w="122" w:type="pct"/>
            <w:tcBorders>
              <w:top w:val="nil"/>
              <w:left w:val="nil"/>
              <w:bottom w:val="nil"/>
              <w:right w:val="nil"/>
            </w:tcBorders>
            <w:shd w:val="clear" w:color="000000" w:fill="75C47D"/>
            <w:noWrap/>
            <w:vAlign w:val="center"/>
            <w:hideMark/>
          </w:tcPr>
          <w:p w14:paraId="059AAC2F"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94</w:t>
            </w:r>
          </w:p>
        </w:tc>
        <w:tc>
          <w:tcPr>
            <w:tcW w:w="143" w:type="pct"/>
            <w:tcBorders>
              <w:top w:val="nil"/>
              <w:left w:val="nil"/>
              <w:bottom w:val="nil"/>
              <w:right w:val="nil"/>
            </w:tcBorders>
            <w:shd w:val="clear" w:color="000000" w:fill="63BE7B"/>
            <w:noWrap/>
            <w:vAlign w:val="center"/>
            <w:hideMark/>
          </w:tcPr>
          <w:p w14:paraId="19CC3874"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22" w:type="pct"/>
            <w:tcBorders>
              <w:top w:val="nil"/>
              <w:left w:val="nil"/>
              <w:bottom w:val="nil"/>
              <w:right w:val="nil"/>
            </w:tcBorders>
            <w:shd w:val="clear" w:color="000000" w:fill="74C37C"/>
            <w:noWrap/>
            <w:vAlign w:val="center"/>
            <w:hideMark/>
          </w:tcPr>
          <w:p w14:paraId="4A9E8884"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95</w:t>
            </w:r>
          </w:p>
        </w:tc>
        <w:tc>
          <w:tcPr>
            <w:tcW w:w="143" w:type="pct"/>
            <w:tcBorders>
              <w:top w:val="nil"/>
              <w:left w:val="nil"/>
              <w:bottom w:val="nil"/>
              <w:right w:val="nil"/>
            </w:tcBorders>
            <w:shd w:val="clear" w:color="000000" w:fill="63BE7B"/>
            <w:noWrap/>
            <w:vAlign w:val="center"/>
            <w:hideMark/>
          </w:tcPr>
          <w:p w14:paraId="3EE809A5"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43" w:type="pct"/>
            <w:tcBorders>
              <w:top w:val="nil"/>
              <w:left w:val="nil"/>
              <w:bottom w:val="nil"/>
              <w:right w:val="nil"/>
            </w:tcBorders>
            <w:shd w:val="clear" w:color="000000" w:fill="63BE7B"/>
            <w:noWrap/>
            <w:vAlign w:val="center"/>
            <w:hideMark/>
          </w:tcPr>
          <w:p w14:paraId="66C6C2AD"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43" w:type="pct"/>
            <w:tcBorders>
              <w:top w:val="nil"/>
              <w:left w:val="nil"/>
              <w:bottom w:val="nil"/>
              <w:right w:val="nil"/>
            </w:tcBorders>
            <w:shd w:val="clear" w:color="000000" w:fill="84C87D"/>
            <w:noWrap/>
            <w:vAlign w:val="center"/>
            <w:hideMark/>
          </w:tcPr>
          <w:p w14:paraId="7227487A"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90</w:t>
            </w:r>
          </w:p>
        </w:tc>
        <w:tc>
          <w:tcPr>
            <w:tcW w:w="122" w:type="pct"/>
            <w:tcBorders>
              <w:top w:val="nil"/>
              <w:left w:val="nil"/>
              <w:bottom w:val="nil"/>
              <w:right w:val="nil"/>
            </w:tcBorders>
            <w:shd w:val="clear" w:color="000000" w:fill="CCDD82"/>
            <w:noWrap/>
            <w:vAlign w:val="center"/>
            <w:hideMark/>
          </w:tcPr>
          <w:p w14:paraId="68146428"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66</w:t>
            </w:r>
          </w:p>
        </w:tc>
        <w:tc>
          <w:tcPr>
            <w:tcW w:w="122" w:type="pct"/>
            <w:tcBorders>
              <w:top w:val="nil"/>
              <w:left w:val="nil"/>
              <w:bottom w:val="nil"/>
              <w:right w:val="nil"/>
            </w:tcBorders>
            <w:shd w:val="clear" w:color="000000" w:fill="80C77D"/>
            <w:noWrap/>
            <w:vAlign w:val="center"/>
            <w:hideMark/>
          </w:tcPr>
          <w:p w14:paraId="71534BD6"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91</w:t>
            </w:r>
          </w:p>
        </w:tc>
        <w:tc>
          <w:tcPr>
            <w:tcW w:w="122" w:type="pct"/>
            <w:tcBorders>
              <w:top w:val="nil"/>
              <w:left w:val="nil"/>
              <w:bottom w:val="nil"/>
              <w:right w:val="nil"/>
            </w:tcBorders>
            <w:shd w:val="clear" w:color="000000" w:fill="87C97E"/>
            <w:noWrap/>
            <w:vAlign w:val="center"/>
            <w:hideMark/>
          </w:tcPr>
          <w:p w14:paraId="239153DE"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89</w:t>
            </w:r>
          </w:p>
        </w:tc>
        <w:tc>
          <w:tcPr>
            <w:tcW w:w="122" w:type="pct"/>
            <w:tcBorders>
              <w:top w:val="nil"/>
              <w:left w:val="nil"/>
              <w:bottom w:val="nil"/>
              <w:right w:val="nil"/>
            </w:tcBorders>
            <w:shd w:val="clear" w:color="000000" w:fill="D1DE82"/>
            <w:noWrap/>
            <w:vAlign w:val="center"/>
            <w:hideMark/>
          </w:tcPr>
          <w:p w14:paraId="194B40B2"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65</w:t>
            </w:r>
          </w:p>
        </w:tc>
        <w:tc>
          <w:tcPr>
            <w:tcW w:w="143" w:type="pct"/>
            <w:tcBorders>
              <w:top w:val="nil"/>
              <w:left w:val="nil"/>
              <w:bottom w:val="nil"/>
              <w:right w:val="nil"/>
            </w:tcBorders>
            <w:shd w:val="clear" w:color="000000" w:fill="63BE7B"/>
            <w:noWrap/>
            <w:vAlign w:val="center"/>
            <w:hideMark/>
          </w:tcPr>
          <w:p w14:paraId="76FDA65B"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22" w:type="pct"/>
            <w:tcBorders>
              <w:top w:val="nil"/>
              <w:left w:val="nil"/>
              <w:bottom w:val="nil"/>
              <w:right w:val="nil"/>
            </w:tcBorders>
            <w:shd w:val="clear" w:color="000000" w:fill="F8E984"/>
            <w:noWrap/>
            <w:vAlign w:val="center"/>
            <w:hideMark/>
          </w:tcPr>
          <w:p w14:paraId="7BE3EC03"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52</w:t>
            </w:r>
          </w:p>
        </w:tc>
        <w:tc>
          <w:tcPr>
            <w:tcW w:w="122" w:type="pct"/>
            <w:tcBorders>
              <w:top w:val="nil"/>
              <w:left w:val="nil"/>
              <w:bottom w:val="nil"/>
              <w:right w:val="nil"/>
            </w:tcBorders>
            <w:shd w:val="clear" w:color="000000" w:fill="8BCA7E"/>
            <w:noWrap/>
            <w:vAlign w:val="center"/>
            <w:hideMark/>
          </w:tcPr>
          <w:p w14:paraId="71E23223"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87</w:t>
            </w:r>
          </w:p>
        </w:tc>
        <w:tc>
          <w:tcPr>
            <w:tcW w:w="123" w:type="pct"/>
            <w:tcBorders>
              <w:top w:val="nil"/>
              <w:left w:val="nil"/>
              <w:bottom w:val="nil"/>
              <w:right w:val="nil"/>
            </w:tcBorders>
            <w:shd w:val="clear" w:color="000000" w:fill="ADD480"/>
            <w:noWrap/>
            <w:vAlign w:val="center"/>
            <w:hideMark/>
          </w:tcPr>
          <w:p w14:paraId="0DAA5D15"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77</w:t>
            </w:r>
          </w:p>
        </w:tc>
        <w:tc>
          <w:tcPr>
            <w:tcW w:w="122" w:type="pct"/>
            <w:tcBorders>
              <w:top w:val="nil"/>
              <w:left w:val="nil"/>
              <w:bottom w:val="nil"/>
              <w:right w:val="nil"/>
            </w:tcBorders>
            <w:shd w:val="clear" w:color="000000" w:fill="CFDE82"/>
            <w:noWrap/>
            <w:vAlign w:val="center"/>
            <w:hideMark/>
          </w:tcPr>
          <w:p w14:paraId="5BC1A58D"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65</w:t>
            </w:r>
          </w:p>
        </w:tc>
        <w:tc>
          <w:tcPr>
            <w:tcW w:w="122" w:type="pct"/>
            <w:tcBorders>
              <w:top w:val="nil"/>
              <w:left w:val="nil"/>
              <w:bottom w:val="nil"/>
              <w:right w:val="nil"/>
            </w:tcBorders>
            <w:shd w:val="clear" w:color="000000" w:fill="7FC67D"/>
            <w:noWrap/>
            <w:vAlign w:val="center"/>
            <w:hideMark/>
          </w:tcPr>
          <w:p w14:paraId="2EF8F188"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91</w:t>
            </w:r>
          </w:p>
        </w:tc>
        <w:tc>
          <w:tcPr>
            <w:tcW w:w="122" w:type="pct"/>
            <w:tcBorders>
              <w:top w:val="nil"/>
              <w:left w:val="nil"/>
              <w:bottom w:val="nil"/>
              <w:right w:val="nil"/>
            </w:tcBorders>
            <w:shd w:val="clear" w:color="000000" w:fill="AAD380"/>
            <w:noWrap/>
            <w:vAlign w:val="center"/>
            <w:hideMark/>
          </w:tcPr>
          <w:p w14:paraId="1F56CA0C"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77</w:t>
            </w:r>
          </w:p>
        </w:tc>
        <w:tc>
          <w:tcPr>
            <w:tcW w:w="122" w:type="pct"/>
            <w:tcBorders>
              <w:top w:val="nil"/>
              <w:left w:val="nil"/>
              <w:bottom w:val="nil"/>
              <w:right w:val="nil"/>
            </w:tcBorders>
            <w:shd w:val="clear" w:color="000000" w:fill="D8E082"/>
            <w:noWrap/>
            <w:vAlign w:val="center"/>
            <w:hideMark/>
          </w:tcPr>
          <w:p w14:paraId="5F91E774"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63</w:t>
            </w:r>
          </w:p>
        </w:tc>
        <w:tc>
          <w:tcPr>
            <w:tcW w:w="122" w:type="pct"/>
            <w:tcBorders>
              <w:top w:val="nil"/>
              <w:left w:val="nil"/>
              <w:bottom w:val="nil"/>
              <w:right w:val="nil"/>
            </w:tcBorders>
            <w:shd w:val="clear" w:color="000000" w:fill="F6E984"/>
            <w:noWrap/>
            <w:vAlign w:val="center"/>
            <w:hideMark/>
          </w:tcPr>
          <w:p w14:paraId="7B6936B6"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53</w:t>
            </w:r>
          </w:p>
        </w:tc>
        <w:tc>
          <w:tcPr>
            <w:tcW w:w="122" w:type="pct"/>
            <w:tcBorders>
              <w:top w:val="nil"/>
              <w:left w:val="nil"/>
              <w:bottom w:val="nil"/>
              <w:right w:val="nil"/>
            </w:tcBorders>
            <w:shd w:val="clear" w:color="000000" w:fill="E7E583"/>
            <w:noWrap/>
            <w:vAlign w:val="center"/>
            <w:hideMark/>
          </w:tcPr>
          <w:p w14:paraId="0E64E1B3"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58</w:t>
            </w:r>
          </w:p>
        </w:tc>
        <w:tc>
          <w:tcPr>
            <w:tcW w:w="122" w:type="pct"/>
            <w:tcBorders>
              <w:top w:val="nil"/>
              <w:left w:val="nil"/>
              <w:bottom w:val="nil"/>
              <w:right w:val="nil"/>
            </w:tcBorders>
            <w:shd w:val="clear" w:color="000000" w:fill="C2DA81"/>
            <w:noWrap/>
            <w:vAlign w:val="center"/>
            <w:hideMark/>
          </w:tcPr>
          <w:p w14:paraId="4F3353FD"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70</w:t>
            </w:r>
          </w:p>
        </w:tc>
        <w:tc>
          <w:tcPr>
            <w:tcW w:w="122" w:type="pct"/>
            <w:tcBorders>
              <w:top w:val="nil"/>
              <w:left w:val="nil"/>
              <w:bottom w:val="nil"/>
              <w:right w:val="nil"/>
            </w:tcBorders>
            <w:shd w:val="clear" w:color="000000" w:fill="FCEA84"/>
            <w:noWrap/>
            <w:vAlign w:val="center"/>
            <w:hideMark/>
          </w:tcPr>
          <w:p w14:paraId="7F29E114"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51</w:t>
            </w:r>
          </w:p>
        </w:tc>
        <w:tc>
          <w:tcPr>
            <w:tcW w:w="122" w:type="pct"/>
            <w:tcBorders>
              <w:top w:val="nil"/>
              <w:left w:val="nil"/>
              <w:bottom w:val="nil"/>
              <w:right w:val="nil"/>
            </w:tcBorders>
            <w:shd w:val="clear" w:color="000000" w:fill="7AC57D"/>
            <w:noWrap/>
            <w:vAlign w:val="center"/>
            <w:hideMark/>
          </w:tcPr>
          <w:p w14:paraId="04ACCA1C"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93</w:t>
            </w:r>
          </w:p>
        </w:tc>
        <w:tc>
          <w:tcPr>
            <w:tcW w:w="122" w:type="pct"/>
            <w:tcBorders>
              <w:top w:val="nil"/>
              <w:left w:val="nil"/>
              <w:bottom w:val="nil"/>
              <w:right w:val="nil"/>
            </w:tcBorders>
            <w:shd w:val="clear" w:color="000000" w:fill="94CC7E"/>
            <w:noWrap/>
            <w:vAlign w:val="center"/>
            <w:hideMark/>
          </w:tcPr>
          <w:p w14:paraId="73D241CD"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85</w:t>
            </w:r>
          </w:p>
        </w:tc>
        <w:tc>
          <w:tcPr>
            <w:tcW w:w="123" w:type="pct"/>
            <w:tcBorders>
              <w:top w:val="nil"/>
              <w:left w:val="nil"/>
              <w:bottom w:val="nil"/>
              <w:right w:val="nil"/>
            </w:tcBorders>
            <w:shd w:val="clear" w:color="000000" w:fill="B5D680"/>
            <w:noWrap/>
            <w:vAlign w:val="center"/>
            <w:hideMark/>
          </w:tcPr>
          <w:p w14:paraId="64334710"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74</w:t>
            </w:r>
          </w:p>
        </w:tc>
        <w:tc>
          <w:tcPr>
            <w:tcW w:w="122" w:type="pct"/>
            <w:tcBorders>
              <w:top w:val="nil"/>
              <w:left w:val="nil"/>
              <w:bottom w:val="nil"/>
              <w:right w:val="nil"/>
            </w:tcBorders>
            <w:shd w:val="clear" w:color="000000" w:fill="FDCE7E"/>
            <w:noWrap/>
            <w:vAlign w:val="center"/>
            <w:hideMark/>
          </w:tcPr>
          <w:p w14:paraId="1E3A18BE"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39</w:t>
            </w:r>
          </w:p>
        </w:tc>
        <w:tc>
          <w:tcPr>
            <w:tcW w:w="122" w:type="pct"/>
            <w:tcBorders>
              <w:top w:val="nil"/>
              <w:left w:val="nil"/>
              <w:bottom w:val="nil"/>
              <w:right w:val="nil"/>
            </w:tcBorders>
            <w:shd w:val="clear" w:color="000000" w:fill="BAD780"/>
            <w:noWrap/>
            <w:vAlign w:val="center"/>
            <w:hideMark/>
          </w:tcPr>
          <w:p w14:paraId="35D3E207"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72</w:t>
            </w:r>
          </w:p>
        </w:tc>
        <w:tc>
          <w:tcPr>
            <w:tcW w:w="122" w:type="pct"/>
            <w:tcBorders>
              <w:top w:val="nil"/>
              <w:left w:val="nil"/>
              <w:bottom w:val="nil"/>
              <w:right w:val="nil"/>
            </w:tcBorders>
            <w:shd w:val="clear" w:color="000000" w:fill="FDCD7E"/>
            <w:noWrap/>
            <w:vAlign w:val="center"/>
            <w:hideMark/>
          </w:tcPr>
          <w:p w14:paraId="1C92F871"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39</w:t>
            </w:r>
          </w:p>
        </w:tc>
        <w:tc>
          <w:tcPr>
            <w:tcW w:w="122" w:type="pct"/>
            <w:tcBorders>
              <w:top w:val="nil"/>
              <w:left w:val="nil"/>
              <w:bottom w:val="nil"/>
              <w:right w:val="nil"/>
            </w:tcBorders>
            <w:shd w:val="clear" w:color="000000" w:fill="F5E884"/>
            <w:noWrap/>
            <w:vAlign w:val="center"/>
            <w:hideMark/>
          </w:tcPr>
          <w:p w14:paraId="4D51CEFB"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53</w:t>
            </w:r>
          </w:p>
        </w:tc>
        <w:tc>
          <w:tcPr>
            <w:tcW w:w="122" w:type="pct"/>
            <w:tcBorders>
              <w:top w:val="nil"/>
              <w:left w:val="nil"/>
              <w:bottom w:val="nil"/>
              <w:right w:val="nil"/>
            </w:tcBorders>
            <w:shd w:val="clear" w:color="000000" w:fill="FDD47F"/>
            <w:noWrap/>
            <w:vAlign w:val="center"/>
            <w:hideMark/>
          </w:tcPr>
          <w:p w14:paraId="567E5B68"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41</w:t>
            </w:r>
          </w:p>
        </w:tc>
        <w:tc>
          <w:tcPr>
            <w:tcW w:w="123" w:type="pct"/>
            <w:tcBorders>
              <w:top w:val="nil"/>
              <w:left w:val="nil"/>
              <w:bottom w:val="nil"/>
              <w:right w:val="nil"/>
            </w:tcBorders>
            <w:shd w:val="clear" w:color="000000" w:fill="FEE482"/>
            <w:noWrap/>
            <w:vAlign w:val="center"/>
            <w:hideMark/>
          </w:tcPr>
          <w:p w14:paraId="48859805"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48</w:t>
            </w:r>
          </w:p>
        </w:tc>
        <w:tc>
          <w:tcPr>
            <w:tcW w:w="122" w:type="pct"/>
            <w:tcBorders>
              <w:top w:val="nil"/>
              <w:left w:val="nil"/>
              <w:bottom w:val="nil"/>
              <w:right w:val="nil"/>
            </w:tcBorders>
            <w:shd w:val="clear" w:color="000000" w:fill="E7E483"/>
            <w:noWrap/>
            <w:vAlign w:val="center"/>
            <w:hideMark/>
          </w:tcPr>
          <w:p w14:paraId="4825DF98"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58</w:t>
            </w:r>
          </w:p>
        </w:tc>
      </w:tr>
      <w:tr w:rsidR="00B656F6" w:rsidRPr="00634756" w14:paraId="2410AB80" w14:textId="77777777" w:rsidTr="008F0944">
        <w:trPr>
          <w:trHeight w:val="113"/>
        </w:trPr>
        <w:tc>
          <w:tcPr>
            <w:tcW w:w="131" w:type="pct"/>
            <w:vMerge/>
            <w:tcBorders>
              <w:left w:val="nil"/>
              <w:right w:val="nil"/>
            </w:tcBorders>
            <w:shd w:val="clear" w:color="auto" w:fill="BDD6EE" w:themeFill="accent5" w:themeFillTint="66"/>
          </w:tcPr>
          <w:p w14:paraId="3AD02172" w14:textId="77777777" w:rsidR="00B656F6" w:rsidRPr="00634756" w:rsidRDefault="00B656F6" w:rsidP="008F0944">
            <w:pPr>
              <w:snapToGrid w:val="0"/>
              <w:jc w:val="right"/>
              <w:rPr>
                <w:rFonts w:ascii="等线" w:eastAsia="等线" w:hAnsi="等线" w:cs="宋体"/>
                <w:b/>
                <w:color w:val="000000"/>
                <w:sz w:val="15"/>
                <w:szCs w:val="15"/>
              </w:rPr>
            </w:pPr>
          </w:p>
        </w:tc>
        <w:tc>
          <w:tcPr>
            <w:tcW w:w="469" w:type="pct"/>
            <w:tcBorders>
              <w:top w:val="nil"/>
              <w:left w:val="nil"/>
              <w:bottom w:val="nil"/>
              <w:right w:val="nil"/>
            </w:tcBorders>
            <w:shd w:val="clear" w:color="auto" w:fill="BDD6EE" w:themeFill="accent5" w:themeFillTint="66"/>
            <w:noWrap/>
            <w:vAlign w:val="center"/>
            <w:hideMark/>
          </w:tcPr>
          <w:p w14:paraId="5D9FD9AB" w14:textId="77777777" w:rsidR="00B656F6" w:rsidRPr="00EB4864" w:rsidRDefault="00B656F6" w:rsidP="008F0944">
            <w:pPr>
              <w:snapToGrid w:val="0"/>
              <w:jc w:val="right"/>
              <w:rPr>
                <w:rFonts w:ascii="等线" w:eastAsia="等线" w:hAnsi="等线" w:cs="宋体"/>
                <w:b/>
                <w:color w:val="000000"/>
                <w:sz w:val="15"/>
                <w:szCs w:val="15"/>
              </w:rPr>
            </w:pPr>
            <w:r w:rsidRPr="00EB4864">
              <w:rPr>
                <w:rFonts w:ascii="等线" w:eastAsia="等线" w:hAnsi="等线" w:cs="宋体"/>
                <w:b/>
                <w:color w:val="000000"/>
                <w:sz w:val="15"/>
                <w:szCs w:val="15"/>
              </w:rPr>
              <w:t>Anhui</w:t>
            </w:r>
          </w:p>
        </w:tc>
        <w:tc>
          <w:tcPr>
            <w:tcW w:w="122" w:type="pct"/>
            <w:tcBorders>
              <w:top w:val="nil"/>
              <w:left w:val="nil"/>
              <w:bottom w:val="nil"/>
              <w:right w:val="nil"/>
            </w:tcBorders>
            <w:shd w:val="clear" w:color="000000" w:fill="97CD7E"/>
            <w:noWrap/>
            <w:vAlign w:val="center"/>
            <w:hideMark/>
          </w:tcPr>
          <w:p w14:paraId="586E6B5B"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83</w:t>
            </w:r>
          </w:p>
        </w:tc>
        <w:tc>
          <w:tcPr>
            <w:tcW w:w="143" w:type="pct"/>
            <w:tcBorders>
              <w:top w:val="nil"/>
              <w:left w:val="nil"/>
              <w:bottom w:val="nil"/>
              <w:right w:val="nil"/>
            </w:tcBorders>
            <w:shd w:val="clear" w:color="000000" w:fill="63BE7B"/>
            <w:noWrap/>
            <w:vAlign w:val="center"/>
            <w:hideMark/>
          </w:tcPr>
          <w:p w14:paraId="1F197407"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22" w:type="pct"/>
            <w:tcBorders>
              <w:top w:val="nil"/>
              <w:left w:val="nil"/>
              <w:bottom w:val="nil"/>
              <w:right w:val="nil"/>
            </w:tcBorders>
            <w:shd w:val="clear" w:color="000000" w:fill="70C27C"/>
            <w:noWrap/>
            <w:vAlign w:val="center"/>
            <w:hideMark/>
          </w:tcPr>
          <w:p w14:paraId="2E84EE96"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96</w:t>
            </w:r>
          </w:p>
        </w:tc>
        <w:tc>
          <w:tcPr>
            <w:tcW w:w="122" w:type="pct"/>
            <w:tcBorders>
              <w:top w:val="nil"/>
              <w:left w:val="nil"/>
              <w:bottom w:val="nil"/>
              <w:right w:val="nil"/>
            </w:tcBorders>
            <w:shd w:val="clear" w:color="000000" w:fill="82C77D"/>
            <w:noWrap/>
            <w:vAlign w:val="center"/>
            <w:hideMark/>
          </w:tcPr>
          <w:p w14:paraId="3CC1B341"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90</w:t>
            </w:r>
          </w:p>
        </w:tc>
        <w:tc>
          <w:tcPr>
            <w:tcW w:w="143" w:type="pct"/>
            <w:tcBorders>
              <w:top w:val="nil"/>
              <w:left w:val="nil"/>
              <w:bottom w:val="nil"/>
              <w:right w:val="nil"/>
            </w:tcBorders>
            <w:shd w:val="clear" w:color="000000" w:fill="63BE7B"/>
            <w:noWrap/>
            <w:vAlign w:val="center"/>
            <w:hideMark/>
          </w:tcPr>
          <w:p w14:paraId="6E069861"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22" w:type="pct"/>
            <w:tcBorders>
              <w:top w:val="nil"/>
              <w:left w:val="nil"/>
              <w:bottom w:val="nil"/>
              <w:right w:val="nil"/>
            </w:tcBorders>
            <w:shd w:val="clear" w:color="000000" w:fill="7CC67D"/>
            <w:noWrap/>
            <w:vAlign w:val="center"/>
            <w:hideMark/>
          </w:tcPr>
          <w:p w14:paraId="0E10C44B"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92</w:t>
            </w:r>
          </w:p>
        </w:tc>
        <w:tc>
          <w:tcPr>
            <w:tcW w:w="143" w:type="pct"/>
            <w:tcBorders>
              <w:top w:val="nil"/>
              <w:left w:val="nil"/>
              <w:bottom w:val="nil"/>
              <w:right w:val="nil"/>
            </w:tcBorders>
            <w:shd w:val="clear" w:color="000000" w:fill="63BE7B"/>
            <w:noWrap/>
            <w:vAlign w:val="center"/>
            <w:hideMark/>
          </w:tcPr>
          <w:p w14:paraId="344718E2"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43" w:type="pct"/>
            <w:tcBorders>
              <w:top w:val="nil"/>
              <w:left w:val="nil"/>
              <w:bottom w:val="nil"/>
              <w:right w:val="nil"/>
            </w:tcBorders>
            <w:shd w:val="clear" w:color="000000" w:fill="63BE7B"/>
            <w:noWrap/>
            <w:vAlign w:val="center"/>
            <w:hideMark/>
          </w:tcPr>
          <w:p w14:paraId="26927350"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43" w:type="pct"/>
            <w:tcBorders>
              <w:top w:val="nil"/>
              <w:left w:val="nil"/>
              <w:bottom w:val="nil"/>
              <w:right w:val="nil"/>
            </w:tcBorders>
            <w:shd w:val="clear" w:color="000000" w:fill="79C57D"/>
            <w:noWrap/>
            <w:vAlign w:val="center"/>
            <w:hideMark/>
          </w:tcPr>
          <w:p w14:paraId="5B5E9C67"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93</w:t>
            </w:r>
          </w:p>
        </w:tc>
        <w:tc>
          <w:tcPr>
            <w:tcW w:w="122" w:type="pct"/>
            <w:tcBorders>
              <w:top w:val="nil"/>
              <w:left w:val="nil"/>
              <w:bottom w:val="nil"/>
              <w:right w:val="nil"/>
            </w:tcBorders>
            <w:shd w:val="clear" w:color="000000" w:fill="E9E583"/>
            <w:noWrap/>
            <w:vAlign w:val="center"/>
            <w:hideMark/>
          </w:tcPr>
          <w:p w14:paraId="57A2FB2D"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57</w:t>
            </w:r>
          </w:p>
        </w:tc>
        <w:tc>
          <w:tcPr>
            <w:tcW w:w="122" w:type="pct"/>
            <w:tcBorders>
              <w:top w:val="nil"/>
              <w:left w:val="nil"/>
              <w:bottom w:val="nil"/>
              <w:right w:val="nil"/>
            </w:tcBorders>
            <w:shd w:val="clear" w:color="000000" w:fill="86C97E"/>
            <w:noWrap/>
            <w:vAlign w:val="center"/>
            <w:hideMark/>
          </w:tcPr>
          <w:p w14:paraId="228ACC6F"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89</w:t>
            </w:r>
          </w:p>
        </w:tc>
        <w:tc>
          <w:tcPr>
            <w:tcW w:w="122" w:type="pct"/>
            <w:tcBorders>
              <w:top w:val="nil"/>
              <w:left w:val="nil"/>
              <w:bottom w:val="nil"/>
              <w:right w:val="nil"/>
            </w:tcBorders>
            <w:shd w:val="clear" w:color="000000" w:fill="99CE7F"/>
            <w:noWrap/>
            <w:vAlign w:val="center"/>
            <w:hideMark/>
          </w:tcPr>
          <w:p w14:paraId="41D1850F"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83</w:t>
            </w:r>
          </w:p>
        </w:tc>
        <w:tc>
          <w:tcPr>
            <w:tcW w:w="122" w:type="pct"/>
            <w:tcBorders>
              <w:top w:val="nil"/>
              <w:left w:val="nil"/>
              <w:bottom w:val="nil"/>
              <w:right w:val="nil"/>
            </w:tcBorders>
            <w:shd w:val="clear" w:color="000000" w:fill="B8D780"/>
            <w:noWrap/>
            <w:vAlign w:val="center"/>
            <w:hideMark/>
          </w:tcPr>
          <w:p w14:paraId="1DEA55E9"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73</w:t>
            </w:r>
          </w:p>
        </w:tc>
        <w:tc>
          <w:tcPr>
            <w:tcW w:w="143" w:type="pct"/>
            <w:tcBorders>
              <w:top w:val="nil"/>
              <w:left w:val="nil"/>
              <w:bottom w:val="nil"/>
              <w:right w:val="nil"/>
            </w:tcBorders>
            <w:shd w:val="clear" w:color="000000" w:fill="63BE7B"/>
            <w:noWrap/>
            <w:vAlign w:val="center"/>
            <w:hideMark/>
          </w:tcPr>
          <w:p w14:paraId="41EE8DBB"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22" w:type="pct"/>
            <w:tcBorders>
              <w:top w:val="nil"/>
              <w:left w:val="nil"/>
              <w:bottom w:val="nil"/>
              <w:right w:val="nil"/>
            </w:tcBorders>
            <w:shd w:val="clear" w:color="000000" w:fill="FDEB84"/>
            <w:noWrap/>
            <w:vAlign w:val="center"/>
            <w:hideMark/>
          </w:tcPr>
          <w:p w14:paraId="77C020B6"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51</w:t>
            </w:r>
          </w:p>
        </w:tc>
        <w:tc>
          <w:tcPr>
            <w:tcW w:w="122" w:type="pct"/>
            <w:tcBorders>
              <w:top w:val="nil"/>
              <w:left w:val="nil"/>
              <w:bottom w:val="nil"/>
              <w:right w:val="nil"/>
            </w:tcBorders>
            <w:shd w:val="clear" w:color="000000" w:fill="A0D07F"/>
            <w:noWrap/>
            <w:vAlign w:val="center"/>
            <w:hideMark/>
          </w:tcPr>
          <w:p w14:paraId="20B3E7E5"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81</w:t>
            </w:r>
          </w:p>
        </w:tc>
        <w:tc>
          <w:tcPr>
            <w:tcW w:w="123" w:type="pct"/>
            <w:tcBorders>
              <w:top w:val="nil"/>
              <w:left w:val="nil"/>
              <w:bottom w:val="nil"/>
              <w:right w:val="nil"/>
            </w:tcBorders>
            <w:shd w:val="clear" w:color="000000" w:fill="AFD480"/>
            <w:noWrap/>
            <w:vAlign w:val="center"/>
            <w:hideMark/>
          </w:tcPr>
          <w:p w14:paraId="30D406BF"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76</w:t>
            </w:r>
          </w:p>
        </w:tc>
        <w:tc>
          <w:tcPr>
            <w:tcW w:w="122" w:type="pct"/>
            <w:tcBorders>
              <w:top w:val="nil"/>
              <w:left w:val="nil"/>
              <w:bottom w:val="nil"/>
              <w:right w:val="nil"/>
            </w:tcBorders>
            <w:shd w:val="clear" w:color="000000" w:fill="C4DA81"/>
            <w:noWrap/>
            <w:vAlign w:val="center"/>
            <w:hideMark/>
          </w:tcPr>
          <w:p w14:paraId="51139CF6"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69</w:t>
            </w:r>
          </w:p>
        </w:tc>
        <w:tc>
          <w:tcPr>
            <w:tcW w:w="122" w:type="pct"/>
            <w:tcBorders>
              <w:top w:val="nil"/>
              <w:left w:val="nil"/>
              <w:bottom w:val="nil"/>
              <w:right w:val="nil"/>
            </w:tcBorders>
            <w:shd w:val="clear" w:color="000000" w:fill="A8D27F"/>
            <w:noWrap/>
            <w:vAlign w:val="center"/>
            <w:hideMark/>
          </w:tcPr>
          <w:p w14:paraId="78795F75"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78</w:t>
            </w:r>
          </w:p>
        </w:tc>
        <w:tc>
          <w:tcPr>
            <w:tcW w:w="122" w:type="pct"/>
            <w:tcBorders>
              <w:top w:val="nil"/>
              <w:left w:val="nil"/>
              <w:bottom w:val="nil"/>
              <w:right w:val="nil"/>
            </w:tcBorders>
            <w:shd w:val="clear" w:color="000000" w:fill="B7D680"/>
            <w:noWrap/>
            <w:vAlign w:val="center"/>
            <w:hideMark/>
          </w:tcPr>
          <w:p w14:paraId="63500064"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73</w:t>
            </w:r>
          </w:p>
        </w:tc>
        <w:tc>
          <w:tcPr>
            <w:tcW w:w="122" w:type="pct"/>
            <w:tcBorders>
              <w:top w:val="nil"/>
              <w:left w:val="nil"/>
              <w:bottom w:val="nil"/>
              <w:right w:val="nil"/>
            </w:tcBorders>
            <w:shd w:val="clear" w:color="000000" w:fill="B8D780"/>
            <w:noWrap/>
            <w:vAlign w:val="center"/>
            <w:hideMark/>
          </w:tcPr>
          <w:p w14:paraId="0F2BE3F5"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73</w:t>
            </w:r>
          </w:p>
        </w:tc>
        <w:tc>
          <w:tcPr>
            <w:tcW w:w="122" w:type="pct"/>
            <w:tcBorders>
              <w:top w:val="nil"/>
              <w:left w:val="nil"/>
              <w:bottom w:val="nil"/>
              <w:right w:val="nil"/>
            </w:tcBorders>
            <w:shd w:val="clear" w:color="000000" w:fill="DDE283"/>
            <w:noWrap/>
            <w:vAlign w:val="center"/>
            <w:hideMark/>
          </w:tcPr>
          <w:p w14:paraId="21D4E980"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61</w:t>
            </w:r>
          </w:p>
        </w:tc>
        <w:tc>
          <w:tcPr>
            <w:tcW w:w="122" w:type="pct"/>
            <w:tcBorders>
              <w:top w:val="nil"/>
              <w:left w:val="nil"/>
              <w:bottom w:val="nil"/>
              <w:right w:val="nil"/>
            </w:tcBorders>
            <w:shd w:val="clear" w:color="000000" w:fill="CBDC81"/>
            <w:noWrap/>
            <w:vAlign w:val="center"/>
            <w:hideMark/>
          </w:tcPr>
          <w:p w14:paraId="000E8F86"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67</w:t>
            </w:r>
          </w:p>
        </w:tc>
        <w:tc>
          <w:tcPr>
            <w:tcW w:w="122" w:type="pct"/>
            <w:tcBorders>
              <w:top w:val="nil"/>
              <w:left w:val="nil"/>
              <w:bottom w:val="nil"/>
              <w:right w:val="nil"/>
            </w:tcBorders>
            <w:shd w:val="clear" w:color="000000" w:fill="F8E984"/>
            <w:noWrap/>
            <w:vAlign w:val="center"/>
            <w:hideMark/>
          </w:tcPr>
          <w:p w14:paraId="49A4A7C0"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52</w:t>
            </w:r>
          </w:p>
        </w:tc>
        <w:tc>
          <w:tcPr>
            <w:tcW w:w="122" w:type="pct"/>
            <w:tcBorders>
              <w:top w:val="nil"/>
              <w:left w:val="nil"/>
              <w:bottom w:val="nil"/>
              <w:right w:val="nil"/>
            </w:tcBorders>
            <w:shd w:val="clear" w:color="000000" w:fill="F6E984"/>
            <w:noWrap/>
            <w:vAlign w:val="center"/>
            <w:hideMark/>
          </w:tcPr>
          <w:p w14:paraId="4CC440B3"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53</w:t>
            </w:r>
          </w:p>
        </w:tc>
        <w:tc>
          <w:tcPr>
            <w:tcW w:w="122" w:type="pct"/>
            <w:tcBorders>
              <w:top w:val="nil"/>
              <w:left w:val="nil"/>
              <w:bottom w:val="nil"/>
              <w:right w:val="nil"/>
            </w:tcBorders>
            <w:shd w:val="clear" w:color="000000" w:fill="74C37C"/>
            <w:noWrap/>
            <w:vAlign w:val="center"/>
            <w:hideMark/>
          </w:tcPr>
          <w:p w14:paraId="1FF2F33D"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95</w:t>
            </w:r>
          </w:p>
        </w:tc>
        <w:tc>
          <w:tcPr>
            <w:tcW w:w="122" w:type="pct"/>
            <w:tcBorders>
              <w:top w:val="nil"/>
              <w:left w:val="nil"/>
              <w:bottom w:val="nil"/>
              <w:right w:val="nil"/>
            </w:tcBorders>
            <w:shd w:val="clear" w:color="000000" w:fill="A3D17F"/>
            <w:noWrap/>
            <w:vAlign w:val="center"/>
            <w:hideMark/>
          </w:tcPr>
          <w:p w14:paraId="466A2754"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80</w:t>
            </w:r>
          </w:p>
        </w:tc>
        <w:tc>
          <w:tcPr>
            <w:tcW w:w="123" w:type="pct"/>
            <w:tcBorders>
              <w:top w:val="nil"/>
              <w:left w:val="nil"/>
              <w:bottom w:val="nil"/>
              <w:right w:val="nil"/>
            </w:tcBorders>
            <w:shd w:val="clear" w:color="000000" w:fill="B6D680"/>
            <w:noWrap/>
            <w:vAlign w:val="center"/>
            <w:hideMark/>
          </w:tcPr>
          <w:p w14:paraId="717395E2"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74</w:t>
            </w:r>
          </w:p>
        </w:tc>
        <w:tc>
          <w:tcPr>
            <w:tcW w:w="122" w:type="pct"/>
            <w:tcBorders>
              <w:top w:val="nil"/>
              <w:left w:val="nil"/>
              <w:bottom w:val="nil"/>
              <w:right w:val="nil"/>
            </w:tcBorders>
            <w:shd w:val="clear" w:color="000000" w:fill="F9826F"/>
            <w:noWrap/>
            <w:vAlign w:val="center"/>
            <w:hideMark/>
          </w:tcPr>
          <w:p w14:paraId="7A49ED2B"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w:t>
            </w:r>
          </w:p>
        </w:tc>
        <w:tc>
          <w:tcPr>
            <w:tcW w:w="122" w:type="pct"/>
            <w:tcBorders>
              <w:top w:val="nil"/>
              <w:left w:val="nil"/>
              <w:bottom w:val="nil"/>
              <w:right w:val="nil"/>
            </w:tcBorders>
            <w:shd w:val="clear" w:color="000000" w:fill="C9DC81"/>
            <w:noWrap/>
            <w:vAlign w:val="center"/>
            <w:hideMark/>
          </w:tcPr>
          <w:p w14:paraId="011C8462"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68</w:t>
            </w:r>
          </w:p>
        </w:tc>
        <w:tc>
          <w:tcPr>
            <w:tcW w:w="122" w:type="pct"/>
            <w:tcBorders>
              <w:top w:val="nil"/>
              <w:left w:val="nil"/>
              <w:bottom w:val="nil"/>
              <w:right w:val="nil"/>
            </w:tcBorders>
            <w:shd w:val="clear" w:color="000000" w:fill="FEE783"/>
            <w:noWrap/>
            <w:vAlign w:val="center"/>
            <w:hideMark/>
          </w:tcPr>
          <w:p w14:paraId="3E0F5D86"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49</w:t>
            </w:r>
          </w:p>
        </w:tc>
        <w:tc>
          <w:tcPr>
            <w:tcW w:w="122" w:type="pct"/>
            <w:tcBorders>
              <w:top w:val="nil"/>
              <w:left w:val="nil"/>
              <w:bottom w:val="nil"/>
              <w:right w:val="nil"/>
            </w:tcBorders>
            <w:shd w:val="clear" w:color="000000" w:fill="EAE583"/>
            <w:noWrap/>
            <w:vAlign w:val="center"/>
            <w:hideMark/>
          </w:tcPr>
          <w:p w14:paraId="6E83A0D0"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57</w:t>
            </w:r>
          </w:p>
        </w:tc>
        <w:tc>
          <w:tcPr>
            <w:tcW w:w="122" w:type="pct"/>
            <w:tcBorders>
              <w:top w:val="nil"/>
              <w:left w:val="nil"/>
              <w:bottom w:val="nil"/>
              <w:right w:val="nil"/>
            </w:tcBorders>
            <w:shd w:val="clear" w:color="000000" w:fill="E6E483"/>
            <w:noWrap/>
            <w:vAlign w:val="center"/>
            <w:hideMark/>
          </w:tcPr>
          <w:p w14:paraId="4ABD4DA3"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58</w:t>
            </w:r>
          </w:p>
        </w:tc>
        <w:tc>
          <w:tcPr>
            <w:tcW w:w="123" w:type="pct"/>
            <w:tcBorders>
              <w:top w:val="nil"/>
              <w:left w:val="nil"/>
              <w:bottom w:val="nil"/>
              <w:right w:val="nil"/>
            </w:tcBorders>
            <w:shd w:val="clear" w:color="000000" w:fill="FDC87D"/>
            <w:noWrap/>
            <w:vAlign w:val="center"/>
            <w:hideMark/>
          </w:tcPr>
          <w:p w14:paraId="5B584CA4"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37</w:t>
            </w:r>
          </w:p>
        </w:tc>
        <w:tc>
          <w:tcPr>
            <w:tcW w:w="122" w:type="pct"/>
            <w:tcBorders>
              <w:top w:val="nil"/>
              <w:left w:val="nil"/>
              <w:bottom w:val="nil"/>
              <w:right w:val="nil"/>
            </w:tcBorders>
            <w:shd w:val="clear" w:color="000000" w:fill="F0E784"/>
            <w:noWrap/>
            <w:vAlign w:val="center"/>
            <w:hideMark/>
          </w:tcPr>
          <w:p w14:paraId="65811507"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55</w:t>
            </w:r>
          </w:p>
        </w:tc>
      </w:tr>
      <w:tr w:rsidR="00B656F6" w:rsidRPr="00634756" w14:paraId="0A2FEFA7" w14:textId="77777777" w:rsidTr="008F0944">
        <w:trPr>
          <w:trHeight w:val="113"/>
        </w:trPr>
        <w:tc>
          <w:tcPr>
            <w:tcW w:w="131" w:type="pct"/>
            <w:vMerge/>
            <w:tcBorders>
              <w:left w:val="nil"/>
              <w:right w:val="nil"/>
            </w:tcBorders>
            <w:shd w:val="clear" w:color="auto" w:fill="BDD6EE" w:themeFill="accent5" w:themeFillTint="66"/>
          </w:tcPr>
          <w:p w14:paraId="2E900DF1" w14:textId="77777777" w:rsidR="00B656F6" w:rsidRPr="00634756" w:rsidRDefault="00B656F6" w:rsidP="008F0944">
            <w:pPr>
              <w:snapToGrid w:val="0"/>
              <w:jc w:val="right"/>
              <w:rPr>
                <w:rFonts w:ascii="等线" w:eastAsia="等线" w:hAnsi="等线" w:cs="宋体"/>
                <w:b/>
                <w:color w:val="000000"/>
                <w:sz w:val="15"/>
                <w:szCs w:val="15"/>
              </w:rPr>
            </w:pPr>
          </w:p>
        </w:tc>
        <w:tc>
          <w:tcPr>
            <w:tcW w:w="469" w:type="pct"/>
            <w:tcBorders>
              <w:top w:val="nil"/>
              <w:left w:val="nil"/>
              <w:bottom w:val="nil"/>
              <w:right w:val="nil"/>
            </w:tcBorders>
            <w:shd w:val="clear" w:color="auto" w:fill="BDD6EE" w:themeFill="accent5" w:themeFillTint="66"/>
            <w:noWrap/>
            <w:vAlign w:val="center"/>
            <w:hideMark/>
          </w:tcPr>
          <w:p w14:paraId="6773921E" w14:textId="77777777" w:rsidR="00B656F6" w:rsidRPr="00EB4864" w:rsidRDefault="00B656F6" w:rsidP="008F0944">
            <w:pPr>
              <w:snapToGrid w:val="0"/>
              <w:jc w:val="right"/>
              <w:rPr>
                <w:rFonts w:ascii="等线" w:eastAsia="等线" w:hAnsi="等线" w:cs="宋体"/>
                <w:b/>
                <w:color w:val="000000"/>
                <w:sz w:val="15"/>
                <w:szCs w:val="15"/>
              </w:rPr>
            </w:pPr>
            <w:r w:rsidRPr="00EB4864">
              <w:rPr>
                <w:rFonts w:ascii="等线" w:eastAsia="等线" w:hAnsi="等线" w:cs="宋体"/>
                <w:b/>
                <w:color w:val="000000"/>
                <w:sz w:val="15"/>
                <w:szCs w:val="15"/>
              </w:rPr>
              <w:t>Jiangxi</w:t>
            </w:r>
          </w:p>
        </w:tc>
        <w:tc>
          <w:tcPr>
            <w:tcW w:w="122" w:type="pct"/>
            <w:tcBorders>
              <w:top w:val="nil"/>
              <w:left w:val="nil"/>
              <w:bottom w:val="nil"/>
              <w:right w:val="nil"/>
            </w:tcBorders>
            <w:shd w:val="clear" w:color="000000" w:fill="96CD7E"/>
            <w:noWrap/>
            <w:vAlign w:val="center"/>
            <w:hideMark/>
          </w:tcPr>
          <w:p w14:paraId="57B9723F"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84</w:t>
            </w:r>
          </w:p>
        </w:tc>
        <w:tc>
          <w:tcPr>
            <w:tcW w:w="143" w:type="pct"/>
            <w:tcBorders>
              <w:top w:val="nil"/>
              <w:left w:val="nil"/>
              <w:bottom w:val="nil"/>
              <w:right w:val="nil"/>
            </w:tcBorders>
            <w:shd w:val="clear" w:color="000000" w:fill="63BE7B"/>
            <w:noWrap/>
            <w:vAlign w:val="center"/>
            <w:hideMark/>
          </w:tcPr>
          <w:p w14:paraId="0060C391"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22" w:type="pct"/>
            <w:tcBorders>
              <w:top w:val="nil"/>
              <w:left w:val="nil"/>
              <w:bottom w:val="nil"/>
              <w:right w:val="nil"/>
            </w:tcBorders>
            <w:shd w:val="clear" w:color="000000" w:fill="6BC17C"/>
            <w:noWrap/>
            <w:vAlign w:val="center"/>
            <w:hideMark/>
          </w:tcPr>
          <w:p w14:paraId="1B3B3BA3"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98</w:t>
            </w:r>
          </w:p>
        </w:tc>
        <w:tc>
          <w:tcPr>
            <w:tcW w:w="122" w:type="pct"/>
            <w:tcBorders>
              <w:top w:val="nil"/>
              <w:left w:val="nil"/>
              <w:bottom w:val="nil"/>
              <w:right w:val="nil"/>
            </w:tcBorders>
            <w:shd w:val="clear" w:color="000000" w:fill="7FC77D"/>
            <w:noWrap/>
            <w:vAlign w:val="center"/>
            <w:hideMark/>
          </w:tcPr>
          <w:p w14:paraId="4A6BAB44"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91</w:t>
            </w:r>
          </w:p>
        </w:tc>
        <w:tc>
          <w:tcPr>
            <w:tcW w:w="143" w:type="pct"/>
            <w:tcBorders>
              <w:top w:val="nil"/>
              <w:left w:val="nil"/>
              <w:bottom w:val="nil"/>
              <w:right w:val="nil"/>
            </w:tcBorders>
            <w:shd w:val="clear" w:color="000000" w:fill="63BE7B"/>
            <w:noWrap/>
            <w:vAlign w:val="center"/>
            <w:hideMark/>
          </w:tcPr>
          <w:p w14:paraId="1F9629C5"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22" w:type="pct"/>
            <w:tcBorders>
              <w:top w:val="nil"/>
              <w:left w:val="nil"/>
              <w:bottom w:val="nil"/>
              <w:right w:val="nil"/>
            </w:tcBorders>
            <w:shd w:val="clear" w:color="000000" w:fill="9BCE7F"/>
            <w:noWrap/>
            <w:vAlign w:val="center"/>
            <w:hideMark/>
          </w:tcPr>
          <w:p w14:paraId="5ECD2AC7"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82</w:t>
            </w:r>
          </w:p>
        </w:tc>
        <w:tc>
          <w:tcPr>
            <w:tcW w:w="143" w:type="pct"/>
            <w:tcBorders>
              <w:top w:val="nil"/>
              <w:left w:val="nil"/>
              <w:bottom w:val="nil"/>
              <w:right w:val="nil"/>
            </w:tcBorders>
            <w:shd w:val="clear" w:color="000000" w:fill="63BE7B"/>
            <w:noWrap/>
            <w:vAlign w:val="center"/>
            <w:hideMark/>
          </w:tcPr>
          <w:p w14:paraId="7FEF07AE"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43" w:type="pct"/>
            <w:tcBorders>
              <w:top w:val="nil"/>
              <w:left w:val="nil"/>
              <w:bottom w:val="nil"/>
              <w:right w:val="nil"/>
            </w:tcBorders>
            <w:shd w:val="clear" w:color="000000" w:fill="63BE7B"/>
            <w:noWrap/>
            <w:vAlign w:val="center"/>
            <w:hideMark/>
          </w:tcPr>
          <w:p w14:paraId="100693ED"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43" w:type="pct"/>
            <w:tcBorders>
              <w:top w:val="nil"/>
              <w:left w:val="nil"/>
              <w:bottom w:val="nil"/>
              <w:right w:val="nil"/>
            </w:tcBorders>
            <w:shd w:val="clear" w:color="000000" w:fill="70C27C"/>
            <w:noWrap/>
            <w:vAlign w:val="center"/>
            <w:hideMark/>
          </w:tcPr>
          <w:p w14:paraId="6765AC5C"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96</w:t>
            </w:r>
          </w:p>
        </w:tc>
        <w:tc>
          <w:tcPr>
            <w:tcW w:w="122" w:type="pct"/>
            <w:tcBorders>
              <w:top w:val="nil"/>
              <w:left w:val="nil"/>
              <w:bottom w:val="nil"/>
              <w:right w:val="nil"/>
            </w:tcBorders>
            <w:shd w:val="clear" w:color="000000" w:fill="E3E383"/>
            <w:noWrap/>
            <w:vAlign w:val="center"/>
            <w:hideMark/>
          </w:tcPr>
          <w:p w14:paraId="42922747"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59</w:t>
            </w:r>
          </w:p>
        </w:tc>
        <w:tc>
          <w:tcPr>
            <w:tcW w:w="122" w:type="pct"/>
            <w:tcBorders>
              <w:top w:val="nil"/>
              <w:left w:val="nil"/>
              <w:bottom w:val="nil"/>
              <w:right w:val="nil"/>
            </w:tcBorders>
            <w:shd w:val="clear" w:color="000000" w:fill="89C97E"/>
            <w:noWrap/>
            <w:vAlign w:val="center"/>
            <w:hideMark/>
          </w:tcPr>
          <w:p w14:paraId="7BF9B12C"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88</w:t>
            </w:r>
          </w:p>
        </w:tc>
        <w:tc>
          <w:tcPr>
            <w:tcW w:w="122" w:type="pct"/>
            <w:tcBorders>
              <w:top w:val="nil"/>
              <w:left w:val="nil"/>
              <w:bottom w:val="nil"/>
              <w:right w:val="nil"/>
            </w:tcBorders>
            <w:shd w:val="clear" w:color="000000" w:fill="D7E082"/>
            <w:noWrap/>
            <w:vAlign w:val="center"/>
            <w:hideMark/>
          </w:tcPr>
          <w:p w14:paraId="350ED1C8"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63</w:t>
            </w:r>
          </w:p>
        </w:tc>
        <w:tc>
          <w:tcPr>
            <w:tcW w:w="122" w:type="pct"/>
            <w:tcBorders>
              <w:top w:val="nil"/>
              <w:left w:val="nil"/>
              <w:bottom w:val="nil"/>
              <w:right w:val="nil"/>
            </w:tcBorders>
            <w:shd w:val="clear" w:color="000000" w:fill="E6E483"/>
            <w:noWrap/>
            <w:vAlign w:val="center"/>
            <w:hideMark/>
          </w:tcPr>
          <w:p w14:paraId="1492B59C"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58</w:t>
            </w:r>
          </w:p>
        </w:tc>
        <w:tc>
          <w:tcPr>
            <w:tcW w:w="143" w:type="pct"/>
            <w:tcBorders>
              <w:top w:val="nil"/>
              <w:left w:val="nil"/>
              <w:bottom w:val="nil"/>
              <w:right w:val="nil"/>
            </w:tcBorders>
            <w:shd w:val="clear" w:color="000000" w:fill="63BE7B"/>
            <w:noWrap/>
            <w:vAlign w:val="center"/>
            <w:hideMark/>
          </w:tcPr>
          <w:p w14:paraId="5B4DCDE1"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22" w:type="pct"/>
            <w:tcBorders>
              <w:top w:val="nil"/>
              <w:left w:val="nil"/>
              <w:bottom w:val="nil"/>
              <w:right w:val="nil"/>
            </w:tcBorders>
            <w:shd w:val="clear" w:color="000000" w:fill="FDD47F"/>
            <w:noWrap/>
            <w:vAlign w:val="center"/>
            <w:hideMark/>
          </w:tcPr>
          <w:p w14:paraId="52E01105"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41</w:t>
            </w:r>
          </w:p>
        </w:tc>
        <w:tc>
          <w:tcPr>
            <w:tcW w:w="122" w:type="pct"/>
            <w:tcBorders>
              <w:top w:val="nil"/>
              <w:left w:val="nil"/>
              <w:bottom w:val="nil"/>
              <w:right w:val="nil"/>
            </w:tcBorders>
            <w:shd w:val="clear" w:color="000000" w:fill="A8D27F"/>
            <w:noWrap/>
            <w:vAlign w:val="center"/>
            <w:hideMark/>
          </w:tcPr>
          <w:p w14:paraId="78F9D650"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78</w:t>
            </w:r>
          </w:p>
        </w:tc>
        <w:tc>
          <w:tcPr>
            <w:tcW w:w="123" w:type="pct"/>
            <w:tcBorders>
              <w:top w:val="nil"/>
              <w:left w:val="nil"/>
              <w:bottom w:val="nil"/>
              <w:right w:val="nil"/>
            </w:tcBorders>
            <w:shd w:val="clear" w:color="000000" w:fill="D0DE82"/>
            <w:noWrap/>
            <w:vAlign w:val="center"/>
            <w:hideMark/>
          </w:tcPr>
          <w:p w14:paraId="239FB1AD"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65</w:t>
            </w:r>
          </w:p>
        </w:tc>
        <w:tc>
          <w:tcPr>
            <w:tcW w:w="122" w:type="pct"/>
            <w:tcBorders>
              <w:top w:val="nil"/>
              <w:left w:val="nil"/>
              <w:bottom w:val="nil"/>
              <w:right w:val="nil"/>
            </w:tcBorders>
            <w:shd w:val="clear" w:color="000000" w:fill="B9D780"/>
            <w:noWrap/>
            <w:vAlign w:val="center"/>
            <w:hideMark/>
          </w:tcPr>
          <w:p w14:paraId="40700201"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72</w:t>
            </w:r>
          </w:p>
        </w:tc>
        <w:tc>
          <w:tcPr>
            <w:tcW w:w="122" w:type="pct"/>
            <w:tcBorders>
              <w:top w:val="nil"/>
              <w:left w:val="nil"/>
              <w:bottom w:val="nil"/>
              <w:right w:val="nil"/>
            </w:tcBorders>
            <w:shd w:val="clear" w:color="000000" w:fill="86C87D"/>
            <w:noWrap/>
            <w:vAlign w:val="center"/>
            <w:hideMark/>
          </w:tcPr>
          <w:p w14:paraId="2409B722"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89</w:t>
            </w:r>
          </w:p>
        </w:tc>
        <w:tc>
          <w:tcPr>
            <w:tcW w:w="122" w:type="pct"/>
            <w:tcBorders>
              <w:top w:val="nil"/>
              <w:left w:val="nil"/>
              <w:bottom w:val="nil"/>
              <w:right w:val="nil"/>
            </w:tcBorders>
            <w:shd w:val="clear" w:color="000000" w:fill="A1D07F"/>
            <w:noWrap/>
            <w:vAlign w:val="center"/>
            <w:hideMark/>
          </w:tcPr>
          <w:p w14:paraId="23C353DE"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80</w:t>
            </w:r>
          </w:p>
        </w:tc>
        <w:tc>
          <w:tcPr>
            <w:tcW w:w="122" w:type="pct"/>
            <w:tcBorders>
              <w:top w:val="nil"/>
              <w:left w:val="nil"/>
              <w:bottom w:val="nil"/>
              <w:right w:val="nil"/>
            </w:tcBorders>
            <w:shd w:val="clear" w:color="000000" w:fill="ABD380"/>
            <w:noWrap/>
            <w:vAlign w:val="center"/>
            <w:hideMark/>
          </w:tcPr>
          <w:p w14:paraId="17752E30"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77</w:t>
            </w:r>
          </w:p>
        </w:tc>
        <w:tc>
          <w:tcPr>
            <w:tcW w:w="122" w:type="pct"/>
            <w:tcBorders>
              <w:top w:val="nil"/>
              <w:left w:val="nil"/>
              <w:bottom w:val="nil"/>
              <w:right w:val="nil"/>
            </w:tcBorders>
            <w:shd w:val="clear" w:color="000000" w:fill="D2DE82"/>
            <w:noWrap/>
            <w:vAlign w:val="center"/>
            <w:hideMark/>
          </w:tcPr>
          <w:p w14:paraId="0579A64E"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64</w:t>
            </w:r>
          </w:p>
        </w:tc>
        <w:tc>
          <w:tcPr>
            <w:tcW w:w="122" w:type="pct"/>
            <w:tcBorders>
              <w:top w:val="nil"/>
              <w:left w:val="nil"/>
              <w:bottom w:val="nil"/>
              <w:right w:val="nil"/>
            </w:tcBorders>
            <w:shd w:val="clear" w:color="000000" w:fill="C0D981"/>
            <w:noWrap/>
            <w:vAlign w:val="center"/>
            <w:hideMark/>
          </w:tcPr>
          <w:p w14:paraId="26EDC106"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70</w:t>
            </w:r>
          </w:p>
        </w:tc>
        <w:tc>
          <w:tcPr>
            <w:tcW w:w="122" w:type="pct"/>
            <w:tcBorders>
              <w:top w:val="nil"/>
              <w:left w:val="nil"/>
              <w:bottom w:val="nil"/>
              <w:right w:val="nil"/>
            </w:tcBorders>
            <w:shd w:val="clear" w:color="000000" w:fill="F5E984"/>
            <w:noWrap/>
            <w:vAlign w:val="center"/>
            <w:hideMark/>
          </w:tcPr>
          <w:p w14:paraId="0A12CFFC"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53</w:t>
            </w:r>
          </w:p>
        </w:tc>
        <w:tc>
          <w:tcPr>
            <w:tcW w:w="122" w:type="pct"/>
            <w:tcBorders>
              <w:top w:val="nil"/>
              <w:left w:val="nil"/>
              <w:bottom w:val="nil"/>
              <w:right w:val="nil"/>
            </w:tcBorders>
            <w:shd w:val="clear" w:color="000000" w:fill="EDE683"/>
            <w:noWrap/>
            <w:vAlign w:val="center"/>
            <w:hideMark/>
          </w:tcPr>
          <w:p w14:paraId="0EC1B0FF"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56</w:t>
            </w:r>
          </w:p>
        </w:tc>
        <w:tc>
          <w:tcPr>
            <w:tcW w:w="122" w:type="pct"/>
            <w:tcBorders>
              <w:top w:val="nil"/>
              <w:left w:val="nil"/>
              <w:bottom w:val="nil"/>
              <w:right w:val="nil"/>
            </w:tcBorders>
            <w:shd w:val="clear" w:color="000000" w:fill="79C57D"/>
            <w:noWrap/>
            <w:vAlign w:val="center"/>
            <w:hideMark/>
          </w:tcPr>
          <w:p w14:paraId="37AFCDD3"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93</w:t>
            </w:r>
          </w:p>
        </w:tc>
        <w:tc>
          <w:tcPr>
            <w:tcW w:w="122" w:type="pct"/>
            <w:tcBorders>
              <w:top w:val="nil"/>
              <w:left w:val="nil"/>
              <w:bottom w:val="nil"/>
              <w:right w:val="nil"/>
            </w:tcBorders>
            <w:shd w:val="clear" w:color="000000" w:fill="ACD380"/>
            <w:noWrap/>
            <w:vAlign w:val="center"/>
            <w:hideMark/>
          </w:tcPr>
          <w:p w14:paraId="6E77F16A"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77</w:t>
            </w:r>
          </w:p>
        </w:tc>
        <w:tc>
          <w:tcPr>
            <w:tcW w:w="123" w:type="pct"/>
            <w:tcBorders>
              <w:top w:val="nil"/>
              <w:left w:val="nil"/>
              <w:bottom w:val="nil"/>
              <w:right w:val="nil"/>
            </w:tcBorders>
            <w:shd w:val="clear" w:color="000000" w:fill="B6D680"/>
            <w:noWrap/>
            <w:vAlign w:val="center"/>
            <w:hideMark/>
          </w:tcPr>
          <w:p w14:paraId="0A756094"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74</w:t>
            </w:r>
          </w:p>
        </w:tc>
        <w:tc>
          <w:tcPr>
            <w:tcW w:w="122" w:type="pct"/>
            <w:tcBorders>
              <w:top w:val="nil"/>
              <w:left w:val="nil"/>
              <w:bottom w:val="nil"/>
              <w:right w:val="nil"/>
            </w:tcBorders>
            <w:shd w:val="clear" w:color="000000" w:fill="FEE182"/>
            <w:noWrap/>
            <w:vAlign w:val="center"/>
            <w:hideMark/>
          </w:tcPr>
          <w:p w14:paraId="5406C4FD"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46</w:t>
            </w:r>
          </w:p>
        </w:tc>
        <w:tc>
          <w:tcPr>
            <w:tcW w:w="122" w:type="pct"/>
            <w:tcBorders>
              <w:top w:val="nil"/>
              <w:left w:val="nil"/>
              <w:bottom w:val="nil"/>
              <w:right w:val="nil"/>
            </w:tcBorders>
            <w:shd w:val="clear" w:color="000000" w:fill="CBDC81"/>
            <w:noWrap/>
            <w:vAlign w:val="center"/>
            <w:hideMark/>
          </w:tcPr>
          <w:p w14:paraId="22BFF2BB"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67</w:t>
            </w:r>
          </w:p>
        </w:tc>
        <w:tc>
          <w:tcPr>
            <w:tcW w:w="122" w:type="pct"/>
            <w:tcBorders>
              <w:top w:val="nil"/>
              <w:left w:val="nil"/>
              <w:bottom w:val="nil"/>
              <w:right w:val="nil"/>
            </w:tcBorders>
            <w:shd w:val="clear" w:color="000000" w:fill="FEEA83"/>
            <w:noWrap/>
            <w:vAlign w:val="center"/>
            <w:hideMark/>
          </w:tcPr>
          <w:p w14:paraId="38CFBB16"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50</w:t>
            </w:r>
          </w:p>
        </w:tc>
        <w:tc>
          <w:tcPr>
            <w:tcW w:w="122" w:type="pct"/>
            <w:tcBorders>
              <w:top w:val="nil"/>
              <w:left w:val="nil"/>
              <w:bottom w:val="nil"/>
              <w:right w:val="nil"/>
            </w:tcBorders>
            <w:shd w:val="clear" w:color="000000" w:fill="E0E383"/>
            <w:noWrap/>
            <w:vAlign w:val="center"/>
            <w:hideMark/>
          </w:tcPr>
          <w:p w14:paraId="14491BF4"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60</w:t>
            </w:r>
          </w:p>
        </w:tc>
        <w:tc>
          <w:tcPr>
            <w:tcW w:w="122" w:type="pct"/>
            <w:tcBorders>
              <w:top w:val="nil"/>
              <w:left w:val="nil"/>
              <w:bottom w:val="nil"/>
              <w:right w:val="nil"/>
            </w:tcBorders>
            <w:shd w:val="clear" w:color="000000" w:fill="E1E383"/>
            <w:noWrap/>
            <w:vAlign w:val="center"/>
            <w:hideMark/>
          </w:tcPr>
          <w:p w14:paraId="53C214C4"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60</w:t>
            </w:r>
          </w:p>
        </w:tc>
        <w:tc>
          <w:tcPr>
            <w:tcW w:w="123" w:type="pct"/>
            <w:tcBorders>
              <w:top w:val="nil"/>
              <w:left w:val="nil"/>
              <w:bottom w:val="nil"/>
              <w:right w:val="nil"/>
            </w:tcBorders>
            <w:shd w:val="clear" w:color="000000" w:fill="F0E784"/>
            <w:noWrap/>
            <w:vAlign w:val="center"/>
            <w:hideMark/>
          </w:tcPr>
          <w:p w14:paraId="57A374B9"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55</w:t>
            </w:r>
          </w:p>
        </w:tc>
        <w:tc>
          <w:tcPr>
            <w:tcW w:w="122" w:type="pct"/>
            <w:tcBorders>
              <w:top w:val="nil"/>
              <w:left w:val="nil"/>
              <w:bottom w:val="nil"/>
              <w:right w:val="nil"/>
            </w:tcBorders>
            <w:shd w:val="clear" w:color="000000" w:fill="F9E984"/>
            <w:noWrap/>
            <w:vAlign w:val="center"/>
            <w:hideMark/>
          </w:tcPr>
          <w:p w14:paraId="34C1CF06"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52</w:t>
            </w:r>
          </w:p>
        </w:tc>
      </w:tr>
      <w:tr w:rsidR="00B656F6" w:rsidRPr="00634756" w14:paraId="6FE16888" w14:textId="77777777" w:rsidTr="008F0944">
        <w:trPr>
          <w:trHeight w:val="113"/>
        </w:trPr>
        <w:tc>
          <w:tcPr>
            <w:tcW w:w="131" w:type="pct"/>
            <w:vMerge/>
            <w:tcBorders>
              <w:left w:val="nil"/>
              <w:right w:val="nil"/>
            </w:tcBorders>
            <w:shd w:val="clear" w:color="auto" w:fill="BDD6EE" w:themeFill="accent5" w:themeFillTint="66"/>
          </w:tcPr>
          <w:p w14:paraId="6C097E4E" w14:textId="77777777" w:rsidR="00B656F6" w:rsidRPr="00634756" w:rsidRDefault="00B656F6" w:rsidP="008F0944">
            <w:pPr>
              <w:snapToGrid w:val="0"/>
              <w:jc w:val="right"/>
              <w:rPr>
                <w:rFonts w:ascii="等线" w:eastAsia="等线" w:hAnsi="等线" w:cs="宋体"/>
                <w:b/>
                <w:color w:val="000000"/>
                <w:sz w:val="15"/>
                <w:szCs w:val="15"/>
              </w:rPr>
            </w:pPr>
          </w:p>
        </w:tc>
        <w:tc>
          <w:tcPr>
            <w:tcW w:w="469" w:type="pct"/>
            <w:tcBorders>
              <w:top w:val="nil"/>
              <w:left w:val="nil"/>
              <w:bottom w:val="nil"/>
              <w:right w:val="nil"/>
            </w:tcBorders>
            <w:shd w:val="clear" w:color="auto" w:fill="BDD6EE" w:themeFill="accent5" w:themeFillTint="66"/>
            <w:noWrap/>
            <w:vAlign w:val="center"/>
            <w:hideMark/>
          </w:tcPr>
          <w:p w14:paraId="433F6FB8" w14:textId="77777777" w:rsidR="00B656F6" w:rsidRPr="00EB4864" w:rsidRDefault="00B656F6" w:rsidP="008F0944">
            <w:pPr>
              <w:snapToGrid w:val="0"/>
              <w:jc w:val="right"/>
              <w:rPr>
                <w:rFonts w:ascii="等线" w:eastAsia="等线" w:hAnsi="等线" w:cs="宋体"/>
                <w:b/>
                <w:color w:val="000000"/>
                <w:sz w:val="15"/>
                <w:szCs w:val="15"/>
              </w:rPr>
            </w:pPr>
            <w:r w:rsidRPr="00EB4864">
              <w:rPr>
                <w:rFonts w:ascii="等线" w:eastAsia="等线" w:hAnsi="等线" w:cs="宋体"/>
                <w:b/>
                <w:color w:val="000000"/>
                <w:sz w:val="15"/>
                <w:szCs w:val="15"/>
              </w:rPr>
              <w:t>Henan</w:t>
            </w:r>
          </w:p>
        </w:tc>
        <w:tc>
          <w:tcPr>
            <w:tcW w:w="122" w:type="pct"/>
            <w:tcBorders>
              <w:top w:val="nil"/>
              <w:left w:val="nil"/>
              <w:bottom w:val="nil"/>
              <w:right w:val="nil"/>
            </w:tcBorders>
            <w:shd w:val="clear" w:color="000000" w:fill="9DCF7F"/>
            <w:noWrap/>
            <w:vAlign w:val="center"/>
            <w:hideMark/>
          </w:tcPr>
          <w:p w14:paraId="73ADC992"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81</w:t>
            </w:r>
          </w:p>
        </w:tc>
        <w:tc>
          <w:tcPr>
            <w:tcW w:w="143" w:type="pct"/>
            <w:tcBorders>
              <w:top w:val="nil"/>
              <w:left w:val="nil"/>
              <w:bottom w:val="nil"/>
              <w:right w:val="nil"/>
            </w:tcBorders>
            <w:shd w:val="clear" w:color="000000" w:fill="63BE7B"/>
            <w:noWrap/>
            <w:vAlign w:val="center"/>
            <w:hideMark/>
          </w:tcPr>
          <w:p w14:paraId="6D1ADD2C"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22" w:type="pct"/>
            <w:tcBorders>
              <w:top w:val="nil"/>
              <w:left w:val="nil"/>
              <w:bottom w:val="nil"/>
              <w:right w:val="nil"/>
            </w:tcBorders>
            <w:shd w:val="clear" w:color="000000" w:fill="76C47D"/>
            <w:noWrap/>
            <w:vAlign w:val="center"/>
            <w:hideMark/>
          </w:tcPr>
          <w:p w14:paraId="3AA3D9FF"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94</w:t>
            </w:r>
          </w:p>
        </w:tc>
        <w:tc>
          <w:tcPr>
            <w:tcW w:w="122" w:type="pct"/>
            <w:tcBorders>
              <w:top w:val="nil"/>
              <w:left w:val="nil"/>
              <w:bottom w:val="nil"/>
              <w:right w:val="nil"/>
            </w:tcBorders>
            <w:shd w:val="clear" w:color="000000" w:fill="86C97E"/>
            <w:noWrap/>
            <w:vAlign w:val="center"/>
            <w:hideMark/>
          </w:tcPr>
          <w:p w14:paraId="3AEECC9A"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89</w:t>
            </w:r>
          </w:p>
        </w:tc>
        <w:tc>
          <w:tcPr>
            <w:tcW w:w="143" w:type="pct"/>
            <w:tcBorders>
              <w:top w:val="nil"/>
              <w:left w:val="nil"/>
              <w:bottom w:val="nil"/>
              <w:right w:val="nil"/>
            </w:tcBorders>
            <w:shd w:val="clear" w:color="000000" w:fill="63BE7B"/>
            <w:noWrap/>
            <w:vAlign w:val="center"/>
            <w:hideMark/>
          </w:tcPr>
          <w:p w14:paraId="762BF5ED"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22" w:type="pct"/>
            <w:tcBorders>
              <w:top w:val="nil"/>
              <w:left w:val="nil"/>
              <w:bottom w:val="nil"/>
              <w:right w:val="nil"/>
            </w:tcBorders>
            <w:shd w:val="clear" w:color="000000" w:fill="74C37C"/>
            <w:noWrap/>
            <w:vAlign w:val="center"/>
            <w:hideMark/>
          </w:tcPr>
          <w:p w14:paraId="0F8677F7"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95</w:t>
            </w:r>
          </w:p>
        </w:tc>
        <w:tc>
          <w:tcPr>
            <w:tcW w:w="143" w:type="pct"/>
            <w:tcBorders>
              <w:top w:val="nil"/>
              <w:left w:val="nil"/>
              <w:bottom w:val="nil"/>
              <w:right w:val="nil"/>
            </w:tcBorders>
            <w:shd w:val="clear" w:color="000000" w:fill="63BE7B"/>
            <w:noWrap/>
            <w:vAlign w:val="center"/>
            <w:hideMark/>
          </w:tcPr>
          <w:p w14:paraId="34B503BE"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43" w:type="pct"/>
            <w:tcBorders>
              <w:top w:val="nil"/>
              <w:left w:val="nil"/>
              <w:bottom w:val="nil"/>
              <w:right w:val="nil"/>
            </w:tcBorders>
            <w:shd w:val="clear" w:color="000000" w:fill="63BE7B"/>
            <w:noWrap/>
            <w:vAlign w:val="center"/>
            <w:hideMark/>
          </w:tcPr>
          <w:p w14:paraId="1F5D4EAA"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43" w:type="pct"/>
            <w:tcBorders>
              <w:top w:val="nil"/>
              <w:left w:val="nil"/>
              <w:bottom w:val="nil"/>
              <w:right w:val="nil"/>
            </w:tcBorders>
            <w:shd w:val="clear" w:color="000000" w:fill="74C37C"/>
            <w:noWrap/>
            <w:vAlign w:val="center"/>
            <w:hideMark/>
          </w:tcPr>
          <w:p w14:paraId="599FA3E7"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95</w:t>
            </w:r>
          </w:p>
        </w:tc>
        <w:tc>
          <w:tcPr>
            <w:tcW w:w="122" w:type="pct"/>
            <w:tcBorders>
              <w:top w:val="nil"/>
              <w:left w:val="nil"/>
              <w:bottom w:val="nil"/>
              <w:right w:val="nil"/>
            </w:tcBorders>
            <w:shd w:val="clear" w:color="000000" w:fill="D4DF82"/>
            <w:noWrap/>
            <w:vAlign w:val="center"/>
            <w:hideMark/>
          </w:tcPr>
          <w:p w14:paraId="5C5FAE15"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64</w:t>
            </w:r>
          </w:p>
        </w:tc>
        <w:tc>
          <w:tcPr>
            <w:tcW w:w="122" w:type="pct"/>
            <w:tcBorders>
              <w:top w:val="nil"/>
              <w:left w:val="nil"/>
              <w:bottom w:val="nil"/>
              <w:right w:val="nil"/>
            </w:tcBorders>
            <w:shd w:val="clear" w:color="000000" w:fill="7FC67D"/>
            <w:noWrap/>
            <w:vAlign w:val="center"/>
            <w:hideMark/>
          </w:tcPr>
          <w:p w14:paraId="5DA63B50"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91</w:t>
            </w:r>
          </w:p>
        </w:tc>
        <w:tc>
          <w:tcPr>
            <w:tcW w:w="122" w:type="pct"/>
            <w:tcBorders>
              <w:top w:val="nil"/>
              <w:left w:val="nil"/>
              <w:bottom w:val="nil"/>
              <w:right w:val="nil"/>
            </w:tcBorders>
            <w:shd w:val="clear" w:color="000000" w:fill="FEE282"/>
            <w:noWrap/>
            <w:vAlign w:val="center"/>
            <w:hideMark/>
          </w:tcPr>
          <w:p w14:paraId="4D3E442D"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47</w:t>
            </w:r>
          </w:p>
        </w:tc>
        <w:tc>
          <w:tcPr>
            <w:tcW w:w="122" w:type="pct"/>
            <w:tcBorders>
              <w:top w:val="nil"/>
              <w:left w:val="nil"/>
              <w:bottom w:val="nil"/>
              <w:right w:val="nil"/>
            </w:tcBorders>
            <w:shd w:val="clear" w:color="000000" w:fill="A8D27F"/>
            <w:noWrap/>
            <w:vAlign w:val="center"/>
            <w:hideMark/>
          </w:tcPr>
          <w:p w14:paraId="68CA6390"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78</w:t>
            </w:r>
          </w:p>
        </w:tc>
        <w:tc>
          <w:tcPr>
            <w:tcW w:w="143" w:type="pct"/>
            <w:tcBorders>
              <w:top w:val="nil"/>
              <w:left w:val="nil"/>
              <w:bottom w:val="nil"/>
              <w:right w:val="nil"/>
            </w:tcBorders>
            <w:shd w:val="clear" w:color="000000" w:fill="63BE7B"/>
            <w:noWrap/>
            <w:vAlign w:val="center"/>
            <w:hideMark/>
          </w:tcPr>
          <w:p w14:paraId="375A76C3"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22" w:type="pct"/>
            <w:tcBorders>
              <w:top w:val="nil"/>
              <w:left w:val="nil"/>
              <w:bottom w:val="nil"/>
              <w:right w:val="nil"/>
            </w:tcBorders>
            <w:shd w:val="clear" w:color="000000" w:fill="FFEB84"/>
            <w:noWrap/>
            <w:vAlign w:val="center"/>
            <w:hideMark/>
          </w:tcPr>
          <w:p w14:paraId="248ADC73"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50</w:t>
            </w:r>
          </w:p>
        </w:tc>
        <w:tc>
          <w:tcPr>
            <w:tcW w:w="122" w:type="pct"/>
            <w:tcBorders>
              <w:top w:val="nil"/>
              <w:left w:val="nil"/>
              <w:bottom w:val="nil"/>
              <w:right w:val="nil"/>
            </w:tcBorders>
            <w:shd w:val="clear" w:color="000000" w:fill="96CD7E"/>
            <w:noWrap/>
            <w:vAlign w:val="center"/>
            <w:hideMark/>
          </w:tcPr>
          <w:p w14:paraId="7E37F7CC"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84</w:t>
            </w:r>
          </w:p>
        </w:tc>
        <w:tc>
          <w:tcPr>
            <w:tcW w:w="123" w:type="pct"/>
            <w:tcBorders>
              <w:top w:val="nil"/>
              <w:left w:val="nil"/>
              <w:bottom w:val="nil"/>
              <w:right w:val="nil"/>
            </w:tcBorders>
            <w:shd w:val="clear" w:color="000000" w:fill="C5DB81"/>
            <w:noWrap/>
            <w:vAlign w:val="center"/>
            <w:hideMark/>
          </w:tcPr>
          <w:p w14:paraId="442A4D03"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69</w:t>
            </w:r>
          </w:p>
        </w:tc>
        <w:tc>
          <w:tcPr>
            <w:tcW w:w="122" w:type="pct"/>
            <w:tcBorders>
              <w:top w:val="nil"/>
              <w:left w:val="nil"/>
              <w:bottom w:val="nil"/>
              <w:right w:val="nil"/>
            </w:tcBorders>
            <w:shd w:val="clear" w:color="000000" w:fill="CADC81"/>
            <w:noWrap/>
            <w:vAlign w:val="center"/>
            <w:hideMark/>
          </w:tcPr>
          <w:p w14:paraId="25D94854"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67</w:t>
            </w:r>
          </w:p>
        </w:tc>
        <w:tc>
          <w:tcPr>
            <w:tcW w:w="122" w:type="pct"/>
            <w:tcBorders>
              <w:top w:val="nil"/>
              <w:left w:val="nil"/>
              <w:bottom w:val="nil"/>
              <w:right w:val="nil"/>
            </w:tcBorders>
            <w:shd w:val="clear" w:color="000000" w:fill="92CC7E"/>
            <w:noWrap/>
            <w:vAlign w:val="center"/>
            <w:hideMark/>
          </w:tcPr>
          <w:p w14:paraId="1BB888FF"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85</w:t>
            </w:r>
          </w:p>
        </w:tc>
        <w:tc>
          <w:tcPr>
            <w:tcW w:w="122" w:type="pct"/>
            <w:tcBorders>
              <w:top w:val="nil"/>
              <w:left w:val="nil"/>
              <w:bottom w:val="nil"/>
              <w:right w:val="nil"/>
            </w:tcBorders>
            <w:shd w:val="clear" w:color="000000" w:fill="B0D580"/>
            <w:noWrap/>
            <w:vAlign w:val="center"/>
            <w:hideMark/>
          </w:tcPr>
          <w:p w14:paraId="116C673F"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76</w:t>
            </w:r>
          </w:p>
        </w:tc>
        <w:tc>
          <w:tcPr>
            <w:tcW w:w="122" w:type="pct"/>
            <w:tcBorders>
              <w:top w:val="nil"/>
              <w:left w:val="nil"/>
              <w:bottom w:val="nil"/>
              <w:right w:val="nil"/>
            </w:tcBorders>
            <w:shd w:val="clear" w:color="000000" w:fill="9FD07F"/>
            <w:noWrap/>
            <w:vAlign w:val="center"/>
            <w:hideMark/>
          </w:tcPr>
          <w:p w14:paraId="06C18FBE"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81</w:t>
            </w:r>
          </w:p>
        </w:tc>
        <w:tc>
          <w:tcPr>
            <w:tcW w:w="122" w:type="pct"/>
            <w:tcBorders>
              <w:top w:val="nil"/>
              <w:left w:val="nil"/>
              <w:bottom w:val="nil"/>
              <w:right w:val="nil"/>
            </w:tcBorders>
            <w:shd w:val="clear" w:color="000000" w:fill="FEE582"/>
            <w:noWrap/>
            <w:vAlign w:val="center"/>
            <w:hideMark/>
          </w:tcPr>
          <w:p w14:paraId="4AB413CF"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48</w:t>
            </w:r>
          </w:p>
        </w:tc>
        <w:tc>
          <w:tcPr>
            <w:tcW w:w="122" w:type="pct"/>
            <w:tcBorders>
              <w:top w:val="nil"/>
              <w:left w:val="nil"/>
              <w:bottom w:val="nil"/>
              <w:right w:val="nil"/>
            </w:tcBorders>
            <w:shd w:val="clear" w:color="000000" w:fill="DAE182"/>
            <w:noWrap/>
            <w:vAlign w:val="center"/>
            <w:hideMark/>
          </w:tcPr>
          <w:p w14:paraId="7968D758"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62</w:t>
            </w:r>
          </w:p>
        </w:tc>
        <w:tc>
          <w:tcPr>
            <w:tcW w:w="122" w:type="pct"/>
            <w:tcBorders>
              <w:top w:val="nil"/>
              <w:left w:val="nil"/>
              <w:bottom w:val="nil"/>
              <w:right w:val="nil"/>
            </w:tcBorders>
            <w:shd w:val="clear" w:color="000000" w:fill="FDEB84"/>
            <w:noWrap/>
            <w:vAlign w:val="center"/>
            <w:hideMark/>
          </w:tcPr>
          <w:p w14:paraId="461A416E"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51</w:t>
            </w:r>
          </w:p>
        </w:tc>
        <w:tc>
          <w:tcPr>
            <w:tcW w:w="122" w:type="pct"/>
            <w:tcBorders>
              <w:top w:val="nil"/>
              <w:left w:val="nil"/>
              <w:bottom w:val="nil"/>
              <w:right w:val="nil"/>
            </w:tcBorders>
            <w:shd w:val="clear" w:color="000000" w:fill="FEEB84"/>
            <w:noWrap/>
            <w:vAlign w:val="center"/>
            <w:hideMark/>
          </w:tcPr>
          <w:p w14:paraId="784CF98A"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50</w:t>
            </w:r>
          </w:p>
        </w:tc>
        <w:tc>
          <w:tcPr>
            <w:tcW w:w="122" w:type="pct"/>
            <w:tcBorders>
              <w:top w:val="nil"/>
              <w:left w:val="nil"/>
              <w:bottom w:val="nil"/>
              <w:right w:val="nil"/>
            </w:tcBorders>
            <w:shd w:val="clear" w:color="000000" w:fill="7BC57D"/>
            <w:noWrap/>
            <w:vAlign w:val="center"/>
            <w:hideMark/>
          </w:tcPr>
          <w:p w14:paraId="3C0E2881"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92</w:t>
            </w:r>
          </w:p>
        </w:tc>
        <w:tc>
          <w:tcPr>
            <w:tcW w:w="122" w:type="pct"/>
            <w:tcBorders>
              <w:top w:val="nil"/>
              <w:left w:val="nil"/>
              <w:bottom w:val="nil"/>
              <w:right w:val="nil"/>
            </w:tcBorders>
            <w:shd w:val="clear" w:color="000000" w:fill="C5DB81"/>
            <w:noWrap/>
            <w:vAlign w:val="center"/>
            <w:hideMark/>
          </w:tcPr>
          <w:p w14:paraId="0634C2FF"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69</w:t>
            </w:r>
          </w:p>
        </w:tc>
        <w:tc>
          <w:tcPr>
            <w:tcW w:w="123" w:type="pct"/>
            <w:tcBorders>
              <w:top w:val="nil"/>
              <w:left w:val="nil"/>
              <w:bottom w:val="nil"/>
              <w:right w:val="nil"/>
            </w:tcBorders>
            <w:shd w:val="clear" w:color="000000" w:fill="C6DB81"/>
            <w:noWrap/>
            <w:vAlign w:val="center"/>
            <w:hideMark/>
          </w:tcPr>
          <w:p w14:paraId="312953DB"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68</w:t>
            </w:r>
          </w:p>
        </w:tc>
        <w:tc>
          <w:tcPr>
            <w:tcW w:w="122" w:type="pct"/>
            <w:tcBorders>
              <w:top w:val="nil"/>
              <w:left w:val="nil"/>
              <w:bottom w:val="nil"/>
              <w:right w:val="nil"/>
            </w:tcBorders>
            <w:shd w:val="clear" w:color="000000" w:fill="F97F6F"/>
            <w:noWrap/>
            <w:vAlign w:val="center"/>
            <w:hideMark/>
          </w:tcPr>
          <w:p w14:paraId="1982BA46"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w:t>
            </w:r>
          </w:p>
        </w:tc>
        <w:tc>
          <w:tcPr>
            <w:tcW w:w="122" w:type="pct"/>
            <w:tcBorders>
              <w:top w:val="nil"/>
              <w:left w:val="nil"/>
              <w:bottom w:val="nil"/>
              <w:right w:val="nil"/>
            </w:tcBorders>
            <w:shd w:val="clear" w:color="000000" w:fill="C8DB81"/>
            <w:noWrap/>
            <w:vAlign w:val="center"/>
            <w:hideMark/>
          </w:tcPr>
          <w:p w14:paraId="4730CE5F"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68</w:t>
            </w:r>
          </w:p>
        </w:tc>
        <w:tc>
          <w:tcPr>
            <w:tcW w:w="122" w:type="pct"/>
            <w:tcBorders>
              <w:top w:val="nil"/>
              <w:left w:val="nil"/>
              <w:bottom w:val="nil"/>
              <w:right w:val="nil"/>
            </w:tcBorders>
            <w:shd w:val="clear" w:color="000000" w:fill="FDD880"/>
            <w:noWrap/>
            <w:vAlign w:val="center"/>
            <w:hideMark/>
          </w:tcPr>
          <w:p w14:paraId="3669DC2B"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43</w:t>
            </w:r>
          </w:p>
        </w:tc>
        <w:tc>
          <w:tcPr>
            <w:tcW w:w="122" w:type="pct"/>
            <w:tcBorders>
              <w:top w:val="nil"/>
              <w:left w:val="nil"/>
              <w:bottom w:val="nil"/>
              <w:right w:val="nil"/>
            </w:tcBorders>
            <w:shd w:val="clear" w:color="000000" w:fill="F2E784"/>
            <w:noWrap/>
            <w:vAlign w:val="center"/>
            <w:hideMark/>
          </w:tcPr>
          <w:p w14:paraId="1630264E"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54</w:t>
            </w:r>
          </w:p>
        </w:tc>
        <w:tc>
          <w:tcPr>
            <w:tcW w:w="122" w:type="pct"/>
            <w:tcBorders>
              <w:top w:val="nil"/>
              <w:left w:val="nil"/>
              <w:bottom w:val="nil"/>
              <w:right w:val="nil"/>
            </w:tcBorders>
            <w:shd w:val="clear" w:color="000000" w:fill="FEEA83"/>
            <w:noWrap/>
            <w:vAlign w:val="center"/>
            <w:hideMark/>
          </w:tcPr>
          <w:p w14:paraId="503A3927"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50</w:t>
            </w:r>
          </w:p>
        </w:tc>
        <w:tc>
          <w:tcPr>
            <w:tcW w:w="123" w:type="pct"/>
            <w:tcBorders>
              <w:top w:val="nil"/>
              <w:left w:val="nil"/>
              <w:bottom w:val="nil"/>
              <w:right w:val="nil"/>
            </w:tcBorders>
            <w:shd w:val="clear" w:color="000000" w:fill="FCC07B"/>
            <w:noWrap/>
            <w:vAlign w:val="center"/>
            <w:hideMark/>
          </w:tcPr>
          <w:p w14:paraId="64AF7D8F"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34</w:t>
            </w:r>
          </w:p>
        </w:tc>
        <w:tc>
          <w:tcPr>
            <w:tcW w:w="122" w:type="pct"/>
            <w:tcBorders>
              <w:top w:val="nil"/>
              <w:left w:val="nil"/>
              <w:bottom w:val="nil"/>
              <w:right w:val="nil"/>
            </w:tcBorders>
            <w:shd w:val="clear" w:color="000000" w:fill="EDE683"/>
            <w:noWrap/>
            <w:vAlign w:val="center"/>
            <w:hideMark/>
          </w:tcPr>
          <w:p w14:paraId="3B70C279"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56</w:t>
            </w:r>
          </w:p>
        </w:tc>
      </w:tr>
      <w:tr w:rsidR="00B656F6" w:rsidRPr="00634756" w14:paraId="204DDBE3" w14:textId="77777777" w:rsidTr="008F0944">
        <w:trPr>
          <w:trHeight w:val="113"/>
        </w:trPr>
        <w:tc>
          <w:tcPr>
            <w:tcW w:w="131" w:type="pct"/>
            <w:vMerge/>
            <w:tcBorders>
              <w:left w:val="nil"/>
              <w:right w:val="nil"/>
            </w:tcBorders>
            <w:shd w:val="clear" w:color="auto" w:fill="BDD6EE" w:themeFill="accent5" w:themeFillTint="66"/>
          </w:tcPr>
          <w:p w14:paraId="35741BAC" w14:textId="77777777" w:rsidR="00B656F6" w:rsidRPr="00634756" w:rsidRDefault="00B656F6" w:rsidP="008F0944">
            <w:pPr>
              <w:snapToGrid w:val="0"/>
              <w:jc w:val="right"/>
              <w:rPr>
                <w:rFonts w:ascii="等线" w:eastAsia="等线" w:hAnsi="等线" w:cs="宋体"/>
                <w:b/>
                <w:color w:val="000000"/>
                <w:sz w:val="15"/>
                <w:szCs w:val="15"/>
              </w:rPr>
            </w:pPr>
          </w:p>
        </w:tc>
        <w:tc>
          <w:tcPr>
            <w:tcW w:w="469" w:type="pct"/>
            <w:tcBorders>
              <w:top w:val="nil"/>
              <w:left w:val="nil"/>
              <w:bottom w:val="nil"/>
              <w:right w:val="nil"/>
            </w:tcBorders>
            <w:shd w:val="clear" w:color="auto" w:fill="BDD6EE" w:themeFill="accent5" w:themeFillTint="66"/>
            <w:noWrap/>
            <w:vAlign w:val="center"/>
            <w:hideMark/>
          </w:tcPr>
          <w:p w14:paraId="42566F79" w14:textId="77777777" w:rsidR="00B656F6" w:rsidRPr="00EB4864" w:rsidRDefault="00B656F6" w:rsidP="008F0944">
            <w:pPr>
              <w:snapToGrid w:val="0"/>
              <w:jc w:val="right"/>
              <w:rPr>
                <w:rFonts w:ascii="等线" w:eastAsia="等线" w:hAnsi="等线" w:cs="宋体"/>
                <w:b/>
                <w:color w:val="000000"/>
                <w:sz w:val="15"/>
                <w:szCs w:val="15"/>
              </w:rPr>
            </w:pPr>
            <w:r w:rsidRPr="00EB4864">
              <w:rPr>
                <w:rFonts w:ascii="等线" w:eastAsia="等线" w:hAnsi="等线" w:cs="宋体"/>
                <w:b/>
                <w:color w:val="000000"/>
                <w:sz w:val="15"/>
                <w:szCs w:val="15"/>
              </w:rPr>
              <w:t>Hubei</w:t>
            </w:r>
          </w:p>
        </w:tc>
        <w:tc>
          <w:tcPr>
            <w:tcW w:w="122" w:type="pct"/>
            <w:tcBorders>
              <w:top w:val="nil"/>
              <w:left w:val="nil"/>
              <w:bottom w:val="nil"/>
              <w:right w:val="nil"/>
            </w:tcBorders>
            <w:shd w:val="clear" w:color="000000" w:fill="9FD07F"/>
            <w:noWrap/>
            <w:vAlign w:val="center"/>
            <w:hideMark/>
          </w:tcPr>
          <w:p w14:paraId="08FF5492"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81</w:t>
            </w:r>
          </w:p>
        </w:tc>
        <w:tc>
          <w:tcPr>
            <w:tcW w:w="143" w:type="pct"/>
            <w:tcBorders>
              <w:top w:val="nil"/>
              <w:left w:val="nil"/>
              <w:bottom w:val="nil"/>
              <w:right w:val="nil"/>
            </w:tcBorders>
            <w:shd w:val="clear" w:color="000000" w:fill="63BE7B"/>
            <w:noWrap/>
            <w:vAlign w:val="center"/>
            <w:hideMark/>
          </w:tcPr>
          <w:p w14:paraId="465C0FD3"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22" w:type="pct"/>
            <w:tcBorders>
              <w:top w:val="nil"/>
              <w:left w:val="nil"/>
              <w:bottom w:val="nil"/>
              <w:right w:val="nil"/>
            </w:tcBorders>
            <w:shd w:val="clear" w:color="000000" w:fill="6BC17C"/>
            <w:noWrap/>
            <w:vAlign w:val="center"/>
            <w:hideMark/>
          </w:tcPr>
          <w:p w14:paraId="54D7E0A0"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98</w:t>
            </w:r>
          </w:p>
        </w:tc>
        <w:tc>
          <w:tcPr>
            <w:tcW w:w="122" w:type="pct"/>
            <w:tcBorders>
              <w:top w:val="nil"/>
              <w:left w:val="nil"/>
              <w:bottom w:val="nil"/>
              <w:right w:val="nil"/>
            </w:tcBorders>
            <w:shd w:val="clear" w:color="000000" w:fill="84C87D"/>
            <w:noWrap/>
            <w:vAlign w:val="center"/>
            <w:hideMark/>
          </w:tcPr>
          <w:p w14:paraId="78D14532"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89</w:t>
            </w:r>
          </w:p>
        </w:tc>
        <w:tc>
          <w:tcPr>
            <w:tcW w:w="143" w:type="pct"/>
            <w:tcBorders>
              <w:top w:val="nil"/>
              <w:left w:val="nil"/>
              <w:bottom w:val="nil"/>
              <w:right w:val="nil"/>
            </w:tcBorders>
            <w:shd w:val="clear" w:color="000000" w:fill="63BE7B"/>
            <w:noWrap/>
            <w:vAlign w:val="center"/>
            <w:hideMark/>
          </w:tcPr>
          <w:p w14:paraId="0F587EA9"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22" w:type="pct"/>
            <w:tcBorders>
              <w:top w:val="nil"/>
              <w:left w:val="nil"/>
              <w:bottom w:val="nil"/>
              <w:right w:val="nil"/>
            </w:tcBorders>
            <w:shd w:val="clear" w:color="000000" w:fill="76C47D"/>
            <w:noWrap/>
            <w:vAlign w:val="center"/>
            <w:hideMark/>
          </w:tcPr>
          <w:p w14:paraId="50FFD7A9"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94</w:t>
            </w:r>
          </w:p>
        </w:tc>
        <w:tc>
          <w:tcPr>
            <w:tcW w:w="143" w:type="pct"/>
            <w:tcBorders>
              <w:top w:val="nil"/>
              <w:left w:val="nil"/>
              <w:bottom w:val="nil"/>
              <w:right w:val="nil"/>
            </w:tcBorders>
            <w:shd w:val="clear" w:color="000000" w:fill="63BE7B"/>
            <w:noWrap/>
            <w:vAlign w:val="center"/>
            <w:hideMark/>
          </w:tcPr>
          <w:p w14:paraId="02014611"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43" w:type="pct"/>
            <w:tcBorders>
              <w:top w:val="nil"/>
              <w:left w:val="nil"/>
              <w:bottom w:val="nil"/>
              <w:right w:val="nil"/>
            </w:tcBorders>
            <w:shd w:val="clear" w:color="000000" w:fill="63BE7B"/>
            <w:noWrap/>
            <w:vAlign w:val="center"/>
            <w:hideMark/>
          </w:tcPr>
          <w:p w14:paraId="05E99B39"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43" w:type="pct"/>
            <w:tcBorders>
              <w:top w:val="nil"/>
              <w:left w:val="nil"/>
              <w:bottom w:val="nil"/>
              <w:right w:val="nil"/>
            </w:tcBorders>
            <w:shd w:val="clear" w:color="000000" w:fill="79C57D"/>
            <w:noWrap/>
            <w:vAlign w:val="center"/>
            <w:hideMark/>
          </w:tcPr>
          <w:p w14:paraId="6DF49127"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93</w:t>
            </w:r>
          </w:p>
        </w:tc>
        <w:tc>
          <w:tcPr>
            <w:tcW w:w="122" w:type="pct"/>
            <w:tcBorders>
              <w:top w:val="nil"/>
              <w:left w:val="nil"/>
              <w:bottom w:val="nil"/>
              <w:right w:val="nil"/>
            </w:tcBorders>
            <w:shd w:val="clear" w:color="000000" w:fill="D3DF82"/>
            <w:noWrap/>
            <w:vAlign w:val="center"/>
            <w:hideMark/>
          </w:tcPr>
          <w:p w14:paraId="5A7185E2"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64</w:t>
            </w:r>
          </w:p>
        </w:tc>
        <w:tc>
          <w:tcPr>
            <w:tcW w:w="122" w:type="pct"/>
            <w:tcBorders>
              <w:top w:val="nil"/>
              <w:left w:val="nil"/>
              <w:bottom w:val="nil"/>
              <w:right w:val="nil"/>
            </w:tcBorders>
            <w:shd w:val="clear" w:color="000000" w:fill="80C77D"/>
            <w:noWrap/>
            <w:vAlign w:val="center"/>
            <w:hideMark/>
          </w:tcPr>
          <w:p w14:paraId="502A226A"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91</w:t>
            </w:r>
          </w:p>
        </w:tc>
        <w:tc>
          <w:tcPr>
            <w:tcW w:w="122" w:type="pct"/>
            <w:tcBorders>
              <w:top w:val="nil"/>
              <w:left w:val="nil"/>
              <w:bottom w:val="nil"/>
              <w:right w:val="nil"/>
            </w:tcBorders>
            <w:shd w:val="clear" w:color="000000" w:fill="B1D580"/>
            <w:noWrap/>
            <w:vAlign w:val="center"/>
            <w:hideMark/>
          </w:tcPr>
          <w:p w14:paraId="7B772B40"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75</w:t>
            </w:r>
          </w:p>
        </w:tc>
        <w:tc>
          <w:tcPr>
            <w:tcW w:w="122" w:type="pct"/>
            <w:tcBorders>
              <w:top w:val="nil"/>
              <w:left w:val="nil"/>
              <w:bottom w:val="nil"/>
              <w:right w:val="nil"/>
            </w:tcBorders>
            <w:shd w:val="clear" w:color="000000" w:fill="C9DC81"/>
            <w:noWrap/>
            <w:vAlign w:val="center"/>
            <w:hideMark/>
          </w:tcPr>
          <w:p w14:paraId="25C321ED"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67</w:t>
            </w:r>
          </w:p>
        </w:tc>
        <w:tc>
          <w:tcPr>
            <w:tcW w:w="143" w:type="pct"/>
            <w:tcBorders>
              <w:top w:val="nil"/>
              <w:left w:val="nil"/>
              <w:bottom w:val="nil"/>
              <w:right w:val="nil"/>
            </w:tcBorders>
            <w:shd w:val="clear" w:color="000000" w:fill="63BE7B"/>
            <w:noWrap/>
            <w:vAlign w:val="center"/>
            <w:hideMark/>
          </w:tcPr>
          <w:p w14:paraId="49F93553"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22" w:type="pct"/>
            <w:tcBorders>
              <w:top w:val="nil"/>
              <w:left w:val="nil"/>
              <w:bottom w:val="nil"/>
              <w:right w:val="nil"/>
            </w:tcBorders>
            <w:shd w:val="clear" w:color="000000" w:fill="FEEB84"/>
            <w:noWrap/>
            <w:vAlign w:val="center"/>
            <w:hideMark/>
          </w:tcPr>
          <w:p w14:paraId="787F7BC7"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51</w:t>
            </w:r>
          </w:p>
        </w:tc>
        <w:tc>
          <w:tcPr>
            <w:tcW w:w="122" w:type="pct"/>
            <w:tcBorders>
              <w:top w:val="nil"/>
              <w:left w:val="nil"/>
              <w:bottom w:val="nil"/>
              <w:right w:val="nil"/>
            </w:tcBorders>
            <w:shd w:val="clear" w:color="000000" w:fill="C7DB81"/>
            <w:noWrap/>
            <w:vAlign w:val="center"/>
            <w:hideMark/>
          </w:tcPr>
          <w:p w14:paraId="4DBC7E33"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68</w:t>
            </w:r>
          </w:p>
        </w:tc>
        <w:tc>
          <w:tcPr>
            <w:tcW w:w="123" w:type="pct"/>
            <w:tcBorders>
              <w:top w:val="nil"/>
              <w:left w:val="nil"/>
              <w:bottom w:val="nil"/>
              <w:right w:val="nil"/>
            </w:tcBorders>
            <w:shd w:val="clear" w:color="000000" w:fill="BFD981"/>
            <w:noWrap/>
            <w:vAlign w:val="center"/>
            <w:hideMark/>
          </w:tcPr>
          <w:p w14:paraId="53423C93"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71</w:t>
            </w:r>
          </w:p>
        </w:tc>
        <w:tc>
          <w:tcPr>
            <w:tcW w:w="122" w:type="pct"/>
            <w:tcBorders>
              <w:top w:val="nil"/>
              <w:left w:val="nil"/>
              <w:bottom w:val="nil"/>
              <w:right w:val="nil"/>
            </w:tcBorders>
            <w:shd w:val="clear" w:color="000000" w:fill="BDD881"/>
            <w:noWrap/>
            <w:vAlign w:val="center"/>
            <w:hideMark/>
          </w:tcPr>
          <w:p w14:paraId="2F1AA946"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71</w:t>
            </w:r>
          </w:p>
        </w:tc>
        <w:tc>
          <w:tcPr>
            <w:tcW w:w="122" w:type="pct"/>
            <w:tcBorders>
              <w:top w:val="nil"/>
              <w:left w:val="nil"/>
              <w:bottom w:val="nil"/>
              <w:right w:val="nil"/>
            </w:tcBorders>
            <w:shd w:val="clear" w:color="000000" w:fill="D4DF82"/>
            <w:noWrap/>
            <w:vAlign w:val="center"/>
            <w:hideMark/>
          </w:tcPr>
          <w:p w14:paraId="2CDC9C0D"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64</w:t>
            </w:r>
          </w:p>
        </w:tc>
        <w:tc>
          <w:tcPr>
            <w:tcW w:w="122" w:type="pct"/>
            <w:tcBorders>
              <w:top w:val="nil"/>
              <w:left w:val="nil"/>
              <w:bottom w:val="nil"/>
              <w:right w:val="nil"/>
            </w:tcBorders>
            <w:shd w:val="clear" w:color="000000" w:fill="C9DC81"/>
            <w:noWrap/>
            <w:vAlign w:val="center"/>
            <w:hideMark/>
          </w:tcPr>
          <w:p w14:paraId="265B6C5A"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68</w:t>
            </w:r>
          </w:p>
        </w:tc>
        <w:tc>
          <w:tcPr>
            <w:tcW w:w="122" w:type="pct"/>
            <w:tcBorders>
              <w:top w:val="nil"/>
              <w:left w:val="nil"/>
              <w:bottom w:val="nil"/>
              <w:right w:val="nil"/>
            </w:tcBorders>
            <w:shd w:val="clear" w:color="000000" w:fill="B2D580"/>
            <w:noWrap/>
            <w:vAlign w:val="center"/>
            <w:hideMark/>
          </w:tcPr>
          <w:p w14:paraId="1C587311"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75</w:t>
            </w:r>
          </w:p>
        </w:tc>
        <w:tc>
          <w:tcPr>
            <w:tcW w:w="122" w:type="pct"/>
            <w:tcBorders>
              <w:top w:val="nil"/>
              <w:left w:val="nil"/>
              <w:bottom w:val="nil"/>
              <w:right w:val="nil"/>
            </w:tcBorders>
            <w:shd w:val="clear" w:color="000000" w:fill="FEE182"/>
            <w:noWrap/>
            <w:vAlign w:val="center"/>
            <w:hideMark/>
          </w:tcPr>
          <w:p w14:paraId="084319C3"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46</w:t>
            </w:r>
          </w:p>
        </w:tc>
        <w:tc>
          <w:tcPr>
            <w:tcW w:w="122" w:type="pct"/>
            <w:tcBorders>
              <w:top w:val="nil"/>
              <w:left w:val="nil"/>
              <w:bottom w:val="nil"/>
              <w:right w:val="nil"/>
            </w:tcBorders>
            <w:shd w:val="clear" w:color="000000" w:fill="E4E383"/>
            <w:noWrap/>
            <w:vAlign w:val="center"/>
            <w:hideMark/>
          </w:tcPr>
          <w:p w14:paraId="1140055D"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59</w:t>
            </w:r>
          </w:p>
        </w:tc>
        <w:tc>
          <w:tcPr>
            <w:tcW w:w="122" w:type="pct"/>
            <w:tcBorders>
              <w:top w:val="nil"/>
              <w:left w:val="nil"/>
              <w:bottom w:val="nil"/>
              <w:right w:val="nil"/>
            </w:tcBorders>
            <w:shd w:val="clear" w:color="000000" w:fill="D2DE82"/>
            <w:noWrap/>
            <w:vAlign w:val="center"/>
            <w:hideMark/>
          </w:tcPr>
          <w:p w14:paraId="601A8B1D"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65</w:t>
            </w:r>
          </w:p>
        </w:tc>
        <w:tc>
          <w:tcPr>
            <w:tcW w:w="122" w:type="pct"/>
            <w:tcBorders>
              <w:top w:val="nil"/>
              <w:left w:val="nil"/>
              <w:bottom w:val="nil"/>
              <w:right w:val="nil"/>
            </w:tcBorders>
            <w:shd w:val="clear" w:color="000000" w:fill="E9E583"/>
            <w:noWrap/>
            <w:vAlign w:val="center"/>
            <w:hideMark/>
          </w:tcPr>
          <w:p w14:paraId="7557B890"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57</w:t>
            </w:r>
          </w:p>
        </w:tc>
        <w:tc>
          <w:tcPr>
            <w:tcW w:w="122" w:type="pct"/>
            <w:tcBorders>
              <w:top w:val="nil"/>
              <w:left w:val="nil"/>
              <w:bottom w:val="nil"/>
              <w:right w:val="nil"/>
            </w:tcBorders>
            <w:shd w:val="clear" w:color="000000" w:fill="6FC27C"/>
            <w:noWrap/>
            <w:vAlign w:val="center"/>
            <w:hideMark/>
          </w:tcPr>
          <w:p w14:paraId="41507522"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96</w:t>
            </w:r>
          </w:p>
        </w:tc>
        <w:tc>
          <w:tcPr>
            <w:tcW w:w="122" w:type="pct"/>
            <w:tcBorders>
              <w:top w:val="nil"/>
              <w:left w:val="nil"/>
              <w:bottom w:val="nil"/>
              <w:right w:val="nil"/>
            </w:tcBorders>
            <w:shd w:val="clear" w:color="000000" w:fill="9ACE7F"/>
            <w:noWrap/>
            <w:vAlign w:val="center"/>
            <w:hideMark/>
          </w:tcPr>
          <w:p w14:paraId="46AA66E7"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83</w:t>
            </w:r>
          </w:p>
        </w:tc>
        <w:tc>
          <w:tcPr>
            <w:tcW w:w="123" w:type="pct"/>
            <w:tcBorders>
              <w:top w:val="nil"/>
              <w:left w:val="nil"/>
              <w:bottom w:val="nil"/>
              <w:right w:val="nil"/>
            </w:tcBorders>
            <w:shd w:val="clear" w:color="000000" w:fill="ACD380"/>
            <w:noWrap/>
            <w:vAlign w:val="center"/>
            <w:hideMark/>
          </w:tcPr>
          <w:p w14:paraId="123A85AF"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77</w:t>
            </w:r>
          </w:p>
        </w:tc>
        <w:tc>
          <w:tcPr>
            <w:tcW w:w="122" w:type="pct"/>
            <w:tcBorders>
              <w:top w:val="nil"/>
              <w:left w:val="nil"/>
              <w:bottom w:val="nil"/>
              <w:right w:val="nil"/>
            </w:tcBorders>
            <w:shd w:val="clear" w:color="000000" w:fill="FA9D75"/>
            <w:noWrap/>
            <w:vAlign w:val="center"/>
            <w:hideMark/>
          </w:tcPr>
          <w:p w14:paraId="6A275547"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20</w:t>
            </w:r>
          </w:p>
        </w:tc>
        <w:tc>
          <w:tcPr>
            <w:tcW w:w="122" w:type="pct"/>
            <w:tcBorders>
              <w:top w:val="nil"/>
              <w:left w:val="nil"/>
              <w:bottom w:val="nil"/>
              <w:right w:val="nil"/>
            </w:tcBorders>
            <w:shd w:val="clear" w:color="000000" w:fill="A8D27F"/>
            <w:noWrap/>
            <w:vAlign w:val="center"/>
            <w:hideMark/>
          </w:tcPr>
          <w:p w14:paraId="01FF624F"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78</w:t>
            </w:r>
          </w:p>
        </w:tc>
        <w:tc>
          <w:tcPr>
            <w:tcW w:w="122" w:type="pct"/>
            <w:tcBorders>
              <w:top w:val="nil"/>
              <w:left w:val="nil"/>
              <w:bottom w:val="nil"/>
              <w:right w:val="nil"/>
            </w:tcBorders>
            <w:shd w:val="clear" w:color="000000" w:fill="ECE683"/>
            <w:noWrap/>
            <w:vAlign w:val="center"/>
            <w:hideMark/>
          </w:tcPr>
          <w:p w14:paraId="3D6B1830"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56</w:t>
            </w:r>
          </w:p>
        </w:tc>
        <w:tc>
          <w:tcPr>
            <w:tcW w:w="122" w:type="pct"/>
            <w:tcBorders>
              <w:top w:val="nil"/>
              <w:left w:val="nil"/>
              <w:bottom w:val="nil"/>
              <w:right w:val="nil"/>
            </w:tcBorders>
            <w:shd w:val="clear" w:color="000000" w:fill="B4D680"/>
            <w:noWrap/>
            <w:vAlign w:val="center"/>
            <w:hideMark/>
          </w:tcPr>
          <w:p w14:paraId="508BB8B7"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74</w:t>
            </w:r>
          </w:p>
        </w:tc>
        <w:tc>
          <w:tcPr>
            <w:tcW w:w="122" w:type="pct"/>
            <w:tcBorders>
              <w:top w:val="nil"/>
              <w:left w:val="nil"/>
              <w:bottom w:val="nil"/>
              <w:right w:val="nil"/>
            </w:tcBorders>
            <w:shd w:val="clear" w:color="000000" w:fill="C7DB81"/>
            <w:noWrap/>
            <w:vAlign w:val="center"/>
            <w:hideMark/>
          </w:tcPr>
          <w:p w14:paraId="1B3A15B5"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68</w:t>
            </w:r>
          </w:p>
        </w:tc>
        <w:tc>
          <w:tcPr>
            <w:tcW w:w="123" w:type="pct"/>
            <w:tcBorders>
              <w:top w:val="nil"/>
              <w:left w:val="nil"/>
              <w:bottom w:val="nil"/>
              <w:right w:val="nil"/>
            </w:tcBorders>
            <w:shd w:val="clear" w:color="000000" w:fill="FEEA83"/>
            <w:noWrap/>
            <w:vAlign w:val="center"/>
            <w:hideMark/>
          </w:tcPr>
          <w:p w14:paraId="1E5F7056"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50</w:t>
            </w:r>
          </w:p>
        </w:tc>
        <w:tc>
          <w:tcPr>
            <w:tcW w:w="122" w:type="pct"/>
            <w:tcBorders>
              <w:top w:val="nil"/>
              <w:left w:val="nil"/>
              <w:bottom w:val="nil"/>
              <w:right w:val="nil"/>
            </w:tcBorders>
            <w:shd w:val="clear" w:color="000000" w:fill="EDE683"/>
            <w:noWrap/>
            <w:vAlign w:val="center"/>
            <w:hideMark/>
          </w:tcPr>
          <w:p w14:paraId="4E6553D4"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56</w:t>
            </w:r>
          </w:p>
        </w:tc>
      </w:tr>
      <w:tr w:rsidR="00B656F6" w:rsidRPr="00634756" w14:paraId="523BDCED" w14:textId="77777777" w:rsidTr="008F0944">
        <w:trPr>
          <w:trHeight w:val="113"/>
        </w:trPr>
        <w:tc>
          <w:tcPr>
            <w:tcW w:w="131" w:type="pct"/>
            <w:vMerge/>
            <w:tcBorders>
              <w:left w:val="nil"/>
              <w:right w:val="nil"/>
            </w:tcBorders>
            <w:shd w:val="clear" w:color="auto" w:fill="BDD6EE" w:themeFill="accent5" w:themeFillTint="66"/>
          </w:tcPr>
          <w:p w14:paraId="65F94E35" w14:textId="77777777" w:rsidR="00B656F6" w:rsidRPr="00634756" w:rsidRDefault="00B656F6" w:rsidP="008F0944">
            <w:pPr>
              <w:snapToGrid w:val="0"/>
              <w:jc w:val="right"/>
              <w:rPr>
                <w:rFonts w:ascii="等线" w:eastAsia="等线" w:hAnsi="等线" w:cs="宋体"/>
                <w:b/>
                <w:color w:val="000000"/>
                <w:sz w:val="15"/>
                <w:szCs w:val="15"/>
              </w:rPr>
            </w:pPr>
          </w:p>
        </w:tc>
        <w:tc>
          <w:tcPr>
            <w:tcW w:w="469" w:type="pct"/>
            <w:tcBorders>
              <w:top w:val="nil"/>
              <w:left w:val="nil"/>
              <w:bottom w:val="nil"/>
              <w:right w:val="nil"/>
            </w:tcBorders>
            <w:shd w:val="clear" w:color="auto" w:fill="BDD6EE" w:themeFill="accent5" w:themeFillTint="66"/>
            <w:noWrap/>
            <w:vAlign w:val="center"/>
            <w:hideMark/>
          </w:tcPr>
          <w:p w14:paraId="283A30AE" w14:textId="77777777" w:rsidR="00B656F6" w:rsidRPr="00EB4864" w:rsidRDefault="00B656F6" w:rsidP="008F0944">
            <w:pPr>
              <w:snapToGrid w:val="0"/>
              <w:jc w:val="right"/>
              <w:rPr>
                <w:rFonts w:ascii="等线" w:eastAsia="等线" w:hAnsi="等线" w:cs="宋体"/>
                <w:b/>
                <w:color w:val="000000"/>
                <w:sz w:val="15"/>
                <w:szCs w:val="15"/>
              </w:rPr>
            </w:pPr>
            <w:r w:rsidRPr="00EB4864">
              <w:rPr>
                <w:rFonts w:ascii="等线" w:eastAsia="等线" w:hAnsi="等线" w:cs="宋体"/>
                <w:b/>
                <w:color w:val="000000"/>
                <w:sz w:val="15"/>
                <w:szCs w:val="15"/>
              </w:rPr>
              <w:t>Hunan</w:t>
            </w:r>
          </w:p>
        </w:tc>
        <w:tc>
          <w:tcPr>
            <w:tcW w:w="122" w:type="pct"/>
            <w:tcBorders>
              <w:top w:val="nil"/>
              <w:left w:val="nil"/>
              <w:bottom w:val="nil"/>
              <w:right w:val="nil"/>
            </w:tcBorders>
            <w:shd w:val="clear" w:color="000000" w:fill="AFD480"/>
            <w:noWrap/>
            <w:vAlign w:val="center"/>
            <w:hideMark/>
          </w:tcPr>
          <w:p w14:paraId="5B6A4C7D"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76</w:t>
            </w:r>
          </w:p>
        </w:tc>
        <w:tc>
          <w:tcPr>
            <w:tcW w:w="143" w:type="pct"/>
            <w:tcBorders>
              <w:top w:val="nil"/>
              <w:left w:val="nil"/>
              <w:bottom w:val="nil"/>
              <w:right w:val="nil"/>
            </w:tcBorders>
            <w:shd w:val="clear" w:color="000000" w:fill="63BE7B"/>
            <w:noWrap/>
            <w:vAlign w:val="center"/>
            <w:hideMark/>
          </w:tcPr>
          <w:p w14:paraId="180549FA"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22" w:type="pct"/>
            <w:tcBorders>
              <w:top w:val="nil"/>
              <w:left w:val="nil"/>
              <w:bottom w:val="nil"/>
              <w:right w:val="nil"/>
            </w:tcBorders>
            <w:shd w:val="clear" w:color="000000" w:fill="72C37C"/>
            <w:noWrap/>
            <w:vAlign w:val="center"/>
            <w:hideMark/>
          </w:tcPr>
          <w:p w14:paraId="1DF3CB3F"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95</w:t>
            </w:r>
          </w:p>
        </w:tc>
        <w:tc>
          <w:tcPr>
            <w:tcW w:w="122" w:type="pct"/>
            <w:tcBorders>
              <w:top w:val="nil"/>
              <w:left w:val="nil"/>
              <w:bottom w:val="nil"/>
              <w:right w:val="nil"/>
            </w:tcBorders>
            <w:shd w:val="clear" w:color="000000" w:fill="8FCB7E"/>
            <w:noWrap/>
            <w:vAlign w:val="center"/>
            <w:hideMark/>
          </w:tcPr>
          <w:p w14:paraId="2CC8F80B"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86</w:t>
            </w:r>
          </w:p>
        </w:tc>
        <w:tc>
          <w:tcPr>
            <w:tcW w:w="143" w:type="pct"/>
            <w:tcBorders>
              <w:top w:val="nil"/>
              <w:left w:val="nil"/>
              <w:bottom w:val="nil"/>
              <w:right w:val="nil"/>
            </w:tcBorders>
            <w:shd w:val="clear" w:color="000000" w:fill="63BE7B"/>
            <w:noWrap/>
            <w:vAlign w:val="center"/>
            <w:hideMark/>
          </w:tcPr>
          <w:p w14:paraId="34E094C4"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22" w:type="pct"/>
            <w:tcBorders>
              <w:top w:val="nil"/>
              <w:left w:val="nil"/>
              <w:bottom w:val="nil"/>
              <w:right w:val="nil"/>
            </w:tcBorders>
            <w:shd w:val="clear" w:color="000000" w:fill="81C77D"/>
            <w:noWrap/>
            <w:vAlign w:val="center"/>
            <w:hideMark/>
          </w:tcPr>
          <w:p w14:paraId="26B7E3B8"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91</w:t>
            </w:r>
          </w:p>
        </w:tc>
        <w:tc>
          <w:tcPr>
            <w:tcW w:w="143" w:type="pct"/>
            <w:tcBorders>
              <w:top w:val="nil"/>
              <w:left w:val="nil"/>
              <w:bottom w:val="nil"/>
              <w:right w:val="nil"/>
            </w:tcBorders>
            <w:shd w:val="clear" w:color="000000" w:fill="63BE7B"/>
            <w:noWrap/>
            <w:vAlign w:val="center"/>
            <w:hideMark/>
          </w:tcPr>
          <w:p w14:paraId="77A7CC61"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43" w:type="pct"/>
            <w:tcBorders>
              <w:top w:val="nil"/>
              <w:left w:val="nil"/>
              <w:bottom w:val="nil"/>
              <w:right w:val="nil"/>
            </w:tcBorders>
            <w:shd w:val="clear" w:color="000000" w:fill="63BE7B"/>
            <w:noWrap/>
            <w:vAlign w:val="center"/>
            <w:hideMark/>
          </w:tcPr>
          <w:p w14:paraId="7B588A77"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43" w:type="pct"/>
            <w:tcBorders>
              <w:top w:val="nil"/>
              <w:left w:val="nil"/>
              <w:bottom w:val="nil"/>
              <w:right w:val="nil"/>
            </w:tcBorders>
            <w:shd w:val="clear" w:color="000000" w:fill="6FC27C"/>
            <w:noWrap/>
            <w:vAlign w:val="center"/>
            <w:hideMark/>
          </w:tcPr>
          <w:p w14:paraId="0EC4E05C"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96</w:t>
            </w:r>
          </w:p>
        </w:tc>
        <w:tc>
          <w:tcPr>
            <w:tcW w:w="122" w:type="pct"/>
            <w:tcBorders>
              <w:top w:val="nil"/>
              <w:left w:val="nil"/>
              <w:bottom w:val="nil"/>
              <w:right w:val="nil"/>
            </w:tcBorders>
            <w:shd w:val="clear" w:color="000000" w:fill="D4DF82"/>
            <w:noWrap/>
            <w:vAlign w:val="center"/>
            <w:hideMark/>
          </w:tcPr>
          <w:p w14:paraId="31DFD6E8"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64</w:t>
            </w:r>
          </w:p>
        </w:tc>
        <w:tc>
          <w:tcPr>
            <w:tcW w:w="122" w:type="pct"/>
            <w:tcBorders>
              <w:top w:val="nil"/>
              <w:left w:val="nil"/>
              <w:bottom w:val="nil"/>
              <w:right w:val="nil"/>
            </w:tcBorders>
            <w:shd w:val="clear" w:color="000000" w:fill="81C77D"/>
            <w:noWrap/>
            <w:vAlign w:val="center"/>
            <w:hideMark/>
          </w:tcPr>
          <w:p w14:paraId="73443F92"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91</w:t>
            </w:r>
          </w:p>
        </w:tc>
        <w:tc>
          <w:tcPr>
            <w:tcW w:w="122" w:type="pct"/>
            <w:tcBorders>
              <w:top w:val="nil"/>
              <w:left w:val="nil"/>
              <w:bottom w:val="nil"/>
              <w:right w:val="nil"/>
            </w:tcBorders>
            <w:shd w:val="clear" w:color="000000" w:fill="FCBF7B"/>
            <w:noWrap/>
            <w:vAlign w:val="center"/>
            <w:hideMark/>
          </w:tcPr>
          <w:p w14:paraId="1C47B436"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33</w:t>
            </w:r>
          </w:p>
        </w:tc>
        <w:tc>
          <w:tcPr>
            <w:tcW w:w="122" w:type="pct"/>
            <w:tcBorders>
              <w:top w:val="nil"/>
              <w:left w:val="nil"/>
              <w:bottom w:val="nil"/>
              <w:right w:val="nil"/>
            </w:tcBorders>
            <w:shd w:val="clear" w:color="000000" w:fill="DBE182"/>
            <w:noWrap/>
            <w:vAlign w:val="center"/>
            <w:hideMark/>
          </w:tcPr>
          <w:p w14:paraId="05D92BF3"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62</w:t>
            </w:r>
          </w:p>
        </w:tc>
        <w:tc>
          <w:tcPr>
            <w:tcW w:w="143" w:type="pct"/>
            <w:tcBorders>
              <w:top w:val="nil"/>
              <w:left w:val="nil"/>
              <w:bottom w:val="nil"/>
              <w:right w:val="nil"/>
            </w:tcBorders>
            <w:shd w:val="clear" w:color="000000" w:fill="63BE7B"/>
            <w:noWrap/>
            <w:vAlign w:val="center"/>
            <w:hideMark/>
          </w:tcPr>
          <w:p w14:paraId="7777C2D2"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22" w:type="pct"/>
            <w:tcBorders>
              <w:top w:val="nil"/>
              <w:left w:val="nil"/>
              <w:bottom w:val="nil"/>
              <w:right w:val="nil"/>
            </w:tcBorders>
            <w:shd w:val="clear" w:color="000000" w:fill="FEDB80"/>
            <w:noWrap/>
            <w:vAlign w:val="center"/>
            <w:hideMark/>
          </w:tcPr>
          <w:p w14:paraId="4879DF4F"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44</w:t>
            </w:r>
          </w:p>
        </w:tc>
        <w:tc>
          <w:tcPr>
            <w:tcW w:w="122" w:type="pct"/>
            <w:tcBorders>
              <w:top w:val="nil"/>
              <w:left w:val="nil"/>
              <w:bottom w:val="nil"/>
              <w:right w:val="nil"/>
            </w:tcBorders>
            <w:shd w:val="clear" w:color="000000" w:fill="A5D17F"/>
            <w:noWrap/>
            <w:vAlign w:val="center"/>
            <w:hideMark/>
          </w:tcPr>
          <w:p w14:paraId="0678BEA2"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79</w:t>
            </w:r>
          </w:p>
        </w:tc>
        <w:tc>
          <w:tcPr>
            <w:tcW w:w="123" w:type="pct"/>
            <w:tcBorders>
              <w:top w:val="nil"/>
              <w:left w:val="nil"/>
              <w:bottom w:val="nil"/>
              <w:right w:val="nil"/>
            </w:tcBorders>
            <w:shd w:val="clear" w:color="000000" w:fill="E3E383"/>
            <w:noWrap/>
            <w:vAlign w:val="center"/>
            <w:hideMark/>
          </w:tcPr>
          <w:p w14:paraId="6135F3AA"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59</w:t>
            </w:r>
          </w:p>
        </w:tc>
        <w:tc>
          <w:tcPr>
            <w:tcW w:w="122" w:type="pct"/>
            <w:tcBorders>
              <w:top w:val="nil"/>
              <w:left w:val="nil"/>
              <w:bottom w:val="nil"/>
              <w:right w:val="nil"/>
            </w:tcBorders>
            <w:shd w:val="clear" w:color="000000" w:fill="BFD981"/>
            <w:noWrap/>
            <w:vAlign w:val="center"/>
            <w:hideMark/>
          </w:tcPr>
          <w:p w14:paraId="6DD19E0B"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71</w:t>
            </w:r>
          </w:p>
        </w:tc>
        <w:tc>
          <w:tcPr>
            <w:tcW w:w="122" w:type="pct"/>
            <w:tcBorders>
              <w:top w:val="nil"/>
              <w:left w:val="nil"/>
              <w:bottom w:val="nil"/>
              <w:right w:val="nil"/>
            </w:tcBorders>
            <w:shd w:val="clear" w:color="000000" w:fill="89C97E"/>
            <w:noWrap/>
            <w:vAlign w:val="center"/>
            <w:hideMark/>
          </w:tcPr>
          <w:p w14:paraId="1DA8EB4F"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88</w:t>
            </w:r>
          </w:p>
        </w:tc>
        <w:tc>
          <w:tcPr>
            <w:tcW w:w="122" w:type="pct"/>
            <w:tcBorders>
              <w:top w:val="nil"/>
              <w:left w:val="nil"/>
              <w:bottom w:val="nil"/>
              <w:right w:val="nil"/>
            </w:tcBorders>
            <w:shd w:val="clear" w:color="000000" w:fill="A6D27F"/>
            <w:noWrap/>
            <w:vAlign w:val="center"/>
            <w:hideMark/>
          </w:tcPr>
          <w:p w14:paraId="7457EAF8"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79</w:t>
            </w:r>
          </w:p>
        </w:tc>
        <w:tc>
          <w:tcPr>
            <w:tcW w:w="122" w:type="pct"/>
            <w:tcBorders>
              <w:top w:val="nil"/>
              <w:left w:val="nil"/>
              <w:bottom w:val="nil"/>
              <w:right w:val="nil"/>
            </w:tcBorders>
            <w:shd w:val="clear" w:color="000000" w:fill="CDDD82"/>
            <w:noWrap/>
            <w:vAlign w:val="center"/>
            <w:hideMark/>
          </w:tcPr>
          <w:p w14:paraId="6BDE31EA"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66</w:t>
            </w:r>
          </w:p>
        </w:tc>
        <w:tc>
          <w:tcPr>
            <w:tcW w:w="122" w:type="pct"/>
            <w:tcBorders>
              <w:top w:val="nil"/>
              <w:left w:val="nil"/>
              <w:bottom w:val="nil"/>
              <w:right w:val="nil"/>
            </w:tcBorders>
            <w:shd w:val="clear" w:color="000000" w:fill="C8DB81"/>
            <w:noWrap/>
            <w:vAlign w:val="center"/>
            <w:hideMark/>
          </w:tcPr>
          <w:p w14:paraId="462DC7BB"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68</w:t>
            </w:r>
          </w:p>
        </w:tc>
        <w:tc>
          <w:tcPr>
            <w:tcW w:w="122" w:type="pct"/>
            <w:tcBorders>
              <w:top w:val="nil"/>
              <w:left w:val="nil"/>
              <w:bottom w:val="nil"/>
              <w:right w:val="nil"/>
            </w:tcBorders>
            <w:shd w:val="clear" w:color="000000" w:fill="CBDC81"/>
            <w:noWrap/>
            <w:vAlign w:val="center"/>
            <w:hideMark/>
          </w:tcPr>
          <w:p w14:paraId="65543629"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67</w:t>
            </w:r>
          </w:p>
        </w:tc>
        <w:tc>
          <w:tcPr>
            <w:tcW w:w="122" w:type="pct"/>
            <w:tcBorders>
              <w:top w:val="nil"/>
              <w:left w:val="nil"/>
              <w:bottom w:val="nil"/>
              <w:right w:val="nil"/>
            </w:tcBorders>
            <w:shd w:val="clear" w:color="000000" w:fill="DDE283"/>
            <w:noWrap/>
            <w:vAlign w:val="center"/>
            <w:hideMark/>
          </w:tcPr>
          <w:p w14:paraId="6AAEABF1"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61</w:t>
            </w:r>
          </w:p>
        </w:tc>
        <w:tc>
          <w:tcPr>
            <w:tcW w:w="122" w:type="pct"/>
            <w:tcBorders>
              <w:top w:val="nil"/>
              <w:left w:val="nil"/>
              <w:bottom w:val="nil"/>
              <w:right w:val="nil"/>
            </w:tcBorders>
            <w:shd w:val="clear" w:color="000000" w:fill="F3E884"/>
            <w:noWrap/>
            <w:vAlign w:val="center"/>
            <w:hideMark/>
          </w:tcPr>
          <w:p w14:paraId="4A072FB7"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54</w:t>
            </w:r>
          </w:p>
        </w:tc>
        <w:tc>
          <w:tcPr>
            <w:tcW w:w="122" w:type="pct"/>
            <w:tcBorders>
              <w:top w:val="nil"/>
              <w:left w:val="nil"/>
              <w:bottom w:val="nil"/>
              <w:right w:val="nil"/>
            </w:tcBorders>
            <w:shd w:val="clear" w:color="000000" w:fill="6EC27C"/>
            <w:noWrap/>
            <w:vAlign w:val="center"/>
            <w:hideMark/>
          </w:tcPr>
          <w:p w14:paraId="10BE604B"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96</w:t>
            </w:r>
          </w:p>
        </w:tc>
        <w:tc>
          <w:tcPr>
            <w:tcW w:w="122" w:type="pct"/>
            <w:tcBorders>
              <w:top w:val="nil"/>
              <w:left w:val="nil"/>
              <w:bottom w:val="nil"/>
              <w:right w:val="nil"/>
            </w:tcBorders>
            <w:shd w:val="clear" w:color="000000" w:fill="B1D580"/>
            <w:noWrap/>
            <w:vAlign w:val="center"/>
            <w:hideMark/>
          </w:tcPr>
          <w:p w14:paraId="7280C46E"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75</w:t>
            </w:r>
          </w:p>
        </w:tc>
        <w:tc>
          <w:tcPr>
            <w:tcW w:w="123" w:type="pct"/>
            <w:tcBorders>
              <w:top w:val="nil"/>
              <w:left w:val="nil"/>
              <w:bottom w:val="nil"/>
              <w:right w:val="nil"/>
            </w:tcBorders>
            <w:shd w:val="clear" w:color="000000" w:fill="B7D780"/>
            <w:noWrap/>
            <w:vAlign w:val="center"/>
            <w:hideMark/>
          </w:tcPr>
          <w:p w14:paraId="50FCB016"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73</w:t>
            </w:r>
          </w:p>
        </w:tc>
        <w:tc>
          <w:tcPr>
            <w:tcW w:w="122" w:type="pct"/>
            <w:tcBorders>
              <w:top w:val="nil"/>
              <w:left w:val="nil"/>
              <w:bottom w:val="nil"/>
              <w:right w:val="nil"/>
            </w:tcBorders>
            <w:shd w:val="clear" w:color="000000" w:fill="FDCA7D"/>
            <w:noWrap/>
            <w:vAlign w:val="center"/>
            <w:hideMark/>
          </w:tcPr>
          <w:p w14:paraId="08FC2D36"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38</w:t>
            </w:r>
          </w:p>
        </w:tc>
        <w:tc>
          <w:tcPr>
            <w:tcW w:w="122" w:type="pct"/>
            <w:tcBorders>
              <w:top w:val="nil"/>
              <w:left w:val="nil"/>
              <w:bottom w:val="nil"/>
              <w:right w:val="nil"/>
            </w:tcBorders>
            <w:shd w:val="clear" w:color="000000" w:fill="D0DE82"/>
            <w:noWrap/>
            <w:vAlign w:val="center"/>
            <w:hideMark/>
          </w:tcPr>
          <w:p w14:paraId="4D5F35B3"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65</w:t>
            </w:r>
          </w:p>
        </w:tc>
        <w:tc>
          <w:tcPr>
            <w:tcW w:w="122" w:type="pct"/>
            <w:tcBorders>
              <w:top w:val="nil"/>
              <w:left w:val="nil"/>
              <w:bottom w:val="nil"/>
              <w:right w:val="nil"/>
            </w:tcBorders>
            <w:shd w:val="clear" w:color="000000" w:fill="D4DF82"/>
            <w:noWrap/>
            <w:vAlign w:val="center"/>
            <w:hideMark/>
          </w:tcPr>
          <w:p w14:paraId="589BFFFF"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64</w:t>
            </w:r>
          </w:p>
        </w:tc>
        <w:tc>
          <w:tcPr>
            <w:tcW w:w="122" w:type="pct"/>
            <w:tcBorders>
              <w:top w:val="nil"/>
              <w:left w:val="nil"/>
              <w:bottom w:val="nil"/>
              <w:right w:val="nil"/>
            </w:tcBorders>
            <w:shd w:val="clear" w:color="000000" w:fill="8ECB7E"/>
            <w:noWrap/>
            <w:vAlign w:val="center"/>
            <w:hideMark/>
          </w:tcPr>
          <w:p w14:paraId="73B8D005"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86</w:t>
            </w:r>
          </w:p>
        </w:tc>
        <w:tc>
          <w:tcPr>
            <w:tcW w:w="122" w:type="pct"/>
            <w:tcBorders>
              <w:top w:val="nil"/>
              <w:left w:val="nil"/>
              <w:bottom w:val="nil"/>
              <w:right w:val="nil"/>
            </w:tcBorders>
            <w:shd w:val="clear" w:color="000000" w:fill="B4D680"/>
            <w:noWrap/>
            <w:vAlign w:val="center"/>
            <w:hideMark/>
          </w:tcPr>
          <w:p w14:paraId="14114FB9"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74</w:t>
            </w:r>
          </w:p>
        </w:tc>
        <w:tc>
          <w:tcPr>
            <w:tcW w:w="123" w:type="pct"/>
            <w:tcBorders>
              <w:top w:val="nil"/>
              <w:left w:val="nil"/>
              <w:bottom w:val="nil"/>
              <w:right w:val="nil"/>
            </w:tcBorders>
            <w:shd w:val="clear" w:color="000000" w:fill="E2E383"/>
            <w:noWrap/>
            <w:vAlign w:val="center"/>
            <w:hideMark/>
          </w:tcPr>
          <w:p w14:paraId="772C2214"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60</w:t>
            </w:r>
          </w:p>
        </w:tc>
        <w:tc>
          <w:tcPr>
            <w:tcW w:w="122" w:type="pct"/>
            <w:tcBorders>
              <w:top w:val="nil"/>
              <w:left w:val="nil"/>
              <w:bottom w:val="nil"/>
              <w:right w:val="nil"/>
            </w:tcBorders>
            <w:shd w:val="clear" w:color="000000" w:fill="F9EA84"/>
            <w:noWrap/>
            <w:vAlign w:val="center"/>
            <w:hideMark/>
          </w:tcPr>
          <w:p w14:paraId="73244A1B"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52</w:t>
            </w:r>
          </w:p>
        </w:tc>
      </w:tr>
      <w:tr w:rsidR="00B656F6" w:rsidRPr="00634756" w14:paraId="60C0DB7E" w14:textId="77777777" w:rsidTr="008F0944">
        <w:trPr>
          <w:trHeight w:val="113"/>
        </w:trPr>
        <w:tc>
          <w:tcPr>
            <w:tcW w:w="131" w:type="pct"/>
            <w:vMerge/>
            <w:tcBorders>
              <w:left w:val="nil"/>
              <w:bottom w:val="nil"/>
              <w:right w:val="nil"/>
            </w:tcBorders>
            <w:shd w:val="clear" w:color="auto" w:fill="BDD6EE" w:themeFill="accent5" w:themeFillTint="66"/>
          </w:tcPr>
          <w:p w14:paraId="5D975852" w14:textId="77777777" w:rsidR="00B656F6" w:rsidRPr="00634756" w:rsidRDefault="00B656F6" w:rsidP="008F0944">
            <w:pPr>
              <w:snapToGrid w:val="0"/>
              <w:jc w:val="right"/>
              <w:rPr>
                <w:rFonts w:ascii="等线" w:eastAsia="等线" w:hAnsi="等线" w:cs="宋体"/>
                <w:b/>
                <w:color w:val="000000"/>
                <w:sz w:val="15"/>
                <w:szCs w:val="15"/>
              </w:rPr>
            </w:pPr>
          </w:p>
        </w:tc>
        <w:tc>
          <w:tcPr>
            <w:tcW w:w="469" w:type="pct"/>
            <w:tcBorders>
              <w:top w:val="nil"/>
              <w:left w:val="nil"/>
              <w:bottom w:val="nil"/>
              <w:right w:val="nil"/>
            </w:tcBorders>
            <w:shd w:val="clear" w:color="auto" w:fill="BDD6EE" w:themeFill="accent5" w:themeFillTint="66"/>
            <w:noWrap/>
            <w:vAlign w:val="center"/>
            <w:hideMark/>
          </w:tcPr>
          <w:p w14:paraId="12243508" w14:textId="77777777" w:rsidR="00B656F6" w:rsidRPr="00EB4864" w:rsidRDefault="00B656F6" w:rsidP="008F0944">
            <w:pPr>
              <w:snapToGrid w:val="0"/>
              <w:jc w:val="right"/>
              <w:rPr>
                <w:rFonts w:ascii="等线" w:eastAsia="等线" w:hAnsi="等线" w:cs="宋体"/>
                <w:b/>
                <w:color w:val="000000"/>
                <w:sz w:val="15"/>
                <w:szCs w:val="15"/>
              </w:rPr>
            </w:pPr>
            <w:r w:rsidRPr="00EB4864">
              <w:rPr>
                <w:rFonts w:ascii="等线" w:eastAsia="等线" w:hAnsi="等线" w:cs="宋体"/>
                <w:b/>
                <w:color w:val="000000"/>
                <w:sz w:val="15"/>
                <w:szCs w:val="15"/>
              </w:rPr>
              <w:t>Inner Mongolia</w:t>
            </w:r>
          </w:p>
        </w:tc>
        <w:tc>
          <w:tcPr>
            <w:tcW w:w="122" w:type="pct"/>
            <w:tcBorders>
              <w:top w:val="nil"/>
              <w:left w:val="nil"/>
              <w:bottom w:val="nil"/>
              <w:right w:val="nil"/>
            </w:tcBorders>
            <w:shd w:val="clear" w:color="000000" w:fill="85C87D"/>
            <w:noWrap/>
            <w:vAlign w:val="center"/>
            <w:hideMark/>
          </w:tcPr>
          <w:p w14:paraId="12133552"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89</w:t>
            </w:r>
          </w:p>
        </w:tc>
        <w:tc>
          <w:tcPr>
            <w:tcW w:w="143" w:type="pct"/>
            <w:tcBorders>
              <w:top w:val="nil"/>
              <w:left w:val="nil"/>
              <w:bottom w:val="nil"/>
              <w:right w:val="nil"/>
            </w:tcBorders>
            <w:shd w:val="clear" w:color="000000" w:fill="63BE7B"/>
            <w:noWrap/>
            <w:vAlign w:val="center"/>
            <w:hideMark/>
          </w:tcPr>
          <w:p w14:paraId="05F15439"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22" w:type="pct"/>
            <w:tcBorders>
              <w:top w:val="nil"/>
              <w:left w:val="nil"/>
              <w:bottom w:val="nil"/>
              <w:right w:val="nil"/>
            </w:tcBorders>
            <w:shd w:val="clear" w:color="000000" w:fill="72C37C"/>
            <w:noWrap/>
            <w:vAlign w:val="center"/>
            <w:hideMark/>
          </w:tcPr>
          <w:p w14:paraId="1638C27C"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95</w:t>
            </w:r>
          </w:p>
        </w:tc>
        <w:tc>
          <w:tcPr>
            <w:tcW w:w="122" w:type="pct"/>
            <w:tcBorders>
              <w:top w:val="nil"/>
              <w:left w:val="nil"/>
              <w:bottom w:val="nil"/>
              <w:right w:val="nil"/>
            </w:tcBorders>
            <w:shd w:val="clear" w:color="000000" w:fill="78C47D"/>
            <w:noWrap/>
            <w:vAlign w:val="center"/>
            <w:hideMark/>
          </w:tcPr>
          <w:p w14:paraId="1A89D63B"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93</w:t>
            </w:r>
          </w:p>
        </w:tc>
        <w:tc>
          <w:tcPr>
            <w:tcW w:w="143" w:type="pct"/>
            <w:tcBorders>
              <w:top w:val="nil"/>
              <w:left w:val="nil"/>
              <w:bottom w:val="nil"/>
              <w:right w:val="nil"/>
            </w:tcBorders>
            <w:shd w:val="clear" w:color="000000" w:fill="63BE7B"/>
            <w:noWrap/>
            <w:vAlign w:val="center"/>
            <w:hideMark/>
          </w:tcPr>
          <w:p w14:paraId="34EC5E57"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22" w:type="pct"/>
            <w:tcBorders>
              <w:top w:val="nil"/>
              <w:left w:val="nil"/>
              <w:bottom w:val="nil"/>
              <w:right w:val="nil"/>
            </w:tcBorders>
            <w:shd w:val="clear" w:color="000000" w:fill="85C87D"/>
            <w:noWrap/>
            <w:vAlign w:val="center"/>
            <w:hideMark/>
          </w:tcPr>
          <w:p w14:paraId="6AEBFF54"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89</w:t>
            </w:r>
          </w:p>
        </w:tc>
        <w:tc>
          <w:tcPr>
            <w:tcW w:w="143" w:type="pct"/>
            <w:tcBorders>
              <w:top w:val="nil"/>
              <w:left w:val="nil"/>
              <w:bottom w:val="nil"/>
              <w:right w:val="nil"/>
            </w:tcBorders>
            <w:shd w:val="clear" w:color="000000" w:fill="63BE7B"/>
            <w:noWrap/>
            <w:vAlign w:val="center"/>
            <w:hideMark/>
          </w:tcPr>
          <w:p w14:paraId="7AAF1D8B"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43" w:type="pct"/>
            <w:tcBorders>
              <w:top w:val="nil"/>
              <w:left w:val="nil"/>
              <w:bottom w:val="nil"/>
              <w:right w:val="nil"/>
            </w:tcBorders>
            <w:shd w:val="clear" w:color="000000" w:fill="63BE7B"/>
            <w:noWrap/>
            <w:vAlign w:val="center"/>
            <w:hideMark/>
          </w:tcPr>
          <w:p w14:paraId="2B0D4A38"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43" w:type="pct"/>
            <w:tcBorders>
              <w:top w:val="nil"/>
              <w:left w:val="nil"/>
              <w:bottom w:val="nil"/>
              <w:right w:val="nil"/>
            </w:tcBorders>
            <w:shd w:val="clear" w:color="000000" w:fill="85C87D"/>
            <w:noWrap/>
            <w:vAlign w:val="center"/>
            <w:hideMark/>
          </w:tcPr>
          <w:p w14:paraId="37E50F66"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89</w:t>
            </w:r>
          </w:p>
        </w:tc>
        <w:tc>
          <w:tcPr>
            <w:tcW w:w="122" w:type="pct"/>
            <w:tcBorders>
              <w:top w:val="nil"/>
              <w:left w:val="nil"/>
              <w:bottom w:val="nil"/>
              <w:right w:val="nil"/>
            </w:tcBorders>
            <w:shd w:val="clear" w:color="000000" w:fill="C5DB81"/>
            <w:noWrap/>
            <w:vAlign w:val="center"/>
            <w:hideMark/>
          </w:tcPr>
          <w:p w14:paraId="698C99B6"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69</w:t>
            </w:r>
          </w:p>
        </w:tc>
        <w:tc>
          <w:tcPr>
            <w:tcW w:w="122" w:type="pct"/>
            <w:tcBorders>
              <w:top w:val="nil"/>
              <w:left w:val="nil"/>
              <w:bottom w:val="nil"/>
              <w:right w:val="nil"/>
            </w:tcBorders>
            <w:shd w:val="clear" w:color="000000" w:fill="81C77D"/>
            <w:noWrap/>
            <w:vAlign w:val="center"/>
            <w:hideMark/>
          </w:tcPr>
          <w:p w14:paraId="51F1DD44"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90</w:t>
            </w:r>
          </w:p>
        </w:tc>
        <w:tc>
          <w:tcPr>
            <w:tcW w:w="122" w:type="pct"/>
            <w:tcBorders>
              <w:top w:val="nil"/>
              <w:left w:val="nil"/>
              <w:bottom w:val="nil"/>
              <w:right w:val="nil"/>
            </w:tcBorders>
            <w:shd w:val="clear" w:color="000000" w:fill="75C37C"/>
            <w:noWrap/>
            <w:vAlign w:val="center"/>
            <w:hideMark/>
          </w:tcPr>
          <w:p w14:paraId="46C26719"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94</w:t>
            </w:r>
          </w:p>
        </w:tc>
        <w:tc>
          <w:tcPr>
            <w:tcW w:w="122" w:type="pct"/>
            <w:tcBorders>
              <w:top w:val="nil"/>
              <w:left w:val="nil"/>
              <w:bottom w:val="nil"/>
              <w:right w:val="nil"/>
            </w:tcBorders>
            <w:shd w:val="clear" w:color="000000" w:fill="C4DA81"/>
            <w:noWrap/>
            <w:vAlign w:val="center"/>
            <w:hideMark/>
          </w:tcPr>
          <w:p w14:paraId="2AFA0B6A"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69</w:t>
            </w:r>
          </w:p>
        </w:tc>
        <w:tc>
          <w:tcPr>
            <w:tcW w:w="143" w:type="pct"/>
            <w:tcBorders>
              <w:top w:val="nil"/>
              <w:left w:val="nil"/>
              <w:bottom w:val="nil"/>
              <w:right w:val="nil"/>
            </w:tcBorders>
            <w:shd w:val="clear" w:color="000000" w:fill="63BE7B"/>
            <w:noWrap/>
            <w:vAlign w:val="center"/>
            <w:hideMark/>
          </w:tcPr>
          <w:p w14:paraId="5594B979"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22" w:type="pct"/>
            <w:tcBorders>
              <w:top w:val="nil"/>
              <w:left w:val="nil"/>
              <w:bottom w:val="nil"/>
              <w:right w:val="nil"/>
            </w:tcBorders>
            <w:shd w:val="clear" w:color="000000" w:fill="EEE683"/>
            <w:noWrap/>
            <w:vAlign w:val="center"/>
            <w:hideMark/>
          </w:tcPr>
          <w:p w14:paraId="459C3A3D"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56</w:t>
            </w:r>
          </w:p>
        </w:tc>
        <w:tc>
          <w:tcPr>
            <w:tcW w:w="122" w:type="pct"/>
            <w:tcBorders>
              <w:top w:val="nil"/>
              <w:left w:val="nil"/>
              <w:bottom w:val="nil"/>
              <w:right w:val="nil"/>
            </w:tcBorders>
            <w:shd w:val="clear" w:color="000000" w:fill="86C87D"/>
            <w:noWrap/>
            <w:vAlign w:val="center"/>
            <w:hideMark/>
          </w:tcPr>
          <w:p w14:paraId="1573037D"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89</w:t>
            </w:r>
          </w:p>
        </w:tc>
        <w:tc>
          <w:tcPr>
            <w:tcW w:w="123" w:type="pct"/>
            <w:tcBorders>
              <w:top w:val="nil"/>
              <w:left w:val="nil"/>
              <w:bottom w:val="nil"/>
              <w:right w:val="nil"/>
            </w:tcBorders>
            <w:shd w:val="clear" w:color="000000" w:fill="A3D17F"/>
            <w:noWrap/>
            <w:vAlign w:val="center"/>
            <w:hideMark/>
          </w:tcPr>
          <w:p w14:paraId="78599744"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80</w:t>
            </w:r>
          </w:p>
        </w:tc>
        <w:tc>
          <w:tcPr>
            <w:tcW w:w="122" w:type="pct"/>
            <w:tcBorders>
              <w:top w:val="nil"/>
              <w:left w:val="nil"/>
              <w:bottom w:val="nil"/>
              <w:right w:val="nil"/>
            </w:tcBorders>
            <w:shd w:val="clear" w:color="000000" w:fill="C0D981"/>
            <w:noWrap/>
            <w:vAlign w:val="center"/>
            <w:hideMark/>
          </w:tcPr>
          <w:p w14:paraId="200D0923"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70</w:t>
            </w:r>
          </w:p>
        </w:tc>
        <w:tc>
          <w:tcPr>
            <w:tcW w:w="122" w:type="pct"/>
            <w:tcBorders>
              <w:top w:val="nil"/>
              <w:left w:val="nil"/>
              <w:bottom w:val="nil"/>
              <w:right w:val="nil"/>
            </w:tcBorders>
            <w:shd w:val="clear" w:color="000000" w:fill="83C87D"/>
            <w:noWrap/>
            <w:vAlign w:val="center"/>
            <w:hideMark/>
          </w:tcPr>
          <w:p w14:paraId="2F2439E4"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90</w:t>
            </w:r>
          </w:p>
        </w:tc>
        <w:tc>
          <w:tcPr>
            <w:tcW w:w="122" w:type="pct"/>
            <w:tcBorders>
              <w:top w:val="nil"/>
              <w:left w:val="nil"/>
              <w:bottom w:val="nil"/>
              <w:right w:val="nil"/>
            </w:tcBorders>
            <w:shd w:val="clear" w:color="000000" w:fill="A3D17F"/>
            <w:noWrap/>
            <w:vAlign w:val="center"/>
            <w:hideMark/>
          </w:tcPr>
          <w:p w14:paraId="1BCD9FD2"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80</w:t>
            </w:r>
          </w:p>
        </w:tc>
        <w:tc>
          <w:tcPr>
            <w:tcW w:w="122" w:type="pct"/>
            <w:tcBorders>
              <w:top w:val="nil"/>
              <w:left w:val="nil"/>
              <w:bottom w:val="nil"/>
              <w:right w:val="nil"/>
            </w:tcBorders>
            <w:shd w:val="clear" w:color="000000" w:fill="CFDD82"/>
            <w:noWrap/>
            <w:vAlign w:val="center"/>
            <w:hideMark/>
          </w:tcPr>
          <w:p w14:paraId="3A78F369"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66</w:t>
            </w:r>
          </w:p>
        </w:tc>
        <w:tc>
          <w:tcPr>
            <w:tcW w:w="122" w:type="pct"/>
            <w:tcBorders>
              <w:top w:val="nil"/>
              <w:left w:val="nil"/>
              <w:bottom w:val="nil"/>
              <w:right w:val="nil"/>
            </w:tcBorders>
            <w:shd w:val="clear" w:color="000000" w:fill="F8E984"/>
            <w:noWrap/>
            <w:vAlign w:val="center"/>
            <w:hideMark/>
          </w:tcPr>
          <w:p w14:paraId="4D1EDEDB"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53</w:t>
            </w:r>
          </w:p>
        </w:tc>
        <w:tc>
          <w:tcPr>
            <w:tcW w:w="122" w:type="pct"/>
            <w:tcBorders>
              <w:top w:val="nil"/>
              <w:left w:val="nil"/>
              <w:bottom w:val="nil"/>
              <w:right w:val="nil"/>
            </w:tcBorders>
            <w:shd w:val="clear" w:color="000000" w:fill="E4E483"/>
            <w:noWrap/>
            <w:vAlign w:val="center"/>
            <w:hideMark/>
          </w:tcPr>
          <w:p w14:paraId="34585DFD"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59</w:t>
            </w:r>
          </w:p>
        </w:tc>
        <w:tc>
          <w:tcPr>
            <w:tcW w:w="122" w:type="pct"/>
            <w:tcBorders>
              <w:top w:val="nil"/>
              <w:left w:val="nil"/>
              <w:bottom w:val="nil"/>
              <w:right w:val="nil"/>
            </w:tcBorders>
            <w:shd w:val="clear" w:color="000000" w:fill="E6E483"/>
            <w:noWrap/>
            <w:vAlign w:val="center"/>
            <w:hideMark/>
          </w:tcPr>
          <w:p w14:paraId="3D1A7200"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58</w:t>
            </w:r>
          </w:p>
        </w:tc>
        <w:tc>
          <w:tcPr>
            <w:tcW w:w="122" w:type="pct"/>
            <w:tcBorders>
              <w:top w:val="nil"/>
              <w:left w:val="nil"/>
              <w:bottom w:val="nil"/>
              <w:right w:val="nil"/>
            </w:tcBorders>
            <w:shd w:val="clear" w:color="000000" w:fill="F0E784"/>
            <w:noWrap/>
            <w:vAlign w:val="center"/>
            <w:hideMark/>
          </w:tcPr>
          <w:p w14:paraId="3A944198"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55</w:t>
            </w:r>
          </w:p>
        </w:tc>
        <w:tc>
          <w:tcPr>
            <w:tcW w:w="122" w:type="pct"/>
            <w:tcBorders>
              <w:top w:val="nil"/>
              <w:left w:val="nil"/>
              <w:bottom w:val="nil"/>
              <w:right w:val="nil"/>
            </w:tcBorders>
            <w:shd w:val="clear" w:color="000000" w:fill="6DC17C"/>
            <w:noWrap/>
            <w:vAlign w:val="center"/>
            <w:hideMark/>
          </w:tcPr>
          <w:p w14:paraId="64A524A8"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97</w:t>
            </w:r>
          </w:p>
        </w:tc>
        <w:tc>
          <w:tcPr>
            <w:tcW w:w="122" w:type="pct"/>
            <w:tcBorders>
              <w:top w:val="nil"/>
              <w:left w:val="nil"/>
              <w:bottom w:val="nil"/>
              <w:right w:val="nil"/>
            </w:tcBorders>
            <w:shd w:val="clear" w:color="000000" w:fill="91CC7E"/>
            <w:noWrap/>
            <w:vAlign w:val="center"/>
            <w:hideMark/>
          </w:tcPr>
          <w:p w14:paraId="2E7C22F7"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85</w:t>
            </w:r>
          </w:p>
        </w:tc>
        <w:tc>
          <w:tcPr>
            <w:tcW w:w="123" w:type="pct"/>
            <w:tcBorders>
              <w:top w:val="nil"/>
              <w:left w:val="nil"/>
              <w:bottom w:val="nil"/>
              <w:right w:val="nil"/>
            </w:tcBorders>
            <w:shd w:val="clear" w:color="000000" w:fill="ACD380"/>
            <w:noWrap/>
            <w:vAlign w:val="center"/>
            <w:hideMark/>
          </w:tcPr>
          <w:p w14:paraId="6B5620B7"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77</w:t>
            </w:r>
          </w:p>
        </w:tc>
        <w:tc>
          <w:tcPr>
            <w:tcW w:w="122" w:type="pct"/>
            <w:tcBorders>
              <w:top w:val="nil"/>
              <w:left w:val="nil"/>
              <w:bottom w:val="nil"/>
              <w:right w:val="nil"/>
            </w:tcBorders>
            <w:shd w:val="clear" w:color="000000" w:fill="EEE683"/>
            <w:noWrap/>
            <w:vAlign w:val="center"/>
            <w:hideMark/>
          </w:tcPr>
          <w:p w14:paraId="6231F527"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56</w:t>
            </w:r>
          </w:p>
        </w:tc>
        <w:tc>
          <w:tcPr>
            <w:tcW w:w="122" w:type="pct"/>
            <w:tcBorders>
              <w:top w:val="nil"/>
              <w:left w:val="nil"/>
              <w:bottom w:val="nil"/>
              <w:right w:val="nil"/>
            </w:tcBorders>
            <w:shd w:val="clear" w:color="000000" w:fill="CCDD82"/>
            <w:noWrap/>
            <w:vAlign w:val="center"/>
            <w:hideMark/>
          </w:tcPr>
          <w:p w14:paraId="3196CFEE"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66</w:t>
            </w:r>
          </w:p>
        </w:tc>
        <w:tc>
          <w:tcPr>
            <w:tcW w:w="122" w:type="pct"/>
            <w:tcBorders>
              <w:top w:val="nil"/>
              <w:left w:val="nil"/>
              <w:bottom w:val="nil"/>
              <w:right w:val="nil"/>
            </w:tcBorders>
            <w:shd w:val="clear" w:color="000000" w:fill="E5E483"/>
            <w:noWrap/>
            <w:vAlign w:val="center"/>
            <w:hideMark/>
          </w:tcPr>
          <w:p w14:paraId="01B3B37C"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59</w:t>
            </w:r>
          </w:p>
        </w:tc>
        <w:tc>
          <w:tcPr>
            <w:tcW w:w="122" w:type="pct"/>
            <w:tcBorders>
              <w:top w:val="nil"/>
              <w:left w:val="nil"/>
              <w:bottom w:val="nil"/>
              <w:right w:val="nil"/>
            </w:tcBorders>
            <w:shd w:val="clear" w:color="000000" w:fill="A9D27F"/>
            <w:noWrap/>
            <w:vAlign w:val="center"/>
            <w:hideMark/>
          </w:tcPr>
          <w:p w14:paraId="65F93D3D"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78</w:t>
            </w:r>
          </w:p>
        </w:tc>
        <w:tc>
          <w:tcPr>
            <w:tcW w:w="122" w:type="pct"/>
            <w:tcBorders>
              <w:top w:val="nil"/>
              <w:left w:val="nil"/>
              <w:bottom w:val="nil"/>
              <w:right w:val="nil"/>
            </w:tcBorders>
            <w:shd w:val="clear" w:color="000000" w:fill="C0D981"/>
            <w:noWrap/>
            <w:vAlign w:val="center"/>
            <w:hideMark/>
          </w:tcPr>
          <w:p w14:paraId="25AF38E9"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70</w:t>
            </w:r>
          </w:p>
        </w:tc>
        <w:tc>
          <w:tcPr>
            <w:tcW w:w="123" w:type="pct"/>
            <w:tcBorders>
              <w:top w:val="nil"/>
              <w:left w:val="nil"/>
              <w:bottom w:val="nil"/>
              <w:right w:val="nil"/>
            </w:tcBorders>
            <w:shd w:val="clear" w:color="000000" w:fill="D6E082"/>
            <w:noWrap/>
            <w:vAlign w:val="center"/>
            <w:hideMark/>
          </w:tcPr>
          <w:p w14:paraId="4E2714C4"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63</w:t>
            </w:r>
          </w:p>
        </w:tc>
        <w:tc>
          <w:tcPr>
            <w:tcW w:w="122" w:type="pct"/>
            <w:tcBorders>
              <w:top w:val="nil"/>
              <w:left w:val="nil"/>
              <w:bottom w:val="nil"/>
              <w:right w:val="nil"/>
            </w:tcBorders>
            <w:shd w:val="clear" w:color="000000" w:fill="EBE683"/>
            <w:noWrap/>
            <w:vAlign w:val="center"/>
            <w:hideMark/>
          </w:tcPr>
          <w:p w14:paraId="4C54800A"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57</w:t>
            </w:r>
          </w:p>
        </w:tc>
      </w:tr>
      <w:tr w:rsidR="00B656F6" w:rsidRPr="00634756" w14:paraId="35E6F19F" w14:textId="77777777" w:rsidTr="008F0944">
        <w:trPr>
          <w:trHeight w:val="113"/>
        </w:trPr>
        <w:tc>
          <w:tcPr>
            <w:tcW w:w="131" w:type="pct"/>
            <w:vMerge w:val="restart"/>
            <w:tcBorders>
              <w:top w:val="nil"/>
              <w:left w:val="nil"/>
              <w:right w:val="nil"/>
            </w:tcBorders>
            <w:shd w:val="clear" w:color="auto" w:fill="CC99FF"/>
            <w:textDirection w:val="btLr"/>
          </w:tcPr>
          <w:p w14:paraId="61B16523" w14:textId="77777777" w:rsidR="00B656F6" w:rsidRPr="00634756" w:rsidRDefault="00B656F6" w:rsidP="008F0944">
            <w:pPr>
              <w:snapToGrid w:val="0"/>
              <w:jc w:val="right"/>
              <w:rPr>
                <w:rFonts w:ascii="等线" w:eastAsia="等线" w:hAnsi="等线" w:cs="宋体"/>
                <w:b/>
                <w:color w:val="000000"/>
                <w:sz w:val="15"/>
                <w:szCs w:val="15"/>
              </w:rPr>
            </w:pPr>
            <w:r w:rsidRPr="00634756">
              <w:rPr>
                <w:rFonts w:ascii="等线" w:eastAsia="等线" w:hAnsi="等线" w:cs="宋体"/>
                <w:b/>
                <w:color w:val="000000"/>
                <w:sz w:val="15"/>
                <w:szCs w:val="15"/>
              </w:rPr>
              <w:t>Western China</w:t>
            </w:r>
          </w:p>
        </w:tc>
        <w:tc>
          <w:tcPr>
            <w:tcW w:w="469" w:type="pct"/>
            <w:tcBorders>
              <w:top w:val="nil"/>
              <w:left w:val="nil"/>
              <w:bottom w:val="nil"/>
              <w:right w:val="nil"/>
            </w:tcBorders>
            <w:shd w:val="clear" w:color="auto" w:fill="CC99FF"/>
            <w:noWrap/>
            <w:vAlign w:val="center"/>
            <w:hideMark/>
          </w:tcPr>
          <w:p w14:paraId="6D81CCEC" w14:textId="77777777" w:rsidR="00B656F6" w:rsidRPr="00EB4864" w:rsidRDefault="00B656F6" w:rsidP="008F0944">
            <w:pPr>
              <w:snapToGrid w:val="0"/>
              <w:jc w:val="right"/>
              <w:rPr>
                <w:rFonts w:ascii="等线" w:eastAsia="等线" w:hAnsi="等线" w:cs="宋体"/>
                <w:b/>
                <w:color w:val="000000"/>
                <w:sz w:val="15"/>
                <w:szCs w:val="15"/>
              </w:rPr>
            </w:pPr>
            <w:r w:rsidRPr="00EB4864">
              <w:rPr>
                <w:rFonts w:ascii="等线" w:eastAsia="等线" w:hAnsi="等线" w:cs="宋体"/>
                <w:b/>
                <w:color w:val="000000"/>
                <w:sz w:val="15"/>
                <w:szCs w:val="15"/>
              </w:rPr>
              <w:t>Chongqing*</w:t>
            </w:r>
          </w:p>
        </w:tc>
        <w:tc>
          <w:tcPr>
            <w:tcW w:w="122" w:type="pct"/>
            <w:tcBorders>
              <w:top w:val="nil"/>
              <w:left w:val="nil"/>
              <w:bottom w:val="nil"/>
              <w:right w:val="nil"/>
            </w:tcBorders>
            <w:shd w:val="clear" w:color="000000" w:fill="8ECB7E"/>
            <w:noWrap/>
            <w:vAlign w:val="center"/>
            <w:hideMark/>
          </w:tcPr>
          <w:p w14:paraId="279F7871"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86</w:t>
            </w:r>
          </w:p>
        </w:tc>
        <w:tc>
          <w:tcPr>
            <w:tcW w:w="143" w:type="pct"/>
            <w:tcBorders>
              <w:top w:val="nil"/>
              <w:left w:val="nil"/>
              <w:bottom w:val="nil"/>
              <w:right w:val="nil"/>
            </w:tcBorders>
            <w:shd w:val="clear" w:color="000000" w:fill="63BE7B"/>
            <w:noWrap/>
            <w:vAlign w:val="center"/>
            <w:hideMark/>
          </w:tcPr>
          <w:p w14:paraId="2BDC4086"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22" w:type="pct"/>
            <w:tcBorders>
              <w:top w:val="nil"/>
              <w:left w:val="nil"/>
              <w:bottom w:val="nil"/>
              <w:right w:val="nil"/>
            </w:tcBorders>
            <w:shd w:val="clear" w:color="000000" w:fill="6FC27C"/>
            <w:noWrap/>
            <w:vAlign w:val="center"/>
            <w:hideMark/>
          </w:tcPr>
          <w:p w14:paraId="3BA4145F"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96</w:t>
            </w:r>
          </w:p>
        </w:tc>
        <w:tc>
          <w:tcPr>
            <w:tcW w:w="122" w:type="pct"/>
            <w:tcBorders>
              <w:top w:val="nil"/>
              <w:left w:val="nil"/>
              <w:bottom w:val="nil"/>
              <w:right w:val="nil"/>
            </w:tcBorders>
            <w:shd w:val="clear" w:color="000000" w:fill="7CC67D"/>
            <w:noWrap/>
            <w:vAlign w:val="center"/>
            <w:hideMark/>
          </w:tcPr>
          <w:p w14:paraId="20AE4320"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92</w:t>
            </w:r>
          </w:p>
        </w:tc>
        <w:tc>
          <w:tcPr>
            <w:tcW w:w="143" w:type="pct"/>
            <w:tcBorders>
              <w:top w:val="nil"/>
              <w:left w:val="nil"/>
              <w:bottom w:val="nil"/>
              <w:right w:val="nil"/>
            </w:tcBorders>
            <w:shd w:val="clear" w:color="000000" w:fill="63BE7B"/>
            <w:noWrap/>
            <w:vAlign w:val="center"/>
            <w:hideMark/>
          </w:tcPr>
          <w:p w14:paraId="5851E875"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22" w:type="pct"/>
            <w:tcBorders>
              <w:top w:val="nil"/>
              <w:left w:val="nil"/>
              <w:bottom w:val="nil"/>
              <w:right w:val="nil"/>
            </w:tcBorders>
            <w:shd w:val="clear" w:color="000000" w:fill="84C87D"/>
            <w:noWrap/>
            <w:vAlign w:val="center"/>
            <w:hideMark/>
          </w:tcPr>
          <w:p w14:paraId="594FB56E"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90</w:t>
            </w:r>
          </w:p>
        </w:tc>
        <w:tc>
          <w:tcPr>
            <w:tcW w:w="143" w:type="pct"/>
            <w:tcBorders>
              <w:top w:val="nil"/>
              <w:left w:val="nil"/>
              <w:bottom w:val="nil"/>
              <w:right w:val="nil"/>
            </w:tcBorders>
            <w:shd w:val="clear" w:color="000000" w:fill="63BE7B"/>
            <w:noWrap/>
            <w:vAlign w:val="center"/>
            <w:hideMark/>
          </w:tcPr>
          <w:p w14:paraId="61F03080"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43" w:type="pct"/>
            <w:tcBorders>
              <w:top w:val="nil"/>
              <w:left w:val="nil"/>
              <w:bottom w:val="nil"/>
              <w:right w:val="nil"/>
            </w:tcBorders>
            <w:shd w:val="clear" w:color="000000" w:fill="63BE7B"/>
            <w:noWrap/>
            <w:vAlign w:val="center"/>
            <w:hideMark/>
          </w:tcPr>
          <w:p w14:paraId="56817BC9"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43" w:type="pct"/>
            <w:tcBorders>
              <w:top w:val="nil"/>
              <w:left w:val="nil"/>
              <w:bottom w:val="nil"/>
              <w:right w:val="nil"/>
            </w:tcBorders>
            <w:shd w:val="clear" w:color="000000" w:fill="72C37C"/>
            <w:noWrap/>
            <w:vAlign w:val="center"/>
            <w:hideMark/>
          </w:tcPr>
          <w:p w14:paraId="4076AD54"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95</w:t>
            </w:r>
          </w:p>
        </w:tc>
        <w:tc>
          <w:tcPr>
            <w:tcW w:w="122" w:type="pct"/>
            <w:tcBorders>
              <w:top w:val="nil"/>
              <w:left w:val="nil"/>
              <w:bottom w:val="nil"/>
              <w:right w:val="nil"/>
            </w:tcBorders>
            <w:shd w:val="clear" w:color="000000" w:fill="D4DF82"/>
            <w:noWrap/>
            <w:vAlign w:val="center"/>
            <w:hideMark/>
          </w:tcPr>
          <w:p w14:paraId="23E44B28"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64</w:t>
            </w:r>
          </w:p>
        </w:tc>
        <w:tc>
          <w:tcPr>
            <w:tcW w:w="122" w:type="pct"/>
            <w:tcBorders>
              <w:top w:val="nil"/>
              <w:left w:val="nil"/>
              <w:bottom w:val="nil"/>
              <w:right w:val="nil"/>
            </w:tcBorders>
            <w:shd w:val="clear" w:color="000000" w:fill="81C77D"/>
            <w:noWrap/>
            <w:vAlign w:val="center"/>
            <w:hideMark/>
          </w:tcPr>
          <w:p w14:paraId="0823F6A1"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90</w:t>
            </w:r>
          </w:p>
        </w:tc>
        <w:tc>
          <w:tcPr>
            <w:tcW w:w="122" w:type="pct"/>
            <w:tcBorders>
              <w:top w:val="nil"/>
              <w:left w:val="nil"/>
              <w:bottom w:val="nil"/>
              <w:right w:val="nil"/>
            </w:tcBorders>
            <w:shd w:val="clear" w:color="000000" w:fill="F8696B"/>
            <w:noWrap/>
            <w:vAlign w:val="center"/>
            <w:hideMark/>
          </w:tcPr>
          <w:p w14:paraId="66B941B2"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0</w:t>
            </w:r>
          </w:p>
        </w:tc>
        <w:tc>
          <w:tcPr>
            <w:tcW w:w="122" w:type="pct"/>
            <w:tcBorders>
              <w:top w:val="nil"/>
              <w:left w:val="nil"/>
              <w:bottom w:val="nil"/>
              <w:right w:val="nil"/>
            </w:tcBorders>
            <w:shd w:val="clear" w:color="000000" w:fill="C7DB81"/>
            <w:noWrap/>
            <w:vAlign w:val="center"/>
            <w:hideMark/>
          </w:tcPr>
          <w:p w14:paraId="6C1A473E"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68</w:t>
            </w:r>
          </w:p>
        </w:tc>
        <w:tc>
          <w:tcPr>
            <w:tcW w:w="143" w:type="pct"/>
            <w:tcBorders>
              <w:top w:val="nil"/>
              <w:left w:val="nil"/>
              <w:bottom w:val="nil"/>
              <w:right w:val="nil"/>
            </w:tcBorders>
            <w:shd w:val="clear" w:color="000000" w:fill="63BE7B"/>
            <w:noWrap/>
            <w:vAlign w:val="center"/>
            <w:hideMark/>
          </w:tcPr>
          <w:p w14:paraId="472BFFD9"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22" w:type="pct"/>
            <w:tcBorders>
              <w:top w:val="nil"/>
              <w:left w:val="nil"/>
              <w:bottom w:val="nil"/>
              <w:right w:val="nil"/>
            </w:tcBorders>
            <w:shd w:val="clear" w:color="000000" w:fill="FEEB84"/>
            <w:noWrap/>
            <w:vAlign w:val="center"/>
            <w:hideMark/>
          </w:tcPr>
          <w:p w14:paraId="7E02F814"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51</w:t>
            </w:r>
          </w:p>
        </w:tc>
        <w:tc>
          <w:tcPr>
            <w:tcW w:w="122" w:type="pct"/>
            <w:tcBorders>
              <w:top w:val="nil"/>
              <w:left w:val="nil"/>
              <w:bottom w:val="nil"/>
              <w:right w:val="nil"/>
            </w:tcBorders>
            <w:shd w:val="clear" w:color="000000" w:fill="A2D07F"/>
            <w:noWrap/>
            <w:vAlign w:val="center"/>
            <w:hideMark/>
          </w:tcPr>
          <w:p w14:paraId="52F405B6"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80</w:t>
            </w:r>
          </w:p>
        </w:tc>
        <w:tc>
          <w:tcPr>
            <w:tcW w:w="123" w:type="pct"/>
            <w:tcBorders>
              <w:top w:val="nil"/>
              <w:left w:val="nil"/>
              <w:bottom w:val="nil"/>
              <w:right w:val="nil"/>
            </w:tcBorders>
            <w:shd w:val="clear" w:color="000000" w:fill="FCB87A"/>
            <w:noWrap/>
            <w:vAlign w:val="center"/>
            <w:hideMark/>
          </w:tcPr>
          <w:p w14:paraId="768BE710"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31</w:t>
            </w:r>
          </w:p>
        </w:tc>
        <w:tc>
          <w:tcPr>
            <w:tcW w:w="122" w:type="pct"/>
            <w:tcBorders>
              <w:top w:val="nil"/>
              <w:left w:val="nil"/>
              <w:bottom w:val="nil"/>
              <w:right w:val="nil"/>
            </w:tcBorders>
            <w:shd w:val="clear" w:color="000000" w:fill="BCD881"/>
            <w:noWrap/>
            <w:vAlign w:val="center"/>
            <w:hideMark/>
          </w:tcPr>
          <w:p w14:paraId="702C49BF"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72</w:t>
            </w:r>
          </w:p>
        </w:tc>
        <w:tc>
          <w:tcPr>
            <w:tcW w:w="122" w:type="pct"/>
            <w:tcBorders>
              <w:top w:val="nil"/>
              <w:left w:val="nil"/>
              <w:bottom w:val="nil"/>
              <w:right w:val="nil"/>
            </w:tcBorders>
            <w:shd w:val="clear" w:color="000000" w:fill="84C87D"/>
            <w:noWrap/>
            <w:vAlign w:val="center"/>
            <w:hideMark/>
          </w:tcPr>
          <w:p w14:paraId="6E1604D1"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90</w:t>
            </w:r>
          </w:p>
        </w:tc>
        <w:tc>
          <w:tcPr>
            <w:tcW w:w="122" w:type="pct"/>
            <w:tcBorders>
              <w:top w:val="nil"/>
              <w:left w:val="nil"/>
              <w:bottom w:val="nil"/>
              <w:right w:val="nil"/>
            </w:tcBorders>
            <w:shd w:val="clear" w:color="000000" w:fill="A1D07F"/>
            <w:noWrap/>
            <w:vAlign w:val="center"/>
            <w:hideMark/>
          </w:tcPr>
          <w:p w14:paraId="5DC3BD6F"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80</w:t>
            </w:r>
          </w:p>
        </w:tc>
        <w:tc>
          <w:tcPr>
            <w:tcW w:w="122" w:type="pct"/>
            <w:tcBorders>
              <w:top w:val="nil"/>
              <w:left w:val="nil"/>
              <w:bottom w:val="nil"/>
              <w:right w:val="nil"/>
            </w:tcBorders>
            <w:shd w:val="clear" w:color="000000" w:fill="B2D580"/>
            <w:noWrap/>
            <w:vAlign w:val="center"/>
            <w:hideMark/>
          </w:tcPr>
          <w:p w14:paraId="394740BD"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75</w:t>
            </w:r>
          </w:p>
        </w:tc>
        <w:tc>
          <w:tcPr>
            <w:tcW w:w="122" w:type="pct"/>
            <w:tcBorders>
              <w:top w:val="nil"/>
              <w:left w:val="nil"/>
              <w:bottom w:val="nil"/>
              <w:right w:val="nil"/>
            </w:tcBorders>
            <w:shd w:val="clear" w:color="000000" w:fill="D7E082"/>
            <w:noWrap/>
            <w:vAlign w:val="center"/>
            <w:hideMark/>
          </w:tcPr>
          <w:p w14:paraId="7D8B5E56"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63</w:t>
            </w:r>
          </w:p>
        </w:tc>
        <w:tc>
          <w:tcPr>
            <w:tcW w:w="122" w:type="pct"/>
            <w:tcBorders>
              <w:top w:val="nil"/>
              <w:left w:val="nil"/>
              <w:bottom w:val="nil"/>
              <w:right w:val="nil"/>
            </w:tcBorders>
            <w:shd w:val="clear" w:color="000000" w:fill="C6DB81"/>
            <w:noWrap/>
            <w:vAlign w:val="center"/>
            <w:hideMark/>
          </w:tcPr>
          <w:p w14:paraId="66AEF49D"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69</w:t>
            </w:r>
          </w:p>
        </w:tc>
        <w:tc>
          <w:tcPr>
            <w:tcW w:w="122" w:type="pct"/>
            <w:tcBorders>
              <w:top w:val="nil"/>
              <w:left w:val="nil"/>
              <w:bottom w:val="nil"/>
              <w:right w:val="nil"/>
            </w:tcBorders>
            <w:shd w:val="clear" w:color="000000" w:fill="C7DB81"/>
            <w:noWrap/>
            <w:vAlign w:val="center"/>
            <w:hideMark/>
          </w:tcPr>
          <w:p w14:paraId="60EB101D"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68</w:t>
            </w:r>
          </w:p>
        </w:tc>
        <w:tc>
          <w:tcPr>
            <w:tcW w:w="122" w:type="pct"/>
            <w:tcBorders>
              <w:top w:val="nil"/>
              <w:left w:val="nil"/>
              <w:bottom w:val="nil"/>
              <w:right w:val="nil"/>
            </w:tcBorders>
            <w:shd w:val="clear" w:color="000000" w:fill="F1E784"/>
            <w:noWrap/>
            <w:vAlign w:val="center"/>
            <w:hideMark/>
          </w:tcPr>
          <w:p w14:paraId="34D603A6"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55</w:t>
            </w:r>
          </w:p>
        </w:tc>
        <w:tc>
          <w:tcPr>
            <w:tcW w:w="122" w:type="pct"/>
            <w:tcBorders>
              <w:top w:val="nil"/>
              <w:left w:val="nil"/>
              <w:bottom w:val="nil"/>
              <w:right w:val="nil"/>
            </w:tcBorders>
            <w:shd w:val="clear" w:color="000000" w:fill="72C37C"/>
            <w:noWrap/>
            <w:vAlign w:val="center"/>
            <w:hideMark/>
          </w:tcPr>
          <w:p w14:paraId="1156CC5A"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95</w:t>
            </w:r>
          </w:p>
        </w:tc>
        <w:tc>
          <w:tcPr>
            <w:tcW w:w="122" w:type="pct"/>
            <w:tcBorders>
              <w:top w:val="nil"/>
              <w:left w:val="nil"/>
              <w:bottom w:val="nil"/>
              <w:right w:val="nil"/>
            </w:tcBorders>
            <w:shd w:val="clear" w:color="000000" w:fill="AFD480"/>
            <w:noWrap/>
            <w:vAlign w:val="center"/>
            <w:hideMark/>
          </w:tcPr>
          <w:p w14:paraId="49EA5264"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76</w:t>
            </w:r>
          </w:p>
        </w:tc>
        <w:tc>
          <w:tcPr>
            <w:tcW w:w="123" w:type="pct"/>
            <w:tcBorders>
              <w:top w:val="nil"/>
              <w:left w:val="nil"/>
              <w:bottom w:val="nil"/>
              <w:right w:val="nil"/>
            </w:tcBorders>
            <w:shd w:val="clear" w:color="000000" w:fill="B7D780"/>
            <w:noWrap/>
            <w:vAlign w:val="center"/>
            <w:hideMark/>
          </w:tcPr>
          <w:p w14:paraId="3D679AEC"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73</w:t>
            </w:r>
          </w:p>
        </w:tc>
        <w:tc>
          <w:tcPr>
            <w:tcW w:w="122" w:type="pct"/>
            <w:tcBorders>
              <w:top w:val="nil"/>
              <w:left w:val="nil"/>
              <w:bottom w:val="nil"/>
              <w:right w:val="nil"/>
            </w:tcBorders>
            <w:shd w:val="clear" w:color="000000" w:fill="FDCA7D"/>
            <w:noWrap/>
            <w:vAlign w:val="center"/>
            <w:hideMark/>
          </w:tcPr>
          <w:p w14:paraId="4AAF2C58"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38</w:t>
            </w:r>
          </w:p>
        </w:tc>
        <w:tc>
          <w:tcPr>
            <w:tcW w:w="122" w:type="pct"/>
            <w:tcBorders>
              <w:top w:val="nil"/>
              <w:left w:val="nil"/>
              <w:bottom w:val="nil"/>
              <w:right w:val="nil"/>
            </w:tcBorders>
            <w:shd w:val="clear" w:color="000000" w:fill="B3D680"/>
            <w:noWrap/>
            <w:vAlign w:val="center"/>
            <w:hideMark/>
          </w:tcPr>
          <w:p w14:paraId="3D45194A"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74</w:t>
            </w:r>
          </w:p>
        </w:tc>
        <w:tc>
          <w:tcPr>
            <w:tcW w:w="122" w:type="pct"/>
            <w:tcBorders>
              <w:top w:val="nil"/>
              <w:left w:val="nil"/>
              <w:bottom w:val="nil"/>
              <w:right w:val="nil"/>
            </w:tcBorders>
            <w:shd w:val="clear" w:color="000000" w:fill="EDE683"/>
            <w:noWrap/>
            <w:vAlign w:val="center"/>
            <w:hideMark/>
          </w:tcPr>
          <w:p w14:paraId="1EE80640"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56</w:t>
            </w:r>
          </w:p>
        </w:tc>
        <w:tc>
          <w:tcPr>
            <w:tcW w:w="122" w:type="pct"/>
            <w:tcBorders>
              <w:top w:val="nil"/>
              <w:left w:val="nil"/>
              <w:bottom w:val="nil"/>
              <w:right w:val="nil"/>
            </w:tcBorders>
            <w:shd w:val="clear" w:color="000000" w:fill="BDD881"/>
            <w:noWrap/>
            <w:vAlign w:val="center"/>
            <w:hideMark/>
          </w:tcPr>
          <w:p w14:paraId="46447AF9"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71</w:t>
            </w:r>
          </w:p>
        </w:tc>
        <w:tc>
          <w:tcPr>
            <w:tcW w:w="122" w:type="pct"/>
            <w:tcBorders>
              <w:top w:val="nil"/>
              <w:left w:val="nil"/>
              <w:bottom w:val="nil"/>
              <w:right w:val="nil"/>
            </w:tcBorders>
            <w:shd w:val="clear" w:color="000000" w:fill="CBDC81"/>
            <w:noWrap/>
            <w:vAlign w:val="center"/>
            <w:hideMark/>
          </w:tcPr>
          <w:p w14:paraId="4C2E855D"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67</w:t>
            </w:r>
          </w:p>
        </w:tc>
        <w:tc>
          <w:tcPr>
            <w:tcW w:w="123" w:type="pct"/>
            <w:tcBorders>
              <w:top w:val="nil"/>
              <w:left w:val="nil"/>
              <w:bottom w:val="nil"/>
              <w:right w:val="nil"/>
            </w:tcBorders>
            <w:shd w:val="clear" w:color="000000" w:fill="E9E583"/>
            <w:noWrap/>
            <w:vAlign w:val="center"/>
            <w:hideMark/>
          </w:tcPr>
          <w:p w14:paraId="2FBF11A2"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57</w:t>
            </w:r>
          </w:p>
        </w:tc>
        <w:tc>
          <w:tcPr>
            <w:tcW w:w="122" w:type="pct"/>
            <w:tcBorders>
              <w:top w:val="nil"/>
              <w:left w:val="nil"/>
              <w:bottom w:val="nil"/>
              <w:right w:val="nil"/>
            </w:tcBorders>
            <w:shd w:val="clear" w:color="000000" w:fill="F0E784"/>
            <w:noWrap/>
            <w:vAlign w:val="center"/>
            <w:hideMark/>
          </w:tcPr>
          <w:p w14:paraId="50144D51"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55</w:t>
            </w:r>
          </w:p>
        </w:tc>
      </w:tr>
      <w:tr w:rsidR="00B656F6" w:rsidRPr="00634756" w14:paraId="20B3511D" w14:textId="77777777" w:rsidTr="008F0944">
        <w:trPr>
          <w:trHeight w:val="113"/>
        </w:trPr>
        <w:tc>
          <w:tcPr>
            <w:tcW w:w="131" w:type="pct"/>
            <w:vMerge/>
            <w:tcBorders>
              <w:left w:val="nil"/>
              <w:right w:val="nil"/>
            </w:tcBorders>
            <w:shd w:val="clear" w:color="auto" w:fill="CC99FF"/>
          </w:tcPr>
          <w:p w14:paraId="77D02864" w14:textId="77777777" w:rsidR="00B656F6" w:rsidRPr="00EB4864" w:rsidRDefault="00B656F6" w:rsidP="008F0944">
            <w:pPr>
              <w:snapToGrid w:val="0"/>
              <w:jc w:val="right"/>
              <w:rPr>
                <w:rFonts w:ascii="等线" w:eastAsia="等线" w:hAnsi="等线" w:cs="宋体"/>
                <w:b/>
                <w:color w:val="000000"/>
                <w:sz w:val="15"/>
                <w:szCs w:val="15"/>
              </w:rPr>
            </w:pPr>
          </w:p>
        </w:tc>
        <w:tc>
          <w:tcPr>
            <w:tcW w:w="469" w:type="pct"/>
            <w:tcBorders>
              <w:top w:val="nil"/>
              <w:left w:val="nil"/>
              <w:bottom w:val="nil"/>
              <w:right w:val="nil"/>
            </w:tcBorders>
            <w:shd w:val="clear" w:color="auto" w:fill="CC99FF"/>
            <w:noWrap/>
            <w:vAlign w:val="center"/>
            <w:hideMark/>
          </w:tcPr>
          <w:p w14:paraId="07AA770C" w14:textId="77777777" w:rsidR="00B656F6" w:rsidRPr="00EB4864" w:rsidRDefault="00B656F6" w:rsidP="008F0944">
            <w:pPr>
              <w:snapToGrid w:val="0"/>
              <w:jc w:val="right"/>
              <w:rPr>
                <w:rFonts w:ascii="等线" w:eastAsia="等线" w:hAnsi="等线" w:cs="宋体"/>
                <w:b/>
                <w:color w:val="000000"/>
                <w:sz w:val="15"/>
                <w:szCs w:val="15"/>
              </w:rPr>
            </w:pPr>
            <w:r w:rsidRPr="00EB4864">
              <w:rPr>
                <w:rFonts w:ascii="等线" w:eastAsia="等线" w:hAnsi="等线" w:cs="宋体"/>
                <w:b/>
                <w:color w:val="000000"/>
                <w:sz w:val="15"/>
                <w:szCs w:val="15"/>
              </w:rPr>
              <w:t>Guangxi</w:t>
            </w:r>
          </w:p>
        </w:tc>
        <w:tc>
          <w:tcPr>
            <w:tcW w:w="122" w:type="pct"/>
            <w:tcBorders>
              <w:top w:val="nil"/>
              <w:left w:val="nil"/>
              <w:bottom w:val="nil"/>
              <w:right w:val="nil"/>
            </w:tcBorders>
            <w:shd w:val="clear" w:color="000000" w:fill="A6D27F"/>
            <w:noWrap/>
            <w:vAlign w:val="center"/>
            <w:hideMark/>
          </w:tcPr>
          <w:p w14:paraId="31A5BE6F"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79</w:t>
            </w:r>
          </w:p>
        </w:tc>
        <w:tc>
          <w:tcPr>
            <w:tcW w:w="143" w:type="pct"/>
            <w:tcBorders>
              <w:top w:val="nil"/>
              <w:left w:val="nil"/>
              <w:bottom w:val="nil"/>
              <w:right w:val="nil"/>
            </w:tcBorders>
            <w:shd w:val="clear" w:color="000000" w:fill="63BE7B"/>
            <w:noWrap/>
            <w:vAlign w:val="center"/>
            <w:hideMark/>
          </w:tcPr>
          <w:p w14:paraId="3E876F35"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22" w:type="pct"/>
            <w:tcBorders>
              <w:top w:val="nil"/>
              <w:left w:val="nil"/>
              <w:bottom w:val="nil"/>
              <w:right w:val="nil"/>
            </w:tcBorders>
            <w:shd w:val="clear" w:color="000000" w:fill="6CC17C"/>
            <w:noWrap/>
            <w:vAlign w:val="center"/>
            <w:hideMark/>
          </w:tcPr>
          <w:p w14:paraId="6CC217A6"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97</w:t>
            </w:r>
          </w:p>
        </w:tc>
        <w:tc>
          <w:tcPr>
            <w:tcW w:w="122" w:type="pct"/>
            <w:tcBorders>
              <w:top w:val="nil"/>
              <w:left w:val="nil"/>
              <w:bottom w:val="nil"/>
              <w:right w:val="nil"/>
            </w:tcBorders>
            <w:shd w:val="clear" w:color="000000" w:fill="89C97E"/>
            <w:noWrap/>
            <w:vAlign w:val="center"/>
            <w:hideMark/>
          </w:tcPr>
          <w:p w14:paraId="6D121B83"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88</w:t>
            </w:r>
          </w:p>
        </w:tc>
        <w:tc>
          <w:tcPr>
            <w:tcW w:w="143" w:type="pct"/>
            <w:tcBorders>
              <w:top w:val="nil"/>
              <w:left w:val="nil"/>
              <w:bottom w:val="nil"/>
              <w:right w:val="nil"/>
            </w:tcBorders>
            <w:shd w:val="clear" w:color="000000" w:fill="63BE7B"/>
            <w:noWrap/>
            <w:vAlign w:val="center"/>
            <w:hideMark/>
          </w:tcPr>
          <w:p w14:paraId="6AB6531E"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22" w:type="pct"/>
            <w:tcBorders>
              <w:top w:val="nil"/>
              <w:left w:val="nil"/>
              <w:bottom w:val="nil"/>
              <w:right w:val="nil"/>
            </w:tcBorders>
            <w:shd w:val="clear" w:color="000000" w:fill="7BC57D"/>
            <w:noWrap/>
            <w:vAlign w:val="center"/>
            <w:hideMark/>
          </w:tcPr>
          <w:p w14:paraId="6F9FA0B4"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92</w:t>
            </w:r>
          </w:p>
        </w:tc>
        <w:tc>
          <w:tcPr>
            <w:tcW w:w="143" w:type="pct"/>
            <w:tcBorders>
              <w:top w:val="nil"/>
              <w:left w:val="nil"/>
              <w:bottom w:val="nil"/>
              <w:right w:val="nil"/>
            </w:tcBorders>
            <w:shd w:val="clear" w:color="000000" w:fill="63BE7B"/>
            <w:noWrap/>
            <w:vAlign w:val="center"/>
            <w:hideMark/>
          </w:tcPr>
          <w:p w14:paraId="59E50E6D"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43" w:type="pct"/>
            <w:tcBorders>
              <w:top w:val="nil"/>
              <w:left w:val="nil"/>
              <w:bottom w:val="nil"/>
              <w:right w:val="nil"/>
            </w:tcBorders>
            <w:shd w:val="clear" w:color="000000" w:fill="63BE7B"/>
            <w:noWrap/>
            <w:vAlign w:val="center"/>
            <w:hideMark/>
          </w:tcPr>
          <w:p w14:paraId="4367614F"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43" w:type="pct"/>
            <w:tcBorders>
              <w:top w:val="nil"/>
              <w:left w:val="nil"/>
              <w:bottom w:val="nil"/>
              <w:right w:val="nil"/>
            </w:tcBorders>
            <w:shd w:val="clear" w:color="000000" w:fill="75C47D"/>
            <w:noWrap/>
            <w:vAlign w:val="center"/>
            <w:hideMark/>
          </w:tcPr>
          <w:p w14:paraId="700CFB3F"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94</w:t>
            </w:r>
          </w:p>
        </w:tc>
        <w:tc>
          <w:tcPr>
            <w:tcW w:w="122" w:type="pct"/>
            <w:tcBorders>
              <w:top w:val="nil"/>
              <w:left w:val="nil"/>
              <w:bottom w:val="nil"/>
              <w:right w:val="nil"/>
            </w:tcBorders>
            <w:shd w:val="clear" w:color="000000" w:fill="D6DF82"/>
            <w:noWrap/>
            <w:vAlign w:val="center"/>
            <w:hideMark/>
          </w:tcPr>
          <w:p w14:paraId="3D0FA123"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63</w:t>
            </w:r>
          </w:p>
        </w:tc>
        <w:tc>
          <w:tcPr>
            <w:tcW w:w="122" w:type="pct"/>
            <w:tcBorders>
              <w:top w:val="nil"/>
              <w:left w:val="nil"/>
              <w:bottom w:val="nil"/>
              <w:right w:val="nil"/>
            </w:tcBorders>
            <w:shd w:val="clear" w:color="000000" w:fill="81C77D"/>
            <w:noWrap/>
            <w:vAlign w:val="center"/>
            <w:hideMark/>
          </w:tcPr>
          <w:p w14:paraId="1BA5A24B"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91</w:t>
            </w:r>
          </w:p>
        </w:tc>
        <w:tc>
          <w:tcPr>
            <w:tcW w:w="122" w:type="pct"/>
            <w:tcBorders>
              <w:top w:val="nil"/>
              <w:left w:val="nil"/>
              <w:bottom w:val="nil"/>
              <w:right w:val="nil"/>
            </w:tcBorders>
            <w:shd w:val="clear" w:color="000000" w:fill="F8696B"/>
            <w:noWrap/>
            <w:vAlign w:val="center"/>
            <w:hideMark/>
          </w:tcPr>
          <w:p w14:paraId="3C4FE446"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0</w:t>
            </w:r>
          </w:p>
        </w:tc>
        <w:tc>
          <w:tcPr>
            <w:tcW w:w="122" w:type="pct"/>
            <w:tcBorders>
              <w:top w:val="nil"/>
              <w:left w:val="nil"/>
              <w:bottom w:val="nil"/>
              <w:right w:val="nil"/>
            </w:tcBorders>
            <w:shd w:val="clear" w:color="000000" w:fill="FCC27C"/>
            <w:noWrap/>
            <w:vAlign w:val="center"/>
            <w:hideMark/>
          </w:tcPr>
          <w:p w14:paraId="5FF520C7"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34</w:t>
            </w:r>
          </w:p>
        </w:tc>
        <w:tc>
          <w:tcPr>
            <w:tcW w:w="143" w:type="pct"/>
            <w:tcBorders>
              <w:top w:val="nil"/>
              <w:left w:val="nil"/>
              <w:bottom w:val="nil"/>
              <w:right w:val="nil"/>
            </w:tcBorders>
            <w:shd w:val="clear" w:color="000000" w:fill="63BE7B"/>
            <w:noWrap/>
            <w:vAlign w:val="center"/>
            <w:hideMark/>
          </w:tcPr>
          <w:p w14:paraId="59F759D8"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22" w:type="pct"/>
            <w:tcBorders>
              <w:top w:val="nil"/>
              <w:left w:val="nil"/>
              <w:bottom w:val="nil"/>
              <w:right w:val="nil"/>
            </w:tcBorders>
            <w:shd w:val="clear" w:color="000000" w:fill="FEDE81"/>
            <w:noWrap/>
            <w:vAlign w:val="center"/>
            <w:hideMark/>
          </w:tcPr>
          <w:p w14:paraId="013E8E5C"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45</w:t>
            </w:r>
          </w:p>
        </w:tc>
        <w:tc>
          <w:tcPr>
            <w:tcW w:w="122" w:type="pct"/>
            <w:tcBorders>
              <w:top w:val="nil"/>
              <w:left w:val="nil"/>
              <w:bottom w:val="nil"/>
              <w:right w:val="nil"/>
            </w:tcBorders>
            <w:shd w:val="clear" w:color="000000" w:fill="C7DB81"/>
            <w:noWrap/>
            <w:vAlign w:val="center"/>
            <w:hideMark/>
          </w:tcPr>
          <w:p w14:paraId="57E81F8F"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68</w:t>
            </w:r>
          </w:p>
        </w:tc>
        <w:tc>
          <w:tcPr>
            <w:tcW w:w="123" w:type="pct"/>
            <w:tcBorders>
              <w:top w:val="nil"/>
              <w:left w:val="nil"/>
              <w:bottom w:val="nil"/>
              <w:right w:val="nil"/>
            </w:tcBorders>
            <w:shd w:val="clear" w:color="000000" w:fill="FBAB77"/>
            <w:noWrap/>
            <w:vAlign w:val="center"/>
            <w:hideMark/>
          </w:tcPr>
          <w:p w14:paraId="7F0F9D5E"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25</w:t>
            </w:r>
          </w:p>
        </w:tc>
        <w:tc>
          <w:tcPr>
            <w:tcW w:w="122" w:type="pct"/>
            <w:tcBorders>
              <w:top w:val="nil"/>
              <w:left w:val="nil"/>
              <w:bottom w:val="nil"/>
              <w:right w:val="nil"/>
            </w:tcBorders>
            <w:shd w:val="clear" w:color="000000" w:fill="C8DC81"/>
            <w:noWrap/>
            <w:vAlign w:val="center"/>
            <w:hideMark/>
          </w:tcPr>
          <w:p w14:paraId="15152473"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68</w:t>
            </w:r>
          </w:p>
        </w:tc>
        <w:tc>
          <w:tcPr>
            <w:tcW w:w="122" w:type="pct"/>
            <w:tcBorders>
              <w:top w:val="nil"/>
              <w:left w:val="nil"/>
              <w:bottom w:val="nil"/>
              <w:right w:val="nil"/>
            </w:tcBorders>
            <w:shd w:val="clear" w:color="000000" w:fill="7EC67D"/>
            <w:noWrap/>
            <w:vAlign w:val="center"/>
            <w:hideMark/>
          </w:tcPr>
          <w:p w14:paraId="672408A5"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92</w:t>
            </w:r>
          </w:p>
        </w:tc>
        <w:tc>
          <w:tcPr>
            <w:tcW w:w="122" w:type="pct"/>
            <w:tcBorders>
              <w:top w:val="nil"/>
              <w:left w:val="nil"/>
              <w:bottom w:val="nil"/>
              <w:right w:val="nil"/>
            </w:tcBorders>
            <w:shd w:val="clear" w:color="000000" w:fill="A6D27F"/>
            <w:noWrap/>
            <w:vAlign w:val="center"/>
            <w:hideMark/>
          </w:tcPr>
          <w:p w14:paraId="6C6C9CF9"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79</w:t>
            </w:r>
          </w:p>
        </w:tc>
        <w:tc>
          <w:tcPr>
            <w:tcW w:w="122" w:type="pct"/>
            <w:tcBorders>
              <w:top w:val="nil"/>
              <w:left w:val="nil"/>
              <w:bottom w:val="nil"/>
              <w:right w:val="nil"/>
            </w:tcBorders>
            <w:shd w:val="clear" w:color="000000" w:fill="A6D27F"/>
            <w:noWrap/>
            <w:vAlign w:val="center"/>
            <w:hideMark/>
          </w:tcPr>
          <w:p w14:paraId="1DCEE00A"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79</w:t>
            </w:r>
          </w:p>
        </w:tc>
        <w:tc>
          <w:tcPr>
            <w:tcW w:w="122" w:type="pct"/>
            <w:tcBorders>
              <w:top w:val="nil"/>
              <w:left w:val="nil"/>
              <w:bottom w:val="nil"/>
              <w:right w:val="nil"/>
            </w:tcBorders>
            <w:shd w:val="clear" w:color="000000" w:fill="E9E583"/>
            <w:noWrap/>
            <w:vAlign w:val="center"/>
            <w:hideMark/>
          </w:tcPr>
          <w:p w14:paraId="2475A28C"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57</w:t>
            </w:r>
          </w:p>
        </w:tc>
        <w:tc>
          <w:tcPr>
            <w:tcW w:w="122" w:type="pct"/>
            <w:tcBorders>
              <w:top w:val="nil"/>
              <w:left w:val="nil"/>
              <w:bottom w:val="nil"/>
              <w:right w:val="nil"/>
            </w:tcBorders>
            <w:shd w:val="clear" w:color="000000" w:fill="CADC81"/>
            <w:noWrap/>
            <w:vAlign w:val="center"/>
            <w:hideMark/>
          </w:tcPr>
          <w:p w14:paraId="4FE99034"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67</w:t>
            </w:r>
          </w:p>
        </w:tc>
        <w:tc>
          <w:tcPr>
            <w:tcW w:w="122" w:type="pct"/>
            <w:tcBorders>
              <w:top w:val="nil"/>
              <w:left w:val="nil"/>
              <w:bottom w:val="nil"/>
              <w:right w:val="nil"/>
            </w:tcBorders>
            <w:shd w:val="clear" w:color="000000" w:fill="D7E082"/>
            <w:noWrap/>
            <w:vAlign w:val="center"/>
            <w:hideMark/>
          </w:tcPr>
          <w:p w14:paraId="4E4DEF56"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63</w:t>
            </w:r>
          </w:p>
        </w:tc>
        <w:tc>
          <w:tcPr>
            <w:tcW w:w="122" w:type="pct"/>
            <w:tcBorders>
              <w:top w:val="nil"/>
              <w:left w:val="nil"/>
              <w:bottom w:val="nil"/>
              <w:right w:val="nil"/>
            </w:tcBorders>
            <w:shd w:val="clear" w:color="000000" w:fill="F5E984"/>
            <w:noWrap/>
            <w:vAlign w:val="center"/>
            <w:hideMark/>
          </w:tcPr>
          <w:p w14:paraId="1EE384EB"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53</w:t>
            </w:r>
          </w:p>
        </w:tc>
        <w:tc>
          <w:tcPr>
            <w:tcW w:w="122" w:type="pct"/>
            <w:tcBorders>
              <w:top w:val="nil"/>
              <w:left w:val="nil"/>
              <w:bottom w:val="nil"/>
              <w:right w:val="nil"/>
            </w:tcBorders>
            <w:shd w:val="clear" w:color="000000" w:fill="79C57D"/>
            <w:noWrap/>
            <w:vAlign w:val="center"/>
            <w:hideMark/>
          </w:tcPr>
          <w:p w14:paraId="196EFA93"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93</w:t>
            </w:r>
          </w:p>
        </w:tc>
        <w:tc>
          <w:tcPr>
            <w:tcW w:w="122" w:type="pct"/>
            <w:tcBorders>
              <w:top w:val="nil"/>
              <w:left w:val="nil"/>
              <w:bottom w:val="nil"/>
              <w:right w:val="nil"/>
            </w:tcBorders>
            <w:shd w:val="clear" w:color="000000" w:fill="A2D17F"/>
            <w:noWrap/>
            <w:vAlign w:val="center"/>
            <w:hideMark/>
          </w:tcPr>
          <w:p w14:paraId="518F8CA7"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80</w:t>
            </w:r>
          </w:p>
        </w:tc>
        <w:tc>
          <w:tcPr>
            <w:tcW w:w="123" w:type="pct"/>
            <w:tcBorders>
              <w:top w:val="nil"/>
              <w:left w:val="nil"/>
              <w:bottom w:val="nil"/>
              <w:right w:val="nil"/>
            </w:tcBorders>
            <w:shd w:val="clear" w:color="000000" w:fill="B6D680"/>
            <w:noWrap/>
            <w:vAlign w:val="center"/>
            <w:hideMark/>
          </w:tcPr>
          <w:p w14:paraId="0B13C5CD"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74</w:t>
            </w:r>
          </w:p>
        </w:tc>
        <w:tc>
          <w:tcPr>
            <w:tcW w:w="122" w:type="pct"/>
            <w:tcBorders>
              <w:top w:val="nil"/>
              <w:left w:val="nil"/>
              <w:bottom w:val="nil"/>
              <w:right w:val="nil"/>
            </w:tcBorders>
            <w:shd w:val="clear" w:color="000000" w:fill="FEE783"/>
            <w:noWrap/>
            <w:vAlign w:val="center"/>
            <w:hideMark/>
          </w:tcPr>
          <w:p w14:paraId="109808DD"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49</w:t>
            </w:r>
          </w:p>
        </w:tc>
        <w:tc>
          <w:tcPr>
            <w:tcW w:w="122" w:type="pct"/>
            <w:tcBorders>
              <w:top w:val="nil"/>
              <w:left w:val="nil"/>
              <w:bottom w:val="nil"/>
              <w:right w:val="nil"/>
            </w:tcBorders>
            <w:shd w:val="clear" w:color="000000" w:fill="C0D981"/>
            <w:noWrap/>
            <w:vAlign w:val="center"/>
            <w:hideMark/>
          </w:tcPr>
          <w:p w14:paraId="3398D363"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70</w:t>
            </w:r>
          </w:p>
        </w:tc>
        <w:tc>
          <w:tcPr>
            <w:tcW w:w="122" w:type="pct"/>
            <w:tcBorders>
              <w:top w:val="nil"/>
              <w:left w:val="nil"/>
              <w:bottom w:val="nil"/>
              <w:right w:val="nil"/>
            </w:tcBorders>
            <w:shd w:val="clear" w:color="000000" w:fill="E7E483"/>
            <w:noWrap/>
            <w:vAlign w:val="center"/>
            <w:hideMark/>
          </w:tcPr>
          <w:p w14:paraId="08F25349"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58</w:t>
            </w:r>
          </w:p>
        </w:tc>
        <w:tc>
          <w:tcPr>
            <w:tcW w:w="122" w:type="pct"/>
            <w:tcBorders>
              <w:top w:val="nil"/>
              <w:left w:val="nil"/>
              <w:bottom w:val="nil"/>
              <w:right w:val="nil"/>
            </w:tcBorders>
            <w:shd w:val="clear" w:color="000000" w:fill="8FCB7E"/>
            <w:noWrap/>
            <w:vAlign w:val="center"/>
            <w:hideMark/>
          </w:tcPr>
          <w:p w14:paraId="5371D496"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86</w:t>
            </w:r>
          </w:p>
        </w:tc>
        <w:tc>
          <w:tcPr>
            <w:tcW w:w="122" w:type="pct"/>
            <w:tcBorders>
              <w:top w:val="nil"/>
              <w:left w:val="nil"/>
              <w:bottom w:val="nil"/>
              <w:right w:val="nil"/>
            </w:tcBorders>
            <w:shd w:val="clear" w:color="000000" w:fill="C9DC81"/>
            <w:noWrap/>
            <w:vAlign w:val="center"/>
            <w:hideMark/>
          </w:tcPr>
          <w:p w14:paraId="50F559C1"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68</w:t>
            </w:r>
          </w:p>
        </w:tc>
        <w:tc>
          <w:tcPr>
            <w:tcW w:w="123" w:type="pct"/>
            <w:tcBorders>
              <w:top w:val="nil"/>
              <w:left w:val="nil"/>
              <w:bottom w:val="nil"/>
              <w:right w:val="nil"/>
            </w:tcBorders>
            <w:shd w:val="clear" w:color="000000" w:fill="D9E082"/>
            <w:noWrap/>
            <w:vAlign w:val="center"/>
            <w:hideMark/>
          </w:tcPr>
          <w:p w14:paraId="6F812417"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62</w:t>
            </w:r>
          </w:p>
        </w:tc>
        <w:tc>
          <w:tcPr>
            <w:tcW w:w="122" w:type="pct"/>
            <w:tcBorders>
              <w:top w:val="nil"/>
              <w:left w:val="nil"/>
              <w:bottom w:val="nil"/>
              <w:right w:val="nil"/>
            </w:tcBorders>
            <w:shd w:val="clear" w:color="000000" w:fill="FEE983"/>
            <w:noWrap/>
            <w:vAlign w:val="center"/>
            <w:hideMark/>
          </w:tcPr>
          <w:p w14:paraId="48528489"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49</w:t>
            </w:r>
          </w:p>
        </w:tc>
      </w:tr>
      <w:tr w:rsidR="00B656F6" w:rsidRPr="00634756" w14:paraId="202829EB" w14:textId="77777777" w:rsidTr="008F0944">
        <w:trPr>
          <w:trHeight w:val="113"/>
        </w:trPr>
        <w:tc>
          <w:tcPr>
            <w:tcW w:w="131" w:type="pct"/>
            <w:vMerge/>
            <w:tcBorders>
              <w:left w:val="nil"/>
              <w:right w:val="nil"/>
            </w:tcBorders>
            <w:shd w:val="clear" w:color="auto" w:fill="CC99FF"/>
          </w:tcPr>
          <w:p w14:paraId="1A3B9B1B" w14:textId="77777777" w:rsidR="00B656F6" w:rsidRPr="00EB4864" w:rsidRDefault="00B656F6" w:rsidP="008F0944">
            <w:pPr>
              <w:snapToGrid w:val="0"/>
              <w:jc w:val="right"/>
              <w:rPr>
                <w:rFonts w:ascii="等线" w:eastAsia="等线" w:hAnsi="等线" w:cs="宋体"/>
                <w:b/>
                <w:color w:val="000000"/>
                <w:sz w:val="15"/>
                <w:szCs w:val="15"/>
              </w:rPr>
            </w:pPr>
          </w:p>
        </w:tc>
        <w:tc>
          <w:tcPr>
            <w:tcW w:w="469" w:type="pct"/>
            <w:tcBorders>
              <w:top w:val="nil"/>
              <w:left w:val="nil"/>
              <w:bottom w:val="nil"/>
              <w:right w:val="nil"/>
            </w:tcBorders>
            <w:shd w:val="clear" w:color="auto" w:fill="CC99FF"/>
            <w:noWrap/>
            <w:vAlign w:val="center"/>
            <w:hideMark/>
          </w:tcPr>
          <w:p w14:paraId="7BBA1EEA" w14:textId="77777777" w:rsidR="00B656F6" w:rsidRPr="00EB4864" w:rsidRDefault="00B656F6" w:rsidP="008F0944">
            <w:pPr>
              <w:snapToGrid w:val="0"/>
              <w:jc w:val="right"/>
              <w:rPr>
                <w:rFonts w:ascii="等线" w:eastAsia="等线" w:hAnsi="等线" w:cs="宋体"/>
                <w:b/>
                <w:color w:val="000000"/>
                <w:sz w:val="15"/>
                <w:szCs w:val="15"/>
              </w:rPr>
            </w:pPr>
            <w:r w:rsidRPr="00EB4864">
              <w:rPr>
                <w:rFonts w:ascii="等线" w:eastAsia="等线" w:hAnsi="等线" w:cs="宋体"/>
                <w:b/>
                <w:color w:val="000000"/>
                <w:sz w:val="15"/>
                <w:szCs w:val="15"/>
              </w:rPr>
              <w:t>Sichuan</w:t>
            </w:r>
          </w:p>
        </w:tc>
        <w:tc>
          <w:tcPr>
            <w:tcW w:w="122" w:type="pct"/>
            <w:tcBorders>
              <w:top w:val="nil"/>
              <w:left w:val="nil"/>
              <w:bottom w:val="nil"/>
              <w:right w:val="nil"/>
            </w:tcBorders>
            <w:shd w:val="clear" w:color="000000" w:fill="91CC7E"/>
            <w:noWrap/>
            <w:vAlign w:val="center"/>
            <w:hideMark/>
          </w:tcPr>
          <w:p w14:paraId="2E40FB7C"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85</w:t>
            </w:r>
          </w:p>
        </w:tc>
        <w:tc>
          <w:tcPr>
            <w:tcW w:w="143" w:type="pct"/>
            <w:tcBorders>
              <w:top w:val="nil"/>
              <w:left w:val="nil"/>
              <w:bottom w:val="nil"/>
              <w:right w:val="nil"/>
            </w:tcBorders>
            <w:shd w:val="clear" w:color="000000" w:fill="63BE7B"/>
            <w:noWrap/>
            <w:vAlign w:val="center"/>
            <w:hideMark/>
          </w:tcPr>
          <w:p w14:paraId="0DFC7CEC"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22" w:type="pct"/>
            <w:tcBorders>
              <w:top w:val="nil"/>
              <w:left w:val="nil"/>
              <w:bottom w:val="nil"/>
              <w:right w:val="nil"/>
            </w:tcBorders>
            <w:shd w:val="clear" w:color="000000" w:fill="6DC17C"/>
            <w:noWrap/>
            <w:vAlign w:val="center"/>
            <w:hideMark/>
          </w:tcPr>
          <w:p w14:paraId="2A51180B"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97</w:t>
            </w:r>
          </w:p>
        </w:tc>
        <w:tc>
          <w:tcPr>
            <w:tcW w:w="122" w:type="pct"/>
            <w:tcBorders>
              <w:top w:val="nil"/>
              <w:left w:val="nil"/>
              <w:bottom w:val="nil"/>
              <w:right w:val="nil"/>
            </w:tcBorders>
            <w:shd w:val="clear" w:color="000000" w:fill="7DC67D"/>
            <w:noWrap/>
            <w:vAlign w:val="center"/>
            <w:hideMark/>
          </w:tcPr>
          <w:p w14:paraId="04141B37"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92</w:t>
            </w:r>
          </w:p>
        </w:tc>
        <w:tc>
          <w:tcPr>
            <w:tcW w:w="143" w:type="pct"/>
            <w:tcBorders>
              <w:top w:val="nil"/>
              <w:left w:val="nil"/>
              <w:bottom w:val="nil"/>
              <w:right w:val="nil"/>
            </w:tcBorders>
            <w:shd w:val="clear" w:color="000000" w:fill="63BE7B"/>
            <w:noWrap/>
            <w:vAlign w:val="center"/>
            <w:hideMark/>
          </w:tcPr>
          <w:p w14:paraId="1264CFD2"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22" w:type="pct"/>
            <w:tcBorders>
              <w:top w:val="nil"/>
              <w:left w:val="nil"/>
              <w:bottom w:val="nil"/>
              <w:right w:val="nil"/>
            </w:tcBorders>
            <w:shd w:val="clear" w:color="000000" w:fill="89C97E"/>
            <w:noWrap/>
            <w:vAlign w:val="center"/>
            <w:hideMark/>
          </w:tcPr>
          <w:p w14:paraId="40855FAA"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88</w:t>
            </w:r>
          </w:p>
        </w:tc>
        <w:tc>
          <w:tcPr>
            <w:tcW w:w="143" w:type="pct"/>
            <w:tcBorders>
              <w:top w:val="nil"/>
              <w:left w:val="nil"/>
              <w:bottom w:val="nil"/>
              <w:right w:val="nil"/>
            </w:tcBorders>
            <w:shd w:val="clear" w:color="000000" w:fill="63BE7B"/>
            <w:noWrap/>
            <w:vAlign w:val="center"/>
            <w:hideMark/>
          </w:tcPr>
          <w:p w14:paraId="57B3D552"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43" w:type="pct"/>
            <w:tcBorders>
              <w:top w:val="nil"/>
              <w:left w:val="nil"/>
              <w:bottom w:val="nil"/>
              <w:right w:val="nil"/>
            </w:tcBorders>
            <w:shd w:val="clear" w:color="000000" w:fill="63BE7B"/>
            <w:noWrap/>
            <w:vAlign w:val="center"/>
            <w:hideMark/>
          </w:tcPr>
          <w:p w14:paraId="290B9F74"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43" w:type="pct"/>
            <w:tcBorders>
              <w:top w:val="nil"/>
              <w:left w:val="nil"/>
              <w:bottom w:val="nil"/>
              <w:right w:val="nil"/>
            </w:tcBorders>
            <w:shd w:val="clear" w:color="000000" w:fill="6EC27C"/>
            <w:noWrap/>
            <w:vAlign w:val="center"/>
            <w:hideMark/>
          </w:tcPr>
          <w:p w14:paraId="3DF0F7DD"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96</w:t>
            </w:r>
          </w:p>
        </w:tc>
        <w:tc>
          <w:tcPr>
            <w:tcW w:w="122" w:type="pct"/>
            <w:tcBorders>
              <w:top w:val="nil"/>
              <w:left w:val="nil"/>
              <w:bottom w:val="nil"/>
              <w:right w:val="nil"/>
            </w:tcBorders>
            <w:shd w:val="clear" w:color="000000" w:fill="DBE182"/>
            <w:noWrap/>
            <w:vAlign w:val="center"/>
            <w:hideMark/>
          </w:tcPr>
          <w:p w14:paraId="6061A124"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62</w:t>
            </w:r>
          </w:p>
        </w:tc>
        <w:tc>
          <w:tcPr>
            <w:tcW w:w="122" w:type="pct"/>
            <w:tcBorders>
              <w:top w:val="nil"/>
              <w:left w:val="nil"/>
              <w:bottom w:val="nil"/>
              <w:right w:val="nil"/>
            </w:tcBorders>
            <w:shd w:val="clear" w:color="000000" w:fill="83C87D"/>
            <w:noWrap/>
            <w:vAlign w:val="center"/>
            <w:hideMark/>
          </w:tcPr>
          <w:p w14:paraId="1C6FC356"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90</w:t>
            </w:r>
          </w:p>
        </w:tc>
        <w:tc>
          <w:tcPr>
            <w:tcW w:w="122" w:type="pct"/>
            <w:tcBorders>
              <w:top w:val="nil"/>
              <w:left w:val="nil"/>
              <w:bottom w:val="nil"/>
              <w:right w:val="nil"/>
            </w:tcBorders>
            <w:shd w:val="clear" w:color="000000" w:fill="F8696B"/>
            <w:noWrap/>
            <w:vAlign w:val="center"/>
            <w:hideMark/>
          </w:tcPr>
          <w:p w14:paraId="06A58B3E"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0</w:t>
            </w:r>
          </w:p>
        </w:tc>
        <w:tc>
          <w:tcPr>
            <w:tcW w:w="122" w:type="pct"/>
            <w:tcBorders>
              <w:top w:val="nil"/>
              <w:left w:val="nil"/>
              <w:bottom w:val="nil"/>
              <w:right w:val="nil"/>
            </w:tcBorders>
            <w:shd w:val="clear" w:color="000000" w:fill="CDDD82"/>
            <w:noWrap/>
            <w:vAlign w:val="center"/>
            <w:hideMark/>
          </w:tcPr>
          <w:p w14:paraId="17DB8A90"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66</w:t>
            </w:r>
          </w:p>
        </w:tc>
        <w:tc>
          <w:tcPr>
            <w:tcW w:w="143" w:type="pct"/>
            <w:tcBorders>
              <w:top w:val="nil"/>
              <w:left w:val="nil"/>
              <w:bottom w:val="nil"/>
              <w:right w:val="nil"/>
            </w:tcBorders>
            <w:shd w:val="clear" w:color="000000" w:fill="63BE7B"/>
            <w:noWrap/>
            <w:vAlign w:val="center"/>
            <w:hideMark/>
          </w:tcPr>
          <w:p w14:paraId="5C5F8343"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22" w:type="pct"/>
            <w:tcBorders>
              <w:top w:val="nil"/>
              <w:left w:val="nil"/>
              <w:bottom w:val="nil"/>
              <w:right w:val="nil"/>
            </w:tcBorders>
            <w:shd w:val="clear" w:color="000000" w:fill="FEE182"/>
            <w:noWrap/>
            <w:vAlign w:val="center"/>
            <w:hideMark/>
          </w:tcPr>
          <w:p w14:paraId="573B9015"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46</w:t>
            </w:r>
          </w:p>
        </w:tc>
        <w:tc>
          <w:tcPr>
            <w:tcW w:w="122" w:type="pct"/>
            <w:tcBorders>
              <w:top w:val="nil"/>
              <w:left w:val="nil"/>
              <w:bottom w:val="nil"/>
              <w:right w:val="nil"/>
            </w:tcBorders>
            <w:shd w:val="clear" w:color="000000" w:fill="A4D17F"/>
            <w:noWrap/>
            <w:vAlign w:val="center"/>
            <w:hideMark/>
          </w:tcPr>
          <w:p w14:paraId="2313614E"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79</w:t>
            </w:r>
          </w:p>
        </w:tc>
        <w:tc>
          <w:tcPr>
            <w:tcW w:w="123" w:type="pct"/>
            <w:tcBorders>
              <w:top w:val="nil"/>
              <w:left w:val="nil"/>
              <w:bottom w:val="nil"/>
              <w:right w:val="nil"/>
            </w:tcBorders>
            <w:shd w:val="clear" w:color="000000" w:fill="FCB77A"/>
            <w:noWrap/>
            <w:vAlign w:val="center"/>
            <w:hideMark/>
          </w:tcPr>
          <w:p w14:paraId="3988A17D"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30</w:t>
            </w:r>
          </w:p>
        </w:tc>
        <w:tc>
          <w:tcPr>
            <w:tcW w:w="122" w:type="pct"/>
            <w:tcBorders>
              <w:top w:val="nil"/>
              <w:left w:val="nil"/>
              <w:bottom w:val="nil"/>
              <w:right w:val="nil"/>
            </w:tcBorders>
            <w:shd w:val="clear" w:color="000000" w:fill="C7DB81"/>
            <w:noWrap/>
            <w:vAlign w:val="center"/>
            <w:hideMark/>
          </w:tcPr>
          <w:p w14:paraId="49A7FC12"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68</w:t>
            </w:r>
          </w:p>
        </w:tc>
        <w:tc>
          <w:tcPr>
            <w:tcW w:w="122" w:type="pct"/>
            <w:tcBorders>
              <w:top w:val="nil"/>
              <w:left w:val="nil"/>
              <w:bottom w:val="nil"/>
              <w:right w:val="nil"/>
            </w:tcBorders>
            <w:shd w:val="clear" w:color="000000" w:fill="8BCA7E"/>
            <w:noWrap/>
            <w:vAlign w:val="center"/>
            <w:hideMark/>
          </w:tcPr>
          <w:p w14:paraId="4C7E1934"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87</w:t>
            </w:r>
          </w:p>
        </w:tc>
        <w:tc>
          <w:tcPr>
            <w:tcW w:w="122" w:type="pct"/>
            <w:tcBorders>
              <w:top w:val="nil"/>
              <w:left w:val="nil"/>
              <w:bottom w:val="nil"/>
              <w:right w:val="nil"/>
            </w:tcBorders>
            <w:shd w:val="clear" w:color="000000" w:fill="ABD380"/>
            <w:noWrap/>
            <w:vAlign w:val="center"/>
            <w:hideMark/>
          </w:tcPr>
          <w:p w14:paraId="1C99B17D"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77</w:t>
            </w:r>
          </w:p>
        </w:tc>
        <w:tc>
          <w:tcPr>
            <w:tcW w:w="122" w:type="pct"/>
            <w:tcBorders>
              <w:top w:val="nil"/>
              <w:left w:val="nil"/>
              <w:bottom w:val="nil"/>
              <w:right w:val="nil"/>
            </w:tcBorders>
            <w:shd w:val="clear" w:color="000000" w:fill="BCD881"/>
            <w:noWrap/>
            <w:vAlign w:val="center"/>
            <w:hideMark/>
          </w:tcPr>
          <w:p w14:paraId="4F3ADAD5"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72</w:t>
            </w:r>
          </w:p>
        </w:tc>
        <w:tc>
          <w:tcPr>
            <w:tcW w:w="122" w:type="pct"/>
            <w:tcBorders>
              <w:top w:val="nil"/>
              <w:left w:val="nil"/>
              <w:bottom w:val="nil"/>
              <w:right w:val="nil"/>
            </w:tcBorders>
            <w:shd w:val="clear" w:color="000000" w:fill="EAE583"/>
            <w:noWrap/>
            <w:vAlign w:val="center"/>
            <w:hideMark/>
          </w:tcPr>
          <w:p w14:paraId="1FE9EFBA"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57</w:t>
            </w:r>
          </w:p>
        </w:tc>
        <w:tc>
          <w:tcPr>
            <w:tcW w:w="122" w:type="pct"/>
            <w:tcBorders>
              <w:top w:val="nil"/>
              <w:left w:val="nil"/>
              <w:bottom w:val="nil"/>
              <w:right w:val="nil"/>
            </w:tcBorders>
            <w:shd w:val="clear" w:color="000000" w:fill="D4DF82"/>
            <w:noWrap/>
            <w:vAlign w:val="center"/>
            <w:hideMark/>
          </w:tcPr>
          <w:p w14:paraId="6C9E7DF2"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64</w:t>
            </w:r>
          </w:p>
        </w:tc>
        <w:tc>
          <w:tcPr>
            <w:tcW w:w="122" w:type="pct"/>
            <w:tcBorders>
              <w:top w:val="nil"/>
              <w:left w:val="nil"/>
              <w:bottom w:val="nil"/>
              <w:right w:val="nil"/>
            </w:tcBorders>
            <w:shd w:val="clear" w:color="000000" w:fill="D3DF82"/>
            <w:noWrap/>
            <w:vAlign w:val="center"/>
            <w:hideMark/>
          </w:tcPr>
          <w:p w14:paraId="1752A2C7"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64</w:t>
            </w:r>
          </w:p>
        </w:tc>
        <w:tc>
          <w:tcPr>
            <w:tcW w:w="122" w:type="pct"/>
            <w:tcBorders>
              <w:top w:val="nil"/>
              <w:left w:val="nil"/>
              <w:bottom w:val="nil"/>
              <w:right w:val="nil"/>
            </w:tcBorders>
            <w:shd w:val="clear" w:color="000000" w:fill="FEE983"/>
            <w:noWrap/>
            <w:vAlign w:val="center"/>
            <w:hideMark/>
          </w:tcPr>
          <w:p w14:paraId="583B7B7E"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49</w:t>
            </w:r>
          </w:p>
        </w:tc>
        <w:tc>
          <w:tcPr>
            <w:tcW w:w="122" w:type="pct"/>
            <w:tcBorders>
              <w:top w:val="nil"/>
              <w:left w:val="nil"/>
              <w:bottom w:val="nil"/>
              <w:right w:val="nil"/>
            </w:tcBorders>
            <w:shd w:val="clear" w:color="000000" w:fill="7BC57D"/>
            <w:noWrap/>
            <w:vAlign w:val="center"/>
            <w:hideMark/>
          </w:tcPr>
          <w:p w14:paraId="7CFD6A62"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92</w:t>
            </w:r>
          </w:p>
        </w:tc>
        <w:tc>
          <w:tcPr>
            <w:tcW w:w="122" w:type="pct"/>
            <w:tcBorders>
              <w:top w:val="nil"/>
              <w:left w:val="nil"/>
              <w:bottom w:val="nil"/>
              <w:right w:val="nil"/>
            </w:tcBorders>
            <w:shd w:val="clear" w:color="000000" w:fill="B5D680"/>
            <w:noWrap/>
            <w:vAlign w:val="center"/>
            <w:hideMark/>
          </w:tcPr>
          <w:p w14:paraId="20E73B19"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74</w:t>
            </w:r>
          </w:p>
        </w:tc>
        <w:tc>
          <w:tcPr>
            <w:tcW w:w="123" w:type="pct"/>
            <w:tcBorders>
              <w:top w:val="nil"/>
              <w:left w:val="nil"/>
              <w:bottom w:val="nil"/>
              <w:right w:val="nil"/>
            </w:tcBorders>
            <w:shd w:val="clear" w:color="000000" w:fill="C2DA81"/>
            <w:noWrap/>
            <w:vAlign w:val="center"/>
            <w:hideMark/>
          </w:tcPr>
          <w:p w14:paraId="61D2ED8B"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70</w:t>
            </w:r>
          </w:p>
        </w:tc>
        <w:tc>
          <w:tcPr>
            <w:tcW w:w="122" w:type="pct"/>
            <w:tcBorders>
              <w:top w:val="nil"/>
              <w:left w:val="nil"/>
              <w:bottom w:val="nil"/>
              <w:right w:val="nil"/>
            </w:tcBorders>
            <w:shd w:val="clear" w:color="000000" w:fill="FDCD7E"/>
            <w:noWrap/>
            <w:vAlign w:val="center"/>
            <w:hideMark/>
          </w:tcPr>
          <w:p w14:paraId="73EFE7ED"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39</w:t>
            </w:r>
          </w:p>
        </w:tc>
        <w:tc>
          <w:tcPr>
            <w:tcW w:w="122" w:type="pct"/>
            <w:tcBorders>
              <w:top w:val="nil"/>
              <w:left w:val="nil"/>
              <w:bottom w:val="nil"/>
              <w:right w:val="nil"/>
            </w:tcBorders>
            <w:shd w:val="clear" w:color="000000" w:fill="C4DA81"/>
            <w:noWrap/>
            <w:vAlign w:val="center"/>
            <w:hideMark/>
          </w:tcPr>
          <w:p w14:paraId="55A167A8"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69</w:t>
            </w:r>
          </w:p>
        </w:tc>
        <w:tc>
          <w:tcPr>
            <w:tcW w:w="122" w:type="pct"/>
            <w:tcBorders>
              <w:top w:val="nil"/>
              <w:left w:val="nil"/>
              <w:bottom w:val="nil"/>
              <w:right w:val="nil"/>
            </w:tcBorders>
            <w:shd w:val="clear" w:color="000000" w:fill="F8E984"/>
            <w:noWrap/>
            <w:vAlign w:val="center"/>
            <w:hideMark/>
          </w:tcPr>
          <w:p w14:paraId="2C127BEA"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53</w:t>
            </w:r>
          </w:p>
        </w:tc>
        <w:tc>
          <w:tcPr>
            <w:tcW w:w="122" w:type="pct"/>
            <w:tcBorders>
              <w:top w:val="nil"/>
              <w:left w:val="nil"/>
              <w:bottom w:val="nil"/>
              <w:right w:val="nil"/>
            </w:tcBorders>
            <w:shd w:val="clear" w:color="000000" w:fill="D2DE82"/>
            <w:noWrap/>
            <w:vAlign w:val="center"/>
            <w:hideMark/>
          </w:tcPr>
          <w:p w14:paraId="5C28785A"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65</w:t>
            </w:r>
          </w:p>
        </w:tc>
        <w:tc>
          <w:tcPr>
            <w:tcW w:w="122" w:type="pct"/>
            <w:tcBorders>
              <w:top w:val="nil"/>
              <w:left w:val="nil"/>
              <w:bottom w:val="nil"/>
              <w:right w:val="nil"/>
            </w:tcBorders>
            <w:shd w:val="clear" w:color="000000" w:fill="D7E082"/>
            <w:noWrap/>
            <w:vAlign w:val="center"/>
            <w:hideMark/>
          </w:tcPr>
          <w:p w14:paraId="179E0551"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63</w:t>
            </w:r>
          </w:p>
        </w:tc>
        <w:tc>
          <w:tcPr>
            <w:tcW w:w="123" w:type="pct"/>
            <w:tcBorders>
              <w:top w:val="nil"/>
              <w:left w:val="nil"/>
              <w:bottom w:val="nil"/>
              <w:right w:val="nil"/>
            </w:tcBorders>
            <w:shd w:val="clear" w:color="000000" w:fill="F1E784"/>
            <w:noWrap/>
            <w:vAlign w:val="center"/>
            <w:hideMark/>
          </w:tcPr>
          <w:p w14:paraId="243EA821"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55</w:t>
            </w:r>
          </w:p>
        </w:tc>
        <w:tc>
          <w:tcPr>
            <w:tcW w:w="122" w:type="pct"/>
            <w:tcBorders>
              <w:top w:val="nil"/>
              <w:left w:val="nil"/>
              <w:bottom w:val="nil"/>
              <w:right w:val="nil"/>
            </w:tcBorders>
            <w:shd w:val="clear" w:color="000000" w:fill="FDEB84"/>
            <w:noWrap/>
            <w:vAlign w:val="center"/>
            <w:hideMark/>
          </w:tcPr>
          <w:p w14:paraId="12C4BA34"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51</w:t>
            </w:r>
          </w:p>
        </w:tc>
      </w:tr>
      <w:tr w:rsidR="00B656F6" w:rsidRPr="00634756" w14:paraId="1026DEA5" w14:textId="77777777" w:rsidTr="008F0944">
        <w:trPr>
          <w:trHeight w:val="113"/>
        </w:trPr>
        <w:tc>
          <w:tcPr>
            <w:tcW w:w="131" w:type="pct"/>
            <w:vMerge/>
            <w:tcBorders>
              <w:left w:val="nil"/>
              <w:right w:val="nil"/>
            </w:tcBorders>
            <w:shd w:val="clear" w:color="auto" w:fill="CC99FF"/>
          </w:tcPr>
          <w:p w14:paraId="3FDCEBB8" w14:textId="77777777" w:rsidR="00B656F6" w:rsidRPr="00EB4864" w:rsidRDefault="00B656F6" w:rsidP="008F0944">
            <w:pPr>
              <w:snapToGrid w:val="0"/>
              <w:jc w:val="right"/>
              <w:rPr>
                <w:rFonts w:ascii="等线" w:eastAsia="等线" w:hAnsi="等线" w:cs="宋体"/>
                <w:b/>
                <w:color w:val="000000"/>
                <w:sz w:val="15"/>
                <w:szCs w:val="15"/>
              </w:rPr>
            </w:pPr>
          </w:p>
        </w:tc>
        <w:tc>
          <w:tcPr>
            <w:tcW w:w="469" w:type="pct"/>
            <w:tcBorders>
              <w:top w:val="nil"/>
              <w:left w:val="nil"/>
              <w:bottom w:val="nil"/>
              <w:right w:val="nil"/>
            </w:tcBorders>
            <w:shd w:val="clear" w:color="auto" w:fill="CC99FF"/>
            <w:noWrap/>
            <w:vAlign w:val="center"/>
            <w:hideMark/>
          </w:tcPr>
          <w:p w14:paraId="194BD966" w14:textId="77777777" w:rsidR="00B656F6" w:rsidRPr="00EB4864" w:rsidRDefault="00B656F6" w:rsidP="008F0944">
            <w:pPr>
              <w:snapToGrid w:val="0"/>
              <w:jc w:val="right"/>
              <w:rPr>
                <w:rFonts w:ascii="等线" w:eastAsia="等线" w:hAnsi="等线" w:cs="宋体"/>
                <w:b/>
                <w:color w:val="000000"/>
                <w:sz w:val="15"/>
                <w:szCs w:val="15"/>
              </w:rPr>
            </w:pPr>
            <w:r w:rsidRPr="00EB4864">
              <w:rPr>
                <w:rFonts w:ascii="等线" w:eastAsia="等线" w:hAnsi="等线" w:cs="宋体"/>
                <w:b/>
                <w:color w:val="000000"/>
                <w:sz w:val="15"/>
                <w:szCs w:val="15"/>
              </w:rPr>
              <w:t>Guizhou</w:t>
            </w:r>
          </w:p>
        </w:tc>
        <w:tc>
          <w:tcPr>
            <w:tcW w:w="122" w:type="pct"/>
            <w:tcBorders>
              <w:top w:val="nil"/>
              <w:left w:val="nil"/>
              <w:bottom w:val="nil"/>
              <w:right w:val="nil"/>
            </w:tcBorders>
            <w:shd w:val="clear" w:color="000000" w:fill="CADC81"/>
            <w:noWrap/>
            <w:vAlign w:val="center"/>
            <w:hideMark/>
          </w:tcPr>
          <w:p w14:paraId="0DDFD295"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67</w:t>
            </w:r>
          </w:p>
        </w:tc>
        <w:tc>
          <w:tcPr>
            <w:tcW w:w="143" w:type="pct"/>
            <w:tcBorders>
              <w:top w:val="nil"/>
              <w:left w:val="nil"/>
              <w:bottom w:val="nil"/>
              <w:right w:val="nil"/>
            </w:tcBorders>
            <w:shd w:val="clear" w:color="000000" w:fill="70C27C"/>
            <w:noWrap/>
            <w:vAlign w:val="center"/>
            <w:hideMark/>
          </w:tcPr>
          <w:p w14:paraId="5E9E5E44"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96</w:t>
            </w:r>
          </w:p>
        </w:tc>
        <w:tc>
          <w:tcPr>
            <w:tcW w:w="122" w:type="pct"/>
            <w:tcBorders>
              <w:top w:val="nil"/>
              <w:left w:val="nil"/>
              <w:bottom w:val="nil"/>
              <w:right w:val="nil"/>
            </w:tcBorders>
            <w:shd w:val="clear" w:color="000000" w:fill="6DC17C"/>
            <w:noWrap/>
            <w:vAlign w:val="center"/>
            <w:hideMark/>
          </w:tcPr>
          <w:p w14:paraId="7C93431F"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97</w:t>
            </w:r>
          </w:p>
        </w:tc>
        <w:tc>
          <w:tcPr>
            <w:tcW w:w="122" w:type="pct"/>
            <w:tcBorders>
              <w:top w:val="nil"/>
              <w:left w:val="nil"/>
              <w:bottom w:val="nil"/>
              <w:right w:val="nil"/>
            </w:tcBorders>
            <w:shd w:val="clear" w:color="000000" w:fill="A0D07F"/>
            <w:noWrap/>
            <w:vAlign w:val="center"/>
            <w:hideMark/>
          </w:tcPr>
          <w:p w14:paraId="3882F619"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81</w:t>
            </w:r>
          </w:p>
        </w:tc>
        <w:tc>
          <w:tcPr>
            <w:tcW w:w="143" w:type="pct"/>
            <w:tcBorders>
              <w:top w:val="nil"/>
              <w:left w:val="nil"/>
              <w:bottom w:val="nil"/>
              <w:right w:val="nil"/>
            </w:tcBorders>
            <w:shd w:val="clear" w:color="000000" w:fill="63BE7B"/>
            <w:noWrap/>
            <w:vAlign w:val="center"/>
            <w:hideMark/>
          </w:tcPr>
          <w:p w14:paraId="1327DE0C"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22" w:type="pct"/>
            <w:tcBorders>
              <w:top w:val="nil"/>
              <w:left w:val="nil"/>
              <w:bottom w:val="nil"/>
              <w:right w:val="nil"/>
            </w:tcBorders>
            <w:shd w:val="clear" w:color="000000" w:fill="BFD981"/>
            <w:noWrap/>
            <w:vAlign w:val="center"/>
            <w:hideMark/>
          </w:tcPr>
          <w:p w14:paraId="7B7E3857"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71</w:t>
            </w:r>
          </w:p>
        </w:tc>
        <w:tc>
          <w:tcPr>
            <w:tcW w:w="143" w:type="pct"/>
            <w:tcBorders>
              <w:top w:val="nil"/>
              <w:left w:val="nil"/>
              <w:bottom w:val="nil"/>
              <w:right w:val="nil"/>
            </w:tcBorders>
            <w:shd w:val="clear" w:color="000000" w:fill="63BE7B"/>
            <w:noWrap/>
            <w:vAlign w:val="center"/>
            <w:hideMark/>
          </w:tcPr>
          <w:p w14:paraId="34445479"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43" w:type="pct"/>
            <w:tcBorders>
              <w:top w:val="nil"/>
              <w:left w:val="nil"/>
              <w:bottom w:val="nil"/>
              <w:right w:val="nil"/>
            </w:tcBorders>
            <w:shd w:val="clear" w:color="000000" w:fill="63BE7B"/>
            <w:noWrap/>
            <w:vAlign w:val="center"/>
            <w:hideMark/>
          </w:tcPr>
          <w:p w14:paraId="3C696AF7"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43" w:type="pct"/>
            <w:tcBorders>
              <w:top w:val="nil"/>
              <w:left w:val="nil"/>
              <w:bottom w:val="nil"/>
              <w:right w:val="nil"/>
            </w:tcBorders>
            <w:shd w:val="clear" w:color="000000" w:fill="8FCB7E"/>
            <w:noWrap/>
            <w:vAlign w:val="center"/>
            <w:hideMark/>
          </w:tcPr>
          <w:p w14:paraId="33396ABC"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86</w:t>
            </w:r>
          </w:p>
        </w:tc>
        <w:tc>
          <w:tcPr>
            <w:tcW w:w="122" w:type="pct"/>
            <w:tcBorders>
              <w:top w:val="nil"/>
              <w:left w:val="nil"/>
              <w:bottom w:val="nil"/>
              <w:right w:val="nil"/>
            </w:tcBorders>
            <w:shd w:val="clear" w:color="000000" w:fill="FEE482"/>
            <w:noWrap/>
            <w:vAlign w:val="center"/>
            <w:hideMark/>
          </w:tcPr>
          <w:p w14:paraId="3CC08271"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48</w:t>
            </w:r>
          </w:p>
        </w:tc>
        <w:tc>
          <w:tcPr>
            <w:tcW w:w="122" w:type="pct"/>
            <w:tcBorders>
              <w:top w:val="nil"/>
              <w:left w:val="nil"/>
              <w:bottom w:val="nil"/>
              <w:right w:val="nil"/>
            </w:tcBorders>
            <w:shd w:val="clear" w:color="000000" w:fill="9ECF7F"/>
            <w:noWrap/>
            <w:vAlign w:val="center"/>
            <w:hideMark/>
          </w:tcPr>
          <w:p w14:paraId="40590237"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81</w:t>
            </w:r>
          </w:p>
        </w:tc>
        <w:tc>
          <w:tcPr>
            <w:tcW w:w="122" w:type="pct"/>
            <w:tcBorders>
              <w:top w:val="nil"/>
              <w:left w:val="nil"/>
              <w:bottom w:val="nil"/>
              <w:right w:val="nil"/>
            </w:tcBorders>
            <w:shd w:val="clear" w:color="000000" w:fill="F8696B"/>
            <w:noWrap/>
            <w:vAlign w:val="center"/>
            <w:hideMark/>
          </w:tcPr>
          <w:p w14:paraId="31B6D7AA"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0</w:t>
            </w:r>
          </w:p>
        </w:tc>
        <w:tc>
          <w:tcPr>
            <w:tcW w:w="122" w:type="pct"/>
            <w:tcBorders>
              <w:top w:val="nil"/>
              <w:left w:val="nil"/>
              <w:bottom w:val="nil"/>
              <w:right w:val="nil"/>
            </w:tcBorders>
            <w:shd w:val="clear" w:color="000000" w:fill="FCC57C"/>
            <w:noWrap/>
            <w:vAlign w:val="center"/>
            <w:hideMark/>
          </w:tcPr>
          <w:p w14:paraId="4E7C6CDF"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36</w:t>
            </w:r>
          </w:p>
        </w:tc>
        <w:tc>
          <w:tcPr>
            <w:tcW w:w="143" w:type="pct"/>
            <w:tcBorders>
              <w:top w:val="nil"/>
              <w:left w:val="nil"/>
              <w:bottom w:val="nil"/>
              <w:right w:val="nil"/>
            </w:tcBorders>
            <w:shd w:val="clear" w:color="000000" w:fill="63BE7B"/>
            <w:noWrap/>
            <w:vAlign w:val="center"/>
            <w:hideMark/>
          </w:tcPr>
          <w:p w14:paraId="1669983B"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22" w:type="pct"/>
            <w:tcBorders>
              <w:top w:val="nil"/>
              <w:left w:val="nil"/>
              <w:bottom w:val="nil"/>
              <w:right w:val="nil"/>
            </w:tcBorders>
            <w:shd w:val="clear" w:color="000000" w:fill="FDD780"/>
            <w:noWrap/>
            <w:vAlign w:val="center"/>
            <w:hideMark/>
          </w:tcPr>
          <w:p w14:paraId="6C01D484"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43</w:t>
            </w:r>
          </w:p>
        </w:tc>
        <w:tc>
          <w:tcPr>
            <w:tcW w:w="122" w:type="pct"/>
            <w:tcBorders>
              <w:top w:val="nil"/>
              <w:left w:val="nil"/>
              <w:bottom w:val="nil"/>
              <w:right w:val="nil"/>
            </w:tcBorders>
            <w:shd w:val="clear" w:color="000000" w:fill="C1D981"/>
            <w:noWrap/>
            <w:vAlign w:val="center"/>
            <w:hideMark/>
          </w:tcPr>
          <w:p w14:paraId="1D42B7ED"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70</w:t>
            </w:r>
          </w:p>
        </w:tc>
        <w:tc>
          <w:tcPr>
            <w:tcW w:w="123" w:type="pct"/>
            <w:tcBorders>
              <w:top w:val="nil"/>
              <w:left w:val="nil"/>
              <w:bottom w:val="nil"/>
              <w:right w:val="nil"/>
            </w:tcBorders>
            <w:shd w:val="clear" w:color="000000" w:fill="FBAB77"/>
            <w:noWrap/>
            <w:vAlign w:val="center"/>
            <w:hideMark/>
          </w:tcPr>
          <w:p w14:paraId="2396CF33"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25</w:t>
            </w:r>
          </w:p>
        </w:tc>
        <w:tc>
          <w:tcPr>
            <w:tcW w:w="122" w:type="pct"/>
            <w:tcBorders>
              <w:top w:val="nil"/>
              <w:left w:val="nil"/>
              <w:bottom w:val="nil"/>
              <w:right w:val="nil"/>
            </w:tcBorders>
            <w:shd w:val="clear" w:color="000000" w:fill="D7E082"/>
            <w:noWrap/>
            <w:vAlign w:val="center"/>
            <w:hideMark/>
          </w:tcPr>
          <w:p w14:paraId="6B9791AB"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63</w:t>
            </w:r>
          </w:p>
        </w:tc>
        <w:tc>
          <w:tcPr>
            <w:tcW w:w="122" w:type="pct"/>
            <w:tcBorders>
              <w:top w:val="nil"/>
              <w:left w:val="nil"/>
              <w:bottom w:val="nil"/>
              <w:right w:val="nil"/>
            </w:tcBorders>
            <w:shd w:val="clear" w:color="000000" w:fill="93CC7E"/>
            <w:noWrap/>
            <w:vAlign w:val="center"/>
            <w:hideMark/>
          </w:tcPr>
          <w:p w14:paraId="30BC4B87"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85</w:t>
            </w:r>
          </w:p>
        </w:tc>
        <w:tc>
          <w:tcPr>
            <w:tcW w:w="122" w:type="pct"/>
            <w:tcBorders>
              <w:top w:val="nil"/>
              <w:left w:val="nil"/>
              <w:bottom w:val="nil"/>
              <w:right w:val="nil"/>
            </w:tcBorders>
            <w:shd w:val="clear" w:color="000000" w:fill="B8D780"/>
            <w:noWrap/>
            <w:vAlign w:val="center"/>
            <w:hideMark/>
          </w:tcPr>
          <w:p w14:paraId="42AA3E01"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73</w:t>
            </w:r>
          </w:p>
        </w:tc>
        <w:tc>
          <w:tcPr>
            <w:tcW w:w="122" w:type="pct"/>
            <w:tcBorders>
              <w:top w:val="nil"/>
              <w:left w:val="nil"/>
              <w:bottom w:val="nil"/>
              <w:right w:val="nil"/>
            </w:tcBorders>
            <w:shd w:val="clear" w:color="000000" w:fill="B9D780"/>
            <w:noWrap/>
            <w:vAlign w:val="center"/>
            <w:hideMark/>
          </w:tcPr>
          <w:p w14:paraId="18197C8A"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72</w:t>
            </w:r>
          </w:p>
        </w:tc>
        <w:tc>
          <w:tcPr>
            <w:tcW w:w="122" w:type="pct"/>
            <w:tcBorders>
              <w:top w:val="nil"/>
              <w:left w:val="nil"/>
              <w:bottom w:val="nil"/>
              <w:right w:val="nil"/>
            </w:tcBorders>
            <w:shd w:val="clear" w:color="000000" w:fill="B9D780"/>
            <w:noWrap/>
            <w:vAlign w:val="center"/>
            <w:hideMark/>
          </w:tcPr>
          <w:p w14:paraId="24CB7B3F"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73</w:t>
            </w:r>
          </w:p>
        </w:tc>
        <w:tc>
          <w:tcPr>
            <w:tcW w:w="122" w:type="pct"/>
            <w:tcBorders>
              <w:top w:val="nil"/>
              <w:left w:val="nil"/>
              <w:bottom w:val="nil"/>
              <w:right w:val="nil"/>
            </w:tcBorders>
            <w:shd w:val="clear" w:color="000000" w:fill="B9D780"/>
            <w:noWrap/>
            <w:vAlign w:val="center"/>
            <w:hideMark/>
          </w:tcPr>
          <w:p w14:paraId="2D43F3CF"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73</w:t>
            </w:r>
          </w:p>
        </w:tc>
        <w:tc>
          <w:tcPr>
            <w:tcW w:w="122" w:type="pct"/>
            <w:tcBorders>
              <w:top w:val="nil"/>
              <w:left w:val="nil"/>
              <w:bottom w:val="nil"/>
              <w:right w:val="nil"/>
            </w:tcBorders>
            <w:shd w:val="clear" w:color="000000" w:fill="FFEB84"/>
            <w:noWrap/>
            <w:vAlign w:val="center"/>
            <w:hideMark/>
          </w:tcPr>
          <w:p w14:paraId="22ED1076"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50</w:t>
            </w:r>
          </w:p>
        </w:tc>
        <w:tc>
          <w:tcPr>
            <w:tcW w:w="122" w:type="pct"/>
            <w:tcBorders>
              <w:top w:val="nil"/>
              <w:left w:val="nil"/>
              <w:bottom w:val="nil"/>
              <w:right w:val="nil"/>
            </w:tcBorders>
            <w:shd w:val="clear" w:color="000000" w:fill="FED980"/>
            <w:noWrap/>
            <w:vAlign w:val="center"/>
            <w:hideMark/>
          </w:tcPr>
          <w:p w14:paraId="7B9D448C"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43</w:t>
            </w:r>
          </w:p>
        </w:tc>
        <w:tc>
          <w:tcPr>
            <w:tcW w:w="122" w:type="pct"/>
            <w:tcBorders>
              <w:top w:val="nil"/>
              <w:left w:val="nil"/>
              <w:bottom w:val="nil"/>
              <w:right w:val="nil"/>
            </w:tcBorders>
            <w:shd w:val="clear" w:color="000000" w:fill="90CB7E"/>
            <w:noWrap/>
            <w:vAlign w:val="center"/>
            <w:hideMark/>
          </w:tcPr>
          <w:p w14:paraId="5B5BAC37"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86</w:t>
            </w:r>
          </w:p>
        </w:tc>
        <w:tc>
          <w:tcPr>
            <w:tcW w:w="122" w:type="pct"/>
            <w:tcBorders>
              <w:top w:val="nil"/>
              <w:left w:val="nil"/>
              <w:bottom w:val="nil"/>
              <w:right w:val="nil"/>
            </w:tcBorders>
            <w:shd w:val="clear" w:color="000000" w:fill="FEE582"/>
            <w:noWrap/>
            <w:vAlign w:val="center"/>
            <w:hideMark/>
          </w:tcPr>
          <w:p w14:paraId="66EA8F79"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48</w:t>
            </w:r>
          </w:p>
        </w:tc>
        <w:tc>
          <w:tcPr>
            <w:tcW w:w="123" w:type="pct"/>
            <w:tcBorders>
              <w:top w:val="nil"/>
              <w:left w:val="nil"/>
              <w:bottom w:val="nil"/>
              <w:right w:val="nil"/>
            </w:tcBorders>
            <w:shd w:val="clear" w:color="000000" w:fill="EDE683"/>
            <w:noWrap/>
            <w:vAlign w:val="center"/>
            <w:hideMark/>
          </w:tcPr>
          <w:p w14:paraId="4F8EF876"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56</w:t>
            </w:r>
          </w:p>
        </w:tc>
        <w:tc>
          <w:tcPr>
            <w:tcW w:w="122" w:type="pct"/>
            <w:tcBorders>
              <w:top w:val="nil"/>
              <w:left w:val="nil"/>
              <w:bottom w:val="nil"/>
              <w:right w:val="nil"/>
            </w:tcBorders>
            <w:shd w:val="clear" w:color="000000" w:fill="E7E483"/>
            <w:noWrap/>
            <w:vAlign w:val="center"/>
            <w:hideMark/>
          </w:tcPr>
          <w:p w14:paraId="3ADEA919"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58</w:t>
            </w:r>
          </w:p>
        </w:tc>
        <w:tc>
          <w:tcPr>
            <w:tcW w:w="122" w:type="pct"/>
            <w:tcBorders>
              <w:top w:val="nil"/>
              <w:left w:val="nil"/>
              <w:bottom w:val="nil"/>
              <w:right w:val="nil"/>
            </w:tcBorders>
            <w:shd w:val="clear" w:color="000000" w:fill="E6E483"/>
            <w:noWrap/>
            <w:vAlign w:val="center"/>
            <w:hideMark/>
          </w:tcPr>
          <w:p w14:paraId="0B0A02F2"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58</w:t>
            </w:r>
          </w:p>
        </w:tc>
        <w:tc>
          <w:tcPr>
            <w:tcW w:w="122" w:type="pct"/>
            <w:tcBorders>
              <w:top w:val="nil"/>
              <w:left w:val="nil"/>
              <w:bottom w:val="nil"/>
              <w:right w:val="nil"/>
            </w:tcBorders>
            <w:shd w:val="clear" w:color="000000" w:fill="FEE081"/>
            <w:noWrap/>
            <w:vAlign w:val="center"/>
            <w:hideMark/>
          </w:tcPr>
          <w:p w14:paraId="1A1FAFBE"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46</w:t>
            </w:r>
          </w:p>
        </w:tc>
        <w:tc>
          <w:tcPr>
            <w:tcW w:w="122" w:type="pct"/>
            <w:tcBorders>
              <w:top w:val="nil"/>
              <w:left w:val="nil"/>
              <w:bottom w:val="nil"/>
              <w:right w:val="nil"/>
            </w:tcBorders>
            <w:shd w:val="clear" w:color="000000" w:fill="FEE783"/>
            <w:noWrap/>
            <w:vAlign w:val="center"/>
            <w:hideMark/>
          </w:tcPr>
          <w:p w14:paraId="4CA5DDD8"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49</w:t>
            </w:r>
          </w:p>
        </w:tc>
        <w:tc>
          <w:tcPr>
            <w:tcW w:w="122" w:type="pct"/>
            <w:tcBorders>
              <w:top w:val="nil"/>
              <w:left w:val="nil"/>
              <w:bottom w:val="nil"/>
              <w:right w:val="nil"/>
            </w:tcBorders>
            <w:shd w:val="clear" w:color="000000" w:fill="E4E483"/>
            <w:noWrap/>
            <w:vAlign w:val="center"/>
            <w:hideMark/>
          </w:tcPr>
          <w:p w14:paraId="123C8ECC"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59</w:t>
            </w:r>
          </w:p>
        </w:tc>
        <w:tc>
          <w:tcPr>
            <w:tcW w:w="123" w:type="pct"/>
            <w:tcBorders>
              <w:top w:val="nil"/>
              <w:left w:val="nil"/>
              <w:bottom w:val="nil"/>
              <w:right w:val="nil"/>
            </w:tcBorders>
            <w:shd w:val="clear" w:color="000000" w:fill="F4E884"/>
            <w:noWrap/>
            <w:vAlign w:val="center"/>
            <w:hideMark/>
          </w:tcPr>
          <w:p w14:paraId="383EEE18"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54</w:t>
            </w:r>
          </w:p>
        </w:tc>
        <w:tc>
          <w:tcPr>
            <w:tcW w:w="122" w:type="pct"/>
            <w:tcBorders>
              <w:top w:val="nil"/>
              <w:left w:val="nil"/>
              <w:bottom w:val="nil"/>
              <w:right w:val="nil"/>
            </w:tcBorders>
            <w:shd w:val="clear" w:color="000000" w:fill="FDCE7E"/>
            <w:noWrap/>
            <w:vAlign w:val="center"/>
            <w:hideMark/>
          </w:tcPr>
          <w:p w14:paraId="6140DB38"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39</w:t>
            </w:r>
          </w:p>
        </w:tc>
      </w:tr>
      <w:tr w:rsidR="00B656F6" w:rsidRPr="00634756" w14:paraId="38789193" w14:textId="77777777" w:rsidTr="008F0944">
        <w:trPr>
          <w:trHeight w:val="113"/>
        </w:trPr>
        <w:tc>
          <w:tcPr>
            <w:tcW w:w="131" w:type="pct"/>
            <w:vMerge/>
            <w:tcBorders>
              <w:left w:val="nil"/>
              <w:right w:val="nil"/>
            </w:tcBorders>
            <w:shd w:val="clear" w:color="auto" w:fill="CC99FF"/>
          </w:tcPr>
          <w:p w14:paraId="3E38179D" w14:textId="77777777" w:rsidR="00B656F6" w:rsidRPr="00EB4864" w:rsidRDefault="00B656F6" w:rsidP="008F0944">
            <w:pPr>
              <w:snapToGrid w:val="0"/>
              <w:jc w:val="right"/>
              <w:rPr>
                <w:rFonts w:ascii="等线" w:eastAsia="等线" w:hAnsi="等线" w:cs="宋体"/>
                <w:b/>
                <w:color w:val="000000"/>
                <w:sz w:val="15"/>
                <w:szCs w:val="15"/>
              </w:rPr>
            </w:pPr>
          </w:p>
        </w:tc>
        <w:tc>
          <w:tcPr>
            <w:tcW w:w="469" w:type="pct"/>
            <w:tcBorders>
              <w:top w:val="nil"/>
              <w:left w:val="nil"/>
              <w:bottom w:val="nil"/>
              <w:right w:val="nil"/>
            </w:tcBorders>
            <w:shd w:val="clear" w:color="auto" w:fill="CC99FF"/>
            <w:noWrap/>
            <w:vAlign w:val="center"/>
            <w:hideMark/>
          </w:tcPr>
          <w:p w14:paraId="08EEBA4E" w14:textId="77777777" w:rsidR="00B656F6" w:rsidRPr="00EB4864" w:rsidRDefault="00B656F6" w:rsidP="008F0944">
            <w:pPr>
              <w:snapToGrid w:val="0"/>
              <w:jc w:val="right"/>
              <w:rPr>
                <w:rFonts w:ascii="等线" w:eastAsia="等线" w:hAnsi="等线" w:cs="宋体"/>
                <w:b/>
                <w:color w:val="000000"/>
                <w:sz w:val="15"/>
                <w:szCs w:val="15"/>
              </w:rPr>
            </w:pPr>
            <w:r w:rsidRPr="00EB4864">
              <w:rPr>
                <w:rFonts w:ascii="等线" w:eastAsia="等线" w:hAnsi="等线" w:cs="宋体"/>
                <w:b/>
                <w:color w:val="000000"/>
                <w:sz w:val="15"/>
                <w:szCs w:val="15"/>
              </w:rPr>
              <w:t>Yunnan</w:t>
            </w:r>
          </w:p>
        </w:tc>
        <w:tc>
          <w:tcPr>
            <w:tcW w:w="122" w:type="pct"/>
            <w:tcBorders>
              <w:top w:val="nil"/>
              <w:left w:val="nil"/>
              <w:bottom w:val="nil"/>
              <w:right w:val="nil"/>
            </w:tcBorders>
            <w:shd w:val="clear" w:color="000000" w:fill="9ACE7F"/>
            <w:noWrap/>
            <w:vAlign w:val="center"/>
            <w:hideMark/>
          </w:tcPr>
          <w:p w14:paraId="496DF4C3"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83</w:t>
            </w:r>
          </w:p>
        </w:tc>
        <w:tc>
          <w:tcPr>
            <w:tcW w:w="143" w:type="pct"/>
            <w:tcBorders>
              <w:top w:val="nil"/>
              <w:left w:val="nil"/>
              <w:bottom w:val="nil"/>
              <w:right w:val="nil"/>
            </w:tcBorders>
            <w:shd w:val="clear" w:color="000000" w:fill="63BE7B"/>
            <w:noWrap/>
            <w:vAlign w:val="center"/>
            <w:hideMark/>
          </w:tcPr>
          <w:p w14:paraId="1A53C00C"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22" w:type="pct"/>
            <w:tcBorders>
              <w:top w:val="nil"/>
              <w:left w:val="nil"/>
              <w:bottom w:val="nil"/>
              <w:right w:val="nil"/>
            </w:tcBorders>
            <w:shd w:val="clear" w:color="000000" w:fill="69C07C"/>
            <w:noWrap/>
            <w:vAlign w:val="center"/>
            <w:hideMark/>
          </w:tcPr>
          <w:p w14:paraId="19FB52B8"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98</w:t>
            </w:r>
          </w:p>
        </w:tc>
        <w:tc>
          <w:tcPr>
            <w:tcW w:w="122" w:type="pct"/>
            <w:tcBorders>
              <w:top w:val="nil"/>
              <w:left w:val="nil"/>
              <w:bottom w:val="nil"/>
              <w:right w:val="nil"/>
            </w:tcBorders>
            <w:shd w:val="clear" w:color="000000" w:fill="81C77D"/>
            <w:noWrap/>
            <w:vAlign w:val="center"/>
            <w:hideMark/>
          </w:tcPr>
          <w:p w14:paraId="59A125D3"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90</w:t>
            </w:r>
          </w:p>
        </w:tc>
        <w:tc>
          <w:tcPr>
            <w:tcW w:w="143" w:type="pct"/>
            <w:tcBorders>
              <w:top w:val="nil"/>
              <w:left w:val="nil"/>
              <w:bottom w:val="nil"/>
              <w:right w:val="nil"/>
            </w:tcBorders>
            <w:shd w:val="clear" w:color="000000" w:fill="63BE7B"/>
            <w:noWrap/>
            <w:vAlign w:val="center"/>
            <w:hideMark/>
          </w:tcPr>
          <w:p w14:paraId="1634E659"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22" w:type="pct"/>
            <w:tcBorders>
              <w:top w:val="nil"/>
              <w:left w:val="nil"/>
              <w:bottom w:val="nil"/>
              <w:right w:val="nil"/>
            </w:tcBorders>
            <w:shd w:val="clear" w:color="000000" w:fill="7DC67D"/>
            <w:noWrap/>
            <w:vAlign w:val="center"/>
            <w:hideMark/>
          </w:tcPr>
          <w:p w14:paraId="06759DE1"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92</w:t>
            </w:r>
          </w:p>
        </w:tc>
        <w:tc>
          <w:tcPr>
            <w:tcW w:w="143" w:type="pct"/>
            <w:tcBorders>
              <w:top w:val="nil"/>
              <w:left w:val="nil"/>
              <w:bottom w:val="nil"/>
              <w:right w:val="nil"/>
            </w:tcBorders>
            <w:shd w:val="clear" w:color="000000" w:fill="63BE7B"/>
            <w:noWrap/>
            <w:vAlign w:val="center"/>
            <w:hideMark/>
          </w:tcPr>
          <w:p w14:paraId="69368765"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43" w:type="pct"/>
            <w:tcBorders>
              <w:top w:val="nil"/>
              <w:left w:val="nil"/>
              <w:bottom w:val="nil"/>
              <w:right w:val="nil"/>
            </w:tcBorders>
            <w:shd w:val="clear" w:color="000000" w:fill="63BE7B"/>
            <w:noWrap/>
            <w:vAlign w:val="center"/>
            <w:hideMark/>
          </w:tcPr>
          <w:p w14:paraId="6BF5128B"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43" w:type="pct"/>
            <w:tcBorders>
              <w:top w:val="nil"/>
              <w:left w:val="nil"/>
              <w:bottom w:val="nil"/>
              <w:right w:val="nil"/>
            </w:tcBorders>
            <w:shd w:val="clear" w:color="000000" w:fill="82C77D"/>
            <w:noWrap/>
            <w:vAlign w:val="center"/>
            <w:hideMark/>
          </w:tcPr>
          <w:p w14:paraId="33D54B11"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90</w:t>
            </w:r>
          </w:p>
        </w:tc>
        <w:tc>
          <w:tcPr>
            <w:tcW w:w="122" w:type="pct"/>
            <w:tcBorders>
              <w:top w:val="nil"/>
              <w:left w:val="nil"/>
              <w:bottom w:val="nil"/>
              <w:right w:val="nil"/>
            </w:tcBorders>
            <w:shd w:val="clear" w:color="000000" w:fill="EEE784"/>
            <w:noWrap/>
            <w:vAlign w:val="center"/>
            <w:hideMark/>
          </w:tcPr>
          <w:p w14:paraId="18ADACA9"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56</w:t>
            </w:r>
          </w:p>
        </w:tc>
        <w:tc>
          <w:tcPr>
            <w:tcW w:w="122" w:type="pct"/>
            <w:tcBorders>
              <w:top w:val="nil"/>
              <w:left w:val="nil"/>
              <w:bottom w:val="nil"/>
              <w:right w:val="nil"/>
            </w:tcBorders>
            <w:shd w:val="clear" w:color="000000" w:fill="89C97E"/>
            <w:noWrap/>
            <w:vAlign w:val="center"/>
            <w:hideMark/>
          </w:tcPr>
          <w:p w14:paraId="59C58EEF"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88</w:t>
            </w:r>
          </w:p>
        </w:tc>
        <w:tc>
          <w:tcPr>
            <w:tcW w:w="122" w:type="pct"/>
            <w:tcBorders>
              <w:top w:val="nil"/>
              <w:left w:val="nil"/>
              <w:bottom w:val="nil"/>
              <w:right w:val="nil"/>
            </w:tcBorders>
            <w:shd w:val="clear" w:color="000000" w:fill="F8696B"/>
            <w:noWrap/>
            <w:vAlign w:val="center"/>
            <w:hideMark/>
          </w:tcPr>
          <w:p w14:paraId="0B0941DE"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0</w:t>
            </w:r>
          </w:p>
        </w:tc>
        <w:tc>
          <w:tcPr>
            <w:tcW w:w="122" w:type="pct"/>
            <w:tcBorders>
              <w:top w:val="nil"/>
              <w:left w:val="nil"/>
              <w:bottom w:val="nil"/>
              <w:right w:val="nil"/>
            </w:tcBorders>
            <w:shd w:val="clear" w:color="000000" w:fill="FEDE81"/>
            <w:noWrap/>
            <w:vAlign w:val="center"/>
            <w:hideMark/>
          </w:tcPr>
          <w:p w14:paraId="7D30895B"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45</w:t>
            </w:r>
          </w:p>
        </w:tc>
        <w:tc>
          <w:tcPr>
            <w:tcW w:w="143" w:type="pct"/>
            <w:tcBorders>
              <w:top w:val="nil"/>
              <w:left w:val="nil"/>
              <w:bottom w:val="nil"/>
              <w:right w:val="nil"/>
            </w:tcBorders>
            <w:shd w:val="clear" w:color="000000" w:fill="67BF7C"/>
            <w:noWrap/>
            <w:vAlign w:val="center"/>
            <w:hideMark/>
          </w:tcPr>
          <w:p w14:paraId="4A12729A"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99</w:t>
            </w:r>
          </w:p>
        </w:tc>
        <w:tc>
          <w:tcPr>
            <w:tcW w:w="122" w:type="pct"/>
            <w:tcBorders>
              <w:top w:val="nil"/>
              <w:left w:val="nil"/>
              <w:bottom w:val="nil"/>
              <w:right w:val="nil"/>
            </w:tcBorders>
            <w:shd w:val="clear" w:color="000000" w:fill="FDD780"/>
            <w:noWrap/>
            <w:vAlign w:val="center"/>
            <w:hideMark/>
          </w:tcPr>
          <w:p w14:paraId="40C3523D"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43</w:t>
            </w:r>
          </w:p>
        </w:tc>
        <w:tc>
          <w:tcPr>
            <w:tcW w:w="122" w:type="pct"/>
            <w:tcBorders>
              <w:top w:val="nil"/>
              <w:left w:val="nil"/>
              <w:bottom w:val="nil"/>
              <w:right w:val="nil"/>
            </w:tcBorders>
            <w:shd w:val="clear" w:color="000000" w:fill="B2D580"/>
            <w:noWrap/>
            <w:vAlign w:val="center"/>
            <w:hideMark/>
          </w:tcPr>
          <w:p w14:paraId="2036D544"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75</w:t>
            </w:r>
          </w:p>
        </w:tc>
        <w:tc>
          <w:tcPr>
            <w:tcW w:w="123" w:type="pct"/>
            <w:tcBorders>
              <w:top w:val="nil"/>
              <w:left w:val="nil"/>
              <w:bottom w:val="nil"/>
              <w:right w:val="nil"/>
            </w:tcBorders>
            <w:shd w:val="clear" w:color="000000" w:fill="FBAF78"/>
            <w:noWrap/>
            <w:vAlign w:val="center"/>
            <w:hideMark/>
          </w:tcPr>
          <w:p w14:paraId="72A042C7"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27</w:t>
            </w:r>
          </w:p>
        </w:tc>
        <w:tc>
          <w:tcPr>
            <w:tcW w:w="122" w:type="pct"/>
            <w:tcBorders>
              <w:top w:val="nil"/>
              <w:left w:val="nil"/>
              <w:bottom w:val="nil"/>
              <w:right w:val="nil"/>
            </w:tcBorders>
            <w:shd w:val="clear" w:color="000000" w:fill="C9DC81"/>
            <w:noWrap/>
            <w:vAlign w:val="center"/>
            <w:hideMark/>
          </w:tcPr>
          <w:p w14:paraId="092ECB86"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68</w:t>
            </w:r>
          </w:p>
        </w:tc>
        <w:tc>
          <w:tcPr>
            <w:tcW w:w="122" w:type="pct"/>
            <w:tcBorders>
              <w:top w:val="nil"/>
              <w:left w:val="nil"/>
              <w:bottom w:val="nil"/>
              <w:right w:val="nil"/>
            </w:tcBorders>
            <w:shd w:val="clear" w:color="000000" w:fill="AFD480"/>
            <w:noWrap/>
            <w:vAlign w:val="center"/>
            <w:hideMark/>
          </w:tcPr>
          <w:p w14:paraId="634297A3"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76</w:t>
            </w:r>
          </w:p>
        </w:tc>
        <w:tc>
          <w:tcPr>
            <w:tcW w:w="122" w:type="pct"/>
            <w:tcBorders>
              <w:top w:val="nil"/>
              <w:left w:val="nil"/>
              <w:bottom w:val="nil"/>
              <w:right w:val="nil"/>
            </w:tcBorders>
            <w:shd w:val="clear" w:color="000000" w:fill="BCD881"/>
            <w:noWrap/>
            <w:vAlign w:val="center"/>
            <w:hideMark/>
          </w:tcPr>
          <w:p w14:paraId="0CC03EC1"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72</w:t>
            </w:r>
          </w:p>
        </w:tc>
        <w:tc>
          <w:tcPr>
            <w:tcW w:w="122" w:type="pct"/>
            <w:tcBorders>
              <w:top w:val="nil"/>
              <w:left w:val="nil"/>
              <w:bottom w:val="nil"/>
              <w:right w:val="nil"/>
            </w:tcBorders>
            <w:shd w:val="clear" w:color="000000" w:fill="EFE784"/>
            <w:noWrap/>
            <w:vAlign w:val="center"/>
            <w:hideMark/>
          </w:tcPr>
          <w:p w14:paraId="4634333A"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55</w:t>
            </w:r>
          </w:p>
        </w:tc>
        <w:tc>
          <w:tcPr>
            <w:tcW w:w="122" w:type="pct"/>
            <w:tcBorders>
              <w:top w:val="nil"/>
              <w:left w:val="nil"/>
              <w:bottom w:val="nil"/>
              <w:right w:val="nil"/>
            </w:tcBorders>
            <w:shd w:val="clear" w:color="000000" w:fill="D4DF82"/>
            <w:noWrap/>
            <w:vAlign w:val="center"/>
            <w:hideMark/>
          </w:tcPr>
          <w:p w14:paraId="5B9E0BFD"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64</w:t>
            </w:r>
          </w:p>
        </w:tc>
        <w:tc>
          <w:tcPr>
            <w:tcW w:w="122" w:type="pct"/>
            <w:tcBorders>
              <w:top w:val="nil"/>
              <w:left w:val="nil"/>
              <w:bottom w:val="nil"/>
              <w:right w:val="nil"/>
            </w:tcBorders>
            <w:shd w:val="clear" w:color="000000" w:fill="E2E383"/>
            <w:noWrap/>
            <w:vAlign w:val="center"/>
            <w:hideMark/>
          </w:tcPr>
          <w:p w14:paraId="593ED388"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59</w:t>
            </w:r>
          </w:p>
        </w:tc>
        <w:tc>
          <w:tcPr>
            <w:tcW w:w="122" w:type="pct"/>
            <w:tcBorders>
              <w:top w:val="nil"/>
              <w:left w:val="nil"/>
              <w:bottom w:val="nil"/>
              <w:right w:val="nil"/>
            </w:tcBorders>
            <w:shd w:val="clear" w:color="000000" w:fill="E4E483"/>
            <w:noWrap/>
            <w:vAlign w:val="center"/>
            <w:hideMark/>
          </w:tcPr>
          <w:p w14:paraId="5A45F474"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59</w:t>
            </w:r>
          </w:p>
        </w:tc>
        <w:tc>
          <w:tcPr>
            <w:tcW w:w="122" w:type="pct"/>
            <w:tcBorders>
              <w:top w:val="nil"/>
              <w:left w:val="nil"/>
              <w:bottom w:val="nil"/>
              <w:right w:val="nil"/>
            </w:tcBorders>
            <w:shd w:val="clear" w:color="000000" w:fill="FEE883"/>
            <w:noWrap/>
            <w:vAlign w:val="center"/>
            <w:hideMark/>
          </w:tcPr>
          <w:p w14:paraId="48BFDD22"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49</w:t>
            </w:r>
          </w:p>
        </w:tc>
        <w:tc>
          <w:tcPr>
            <w:tcW w:w="122" w:type="pct"/>
            <w:tcBorders>
              <w:top w:val="nil"/>
              <w:left w:val="nil"/>
              <w:bottom w:val="nil"/>
              <w:right w:val="nil"/>
            </w:tcBorders>
            <w:shd w:val="clear" w:color="000000" w:fill="90CB7E"/>
            <w:noWrap/>
            <w:vAlign w:val="center"/>
            <w:hideMark/>
          </w:tcPr>
          <w:p w14:paraId="039336C6"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86</w:t>
            </w:r>
          </w:p>
        </w:tc>
        <w:tc>
          <w:tcPr>
            <w:tcW w:w="122" w:type="pct"/>
            <w:tcBorders>
              <w:top w:val="nil"/>
              <w:left w:val="nil"/>
              <w:bottom w:val="nil"/>
              <w:right w:val="nil"/>
            </w:tcBorders>
            <w:shd w:val="clear" w:color="000000" w:fill="EBE683"/>
            <w:noWrap/>
            <w:vAlign w:val="center"/>
            <w:hideMark/>
          </w:tcPr>
          <w:p w14:paraId="41A9001A"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57</w:t>
            </w:r>
          </w:p>
        </w:tc>
        <w:tc>
          <w:tcPr>
            <w:tcW w:w="123" w:type="pct"/>
            <w:tcBorders>
              <w:top w:val="nil"/>
              <w:left w:val="nil"/>
              <w:bottom w:val="nil"/>
              <w:right w:val="nil"/>
            </w:tcBorders>
            <w:shd w:val="clear" w:color="000000" w:fill="DAE182"/>
            <w:noWrap/>
            <w:vAlign w:val="center"/>
            <w:hideMark/>
          </w:tcPr>
          <w:p w14:paraId="0B75CBCD"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62</w:t>
            </w:r>
          </w:p>
        </w:tc>
        <w:tc>
          <w:tcPr>
            <w:tcW w:w="122" w:type="pct"/>
            <w:tcBorders>
              <w:top w:val="nil"/>
              <w:left w:val="nil"/>
              <w:bottom w:val="nil"/>
              <w:right w:val="nil"/>
            </w:tcBorders>
            <w:shd w:val="clear" w:color="000000" w:fill="BFD981"/>
            <w:noWrap/>
            <w:vAlign w:val="center"/>
            <w:hideMark/>
          </w:tcPr>
          <w:p w14:paraId="41182F98"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71</w:t>
            </w:r>
          </w:p>
        </w:tc>
        <w:tc>
          <w:tcPr>
            <w:tcW w:w="122" w:type="pct"/>
            <w:tcBorders>
              <w:top w:val="nil"/>
              <w:left w:val="nil"/>
              <w:bottom w:val="nil"/>
              <w:right w:val="nil"/>
            </w:tcBorders>
            <w:shd w:val="clear" w:color="000000" w:fill="CDDD82"/>
            <w:noWrap/>
            <w:vAlign w:val="center"/>
            <w:hideMark/>
          </w:tcPr>
          <w:p w14:paraId="57E6B5EE"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66</w:t>
            </w:r>
          </w:p>
        </w:tc>
        <w:tc>
          <w:tcPr>
            <w:tcW w:w="122" w:type="pct"/>
            <w:tcBorders>
              <w:top w:val="nil"/>
              <w:left w:val="nil"/>
              <w:bottom w:val="nil"/>
              <w:right w:val="nil"/>
            </w:tcBorders>
            <w:shd w:val="clear" w:color="000000" w:fill="FEE182"/>
            <w:noWrap/>
            <w:vAlign w:val="center"/>
            <w:hideMark/>
          </w:tcPr>
          <w:p w14:paraId="48DE51E3"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46</w:t>
            </w:r>
          </w:p>
        </w:tc>
        <w:tc>
          <w:tcPr>
            <w:tcW w:w="122" w:type="pct"/>
            <w:tcBorders>
              <w:top w:val="nil"/>
              <w:left w:val="nil"/>
              <w:bottom w:val="nil"/>
              <w:right w:val="nil"/>
            </w:tcBorders>
            <w:shd w:val="clear" w:color="000000" w:fill="F5E984"/>
            <w:noWrap/>
            <w:vAlign w:val="center"/>
            <w:hideMark/>
          </w:tcPr>
          <w:p w14:paraId="13F856EC"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53</w:t>
            </w:r>
          </w:p>
        </w:tc>
        <w:tc>
          <w:tcPr>
            <w:tcW w:w="122" w:type="pct"/>
            <w:tcBorders>
              <w:top w:val="nil"/>
              <w:left w:val="nil"/>
              <w:bottom w:val="nil"/>
              <w:right w:val="nil"/>
            </w:tcBorders>
            <w:shd w:val="clear" w:color="000000" w:fill="F0E784"/>
            <w:noWrap/>
            <w:vAlign w:val="center"/>
            <w:hideMark/>
          </w:tcPr>
          <w:p w14:paraId="392B4CF7"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55</w:t>
            </w:r>
          </w:p>
        </w:tc>
        <w:tc>
          <w:tcPr>
            <w:tcW w:w="123" w:type="pct"/>
            <w:tcBorders>
              <w:top w:val="nil"/>
              <w:left w:val="nil"/>
              <w:bottom w:val="nil"/>
              <w:right w:val="nil"/>
            </w:tcBorders>
            <w:shd w:val="clear" w:color="000000" w:fill="E5E483"/>
            <w:noWrap/>
            <w:vAlign w:val="center"/>
            <w:hideMark/>
          </w:tcPr>
          <w:p w14:paraId="4D34602B"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59</w:t>
            </w:r>
          </w:p>
        </w:tc>
        <w:tc>
          <w:tcPr>
            <w:tcW w:w="122" w:type="pct"/>
            <w:tcBorders>
              <w:top w:val="nil"/>
              <w:left w:val="nil"/>
              <w:bottom w:val="nil"/>
              <w:right w:val="nil"/>
            </w:tcBorders>
            <w:shd w:val="clear" w:color="000000" w:fill="FED980"/>
            <w:noWrap/>
            <w:vAlign w:val="center"/>
            <w:hideMark/>
          </w:tcPr>
          <w:p w14:paraId="6D5A338D"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43</w:t>
            </w:r>
          </w:p>
        </w:tc>
      </w:tr>
      <w:tr w:rsidR="00B656F6" w:rsidRPr="00634756" w14:paraId="65A995EA" w14:textId="77777777" w:rsidTr="008F0944">
        <w:trPr>
          <w:trHeight w:val="113"/>
        </w:trPr>
        <w:tc>
          <w:tcPr>
            <w:tcW w:w="131" w:type="pct"/>
            <w:vMerge/>
            <w:tcBorders>
              <w:left w:val="nil"/>
              <w:right w:val="nil"/>
            </w:tcBorders>
            <w:shd w:val="clear" w:color="auto" w:fill="CC99FF"/>
          </w:tcPr>
          <w:p w14:paraId="047576DE" w14:textId="77777777" w:rsidR="00B656F6" w:rsidRPr="00EB4864" w:rsidRDefault="00B656F6" w:rsidP="008F0944">
            <w:pPr>
              <w:snapToGrid w:val="0"/>
              <w:jc w:val="right"/>
              <w:rPr>
                <w:rFonts w:ascii="等线" w:eastAsia="等线" w:hAnsi="等线" w:cs="宋体"/>
                <w:b/>
                <w:color w:val="000000"/>
                <w:sz w:val="15"/>
                <w:szCs w:val="15"/>
              </w:rPr>
            </w:pPr>
          </w:p>
        </w:tc>
        <w:tc>
          <w:tcPr>
            <w:tcW w:w="469" w:type="pct"/>
            <w:tcBorders>
              <w:top w:val="nil"/>
              <w:left w:val="nil"/>
              <w:bottom w:val="nil"/>
              <w:right w:val="nil"/>
            </w:tcBorders>
            <w:shd w:val="clear" w:color="auto" w:fill="CC99FF"/>
            <w:noWrap/>
            <w:vAlign w:val="center"/>
            <w:hideMark/>
          </w:tcPr>
          <w:p w14:paraId="295DDA8C" w14:textId="77777777" w:rsidR="00B656F6" w:rsidRPr="00EB4864" w:rsidRDefault="00B656F6" w:rsidP="008F0944">
            <w:pPr>
              <w:snapToGrid w:val="0"/>
              <w:jc w:val="right"/>
              <w:rPr>
                <w:rFonts w:ascii="等线" w:eastAsia="等线" w:hAnsi="等线" w:cs="宋体"/>
                <w:b/>
                <w:color w:val="000000"/>
                <w:sz w:val="15"/>
                <w:szCs w:val="15"/>
              </w:rPr>
            </w:pPr>
            <w:r w:rsidRPr="00EB4864">
              <w:rPr>
                <w:rFonts w:ascii="等线" w:eastAsia="等线" w:hAnsi="等线" w:cs="宋体"/>
                <w:b/>
                <w:color w:val="000000"/>
                <w:sz w:val="15"/>
                <w:szCs w:val="15"/>
              </w:rPr>
              <w:t>Tibet</w:t>
            </w:r>
          </w:p>
        </w:tc>
        <w:tc>
          <w:tcPr>
            <w:tcW w:w="122" w:type="pct"/>
            <w:tcBorders>
              <w:top w:val="nil"/>
              <w:left w:val="nil"/>
              <w:bottom w:val="nil"/>
              <w:right w:val="nil"/>
            </w:tcBorders>
            <w:shd w:val="clear" w:color="000000" w:fill="A8D27F"/>
            <w:noWrap/>
            <w:vAlign w:val="center"/>
            <w:hideMark/>
          </w:tcPr>
          <w:p w14:paraId="1095F3AB"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78</w:t>
            </w:r>
          </w:p>
        </w:tc>
        <w:tc>
          <w:tcPr>
            <w:tcW w:w="143" w:type="pct"/>
            <w:tcBorders>
              <w:top w:val="nil"/>
              <w:left w:val="nil"/>
              <w:bottom w:val="nil"/>
              <w:right w:val="nil"/>
            </w:tcBorders>
            <w:shd w:val="clear" w:color="000000" w:fill="63BE7B"/>
            <w:noWrap/>
            <w:vAlign w:val="center"/>
            <w:hideMark/>
          </w:tcPr>
          <w:p w14:paraId="63B1B38C"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22" w:type="pct"/>
            <w:tcBorders>
              <w:top w:val="nil"/>
              <w:left w:val="nil"/>
              <w:bottom w:val="nil"/>
              <w:right w:val="nil"/>
            </w:tcBorders>
            <w:shd w:val="clear" w:color="000000" w:fill="67BF7C"/>
            <w:noWrap/>
            <w:vAlign w:val="center"/>
            <w:hideMark/>
          </w:tcPr>
          <w:p w14:paraId="3341E631"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99</w:t>
            </w:r>
          </w:p>
        </w:tc>
        <w:tc>
          <w:tcPr>
            <w:tcW w:w="122" w:type="pct"/>
            <w:tcBorders>
              <w:top w:val="nil"/>
              <w:left w:val="nil"/>
              <w:bottom w:val="nil"/>
              <w:right w:val="nil"/>
            </w:tcBorders>
            <w:shd w:val="clear" w:color="000000" w:fill="89C97E"/>
            <w:noWrap/>
            <w:vAlign w:val="center"/>
            <w:hideMark/>
          </w:tcPr>
          <w:p w14:paraId="0228A199"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88</w:t>
            </w:r>
          </w:p>
        </w:tc>
        <w:tc>
          <w:tcPr>
            <w:tcW w:w="143" w:type="pct"/>
            <w:tcBorders>
              <w:top w:val="nil"/>
              <w:left w:val="nil"/>
              <w:bottom w:val="nil"/>
              <w:right w:val="nil"/>
            </w:tcBorders>
            <w:shd w:val="clear" w:color="000000" w:fill="F1E784"/>
            <w:noWrap/>
            <w:vAlign w:val="center"/>
            <w:hideMark/>
          </w:tcPr>
          <w:p w14:paraId="6BCC1C1B"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55</w:t>
            </w:r>
          </w:p>
        </w:tc>
        <w:tc>
          <w:tcPr>
            <w:tcW w:w="122" w:type="pct"/>
            <w:tcBorders>
              <w:top w:val="nil"/>
              <w:left w:val="nil"/>
              <w:bottom w:val="nil"/>
              <w:right w:val="nil"/>
            </w:tcBorders>
            <w:shd w:val="clear" w:color="000000" w:fill="92CC7E"/>
            <w:noWrap/>
            <w:vAlign w:val="center"/>
            <w:hideMark/>
          </w:tcPr>
          <w:p w14:paraId="105F3A7D"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85</w:t>
            </w:r>
          </w:p>
        </w:tc>
        <w:tc>
          <w:tcPr>
            <w:tcW w:w="143" w:type="pct"/>
            <w:tcBorders>
              <w:top w:val="nil"/>
              <w:left w:val="nil"/>
              <w:bottom w:val="nil"/>
              <w:right w:val="nil"/>
            </w:tcBorders>
            <w:shd w:val="clear" w:color="000000" w:fill="D3DF82"/>
            <w:noWrap/>
            <w:vAlign w:val="center"/>
            <w:hideMark/>
          </w:tcPr>
          <w:p w14:paraId="30538F93"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64</w:t>
            </w:r>
          </w:p>
        </w:tc>
        <w:tc>
          <w:tcPr>
            <w:tcW w:w="143" w:type="pct"/>
            <w:tcBorders>
              <w:top w:val="nil"/>
              <w:left w:val="nil"/>
              <w:bottom w:val="nil"/>
              <w:right w:val="nil"/>
            </w:tcBorders>
            <w:shd w:val="clear" w:color="000000" w:fill="D3DF82"/>
            <w:noWrap/>
            <w:vAlign w:val="center"/>
            <w:hideMark/>
          </w:tcPr>
          <w:p w14:paraId="10B7BCCB"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64</w:t>
            </w:r>
          </w:p>
        </w:tc>
        <w:tc>
          <w:tcPr>
            <w:tcW w:w="143" w:type="pct"/>
            <w:tcBorders>
              <w:top w:val="nil"/>
              <w:left w:val="nil"/>
              <w:bottom w:val="nil"/>
              <w:right w:val="nil"/>
            </w:tcBorders>
            <w:shd w:val="clear" w:color="000000" w:fill="FDCA7D"/>
            <w:noWrap/>
            <w:vAlign w:val="center"/>
            <w:hideMark/>
          </w:tcPr>
          <w:p w14:paraId="73D268AC"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38</w:t>
            </w:r>
          </w:p>
        </w:tc>
        <w:tc>
          <w:tcPr>
            <w:tcW w:w="122" w:type="pct"/>
            <w:tcBorders>
              <w:top w:val="nil"/>
              <w:left w:val="nil"/>
              <w:bottom w:val="nil"/>
              <w:right w:val="nil"/>
            </w:tcBorders>
            <w:shd w:val="clear" w:color="000000" w:fill="FDD880"/>
            <w:noWrap/>
            <w:vAlign w:val="center"/>
            <w:hideMark/>
          </w:tcPr>
          <w:p w14:paraId="6A067FC6"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43</w:t>
            </w:r>
          </w:p>
        </w:tc>
        <w:tc>
          <w:tcPr>
            <w:tcW w:w="122" w:type="pct"/>
            <w:tcBorders>
              <w:top w:val="nil"/>
              <w:left w:val="nil"/>
              <w:bottom w:val="nil"/>
              <w:right w:val="nil"/>
            </w:tcBorders>
            <w:shd w:val="clear" w:color="000000" w:fill="EDE683"/>
            <w:noWrap/>
            <w:vAlign w:val="center"/>
            <w:hideMark/>
          </w:tcPr>
          <w:p w14:paraId="1660C159"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56</w:t>
            </w:r>
          </w:p>
        </w:tc>
        <w:tc>
          <w:tcPr>
            <w:tcW w:w="122" w:type="pct"/>
            <w:tcBorders>
              <w:top w:val="nil"/>
              <w:left w:val="nil"/>
              <w:bottom w:val="nil"/>
              <w:right w:val="nil"/>
            </w:tcBorders>
            <w:shd w:val="clear" w:color="000000" w:fill="A5D17F"/>
            <w:noWrap/>
            <w:vAlign w:val="center"/>
            <w:hideMark/>
          </w:tcPr>
          <w:p w14:paraId="18E634D2"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79</w:t>
            </w:r>
          </w:p>
        </w:tc>
        <w:tc>
          <w:tcPr>
            <w:tcW w:w="122" w:type="pct"/>
            <w:tcBorders>
              <w:top w:val="nil"/>
              <w:left w:val="nil"/>
              <w:bottom w:val="nil"/>
              <w:right w:val="nil"/>
            </w:tcBorders>
            <w:shd w:val="clear" w:color="000000" w:fill="F8696B"/>
            <w:noWrap/>
            <w:vAlign w:val="center"/>
            <w:hideMark/>
          </w:tcPr>
          <w:p w14:paraId="52852CB0"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0</w:t>
            </w:r>
          </w:p>
        </w:tc>
        <w:tc>
          <w:tcPr>
            <w:tcW w:w="143" w:type="pct"/>
            <w:tcBorders>
              <w:top w:val="nil"/>
              <w:left w:val="nil"/>
              <w:bottom w:val="nil"/>
              <w:right w:val="nil"/>
            </w:tcBorders>
            <w:shd w:val="clear" w:color="000000" w:fill="63BE7B"/>
            <w:noWrap/>
            <w:vAlign w:val="center"/>
            <w:hideMark/>
          </w:tcPr>
          <w:p w14:paraId="5A1031F4"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22" w:type="pct"/>
            <w:tcBorders>
              <w:top w:val="nil"/>
              <w:left w:val="nil"/>
              <w:bottom w:val="nil"/>
              <w:right w:val="nil"/>
            </w:tcBorders>
            <w:shd w:val="clear" w:color="000000" w:fill="FA9473"/>
            <w:noWrap/>
            <w:vAlign w:val="center"/>
            <w:hideMark/>
          </w:tcPr>
          <w:p w14:paraId="3A594B90"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17</w:t>
            </w:r>
          </w:p>
        </w:tc>
        <w:tc>
          <w:tcPr>
            <w:tcW w:w="122" w:type="pct"/>
            <w:tcBorders>
              <w:top w:val="nil"/>
              <w:left w:val="nil"/>
              <w:bottom w:val="nil"/>
              <w:right w:val="nil"/>
            </w:tcBorders>
            <w:shd w:val="clear" w:color="000000" w:fill="9CCF7F"/>
            <w:noWrap/>
            <w:vAlign w:val="center"/>
            <w:hideMark/>
          </w:tcPr>
          <w:p w14:paraId="0EB498B3"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82</w:t>
            </w:r>
          </w:p>
        </w:tc>
        <w:tc>
          <w:tcPr>
            <w:tcW w:w="123" w:type="pct"/>
            <w:tcBorders>
              <w:top w:val="nil"/>
              <w:left w:val="nil"/>
              <w:bottom w:val="nil"/>
              <w:right w:val="nil"/>
            </w:tcBorders>
            <w:shd w:val="clear" w:color="000000" w:fill="FBAB77"/>
            <w:noWrap/>
            <w:vAlign w:val="center"/>
            <w:hideMark/>
          </w:tcPr>
          <w:p w14:paraId="4152C625"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25</w:t>
            </w:r>
          </w:p>
        </w:tc>
        <w:tc>
          <w:tcPr>
            <w:tcW w:w="122" w:type="pct"/>
            <w:tcBorders>
              <w:top w:val="nil"/>
              <w:left w:val="nil"/>
              <w:bottom w:val="nil"/>
              <w:right w:val="nil"/>
            </w:tcBorders>
            <w:shd w:val="clear" w:color="000000" w:fill="ECE683"/>
            <w:noWrap/>
            <w:vAlign w:val="center"/>
            <w:hideMark/>
          </w:tcPr>
          <w:p w14:paraId="1F885F59"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56</w:t>
            </w:r>
          </w:p>
        </w:tc>
        <w:tc>
          <w:tcPr>
            <w:tcW w:w="122" w:type="pct"/>
            <w:tcBorders>
              <w:top w:val="nil"/>
              <w:left w:val="nil"/>
              <w:bottom w:val="nil"/>
              <w:right w:val="nil"/>
            </w:tcBorders>
            <w:shd w:val="clear" w:color="000000" w:fill="80C77D"/>
            <w:noWrap/>
            <w:vAlign w:val="center"/>
            <w:hideMark/>
          </w:tcPr>
          <w:p w14:paraId="4DBE8E02"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91</w:t>
            </w:r>
          </w:p>
        </w:tc>
        <w:tc>
          <w:tcPr>
            <w:tcW w:w="122" w:type="pct"/>
            <w:tcBorders>
              <w:top w:val="nil"/>
              <w:left w:val="nil"/>
              <w:bottom w:val="nil"/>
              <w:right w:val="nil"/>
            </w:tcBorders>
            <w:shd w:val="clear" w:color="000000" w:fill="BCD881"/>
            <w:noWrap/>
            <w:vAlign w:val="center"/>
            <w:hideMark/>
          </w:tcPr>
          <w:p w14:paraId="225AB0CE"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71</w:t>
            </w:r>
          </w:p>
        </w:tc>
        <w:tc>
          <w:tcPr>
            <w:tcW w:w="122" w:type="pct"/>
            <w:tcBorders>
              <w:top w:val="nil"/>
              <w:left w:val="nil"/>
              <w:bottom w:val="nil"/>
              <w:right w:val="nil"/>
            </w:tcBorders>
            <w:shd w:val="clear" w:color="000000" w:fill="91CC7E"/>
            <w:noWrap/>
            <w:vAlign w:val="center"/>
            <w:hideMark/>
          </w:tcPr>
          <w:p w14:paraId="0C3D8CA8"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86</w:t>
            </w:r>
          </w:p>
        </w:tc>
        <w:tc>
          <w:tcPr>
            <w:tcW w:w="122" w:type="pct"/>
            <w:tcBorders>
              <w:top w:val="nil"/>
              <w:left w:val="nil"/>
              <w:bottom w:val="nil"/>
              <w:right w:val="nil"/>
            </w:tcBorders>
            <w:shd w:val="clear" w:color="000000" w:fill="C0D981"/>
            <w:noWrap/>
            <w:vAlign w:val="center"/>
            <w:hideMark/>
          </w:tcPr>
          <w:p w14:paraId="3049B6E3"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70</w:t>
            </w:r>
          </w:p>
        </w:tc>
        <w:tc>
          <w:tcPr>
            <w:tcW w:w="122" w:type="pct"/>
            <w:tcBorders>
              <w:top w:val="nil"/>
              <w:left w:val="nil"/>
              <w:bottom w:val="nil"/>
              <w:right w:val="nil"/>
            </w:tcBorders>
            <w:shd w:val="clear" w:color="000000" w:fill="A9D380"/>
            <w:noWrap/>
            <w:vAlign w:val="center"/>
            <w:hideMark/>
          </w:tcPr>
          <w:p w14:paraId="16FA029A"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78</w:t>
            </w:r>
          </w:p>
        </w:tc>
        <w:tc>
          <w:tcPr>
            <w:tcW w:w="122" w:type="pct"/>
            <w:tcBorders>
              <w:top w:val="nil"/>
              <w:left w:val="nil"/>
              <w:bottom w:val="nil"/>
              <w:right w:val="nil"/>
            </w:tcBorders>
            <w:shd w:val="clear" w:color="000000" w:fill="FDC97D"/>
            <w:noWrap/>
            <w:vAlign w:val="center"/>
            <w:hideMark/>
          </w:tcPr>
          <w:p w14:paraId="10428326"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37</w:t>
            </w:r>
          </w:p>
        </w:tc>
        <w:tc>
          <w:tcPr>
            <w:tcW w:w="122" w:type="pct"/>
            <w:tcBorders>
              <w:top w:val="nil"/>
              <w:left w:val="nil"/>
              <w:bottom w:val="nil"/>
              <w:right w:val="nil"/>
            </w:tcBorders>
            <w:shd w:val="clear" w:color="000000" w:fill="FEE883"/>
            <w:noWrap/>
            <w:vAlign w:val="center"/>
            <w:hideMark/>
          </w:tcPr>
          <w:p w14:paraId="62ADFAEE"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49</w:t>
            </w:r>
          </w:p>
        </w:tc>
        <w:tc>
          <w:tcPr>
            <w:tcW w:w="122" w:type="pct"/>
            <w:tcBorders>
              <w:top w:val="nil"/>
              <w:left w:val="nil"/>
              <w:bottom w:val="nil"/>
              <w:right w:val="nil"/>
            </w:tcBorders>
            <w:shd w:val="clear" w:color="000000" w:fill="FDD780"/>
            <w:noWrap/>
            <w:vAlign w:val="center"/>
            <w:hideMark/>
          </w:tcPr>
          <w:p w14:paraId="47806A28"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42</w:t>
            </w:r>
          </w:p>
        </w:tc>
        <w:tc>
          <w:tcPr>
            <w:tcW w:w="122" w:type="pct"/>
            <w:tcBorders>
              <w:top w:val="nil"/>
              <w:left w:val="nil"/>
              <w:bottom w:val="nil"/>
              <w:right w:val="nil"/>
            </w:tcBorders>
            <w:shd w:val="clear" w:color="000000" w:fill="84C87D"/>
            <w:noWrap/>
            <w:vAlign w:val="center"/>
            <w:hideMark/>
          </w:tcPr>
          <w:p w14:paraId="24755760"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90</w:t>
            </w:r>
          </w:p>
        </w:tc>
        <w:tc>
          <w:tcPr>
            <w:tcW w:w="123" w:type="pct"/>
            <w:tcBorders>
              <w:top w:val="nil"/>
              <w:left w:val="nil"/>
              <w:bottom w:val="nil"/>
              <w:right w:val="nil"/>
            </w:tcBorders>
            <w:shd w:val="clear" w:color="000000" w:fill="E9E583"/>
            <w:noWrap/>
            <w:vAlign w:val="center"/>
            <w:hideMark/>
          </w:tcPr>
          <w:p w14:paraId="44A5C55B"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57</w:t>
            </w:r>
          </w:p>
        </w:tc>
        <w:tc>
          <w:tcPr>
            <w:tcW w:w="122" w:type="pct"/>
            <w:tcBorders>
              <w:top w:val="nil"/>
              <w:left w:val="nil"/>
              <w:bottom w:val="nil"/>
              <w:right w:val="nil"/>
            </w:tcBorders>
            <w:shd w:val="clear" w:color="000000" w:fill="81C77D"/>
            <w:noWrap/>
            <w:vAlign w:val="center"/>
            <w:hideMark/>
          </w:tcPr>
          <w:p w14:paraId="269118D7"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90</w:t>
            </w:r>
          </w:p>
        </w:tc>
        <w:tc>
          <w:tcPr>
            <w:tcW w:w="122" w:type="pct"/>
            <w:tcBorders>
              <w:top w:val="nil"/>
              <w:left w:val="nil"/>
              <w:bottom w:val="nil"/>
              <w:right w:val="nil"/>
            </w:tcBorders>
            <w:shd w:val="clear" w:color="000000" w:fill="D7E082"/>
            <w:noWrap/>
            <w:vAlign w:val="center"/>
            <w:hideMark/>
          </w:tcPr>
          <w:p w14:paraId="2772AF59"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63</w:t>
            </w:r>
          </w:p>
        </w:tc>
        <w:tc>
          <w:tcPr>
            <w:tcW w:w="122" w:type="pct"/>
            <w:tcBorders>
              <w:top w:val="nil"/>
              <w:left w:val="nil"/>
              <w:bottom w:val="nil"/>
              <w:right w:val="nil"/>
            </w:tcBorders>
            <w:shd w:val="clear" w:color="000000" w:fill="FCBC7B"/>
            <w:noWrap/>
            <w:vAlign w:val="center"/>
            <w:hideMark/>
          </w:tcPr>
          <w:p w14:paraId="75BDA87E"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32</w:t>
            </w:r>
          </w:p>
        </w:tc>
        <w:tc>
          <w:tcPr>
            <w:tcW w:w="122" w:type="pct"/>
            <w:tcBorders>
              <w:top w:val="nil"/>
              <w:left w:val="nil"/>
              <w:bottom w:val="nil"/>
              <w:right w:val="nil"/>
            </w:tcBorders>
            <w:shd w:val="clear" w:color="000000" w:fill="FCC47C"/>
            <w:noWrap/>
            <w:vAlign w:val="center"/>
            <w:hideMark/>
          </w:tcPr>
          <w:p w14:paraId="07F5EEB3"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35</w:t>
            </w:r>
          </w:p>
        </w:tc>
        <w:tc>
          <w:tcPr>
            <w:tcW w:w="122" w:type="pct"/>
            <w:tcBorders>
              <w:top w:val="nil"/>
              <w:left w:val="nil"/>
              <w:bottom w:val="nil"/>
              <w:right w:val="nil"/>
            </w:tcBorders>
            <w:shd w:val="clear" w:color="000000" w:fill="FDCF7E"/>
            <w:noWrap/>
            <w:vAlign w:val="center"/>
            <w:hideMark/>
          </w:tcPr>
          <w:p w14:paraId="00D30580"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40</w:t>
            </w:r>
          </w:p>
        </w:tc>
        <w:tc>
          <w:tcPr>
            <w:tcW w:w="123" w:type="pct"/>
            <w:tcBorders>
              <w:top w:val="nil"/>
              <w:left w:val="nil"/>
              <w:bottom w:val="nil"/>
              <w:right w:val="nil"/>
            </w:tcBorders>
            <w:shd w:val="clear" w:color="000000" w:fill="FCEB84"/>
            <w:noWrap/>
            <w:vAlign w:val="center"/>
            <w:hideMark/>
          </w:tcPr>
          <w:p w14:paraId="3A86A304"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51</w:t>
            </w:r>
          </w:p>
        </w:tc>
        <w:tc>
          <w:tcPr>
            <w:tcW w:w="122" w:type="pct"/>
            <w:tcBorders>
              <w:top w:val="nil"/>
              <w:left w:val="nil"/>
              <w:bottom w:val="nil"/>
              <w:right w:val="nil"/>
            </w:tcBorders>
            <w:shd w:val="clear" w:color="000000" w:fill="FCB679"/>
            <w:noWrap/>
            <w:vAlign w:val="center"/>
            <w:hideMark/>
          </w:tcPr>
          <w:p w14:paraId="5A28AE0A"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30</w:t>
            </w:r>
          </w:p>
        </w:tc>
      </w:tr>
      <w:tr w:rsidR="00B656F6" w:rsidRPr="00634756" w14:paraId="014F2492" w14:textId="77777777" w:rsidTr="008F0944">
        <w:trPr>
          <w:trHeight w:val="113"/>
        </w:trPr>
        <w:tc>
          <w:tcPr>
            <w:tcW w:w="131" w:type="pct"/>
            <w:vMerge/>
            <w:tcBorders>
              <w:left w:val="nil"/>
              <w:right w:val="nil"/>
            </w:tcBorders>
            <w:shd w:val="clear" w:color="auto" w:fill="CC99FF"/>
          </w:tcPr>
          <w:p w14:paraId="35E91B82" w14:textId="77777777" w:rsidR="00B656F6" w:rsidRPr="00EB4864" w:rsidRDefault="00B656F6" w:rsidP="008F0944">
            <w:pPr>
              <w:snapToGrid w:val="0"/>
              <w:jc w:val="right"/>
              <w:rPr>
                <w:rFonts w:ascii="等线" w:eastAsia="等线" w:hAnsi="等线" w:cs="宋体"/>
                <w:b/>
                <w:color w:val="000000"/>
                <w:sz w:val="15"/>
                <w:szCs w:val="15"/>
              </w:rPr>
            </w:pPr>
          </w:p>
        </w:tc>
        <w:tc>
          <w:tcPr>
            <w:tcW w:w="469" w:type="pct"/>
            <w:tcBorders>
              <w:top w:val="nil"/>
              <w:left w:val="nil"/>
              <w:bottom w:val="nil"/>
              <w:right w:val="nil"/>
            </w:tcBorders>
            <w:shd w:val="clear" w:color="auto" w:fill="CC99FF"/>
            <w:noWrap/>
            <w:vAlign w:val="center"/>
            <w:hideMark/>
          </w:tcPr>
          <w:p w14:paraId="4AD11A79" w14:textId="77777777" w:rsidR="00B656F6" w:rsidRPr="00EB4864" w:rsidRDefault="00B656F6" w:rsidP="008F0944">
            <w:pPr>
              <w:snapToGrid w:val="0"/>
              <w:jc w:val="right"/>
              <w:rPr>
                <w:rFonts w:ascii="等线" w:eastAsia="等线" w:hAnsi="等线" w:cs="宋体"/>
                <w:b/>
                <w:color w:val="000000"/>
                <w:sz w:val="15"/>
                <w:szCs w:val="15"/>
              </w:rPr>
            </w:pPr>
            <w:r w:rsidRPr="00EB4864">
              <w:rPr>
                <w:rFonts w:ascii="等线" w:eastAsia="等线" w:hAnsi="等线" w:cs="宋体"/>
                <w:b/>
                <w:color w:val="000000"/>
                <w:sz w:val="15"/>
                <w:szCs w:val="15"/>
              </w:rPr>
              <w:t>Shaanxi</w:t>
            </w:r>
          </w:p>
        </w:tc>
        <w:tc>
          <w:tcPr>
            <w:tcW w:w="122" w:type="pct"/>
            <w:tcBorders>
              <w:top w:val="nil"/>
              <w:left w:val="nil"/>
              <w:bottom w:val="nil"/>
              <w:right w:val="nil"/>
            </w:tcBorders>
            <w:shd w:val="clear" w:color="000000" w:fill="8FCB7E"/>
            <w:noWrap/>
            <w:vAlign w:val="center"/>
            <w:hideMark/>
          </w:tcPr>
          <w:p w14:paraId="52F18267"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86</w:t>
            </w:r>
          </w:p>
        </w:tc>
        <w:tc>
          <w:tcPr>
            <w:tcW w:w="143" w:type="pct"/>
            <w:tcBorders>
              <w:top w:val="nil"/>
              <w:left w:val="nil"/>
              <w:bottom w:val="nil"/>
              <w:right w:val="nil"/>
            </w:tcBorders>
            <w:shd w:val="clear" w:color="000000" w:fill="63BE7B"/>
            <w:noWrap/>
            <w:vAlign w:val="center"/>
            <w:hideMark/>
          </w:tcPr>
          <w:p w14:paraId="16247938"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22" w:type="pct"/>
            <w:tcBorders>
              <w:top w:val="nil"/>
              <w:left w:val="nil"/>
              <w:bottom w:val="nil"/>
              <w:right w:val="nil"/>
            </w:tcBorders>
            <w:shd w:val="clear" w:color="000000" w:fill="6DC17C"/>
            <w:noWrap/>
            <w:vAlign w:val="center"/>
            <w:hideMark/>
          </w:tcPr>
          <w:p w14:paraId="104B1DFB"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97</w:t>
            </w:r>
          </w:p>
        </w:tc>
        <w:tc>
          <w:tcPr>
            <w:tcW w:w="122" w:type="pct"/>
            <w:tcBorders>
              <w:top w:val="nil"/>
              <w:left w:val="nil"/>
              <w:bottom w:val="nil"/>
              <w:right w:val="nil"/>
            </w:tcBorders>
            <w:shd w:val="clear" w:color="000000" w:fill="7DC67D"/>
            <w:noWrap/>
            <w:vAlign w:val="center"/>
            <w:hideMark/>
          </w:tcPr>
          <w:p w14:paraId="2CC9E859"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92</w:t>
            </w:r>
          </w:p>
        </w:tc>
        <w:tc>
          <w:tcPr>
            <w:tcW w:w="143" w:type="pct"/>
            <w:tcBorders>
              <w:top w:val="nil"/>
              <w:left w:val="nil"/>
              <w:bottom w:val="nil"/>
              <w:right w:val="nil"/>
            </w:tcBorders>
            <w:shd w:val="clear" w:color="000000" w:fill="63BE7B"/>
            <w:noWrap/>
            <w:vAlign w:val="center"/>
            <w:hideMark/>
          </w:tcPr>
          <w:p w14:paraId="58E360B8"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22" w:type="pct"/>
            <w:tcBorders>
              <w:top w:val="nil"/>
              <w:left w:val="nil"/>
              <w:bottom w:val="nil"/>
              <w:right w:val="nil"/>
            </w:tcBorders>
            <w:shd w:val="clear" w:color="000000" w:fill="77C47D"/>
            <w:noWrap/>
            <w:vAlign w:val="center"/>
            <w:hideMark/>
          </w:tcPr>
          <w:p w14:paraId="26024A23"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94</w:t>
            </w:r>
          </w:p>
        </w:tc>
        <w:tc>
          <w:tcPr>
            <w:tcW w:w="143" w:type="pct"/>
            <w:tcBorders>
              <w:top w:val="nil"/>
              <w:left w:val="nil"/>
              <w:bottom w:val="nil"/>
              <w:right w:val="nil"/>
            </w:tcBorders>
            <w:shd w:val="clear" w:color="000000" w:fill="63BE7B"/>
            <w:noWrap/>
            <w:vAlign w:val="center"/>
            <w:hideMark/>
          </w:tcPr>
          <w:p w14:paraId="40E2EBA5"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43" w:type="pct"/>
            <w:tcBorders>
              <w:top w:val="nil"/>
              <w:left w:val="nil"/>
              <w:bottom w:val="nil"/>
              <w:right w:val="nil"/>
            </w:tcBorders>
            <w:shd w:val="clear" w:color="000000" w:fill="63BE7B"/>
            <w:noWrap/>
            <w:vAlign w:val="center"/>
            <w:hideMark/>
          </w:tcPr>
          <w:p w14:paraId="5C76E4FE"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43" w:type="pct"/>
            <w:tcBorders>
              <w:top w:val="nil"/>
              <w:left w:val="nil"/>
              <w:bottom w:val="nil"/>
              <w:right w:val="nil"/>
            </w:tcBorders>
            <w:shd w:val="clear" w:color="000000" w:fill="70C27C"/>
            <w:noWrap/>
            <w:vAlign w:val="center"/>
            <w:hideMark/>
          </w:tcPr>
          <w:p w14:paraId="583BCC1F"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96</w:t>
            </w:r>
          </w:p>
        </w:tc>
        <w:tc>
          <w:tcPr>
            <w:tcW w:w="122" w:type="pct"/>
            <w:tcBorders>
              <w:top w:val="nil"/>
              <w:left w:val="nil"/>
              <w:bottom w:val="nil"/>
              <w:right w:val="nil"/>
            </w:tcBorders>
            <w:shd w:val="clear" w:color="000000" w:fill="D9E082"/>
            <w:noWrap/>
            <w:vAlign w:val="center"/>
            <w:hideMark/>
          </w:tcPr>
          <w:p w14:paraId="0912B807"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62</w:t>
            </w:r>
          </w:p>
        </w:tc>
        <w:tc>
          <w:tcPr>
            <w:tcW w:w="122" w:type="pct"/>
            <w:tcBorders>
              <w:top w:val="nil"/>
              <w:left w:val="nil"/>
              <w:bottom w:val="nil"/>
              <w:right w:val="nil"/>
            </w:tcBorders>
            <w:shd w:val="clear" w:color="000000" w:fill="80C77D"/>
            <w:noWrap/>
            <w:vAlign w:val="center"/>
            <w:hideMark/>
          </w:tcPr>
          <w:p w14:paraId="2E2A9433"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91</w:t>
            </w:r>
          </w:p>
        </w:tc>
        <w:tc>
          <w:tcPr>
            <w:tcW w:w="122" w:type="pct"/>
            <w:tcBorders>
              <w:top w:val="nil"/>
              <w:left w:val="nil"/>
              <w:bottom w:val="nil"/>
              <w:right w:val="nil"/>
            </w:tcBorders>
            <w:shd w:val="clear" w:color="000000" w:fill="99CE7F"/>
            <w:noWrap/>
            <w:vAlign w:val="center"/>
            <w:hideMark/>
          </w:tcPr>
          <w:p w14:paraId="32843016"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83</w:t>
            </w:r>
          </w:p>
        </w:tc>
        <w:tc>
          <w:tcPr>
            <w:tcW w:w="122" w:type="pct"/>
            <w:tcBorders>
              <w:top w:val="nil"/>
              <w:left w:val="nil"/>
              <w:bottom w:val="nil"/>
              <w:right w:val="nil"/>
            </w:tcBorders>
            <w:shd w:val="clear" w:color="000000" w:fill="C2DA81"/>
            <w:noWrap/>
            <w:vAlign w:val="center"/>
            <w:hideMark/>
          </w:tcPr>
          <w:p w14:paraId="14358161"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70</w:t>
            </w:r>
          </w:p>
        </w:tc>
        <w:tc>
          <w:tcPr>
            <w:tcW w:w="143" w:type="pct"/>
            <w:tcBorders>
              <w:top w:val="nil"/>
              <w:left w:val="nil"/>
              <w:bottom w:val="nil"/>
              <w:right w:val="nil"/>
            </w:tcBorders>
            <w:shd w:val="clear" w:color="000000" w:fill="63BE7B"/>
            <w:noWrap/>
            <w:vAlign w:val="center"/>
            <w:hideMark/>
          </w:tcPr>
          <w:p w14:paraId="63B1215B"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22" w:type="pct"/>
            <w:tcBorders>
              <w:top w:val="nil"/>
              <w:left w:val="nil"/>
              <w:bottom w:val="nil"/>
              <w:right w:val="nil"/>
            </w:tcBorders>
            <w:shd w:val="clear" w:color="000000" w:fill="FED980"/>
            <w:noWrap/>
            <w:vAlign w:val="center"/>
            <w:hideMark/>
          </w:tcPr>
          <w:p w14:paraId="1D5985F7"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43</w:t>
            </w:r>
          </w:p>
        </w:tc>
        <w:tc>
          <w:tcPr>
            <w:tcW w:w="122" w:type="pct"/>
            <w:tcBorders>
              <w:top w:val="nil"/>
              <w:left w:val="nil"/>
              <w:bottom w:val="nil"/>
              <w:right w:val="nil"/>
            </w:tcBorders>
            <w:shd w:val="clear" w:color="000000" w:fill="8FCB7E"/>
            <w:noWrap/>
            <w:vAlign w:val="center"/>
            <w:hideMark/>
          </w:tcPr>
          <w:p w14:paraId="0E750969"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86</w:t>
            </w:r>
          </w:p>
        </w:tc>
        <w:tc>
          <w:tcPr>
            <w:tcW w:w="123" w:type="pct"/>
            <w:tcBorders>
              <w:top w:val="nil"/>
              <w:left w:val="nil"/>
              <w:bottom w:val="nil"/>
              <w:right w:val="nil"/>
            </w:tcBorders>
            <w:shd w:val="clear" w:color="000000" w:fill="B6D680"/>
            <w:noWrap/>
            <w:vAlign w:val="center"/>
            <w:hideMark/>
          </w:tcPr>
          <w:p w14:paraId="3AF6A8DB"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74</w:t>
            </w:r>
          </w:p>
        </w:tc>
        <w:tc>
          <w:tcPr>
            <w:tcW w:w="122" w:type="pct"/>
            <w:tcBorders>
              <w:top w:val="nil"/>
              <w:left w:val="nil"/>
              <w:bottom w:val="nil"/>
              <w:right w:val="nil"/>
            </w:tcBorders>
            <w:shd w:val="clear" w:color="000000" w:fill="C0D981"/>
            <w:noWrap/>
            <w:vAlign w:val="center"/>
            <w:hideMark/>
          </w:tcPr>
          <w:p w14:paraId="23B8BDBD"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70</w:t>
            </w:r>
          </w:p>
        </w:tc>
        <w:tc>
          <w:tcPr>
            <w:tcW w:w="122" w:type="pct"/>
            <w:tcBorders>
              <w:top w:val="nil"/>
              <w:left w:val="nil"/>
              <w:bottom w:val="nil"/>
              <w:right w:val="nil"/>
            </w:tcBorders>
            <w:shd w:val="clear" w:color="000000" w:fill="87C97E"/>
            <w:noWrap/>
            <w:vAlign w:val="center"/>
            <w:hideMark/>
          </w:tcPr>
          <w:p w14:paraId="0153CFE2"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89</w:t>
            </w:r>
          </w:p>
        </w:tc>
        <w:tc>
          <w:tcPr>
            <w:tcW w:w="122" w:type="pct"/>
            <w:tcBorders>
              <w:top w:val="nil"/>
              <w:left w:val="nil"/>
              <w:bottom w:val="nil"/>
              <w:right w:val="nil"/>
            </w:tcBorders>
            <w:shd w:val="clear" w:color="000000" w:fill="A5D17F"/>
            <w:noWrap/>
            <w:vAlign w:val="center"/>
            <w:hideMark/>
          </w:tcPr>
          <w:p w14:paraId="075ACAE0"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79</w:t>
            </w:r>
          </w:p>
        </w:tc>
        <w:tc>
          <w:tcPr>
            <w:tcW w:w="122" w:type="pct"/>
            <w:tcBorders>
              <w:top w:val="nil"/>
              <w:left w:val="nil"/>
              <w:bottom w:val="nil"/>
              <w:right w:val="nil"/>
            </w:tcBorders>
            <w:shd w:val="clear" w:color="000000" w:fill="BCD881"/>
            <w:noWrap/>
            <w:vAlign w:val="center"/>
            <w:hideMark/>
          </w:tcPr>
          <w:p w14:paraId="4125A893"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72</w:t>
            </w:r>
          </w:p>
        </w:tc>
        <w:tc>
          <w:tcPr>
            <w:tcW w:w="122" w:type="pct"/>
            <w:tcBorders>
              <w:top w:val="nil"/>
              <w:left w:val="nil"/>
              <w:bottom w:val="nil"/>
              <w:right w:val="nil"/>
            </w:tcBorders>
            <w:shd w:val="clear" w:color="000000" w:fill="FEE883"/>
            <w:noWrap/>
            <w:vAlign w:val="center"/>
            <w:hideMark/>
          </w:tcPr>
          <w:p w14:paraId="5CC0F365"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49</w:t>
            </w:r>
          </w:p>
        </w:tc>
        <w:tc>
          <w:tcPr>
            <w:tcW w:w="122" w:type="pct"/>
            <w:tcBorders>
              <w:top w:val="nil"/>
              <w:left w:val="nil"/>
              <w:bottom w:val="nil"/>
              <w:right w:val="nil"/>
            </w:tcBorders>
            <w:shd w:val="clear" w:color="000000" w:fill="E3E383"/>
            <w:noWrap/>
            <w:vAlign w:val="center"/>
            <w:hideMark/>
          </w:tcPr>
          <w:p w14:paraId="71463FB5"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59</w:t>
            </w:r>
          </w:p>
        </w:tc>
        <w:tc>
          <w:tcPr>
            <w:tcW w:w="122" w:type="pct"/>
            <w:tcBorders>
              <w:top w:val="nil"/>
              <w:left w:val="nil"/>
              <w:bottom w:val="nil"/>
              <w:right w:val="nil"/>
            </w:tcBorders>
            <w:shd w:val="clear" w:color="000000" w:fill="EEE683"/>
            <w:noWrap/>
            <w:vAlign w:val="center"/>
            <w:hideMark/>
          </w:tcPr>
          <w:p w14:paraId="2F06F0AD"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56</w:t>
            </w:r>
          </w:p>
        </w:tc>
        <w:tc>
          <w:tcPr>
            <w:tcW w:w="122" w:type="pct"/>
            <w:tcBorders>
              <w:top w:val="nil"/>
              <w:left w:val="nil"/>
              <w:bottom w:val="nil"/>
              <w:right w:val="nil"/>
            </w:tcBorders>
            <w:shd w:val="clear" w:color="000000" w:fill="F1E784"/>
            <w:noWrap/>
            <w:vAlign w:val="center"/>
            <w:hideMark/>
          </w:tcPr>
          <w:p w14:paraId="384BE24F"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55</w:t>
            </w:r>
          </w:p>
        </w:tc>
        <w:tc>
          <w:tcPr>
            <w:tcW w:w="122" w:type="pct"/>
            <w:tcBorders>
              <w:top w:val="nil"/>
              <w:left w:val="nil"/>
              <w:bottom w:val="nil"/>
              <w:right w:val="nil"/>
            </w:tcBorders>
            <w:shd w:val="clear" w:color="000000" w:fill="74C37C"/>
            <w:noWrap/>
            <w:vAlign w:val="center"/>
            <w:hideMark/>
          </w:tcPr>
          <w:p w14:paraId="5235B2C9"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95</w:t>
            </w:r>
          </w:p>
        </w:tc>
        <w:tc>
          <w:tcPr>
            <w:tcW w:w="122" w:type="pct"/>
            <w:tcBorders>
              <w:top w:val="nil"/>
              <w:left w:val="nil"/>
              <w:bottom w:val="nil"/>
              <w:right w:val="nil"/>
            </w:tcBorders>
            <w:shd w:val="clear" w:color="000000" w:fill="BED981"/>
            <w:noWrap/>
            <w:vAlign w:val="center"/>
            <w:hideMark/>
          </w:tcPr>
          <w:p w14:paraId="7118AACC"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71</w:t>
            </w:r>
          </w:p>
        </w:tc>
        <w:tc>
          <w:tcPr>
            <w:tcW w:w="123" w:type="pct"/>
            <w:tcBorders>
              <w:top w:val="nil"/>
              <w:left w:val="nil"/>
              <w:bottom w:val="nil"/>
              <w:right w:val="nil"/>
            </w:tcBorders>
            <w:shd w:val="clear" w:color="000000" w:fill="BCD881"/>
            <w:noWrap/>
            <w:vAlign w:val="center"/>
            <w:hideMark/>
          </w:tcPr>
          <w:p w14:paraId="5A5D55E2"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72</w:t>
            </w:r>
          </w:p>
        </w:tc>
        <w:tc>
          <w:tcPr>
            <w:tcW w:w="122" w:type="pct"/>
            <w:tcBorders>
              <w:top w:val="nil"/>
              <w:left w:val="nil"/>
              <w:bottom w:val="nil"/>
              <w:right w:val="nil"/>
            </w:tcBorders>
            <w:shd w:val="clear" w:color="000000" w:fill="FCBE7B"/>
            <w:noWrap/>
            <w:vAlign w:val="center"/>
            <w:hideMark/>
          </w:tcPr>
          <w:p w14:paraId="49B4B005"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33</w:t>
            </w:r>
          </w:p>
        </w:tc>
        <w:tc>
          <w:tcPr>
            <w:tcW w:w="122" w:type="pct"/>
            <w:tcBorders>
              <w:top w:val="nil"/>
              <w:left w:val="nil"/>
              <w:bottom w:val="nil"/>
              <w:right w:val="nil"/>
            </w:tcBorders>
            <w:shd w:val="clear" w:color="000000" w:fill="C6DB81"/>
            <w:noWrap/>
            <w:vAlign w:val="center"/>
            <w:hideMark/>
          </w:tcPr>
          <w:p w14:paraId="33D17F64"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68</w:t>
            </w:r>
          </w:p>
        </w:tc>
        <w:tc>
          <w:tcPr>
            <w:tcW w:w="122" w:type="pct"/>
            <w:tcBorders>
              <w:top w:val="nil"/>
              <w:left w:val="nil"/>
              <w:bottom w:val="nil"/>
              <w:right w:val="nil"/>
            </w:tcBorders>
            <w:shd w:val="clear" w:color="000000" w:fill="EEE683"/>
            <w:noWrap/>
            <w:vAlign w:val="center"/>
            <w:hideMark/>
          </w:tcPr>
          <w:p w14:paraId="0710F56D"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56</w:t>
            </w:r>
          </w:p>
        </w:tc>
        <w:tc>
          <w:tcPr>
            <w:tcW w:w="122" w:type="pct"/>
            <w:tcBorders>
              <w:top w:val="nil"/>
              <w:left w:val="nil"/>
              <w:bottom w:val="nil"/>
              <w:right w:val="nil"/>
            </w:tcBorders>
            <w:shd w:val="clear" w:color="000000" w:fill="C2DA81"/>
            <w:noWrap/>
            <w:vAlign w:val="center"/>
            <w:hideMark/>
          </w:tcPr>
          <w:p w14:paraId="30A3FEC3"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70</w:t>
            </w:r>
          </w:p>
        </w:tc>
        <w:tc>
          <w:tcPr>
            <w:tcW w:w="122" w:type="pct"/>
            <w:tcBorders>
              <w:top w:val="nil"/>
              <w:left w:val="nil"/>
              <w:bottom w:val="nil"/>
              <w:right w:val="nil"/>
            </w:tcBorders>
            <w:shd w:val="clear" w:color="000000" w:fill="CEDD82"/>
            <w:noWrap/>
            <w:vAlign w:val="center"/>
            <w:hideMark/>
          </w:tcPr>
          <w:p w14:paraId="1E71401B"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66</w:t>
            </w:r>
          </w:p>
        </w:tc>
        <w:tc>
          <w:tcPr>
            <w:tcW w:w="123" w:type="pct"/>
            <w:tcBorders>
              <w:top w:val="nil"/>
              <w:left w:val="nil"/>
              <w:bottom w:val="nil"/>
              <w:right w:val="nil"/>
            </w:tcBorders>
            <w:shd w:val="clear" w:color="000000" w:fill="F3E884"/>
            <w:noWrap/>
            <w:vAlign w:val="center"/>
            <w:hideMark/>
          </w:tcPr>
          <w:p w14:paraId="79B5074C"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54</w:t>
            </w:r>
          </w:p>
        </w:tc>
        <w:tc>
          <w:tcPr>
            <w:tcW w:w="122" w:type="pct"/>
            <w:tcBorders>
              <w:top w:val="nil"/>
              <w:left w:val="nil"/>
              <w:bottom w:val="nil"/>
              <w:right w:val="nil"/>
            </w:tcBorders>
            <w:shd w:val="clear" w:color="000000" w:fill="F5E984"/>
            <w:noWrap/>
            <w:vAlign w:val="center"/>
            <w:hideMark/>
          </w:tcPr>
          <w:p w14:paraId="30E5F75B"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53</w:t>
            </w:r>
          </w:p>
        </w:tc>
      </w:tr>
      <w:tr w:rsidR="00B656F6" w:rsidRPr="00634756" w14:paraId="0D3B9BA0" w14:textId="77777777" w:rsidTr="008F0944">
        <w:trPr>
          <w:trHeight w:val="113"/>
        </w:trPr>
        <w:tc>
          <w:tcPr>
            <w:tcW w:w="131" w:type="pct"/>
            <w:vMerge/>
            <w:tcBorders>
              <w:left w:val="nil"/>
              <w:right w:val="nil"/>
            </w:tcBorders>
            <w:shd w:val="clear" w:color="auto" w:fill="CC99FF"/>
          </w:tcPr>
          <w:p w14:paraId="543AA597" w14:textId="77777777" w:rsidR="00B656F6" w:rsidRPr="00EB4864" w:rsidRDefault="00B656F6" w:rsidP="008F0944">
            <w:pPr>
              <w:snapToGrid w:val="0"/>
              <w:jc w:val="right"/>
              <w:rPr>
                <w:rFonts w:ascii="等线" w:eastAsia="等线" w:hAnsi="等线" w:cs="宋体"/>
                <w:b/>
                <w:color w:val="000000"/>
                <w:sz w:val="15"/>
                <w:szCs w:val="15"/>
              </w:rPr>
            </w:pPr>
          </w:p>
        </w:tc>
        <w:tc>
          <w:tcPr>
            <w:tcW w:w="469" w:type="pct"/>
            <w:tcBorders>
              <w:top w:val="nil"/>
              <w:left w:val="nil"/>
              <w:bottom w:val="nil"/>
              <w:right w:val="nil"/>
            </w:tcBorders>
            <w:shd w:val="clear" w:color="auto" w:fill="CC99FF"/>
            <w:noWrap/>
            <w:vAlign w:val="center"/>
            <w:hideMark/>
          </w:tcPr>
          <w:p w14:paraId="68EF86AB" w14:textId="77777777" w:rsidR="00B656F6" w:rsidRPr="00EB4864" w:rsidRDefault="00B656F6" w:rsidP="008F0944">
            <w:pPr>
              <w:snapToGrid w:val="0"/>
              <w:jc w:val="right"/>
              <w:rPr>
                <w:rFonts w:ascii="等线" w:eastAsia="等线" w:hAnsi="等线" w:cs="宋体"/>
                <w:b/>
                <w:color w:val="000000"/>
                <w:sz w:val="15"/>
                <w:szCs w:val="15"/>
              </w:rPr>
            </w:pPr>
            <w:r w:rsidRPr="00EB4864">
              <w:rPr>
                <w:rFonts w:ascii="等线" w:eastAsia="等线" w:hAnsi="等线" w:cs="宋体"/>
                <w:b/>
                <w:color w:val="000000"/>
                <w:sz w:val="15"/>
                <w:szCs w:val="15"/>
              </w:rPr>
              <w:t>Gansu</w:t>
            </w:r>
          </w:p>
        </w:tc>
        <w:tc>
          <w:tcPr>
            <w:tcW w:w="122" w:type="pct"/>
            <w:tcBorders>
              <w:top w:val="nil"/>
              <w:left w:val="nil"/>
              <w:bottom w:val="nil"/>
              <w:right w:val="nil"/>
            </w:tcBorders>
            <w:shd w:val="clear" w:color="000000" w:fill="9BCF7F"/>
            <w:noWrap/>
            <w:vAlign w:val="center"/>
            <w:hideMark/>
          </w:tcPr>
          <w:p w14:paraId="480E3A3E"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82</w:t>
            </w:r>
          </w:p>
        </w:tc>
        <w:tc>
          <w:tcPr>
            <w:tcW w:w="143" w:type="pct"/>
            <w:tcBorders>
              <w:top w:val="nil"/>
              <w:left w:val="nil"/>
              <w:bottom w:val="nil"/>
              <w:right w:val="nil"/>
            </w:tcBorders>
            <w:shd w:val="clear" w:color="000000" w:fill="63BE7B"/>
            <w:noWrap/>
            <w:vAlign w:val="center"/>
            <w:hideMark/>
          </w:tcPr>
          <w:p w14:paraId="64DD3A7B"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22" w:type="pct"/>
            <w:tcBorders>
              <w:top w:val="nil"/>
              <w:left w:val="nil"/>
              <w:bottom w:val="nil"/>
              <w:right w:val="nil"/>
            </w:tcBorders>
            <w:shd w:val="clear" w:color="000000" w:fill="69C07C"/>
            <w:noWrap/>
            <w:vAlign w:val="center"/>
            <w:hideMark/>
          </w:tcPr>
          <w:p w14:paraId="16197859"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98</w:t>
            </w:r>
          </w:p>
        </w:tc>
        <w:tc>
          <w:tcPr>
            <w:tcW w:w="122" w:type="pct"/>
            <w:tcBorders>
              <w:top w:val="nil"/>
              <w:left w:val="nil"/>
              <w:bottom w:val="nil"/>
              <w:right w:val="nil"/>
            </w:tcBorders>
            <w:shd w:val="clear" w:color="000000" w:fill="82C77D"/>
            <w:noWrap/>
            <w:vAlign w:val="center"/>
            <w:hideMark/>
          </w:tcPr>
          <w:p w14:paraId="6A2AA4E1"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90</w:t>
            </w:r>
          </w:p>
        </w:tc>
        <w:tc>
          <w:tcPr>
            <w:tcW w:w="143" w:type="pct"/>
            <w:tcBorders>
              <w:top w:val="nil"/>
              <w:left w:val="nil"/>
              <w:bottom w:val="nil"/>
              <w:right w:val="nil"/>
            </w:tcBorders>
            <w:shd w:val="clear" w:color="000000" w:fill="63BE7B"/>
            <w:noWrap/>
            <w:vAlign w:val="center"/>
            <w:hideMark/>
          </w:tcPr>
          <w:p w14:paraId="01042E93"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22" w:type="pct"/>
            <w:tcBorders>
              <w:top w:val="nil"/>
              <w:left w:val="nil"/>
              <w:bottom w:val="nil"/>
              <w:right w:val="nil"/>
            </w:tcBorders>
            <w:shd w:val="clear" w:color="000000" w:fill="8CCA7E"/>
            <w:noWrap/>
            <w:vAlign w:val="center"/>
            <w:hideMark/>
          </w:tcPr>
          <w:p w14:paraId="187B60EC"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87</w:t>
            </w:r>
          </w:p>
        </w:tc>
        <w:tc>
          <w:tcPr>
            <w:tcW w:w="143" w:type="pct"/>
            <w:tcBorders>
              <w:top w:val="nil"/>
              <w:left w:val="nil"/>
              <w:bottom w:val="nil"/>
              <w:right w:val="nil"/>
            </w:tcBorders>
            <w:shd w:val="clear" w:color="000000" w:fill="63BE7B"/>
            <w:noWrap/>
            <w:vAlign w:val="center"/>
            <w:hideMark/>
          </w:tcPr>
          <w:p w14:paraId="5041F4F5"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43" w:type="pct"/>
            <w:tcBorders>
              <w:top w:val="nil"/>
              <w:left w:val="nil"/>
              <w:bottom w:val="nil"/>
              <w:right w:val="nil"/>
            </w:tcBorders>
            <w:shd w:val="clear" w:color="000000" w:fill="63BE7B"/>
            <w:noWrap/>
            <w:vAlign w:val="center"/>
            <w:hideMark/>
          </w:tcPr>
          <w:p w14:paraId="0D5F3B54"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43" w:type="pct"/>
            <w:tcBorders>
              <w:top w:val="nil"/>
              <w:left w:val="nil"/>
              <w:bottom w:val="nil"/>
              <w:right w:val="nil"/>
            </w:tcBorders>
            <w:shd w:val="clear" w:color="000000" w:fill="70C27C"/>
            <w:noWrap/>
            <w:vAlign w:val="center"/>
            <w:hideMark/>
          </w:tcPr>
          <w:p w14:paraId="1973B8EB"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96</w:t>
            </w:r>
          </w:p>
        </w:tc>
        <w:tc>
          <w:tcPr>
            <w:tcW w:w="122" w:type="pct"/>
            <w:tcBorders>
              <w:top w:val="nil"/>
              <w:left w:val="nil"/>
              <w:bottom w:val="nil"/>
              <w:right w:val="nil"/>
            </w:tcBorders>
            <w:shd w:val="clear" w:color="000000" w:fill="F8E984"/>
            <w:noWrap/>
            <w:vAlign w:val="center"/>
            <w:hideMark/>
          </w:tcPr>
          <w:p w14:paraId="0789DA14"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52</w:t>
            </w:r>
          </w:p>
        </w:tc>
        <w:tc>
          <w:tcPr>
            <w:tcW w:w="122" w:type="pct"/>
            <w:tcBorders>
              <w:top w:val="nil"/>
              <w:left w:val="nil"/>
              <w:bottom w:val="nil"/>
              <w:right w:val="nil"/>
            </w:tcBorders>
            <w:shd w:val="clear" w:color="000000" w:fill="8CCA7E"/>
            <w:noWrap/>
            <w:vAlign w:val="center"/>
            <w:hideMark/>
          </w:tcPr>
          <w:p w14:paraId="4E7FE86A"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87</w:t>
            </w:r>
          </w:p>
        </w:tc>
        <w:tc>
          <w:tcPr>
            <w:tcW w:w="122" w:type="pct"/>
            <w:tcBorders>
              <w:top w:val="nil"/>
              <w:left w:val="nil"/>
              <w:bottom w:val="nil"/>
              <w:right w:val="nil"/>
            </w:tcBorders>
            <w:shd w:val="clear" w:color="000000" w:fill="80C77D"/>
            <w:noWrap/>
            <w:vAlign w:val="center"/>
            <w:hideMark/>
          </w:tcPr>
          <w:p w14:paraId="1C03F85C"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91</w:t>
            </w:r>
          </w:p>
        </w:tc>
        <w:tc>
          <w:tcPr>
            <w:tcW w:w="122" w:type="pct"/>
            <w:tcBorders>
              <w:top w:val="nil"/>
              <w:left w:val="nil"/>
              <w:bottom w:val="nil"/>
              <w:right w:val="nil"/>
            </w:tcBorders>
            <w:shd w:val="clear" w:color="000000" w:fill="C8DC81"/>
            <w:noWrap/>
            <w:vAlign w:val="center"/>
            <w:hideMark/>
          </w:tcPr>
          <w:p w14:paraId="5F5BB0B2"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68</w:t>
            </w:r>
          </w:p>
        </w:tc>
        <w:tc>
          <w:tcPr>
            <w:tcW w:w="143" w:type="pct"/>
            <w:tcBorders>
              <w:top w:val="nil"/>
              <w:left w:val="nil"/>
              <w:bottom w:val="nil"/>
              <w:right w:val="nil"/>
            </w:tcBorders>
            <w:shd w:val="clear" w:color="000000" w:fill="63BE7B"/>
            <w:noWrap/>
            <w:vAlign w:val="center"/>
            <w:hideMark/>
          </w:tcPr>
          <w:p w14:paraId="5B967D3F"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22" w:type="pct"/>
            <w:tcBorders>
              <w:top w:val="nil"/>
              <w:left w:val="nil"/>
              <w:bottom w:val="nil"/>
              <w:right w:val="nil"/>
            </w:tcBorders>
            <w:shd w:val="clear" w:color="000000" w:fill="FDD07E"/>
            <w:noWrap/>
            <w:vAlign w:val="center"/>
            <w:hideMark/>
          </w:tcPr>
          <w:p w14:paraId="374FB8E6"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40</w:t>
            </w:r>
          </w:p>
        </w:tc>
        <w:tc>
          <w:tcPr>
            <w:tcW w:w="122" w:type="pct"/>
            <w:tcBorders>
              <w:top w:val="nil"/>
              <w:left w:val="nil"/>
              <w:bottom w:val="nil"/>
              <w:right w:val="nil"/>
            </w:tcBorders>
            <w:shd w:val="clear" w:color="000000" w:fill="8FCB7E"/>
            <w:noWrap/>
            <w:vAlign w:val="center"/>
            <w:hideMark/>
          </w:tcPr>
          <w:p w14:paraId="08750F53"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86</w:t>
            </w:r>
          </w:p>
        </w:tc>
        <w:tc>
          <w:tcPr>
            <w:tcW w:w="123" w:type="pct"/>
            <w:tcBorders>
              <w:top w:val="nil"/>
              <w:left w:val="nil"/>
              <w:bottom w:val="nil"/>
              <w:right w:val="nil"/>
            </w:tcBorders>
            <w:shd w:val="clear" w:color="000000" w:fill="B7D780"/>
            <w:noWrap/>
            <w:vAlign w:val="center"/>
            <w:hideMark/>
          </w:tcPr>
          <w:p w14:paraId="0DD9865F"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73</w:t>
            </w:r>
          </w:p>
        </w:tc>
        <w:tc>
          <w:tcPr>
            <w:tcW w:w="122" w:type="pct"/>
            <w:tcBorders>
              <w:top w:val="nil"/>
              <w:left w:val="nil"/>
              <w:bottom w:val="nil"/>
              <w:right w:val="nil"/>
            </w:tcBorders>
            <w:shd w:val="clear" w:color="000000" w:fill="C4DA81"/>
            <w:noWrap/>
            <w:vAlign w:val="center"/>
            <w:hideMark/>
          </w:tcPr>
          <w:p w14:paraId="6D04AC39"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69</w:t>
            </w:r>
          </w:p>
        </w:tc>
        <w:tc>
          <w:tcPr>
            <w:tcW w:w="122" w:type="pct"/>
            <w:tcBorders>
              <w:top w:val="nil"/>
              <w:left w:val="nil"/>
              <w:bottom w:val="nil"/>
              <w:right w:val="nil"/>
            </w:tcBorders>
            <w:shd w:val="clear" w:color="000000" w:fill="8ECB7E"/>
            <w:noWrap/>
            <w:vAlign w:val="center"/>
            <w:hideMark/>
          </w:tcPr>
          <w:p w14:paraId="674FEC02"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86</w:t>
            </w:r>
          </w:p>
        </w:tc>
        <w:tc>
          <w:tcPr>
            <w:tcW w:w="122" w:type="pct"/>
            <w:tcBorders>
              <w:top w:val="nil"/>
              <w:left w:val="nil"/>
              <w:bottom w:val="nil"/>
              <w:right w:val="nil"/>
            </w:tcBorders>
            <w:shd w:val="clear" w:color="000000" w:fill="AAD380"/>
            <w:noWrap/>
            <w:vAlign w:val="center"/>
            <w:hideMark/>
          </w:tcPr>
          <w:p w14:paraId="001DF8C0"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77</w:t>
            </w:r>
          </w:p>
        </w:tc>
        <w:tc>
          <w:tcPr>
            <w:tcW w:w="122" w:type="pct"/>
            <w:tcBorders>
              <w:top w:val="nil"/>
              <w:left w:val="nil"/>
              <w:bottom w:val="nil"/>
              <w:right w:val="nil"/>
            </w:tcBorders>
            <w:shd w:val="clear" w:color="000000" w:fill="B5D680"/>
            <w:noWrap/>
            <w:vAlign w:val="center"/>
            <w:hideMark/>
          </w:tcPr>
          <w:p w14:paraId="18DC8012"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74</w:t>
            </w:r>
          </w:p>
        </w:tc>
        <w:tc>
          <w:tcPr>
            <w:tcW w:w="122" w:type="pct"/>
            <w:tcBorders>
              <w:top w:val="nil"/>
              <w:left w:val="nil"/>
              <w:bottom w:val="nil"/>
              <w:right w:val="nil"/>
            </w:tcBorders>
            <w:shd w:val="clear" w:color="000000" w:fill="D3DF82"/>
            <w:noWrap/>
            <w:vAlign w:val="center"/>
            <w:hideMark/>
          </w:tcPr>
          <w:p w14:paraId="5E29ED5C"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64</w:t>
            </w:r>
          </w:p>
        </w:tc>
        <w:tc>
          <w:tcPr>
            <w:tcW w:w="122" w:type="pct"/>
            <w:tcBorders>
              <w:top w:val="nil"/>
              <w:left w:val="nil"/>
              <w:bottom w:val="nil"/>
              <w:right w:val="nil"/>
            </w:tcBorders>
            <w:shd w:val="clear" w:color="000000" w:fill="C4DA81"/>
            <w:noWrap/>
            <w:vAlign w:val="center"/>
            <w:hideMark/>
          </w:tcPr>
          <w:p w14:paraId="0983BAD2"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69</w:t>
            </w:r>
          </w:p>
        </w:tc>
        <w:tc>
          <w:tcPr>
            <w:tcW w:w="122" w:type="pct"/>
            <w:tcBorders>
              <w:top w:val="nil"/>
              <w:left w:val="nil"/>
              <w:bottom w:val="nil"/>
              <w:right w:val="nil"/>
            </w:tcBorders>
            <w:shd w:val="clear" w:color="000000" w:fill="FEE883"/>
            <w:noWrap/>
            <w:vAlign w:val="center"/>
            <w:hideMark/>
          </w:tcPr>
          <w:p w14:paraId="1DA2D286"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49</w:t>
            </w:r>
          </w:p>
        </w:tc>
        <w:tc>
          <w:tcPr>
            <w:tcW w:w="122" w:type="pct"/>
            <w:tcBorders>
              <w:top w:val="nil"/>
              <w:left w:val="nil"/>
              <w:bottom w:val="nil"/>
              <w:right w:val="nil"/>
            </w:tcBorders>
            <w:shd w:val="clear" w:color="000000" w:fill="FEE883"/>
            <w:noWrap/>
            <w:vAlign w:val="center"/>
            <w:hideMark/>
          </w:tcPr>
          <w:p w14:paraId="0A73160E"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49</w:t>
            </w:r>
          </w:p>
        </w:tc>
        <w:tc>
          <w:tcPr>
            <w:tcW w:w="122" w:type="pct"/>
            <w:tcBorders>
              <w:top w:val="nil"/>
              <w:left w:val="nil"/>
              <w:bottom w:val="nil"/>
              <w:right w:val="nil"/>
            </w:tcBorders>
            <w:shd w:val="clear" w:color="000000" w:fill="7DC67D"/>
            <w:noWrap/>
            <w:vAlign w:val="center"/>
            <w:hideMark/>
          </w:tcPr>
          <w:p w14:paraId="7C21D37A"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92</w:t>
            </w:r>
          </w:p>
        </w:tc>
        <w:tc>
          <w:tcPr>
            <w:tcW w:w="122" w:type="pct"/>
            <w:tcBorders>
              <w:top w:val="nil"/>
              <w:left w:val="nil"/>
              <w:bottom w:val="nil"/>
              <w:right w:val="nil"/>
            </w:tcBorders>
            <w:shd w:val="clear" w:color="000000" w:fill="C9DC81"/>
            <w:noWrap/>
            <w:vAlign w:val="center"/>
            <w:hideMark/>
          </w:tcPr>
          <w:p w14:paraId="38BAD898"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67</w:t>
            </w:r>
          </w:p>
        </w:tc>
        <w:tc>
          <w:tcPr>
            <w:tcW w:w="123" w:type="pct"/>
            <w:tcBorders>
              <w:top w:val="nil"/>
              <w:left w:val="nil"/>
              <w:bottom w:val="nil"/>
              <w:right w:val="nil"/>
            </w:tcBorders>
            <w:shd w:val="clear" w:color="000000" w:fill="CADC81"/>
            <w:noWrap/>
            <w:vAlign w:val="center"/>
            <w:hideMark/>
          </w:tcPr>
          <w:p w14:paraId="731420FF"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67</w:t>
            </w:r>
          </w:p>
        </w:tc>
        <w:tc>
          <w:tcPr>
            <w:tcW w:w="122" w:type="pct"/>
            <w:tcBorders>
              <w:top w:val="nil"/>
              <w:left w:val="nil"/>
              <w:bottom w:val="nil"/>
              <w:right w:val="nil"/>
            </w:tcBorders>
            <w:shd w:val="clear" w:color="000000" w:fill="FDD780"/>
            <w:noWrap/>
            <w:vAlign w:val="center"/>
            <w:hideMark/>
          </w:tcPr>
          <w:p w14:paraId="6642D869"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43</w:t>
            </w:r>
          </w:p>
        </w:tc>
        <w:tc>
          <w:tcPr>
            <w:tcW w:w="122" w:type="pct"/>
            <w:tcBorders>
              <w:top w:val="nil"/>
              <w:left w:val="nil"/>
              <w:bottom w:val="nil"/>
              <w:right w:val="nil"/>
            </w:tcBorders>
            <w:shd w:val="clear" w:color="000000" w:fill="E6E483"/>
            <w:noWrap/>
            <w:vAlign w:val="center"/>
            <w:hideMark/>
          </w:tcPr>
          <w:p w14:paraId="2D752510"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58</w:t>
            </w:r>
          </w:p>
        </w:tc>
        <w:tc>
          <w:tcPr>
            <w:tcW w:w="122" w:type="pct"/>
            <w:tcBorders>
              <w:top w:val="nil"/>
              <w:left w:val="nil"/>
              <w:bottom w:val="nil"/>
              <w:right w:val="nil"/>
            </w:tcBorders>
            <w:shd w:val="clear" w:color="000000" w:fill="FEDD81"/>
            <w:noWrap/>
            <w:vAlign w:val="center"/>
            <w:hideMark/>
          </w:tcPr>
          <w:p w14:paraId="021BA664"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45</w:t>
            </w:r>
          </w:p>
        </w:tc>
        <w:tc>
          <w:tcPr>
            <w:tcW w:w="122" w:type="pct"/>
            <w:tcBorders>
              <w:top w:val="nil"/>
              <w:left w:val="nil"/>
              <w:bottom w:val="nil"/>
              <w:right w:val="nil"/>
            </w:tcBorders>
            <w:shd w:val="clear" w:color="000000" w:fill="FEEB84"/>
            <w:noWrap/>
            <w:vAlign w:val="center"/>
            <w:hideMark/>
          </w:tcPr>
          <w:p w14:paraId="79CAFA0E"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50</w:t>
            </w:r>
          </w:p>
        </w:tc>
        <w:tc>
          <w:tcPr>
            <w:tcW w:w="122" w:type="pct"/>
            <w:tcBorders>
              <w:top w:val="nil"/>
              <w:left w:val="nil"/>
              <w:bottom w:val="nil"/>
              <w:right w:val="nil"/>
            </w:tcBorders>
            <w:shd w:val="clear" w:color="000000" w:fill="F7E984"/>
            <w:noWrap/>
            <w:vAlign w:val="center"/>
            <w:hideMark/>
          </w:tcPr>
          <w:p w14:paraId="7AE7DFF9"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53</w:t>
            </w:r>
          </w:p>
        </w:tc>
        <w:tc>
          <w:tcPr>
            <w:tcW w:w="123" w:type="pct"/>
            <w:tcBorders>
              <w:top w:val="nil"/>
              <w:left w:val="nil"/>
              <w:bottom w:val="nil"/>
              <w:right w:val="nil"/>
            </w:tcBorders>
            <w:shd w:val="clear" w:color="000000" w:fill="FEE883"/>
            <w:noWrap/>
            <w:vAlign w:val="center"/>
            <w:hideMark/>
          </w:tcPr>
          <w:p w14:paraId="2C88522A"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49</w:t>
            </w:r>
          </w:p>
        </w:tc>
        <w:tc>
          <w:tcPr>
            <w:tcW w:w="122" w:type="pct"/>
            <w:tcBorders>
              <w:top w:val="nil"/>
              <w:left w:val="nil"/>
              <w:bottom w:val="nil"/>
              <w:right w:val="nil"/>
            </w:tcBorders>
            <w:shd w:val="clear" w:color="000000" w:fill="FFEB84"/>
            <w:noWrap/>
            <w:vAlign w:val="center"/>
            <w:hideMark/>
          </w:tcPr>
          <w:p w14:paraId="04C4CEBB"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50</w:t>
            </w:r>
          </w:p>
        </w:tc>
      </w:tr>
      <w:tr w:rsidR="00B656F6" w:rsidRPr="00634756" w14:paraId="5E7DDBB5" w14:textId="77777777" w:rsidTr="008F0944">
        <w:trPr>
          <w:trHeight w:val="113"/>
        </w:trPr>
        <w:tc>
          <w:tcPr>
            <w:tcW w:w="131" w:type="pct"/>
            <w:vMerge/>
            <w:tcBorders>
              <w:left w:val="nil"/>
              <w:right w:val="nil"/>
            </w:tcBorders>
            <w:shd w:val="clear" w:color="auto" w:fill="CC99FF"/>
          </w:tcPr>
          <w:p w14:paraId="42CE0BBD" w14:textId="77777777" w:rsidR="00B656F6" w:rsidRPr="00EB4864" w:rsidRDefault="00B656F6" w:rsidP="008F0944">
            <w:pPr>
              <w:snapToGrid w:val="0"/>
              <w:jc w:val="right"/>
              <w:rPr>
                <w:rFonts w:ascii="等线" w:eastAsia="等线" w:hAnsi="等线" w:cs="宋体"/>
                <w:b/>
                <w:color w:val="000000"/>
                <w:sz w:val="15"/>
                <w:szCs w:val="15"/>
              </w:rPr>
            </w:pPr>
          </w:p>
        </w:tc>
        <w:tc>
          <w:tcPr>
            <w:tcW w:w="469" w:type="pct"/>
            <w:tcBorders>
              <w:top w:val="nil"/>
              <w:left w:val="nil"/>
              <w:bottom w:val="nil"/>
              <w:right w:val="nil"/>
            </w:tcBorders>
            <w:shd w:val="clear" w:color="auto" w:fill="CC99FF"/>
            <w:noWrap/>
            <w:vAlign w:val="center"/>
            <w:hideMark/>
          </w:tcPr>
          <w:p w14:paraId="75A5177E" w14:textId="77777777" w:rsidR="00B656F6" w:rsidRPr="00EB4864" w:rsidRDefault="00B656F6" w:rsidP="008F0944">
            <w:pPr>
              <w:snapToGrid w:val="0"/>
              <w:jc w:val="right"/>
              <w:rPr>
                <w:rFonts w:ascii="等线" w:eastAsia="等线" w:hAnsi="等线" w:cs="宋体"/>
                <w:b/>
                <w:color w:val="000000"/>
                <w:sz w:val="15"/>
                <w:szCs w:val="15"/>
              </w:rPr>
            </w:pPr>
            <w:r w:rsidRPr="00EB4864">
              <w:rPr>
                <w:rFonts w:ascii="等线" w:eastAsia="等线" w:hAnsi="等线" w:cs="宋体"/>
                <w:b/>
                <w:color w:val="000000"/>
                <w:sz w:val="15"/>
                <w:szCs w:val="15"/>
              </w:rPr>
              <w:t>Qinghai</w:t>
            </w:r>
          </w:p>
        </w:tc>
        <w:tc>
          <w:tcPr>
            <w:tcW w:w="122" w:type="pct"/>
            <w:tcBorders>
              <w:top w:val="nil"/>
              <w:left w:val="nil"/>
              <w:bottom w:val="nil"/>
              <w:right w:val="nil"/>
            </w:tcBorders>
            <w:shd w:val="clear" w:color="000000" w:fill="99CE7F"/>
            <w:noWrap/>
            <w:vAlign w:val="center"/>
            <w:hideMark/>
          </w:tcPr>
          <w:p w14:paraId="598321B3"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83</w:t>
            </w:r>
          </w:p>
        </w:tc>
        <w:tc>
          <w:tcPr>
            <w:tcW w:w="143" w:type="pct"/>
            <w:tcBorders>
              <w:top w:val="nil"/>
              <w:left w:val="nil"/>
              <w:bottom w:val="nil"/>
              <w:right w:val="nil"/>
            </w:tcBorders>
            <w:shd w:val="clear" w:color="000000" w:fill="63BE7B"/>
            <w:noWrap/>
            <w:vAlign w:val="center"/>
            <w:hideMark/>
          </w:tcPr>
          <w:p w14:paraId="16B0C3A5"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22" w:type="pct"/>
            <w:tcBorders>
              <w:top w:val="nil"/>
              <w:left w:val="nil"/>
              <w:bottom w:val="nil"/>
              <w:right w:val="nil"/>
            </w:tcBorders>
            <w:shd w:val="clear" w:color="000000" w:fill="67C07C"/>
            <w:noWrap/>
            <w:vAlign w:val="center"/>
            <w:hideMark/>
          </w:tcPr>
          <w:p w14:paraId="164E4ED6"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99</w:t>
            </w:r>
          </w:p>
        </w:tc>
        <w:tc>
          <w:tcPr>
            <w:tcW w:w="122" w:type="pct"/>
            <w:tcBorders>
              <w:top w:val="nil"/>
              <w:left w:val="nil"/>
              <w:bottom w:val="nil"/>
              <w:right w:val="nil"/>
            </w:tcBorders>
            <w:shd w:val="clear" w:color="000000" w:fill="80C77D"/>
            <w:noWrap/>
            <w:vAlign w:val="center"/>
            <w:hideMark/>
          </w:tcPr>
          <w:p w14:paraId="55331C91"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91</w:t>
            </w:r>
          </w:p>
        </w:tc>
        <w:tc>
          <w:tcPr>
            <w:tcW w:w="143" w:type="pct"/>
            <w:tcBorders>
              <w:top w:val="nil"/>
              <w:left w:val="nil"/>
              <w:bottom w:val="nil"/>
              <w:right w:val="nil"/>
            </w:tcBorders>
            <w:shd w:val="clear" w:color="000000" w:fill="74C37C"/>
            <w:noWrap/>
            <w:vAlign w:val="center"/>
            <w:hideMark/>
          </w:tcPr>
          <w:p w14:paraId="24DBC2B1"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95</w:t>
            </w:r>
          </w:p>
        </w:tc>
        <w:tc>
          <w:tcPr>
            <w:tcW w:w="122" w:type="pct"/>
            <w:tcBorders>
              <w:top w:val="nil"/>
              <w:left w:val="nil"/>
              <w:bottom w:val="nil"/>
              <w:right w:val="nil"/>
            </w:tcBorders>
            <w:shd w:val="clear" w:color="000000" w:fill="8FCB7E"/>
            <w:noWrap/>
            <w:vAlign w:val="center"/>
            <w:hideMark/>
          </w:tcPr>
          <w:p w14:paraId="1DC8B5E0"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86</w:t>
            </w:r>
          </w:p>
        </w:tc>
        <w:tc>
          <w:tcPr>
            <w:tcW w:w="143" w:type="pct"/>
            <w:tcBorders>
              <w:top w:val="nil"/>
              <w:left w:val="nil"/>
              <w:bottom w:val="nil"/>
              <w:right w:val="nil"/>
            </w:tcBorders>
            <w:shd w:val="clear" w:color="000000" w:fill="64BF7C"/>
            <w:noWrap/>
            <w:vAlign w:val="center"/>
            <w:hideMark/>
          </w:tcPr>
          <w:p w14:paraId="37F62758"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43" w:type="pct"/>
            <w:tcBorders>
              <w:top w:val="nil"/>
              <w:left w:val="nil"/>
              <w:bottom w:val="nil"/>
              <w:right w:val="nil"/>
            </w:tcBorders>
            <w:shd w:val="clear" w:color="000000" w:fill="6EC27C"/>
            <w:noWrap/>
            <w:vAlign w:val="center"/>
            <w:hideMark/>
          </w:tcPr>
          <w:p w14:paraId="7950340E"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97</w:t>
            </w:r>
          </w:p>
        </w:tc>
        <w:tc>
          <w:tcPr>
            <w:tcW w:w="143" w:type="pct"/>
            <w:tcBorders>
              <w:top w:val="nil"/>
              <w:left w:val="nil"/>
              <w:bottom w:val="nil"/>
              <w:right w:val="nil"/>
            </w:tcBorders>
            <w:shd w:val="clear" w:color="000000" w:fill="9CCF7F"/>
            <w:noWrap/>
            <w:vAlign w:val="center"/>
            <w:hideMark/>
          </w:tcPr>
          <w:p w14:paraId="14E9FC2B"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82</w:t>
            </w:r>
          </w:p>
        </w:tc>
        <w:tc>
          <w:tcPr>
            <w:tcW w:w="122" w:type="pct"/>
            <w:tcBorders>
              <w:top w:val="nil"/>
              <w:left w:val="nil"/>
              <w:bottom w:val="nil"/>
              <w:right w:val="nil"/>
            </w:tcBorders>
            <w:shd w:val="clear" w:color="000000" w:fill="EAE583"/>
            <w:noWrap/>
            <w:vAlign w:val="center"/>
            <w:hideMark/>
          </w:tcPr>
          <w:p w14:paraId="6F7BB37E"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57</w:t>
            </w:r>
          </w:p>
        </w:tc>
        <w:tc>
          <w:tcPr>
            <w:tcW w:w="122" w:type="pct"/>
            <w:tcBorders>
              <w:top w:val="nil"/>
              <w:left w:val="nil"/>
              <w:bottom w:val="nil"/>
              <w:right w:val="nil"/>
            </w:tcBorders>
            <w:shd w:val="clear" w:color="000000" w:fill="94CC7E"/>
            <w:noWrap/>
            <w:vAlign w:val="center"/>
            <w:hideMark/>
          </w:tcPr>
          <w:p w14:paraId="77A1D99D"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85</w:t>
            </w:r>
          </w:p>
        </w:tc>
        <w:tc>
          <w:tcPr>
            <w:tcW w:w="122" w:type="pct"/>
            <w:tcBorders>
              <w:top w:val="nil"/>
              <w:left w:val="nil"/>
              <w:bottom w:val="nil"/>
              <w:right w:val="nil"/>
            </w:tcBorders>
            <w:shd w:val="clear" w:color="000000" w:fill="B8D780"/>
            <w:noWrap/>
            <w:vAlign w:val="center"/>
            <w:hideMark/>
          </w:tcPr>
          <w:p w14:paraId="17264B28"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73</w:t>
            </w:r>
          </w:p>
        </w:tc>
        <w:tc>
          <w:tcPr>
            <w:tcW w:w="122" w:type="pct"/>
            <w:tcBorders>
              <w:top w:val="nil"/>
              <w:left w:val="nil"/>
              <w:bottom w:val="nil"/>
              <w:right w:val="nil"/>
            </w:tcBorders>
            <w:shd w:val="clear" w:color="000000" w:fill="FEE382"/>
            <w:noWrap/>
            <w:vAlign w:val="center"/>
            <w:hideMark/>
          </w:tcPr>
          <w:p w14:paraId="331DFF65"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47</w:t>
            </w:r>
          </w:p>
        </w:tc>
        <w:tc>
          <w:tcPr>
            <w:tcW w:w="143" w:type="pct"/>
            <w:tcBorders>
              <w:top w:val="nil"/>
              <w:left w:val="nil"/>
              <w:bottom w:val="nil"/>
              <w:right w:val="nil"/>
            </w:tcBorders>
            <w:shd w:val="clear" w:color="000000" w:fill="63BE7B"/>
            <w:noWrap/>
            <w:vAlign w:val="center"/>
            <w:hideMark/>
          </w:tcPr>
          <w:p w14:paraId="20DB9292"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22" w:type="pct"/>
            <w:tcBorders>
              <w:top w:val="nil"/>
              <w:left w:val="nil"/>
              <w:bottom w:val="nil"/>
              <w:right w:val="nil"/>
            </w:tcBorders>
            <w:shd w:val="clear" w:color="000000" w:fill="FDC67C"/>
            <w:noWrap/>
            <w:vAlign w:val="center"/>
            <w:hideMark/>
          </w:tcPr>
          <w:p w14:paraId="2292AC74"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36</w:t>
            </w:r>
          </w:p>
        </w:tc>
        <w:tc>
          <w:tcPr>
            <w:tcW w:w="122" w:type="pct"/>
            <w:tcBorders>
              <w:top w:val="nil"/>
              <w:left w:val="nil"/>
              <w:bottom w:val="nil"/>
              <w:right w:val="nil"/>
            </w:tcBorders>
            <w:shd w:val="clear" w:color="000000" w:fill="8ECB7E"/>
            <w:noWrap/>
            <w:vAlign w:val="center"/>
            <w:hideMark/>
          </w:tcPr>
          <w:p w14:paraId="6FEEA791"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86</w:t>
            </w:r>
          </w:p>
        </w:tc>
        <w:tc>
          <w:tcPr>
            <w:tcW w:w="123" w:type="pct"/>
            <w:tcBorders>
              <w:top w:val="nil"/>
              <w:left w:val="nil"/>
              <w:bottom w:val="nil"/>
              <w:right w:val="nil"/>
            </w:tcBorders>
            <w:shd w:val="clear" w:color="000000" w:fill="D4DF82"/>
            <w:noWrap/>
            <w:vAlign w:val="center"/>
            <w:hideMark/>
          </w:tcPr>
          <w:p w14:paraId="319F662E"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64</w:t>
            </w:r>
          </w:p>
        </w:tc>
        <w:tc>
          <w:tcPr>
            <w:tcW w:w="122" w:type="pct"/>
            <w:tcBorders>
              <w:top w:val="nil"/>
              <w:left w:val="nil"/>
              <w:bottom w:val="nil"/>
              <w:right w:val="nil"/>
            </w:tcBorders>
            <w:shd w:val="clear" w:color="000000" w:fill="E4E383"/>
            <w:noWrap/>
            <w:vAlign w:val="center"/>
            <w:hideMark/>
          </w:tcPr>
          <w:p w14:paraId="4B1FB9F8"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59</w:t>
            </w:r>
          </w:p>
        </w:tc>
        <w:tc>
          <w:tcPr>
            <w:tcW w:w="122" w:type="pct"/>
            <w:tcBorders>
              <w:top w:val="nil"/>
              <w:left w:val="nil"/>
              <w:bottom w:val="nil"/>
              <w:right w:val="nil"/>
            </w:tcBorders>
            <w:shd w:val="clear" w:color="000000" w:fill="90CB7E"/>
            <w:noWrap/>
            <w:vAlign w:val="center"/>
            <w:hideMark/>
          </w:tcPr>
          <w:p w14:paraId="1B2E2EF8"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86</w:t>
            </w:r>
          </w:p>
        </w:tc>
        <w:tc>
          <w:tcPr>
            <w:tcW w:w="122" w:type="pct"/>
            <w:tcBorders>
              <w:top w:val="nil"/>
              <w:left w:val="nil"/>
              <w:bottom w:val="nil"/>
              <w:right w:val="nil"/>
            </w:tcBorders>
            <w:shd w:val="clear" w:color="000000" w:fill="BED881"/>
            <w:noWrap/>
            <w:vAlign w:val="center"/>
            <w:hideMark/>
          </w:tcPr>
          <w:p w14:paraId="55CCABB2"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71</w:t>
            </w:r>
          </w:p>
        </w:tc>
        <w:tc>
          <w:tcPr>
            <w:tcW w:w="122" w:type="pct"/>
            <w:tcBorders>
              <w:top w:val="nil"/>
              <w:left w:val="nil"/>
              <w:bottom w:val="nil"/>
              <w:right w:val="nil"/>
            </w:tcBorders>
            <w:shd w:val="clear" w:color="000000" w:fill="CBDC81"/>
            <w:noWrap/>
            <w:vAlign w:val="center"/>
            <w:hideMark/>
          </w:tcPr>
          <w:p w14:paraId="27E3B012"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67</w:t>
            </w:r>
          </w:p>
        </w:tc>
        <w:tc>
          <w:tcPr>
            <w:tcW w:w="122" w:type="pct"/>
            <w:tcBorders>
              <w:top w:val="nil"/>
              <w:left w:val="nil"/>
              <w:bottom w:val="nil"/>
              <w:right w:val="nil"/>
            </w:tcBorders>
            <w:shd w:val="clear" w:color="000000" w:fill="CADC81"/>
            <w:noWrap/>
            <w:vAlign w:val="center"/>
            <w:hideMark/>
          </w:tcPr>
          <w:p w14:paraId="64E6654C"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67</w:t>
            </w:r>
          </w:p>
        </w:tc>
        <w:tc>
          <w:tcPr>
            <w:tcW w:w="122" w:type="pct"/>
            <w:tcBorders>
              <w:top w:val="nil"/>
              <w:left w:val="nil"/>
              <w:bottom w:val="nil"/>
              <w:right w:val="nil"/>
            </w:tcBorders>
            <w:shd w:val="clear" w:color="000000" w:fill="CBDC81"/>
            <w:noWrap/>
            <w:vAlign w:val="center"/>
            <w:hideMark/>
          </w:tcPr>
          <w:p w14:paraId="75C90EBD"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67</w:t>
            </w:r>
          </w:p>
        </w:tc>
        <w:tc>
          <w:tcPr>
            <w:tcW w:w="122" w:type="pct"/>
            <w:tcBorders>
              <w:top w:val="nil"/>
              <w:left w:val="nil"/>
              <w:bottom w:val="nil"/>
              <w:right w:val="nil"/>
            </w:tcBorders>
            <w:shd w:val="clear" w:color="000000" w:fill="FCB77A"/>
            <w:noWrap/>
            <w:vAlign w:val="center"/>
            <w:hideMark/>
          </w:tcPr>
          <w:p w14:paraId="3D476BB6"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30</w:t>
            </w:r>
          </w:p>
        </w:tc>
        <w:tc>
          <w:tcPr>
            <w:tcW w:w="122" w:type="pct"/>
            <w:tcBorders>
              <w:top w:val="nil"/>
              <w:left w:val="nil"/>
              <w:bottom w:val="nil"/>
              <w:right w:val="nil"/>
            </w:tcBorders>
            <w:shd w:val="clear" w:color="000000" w:fill="FEDA80"/>
            <w:noWrap/>
            <w:vAlign w:val="center"/>
            <w:hideMark/>
          </w:tcPr>
          <w:p w14:paraId="77FBF31D"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43</w:t>
            </w:r>
          </w:p>
        </w:tc>
        <w:tc>
          <w:tcPr>
            <w:tcW w:w="122" w:type="pct"/>
            <w:tcBorders>
              <w:top w:val="nil"/>
              <w:left w:val="nil"/>
              <w:bottom w:val="nil"/>
              <w:right w:val="nil"/>
            </w:tcBorders>
            <w:shd w:val="clear" w:color="000000" w:fill="88C97E"/>
            <w:noWrap/>
            <w:vAlign w:val="center"/>
            <w:hideMark/>
          </w:tcPr>
          <w:p w14:paraId="17AAA31D"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88</w:t>
            </w:r>
          </w:p>
        </w:tc>
        <w:tc>
          <w:tcPr>
            <w:tcW w:w="122" w:type="pct"/>
            <w:tcBorders>
              <w:top w:val="nil"/>
              <w:left w:val="nil"/>
              <w:bottom w:val="nil"/>
              <w:right w:val="nil"/>
            </w:tcBorders>
            <w:shd w:val="clear" w:color="000000" w:fill="FEDC81"/>
            <w:noWrap/>
            <w:vAlign w:val="center"/>
            <w:hideMark/>
          </w:tcPr>
          <w:p w14:paraId="08404184"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44</w:t>
            </w:r>
          </w:p>
        </w:tc>
        <w:tc>
          <w:tcPr>
            <w:tcW w:w="123" w:type="pct"/>
            <w:tcBorders>
              <w:top w:val="nil"/>
              <w:left w:val="nil"/>
              <w:bottom w:val="nil"/>
              <w:right w:val="nil"/>
            </w:tcBorders>
            <w:shd w:val="clear" w:color="000000" w:fill="EEE784"/>
            <w:noWrap/>
            <w:vAlign w:val="center"/>
            <w:hideMark/>
          </w:tcPr>
          <w:p w14:paraId="241E1E5A"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55</w:t>
            </w:r>
          </w:p>
        </w:tc>
        <w:tc>
          <w:tcPr>
            <w:tcW w:w="122" w:type="pct"/>
            <w:tcBorders>
              <w:top w:val="nil"/>
              <w:left w:val="nil"/>
              <w:bottom w:val="nil"/>
              <w:right w:val="nil"/>
            </w:tcBorders>
            <w:shd w:val="clear" w:color="000000" w:fill="F5E984"/>
            <w:noWrap/>
            <w:vAlign w:val="center"/>
            <w:hideMark/>
          </w:tcPr>
          <w:p w14:paraId="327F1B6B"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53</w:t>
            </w:r>
          </w:p>
        </w:tc>
        <w:tc>
          <w:tcPr>
            <w:tcW w:w="122" w:type="pct"/>
            <w:tcBorders>
              <w:top w:val="nil"/>
              <w:left w:val="nil"/>
              <w:bottom w:val="nil"/>
              <w:right w:val="nil"/>
            </w:tcBorders>
            <w:shd w:val="clear" w:color="000000" w:fill="C5DB81"/>
            <w:noWrap/>
            <w:vAlign w:val="center"/>
            <w:hideMark/>
          </w:tcPr>
          <w:p w14:paraId="514B9E9A"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69</w:t>
            </w:r>
          </w:p>
        </w:tc>
        <w:tc>
          <w:tcPr>
            <w:tcW w:w="122" w:type="pct"/>
            <w:tcBorders>
              <w:top w:val="nil"/>
              <w:left w:val="nil"/>
              <w:bottom w:val="nil"/>
              <w:right w:val="nil"/>
            </w:tcBorders>
            <w:shd w:val="clear" w:color="000000" w:fill="FEE582"/>
            <w:noWrap/>
            <w:vAlign w:val="center"/>
            <w:hideMark/>
          </w:tcPr>
          <w:p w14:paraId="5D1065C4"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48</w:t>
            </w:r>
          </w:p>
        </w:tc>
        <w:tc>
          <w:tcPr>
            <w:tcW w:w="122" w:type="pct"/>
            <w:tcBorders>
              <w:top w:val="nil"/>
              <w:left w:val="nil"/>
              <w:bottom w:val="nil"/>
              <w:right w:val="nil"/>
            </w:tcBorders>
            <w:shd w:val="clear" w:color="000000" w:fill="EEE683"/>
            <w:noWrap/>
            <w:vAlign w:val="center"/>
            <w:hideMark/>
          </w:tcPr>
          <w:p w14:paraId="591CF8A7"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56</w:t>
            </w:r>
          </w:p>
        </w:tc>
        <w:tc>
          <w:tcPr>
            <w:tcW w:w="122" w:type="pct"/>
            <w:tcBorders>
              <w:top w:val="nil"/>
              <w:left w:val="nil"/>
              <w:bottom w:val="nil"/>
              <w:right w:val="nil"/>
            </w:tcBorders>
            <w:shd w:val="clear" w:color="000000" w:fill="EBE683"/>
            <w:noWrap/>
            <w:vAlign w:val="center"/>
            <w:hideMark/>
          </w:tcPr>
          <w:p w14:paraId="477C0073"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57</w:t>
            </w:r>
          </w:p>
        </w:tc>
        <w:tc>
          <w:tcPr>
            <w:tcW w:w="123" w:type="pct"/>
            <w:tcBorders>
              <w:top w:val="nil"/>
              <w:left w:val="nil"/>
              <w:bottom w:val="nil"/>
              <w:right w:val="nil"/>
            </w:tcBorders>
            <w:shd w:val="clear" w:color="000000" w:fill="EDE683"/>
            <w:noWrap/>
            <w:vAlign w:val="center"/>
            <w:hideMark/>
          </w:tcPr>
          <w:p w14:paraId="7B2A1730"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56</w:t>
            </w:r>
          </w:p>
        </w:tc>
        <w:tc>
          <w:tcPr>
            <w:tcW w:w="122" w:type="pct"/>
            <w:tcBorders>
              <w:top w:val="nil"/>
              <w:left w:val="nil"/>
              <w:bottom w:val="nil"/>
              <w:right w:val="nil"/>
            </w:tcBorders>
            <w:shd w:val="clear" w:color="000000" w:fill="FDCE7E"/>
            <w:noWrap/>
            <w:vAlign w:val="center"/>
            <w:hideMark/>
          </w:tcPr>
          <w:p w14:paraId="18C87D5B"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39</w:t>
            </w:r>
          </w:p>
        </w:tc>
      </w:tr>
      <w:tr w:rsidR="00B656F6" w:rsidRPr="00634756" w14:paraId="36E38319" w14:textId="77777777" w:rsidTr="008F0944">
        <w:trPr>
          <w:trHeight w:val="113"/>
        </w:trPr>
        <w:tc>
          <w:tcPr>
            <w:tcW w:w="131" w:type="pct"/>
            <w:vMerge/>
            <w:tcBorders>
              <w:left w:val="nil"/>
              <w:right w:val="nil"/>
            </w:tcBorders>
            <w:shd w:val="clear" w:color="auto" w:fill="CC99FF"/>
          </w:tcPr>
          <w:p w14:paraId="1D628BD1" w14:textId="77777777" w:rsidR="00B656F6" w:rsidRPr="00EB4864" w:rsidRDefault="00B656F6" w:rsidP="008F0944">
            <w:pPr>
              <w:snapToGrid w:val="0"/>
              <w:jc w:val="right"/>
              <w:rPr>
                <w:rFonts w:ascii="等线" w:eastAsia="等线" w:hAnsi="等线" w:cs="宋体"/>
                <w:b/>
                <w:color w:val="000000"/>
                <w:sz w:val="15"/>
                <w:szCs w:val="15"/>
              </w:rPr>
            </w:pPr>
          </w:p>
        </w:tc>
        <w:tc>
          <w:tcPr>
            <w:tcW w:w="469" w:type="pct"/>
            <w:tcBorders>
              <w:top w:val="nil"/>
              <w:left w:val="nil"/>
              <w:bottom w:val="nil"/>
              <w:right w:val="nil"/>
            </w:tcBorders>
            <w:shd w:val="clear" w:color="auto" w:fill="CC99FF"/>
            <w:noWrap/>
            <w:vAlign w:val="center"/>
            <w:hideMark/>
          </w:tcPr>
          <w:p w14:paraId="689A9B54" w14:textId="77777777" w:rsidR="00B656F6" w:rsidRPr="00EB4864" w:rsidRDefault="00B656F6" w:rsidP="008F0944">
            <w:pPr>
              <w:snapToGrid w:val="0"/>
              <w:jc w:val="right"/>
              <w:rPr>
                <w:rFonts w:ascii="等线" w:eastAsia="等线" w:hAnsi="等线" w:cs="宋体"/>
                <w:b/>
                <w:color w:val="000000"/>
                <w:sz w:val="15"/>
                <w:szCs w:val="15"/>
              </w:rPr>
            </w:pPr>
            <w:r w:rsidRPr="00EB4864">
              <w:rPr>
                <w:rFonts w:ascii="等线" w:eastAsia="等线" w:hAnsi="等线" w:cs="宋体"/>
                <w:b/>
                <w:color w:val="000000"/>
                <w:sz w:val="15"/>
                <w:szCs w:val="15"/>
              </w:rPr>
              <w:t>Ningxia</w:t>
            </w:r>
          </w:p>
        </w:tc>
        <w:tc>
          <w:tcPr>
            <w:tcW w:w="122" w:type="pct"/>
            <w:tcBorders>
              <w:top w:val="nil"/>
              <w:left w:val="nil"/>
              <w:bottom w:val="nil"/>
              <w:right w:val="nil"/>
            </w:tcBorders>
            <w:shd w:val="clear" w:color="000000" w:fill="89C97E"/>
            <w:noWrap/>
            <w:vAlign w:val="center"/>
            <w:hideMark/>
          </w:tcPr>
          <w:p w14:paraId="0E45CD85"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88</w:t>
            </w:r>
          </w:p>
        </w:tc>
        <w:tc>
          <w:tcPr>
            <w:tcW w:w="143" w:type="pct"/>
            <w:tcBorders>
              <w:top w:val="nil"/>
              <w:left w:val="nil"/>
              <w:bottom w:val="nil"/>
              <w:right w:val="nil"/>
            </w:tcBorders>
            <w:shd w:val="clear" w:color="000000" w:fill="63BE7B"/>
            <w:noWrap/>
            <w:vAlign w:val="center"/>
            <w:hideMark/>
          </w:tcPr>
          <w:p w14:paraId="26EA1F4A"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22" w:type="pct"/>
            <w:tcBorders>
              <w:top w:val="nil"/>
              <w:left w:val="nil"/>
              <w:bottom w:val="nil"/>
              <w:right w:val="nil"/>
            </w:tcBorders>
            <w:shd w:val="clear" w:color="000000" w:fill="68C07C"/>
            <w:noWrap/>
            <w:vAlign w:val="center"/>
            <w:hideMark/>
          </w:tcPr>
          <w:p w14:paraId="7EBF27A8"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98</w:t>
            </w:r>
          </w:p>
        </w:tc>
        <w:tc>
          <w:tcPr>
            <w:tcW w:w="122" w:type="pct"/>
            <w:tcBorders>
              <w:top w:val="nil"/>
              <w:left w:val="nil"/>
              <w:bottom w:val="nil"/>
              <w:right w:val="nil"/>
            </w:tcBorders>
            <w:shd w:val="clear" w:color="000000" w:fill="78C47D"/>
            <w:noWrap/>
            <w:vAlign w:val="center"/>
            <w:hideMark/>
          </w:tcPr>
          <w:p w14:paraId="066146B4"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93</w:t>
            </w:r>
          </w:p>
        </w:tc>
        <w:tc>
          <w:tcPr>
            <w:tcW w:w="143" w:type="pct"/>
            <w:tcBorders>
              <w:top w:val="nil"/>
              <w:left w:val="nil"/>
              <w:bottom w:val="nil"/>
              <w:right w:val="nil"/>
            </w:tcBorders>
            <w:shd w:val="clear" w:color="000000" w:fill="63BE7B"/>
            <w:noWrap/>
            <w:vAlign w:val="center"/>
            <w:hideMark/>
          </w:tcPr>
          <w:p w14:paraId="5CE225CE"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22" w:type="pct"/>
            <w:tcBorders>
              <w:top w:val="nil"/>
              <w:left w:val="nil"/>
              <w:bottom w:val="nil"/>
              <w:right w:val="nil"/>
            </w:tcBorders>
            <w:shd w:val="clear" w:color="000000" w:fill="73C37C"/>
            <w:noWrap/>
            <w:vAlign w:val="center"/>
            <w:hideMark/>
          </w:tcPr>
          <w:p w14:paraId="6AD13570"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95</w:t>
            </w:r>
          </w:p>
        </w:tc>
        <w:tc>
          <w:tcPr>
            <w:tcW w:w="143" w:type="pct"/>
            <w:tcBorders>
              <w:top w:val="nil"/>
              <w:left w:val="nil"/>
              <w:bottom w:val="nil"/>
              <w:right w:val="nil"/>
            </w:tcBorders>
            <w:shd w:val="clear" w:color="000000" w:fill="63BE7B"/>
            <w:noWrap/>
            <w:vAlign w:val="center"/>
            <w:hideMark/>
          </w:tcPr>
          <w:p w14:paraId="76FBEF36"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43" w:type="pct"/>
            <w:tcBorders>
              <w:top w:val="nil"/>
              <w:left w:val="nil"/>
              <w:bottom w:val="nil"/>
              <w:right w:val="nil"/>
            </w:tcBorders>
            <w:shd w:val="clear" w:color="000000" w:fill="63BE7B"/>
            <w:noWrap/>
            <w:vAlign w:val="center"/>
            <w:hideMark/>
          </w:tcPr>
          <w:p w14:paraId="3A14EF9E"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43" w:type="pct"/>
            <w:tcBorders>
              <w:top w:val="nil"/>
              <w:left w:val="nil"/>
              <w:bottom w:val="nil"/>
              <w:right w:val="nil"/>
            </w:tcBorders>
            <w:shd w:val="clear" w:color="000000" w:fill="6FC27C"/>
            <w:noWrap/>
            <w:vAlign w:val="center"/>
            <w:hideMark/>
          </w:tcPr>
          <w:p w14:paraId="503943C2"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96</w:t>
            </w:r>
          </w:p>
        </w:tc>
        <w:tc>
          <w:tcPr>
            <w:tcW w:w="122" w:type="pct"/>
            <w:tcBorders>
              <w:top w:val="nil"/>
              <w:left w:val="nil"/>
              <w:bottom w:val="nil"/>
              <w:right w:val="nil"/>
            </w:tcBorders>
            <w:shd w:val="clear" w:color="000000" w:fill="E1E383"/>
            <w:noWrap/>
            <w:vAlign w:val="center"/>
            <w:hideMark/>
          </w:tcPr>
          <w:p w14:paraId="3FE94EA1"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60</w:t>
            </w:r>
          </w:p>
        </w:tc>
        <w:tc>
          <w:tcPr>
            <w:tcW w:w="122" w:type="pct"/>
            <w:tcBorders>
              <w:top w:val="nil"/>
              <w:left w:val="nil"/>
              <w:bottom w:val="nil"/>
              <w:right w:val="nil"/>
            </w:tcBorders>
            <w:shd w:val="clear" w:color="000000" w:fill="81C77D"/>
            <w:noWrap/>
            <w:vAlign w:val="center"/>
            <w:hideMark/>
          </w:tcPr>
          <w:p w14:paraId="747A5891"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90</w:t>
            </w:r>
          </w:p>
        </w:tc>
        <w:tc>
          <w:tcPr>
            <w:tcW w:w="122" w:type="pct"/>
            <w:tcBorders>
              <w:top w:val="nil"/>
              <w:left w:val="nil"/>
              <w:bottom w:val="nil"/>
              <w:right w:val="nil"/>
            </w:tcBorders>
            <w:shd w:val="clear" w:color="000000" w:fill="99CE7F"/>
            <w:noWrap/>
            <w:vAlign w:val="center"/>
            <w:hideMark/>
          </w:tcPr>
          <w:p w14:paraId="14A4A9F7"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83</w:t>
            </w:r>
          </w:p>
        </w:tc>
        <w:tc>
          <w:tcPr>
            <w:tcW w:w="122" w:type="pct"/>
            <w:tcBorders>
              <w:top w:val="nil"/>
              <w:left w:val="nil"/>
              <w:bottom w:val="nil"/>
              <w:right w:val="nil"/>
            </w:tcBorders>
            <w:shd w:val="clear" w:color="000000" w:fill="CBDC81"/>
            <w:noWrap/>
            <w:vAlign w:val="center"/>
            <w:hideMark/>
          </w:tcPr>
          <w:p w14:paraId="0C1922CE"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67</w:t>
            </w:r>
          </w:p>
        </w:tc>
        <w:tc>
          <w:tcPr>
            <w:tcW w:w="143" w:type="pct"/>
            <w:tcBorders>
              <w:top w:val="nil"/>
              <w:left w:val="nil"/>
              <w:bottom w:val="nil"/>
              <w:right w:val="nil"/>
            </w:tcBorders>
            <w:shd w:val="clear" w:color="000000" w:fill="63BE7B"/>
            <w:noWrap/>
            <w:vAlign w:val="center"/>
            <w:hideMark/>
          </w:tcPr>
          <w:p w14:paraId="3B58E38C"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22" w:type="pct"/>
            <w:tcBorders>
              <w:top w:val="nil"/>
              <w:left w:val="nil"/>
              <w:bottom w:val="nil"/>
              <w:right w:val="nil"/>
            </w:tcBorders>
            <w:shd w:val="clear" w:color="000000" w:fill="FEE883"/>
            <w:noWrap/>
            <w:vAlign w:val="center"/>
            <w:hideMark/>
          </w:tcPr>
          <w:p w14:paraId="5C1E39DD"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49</w:t>
            </w:r>
          </w:p>
        </w:tc>
        <w:tc>
          <w:tcPr>
            <w:tcW w:w="122" w:type="pct"/>
            <w:tcBorders>
              <w:top w:val="nil"/>
              <w:left w:val="nil"/>
              <w:bottom w:val="nil"/>
              <w:right w:val="nil"/>
            </w:tcBorders>
            <w:shd w:val="clear" w:color="000000" w:fill="88C97E"/>
            <w:noWrap/>
            <w:vAlign w:val="center"/>
            <w:hideMark/>
          </w:tcPr>
          <w:p w14:paraId="0E9EC27B"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88</w:t>
            </w:r>
          </w:p>
        </w:tc>
        <w:tc>
          <w:tcPr>
            <w:tcW w:w="123" w:type="pct"/>
            <w:tcBorders>
              <w:top w:val="nil"/>
              <w:left w:val="nil"/>
              <w:bottom w:val="nil"/>
              <w:right w:val="nil"/>
            </w:tcBorders>
            <w:shd w:val="clear" w:color="000000" w:fill="B1D580"/>
            <w:noWrap/>
            <w:vAlign w:val="center"/>
            <w:hideMark/>
          </w:tcPr>
          <w:p w14:paraId="7B97B170"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75</w:t>
            </w:r>
          </w:p>
        </w:tc>
        <w:tc>
          <w:tcPr>
            <w:tcW w:w="122" w:type="pct"/>
            <w:tcBorders>
              <w:top w:val="nil"/>
              <w:left w:val="nil"/>
              <w:bottom w:val="nil"/>
              <w:right w:val="nil"/>
            </w:tcBorders>
            <w:shd w:val="clear" w:color="000000" w:fill="C2DA81"/>
            <w:noWrap/>
            <w:vAlign w:val="center"/>
            <w:hideMark/>
          </w:tcPr>
          <w:p w14:paraId="057EFDD7"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70</w:t>
            </w:r>
          </w:p>
        </w:tc>
        <w:tc>
          <w:tcPr>
            <w:tcW w:w="122" w:type="pct"/>
            <w:tcBorders>
              <w:top w:val="nil"/>
              <w:left w:val="nil"/>
              <w:bottom w:val="nil"/>
              <w:right w:val="nil"/>
            </w:tcBorders>
            <w:shd w:val="clear" w:color="000000" w:fill="7EC67D"/>
            <w:noWrap/>
            <w:vAlign w:val="center"/>
            <w:hideMark/>
          </w:tcPr>
          <w:p w14:paraId="73DCE729"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92</w:t>
            </w:r>
          </w:p>
        </w:tc>
        <w:tc>
          <w:tcPr>
            <w:tcW w:w="122" w:type="pct"/>
            <w:tcBorders>
              <w:top w:val="nil"/>
              <w:left w:val="nil"/>
              <w:bottom w:val="nil"/>
              <w:right w:val="nil"/>
            </w:tcBorders>
            <w:shd w:val="clear" w:color="000000" w:fill="A2D17F"/>
            <w:noWrap/>
            <w:vAlign w:val="center"/>
            <w:hideMark/>
          </w:tcPr>
          <w:p w14:paraId="7C9D09B9"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80</w:t>
            </w:r>
          </w:p>
        </w:tc>
        <w:tc>
          <w:tcPr>
            <w:tcW w:w="122" w:type="pct"/>
            <w:tcBorders>
              <w:top w:val="nil"/>
              <w:left w:val="nil"/>
              <w:bottom w:val="nil"/>
              <w:right w:val="nil"/>
            </w:tcBorders>
            <w:shd w:val="clear" w:color="000000" w:fill="A1D07F"/>
            <w:noWrap/>
            <w:vAlign w:val="center"/>
            <w:hideMark/>
          </w:tcPr>
          <w:p w14:paraId="2F8B0BE6"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80</w:t>
            </w:r>
          </w:p>
        </w:tc>
        <w:tc>
          <w:tcPr>
            <w:tcW w:w="122" w:type="pct"/>
            <w:tcBorders>
              <w:top w:val="nil"/>
              <w:left w:val="nil"/>
              <w:bottom w:val="nil"/>
              <w:right w:val="nil"/>
            </w:tcBorders>
            <w:shd w:val="clear" w:color="000000" w:fill="EAE583"/>
            <w:noWrap/>
            <w:vAlign w:val="center"/>
            <w:hideMark/>
          </w:tcPr>
          <w:p w14:paraId="04543C9E"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57</w:t>
            </w:r>
          </w:p>
        </w:tc>
        <w:tc>
          <w:tcPr>
            <w:tcW w:w="122" w:type="pct"/>
            <w:tcBorders>
              <w:top w:val="nil"/>
              <w:left w:val="nil"/>
              <w:bottom w:val="nil"/>
              <w:right w:val="nil"/>
            </w:tcBorders>
            <w:shd w:val="clear" w:color="000000" w:fill="C9DC81"/>
            <w:noWrap/>
            <w:vAlign w:val="center"/>
            <w:hideMark/>
          </w:tcPr>
          <w:p w14:paraId="2EA62682"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68</w:t>
            </w:r>
          </w:p>
        </w:tc>
        <w:tc>
          <w:tcPr>
            <w:tcW w:w="122" w:type="pct"/>
            <w:tcBorders>
              <w:top w:val="nil"/>
              <w:left w:val="nil"/>
              <w:bottom w:val="nil"/>
              <w:right w:val="nil"/>
            </w:tcBorders>
            <w:shd w:val="clear" w:color="000000" w:fill="FCB479"/>
            <w:noWrap/>
            <w:vAlign w:val="center"/>
            <w:hideMark/>
          </w:tcPr>
          <w:p w14:paraId="37200A0A"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29</w:t>
            </w:r>
          </w:p>
        </w:tc>
        <w:tc>
          <w:tcPr>
            <w:tcW w:w="122" w:type="pct"/>
            <w:tcBorders>
              <w:top w:val="nil"/>
              <w:left w:val="nil"/>
              <w:bottom w:val="nil"/>
              <w:right w:val="nil"/>
            </w:tcBorders>
            <w:shd w:val="clear" w:color="000000" w:fill="F5E884"/>
            <w:noWrap/>
            <w:vAlign w:val="center"/>
            <w:hideMark/>
          </w:tcPr>
          <w:p w14:paraId="632E000A"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53</w:t>
            </w:r>
          </w:p>
        </w:tc>
        <w:tc>
          <w:tcPr>
            <w:tcW w:w="122" w:type="pct"/>
            <w:tcBorders>
              <w:top w:val="nil"/>
              <w:left w:val="nil"/>
              <w:bottom w:val="nil"/>
              <w:right w:val="nil"/>
            </w:tcBorders>
            <w:shd w:val="clear" w:color="000000" w:fill="76C47D"/>
            <w:noWrap/>
            <w:vAlign w:val="center"/>
            <w:hideMark/>
          </w:tcPr>
          <w:p w14:paraId="76C47ABD"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94</w:t>
            </w:r>
          </w:p>
        </w:tc>
        <w:tc>
          <w:tcPr>
            <w:tcW w:w="122" w:type="pct"/>
            <w:tcBorders>
              <w:top w:val="nil"/>
              <w:left w:val="nil"/>
              <w:bottom w:val="nil"/>
              <w:right w:val="nil"/>
            </w:tcBorders>
            <w:shd w:val="clear" w:color="000000" w:fill="ACD480"/>
            <w:noWrap/>
            <w:vAlign w:val="center"/>
            <w:hideMark/>
          </w:tcPr>
          <w:p w14:paraId="6AA58F35"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77</w:t>
            </w:r>
          </w:p>
        </w:tc>
        <w:tc>
          <w:tcPr>
            <w:tcW w:w="123" w:type="pct"/>
            <w:tcBorders>
              <w:top w:val="nil"/>
              <w:left w:val="nil"/>
              <w:bottom w:val="nil"/>
              <w:right w:val="nil"/>
            </w:tcBorders>
            <w:shd w:val="clear" w:color="000000" w:fill="B8D780"/>
            <w:noWrap/>
            <w:vAlign w:val="center"/>
            <w:hideMark/>
          </w:tcPr>
          <w:p w14:paraId="6C73C97B"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73</w:t>
            </w:r>
          </w:p>
        </w:tc>
        <w:tc>
          <w:tcPr>
            <w:tcW w:w="122" w:type="pct"/>
            <w:tcBorders>
              <w:top w:val="nil"/>
              <w:left w:val="nil"/>
              <w:bottom w:val="nil"/>
              <w:right w:val="nil"/>
            </w:tcBorders>
            <w:shd w:val="clear" w:color="000000" w:fill="FDCD7E"/>
            <w:noWrap/>
            <w:vAlign w:val="center"/>
            <w:hideMark/>
          </w:tcPr>
          <w:p w14:paraId="31055CBC"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39</w:t>
            </w:r>
          </w:p>
        </w:tc>
        <w:tc>
          <w:tcPr>
            <w:tcW w:w="122" w:type="pct"/>
            <w:tcBorders>
              <w:top w:val="nil"/>
              <w:left w:val="nil"/>
              <w:bottom w:val="nil"/>
              <w:right w:val="nil"/>
            </w:tcBorders>
            <w:shd w:val="clear" w:color="000000" w:fill="B6D680"/>
            <w:noWrap/>
            <w:vAlign w:val="center"/>
            <w:hideMark/>
          </w:tcPr>
          <w:p w14:paraId="35C36540"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73</w:t>
            </w:r>
          </w:p>
        </w:tc>
        <w:tc>
          <w:tcPr>
            <w:tcW w:w="122" w:type="pct"/>
            <w:tcBorders>
              <w:top w:val="nil"/>
              <w:left w:val="nil"/>
              <w:bottom w:val="nil"/>
              <w:right w:val="nil"/>
            </w:tcBorders>
            <w:shd w:val="clear" w:color="000000" w:fill="FEEB84"/>
            <w:noWrap/>
            <w:vAlign w:val="center"/>
            <w:hideMark/>
          </w:tcPr>
          <w:p w14:paraId="241010A2"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51</w:t>
            </w:r>
          </w:p>
        </w:tc>
        <w:tc>
          <w:tcPr>
            <w:tcW w:w="122" w:type="pct"/>
            <w:tcBorders>
              <w:top w:val="nil"/>
              <w:left w:val="nil"/>
              <w:bottom w:val="nil"/>
              <w:right w:val="nil"/>
            </w:tcBorders>
            <w:shd w:val="clear" w:color="000000" w:fill="DFE283"/>
            <w:noWrap/>
            <w:vAlign w:val="center"/>
            <w:hideMark/>
          </w:tcPr>
          <w:p w14:paraId="175ADC2A"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60</w:t>
            </w:r>
          </w:p>
        </w:tc>
        <w:tc>
          <w:tcPr>
            <w:tcW w:w="122" w:type="pct"/>
            <w:tcBorders>
              <w:top w:val="nil"/>
              <w:left w:val="nil"/>
              <w:bottom w:val="nil"/>
              <w:right w:val="nil"/>
            </w:tcBorders>
            <w:shd w:val="clear" w:color="000000" w:fill="DDE182"/>
            <w:noWrap/>
            <w:vAlign w:val="center"/>
            <w:hideMark/>
          </w:tcPr>
          <w:p w14:paraId="13BCEB69"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61</w:t>
            </w:r>
          </w:p>
        </w:tc>
        <w:tc>
          <w:tcPr>
            <w:tcW w:w="123" w:type="pct"/>
            <w:tcBorders>
              <w:top w:val="nil"/>
              <w:left w:val="nil"/>
              <w:bottom w:val="nil"/>
              <w:right w:val="nil"/>
            </w:tcBorders>
            <w:shd w:val="clear" w:color="000000" w:fill="F2E884"/>
            <w:noWrap/>
            <w:vAlign w:val="center"/>
            <w:hideMark/>
          </w:tcPr>
          <w:p w14:paraId="519FDECE"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54</w:t>
            </w:r>
          </w:p>
        </w:tc>
        <w:tc>
          <w:tcPr>
            <w:tcW w:w="122" w:type="pct"/>
            <w:tcBorders>
              <w:top w:val="nil"/>
              <w:left w:val="nil"/>
              <w:bottom w:val="nil"/>
              <w:right w:val="nil"/>
            </w:tcBorders>
            <w:shd w:val="clear" w:color="000000" w:fill="F2E884"/>
            <w:noWrap/>
            <w:vAlign w:val="center"/>
            <w:hideMark/>
          </w:tcPr>
          <w:p w14:paraId="7D335F7F"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54</w:t>
            </w:r>
          </w:p>
        </w:tc>
      </w:tr>
      <w:tr w:rsidR="00B656F6" w:rsidRPr="00634756" w14:paraId="39A31850" w14:textId="77777777" w:rsidTr="008F0944">
        <w:trPr>
          <w:trHeight w:val="113"/>
        </w:trPr>
        <w:tc>
          <w:tcPr>
            <w:tcW w:w="131" w:type="pct"/>
            <w:vMerge/>
            <w:tcBorders>
              <w:left w:val="nil"/>
              <w:bottom w:val="nil"/>
              <w:right w:val="nil"/>
            </w:tcBorders>
            <w:shd w:val="clear" w:color="auto" w:fill="CC99FF"/>
          </w:tcPr>
          <w:p w14:paraId="51292894" w14:textId="77777777" w:rsidR="00B656F6" w:rsidRPr="00EB4864" w:rsidRDefault="00B656F6" w:rsidP="008F0944">
            <w:pPr>
              <w:snapToGrid w:val="0"/>
              <w:jc w:val="right"/>
              <w:rPr>
                <w:rFonts w:ascii="等线" w:eastAsia="等线" w:hAnsi="等线" w:cs="宋体"/>
                <w:b/>
                <w:color w:val="000000"/>
                <w:sz w:val="15"/>
                <w:szCs w:val="15"/>
              </w:rPr>
            </w:pPr>
          </w:p>
        </w:tc>
        <w:tc>
          <w:tcPr>
            <w:tcW w:w="469" w:type="pct"/>
            <w:tcBorders>
              <w:top w:val="nil"/>
              <w:left w:val="nil"/>
              <w:bottom w:val="nil"/>
              <w:right w:val="nil"/>
            </w:tcBorders>
            <w:shd w:val="clear" w:color="auto" w:fill="CC99FF"/>
            <w:noWrap/>
            <w:vAlign w:val="center"/>
            <w:hideMark/>
          </w:tcPr>
          <w:p w14:paraId="33068F15" w14:textId="77777777" w:rsidR="00B656F6" w:rsidRPr="00EB4864" w:rsidRDefault="00B656F6" w:rsidP="008F0944">
            <w:pPr>
              <w:snapToGrid w:val="0"/>
              <w:jc w:val="right"/>
              <w:rPr>
                <w:rFonts w:ascii="等线" w:eastAsia="等线" w:hAnsi="等线" w:cs="宋体"/>
                <w:b/>
                <w:color w:val="000000"/>
                <w:sz w:val="15"/>
                <w:szCs w:val="15"/>
              </w:rPr>
            </w:pPr>
            <w:r w:rsidRPr="00EB4864">
              <w:rPr>
                <w:rFonts w:ascii="等线" w:eastAsia="等线" w:hAnsi="等线" w:cs="宋体"/>
                <w:b/>
                <w:color w:val="000000"/>
                <w:sz w:val="15"/>
                <w:szCs w:val="15"/>
              </w:rPr>
              <w:t>Xinjiang</w:t>
            </w:r>
          </w:p>
        </w:tc>
        <w:tc>
          <w:tcPr>
            <w:tcW w:w="122" w:type="pct"/>
            <w:tcBorders>
              <w:top w:val="nil"/>
              <w:left w:val="nil"/>
              <w:bottom w:val="nil"/>
              <w:right w:val="nil"/>
            </w:tcBorders>
            <w:shd w:val="clear" w:color="000000" w:fill="8DCA7E"/>
            <w:noWrap/>
            <w:vAlign w:val="center"/>
            <w:hideMark/>
          </w:tcPr>
          <w:p w14:paraId="1DABDFE3"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87</w:t>
            </w:r>
          </w:p>
        </w:tc>
        <w:tc>
          <w:tcPr>
            <w:tcW w:w="143" w:type="pct"/>
            <w:tcBorders>
              <w:top w:val="nil"/>
              <w:left w:val="nil"/>
              <w:bottom w:val="nil"/>
              <w:right w:val="nil"/>
            </w:tcBorders>
            <w:shd w:val="clear" w:color="000000" w:fill="63BE7B"/>
            <w:noWrap/>
            <w:vAlign w:val="center"/>
            <w:hideMark/>
          </w:tcPr>
          <w:p w14:paraId="65B8D756"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22" w:type="pct"/>
            <w:tcBorders>
              <w:top w:val="nil"/>
              <w:left w:val="nil"/>
              <w:bottom w:val="nil"/>
              <w:right w:val="nil"/>
            </w:tcBorders>
            <w:shd w:val="clear" w:color="000000" w:fill="6FC27C"/>
            <w:noWrap/>
            <w:vAlign w:val="center"/>
            <w:hideMark/>
          </w:tcPr>
          <w:p w14:paraId="7F29F034"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96</w:t>
            </w:r>
          </w:p>
        </w:tc>
        <w:tc>
          <w:tcPr>
            <w:tcW w:w="122" w:type="pct"/>
            <w:tcBorders>
              <w:top w:val="nil"/>
              <w:left w:val="nil"/>
              <w:bottom w:val="nil"/>
              <w:right w:val="nil"/>
            </w:tcBorders>
            <w:shd w:val="clear" w:color="000000" w:fill="7BC57D"/>
            <w:noWrap/>
            <w:vAlign w:val="center"/>
            <w:hideMark/>
          </w:tcPr>
          <w:p w14:paraId="06F105A9"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92</w:t>
            </w:r>
          </w:p>
        </w:tc>
        <w:tc>
          <w:tcPr>
            <w:tcW w:w="143" w:type="pct"/>
            <w:tcBorders>
              <w:top w:val="nil"/>
              <w:left w:val="nil"/>
              <w:bottom w:val="nil"/>
              <w:right w:val="nil"/>
            </w:tcBorders>
            <w:shd w:val="clear" w:color="000000" w:fill="97CD7E"/>
            <w:noWrap/>
            <w:vAlign w:val="center"/>
            <w:hideMark/>
          </w:tcPr>
          <w:p w14:paraId="6772E727"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83</w:t>
            </w:r>
          </w:p>
        </w:tc>
        <w:tc>
          <w:tcPr>
            <w:tcW w:w="122" w:type="pct"/>
            <w:tcBorders>
              <w:top w:val="nil"/>
              <w:left w:val="nil"/>
              <w:bottom w:val="nil"/>
              <w:right w:val="nil"/>
            </w:tcBorders>
            <w:shd w:val="clear" w:color="000000" w:fill="76C47D"/>
            <w:noWrap/>
            <w:vAlign w:val="center"/>
            <w:hideMark/>
          </w:tcPr>
          <w:p w14:paraId="3E1ABD4D"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94</w:t>
            </w:r>
          </w:p>
        </w:tc>
        <w:tc>
          <w:tcPr>
            <w:tcW w:w="143" w:type="pct"/>
            <w:tcBorders>
              <w:top w:val="nil"/>
              <w:left w:val="nil"/>
              <w:bottom w:val="nil"/>
              <w:right w:val="nil"/>
            </w:tcBorders>
            <w:shd w:val="clear" w:color="000000" w:fill="81C77D"/>
            <w:noWrap/>
            <w:vAlign w:val="center"/>
            <w:hideMark/>
          </w:tcPr>
          <w:p w14:paraId="22DD0FA9"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91</w:t>
            </w:r>
          </w:p>
        </w:tc>
        <w:tc>
          <w:tcPr>
            <w:tcW w:w="143" w:type="pct"/>
            <w:tcBorders>
              <w:top w:val="nil"/>
              <w:left w:val="nil"/>
              <w:bottom w:val="nil"/>
              <w:right w:val="nil"/>
            </w:tcBorders>
            <w:shd w:val="clear" w:color="000000" w:fill="8ACA7E"/>
            <w:noWrap/>
            <w:vAlign w:val="center"/>
            <w:hideMark/>
          </w:tcPr>
          <w:p w14:paraId="15AE9453"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88</w:t>
            </w:r>
          </w:p>
        </w:tc>
        <w:tc>
          <w:tcPr>
            <w:tcW w:w="143" w:type="pct"/>
            <w:tcBorders>
              <w:top w:val="nil"/>
              <w:left w:val="nil"/>
              <w:bottom w:val="nil"/>
              <w:right w:val="nil"/>
            </w:tcBorders>
            <w:shd w:val="clear" w:color="000000" w:fill="83C87D"/>
            <w:noWrap/>
            <w:vAlign w:val="center"/>
            <w:hideMark/>
          </w:tcPr>
          <w:p w14:paraId="657CE408"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90</w:t>
            </w:r>
          </w:p>
        </w:tc>
        <w:tc>
          <w:tcPr>
            <w:tcW w:w="122" w:type="pct"/>
            <w:tcBorders>
              <w:top w:val="nil"/>
              <w:left w:val="nil"/>
              <w:bottom w:val="nil"/>
              <w:right w:val="nil"/>
            </w:tcBorders>
            <w:shd w:val="clear" w:color="000000" w:fill="CBDC81"/>
            <w:noWrap/>
            <w:vAlign w:val="center"/>
            <w:hideMark/>
          </w:tcPr>
          <w:p w14:paraId="0344E35F"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67</w:t>
            </w:r>
          </w:p>
        </w:tc>
        <w:tc>
          <w:tcPr>
            <w:tcW w:w="122" w:type="pct"/>
            <w:tcBorders>
              <w:top w:val="nil"/>
              <w:left w:val="nil"/>
              <w:bottom w:val="nil"/>
              <w:right w:val="nil"/>
            </w:tcBorders>
            <w:shd w:val="clear" w:color="000000" w:fill="93CC7E"/>
            <w:noWrap/>
            <w:vAlign w:val="center"/>
            <w:hideMark/>
          </w:tcPr>
          <w:p w14:paraId="04D36C89"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85</w:t>
            </w:r>
          </w:p>
        </w:tc>
        <w:tc>
          <w:tcPr>
            <w:tcW w:w="122" w:type="pct"/>
            <w:tcBorders>
              <w:top w:val="nil"/>
              <w:left w:val="nil"/>
              <w:bottom w:val="nil"/>
              <w:right w:val="nil"/>
            </w:tcBorders>
            <w:shd w:val="clear" w:color="000000" w:fill="F8696B"/>
            <w:noWrap/>
            <w:vAlign w:val="center"/>
            <w:hideMark/>
          </w:tcPr>
          <w:p w14:paraId="3DF78004"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0</w:t>
            </w:r>
          </w:p>
        </w:tc>
        <w:tc>
          <w:tcPr>
            <w:tcW w:w="122" w:type="pct"/>
            <w:tcBorders>
              <w:top w:val="nil"/>
              <w:left w:val="nil"/>
              <w:bottom w:val="nil"/>
              <w:right w:val="nil"/>
            </w:tcBorders>
            <w:shd w:val="clear" w:color="000000" w:fill="F8696B"/>
            <w:noWrap/>
            <w:vAlign w:val="center"/>
            <w:hideMark/>
          </w:tcPr>
          <w:p w14:paraId="5AF6E56B"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0</w:t>
            </w:r>
          </w:p>
        </w:tc>
        <w:tc>
          <w:tcPr>
            <w:tcW w:w="143" w:type="pct"/>
            <w:tcBorders>
              <w:top w:val="nil"/>
              <w:left w:val="nil"/>
              <w:bottom w:val="nil"/>
              <w:right w:val="nil"/>
            </w:tcBorders>
            <w:shd w:val="clear" w:color="000000" w:fill="63BE7B"/>
            <w:noWrap/>
            <w:vAlign w:val="center"/>
            <w:hideMark/>
          </w:tcPr>
          <w:p w14:paraId="4CCC31D5"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22" w:type="pct"/>
            <w:tcBorders>
              <w:top w:val="nil"/>
              <w:left w:val="nil"/>
              <w:bottom w:val="nil"/>
              <w:right w:val="nil"/>
            </w:tcBorders>
            <w:shd w:val="clear" w:color="000000" w:fill="FEE683"/>
            <w:noWrap/>
            <w:vAlign w:val="center"/>
            <w:hideMark/>
          </w:tcPr>
          <w:p w14:paraId="50A08ACD"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48</w:t>
            </w:r>
          </w:p>
        </w:tc>
        <w:tc>
          <w:tcPr>
            <w:tcW w:w="122" w:type="pct"/>
            <w:tcBorders>
              <w:top w:val="nil"/>
              <w:left w:val="nil"/>
              <w:bottom w:val="nil"/>
              <w:right w:val="nil"/>
            </w:tcBorders>
            <w:shd w:val="clear" w:color="000000" w:fill="8CCA7E"/>
            <w:noWrap/>
            <w:vAlign w:val="center"/>
            <w:hideMark/>
          </w:tcPr>
          <w:p w14:paraId="39F9ACD2"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87</w:t>
            </w:r>
          </w:p>
        </w:tc>
        <w:tc>
          <w:tcPr>
            <w:tcW w:w="123" w:type="pct"/>
            <w:tcBorders>
              <w:top w:val="nil"/>
              <w:left w:val="nil"/>
              <w:bottom w:val="nil"/>
              <w:right w:val="nil"/>
            </w:tcBorders>
            <w:shd w:val="clear" w:color="000000" w:fill="F98B71"/>
            <w:noWrap/>
            <w:vAlign w:val="center"/>
            <w:hideMark/>
          </w:tcPr>
          <w:p w14:paraId="3A67BFAB"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13</w:t>
            </w:r>
          </w:p>
        </w:tc>
        <w:tc>
          <w:tcPr>
            <w:tcW w:w="122" w:type="pct"/>
            <w:tcBorders>
              <w:top w:val="nil"/>
              <w:left w:val="nil"/>
              <w:bottom w:val="nil"/>
              <w:right w:val="nil"/>
            </w:tcBorders>
            <w:shd w:val="clear" w:color="000000" w:fill="D6E082"/>
            <w:noWrap/>
            <w:vAlign w:val="center"/>
            <w:hideMark/>
          </w:tcPr>
          <w:p w14:paraId="3930D29F"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63</w:t>
            </w:r>
          </w:p>
        </w:tc>
        <w:tc>
          <w:tcPr>
            <w:tcW w:w="122" w:type="pct"/>
            <w:tcBorders>
              <w:top w:val="nil"/>
              <w:left w:val="nil"/>
              <w:bottom w:val="nil"/>
              <w:right w:val="nil"/>
            </w:tcBorders>
            <w:shd w:val="clear" w:color="000000" w:fill="7AC57D"/>
            <w:noWrap/>
            <w:vAlign w:val="center"/>
            <w:hideMark/>
          </w:tcPr>
          <w:p w14:paraId="210CECE3"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93</w:t>
            </w:r>
          </w:p>
        </w:tc>
        <w:tc>
          <w:tcPr>
            <w:tcW w:w="122" w:type="pct"/>
            <w:tcBorders>
              <w:top w:val="nil"/>
              <w:left w:val="nil"/>
              <w:bottom w:val="nil"/>
              <w:right w:val="nil"/>
            </w:tcBorders>
            <w:shd w:val="clear" w:color="000000" w:fill="ADD480"/>
            <w:noWrap/>
            <w:vAlign w:val="center"/>
            <w:hideMark/>
          </w:tcPr>
          <w:p w14:paraId="07E8931D"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77</w:t>
            </w:r>
          </w:p>
        </w:tc>
        <w:tc>
          <w:tcPr>
            <w:tcW w:w="122" w:type="pct"/>
            <w:tcBorders>
              <w:top w:val="nil"/>
              <w:left w:val="nil"/>
              <w:bottom w:val="nil"/>
              <w:right w:val="nil"/>
            </w:tcBorders>
            <w:shd w:val="clear" w:color="000000" w:fill="99CE7F"/>
            <w:noWrap/>
            <w:vAlign w:val="center"/>
            <w:hideMark/>
          </w:tcPr>
          <w:p w14:paraId="0060806D"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83</w:t>
            </w:r>
          </w:p>
        </w:tc>
        <w:tc>
          <w:tcPr>
            <w:tcW w:w="122" w:type="pct"/>
            <w:tcBorders>
              <w:top w:val="nil"/>
              <w:left w:val="nil"/>
              <w:bottom w:val="nil"/>
              <w:right w:val="nil"/>
            </w:tcBorders>
            <w:shd w:val="clear" w:color="000000" w:fill="E4E483"/>
            <w:noWrap/>
            <w:vAlign w:val="center"/>
            <w:hideMark/>
          </w:tcPr>
          <w:p w14:paraId="112B949E"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59</w:t>
            </w:r>
          </w:p>
        </w:tc>
        <w:tc>
          <w:tcPr>
            <w:tcW w:w="122" w:type="pct"/>
            <w:tcBorders>
              <w:top w:val="nil"/>
              <w:left w:val="nil"/>
              <w:bottom w:val="nil"/>
              <w:right w:val="nil"/>
            </w:tcBorders>
            <w:shd w:val="clear" w:color="000000" w:fill="C2DA81"/>
            <w:noWrap/>
            <w:vAlign w:val="center"/>
            <w:hideMark/>
          </w:tcPr>
          <w:p w14:paraId="4FF11BA9"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70</w:t>
            </w:r>
          </w:p>
        </w:tc>
        <w:tc>
          <w:tcPr>
            <w:tcW w:w="122" w:type="pct"/>
            <w:tcBorders>
              <w:top w:val="nil"/>
              <w:left w:val="nil"/>
              <w:bottom w:val="nil"/>
              <w:right w:val="nil"/>
            </w:tcBorders>
            <w:shd w:val="clear" w:color="000000" w:fill="FDCA7D"/>
            <w:noWrap/>
            <w:vAlign w:val="center"/>
            <w:hideMark/>
          </w:tcPr>
          <w:p w14:paraId="6FBEF552"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37</w:t>
            </w:r>
          </w:p>
        </w:tc>
        <w:tc>
          <w:tcPr>
            <w:tcW w:w="122" w:type="pct"/>
            <w:tcBorders>
              <w:top w:val="nil"/>
              <w:left w:val="nil"/>
              <w:bottom w:val="nil"/>
              <w:right w:val="nil"/>
            </w:tcBorders>
            <w:shd w:val="clear" w:color="000000" w:fill="FEDD81"/>
            <w:noWrap/>
            <w:vAlign w:val="center"/>
            <w:hideMark/>
          </w:tcPr>
          <w:p w14:paraId="0BD62F6C"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45</w:t>
            </w:r>
          </w:p>
        </w:tc>
        <w:tc>
          <w:tcPr>
            <w:tcW w:w="122" w:type="pct"/>
            <w:tcBorders>
              <w:top w:val="nil"/>
              <w:left w:val="nil"/>
              <w:bottom w:val="nil"/>
              <w:right w:val="nil"/>
            </w:tcBorders>
            <w:shd w:val="clear" w:color="000000" w:fill="8ECB7E"/>
            <w:noWrap/>
            <w:vAlign w:val="center"/>
            <w:hideMark/>
          </w:tcPr>
          <w:p w14:paraId="32E5F39D"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87</w:t>
            </w:r>
          </w:p>
        </w:tc>
        <w:tc>
          <w:tcPr>
            <w:tcW w:w="122" w:type="pct"/>
            <w:tcBorders>
              <w:top w:val="nil"/>
              <w:left w:val="nil"/>
              <w:bottom w:val="nil"/>
              <w:right w:val="nil"/>
            </w:tcBorders>
            <w:shd w:val="clear" w:color="000000" w:fill="CDDD82"/>
            <w:noWrap/>
            <w:vAlign w:val="center"/>
            <w:hideMark/>
          </w:tcPr>
          <w:p w14:paraId="3ABF9C69"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66</w:t>
            </w:r>
          </w:p>
        </w:tc>
        <w:tc>
          <w:tcPr>
            <w:tcW w:w="123" w:type="pct"/>
            <w:tcBorders>
              <w:top w:val="nil"/>
              <w:left w:val="nil"/>
              <w:bottom w:val="nil"/>
              <w:right w:val="nil"/>
            </w:tcBorders>
            <w:shd w:val="clear" w:color="000000" w:fill="D5DF82"/>
            <w:noWrap/>
            <w:vAlign w:val="center"/>
            <w:hideMark/>
          </w:tcPr>
          <w:p w14:paraId="63E041D5"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64</w:t>
            </w:r>
          </w:p>
        </w:tc>
        <w:tc>
          <w:tcPr>
            <w:tcW w:w="122" w:type="pct"/>
            <w:tcBorders>
              <w:top w:val="nil"/>
              <w:left w:val="nil"/>
              <w:bottom w:val="nil"/>
              <w:right w:val="nil"/>
            </w:tcBorders>
            <w:shd w:val="clear" w:color="000000" w:fill="F98A71"/>
            <w:noWrap/>
            <w:vAlign w:val="center"/>
            <w:hideMark/>
          </w:tcPr>
          <w:p w14:paraId="2D4A727B"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13</w:t>
            </w:r>
          </w:p>
        </w:tc>
        <w:tc>
          <w:tcPr>
            <w:tcW w:w="122" w:type="pct"/>
            <w:tcBorders>
              <w:top w:val="nil"/>
              <w:left w:val="nil"/>
              <w:bottom w:val="nil"/>
              <w:right w:val="nil"/>
            </w:tcBorders>
            <w:shd w:val="clear" w:color="000000" w:fill="BFD981"/>
            <w:noWrap/>
            <w:vAlign w:val="center"/>
            <w:hideMark/>
          </w:tcPr>
          <w:p w14:paraId="1C1693F4"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71</w:t>
            </w:r>
          </w:p>
        </w:tc>
        <w:tc>
          <w:tcPr>
            <w:tcW w:w="122" w:type="pct"/>
            <w:tcBorders>
              <w:top w:val="nil"/>
              <w:left w:val="nil"/>
              <w:bottom w:val="nil"/>
              <w:right w:val="nil"/>
            </w:tcBorders>
            <w:shd w:val="clear" w:color="000000" w:fill="E9E583"/>
            <w:noWrap/>
            <w:vAlign w:val="center"/>
            <w:hideMark/>
          </w:tcPr>
          <w:p w14:paraId="2936C51E"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57</w:t>
            </w:r>
          </w:p>
        </w:tc>
        <w:tc>
          <w:tcPr>
            <w:tcW w:w="122" w:type="pct"/>
            <w:tcBorders>
              <w:top w:val="nil"/>
              <w:left w:val="nil"/>
              <w:bottom w:val="nil"/>
              <w:right w:val="nil"/>
            </w:tcBorders>
            <w:shd w:val="clear" w:color="000000" w:fill="B4D680"/>
            <w:noWrap/>
            <w:vAlign w:val="center"/>
            <w:hideMark/>
          </w:tcPr>
          <w:p w14:paraId="3534E2B2"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74</w:t>
            </w:r>
          </w:p>
        </w:tc>
        <w:tc>
          <w:tcPr>
            <w:tcW w:w="122" w:type="pct"/>
            <w:tcBorders>
              <w:top w:val="nil"/>
              <w:left w:val="nil"/>
              <w:bottom w:val="nil"/>
              <w:right w:val="nil"/>
            </w:tcBorders>
            <w:shd w:val="clear" w:color="000000" w:fill="C4DA81"/>
            <w:noWrap/>
            <w:vAlign w:val="center"/>
            <w:hideMark/>
          </w:tcPr>
          <w:p w14:paraId="48E9957D"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69</w:t>
            </w:r>
          </w:p>
        </w:tc>
        <w:tc>
          <w:tcPr>
            <w:tcW w:w="123" w:type="pct"/>
            <w:tcBorders>
              <w:top w:val="nil"/>
              <w:left w:val="nil"/>
              <w:bottom w:val="nil"/>
              <w:right w:val="nil"/>
            </w:tcBorders>
            <w:shd w:val="clear" w:color="000000" w:fill="FEDB81"/>
            <w:noWrap/>
            <w:vAlign w:val="center"/>
            <w:hideMark/>
          </w:tcPr>
          <w:p w14:paraId="4418B98C"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44</w:t>
            </w:r>
          </w:p>
        </w:tc>
        <w:tc>
          <w:tcPr>
            <w:tcW w:w="122" w:type="pct"/>
            <w:tcBorders>
              <w:top w:val="nil"/>
              <w:left w:val="nil"/>
              <w:bottom w:val="nil"/>
              <w:right w:val="nil"/>
            </w:tcBorders>
            <w:shd w:val="clear" w:color="000000" w:fill="FDD780"/>
            <w:noWrap/>
            <w:vAlign w:val="center"/>
            <w:hideMark/>
          </w:tcPr>
          <w:p w14:paraId="0393013C"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42</w:t>
            </w:r>
          </w:p>
        </w:tc>
      </w:tr>
      <w:tr w:rsidR="00B656F6" w:rsidRPr="00634756" w14:paraId="15E3C699" w14:textId="77777777" w:rsidTr="008F0944">
        <w:trPr>
          <w:trHeight w:val="113"/>
        </w:trPr>
        <w:tc>
          <w:tcPr>
            <w:tcW w:w="131" w:type="pct"/>
            <w:tcBorders>
              <w:top w:val="nil"/>
              <w:left w:val="nil"/>
              <w:bottom w:val="nil"/>
              <w:right w:val="nil"/>
            </w:tcBorders>
            <w:shd w:val="clear" w:color="auto" w:fill="D9E2F3" w:themeFill="accent1" w:themeFillTint="33"/>
          </w:tcPr>
          <w:p w14:paraId="40E893C6" w14:textId="77777777" w:rsidR="00B656F6" w:rsidRPr="00EB4864" w:rsidRDefault="00B656F6" w:rsidP="008F0944">
            <w:pPr>
              <w:snapToGrid w:val="0"/>
              <w:jc w:val="right"/>
              <w:rPr>
                <w:rFonts w:ascii="等线" w:eastAsia="等线" w:hAnsi="等线" w:cs="宋体"/>
                <w:b/>
                <w:color w:val="000000"/>
                <w:sz w:val="15"/>
                <w:szCs w:val="15"/>
              </w:rPr>
            </w:pPr>
          </w:p>
        </w:tc>
        <w:tc>
          <w:tcPr>
            <w:tcW w:w="469" w:type="pct"/>
            <w:tcBorders>
              <w:top w:val="nil"/>
              <w:left w:val="nil"/>
              <w:bottom w:val="nil"/>
              <w:right w:val="nil"/>
            </w:tcBorders>
            <w:shd w:val="clear" w:color="auto" w:fill="D9E2F3" w:themeFill="accent1" w:themeFillTint="33"/>
            <w:noWrap/>
            <w:vAlign w:val="center"/>
            <w:hideMark/>
          </w:tcPr>
          <w:p w14:paraId="3579DD2F" w14:textId="77777777" w:rsidR="00B656F6" w:rsidRPr="00EB4864" w:rsidRDefault="00B656F6" w:rsidP="008F0944">
            <w:pPr>
              <w:snapToGrid w:val="0"/>
              <w:jc w:val="right"/>
              <w:rPr>
                <w:rFonts w:ascii="等线" w:eastAsia="等线" w:hAnsi="等线" w:cs="宋体"/>
                <w:b/>
                <w:color w:val="000000"/>
                <w:sz w:val="15"/>
                <w:szCs w:val="15"/>
              </w:rPr>
            </w:pPr>
            <w:r w:rsidRPr="00EB4864">
              <w:rPr>
                <w:rFonts w:ascii="等线" w:eastAsia="等线" w:hAnsi="等线" w:cs="宋体"/>
                <w:b/>
                <w:color w:val="000000"/>
                <w:sz w:val="15"/>
                <w:szCs w:val="15"/>
              </w:rPr>
              <w:t>Hong Kong**</w:t>
            </w:r>
          </w:p>
        </w:tc>
        <w:tc>
          <w:tcPr>
            <w:tcW w:w="122" w:type="pct"/>
            <w:tcBorders>
              <w:top w:val="nil"/>
              <w:left w:val="nil"/>
              <w:bottom w:val="nil"/>
              <w:right w:val="nil"/>
            </w:tcBorders>
            <w:shd w:val="clear" w:color="000000" w:fill="74C37C"/>
            <w:noWrap/>
            <w:vAlign w:val="center"/>
            <w:hideMark/>
          </w:tcPr>
          <w:p w14:paraId="1F272E24"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95</w:t>
            </w:r>
          </w:p>
        </w:tc>
        <w:tc>
          <w:tcPr>
            <w:tcW w:w="143" w:type="pct"/>
            <w:tcBorders>
              <w:top w:val="nil"/>
              <w:left w:val="nil"/>
              <w:bottom w:val="nil"/>
              <w:right w:val="nil"/>
            </w:tcBorders>
            <w:shd w:val="clear" w:color="000000" w:fill="63BE7B"/>
            <w:noWrap/>
            <w:vAlign w:val="center"/>
            <w:hideMark/>
          </w:tcPr>
          <w:p w14:paraId="3D21DB4B"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22" w:type="pct"/>
            <w:tcBorders>
              <w:top w:val="nil"/>
              <w:left w:val="nil"/>
              <w:bottom w:val="nil"/>
              <w:right w:val="nil"/>
            </w:tcBorders>
            <w:shd w:val="clear" w:color="000000" w:fill="F8696B"/>
            <w:noWrap/>
            <w:vAlign w:val="center"/>
            <w:hideMark/>
          </w:tcPr>
          <w:p w14:paraId="56E69945"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0</w:t>
            </w:r>
          </w:p>
        </w:tc>
        <w:tc>
          <w:tcPr>
            <w:tcW w:w="122" w:type="pct"/>
            <w:tcBorders>
              <w:top w:val="nil"/>
              <w:left w:val="nil"/>
              <w:bottom w:val="nil"/>
              <w:right w:val="nil"/>
            </w:tcBorders>
            <w:shd w:val="clear" w:color="000000" w:fill="FCB97A"/>
            <w:noWrap/>
            <w:vAlign w:val="center"/>
            <w:hideMark/>
          </w:tcPr>
          <w:p w14:paraId="6792E1C7"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31</w:t>
            </w:r>
          </w:p>
        </w:tc>
        <w:tc>
          <w:tcPr>
            <w:tcW w:w="143" w:type="pct"/>
            <w:tcBorders>
              <w:top w:val="nil"/>
              <w:left w:val="nil"/>
              <w:bottom w:val="nil"/>
              <w:right w:val="nil"/>
            </w:tcBorders>
            <w:shd w:val="clear" w:color="000000" w:fill="63BE7B"/>
            <w:noWrap/>
            <w:vAlign w:val="center"/>
            <w:hideMark/>
          </w:tcPr>
          <w:p w14:paraId="08EC76D9"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22" w:type="pct"/>
            <w:tcBorders>
              <w:top w:val="nil"/>
              <w:left w:val="nil"/>
              <w:bottom w:val="nil"/>
              <w:right w:val="nil"/>
            </w:tcBorders>
            <w:shd w:val="clear" w:color="000000" w:fill="69C07C"/>
            <w:noWrap/>
            <w:vAlign w:val="center"/>
            <w:hideMark/>
          </w:tcPr>
          <w:p w14:paraId="7298175B"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98</w:t>
            </w:r>
          </w:p>
        </w:tc>
        <w:tc>
          <w:tcPr>
            <w:tcW w:w="143" w:type="pct"/>
            <w:tcBorders>
              <w:top w:val="nil"/>
              <w:left w:val="nil"/>
              <w:bottom w:val="nil"/>
              <w:right w:val="nil"/>
            </w:tcBorders>
            <w:shd w:val="clear" w:color="000000" w:fill="63BE7B"/>
            <w:noWrap/>
            <w:vAlign w:val="center"/>
            <w:hideMark/>
          </w:tcPr>
          <w:p w14:paraId="4FC4E48F"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43" w:type="pct"/>
            <w:tcBorders>
              <w:top w:val="nil"/>
              <w:left w:val="nil"/>
              <w:bottom w:val="nil"/>
              <w:right w:val="nil"/>
            </w:tcBorders>
            <w:shd w:val="clear" w:color="000000" w:fill="63BE7B"/>
            <w:noWrap/>
            <w:vAlign w:val="center"/>
            <w:hideMark/>
          </w:tcPr>
          <w:p w14:paraId="4F812E5F"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43" w:type="pct"/>
            <w:tcBorders>
              <w:top w:val="nil"/>
              <w:left w:val="nil"/>
              <w:bottom w:val="nil"/>
              <w:right w:val="nil"/>
            </w:tcBorders>
            <w:shd w:val="clear" w:color="000000" w:fill="64BF7C"/>
            <w:noWrap/>
            <w:vAlign w:val="center"/>
            <w:hideMark/>
          </w:tcPr>
          <w:p w14:paraId="29DCC5FC"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22" w:type="pct"/>
            <w:tcBorders>
              <w:top w:val="nil"/>
              <w:left w:val="nil"/>
              <w:bottom w:val="nil"/>
              <w:right w:val="nil"/>
            </w:tcBorders>
            <w:shd w:val="clear" w:color="000000" w:fill="B0D580"/>
            <w:noWrap/>
            <w:vAlign w:val="center"/>
            <w:hideMark/>
          </w:tcPr>
          <w:p w14:paraId="15A4155D"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75</w:t>
            </w:r>
          </w:p>
        </w:tc>
        <w:tc>
          <w:tcPr>
            <w:tcW w:w="122" w:type="pct"/>
            <w:tcBorders>
              <w:top w:val="nil"/>
              <w:left w:val="nil"/>
              <w:bottom w:val="nil"/>
              <w:right w:val="nil"/>
            </w:tcBorders>
            <w:shd w:val="clear" w:color="000000" w:fill="73C37C"/>
            <w:noWrap/>
            <w:vAlign w:val="center"/>
            <w:hideMark/>
          </w:tcPr>
          <w:p w14:paraId="52D448D5"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95</w:t>
            </w:r>
          </w:p>
        </w:tc>
        <w:tc>
          <w:tcPr>
            <w:tcW w:w="122" w:type="pct"/>
            <w:tcBorders>
              <w:top w:val="nil"/>
              <w:left w:val="nil"/>
              <w:bottom w:val="nil"/>
              <w:right w:val="nil"/>
            </w:tcBorders>
            <w:shd w:val="clear" w:color="000000" w:fill="80C77D"/>
            <w:noWrap/>
            <w:vAlign w:val="center"/>
            <w:hideMark/>
          </w:tcPr>
          <w:p w14:paraId="34FAE820"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91</w:t>
            </w:r>
          </w:p>
        </w:tc>
        <w:tc>
          <w:tcPr>
            <w:tcW w:w="122" w:type="pct"/>
            <w:tcBorders>
              <w:top w:val="nil"/>
              <w:left w:val="nil"/>
              <w:bottom w:val="nil"/>
              <w:right w:val="nil"/>
            </w:tcBorders>
            <w:shd w:val="clear" w:color="000000" w:fill="9BCF7F"/>
            <w:noWrap/>
            <w:vAlign w:val="center"/>
            <w:hideMark/>
          </w:tcPr>
          <w:p w14:paraId="18A7D7D0"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82</w:t>
            </w:r>
          </w:p>
        </w:tc>
        <w:tc>
          <w:tcPr>
            <w:tcW w:w="143" w:type="pct"/>
            <w:tcBorders>
              <w:top w:val="nil"/>
              <w:left w:val="nil"/>
              <w:bottom w:val="nil"/>
              <w:right w:val="nil"/>
            </w:tcBorders>
            <w:shd w:val="clear" w:color="000000" w:fill="63BE7B"/>
            <w:noWrap/>
            <w:vAlign w:val="center"/>
            <w:hideMark/>
          </w:tcPr>
          <w:p w14:paraId="7A0F0546"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22" w:type="pct"/>
            <w:tcBorders>
              <w:top w:val="nil"/>
              <w:left w:val="nil"/>
              <w:bottom w:val="nil"/>
              <w:right w:val="nil"/>
            </w:tcBorders>
            <w:shd w:val="clear" w:color="000000" w:fill="C3DA81"/>
            <w:noWrap/>
            <w:vAlign w:val="center"/>
            <w:hideMark/>
          </w:tcPr>
          <w:p w14:paraId="2D4A4FE8"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69</w:t>
            </w:r>
          </w:p>
        </w:tc>
        <w:tc>
          <w:tcPr>
            <w:tcW w:w="122" w:type="pct"/>
            <w:tcBorders>
              <w:top w:val="nil"/>
              <w:left w:val="nil"/>
              <w:bottom w:val="nil"/>
              <w:right w:val="nil"/>
            </w:tcBorders>
            <w:shd w:val="clear" w:color="000000" w:fill="8FCB7E"/>
            <w:noWrap/>
            <w:vAlign w:val="center"/>
            <w:hideMark/>
          </w:tcPr>
          <w:p w14:paraId="16E84C54"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86</w:t>
            </w:r>
          </w:p>
        </w:tc>
        <w:tc>
          <w:tcPr>
            <w:tcW w:w="123" w:type="pct"/>
            <w:tcBorders>
              <w:top w:val="nil"/>
              <w:left w:val="nil"/>
              <w:bottom w:val="nil"/>
              <w:right w:val="nil"/>
            </w:tcBorders>
            <w:shd w:val="clear" w:color="000000" w:fill="92CC7E"/>
            <w:noWrap/>
            <w:vAlign w:val="center"/>
            <w:hideMark/>
          </w:tcPr>
          <w:p w14:paraId="68C4EC35"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85</w:t>
            </w:r>
          </w:p>
        </w:tc>
        <w:tc>
          <w:tcPr>
            <w:tcW w:w="122" w:type="pct"/>
            <w:tcBorders>
              <w:top w:val="nil"/>
              <w:left w:val="nil"/>
              <w:bottom w:val="nil"/>
              <w:right w:val="nil"/>
            </w:tcBorders>
            <w:shd w:val="clear" w:color="000000" w:fill="98CE7F"/>
            <w:noWrap/>
            <w:vAlign w:val="center"/>
            <w:hideMark/>
          </w:tcPr>
          <w:p w14:paraId="65A6A836"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83</w:t>
            </w:r>
          </w:p>
        </w:tc>
        <w:tc>
          <w:tcPr>
            <w:tcW w:w="122" w:type="pct"/>
            <w:tcBorders>
              <w:top w:val="nil"/>
              <w:left w:val="nil"/>
              <w:bottom w:val="nil"/>
              <w:right w:val="nil"/>
            </w:tcBorders>
            <w:shd w:val="clear" w:color="000000" w:fill="8BCA7E"/>
            <w:noWrap/>
            <w:vAlign w:val="center"/>
            <w:hideMark/>
          </w:tcPr>
          <w:p w14:paraId="458FFC3B"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87</w:t>
            </w:r>
          </w:p>
        </w:tc>
        <w:tc>
          <w:tcPr>
            <w:tcW w:w="122" w:type="pct"/>
            <w:tcBorders>
              <w:top w:val="nil"/>
              <w:left w:val="nil"/>
              <w:bottom w:val="nil"/>
              <w:right w:val="nil"/>
            </w:tcBorders>
            <w:shd w:val="clear" w:color="000000" w:fill="91CC7E"/>
            <w:noWrap/>
            <w:vAlign w:val="center"/>
            <w:hideMark/>
          </w:tcPr>
          <w:p w14:paraId="3FCC2A64"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85</w:t>
            </w:r>
          </w:p>
        </w:tc>
        <w:tc>
          <w:tcPr>
            <w:tcW w:w="122" w:type="pct"/>
            <w:tcBorders>
              <w:top w:val="nil"/>
              <w:left w:val="nil"/>
              <w:bottom w:val="nil"/>
              <w:right w:val="nil"/>
            </w:tcBorders>
            <w:shd w:val="clear" w:color="000000" w:fill="9DCF7F"/>
            <w:noWrap/>
            <w:vAlign w:val="center"/>
            <w:hideMark/>
          </w:tcPr>
          <w:p w14:paraId="168318B2"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82</w:t>
            </w:r>
          </w:p>
        </w:tc>
        <w:tc>
          <w:tcPr>
            <w:tcW w:w="122" w:type="pct"/>
            <w:tcBorders>
              <w:top w:val="nil"/>
              <w:left w:val="nil"/>
              <w:bottom w:val="nil"/>
              <w:right w:val="nil"/>
            </w:tcBorders>
            <w:shd w:val="clear" w:color="000000" w:fill="A9D380"/>
            <w:noWrap/>
            <w:vAlign w:val="center"/>
            <w:hideMark/>
          </w:tcPr>
          <w:p w14:paraId="3E571A63"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78</w:t>
            </w:r>
          </w:p>
        </w:tc>
        <w:tc>
          <w:tcPr>
            <w:tcW w:w="122" w:type="pct"/>
            <w:tcBorders>
              <w:top w:val="nil"/>
              <w:left w:val="nil"/>
              <w:bottom w:val="nil"/>
              <w:right w:val="nil"/>
            </w:tcBorders>
            <w:shd w:val="clear" w:color="000000" w:fill="A3D17F"/>
            <w:noWrap/>
            <w:vAlign w:val="center"/>
            <w:hideMark/>
          </w:tcPr>
          <w:p w14:paraId="2E9C2ADF"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80</w:t>
            </w:r>
          </w:p>
        </w:tc>
        <w:tc>
          <w:tcPr>
            <w:tcW w:w="122" w:type="pct"/>
            <w:tcBorders>
              <w:top w:val="nil"/>
              <w:left w:val="nil"/>
              <w:bottom w:val="nil"/>
              <w:right w:val="nil"/>
            </w:tcBorders>
            <w:shd w:val="clear" w:color="000000" w:fill="6EC27C"/>
            <w:noWrap/>
            <w:vAlign w:val="center"/>
            <w:hideMark/>
          </w:tcPr>
          <w:p w14:paraId="38257DDC"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97</w:t>
            </w:r>
          </w:p>
        </w:tc>
        <w:tc>
          <w:tcPr>
            <w:tcW w:w="122" w:type="pct"/>
            <w:tcBorders>
              <w:top w:val="nil"/>
              <w:left w:val="nil"/>
              <w:bottom w:val="nil"/>
              <w:right w:val="nil"/>
            </w:tcBorders>
            <w:shd w:val="clear" w:color="000000" w:fill="A7D27F"/>
            <w:noWrap/>
            <w:vAlign w:val="center"/>
            <w:hideMark/>
          </w:tcPr>
          <w:p w14:paraId="115A3A64"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78</w:t>
            </w:r>
          </w:p>
        </w:tc>
        <w:tc>
          <w:tcPr>
            <w:tcW w:w="122" w:type="pct"/>
            <w:tcBorders>
              <w:top w:val="nil"/>
              <w:left w:val="nil"/>
              <w:bottom w:val="nil"/>
              <w:right w:val="nil"/>
            </w:tcBorders>
            <w:shd w:val="clear" w:color="000000" w:fill="76C47D"/>
            <w:noWrap/>
            <w:vAlign w:val="center"/>
            <w:hideMark/>
          </w:tcPr>
          <w:p w14:paraId="4D7EBD28"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94</w:t>
            </w:r>
          </w:p>
        </w:tc>
        <w:tc>
          <w:tcPr>
            <w:tcW w:w="122" w:type="pct"/>
            <w:tcBorders>
              <w:top w:val="nil"/>
              <w:left w:val="nil"/>
              <w:bottom w:val="nil"/>
              <w:right w:val="nil"/>
            </w:tcBorders>
            <w:shd w:val="clear" w:color="000000" w:fill="69C07C"/>
            <w:noWrap/>
            <w:vAlign w:val="center"/>
            <w:hideMark/>
          </w:tcPr>
          <w:p w14:paraId="122B9587"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98</w:t>
            </w:r>
          </w:p>
        </w:tc>
        <w:tc>
          <w:tcPr>
            <w:tcW w:w="123" w:type="pct"/>
            <w:tcBorders>
              <w:top w:val="nil"/>
              <w:left w:val="nil"/>
              <w:bottom w:val="nil"/>
              <w:right w:val="nil"/>
            </w:tcBorders>
            <w:shd w:val="clear" w:color="000000" w:fill="83C87D"/>
            <w:noWrap/>
            <w:vAlign w:val="center"/>
            <w:hideMark/>
          </w:tcPr>
          <w:p w14:paraId="2D142865"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90</w:t>
            </w:r>
          </w:p>
        </w:tc>
        <w:tc>
          <w:tcPr>
            <w:tcW w:w="122" w:type="pct"/>
            <w:tcBorders>
              <w:top w:val="nil"/>
              <w:left w:val="nil"/>
              <w:bottom w:val="nil"/>
              <w:right w:val="nil"/>
            </w:tcBorders>
            <w:shd w:val="clear" w:color="000000" w:fill="CCDD82"/>
            <w:noWrap/>
            <w:vAlign w:val="center"/>
            <w:hideMark/>
          </w:tcPr>
          <w:p w14:paraId="795E880D"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67</w:t>
            </w:r>
          </w:p>
        </w:tc>
        <w:tc>
          <w:tcPr>
            <w:tcW w:w="122" w:type="pct"/>
            <w:tcBorders>
              <w:top w:val="nil"/>
              <w:left w:val="nil"/>
              <w:bottom w:val="nil"/>
              <w:right w:val="nil"/>
            </w:tcBorders>
            <w:shd w:val="clear" w:color="000000" w:fill="95CD7E"/>
            <w:noWrap/>
            <w:vAlign w:val="center"/>
            <w:hideMark/>
          </w:tcPr>
          <w:p w14:paraId="3A964100"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84</w:t>
            </w:r>
          </w:p>
        </w:tc>
        <w:tc>
          <w:tcPr>
            <w:tcW w:w="122" w:type="pct"/>
            <w:tcBorders>
              <w:top w:val="nil"/>
              <w:left w:val="nil"/>
              <w:bottom w:val="nil"/>
              <w:right w:val="nil"/>
            </w:tcBorders>
            <w:shd w:val="clear" w:color="000000" w:fill="DCE182"/>
            <w:noWrap/>
            <w:vAlign w:val="center"/>
            <w:hideMark/>
          </w:tcPr>
          <w:p w14:paraId="31487498"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61</w:t>
            </w:r>
          </w:p>
        </w:tc>
        <w:tc>
          <w:tcPr>
            <w:tcW w:w="122" w:type="pct"/>
            <w:tcBorders>
              <w:top w:val="nil"/>
              <w:left w:val="nil"/>
              <w:bottom w:val="nil"/>
              <w:right w:val="nil"/>
            </w:tcBorders>
            <w:shd w:val="clear" w:color="000000" w:fill="B2D580"/>
            <w:noWrap/>
            <w:vAlign w:val="center"/>
            <w:hideMark/>
          </w:tcPr>
          <w:p w14:paraId="43ADABA8"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75</w:t>
            </w:r>
          </w:p>
        </w:tc>
        <w:tc>
          <w:tcPr>
            <w:tcW w:w="122" w:type="pct"/>
            <w:tcBorders>
              <w:top w:val="nil"/>
              <w:left w:val="nil"/>
              <w:bottom w:val="nil"/>
              <w:right w:val="nil"/>
            </w:tcBorders>
            <w:shd w:val="clear" w:color="000000" w:fill="B6D680"/>
            <w:noWrap/>
            <w:vAlign w:val="center"/>
            <w:hideMark/>
          </w:tcPr>
          <w:p w14:paraId="789F2DF6"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73</w:t>
            </w:r>
          </w:p>
        </w:tc>
        <w:tc>
          <w:tcPr>
            <w:tcW w:w="123" w:type="pct"/>
            <w:tcBorders>
              <w:top w:val="nil"/>
              <w:left w:val="nil"/>
              <w:bottom w:val="nil"/>
              <w:right w:val="nil"/>
            </w:tcBorders>
            <w:shd w:val="clear" w:color="000000" w:fill="BED981"/>
            <w:noWrap/>
            <w:vAlign w:val="center"/>
            <w:hideMark/>
          </w:tcPr>
          <w:p w14:paraId="0DB31FB8"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71</w:t>
            </w:r>
          </w:p>
        </w:tc>
        <w:tc>
          <w:tcPr>
            <w:tcW w:w="122" w:type="pct"/>
            <w:tcBorders>
              <w:top w:val="nil"/>
              <w:left w:val="nil"/>
              <w:bottom w:val="nil"/>
              <w:right w:val="nil"/>
            </w:tcBorders>
            <w:shd w:val="clear" w:color="000000" w:fill="B1D580"/>
            <w:noWrap/>
            <w:vAlign w:val="center"/>
            <w:hideMark/>
          </w:tcPr>
          <w:p w14:paraId="2BD4984F"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75</w:t>
            </w:r>
          </w:p>
        </w:tc>
      </w:tr>
      <w:tr w:rsidR="00B656F6" w:rsidRPr="00634756" w14:paraId="2C8C9349" w14:textId="77777777" w:rsidTr="008F0944">
        <w:trPr>
          <w:trHeight w:val="113"/>
        </w:trPr>
        <w:tc>
          <w:tcPr>
            <w:tcW w:w="131" w:type="pct"/>
            <w:tcBorders>
              <w:top w:val="nil"/>
              <w:left w:val="nil"/>
              <w:bottom w:val="nil"/>
              <w:right w:val="nil"/>
            </w:tcBorders>
            <w:shd w:val="clear" w:color="auto" w:fill="D9E2F3" w:themeFill="accent1" w:themeFillTint="33"/>
          </w:tcPr>
          <w:p w14:paraId="5E46A263" w14:textId="77777777" w:rsidR="00B656F6" w:rsidRPr="00EB4864" w:rsidRDefault="00B656F6" w:rsidP="008F0944">
            <w:pPr>
              <w:snapToGrid w:val="0"/>
              <w:jc w:val="right"/>
              <w:rPr>
                <w:rFonts w:ascii="等线" w:eastAsia="等线" w:hAnsi="等线" w:cs="宋体"/>
                <w:b/>
                <w:color w:val="000000"/>
                <w:sz w:val="15"/>
                <w:szCs w:val="15"/>
              </w:rPr>
            </w:pPr>
          </w:p>
        </w:tc>
        <w:tc>
          <w:tcPr>
            <w:tcW w:w="469" w:type="pct"/>
            <w:tcBorders>
              <w:top w:val="nil"/>
              <w:left w:val="nil"/>
              <w:bottom w:val="nil"/>
              <w:right w:val="nil"/>
            </w:tcBorders>
            <w:shd w:val="clear" w:color="auto" w:fill="D9E2F3" w:themeFill="accent1" w:themeFillTint="33"/>
            <w:noWrap/>
            <w:vAlign w:val="center"/>
            <w:hideMark/>
          </w:tcPr>
          <w:p w14:paraId="56D0A2C1" w14:textId="77777777" w:rsidR="00B656F6" w:rsidRPr="00EB4864" w:rsidRDefault="00B656F6" w:rsidP="008F0944">
            <w:pPr>
              <w:snapToGrid w:val="0"/>
              <w:jc w:val="right"/>
              <w:rPr>
                <w:rFonts w:ascii="等线" w:eastAsia="等线" w:hAnsi="等线" w:cs="宋体"/>
                <w:b/>
                <w:color w:val="000000"/>
                <w:sz w:val="15"/>
                <w:szCs w:val="15"/>
              </w:rPr>
            </w:pPr>
            <w:r w:rsidRPr="00EB4864">
              <w:rPr>
                <w:rFonts w:ascii="等线" w:eastAsia="等线" w:hAnsi="等线" w:cs="宋体"/>
                <w:b/>
                <w:color w:val="000000"/>
                <w:sz w:val="15"/>
                <w:szCs w:val="15"/>
              </w:rPr>
              <w:t>Macao**</w:t>
            </w:r>
          </w:p>
        </w:tc>
        <w:tc>
          <w:tcPr>
            <w:tcW w:w="122" w:type="pct"/>
            <w:tcBorders>
              <w:top w:val="nil"/>
              <w:left w:val="nil"/>
              <w:bottom w:val="nil"/>
              <w:right w:val="nil"/>
            </w:tcBorders>
            <w:shd w:val="clear" w:color="000000" w:fill="7FC67D"/>
            <w:noWrap/>
            <w:vAlign w:val="center"/>
            <w:hideMark/>
          </w:tcPr>
          <w:p w14:paraId="1D00AA72"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91</w:t>
            </w:r>
          </w:p>
        </w:tc>
        <w:tc>
          <w:tcPr>
            <w:tcW w:w="143" w:type="pct"/>
            <w:tcBorders>
              <w:top w:val="nil"/>
              <w:left w:val="nil"/>
              <w:bottom w:val="nil"/>
              <w:right w:val="nil"/>
            </w:tcBorders>
            <w:shd w:val="clear" w:color="000000" w:fill="63BE7B"/>
            <w:noWrap/>
            <w:vAlign w:val="center"/>
            <w:hideMark/>
          </w:tcPr>
          <w:p w14:paraId="3D979335"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22" w:type="pct"/>
            <w:tcBorders>
              <w:top w:val="nil"/>
              <w:left w:val="nil"/>
              <w:bottom w:val="nil"/>
              <w:right w:val="nil"/>
            </w:tcBorders>
            <w:shd w:val="clear" w:color="000000" w:fill="81C77D"/>
            <w:noWrap/>
            <w:vAlign w:val="center"/>
            <w:hideMark/>
          </w:tcPr>
          <w:p w14:paraId="7AF73024"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90</w:t>
            </w:r>
          </w:p>
        </w:tc>
        <w:tc>
          <w:tcPr>
            <w:tcW w:w="122" w:type="pct"/>
            <w:tcBorders>
              <w:top w:val="nil"/>
              <w:left w:val="nil"/>
              <w:bottom w:val="nil"/>
              <w:right w:val="nil"/>
            </w:tcBorders>
            <w:shd w:val="clear" w:color="000000" w:fill="79C57D"/>
            <w:noWrap/>
            <w:vAlign w:val="center"/>
            <w:hideMark/>
          </w:tcPr>
          <w:p w14:paraId="77FED7C0"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93</w:t>
            </w:r>
          </w:p>
        </w:tc>
        <w:tc>
          <w:tcPr>
            <w:tcW w:w="143" w:type="pct"/>
            <w:tcBorders>
              <w:top w:val="nil"/>
              <w:left w:val="nil"/>
              <w:bottom w:val="nil"/>
              <w:right w:val="nil"/>
            </w:tcBorders>
            <w:shd w:val="clear" w:color="000000" w:fill="63BE7B"/>
            <w:noWrap/>
            <w:vAlign w:val="center"/>
            <w:hideMark/>
          </w:tcPr>
          <w:p w14:paraId="06A7D890"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22" w:type="pct"/>
            <w:tcBorders>
              <w:top w:val="nil"/>
              <w:left w:val="nil"/>
              <w:bottom w:val="nil"/>
              <w:right w:val="nil"/>
            </w:tcBorders>
            <w:shd w:val="clear" w:color="000000" w:fill="68C07C"/>
            <w:noWrap/>
            <w:vAlign w:val="center"/>
            <w:hideMark/>
          </w:tcPr>
          <w:p w14:paraId="702BD0DF"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98</w:t>
            </w:r>
          </w:p>
        </w:tc>
        <w:tc>
          <w:tcPr>
            <w:tcW w:w="143" w:type="pct"/>
            <w:tcBorders>
              <w:top w:val="nil"/>
              <w:left w:val="nil"/>
              <w:bottom w:val="nil"/>
              <w:right w:val="nil"/>
            </w:tcBorders>
            <w:shd w:val="clear" w:color="000000" w:fill="63BE7B"/>
            <w:noWrap/>
            <w:vAlign w:val="center"/>
            <w:hideMark/>
          </w:tcPr>
          <w:p w14:paraId="5BF8DC91"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43" w:type="pct"/>
            <w:tcBorders>
              <w:top w:val="nil"/>
              <w:left w:val="nil"/>
              <w:bottom w:val="nil"/>
              <w:right w:val="nil"/>
            </w:tcBorders>
            <w:shd w:val="clear" w:color="000000" w:fill="63BE7B"/>
            <w:noWrap/>
            <w:vAlign w:val="center"/>
            <w:hideMark/>
          </w:tcPr>
          <w:p w14:paraId="753293B2"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43" w:type="pct"/>
            <w:tcBorders>
              <w:top w:val="nil"/>
              <w:left w:val="nil"/>
              <w:bottom w:val="nil"/>
              <w:right w:val="nil"/>
            </w:tcBorders>
            <w:shd w:val="clear" w:color="000000" w:fill="64BF7C"/>
            <w:noWrap/>
            <w:vAlign w:val="center"/>
            <w:hideMark/>
          </w:tcPr>
          <w:p w14:paraId="3058F885"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22" w:type="pct"/>
            <w:tcBorders>
              <w:top w:val="nil"/>
              <w:left w:val="nil"/>
              <w:bottom w:val="nil"/>
              <w:right w:val="nil"/>
            </w:tcBorders>
            <w:shd w:val="clear" w:color="000000" w:fill="AED480"/>
            <w:noWrap/>
            <w:vAlign w:val="center"/>
            <w:hideMark/>
          </w:tcPr>
          <w:p w14:paraId="6042CCAC"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76</w:t>
            </w:r>
          </w:p>
        </w:tc>
        <w:tc>
          <w:tcPr>
            <w:tcW w:w="122" w:type="pct"/>
            <w:tcBorders>
              <w:top w:val="nil"/>
              <w:left w:val="nil"/>
              <w:bottom w:val="nil"/>
              <w:right w:val="nil"/>
            </w:tcBorders>
            <w:shd w:val="clear" w:color="000000" w:fill="72C37C"/>
            <w:noWrap/>
            <w:vAlign w:val="center"/>
            <w:hideMark/>
          </w:tcPr>
          <w:p w14:paraId="7DB2D1D3"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95</w:t>
            </w:r>
          </w:p>
        </w:tc>
        <w:tc>
          <w:tcPr>
            <w:tcW w:w="122" w:type="pct"/>
            <w:tcBorders>
              <w:top w:val="nil"/>
              <w:left w:val="nil"/>
              <w:bottom w:val="nil"/>
              <w:right w:val="nil"/>
            </w:tcBorders>
            <w:shd w:val="clear" w:color="000000" w:fill="FBAD78"/>
            <w:noWrap/>
            <w:vAlign w:val="center"/>
            <w:hideMark/>
          </w:tcPr>
          <w:p w14:paraId="502888B5"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26</w:t>
            </w:r>
          </w:p>
        </w:tc>
        <w:tc>
          <w:tcPr>
            <w:tcW w:w="122" w:type="pct"/>
            <w:tcBorders>
              <w:top w:val="nil"/>
              <w:left w:val="nil"/>
              <w:bottom w:val="nil"/>
              <w:right w:val="nil"/>
            </w:tcBorders>
            <w:shd w:val="clear" w:color="000000" w:fill="A1D07F"/>
            <w:noWrap/>
            <w:vAlign w:val="center"/>
            <w:hideMark/>
          </w:tcPr>
          <w:p w14:paraId="3E1167BD"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80</w:t>
            </w:r>
          </w:p>
        </w:tc>
        <w:tc>
          <w:tcPr>
            <w:tcW w:w="143" w:type="pct"/>
            <w:tcBorders>
              <w:top w:val="nil"/>
              <w:left w:val="nil"/>
              <w:bottom w:val="nil"/>
              <w:right w:val="nil"/>
            </w:tcBorders>
            <w:shd w:val="clear" w:color="000000" w:fill="63BE7B"/>
            <w:noWrap/>
            <w:vAlign w:val="center"/>
            <w:hideMark/>
          </w:tcPr>
          <w:p w14:paraId="3CC58B49"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100</w:t>
            </w:r>
          </w:p>
        </w:tc>
        <w:tc>
          <w:tcPr>
            <w:tcW w:w="122" w:type="pct"/>
            <w:tcBorders>
              <w:top w:val="nil"/>
              <w:left w:val="nil"/>
              <w:bottom w:val="nil"/>
              <w:right w:val="nil"/>
            </w:tcBorders>
            <w:shd w:val="clear" w:color="000000" w:fill="DBE182"/>
            <w:noWrap/>
            <w:vAlign w:val="center"/>
            <w:hideMark/>
          </w:tcPr>
          <w:p w14:paraId="017D5042"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62</w:t>
            </w:r>
          </w:p>
        </w:tc>
        <w:tc>
          <w:tcPr>
            <w:tcW w:w="122" w:type="pct"/>
            <w:tcBorders>
              <w:top w:val="nil"/>
              <w:left w:val="nil"/>
              <w:bottom w:val="nil"/>
              <w:right w:val="nil"/>
            </w:tcBorders>
            <w:shd w:val="clear" w:color="000000" w:fill="8FCB7E"/>
            <w:noWrap/>
            <w:vAlign w:val="center"/>
            <w:hideMark/>
          </w:tcPr>
          <w:p w14:paraId="3F7C9432"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86</w:t>
            </w:r>
          </w:p>
        </w:tc>
        <w:tc>
          <w:tcPr>
            <w:tcW w:w="123" w:type="pct"/>
            <w:tcBorders>
              <w:top w:val="nil"/>
              <w:left w:val="nil"/>
              <w:bottom w:val="nil"/>
              <w:right w:val="nil"/>
            </w:tcBorders>
            <w:shd w:val="clear" w:color="000000" w:fill="D2DE82"/>
            <w:noWrap/>
            <w:vAlign w:val="center"/>
            <w:hideMark/>
          </w:tcPr>
          <w:p w14:paraId="294E200D"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65</w:t>
            </w:r>
          </w:p>
        </w:tc>
        <w:tc>
          <w:tcPr>
            <w:tcW w:w="122" w:type="pct"/>
            <w:tcBorders>
              <w:top w:val="nil"/>
              <w:left w:val="nil"/>
              <w:bottom w:val="nil"/>
              <w:right w:val="nil"/>
            </w:tcBorders>
            <w:shd w:val="clear" w:color="000000" w:fill="9ACE7F"/>
            <w:noWrap/>
            <w:vAlign w:val="center"/>
            <w:hideMark/>
          </w:tcPr>
          <w:p w14:paraId="35306884"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83</w:t>
            </w:r>
          </w:p>
        </w:tc>
        <w:tc>
          <w:tcPr>
            <w:tcW w:w="122" w:type="pct"/>
            <w:tcBorders>
              <w:top w:val="nil"/>
              <w:left w:val="nil"/>
              <w:bottom w:val="nil"/>
              <w:right w:val="nil"/>
            </w:tcBorders>
            <w:shd w:val="clear" w:color="000000" w:fill="81C77D"/>
            <w:noWrap/>
            <w:vAlign w:val="center"/>
            <w:hideMark/>
          </w:tcPr>
          <w:p w14:paraId="1D2668F8"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90</w:t>
            </w:r>
          </w:p>
        </w:tc>
        <w:tc>
          <w:tcPr>
            <w:tcW w:w="122" w:type="pct"/>
            <w:tcBorders>
              <w:top w:val="nil"/>
              <w:left w:val="nil"/>
              <w:bottom w:val="nil"/>
              <w:right w:val="nil"/>
            </w:tcBorders>
            <w:shd w:val="clear" w:color="000000" w:fill="8ECB7E"/>
            <w:noWrap/>
            <w:vAlign w:val="center"/>
            <w:hideMark/>
          </w:tcPr>
          <w:p w14:paraId="6595C3D7"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86</w:t>
            </w:r>
          </w:p>
        </w:tc>
        <w:tc>
          <w:tcPr>
            <w:tcW w:w="122" w:type="pct"/>
            <w:tcBorders>
              <w:top w:val="nil"/>
              <w:left w:val="nil"/>
              <w:bottom w:val="nil"/>
              <w:right w:val="nil"/>
            </w:tcBorders>
            <w:shd w:val="clear" w:color="000000" w:fill="88C97E"/>
            <w:noWrap/>
            <w:vAlign w:val="center"/>
            <w:hideMark/>
          </w:tcPr>
          <w:p w14:paraId="3D86EF77"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88</w:t>
            </w:r>
          </w:p>
        </w:tc>
        <w:tc>
          <w:tcPr>
            <w:tcW w:w="122" w:type="pct"/>
            <w:tcBorders>
              <w:top w:val="nil"/>
              <w:left w:val="nil"/>
              <w:bottom w:val="nil"/>
              <w:right w:val="nil"/>
            </w:tcBorders>
            <w:shd w:val="clear" w:color="000000" w:fill="F8696B"/>
            <w:noWrap/>
            <w:vAlign w:val="center"/>
            <w:hideMark/>
          </w:tcPr>
          <w:p w14:paraId="7C9D7255"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0</w:t>
            </w:r>
          </w:p>
        </w:tc>
        <w:tc>
          <w:tcPr>
            <w:tcW w:w="122" w:type="pct"/>
            <w:tcBorders>
              <w:top w:val="nil"/>
              <w:left w:val="nil"/>
              <w:bottom w:val="nil"/>
              <w:right w:val="nil"/>
            </w:tcBorders>
            <w:shd w:val="clear" w:color="000000" w:fill="F9816F"/>
            <w:noWrap/>
            <w:vAlign w:val="center"/>
            <w:hideMark/>
          </w:tcPr>
          <w:p w14:paraId="3F38195F"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w:t>
            </w:r>
          </w:p>
        </w:tc>
        <w:tc>
          <w:tcPr>
            <w:tcW w:w="122" w:type="pct"/>
            <w:tcBorders>
              <w:top w:val="nil"/>
              <w:left w:val="nil"/>
              <w:bottom w:val="nil"/>
              <w:right w:val="nil"/>
            </w:tcBorders>
            <w:shd w:val="clear" w:color="000000" w:fill="75C47D"/>
            <w:noWrap/>
            <w:vAlign w:val="center"/>
            <w:hideMark/>
          </w:tcPr>
          <w:p w14:paraId="663219F7"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94</w:t>
            </w:r>
          </w:p>
        </w:tc>
        <w:tc>
          <w:tcPr>
            <w:tcW w:w="122" w:type="pct"/>
            <w:tcBorders>
              <w:top w:val="nil"/>
              <w:left w:val="nil"/>
              <w:bottom w:val="nil"/>
              <w:right w:val="nil"/>
            </w:tcBorders>
            <w:shd w:val="clear" w:color="000000" w:fill="B0D580"/>
            <w:noWrap/>
            <w:vAlign w:val="center"/>
            <w:hideMark/>
          </w:tcPr>
          <w:p w14:paraId="2B1B0B5F"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75</w:t>
            </w:r>
          </w:p>
        </w:tc>
        <w:tc>
          <w:tcPr>
            <w:tcW w:w="122" w:type="pct"/>
            <w:tcBorders>
              <w:top w:val="nil"/>
              <w:left w:val="nil"/>
              <w:bottom w:val="nil"/>
              <w:right w:val="nil"/>
            </w:tcBorders>
            <w:shd w:val="clear" w:color="000000" w:fill="6DC17C"/>
            <w:noWrap/>
            <w:vAlign w:val="center"/>
            <w:hideMark/>
          </w:tcPr>
          <w:p w14:paraId="479011E7"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97</w:t>
            </w:r>
          </w:p>
        </w:tc>
        <w:tc>
          <w:tcPr>
            <w:tcW w:w="122" w:type="pct"/>
            <w:tcBorders>
              <w:top w:val="nil"/>
              <w:left w:val="nil"/>
              <w:bottom w:val="nil"/>
              <w:right w:val="nil"/>
            </w:tcBorders>
            <w:shd w:val="clear" w:color="000000" w:fill="6EC27C"/>
            <w:noWrap/>
            <w:vAlign w:val="center"/>
            <w:hideMark/>
          </w:tcPr>
          <w:p w14:paraId="7D0BB550"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97</w:t>
            </w:r>
          </w:p>
        </w:tc>
        <w:tc>
          <w:tcPr>
            <w:tcW w:w="123" w:type="pct"/>
            <w:tcBorders>
              <w:top w:val="nil"/>
              <w:left w:val="nil"/>
              <w:bottom w:val="nil"/>
              <w:right w:val="nil"/>
            </w:tcBorders>
            <w:shd w:val="clear" w:color="000000" w:fill="86C87D"/>
            <w:noWrap/>
            <w:vAlign w:val="center"/>
            <w:hideMark/>
          </w:tcPr>
          <w:p w14:paraId="4537BB91"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89</w:t>
            </w:r>
          </w:p>
        </w:tc>
        <w:tc>
          <w:tcPr>
            <w:tcW w:w="122" w:type="pct"/>
            <w:tcBorders>
              <w:top w:val="nil"/>
              <w:left w:val="nil"/>
              <w:bottom w:val="nil"/>
              <w:right w:val="nil"/>
            </w:tcBorders>
            <w:shd w:val="clear" w:color="000000" w:fill="E4E383"/>
            <w:noWrap/>
            <w:vAlign w:val="center"/>
            <w:hideMark/>
          </w:tcPr>
          <w:p w14:paraId="06238D1C"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59</w:t>
            </w:r>
          </w:p>
        </w:tc>
        <w:tc>
          <w:tcPr>
            <w:tcW w:w="122" w:type="pct"/>
            <w:tcBorders>
              <w:top w:val="nil"/>
              <w:left w:val="nil"/>
              <w:bottom w:val="nil"/>
              <w:right w:val="nil"/>
            </w:tcBorders>
            <w:shd w:val="clear" w:color="000000" w:fill="A2D07F"/>
            <w:noWrap/>
            <w:vAlign w:val="center"/>
            <w:hideMark/>
          </w:tcPr>
          <w:p w14:paraId="1CE92013"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80</w:t>
            </w:r>
          </w:p>
        </w:tc>
        <w:tc>
          <w:tcPr>
            <w:tcW w:w="122" w:type="pct"/>
            <w:tcBorders>
              <w:top w:val="nil"/>
              <w:left w:val="nil"/>
              <w:bottom w:val="nil"/>
              <w:right w:val="nil"/>
            </w:tcBorders>
            <w:shd w:val="clear" w:color="000000" w:fill="DBE182"/>
            <w:noWrap/>
            <w:vAlign w:val="center"/>
            <w:hideMark/>
          </w:tcPr>
          <w:p w14:paraId="36803585"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62</w:t>
            </w:r>
          </w:p>
        </w:tc>
        <w:tc>
          <w:tcPr>
            <w:tcW w:w="122" w:type="pct"/>
            <w:tcBorders>
              <w:top w:val="nil"/>
              <w:left w:val="nil"/>
              <w:bottom w:val="nil"/>
              <w:right w:val="nil"/>
            </w:tcBorders>
            <w:shd w:val="clear" w:color="000000" w:fill="B0D580"/>
            <w:noWrap/>
            <w:vAlign w:val="center"/>
            <w:hideMark/>
          </w:tcPr>
          <w:p w14:paraId="6F920721"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76</w:t>
            </w:r>
          </w:p>
        </w:tc>
        <w:tc>
          <w:tcPr>
            <w:tcW w:w="122" w:type="pct"/>
            <w:tcBorders>
              <w:top w:val="nil"/>
              <w:left w:val="nil"/>
              <w:bottom w:val="nil"/>
              <w:right w:val="nil"/>
            </w:tcBorders>
            <w:shd w:val="clear" w:color="000000" w:fill="B7D680"/>
            <w:noWrap/>
            <w:vAlign w:val="center"/>
            <w:hideMark/>
          </w:tcPr>
          <w:p w14:paraId="502878B2"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73</w:t>
            </w:r>
          </w:p>
        </w:tc>
        <w:tc>
          <w:tcPr>
            <w:tcW w:w="123" w:type="pct"/>
            <w:tcBorders>
              <w:top w:val="nil"/>
              <w:left w:val="nil"/>
              <w:bottom w:val="nil"/>
              <w:right w:val="nil"/>
            </w:tcBorders>
            <w:shd w:val="clear" w:color="000000" w:fill="C7DB81"/>
            <w:noWrap/>
            <w:vAlign w:val="center"/>
            <w:hideMark/>
          </w:tcPr>
          <w:p w14:paraId="3BAB1A4F"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68</w:t>
            </w:r>
          </w:p>
        </w:tc>
        <w:tc>
          <w:tcPr>
            <w:tcW w:w="122" w:type="pct"/>
            <w:tcBorders>
              <w:top w:val="nil"/>
              <w:left w:val="nil"/>
              <w:bottom w:val="nil"/>
              <w:right w:val="nil"/>
            </w:tcBorders>
            <w:shd w:val="clear" w:color="000000" w:fill="A7D27F"/>
            <w:noWrap/>
            <w:vAlign w:val="center"/>
            <w:hideMark/>
          </w:tcPr>
          <w:p w14:paraId="2E1D13C7" w14:textId="77777777" w:rsidR="00B656F6" w:rsidRPr="00EB4864" w:rsidRDefault="00B656F6" w:rsidP="008F0944">
            <w:pPr>
              <w:snapToGrid w:val="0"/>
              <w:jc w:val="center"/>
              <w:rPr>
                <w:rFonts w:ascii="等线" w:eastAsia="等线" w:hAnsi="等线" w:cs="宋体"/>
                <w:b/>
                <w:color w:val="000000"/>
                <w:sz w:val="15"/>
                <w:szCs w:val="15"/>
              </w:rPr>
            </w:pPr>
            <w:r w:rsidRPr="00EB4864">
              <w:rPr>
                <w:rFonts w:ascii="等线" w:eastAsia="等线" w:hAnsi="等线" w:cs="宋体"/>
                <w:b/>
                <w:color w:val="000000"/>
                <w:sz w:val="15"/>
                <w:szCs w:val="15"/>
              </w:rPr>
              <w:t>78</w:t>
            </w:r>
          </w:p>
        </w:tc>
      </w:tr>
    </w:tbl>
    <w:p w14:paraId="27FB10C4" w14:textId="77777777" w:rsidR="00B656F6" w:rsidRPr="00B656F6" w:rsidRDefault="00B656F6" w:rsidP="00B656F6">
      <w:pPr>
        <w:rPr>
          <w:rFonts w:cstheme="minorHAnsi"/>
          <w:lang w:val="en-GB"/>
        </w:rPr>
      </w:pPr>
      <w:r w:rsidRPr="00B656F6">
        <w:rPr>
          <w:rFonts w:cstheme="minorHAnsi"/>
          <w:lang w:val="en-GB"/>
        </w:rPr>
        <w:lastRenderedPageBreak/>
        <w:t>*Municipalities directly controlled by central government.</w:t>
      </w:r>
    </w:p>
    <w:p w14:paraId="65BF0059" w14:textId="77777777" w:rsidR="00B656F6" w:rsidRPr="00B656F6" w:rsidRDefault="00B656F6" w:rsidP="00B656F6">
      <w:pPr>
        <w:rPr>
          <w:rFonts w:cstheme="minorHAnsi"/>
          <w:lang w:val="en-GB"/>
        </w:rPr>
      </w:pPr>
      <w:r w:rsidRPr="00B656F6">
        <w:rPr>
          <w:rFonts w:cstheme="minorHAnsi"/>
          <w:lang w:val="en-GB"/>
        </w:rPr>
        <w:t>**Special Administrative Region of China; data from Taiwan were not included.</w:t>
      </w:r>
    </w:p>
    <w:p w14:paraId="6B7D4BAB" w14:textId="77777777" w:rsidR="00B656F6" w:rsidRPr="00B656F6" w:rsidRDefault="00B656F6" w:rsidP="00B656F6">
      <w:pPr>
        <w:rPr>
          <w:rFonts w:ascii="Calibri" w:hAnsi="Calibri" w:cs="Calibri"/>
          <w:szCs w:val="24"/>
        </w:rPr>
        <w:sectPr w:rsidR="00B656F6" w:rsidRPr="00B656F6" w:rsidSect="00EB4864">
          <w:pgSz w:w="16838" w:h="11906" w:orient="landscape" w:code="9"/>
          <w:pgMar w:top="1440" w:right="1440" w:bottom="1440" w:left="1440" w:header="720" w:footer="720" w:gutter="0"/>
          <w:lnNumType w:countBy="1" w:restart="continuous"/>
          <w:cols w:space="720"/>
          <w:docGrid w:linePitch="360"/>
        </w:sectPr>
      </w:pPr>
      <w:r w:rsidRPr="00B656F6">
        <w:rPr>
          <w:rFonts w:cstheme="minorHAnsi"/>
          <w:lang w:val="en-GB"/>
        </w:rPr>
        <w:t xml:space="preserve">Abbreviations: Hep, hepatitis; NCD, noncommunicable disease; NTD, neglected tropical disease; PM, particulate matter; SDG, Sustainable Development Goal; TB, tuberculosis; UHC, universal health coverage; WaSH, </w:t>
      </w:r>
      <w:r w:rsidRPr="00B656F6">
        <w:rPr>
          <w:rFonts w:ascii="Calibri" w:hAnsi="Calibri" w:cs="Calibri"/>
        </w:rPr>
        <w:t xml:space="preserve">water, sanitation, and hygiene; </w:t>
      </w:r>
      <w:r w:rsidRPr="00B656F6">
        <w:t xml:space="preserve">Mat, maternal; Mort, mortality; Cov, coverage; FP, family planning; Mod, modern contraception methods; Incid, incidence; Prev, prevalence; Inj, injuries; Poll, pollution; HH, household. </w:t>
      </w:r>
    </w:p>
    <w:p w14:paraId="40CCCA32" w14:textId="77777777" w:rsidR="00B656F6" w:rsidRPr="00B656F6" w:rsidRDefault="00B656F6" w:rsidP="00B656F6">
      <w:pPr>
        <w:rPr>
          <w:rFonts w:ascii="Calibri" w:hAnsi="Calibri" w:cs="Calibri"/>
          <w:szCs w:val="24"/>
        </w:rPr>
      </w:pPr>
      <w:r w:rsidRPr="00B656F6">
        <w:rPr>
          <w:rFonts w:ascii="Calibri" w:hAnsi="Calibri" w:cs="Calibri"/>
          <w:szCs w:val="24"/>
        </w:rPr>
        <w:lastRenderedPageBreak/>
        <w:t xml:space="preserve">The current situation and recent changes of health-related SDG indicators or their domestic proxies are presented in Table 3 and are described below by thematic topic. </w:t>
      </w:r>
      <w:bookmarkStart w:id="4" w:name="_Hlk19106512"/>
      <w:r w:rsidRPr="00B656F6">
        <w:rPr>
          <w:rFonts w:ascii="Calibri" w:hAnsi="Calibri" w:cs="Calibri"/>
          <w:szCs w:val="24"/>
        </w:rPr>
        <w:t>Additional insights from qualitative data</w:t>
      </w:r>
      <w:bookmarkEnd w:id="4"/>
      <w:r w:rsidRPr="00B656F6">
        <w:rPr>
          <w:rFonts w:ascii="Calibri" w:hAnsi="Calibri" w:cs="Calibri"/>
          <w:szCs w:val="24"/>
        </w:rPr>
        <w:t xml:space="preserve"> on the four key topics of child nutrition, MCHRH, TB, and NCDs are summarized in Box 1.</w:t>
      </w:r>
    </w:p>
    <w:p w14:paraId="0B75A95F" w14:textId="77777777" w:rsidR="00B656F6" w:rsidRPr="00566686" w:rsidRDefault="00B656F6" w:rsidP="00B656F6">
      <w:pPr>
        <w:rPr>
          <w:b/>
          <w:bCs/>
        </w:rPr>
      </w:pPr>
      <w:r w:rsidRPr="00B656F6">
        <w:rPr>
          <w:b/>
          <w:bCs/>
        </w:rPr>
        <w:t>T</w:t>
      </w:r>
      <w:r w:rsidRPr="00B656F6">
        <w:rPr>
          <w:rFonts w:hint="eastAsia"/>
          <w:b/>
          <w:bCs/>
        </w:rPr>
        <w:t>able</w:t>
      </w:r>
      <w:r w:rsidRPr="00B656F6">
        <w:rPr>
          <w:b/>
          <w:bCs/>
        </w:rPr>
        <w:t xml:space="preserve"> 3. Current performance of key health SDG indicators in China.</w:t>
      </w:r>
    </w:p>
    <w:tbl>
      <w:tblPr>
        <w:tblStyle w:val="af0"/>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2268"/>
        <w:gridCol w:w="627"/>
        <w:gridCol w:w="627"/>
        <w:gridCol w:w="717"/>
      </w:tblGrid>
      <w:tr w:rsidR="00B656F6" w:rsidRPr="00451852" w14:paraId="52F1DEB3" w14:textId="77777777" w:rsidTr="008F0944">
        <w:tc>
          <w:tcPr>
            <w:tcW w:w="566" w:type="dxa"/>
            <w:tcBorders>
              <w:top w:val="single" w:sz="4" w:space="0" w:color="auto"/>
              <w:bottom w:val="single" w:sz="4" w:space="0" w:color="auto"/>
            </w:tcBorders>
          </w:tcPr>
          <w:p w14:paraId="3BEF66BF" w14:textId="77777777" w:rsidR="00B656F6" w:rsidRPr="00451852" w:rsidRDefault="00B656F6" w:rsidP="008F0944">
            <w:pPr>
              <w:snapToGrid w:val="0"/>
              <w:jc w:val="right"/>
              <w:rPr>
                <w:rFonts w:ascii="Calibri" w:hAnsi="Calibri"/>
                <w:sz w:val="18"/>
                <w:szCs w:val="18"/>
              </w:rPr>
            </w:pPr>
            <w:r w:rsidRPr="00451852">
              <w:rPr>
                <w:rFonts w:ascii="Calibri" w:hAnsi="Calibri" w:hint="eastAsia"/>
                <w:sz w:val="18"/>
                <w:szCs w:val="18"/>
              </w:rPr>
              <w:t>Field</w:t>
            </w:r>
          </w:p>
        </w:tc>
        <w:tc>
          <w:tcPr>
            <w:tcW w:w="2268" w:type="dxa"/>
            <w:tcBorders>
              <w:top w:val="single" w:sz="4" w:space="0" w:color="auto"/>
              <w:bottom w:val="single" w:sz="4" w:space="0" w:color="auto"/>
            </w:tcBorders>
          </w:tcPr>
          <w:p w14:paraId="6A4580EE" w14:textId="77777777" w:rsidR="00B656F6" w:rsidRPr="00451852" w:rsidRDefault="00B656F6" w:rsidP="008F0944">
            <w:pPr>
              <w:snapToGrid w:val="0"/>
              <w:jc w:val="right"/>
              <w:rPr>
                <w:rFonts w:ascii="Calibri" w:hAnsi="Calibri"/>
                <w:sz w:val="18"/>
                <w:szCs w:val="18"/>
              </w:rPr>
            </w:pPr>
            <w:r w:rsidRPr="00451852">
              <w:rPr>
                <w:rFonts w:ascii="Calibri" w:hAnsi="Calibri"/>
                <w:sz w:val="18"/>
                <w:szCs w:val="18"/>
              </w:rPr>
              <w:t>Indicator</w:t>
            </w:r>
          </w:p>
        </w:tc>
        <w:tc>
          <w:tcPr>
            <w:tcW w:w="0" w:type="auto"/>
            <w:gridSpan w:val="2"/>
            <w:tcBorders>
              <w:top w:val="single" w:sz="4" w:space="0" w:color="auto"/>
              <w:bottom w:val="single" w:sz="4" w:space="0" w:color="auto"/>
            </w:tcBorders>
          </w:tcPr>
          <w:p w14:paraId="0770189C" w14:textId="77777777" w:rsidR="00B656F6" w:rsidRPr="00451852" w:rsidRDefault="00B656F6" w:rsidP="008F0944">
            <w:pPr>
              <w:snapToGrid w:val="0"/>
              <w:jc w:val="center"/>
              <w:rPr>
                <w:rFonts w:ascii="Calibri" w:hAnsi="Calibri"/>
                <w:sz w:val="18"/>
                <w:szCs w:val="18"/>
              </w:rPr>
            </w:pPr>
            <w:r w:rsidRPr="00451852">
              <w:rPr>
                <w:rFonts w:ascii="Calibri" w:hAnsi="Calibri" w:hint="eastAsia"/>
                <w:sz w:val="18"/>
                <w:szCs w:val="18"/>
              </w:rPr>
              <w:t>Y</w:t>
            </w:r>
            <w:r w:rsidRPr="00451852">
              <w:rPr>
                <w:rFonts w:ascii="Calibri" w:hAnsi="Calibri"/>
                <w:sz w:val="18"/>
                <w:szCs w:val="18"/>
              </w:rPr>
              <w:t>ear</w:t>
            </w:r>
          </w:p>
        </w:tc>
        <w:tc>
          <w:tcPr>
            <w:tcW w:w="717" w:type="dxa"/>
            <w:tcBorders>
              <w:top w:val="single" w:sz="4" w:space="0" w:color="auto"/>
              <w:bottom w:val="single" w:sz="4" w:space="0" w:color="auto"/>
            </w:tcBorders>
          </w:tcPr>
          <w:p w14:paraId="726CCC98" w14:textId="77777777" w:rsidR="00B656F6" w:rsidRPr="00451852" w:rsidRDefault="00B656F6" w:rsidP="008F0944">
            <w:pPr>
              <w:snapToGrid w:val="0"/>
              <w:jc w:val="right"/>
              <w:rPr>
                <w:rFonts w:ascii="Calibri" w:hAnsi="Calibri"/>
                <w:sz w:val="18"/>
                <w:szCs w:val="18"/>
              </w:rPr>
            </w:pPr>
            <w:r w:rsidRPr="00451852">
              <w:rPr>
                <w:rFonts w:ascii="Calibri" w:hAnsi="Calibri"/>
                <w:sz w:val="18"/>
                <w:szCs w:val="18"/>
              </w:rPr>
              <w:t>Source</w:t>
            </w:r>
          </w:p>
        </w:tc>
      </w:tr>
      <w:tr w:rsidR="00B656F6" w:rsidRPr="00451852" w14:paraId="3B3AB410" w14:textId="77777777" w:rsidTr="008F0944">
        <w:tc>
          <w:tcPr>
            <w:tcW w:w="566" w:type="dxa"/>
            <w:vMerge w:val="restart"/>
            <w:tcBorders>
              <w:top w:val="single" w:sz="4" w:space="0" w:color="auto"/>
            </w:tcBorders>
            <w:textDirection w:val="btLr"/>
          </w:tcPr>
          <w:p w14:paraId="23F9600E" w14:textId="77777777" w:rsidR="00B656F6" w:rsidRPr="00451852" w:rsidRDefault="00B656F6" w:rsidP="008F0944">
            <w:pPr>
              <w:wordWrap w:val="0"/>
              <w:snapToGrid w:val="0"/>
              <w:ind w:left="113" w:right="113"/>
              <w:jc w:val="right"/>
              <w:rPr>
                <w:rFonts w:ascii="Calibri" w:hAnsi="Calibri"/>
                <w:sz w:val="18"/>
                <w:szCs w:val="18"/>
              </w:rPr>
            </w:pPr>
            <w:r w:rsidRPr="00451852">
              <w:rPr>
                <w:rFonts w:ascii="Calibri" w:hAnsi="Calibri" w:hint="eastAsia"/>
                <w:sz w:val="18"/>
                <w:szCs w:val="18"/>
              </w:rPr>
              <w:t>C</w:t>
            </w:r>
            <w:r w:rsidRPr="00451852">
              <w:rPr>
                <w:rFonts w:ascii="Calibri" w:hAnsi="Calibri"/>
                <w:sz w:val="18"/>
                <w:szCs w:val="18"/>
              </w:rPr>
              <w:t xml:space="preserve">hild </w:t>
            </w:r>
            <w:r>
              <w:rPr>
                <w:rFonts w:ascii="Calibri" w:hAnsi="Calibri"/>
                <w:sz w:val="18"/>
                <w:szCs w:val="18"/>
              </w:rPr>
              <w:t>n</w:t>
            </w:r>
            <w:r w:rsidRPr="00451852">
              <w:rPr>
                <w:rFonts w:ascii="Calibri" w:hAnsi="Calibri"/>
                <w:sz w:val="18"/>
                <w:szCs w:val="18"/>
              </w:rPr>
              <w:t>utrition</w:t>
            </w:r>
          </w:p>
        </w:tc>
        <w:tc>
          <w:tcPr>
            <w:tcW w:w="2268" w:type="dxa"/>
            <w:tcBorders>
              <w:top w:val="single" w:sz="4" w:space="0" w:color="auto"/>
            </w:tcBorders>
          </w:tcPr>
          <w:p w14:paraId="30E6C98F" w14:textId="77777777" w:rsidR="00B656F6" w:rsidRPr="00451852" w:rsidRDefault="00B656F6" w:rsidP="008F0944">
            <w:pPr>
              <w:snapToGrid w:val="0"/>
              <w:jc w:val="right"/>
              <w:rPr>
                <w:rFonts w:ascii="Calibri" w:hAnsi="Calibri"/>
                <w:sz w:val="18"/>
                <w:szCs w:val="18"/>
              </w:rPr>
            </w:pPr>
          </w:p>
        </w:tc>
        <w:tc>
          <w:tcPr>
            <w:tcW w:w="0" w:type="auto"/>
            <w:tcBorders>
              <w:top w:val="single" w:sz="4" w:space="0" w:color="auto"/>
            </w:tcBorders>
          </w:tcPr>
          <w:p w14:paraId="20CF4FF0" w14:textId="77777777" w:rsidR="00B656F6" w:rsidRPr="00451852" w:rsidRDefault="00B656F6" w:rsidP="008F0944">
            <w:pPr>
              <w:snapToGrid w:val="0"/>
              <w:jc w:val="right"/>
              <w:rPr>
                <w:rFonts w:ascii="Calibri" w:hAnsi="Calibri"/>
                <w:b/>
                <w:sz w:val="18"/>
                <w:szCs w:val="18"/>
              </w:rPr>
            </w:pPr>
            <w:r w:rsidRPr="00451852">
              <w:rPr>
                <w:rFonts w:ascii="Calibri" w:hAnsi="Calibri"/>
                <w:b/>
                <w:sz w:val="18"/>
                <w:szCs w:val="18"/>
              </w:rPr>
              <w:t>2002</w:t>
            </w:r>
          </w:p>
        </w:tc>
        <w:tc>
          <w:tcPr>
            <w:tcW w:w="0" w:type="auto"/>
            <w:tcBorders>
              <w:top w:val="single" w:sz="4" w:space="0" w:color="auto"/>
            </w:tcBorders>
          </w:tcPr>
          <w:p w14:paraId="4C3A6D9F" w14:textId="77777777" w:rsidR="00B656F6" w:rsidRPr="00451852" w:rsidRDefault="00B656F6" w:rsidP="008F0944">
            <w:pPr>
              <w:snapToGrid w:val="0"/>
              <w:jc w:val="right"/>
              <w:rPr>
                <w:rFonts w:ascii="Calibri" w:hAnsi="Calibri"/>
                <w:b/>
                <w:sz w:val="18"/>
                <w:szCs w:val="18"/>
              </w:rPr>
            </w:pPr>
            <w:r w:rsidRPr="00451852">
              <w:rPr>
                <w:rFonts w:ascii="Calibri" w:hAnsi="Calibri"/>
                <w:b/>
                <w:sz w:val="18"/>
                <w:szCs w:val="18"/>
              </w:rPr>
              <w:t>2013</w:t>
            </w:r>
          </w:p>
        </w:tc>
        <w:tc>
          <w:tcPr>
            <w:tcW w:w="717" w:type="dxa"/>
            <w:tcBorders>
              <w:top w:val="single" w:sz="4" w:space="0" w:color="auto"/>
            </w:tcBorders>
          </w:tcPr>
          <w:p w14:paraId="788C58E1" w14:textId="77777777" w:rsidR="00B656F6" w:rsidRPr="00451852" w:rsidRDefault="00B656F6" w:rsidP="008F0944">
            <w:pPr>
              <w:snapToGrid w:val="0"/>
              <w:jc w:val="right"/>
              <w:rPr>
                <w:rFonts w:ascii="Calibri" w:hAnsi="Calibri"/>
                <w:sz w:val="18"/>
                <w:szCs w:val="18"/>
              </w:rPr>
            </w:pPr>
          </w:p>
        </w:tc>
      </w:tr>
      <w:tr w:rsidR="00B656F6" w:rsidRPr="00451852" w14:paraId="19F8D517" w14:textId="77777777" w:rsidTr="008F0944">
        <w:tc>
          <w:tcPr>
            <w:tcW w:w="566" w:type="dxa"/>
            <w:vMerge/>
            <w:shd w:val="clear" w:color="auto" w:fill="E7E6E6" w:themeFill="background2"/>
            <w:textDirection w:val="btLr"/>
          </w:tcPr>
          <w:p w14:paraId="561A9B42" w14:textId="77777777" w:rsidR="00B656F6" w:rsidRPr="00451852" w:rsidRDefault="00B656F6" w:rsidP="008F0944">
            <w:pPr>
              <w:snapToGrid w:val="0"/>
              <w:ind w:left="113" w:right="113"/>
              <w:jc w:val="right"/>
              <w:rPr>
                <w:rFonts w:ascii="Calibri" w:hAnsi="Calibri" w:cstheme="minorHAnsi"/>
                <w:sz w:val="18"/>
                <w:szCs w:val="18"/>
                <w:lang w:val="en-GB"/>
              </w:rPr>
            </w:pPr>
          </w:p>
        </w:tc>
        <w:tc>
          <w:tcPr>
            <w:tcW w:w="2268" w:type="dxa"/>
            <w:shd w:val="clear" w:color="auto" w:fill="E7E6E6" w:themeFill="background2"/>
          </w:tcPr>
          <w:p w14:paraId="55C31DD3" w14:textId="77777777" w:rsidR="00B656F6" w:rsidRPr="00451852" w:rsidRDefault="00B656F6" w:rsidP="008F0944">
            <w:pPr>
              <w:snapToGrid w:val="0"/>
              <w:jc w:val="right"/>
              <w:rPr>
                <w:rFonts w:ascii="Calibri" w:hAnsi="Calibri"/>
                <w:sz w:val="18"/>
                <w:szCs w:val="18"/>
              </w:rPr>
            </w:pPr>
            <w:r w:rsidRPr="00451852">
              <w:rPr>
                <w:rFonts w:ascii="Calibri" w:hAnsi="Calibri" w:cstheme="minorHAnsi"/>
                <w:sz w:val="18"/>
                <w:szCs w:val="18"/>
                <w:lang w:val="en-GB"/>
              </w:rPr>
              <w:t>Stunting rate (%)</w:t>
            </w:r>
          </w:p>
        </w:tc>
        <w:tc>
          <w:tcPr>
            <w:tcW w:w="0" w:type="auto"/>
            <w:shd w:val="clear" w:color="auto" w:fill="E7E6E6" w:themeFill="background2"/>
          </w:tcPr>
          <w:p w14:paraId="395C023E" w14:textId="77777777" w:rsidR="00B656F6" w:rsidRPr="00451852" w:rsidRDefault="00B656F6" w:rsidP="008F0944">
            <w:pPr>
              <w:snapToGrid w:val="0"/>
              <w:jc w:val="right"/>
              <w:rPr>
                <w:rFonts w:ascii="Calibri" w:hAnsi="Calibri"/>
                <w:sz w:val="18"/>
                <w:szCs w:val="18"/>
              </w:rPr>
            </w:pPr>
            <w:r w:rsidRPr="00451852">
              <w:rPr>
                <w:rFonts w:ascii="Calibri" w:hAnsi="Calibri"/>
                <w:sz w:val="18"/>
                <w:szCs w:val="18"/>
              </w:rPr>
              <w:t>16.3</w:t>
            </w:r>
          </w:p>
        </w:tc>
        <w:tc>
          <w:tcPr>
            <w:tcW w:w="0" w:type="auto"/>
            <w:shd w:val="clear" w:color="auto" w:fill="E7E6E6" w:themeFill="background2"/>
          </w:tcPr>
          <w:p w14:paraId="19CECF28" w14:textId="77777777" w:rsidR="00B656F6" w:rsidRPr="00451852" w:rsidRDefault="00B656F6" w:rsidP="008F0944">
            <w:pPr>
              <w:snapToGrid w:val="0"/>
              <w:jc w:val="right"/>
              <w:rPr>
                <w:rFonts w:ascii="Calibri" w:hAnsi="Calibri"/>
                <w:sz w:val="18"/>
                <w:szCs w:val="18"/>
              </w:rPr>
            </w:pPr>
            <w:r w:rsidRPr="00451852">
              <w:rPr>
                <w:rFonts w:ascii="Calibri" w:hAnsi="Calibri"/>
                <w:sz w:val="18"/>
                <w:szCs w:val="18"/>
              </w:rPr>
              <w:t>8.1</w:t>
            </w:r>
          </w:p>
        </w:tc>
        <w:tc>
          <w:tcPr>
            <w:tcW w:w="717" w:type="dxa"/>
            <w:shd w:val="clear" w:color="auto" w:fill="E7E6E6" w:themeFill="background2"/>
          </w:tcPr>
          <w:p w14:paraId="2DEDE1B6" w14:textId="77777777" w:rsidR="00B656F6" w:rsidRPr="00451852" w:rsidRDefault="00B656F6" w:rsidP="008F0944">
            <w:pPr>
              <w:snapToGrid w:val="0"/>
              <w:jc w:val="right"/>
              <w:rPr>
                <w:rFonts w:ascii="Calibri" w:hAnsi="Calibri"/>
                <w:sz w:val="18"/>
                <w:szCs w:val="18"/>
              </w:rPr>
            </w:pPr>
            <w:r w:rsidRPr="00451852">
              <w:rPr>
                <w:rFonts w:ascii="Calibri" w:hAnsi="Calibri"/>
                <w:sz w:val="18"/>
                <w:szCs w:val="18"/>
              </w:rPr>
              <w:t>a</w:t>
            </w:r>
          </w:p>
        </w:tc>
      </w:tr>
      <w:tr w:rsidR="00B656F6" w:rsidRPr="00451852" w14:paraId="746DDBF3" w14:textId="77777777" w:rsidTr="008F0944">
        <w:tc>
          <w:tcPr>
            <w:tcW w:w="566" w:type="dxa"/>
            <w:vMerge/>
            <w:textDirection w:val="btLr"/>
          </w:tcPr>
          <w:p w14:paraId="7A13A240" w14:textId="77777777" w:rsidR="00B656F6" w:rsidRPr="00451852" w:rsidRDefault="00B656F6" w:rsidP="008F0944">
            <w:pPr>
              <w:snapToGrid w:val="0"/>
              <w:ind w:left="113" w:right="113"/>
              <w:jc w:val="right"/>
              <w:rPr>
                <w:rFonts w:ascii="Calibri" w:hAnsi="Calibri" w:cstheme="minorHAnsi"/>
                <w:sz w:val="18"/>
                <w:szCs w:val="18"/>
                <w:lang w:val="en-GB"/>
              </w:rPr>
            </w:pPr>
          </w:p>
        </w:tc>
        <w:tc>
          <w:tcPr>
            <w:tcW w:w="2268" w:type="dxa"/>
          </w:tcPr>
          <w:p w14:paraId="5E447BB7" w14:textId="77777777" w:rsidR="00B656F6" w:rsidRPr="00451852" w:rsidRDefault="00B656F6" w:rsidP="008F0944">
            <w:pPr>
              <w:snapToGrid w:val="0"/>
              <w:jc w:val="right"/>
              <w:rPr>
                <w:rFonts w:ascii="Calibri" w:hAnsi="Calibri" w:cstheme="minorHAnsi"/>
                <w:sz w:val="18"/>
                <w:szCs w:val="18"/>
                <w:lang w:val="en-GB"/>
              </w:rPr>
            </w:pPr>
            <w:r w:rsidRPr="00451852">
              <w:rPr>
                <w:rFonts w:ascii="Calibri" w:hAnsi="Calibri" w:cstheme="minorHAnsi"/>
                <w:sz w:val="18"/>
                <w:szCs w:val="18"/>
                <w:lang w:val="en-GB"/>
              </w:rPr>
              <w:t>Male</w:t>
            </w:r>
          </w:p>
        </w:tc>
        <w:tc>
          <w:tcPr>
            <w:tcW w:w="0" w:type="auto"/>
          </w:tcPr>
          <w:p w14:paraId="044B0F19" w14:textId="77777777" w:rsidR="00B656F6" w:rsidRPr="00451852" w:rsidRDefault="00B656F6" w:rsidP="008F0944">
            <w:pPr>
              <w:snapToGrid w:val="0"/>
              <w:jc w:val="right"/>
              <w:rPr>
                <w:rFonts w:ascii="Calibri" w:hAnsi="Calibri"/>
                <w:sz w:val="18"/>
                <w:szCs w:val="18"/>
              </w:rPr>
            </w:pPr>
            <w:r w:rsidRPr="00451852">
              <w:rPr>
                <w:rFonts w:ascii="Calibri" w:hAnsi="Calibri"/>
                <w:sz w:val="18"/>
                <w:szCs w:val="18"/>
              </w:rPr>
              <w:t>17.1</w:t>
            </w:r>
          </w:p>
        </w:tc>
        <w:tc>
          <w:tcPr>
            <w:tcW w:w="0" w:type="auto"/>
          </w:tcPr>
          <w:p w14:paraId="4E8EEFF9" w14:textId="77777777" w:rsidR="00B656F6" w:rsidRPr="00451852" w:rsidRDefault="00B656F6" w:rsidP="008F0944">
            <w:pPr>
              <w:snapToGrid w:val="0"/>
              <w:jc w:val="right"/>
              <w:rPr>
                <w:rFonts w:ascii="Calibri" w:hAnsi="Calibri"/>
                <w:sz w:val="18"/>
                <w:szCs w:val="18"/>
              </w:rPr>
            </w:pPr>
            <w:r w:rsidRPr="00451852">
              <w:rPr>
                <w:rFonts w:ascii="Calibri" w:hAnsi="Calibri"/>
                <w:sz w:val="18"/>
                <w:szCs w:val="18"/>
              </w:rPr>
              <w:t>8.7</w:t>
            </w:r>
          </w:p>
        </w:tc>
        <w:tc>
          <w:tcPr>
            <w:tcW w:w="717" w:type="dxa"/>
          </w:tcPr>
          <w:p w14:paraId="5C98FEA5" w14:textId="77777777" w:rsidR="00B656F6" w:rsidRPr="00451852" w:rsidRDefault="00B656F6" w:rsidP="008F0944">
            <w:pPr>
              <w:snapToGrid w:val="0"/>
              <w:jc w:val="right"/>
              <w:rPr>
                <w:rFonts w:ascii="Calibri" w:hAnsi="Calibri"/>
                <w:sz w:val="18"/>
                <w:szCs w:val="18"/>
              </w:rPr>
            </w:pPr>
            <w:r w:rsidRPr="00451852">
              <w:rPr>
                <w:rFonts w:ascii="Calibri" w:hAnsi="Calibri"/>
                <w:sz w:val="18"/>
                <w:szCs w:val="18"/>
              </w:rPr>
              <w:t>a</w:t>
            </w:r>
          </w:p>
        </w:tc>
      </w:tr>
      <w:tr w:rsidR="00B656F6" w:rsidRPr="00451852" w14:paraId="486268A0" w14:textId="77777777" w:rsidTr="008F0944">
        <w:tc>
          <w:tcPr>
            <w:tcW w:w="566" w:type="dxa"/>
            <w:vMerge/>
            <w:textDirection w:val="btLr"/>
          </w:tcPr>
          <w:p w14:paraId="359BFB94" w14:textId="77777777" w:rsidR="00B656F6" w:rsidRPr="00451852" w:rsidRDefault="00B656F6" w:rsidP="008F0944">
            <w:pPr>
              <w:snapToGrid w:val="0"/>
              <w:ind w:left="113" w:right="113"/>
              <w:jc w:val="right"/>
              <w:rPr>
                <w:rFonts w:ascii="Calibri" w:hAnsi="Calibri" w:cstheme="minorHAnsi"/>
                <w:sz w:val="18"/>
                <w:szCs w:val="18"/>
                <w:lang w:val="en-GB"/>
              </w:rPr>
            </w:pPr>
          </w:p>
        </w:tc>
        <w:tc>
          <w:tcPr>
            <w:tcW w:w="2268" w:type="dxa"/>
          </w:tcPr>
          <w:p w14:paraId="3C0F31CF" w14:textId="77777777" w:rsidR="00B656F6" w:rsidRPr="00451852" w:rsidRDefault="00B656F6" w:rsidP="008F0944">
            <w:pPr>
              <w:snapToGrid w:val="0"/>
              <w:jc w:val="right"/>
              <w:rPr>
                <w:rFonts w:ascii="Calibri" w:hAnsi="Calibri" w:cstheme="minorHAnsi"/>
                <w:sz w:val="18"/>
                <w:szCs w:val="18"/>
                <w:lang w:val="en-GB"/>
              </w:rPr>
            </w:pPr>
            <w:r w:rsidRPr="00451852">
              <w:rPr>
                <w:rFonts w:ascii="Calibri" w:hAnsi="Calibri" w:cstheme="minorHAnsi"/>
                <w:sz w:val="18"/>
                <w:szCs w:val="18"/>
                <w:lang w:val="en-GB"/>
              </w:rPr>
              <w:t>Female</w:t>
            </w:r>
          </w:p>
        </w:tc>
        <w:tc>
          <w:tcPr>
            <w:tcW w:w="0" w:type="auto"/>
          </w:tcPr>
          <w:p w14:paraId="2DF6B242" w14:textId="77777777" w:rsidR="00B656F6" w:rsidRPr="00451852" w:rsidRDefault="00B656F6" w:rsidP="008F0944">
            <w:pPr>
              <w:snapToGrid w:val="0"/>
              <w:jc w:val="right"/>
              <w:rPr>
                <w:rFonts w:ascii="Calibri" w:hAnsi="Calibri"/>
                <w:sz w:val="18"/>
                <w:szCs w:val="18"/>
              </w:rPr>
            </w:pPr>
            <w:r w:rsidRPr="00451852">
              <w:rPr>
                <w:rFonts w:ascii="Calibri" w:hAnsi="Calibri"/>
                <w:sz w:val="18"/>
                <w:szCs w:val="18"/>
              </w:rPr>
              <w:t>15.4</w:t>
            </w:r>
          </w:p>
        </w:tc>
        <w:tc>
          <w:tcPr>
            <w:tcW w:w="0" w:type="auto"/>
          </w:tcPr>
          <w:p w14:paraId="6C216291" w14:textId="77777777" w:rsidR="00B656F6" w:rsidRPr="00451852" w:rsidRDefault="00B656F6" w:rsidP="008F0944">
            <w:pPr>
              <w:snapToGrid w:val="0"/>
              <w:jc w:val="right"/>
              <w:rPr>
                <w:rFonts w:ascii="Calibri" w:hAnsi="Calibri"/>
                <w:sz w:val="18"/>
                <w:szCs w:val="18"/>
              </w:rPr>
            </w:pPr>
            <w:r w:rsidRPr="00451852">
              <w:rPr>
                <w:rFonts w:ascii="Calibri" w:hAnsi="Calibri"/>
                <w:sz w:val="18"/>
                <w:szCs w:val="18"/>
              </w:rPr>
              <w:t>7.4</w:t>
            </w:r>
          </w:p>
        </w:tc>
        <w:tc>
          <w:tcPr>
            <w:tcW w:w="717" w:type="dxa"/>
          </w:tcPr>
          <w:p w14:paraId="57CF57A6" w14:textId="77777777" w:rsidR="00B656F6" w:rsidRPr="00451852" w:rsidRDefault="00B656F6" w:rsidP="008F0944">
            <w:pPr>
              <w:snapToGrid w:val="0"/>
              <w:jc w:val="right"/>
              <w:rPr>
                <w:rFonts w:ascii="Calibri" w:hAnsi="Calibri"/>
                <w:sz w:val="18"/>
                <w:szCs w:val="18"/>
              </w:rPr>
            </w:pPr>
            <w:r w:rsidRPr="00451852">
              <w:rPr>
                <w:rFonts w:ascii="Calibri" w:hAnsi="Calibri"/>
                <w:sz w:val="18"/>
                <w:szCs w:val="18"/>
              </w:rPr>
              <w:t>a</w:t>
            </w:r>
          </w:p>
        </w:tc>
      </w:tr>
      <w:tr w:rsidR="00B656F6" w:rsidRPr="00451852" w14:paraId="13739CDC" w14:textId="77777777" w:rsidTr="008F0944">
        <w:tc>
          <w:tcPr>
            <w:tcW w:w="566" w:type="dxa"/>
            <w:vMerge/>
            <w:textDirection w:val="btLr"/>
          </w:tcPr>
          <w:p w14:paraId="02549C7E" w14:textId="77777777" w:rsidR="00B656F6" w:rsidRPr="00451852" w:rsidRDefault="00B656F6" w:rsidP="008F0944">
            <w:pPr>
              <w:snapToGrid w:val="0"/>
              <w:ind w:left="113" w:right="113"/>
              <w:jc w:val="right"/>
              <w:rPr>
                <w:rFonts w:ascii="Calibri" w:hAnsi="Calibri" w:cstheme="minorHAnsi"/>
                <w:sz w:val="18"/>
                <w:szCs w:val="18"/>
                <w:lang w:val="en-GB"/>
              </w:rPr>
            </w:pPr>
          </w:p>
        </w:tc>
        <w:tc>
          <w:tcPr>
            <w:tcW w:w="2268" w:type="dxa"/>
          </w:tcPr>
          <w:p w14:paraId="03044380" w14:textId="77777777" w:rsidR="00B656F6" w:rsidRPr="00451852" w:rsidRDefault="00B656F6" w:rsidP="008F0944">
            <w:pPr>
              <w:snapToGrid w:val="0"/>
              <w:jc w:val="right"/>
              <w:rPr>
                <w:rFonts w:ascii="Calibri" w:hAnsi="Calibri" w:cstheme="minorHAnsi"/>
                <w:sz w:val="18"/>
                <w:szCs w:val="18"/>
                <w:lang w:val="en-GB"/>
              </w:rPr>
            </w:pPr>
            <w:r w:rsidRPr="00451852">
              <w:rPr>
                <w:rFonts w:ascii="Calibri" w:hAnsi="Calibri" w:cstheme="minorHAnsi"/>
                <w:sz w:val="18"/>
                <w:szCs w:val="18"/>
                <w:lang w:val="en-GB"/>
              </w:rPr>
              <w:t>Urban</w:t>
            </w:r>
          </w:p>
        </w:tc>
        <w:tc>
          <w:tcPr>
            <w:tcW w:w="0" w:type="auto"/>
          </w:tcPr>
          <w:p w14:paraId="559E420B" w14:textId="77777777" w:rsidR="00B656F6" w:rsidRPr="00451852" w:rsidRDefault="00B656F6" w:rsidP="008F0944">
            <w:pPr>
              <w:snapToGrid w:val="0"/>
              <w:jc w:val="right"/>
              <w:rPr>
                <w:rFonts w:ascii="Calibri" w:hAnsi="Calibri"/>
                <w:sz w:val="18"/>
                <w:szCs w:val="18"/>
              </w:rPr>
            </w:pPr>
            <w:r w:rsidRPr="00451852">
              <w:rPr>
                <w:rFonts w:ascii="Calibri" w:hAnsi="Calibri"/>
                <w:sz w:val="18"/>
                <w:szCs w:val="18"/>
              </w:rPr>
              <w:t>7.2</w:t>
            </w:r>
          </w:p>
        </w:tc>
        <w:tc>
          <w:tcPr>
            <w:tcW w:w="0" w:type="auto"/>
          </w:tcPr>
          <w:p w14:paraId="335887D8" w14:textId="77777777" w:rsidR="00B656F6" w:rsidRPr="00451852" w:rsidRDefault="00B656F6" w:rsidP="008F0944">
            <w:pPr>
              <w:snapToGrid w:val="0"/>
              <w:jc w:val="right"/>
              <w:rPr>
                <w:rFonts w:ascii="Calibri" w:hAnsi="Calibri"/>
                <w:sz w:val="18"/>
                <w:szCs w:val="18"/>
              </w:rPr>
            </w:pPr>
            <w:r w:rsidRPr="00451852">
              <w:rPr>
                <w:rFonts w:ascii="Calibri" w:hAnsi="Calibri"/>
                <w:sz w:val="18"/>
                <w:szCs w:val="18"/>
              </w:rPr>
              <w:t>4.2</w:t>
            </w:r>
          </w:p>
        </w:tc>
        <w:tc>
          <w:tcPr>
            <w:tcW w:w="717" w:type="dxa"/>
          </w:tcPr>
          <w:p w14:paraId="66603239" w14:textId="77777777" w:rsidR="00B656F6" w:rsidRPr="00451852" w:rsidRDefault="00B656F6" w:rsidP="008F0944">
            <w:pPr>
              <w:snapToGrid w:val="0"/>
              <w:jc w:val="right"/>
              <w:rPr>
                <w:rFonts w:ascii="Calibri" w:hAnsi="Calibri"/>
                <w:sz w:val="18"/>
                <w:szCs w:val="18"/>
              </w:rPr>
            </w:pPr>
            <w:r w:rsidRPr="00451852">
              <w:rPr>
                <w:rFonts w:ascii="Calibri" w:hAnsi="Calibri"/>
                <w:sz w:val="18"/>
                <w:szCs w:val="18"/>
              </w:rPr>
              <w:t>a</w:t>
            </w:r>
          </w:p>
        </w:tc>
      </w:tr>
      <w:tr w:rsidR="00B656F6" w:rsidRPr="00451852" w14:paraId="6925286B" w14:textId="77777777" w:rsidTr="008F0944">
        <w:tc>
          <w:tcPr>
            <w:tcW w:w="566" w:type="dxa"/>
            <w:vMerge/>
            <w:textDirection w:val="btLr"/>
          </w:tcPr>
          <w:p w14:paraId="555569D4" w14:textId="77777777" w:rsidR="00B656F6" w:rsidRPr="00451852" w:rsidRDefault="00B656F6" w:rsidP="008F0944">
            <w:pPr>
              <w:snapToGrid w:val="0"/>
              <w:ind w:left="113" w:right="113"/>
              <w:jc w:val="right"/>
              <w:rPr>
                <w:rFonts w:ascii="Calibri" w:hAnsi="Calibri" w:cstheme="minorHAnsi"/>
                <w:sz w:val="18"/>
                <w:szCs w:val="18"/>
                <w:lang w:val="en-GB"/>
              </w:rPr>
            </w:pPr>
          </w:p>
        </w:tc>
        <w:tc>
          <w:tcPr>
            <w:tcW w:w="2268" w:type="dxa"/>
          </w:tcPr>
          <w:p w14:paraId="48C9D5EA" w14:textId="77777777" w:rsidR="00B656F6" w:rsidRPr="00451852" w:rsidRDefault="00B656F6" w:rsidP="008F0944">
            <w:pPr>
              <w:snapToGrid w:val="0"/>
              <w:jc w:val="right"/>
              <w:rPr>
                <w:rFonts w:ascii="Calibri" w:hAnsi="Calibri" w:cstheme="minorHAnsi"/>
                <w:sz w:val="18"/>
                <w:szCs w:val="18"/>
                <w:lang w:val="en-GB"/>
              </w:rPr>
            </w:pPr>
            <w:r w:rsidRPr="00451852">
              <w:rPr>
                <w:rFonts w:ascii="Calibri" w:hAnsi="Calibri" w:cstheme="minorHAnsi"/>
                <w:sz w:val="18"/>
                <w:szCs w:val="18"/>
                <w:lang w:val="en-GB"/>
              </w:rPr>
              <w:t>Rural</w:t>
            </w:r>
          </w:p>
        </w:tc>
        <w:tc>
          <w:tcPr>
            <w:tcW w:w="0" w:type="auto"/>
          </w:tcPr>
          <w:p w14:paraId="02203B11" w14:textId="77777777" w:rsidR="00B656F6" w:rsidRPr="00451852" w:rsidRDefault="00B656F6" w:rsidP="008F0944">
            <w:pPr>
              <w:snapToGrid w:val="0"/>
              <w:jc w:val="right"/>
              <w:rPr>
                <w:rFonts w:ascii="Calibri" w:hAnsi="Calibri"/>
                <w:sz w:val="18"/>
                <w:szCs w:val="18"/>
              </w:rPr>
            </w:pPr>
            <w:r w:rsidRPr="00451852">
              <w:rPr>
                <w:rFonts w:ascii="Calibri" w:hAnsi="Calibri"/>
                <w:sz w:val="18"/>
                <w:szCs w:val="18"/>
              </w:rPr>
              <w:t>23.8</w:t>
            </w:r>
          </w:p>
        </w:tc>
        <w:tc>
          <w:tcPr>
            <w:tcW w:w="0" w:type="auto"/>
          </w:tcPr>
          <w:p w14:paraId="2986B279" w14:textId="77777777" w:rsidR="00B656F6" w:rsidRPr="00451852" w:rsidRDefault="00B656F6" w:rsidP="008F0944">
            <w:pPr>
              <w:snapToGrid w:val="0"/>
              <w:jc w:val="right"/>
              <w:rPr>
                <w:rFonts w:ascii="Calibri" w:hAnsi="Calibri"/>
                <w:sz w:val="18"/>
                <w:szCs w:val="18"/>
              </w:rPr>
            </w:pPr>
            <w:r w:rsidRPr="00451852">
              <w:rPr>
                <w:rFonts w:ascii="Calibri" w:hAnsi="Calibri"/>
                <w:sz w:val="18"/>
                <w:szCs w:val="18"/>
              </w:rPr>
              <w:t>11.3</w:t>
            </w:r>
          </w:p>
        </w:tc>
        <w:tc>
          <w:tcPr>
            <w:tcW w:w="717" w:type="dxa"/>
          </w:tcPr>
          <w:p w14:paraId="2F79A7BF" w14:textId="77777777" w:rsidR="00B656F6" w:rsidRPr="00451852" w:rsidRDefault="00B656F6" w:rsidP="008F0944">
            <w:pPr>
              <w:snapToGrid w:val="0"/>
              <w:jc w:val="right"/>
              <w:rPr>
                <w:rFonts w:ascii="Calibri" w:hAnsi="Calibri"/>
                <w:sz w:val="18"/>
                <w:szCs w:val="18"/>
              </w:rPr>
            </w:pPr>
            <w:r w:rsidRPr="00451852">
              <w:rPr>
                <w:rFonts w:ascii="Calibri" w:hAnsi="Calibri"/>
                <w:sz w:val="18"/>
                <w:szCs w:val="18"/>
              </w:rPr>
              <w:t>a</w:t>
            </w:r>
          </w:p>
        </w:tc>
      </w:tr>
      <w:tr w:rsidR="00B656F6" w:rsidRPr="00451852" w14:paraId="148EBAB6" w14:textId="77777777" w:rsidTr="008F0944">
        <w:tc>
          <w:tcPr>
            <w:tcW w:w="566" w:type="dxa"/>
            <w:vMerge/>
            <w:shd w:val="clear" w:color="auto" w:fill="E7E6E6" w:themeFill="background2"/>
            <w:textDirection w:val="btLr"/>
          </w:tcPr>
          <w:p w14:paraId="518C8F80" w14:textId="77777777" w:rsidR="00B656F6" w:rsidRPr="00451852" w:rsidRDefault="00B656F6" w:rsidP="008F0944">
            <w:pPr>
              <w:snapToGrid w:val="0"/>
              <w:ind w:left="113" w:right="113"/>
              <w:jc w:val="right"/>
              <w:rPr>
                <w:rFonts w:ascii="Calibri" w:hAnsi="Calibri"/>
                <w:sz w:val="18"/>
                <w:szCs w:val="18"/>
              </w:rPr>
            </w:pPr>
          </w:p>
        </w:tc>
        <w:tc>
          <w:tcPr>
            <w:tcW w:w="2268" w:type="dxa"/>
            <w:shd w:val="clear" w:color="auto" w:fill="E7E6E6" w:themeFill="background2"/>
          </w:tcPr>
          <w:p w14:paraId="1869FA4B" w14:textId="77777777" w:rsidR="00B656F6" w:rsidRPr="00451852" w:rsidRDefault="00B656F6" w:rsidP="008F0944">
            <w:pPr>
              <w:snapToGrid w:val="0"/>
              <w:jc w:val="right"/>
              <w:rPr>
                <w:rFonts w:ascii="Calibri" w:hAnsi="Calibri"/>
                <w:sz w:val="18"/>
                <w:szCs w:val="18"/>
              </w:rPr>
            </w:pPr>
            <w:r w:rsidRPr="00451852">
              <w:rPr>
                <w:rFonts w:ascii="Calibri" w:hAnsi="Calibri"/>
                <w:sz w:val="18"/>
                <w:szCs w:val="18"/>
              </w:rPr>
              <w:t xml:space="preserve">Wasting rate </w:t>
            </w:r>
            <w:r w:rsidRPr="00451852">
              <w:rPr>
                <w:rFonts w:ascii="Calibri" w:hAnsi="Calibri" w:cstheme="minorHAnsi"/>
                <w:sz w:val="18"/>
                <w:szCs w:val="18"/>
                <w:lang w:val="en-GB"/>
              </w:rPr>
              <w:t>(%)</w:t>
            </w:r>
          </w:p>
        </w:tc>
        <w:tc>
          <w:tcPr>
            <w:tcW w:w="0" w:type="auto"/>
            <w:shd w:val="clear" w:color="auto" w:fill="E7E6E6" w:themeFill="background2"/>
          </w:tcPr>
          <w:p w14:paraId="34B3CC17" w14:textId="77777777" w:rsidR="00B656F6" w:rsidRPr="00451852" w:rsidRDefault="00B656F6" w:rsidP="008F0944">
            <w:pPr>
              <w:snapToGrid w:val="0"/>
              <w:jc w:val="right"/>
              <w:rPr>
                <w:rFonts w:ascii="Calibri" w:hAnsi="Calibri"/>
                <w:sz w:val="18"/>
                <w:szCs w:val="18"/>
              </w:rPr>
            </w:pPr>
            <w:r w:rsidRPr="00451852">
              <w:rPr>
                <w:rFonts w:ascii="Calibri" w:hAnsi="Calibri"/>
                <w:sz w:val="18"/>
                <w:szCs w:val="18"/>
              </w:rPr>
              <w:t>2.6</w:t>
            </w:r>
          </w:p>
        </w:tc>
        <w:tc>
          <w:tcPr>
            <w:tcW w:w="0" w:type="auto"/>
            <w:shd w:val="clear" w:color="auto" w:fill="E7E6E6" w:themeFill="background2"/>
          </w:tcPr>
          <w:p w14:paraId="70A954B6" w14:textId="77777777" w:rsidR="00B656F6" w:rsidRPr="00451852" w:rsidRDefault="00B656F6" w:rsidP="008F0944">
            <w:pPr>
              <w:snapToGrid w:val="0"/>
              <w:jc w:val="right"/>
              <w:rPr>
                <w:rFonts w:ascii="Calibri" w:hAnsi="Calibri"/>
                <w:sz w:val="18"/>
                <w:szCs w:val="18"/>
              </w:rPr>
            </w:pPr>
            <w:r w:rsidRPr="00451852">
              <w:rPr>
                <w:rFonts w:ascii="Calibri" w:hAnsi="Calibri"/>
                <w:sz w:val="18"/>
                <w:szCs w:val="18"/>
              </w:rPr>
              <w:t>2.0</w:t>
            </w:r>
          </w:p>
        </w:tc>
        <w:tc>
          <w:tcPr>
            <w:tcW w:w="717" w:type="dxa"/>
            <w:shd w:val="clear" w:color="auto" w:fill="E7E6E6" w:themeFill="background2"/>
          </w:tcPr>
          <w:p w14:paraId="2B23B976" w14:textId="77777777" w:rsidR="00B656F6" w:rsidRPr="00451852" w:rsidRDefault="00B656F6" w:rsidP="008F0944">
            <w:pPr>
              <w:snapToGrid w:val="0"/>
              <w:jc w:val="right"/>
              <w:rPr>
                <w:rFonts w:ascii="Calibri" w:hAnsi="Calibri"/>
                <w:sz w:val="18"/>
                <w:szCs w:val="18"/>
              </w:rPr>
            </w:pPr>
            <w:r w:rsidRPr="00451852">
              <w:rPr>
                <w:rFonts w:ascii="Calibri" w:hAnsi="Calibri"/>
                <w:sz w:val="18"/>
                <w:szCs w:val="18"/>
              </w:rPr>
              <w:t>a</w:t>
            </w:r>
          </w:p>
        </w:tc>
      </w:tr>
      <w:tr w:rsidR="00B656F6" w:rsidRPr="00451852" w14:paraId="37B198BE" w14:textId="77777777" w:rsidTr="008F0944">
        <w:tc>
          <w:tcPr>
            <w:tcW w:w="566" w:type="dxa"/>
            <w:vMerge/>
            <w:textDirection w:val="btLr"/>
          </w:tcPr>
          <w:p w14:paraId="429D9F99" w14:textId="77777777" w:rsidR="00B656F6" w:rsidRPr="00451852" w:rsidRDefault="00B656F6" w:rsidP="008F0944">
            <w:pPr>
              <w:snapToGrid w:val="0"/>
              <w:ind w:left="113" w:right="113"/>
              <w:jc w:val="right"/>
              <w:rPr>
                <w:rFonts w:ascii="Calibri" w:hAnsi="Calibri" w:cstheme="minorHAnsi"/>
                <w:sz w:val="18"/>
                <w:szCs w:val="18"/>
                <w:lang w:val="en-GB"/>
              </w:rPr>
            </w:pPr>
          </w:p>
        </w:tc>
        <w:tc>
          <w:tcPr>
            <w:tcW w:w="2268" w:type="dxa"/>
          </w:tcPr>
          <w:p w14:paraId="3400955D" w14:textId="77777777" w:rsidR="00B656F6" w:rsidRPr="00451852" w:rsidRDefault="00B656F6" w:rsidP="008F0944">
            <w:pPr>
              <w:snapToGrid w:val="0"/>
              <w:jc w:val="right"/>
              <w:rPr>
                <w:rFonts w:ascii="Calibri" w:hAnsi="Calibri" w:cstheme="minorHAnsi"/>
                <w:sz w:val="18"/>
                <w:szCs w:val="18"/>
                <w:lang w:val="en-GB"/>
              </w:rPr>
            </w:pPr>
            <w:r w:rsidRPr="00451852">
              <w:rPr>
                <w:rFonts w:ascii="Calibri" w:hAnsi="Calibri" w:cstheme="minorHAnsi"/>
                <w:sz w:val="18"/>
                <w:szCs w:val="18"/>
                <w:lang w:val="en-GB"/>
              </w:rPr>
              <w:t>Male</w:t>
            </w:r>
          </w:p>
        </w:tc>
        <w:tc>
          <w:tcPr>
            <w:tcW w:w="0" w:type="auto"/>
          </w:tcPr>
          <w:p w14:paraId="156ED007" w14:textId="77777777" w:rsidR="00B656F6" w:rsidRPr="00451852" w:rsidRDefault="00B656F6" w:rsidP="008F0944">
            <w:pPr>
              <w:snapToGrid w:val="0"/>
              <w:jc w:val="right"/>
              <w:rPr>
                <w:rFonts w:ascii="Calibri" w:hAnsi="Calibri"/>
                <w:sz w:val="18"/>
                <w:szCs w:val="18"/>
              </w:rPr>
            </w:pPr>
            <w:r w:rsidRPr="00451852">
              <w:rPr>
                <w:rFonts w:ascii="Calibri" w:hAnsi="Calibri"/>
                <w:sz w:val="18"/>
                <w:szCs w:val="18"/>
              </w:rPr>
              <w:t>2.8</w:t>
            </w:r>
          </w:p>
        </w:tc>
        <w:tc>
          <w:tcPr>
            <w:tcW w:w="0" w:type="auto"/>
          </w:tcPr>
          <w:p w14:paraId="572F5BB5" w14:textId="77777777" w:rsidR="00B656F6" w:rsidRPr="00451852" w:rsidRDefault="00B656F6" w:rsidP="008F0944">
            <w:pPr>
              <w:snapToGrid w:val="0"/>
              <w:jc w:val="right"/>
              <w:rPr>
                <w:rFonts w:ascii="Calibri" w:hAnsi="Calibri"/>
                <w:sz w:val="18"/>
                <w:szCs w:val="18"/>
              </w:rPr>
            </w:pPr>
            <w:r w:rsidRPr="00451852">
              <w:rPr>
                <w:rFonts w:ascii="Calibri" w:hAnsi="Calibri"/>
                <w:sz w:val="18"/>
                <w:szCs w:val="18"/>
              </w:rPr>
              <w:t>2.0</w:t>
            </w:r>
          </w:p>
        </w:tc>
        <w:tc>
          <w:tcPr>
            <w:tcW w:w="717" w:type="dxa"/>
          </w:tcPr>
          <w:p w14:paraId="4EDE0D50" w14:textId="77777777" w:rsidR="00B656F6" w:rsidRPr="00451852" w:rsidRDefault="00B656F6" w:rsidP="008F0944">
            <w:pPr>
              <w:snapToGrid w:val="0"/>
              <w:jc w:val="right"/>
              <w:rPr>
                <w:rFonts w:ascii="Calibri" w:hAnsi="Calibri"/>
                <w:sz w:val="18"/>
                <w:szCs w:val="18"/>
              </w:rPr>
            </w:pPr>
            <w:r w:rsidRPr="00451852">
              <w:rPr>
                <w:rFonts w:ascii="Calibri" w:hAnsi="Calibri"/>
                <w:sz w:val="18"/>
                <w:szCs w:val="18"/>
              </w:rPr>
              <w:t>a</w:t>
            </w:r>
          </w:p>
        </w:tc>
      </w:tr>
      <w:tr w:rsidR="00B656F6" w:rsidRPr="00451852" w14:paraId="73A95807" w14:textId="77777777" w:rsidTr="008F0944">
        <w:tc>
          <w:tcPr>
            <w:tcW w:w="566" w:type="dxa"/>
            <w:vMerge/>
            <w:textDirection w:val="btLr"/>
          </w:tcPr>
          <w:p w14:paraId="333D9355" w14:textId="77777777" w:rsidR="00B656F6" w:rsidRPr="00451852" w:rsidRDefault="00B656F6" w:rsidP="008F0944">
            <w:pPr>
              <w:snapToGrid w:val="0"/>
              <w:ind w:left="113" w:right="113"/>
              <w:jc w:val="right"/>
              <w:rPr>
                <w:rFonts w:ascii="Calibri" w:hAnsi="Calibri" w:cstheme="minorHAnsi"/>
                <w:sz w:val="18"/>
                <w:szCs w:val="18"/>
                <w:lang w:val="en-GB"/>
              </w:rPr>
            </w:pPr>
          </w:p>
        </w:tc>
        <w:tc>
          <w:tcPr>
            <w:tcW w:w="2268" w:type="dxa"/>
          </w:tcPr>
          <w:p w14:paraId="5C49E357" w14:textId="77777777" w:rsidR="00B656F6" w:rsidRPr="00451852" w:rsidRDefault="00B656F6" w:rsidP="008F0944">
            <w:pPr>
              <w:snapToGrid w:val="0"/>
              <w:jc w:val="right"/>
              <w:rPr>
                <w:rFonts w:ascii="Calibri" w:hAnsi="Calibri" w:cstheme="minorHAnsi"/>
                <w:sz w:val="18"/>
                <w:szCs w:val="18"/>
                <w:lang w:val="en-GB"/>
              </w:rPr>
            </w:pPr>
            <w:r w:rsidRPr="00451852">
              <w:rPr>
                <w:rFonts w:ascii="Calibri" w:hAnsi="Calibri" w:cstheme="minorHAnsi"/>
                <w:sz w:val="18"/>
                <w:szCs w:val="18"/>
                <w:lang w:val="en-GB"/>
              </w:rPr>
              <w:t>Female</w:t>
            </w:r>
          </w:p>
        </w:tc>
        <w:tc>
          <w:tcPr>
            <w:tcW w:w="0" w:type="auto"/>
          </w:tcPr>
          <w:p w14:paraId="19A37B0A" w14:textId="77777777" w:rsidR="00B656F6" w:rsidRPr="00451852" w:rsidRDefault="00B656F6" w:rsidP="008F0944">
            <w:pPr>
              <w:snapToGrid w:val="0"/>
              <w:jc w:val="right"/>
              <w:rPr>
                <w:rFonts w:ascii="Calibri" w:hAnsi="Calibri"/>
                <w:sz w:val="18"/>
                <w:szCs w:val="18"/>
              </w:rPr>
            </w:pPr>
            <w:r w:rsidRPr="00451852">
              <w:rPr>
                <w:rFonts w:ascii="Calibri" w:hAnsi="Calibri"/>
                <w:sz w:val="18"/>
                <w:szCs w:val="18"/>
              </w:rPr>
              <w:t>2.3</w:t>
            </w:r>
          </w:p>
        </w:tc>
        <w:tc>
          <w:tcPr>
            <w:tcW w:w="0" w:type="auto"/>
          </w:tcPr>
          <w:p w14:paraId="2FB400D5" w14:textId="77777777" w:rsidR="00B656F6" w:rsidRPr="00451852" w:rsidRDefault="00B656F6" w:rsidP="008F0944">
            <w:pPr>
              <w:snapToGrid w:val="0"/>
              <w:jc w:val="right"/>
              <w:rPr>
                <w:rFonts w:ascii="Calibri" w:hAnsi="Calibri"/>
                <w:sz w:val="18"/>
                <w:szCs w:val="18"/>
              </w:rPr>
            </w:pPr>
            <w:r w:rsidRPr="00451852">
              <w:rPr>
                <w:rFonts w:ascii="Calibri" w:hAnsi="Calibri"/>
                <w:sz w:val="18"/>
                <w:szCs w:val="18"/>
              </w:rPr>
              <w:t>2.0</w:t>
            </w:r>
          </w:p>
        </w:tc>
        <w:tc>
          <w:tcPr>
            <w:tcW w:w="717" w:type="dxa"/>
          </w:tcPr>
          <w:p w14:paraId="2790A8D2" w14:textId="77777777" w:rsidR="00B656F6" w:rsidRPr="00451852" w:rsidRDefault="00B656F6" w:rsidP="008F0944">
            <w:pPr>
              <w:snapToGrid w:val="0"/>
              <w:jc w:val="right"/>
              <w:rPr>
                <w:rFonts w:ascii="Calibri" w:hAnsi="Calibri"/>
                <w:sz w:val="18"/>
                <w:szCs w:val="18"/>
              </w:rPr>
            </w:pPr>
            <w:r w:rsidRPr="00451852">
              <w:rPr>
                <w:rFonts w:ascii="Calibri" w:hAnsi="Calibri"/>
                <w:sz w:val="18"/>
                <w:szCs w:val="18"/>
              </w:rPr>
              <w:t>a</w:t>
            </w:r>
          </w:p>
        </w:tc>
      </w:tr>
      <w:tr w:rsidR="00B656F6" w:rsidRPr="00451852" w14:paraId="48711C18" w14:textId="77777777" w:rsidTr="008F0944">
        <w:tc>
          <w:tcPr>
            <w:tcW w:w="566" w:type="dxa"/>
            <w:vMerge/>
            <w:textDirection w:val="btLr"/>
          </w:tcPr>
          <w:p w14:paraId="42A2F948" w14:textId="77777777" w:rsidR="00B656F6" w:rsidRPr="00451852" w:rsidRDefault="00B656F6" w:rsidP="008F0944">
            <w:pPr>
              <w:snapToGrid w:val="0"/>
              <w:ind w:left="113" w:right="113"/>
              <w:jc w:val="right"/>
              <w:rPr>
                <w:rFonts w:ascii="Calibri" w:hAnsi="Calibri" w:cstheme="minorHAnsi"/>
                <w:sz w:val="18"/>
                <w:szCs w:val="18"/>
                <w:lang w:val="en-GB"/>
              </w:rPr>
            </w:pPr>
          </w:p>
        </w:tc>
        <w:tc>
          <w:tcPr>
            <w:tcW w:w="2268" w:type="dxa"/>
          </w:tcPr>
          <w:p w14:paraId="01421900" w14:textId="77777777" w:rsidR="00B656F6" w:rsidRPr="00451852" w:rsidRDefault="00B656F6" w:rsidP="008F0944">
            <w:pPr>
              <w:snapToGrid w:val="0"/>
              <w:jc w:val="right"/>
              <w:rPr>
                <w:rFonts w:ascii="Calibri" w:hAnsi="Calibri" w:cstheme="minorHAnsi"/>
                <w:sz w:val="18"/>
                <w:szCs w:val="18"/>
                <w:lang w:val="en-GB"/>
              </w:rPr>
            </w:pPr>
            <w:r w:rsidRPr="00451852">
              <w:rPr>
                <w:rFonts w:ascii="Calibri" w:hAnsi="Calibri" w:cstheme="minorHAnsi"/>
                <w:sz w:val="18"/>
                <w:szCs w:val="18"/>
                <w:lang w:val="en-GB"/>
              </w:rPr>
              <w:t>Urban</w:t>
            </w:r>
          </w:p>
        </w:tc>
        <w:tc>
          <w:tcPr>
            <w:tcW w:w="0" w:type="auto"/>
          </w:tcPr>
          <w:p w14:paraId="5FC5C04F" w14:textId="77777777" w:rsidR="00B656F6" w:rsidRPr="00451852" w:rsidRDefault="00B656F6" w:rsidP="008F0944">
            <w:pPr>
              <w:snapToGrid w:val="0"/>
              <w:jc w:val="right"/>
              <w:rPr>
                <w:rFonts w:ascii="Calibri" w:hAnsi="Calibri"/>
                <w:sz w:val="18"/>
                <w:szCs w:val="18"/>
              </w:rPr>
            </w:pPr>
            <w:r w:rsidRPr="00451852">
              <w:rPr>
                <w:rFonts w:ascii="Calibri" w:hAnsi="Calibri"/>
                <w:sz w:val="18"/>
                <w:szCs w:val="18"/>
              </w:rPr>
              <w:t>2.1</w:t>
            </w:r>
          </w:p>
        </w:tc>
        <w:tc>
          <w:tcPr>
            <w:tcW w:w="0" w:type="auto"/>
          </w:tcPr>
          <w:p w14:paraId="406F7017" w14:textId="77777777" w:rsidR="00B656F6" w:rsidRPr="00451852" w:rsidRDefault="00B656F6" w:rsidP="008F0944">
            <w:pPr>
              <w:snapToGrid w:val="0"/>
              <w:jc w:val="right"/>
              <w:rPr>
                <w:rFonts w:ascii="Calibri" w:hAnsi="Calibri"/>
                <w:sz w:val="18"/>
                <w:szCs w:val="18"/>
              </w:rPr>
            </w:pPr>
            <w:r w:rsidRPr="00451852">
              <w:rPr>
                <w:rFonts w:ascii="Calibri" w:hAnsi="Calibri"/>
                <w:sz w:val="18"/>
                <w:szCs w:val="18"/>
              </w:rPr>
              <w:t>2.4</w:t>
            </w:r>
          </w:p>
        </w:tc>
        <w:tc>
          <w:tcPr>
            <w:tcW w:w="717" w:type="dxa"/>
          </w:tcPr>
          <w:p w14:paraId="0E2BFC0C" w14:textId="77777777" w:rsidR="00B656F6" w:rsidRPr="00451852" w:rsidRDefault="00B656F6" w:rsidP="008F0944">
            <w:pPr>
              <w:snapToGrid w:val="0"/>
              <w:jc w:val="right"/>
              <w:rPr>
                <w:rFonts w:ascii="Calibri" w:hAnsi="Calibri"/>
                <w:sz w:val="18"/>
                <w:szCs w:val="18"/>
              </w:rPr>
            </w:pPr>
            <w:r w:rsidRPr="00451852">
              <w:rPr>
                <w:rFonts w:ascii="Calibri" w:hAnsi="Calibri"/>
                <w:sz w:val="18"/>
                <w:szCs w:val="18"/>
              </w:rPr>
              <w:t>a</w:t>
            </w:r>
          </w:p>
        </w:tc>
      </w:tr>
      <w:tr w:rsidR="00B656F6" w:rsidRPr="00451852" w14:paraId="1B3FF1AA" w14:textId="77777777" w:rsidTr="008F0944">
        <w:tc>
          <w:tcPr>
            <w:tcW w:w="566" w:type="dxa"/>
            <w:vMerge/>
            <w:textDirection w:val="btLr"/>
          </w:tcPr>
          <w:p w14:paraId="364FA65A" w14:textId="77777777" w:rsidR="00B656F6" w:rsidRPr="00451852" w:rsidRDefault="00B656F6" w:rsidP="008F0944">
            <w:pPr>
              <w:snapToGrid w:val="0"/>
              <w:ind w:left="113" w:right="113"/>
              <w:jc w:val="right"/>
              <w:rPr>
                <w:rFonts w:ascii="Calibri" w:hAnsi="Calibri" w:cstheme="minorHAnsi"/>
                <w:sz w:val="18"/>
                <w:szCs w:val="18"/>
                <w:lang w:val="en-GB"/>
              </w:rPr>
            </w:pPr>
          </w:p>
        </w:tc>
        <w:tc>
          <w:tcPr>
            <w:tcW w:w="2268" w:type="dxa"/>
          </w:tcPr>
          <w:p w14:paraId="28AD982C" w14:textId="77777777" w:rsidR="00B656F6" w:rsidRPr="00451852" w:rsidRDefault="00B656F6" w:rsidP="008F0944">
            <w:pPr>
              <w:snapToGrid w:val="0"/>
              <w:jc w:val="right"/>
              <w:rPr>
                <w:rFonts w:ascii="Calibri" w:hAnsi="Calibri" w:cstheme="minorHAnsi"/>
                <w:sz w:val="18"/>
                <w:szCs w:val="18"/>
                <w:lang w:val="en-GB"/>
              </w:rPr>
            </w:pPr>
            <w:r w:rsidRPr="00451852">
              <w:rPr>
                <w:rFonts w:ascii="Calibri" w:hAnsi="Calibri" w:cstheme="minorHAnsi"/>
                <w:sz w:val="18"/>
                <w:szCs w:val="18"/>
                <w:lang w:val="en-GB"/>
              </w:rPr>
              <w:t>Rural</w:t>
            </w:r>
          </w:p>
        </w:tc>
        <w:tc>
          <w:tcPr>
            <w:tcW w:w="0" w:type="auto"/>
          </w:tcPr>
          <w:p w14:paraId="26B3A2C8" w14:textId="77777777" w:rsidR="00B656F6" w:rsidRPr="00451852" w:rsidRDefault="00B656F6" w:rsidP="008F0944">
            <w:pPr>
              <w:snapToGrid w:val="0"/>
              <w:jc w:val="right"/>
              <w:rPr>
                <w:rFonts w:ascii="Calibri" w:hAnsi="Calibri"/>
                <w:sz w:val="18"/>
                <w:szCs w:val="18"/>
              </w:rPr>
            </w:pPr>
            <w:r w:rsidRPr="00451852">
              <w:rPr>
                <w:rFonts w:ascii="Calibri" w:hAnsi="Calibri"/>
                <w:sz w:val="18"/>
                <w:szCs w:val="18"/>
              </w:rPr>
              <w:t>3.0</w:t>
            </w:r>
          </w:p>
        </w:tc>
        <w:tc>
          <w:tcPr>
            <w:tcW w:w="0" w:type="auto"/>
          </w:tcPr>
          <w:p w14:paraId="5478A17B" w14:textId="77777777" w:rsidR="00B656F6" w:rsidRPr="00451852" w:rsidRDefault="00B656F6" w:rsidP="008F0944">
            <w:pPr>
              <w:snapToGrid w:val="0"/>
              <w:jc w:val="right"/>
              <w:rPr>
                <w:rFonts w:ascii="Calibri" w:hAnsi="Calibri"/>
                <w:sz w:val="18"/>
                <w:szCs w:val="18"/>
              </w:rPr>
            </w:pPr>
            <w:r w:rsidRPr="00451852">
              <w:rPr>
                <w:rFonts w:ascii="Calibri" w:hAnsi="Calibri"/>
                <w:sz w:val="18"/>
                <w:szCs w:val="18"/>
              </w:rPr>
              <w:t>1.5</w:t>
            </w:r>
          </w:p>
        </w:tc>
        <w:tc>
          <w:tcPr>
            <w:tcW w:w="717" w:type="dxa"/>
          </w:tcPr>
          <w:p w14:paraId="32D7C8D2" w14:textId="77777777" w:rsidR="00B656F6" w:rsidRPr="00451852" w:rsidRDefault="00B656F6" w:rsidP="008F0944">
            <w:pPr>
              <w:snapToGrid w:val="0"/>
              <w:jc w:val="right"/>
              <w:rPr>
                <w:rFonts w:ascii="Calibri" w:hAnsi="Calibri"/>
                <w:sz w:val="18"/>
                <w:szCs w:val="18"/>
              </w:rPr>
            </w:pPr>
            <w:r w:rsidRPr="00451852">
              <w:rPr>
                <w:rFonts w:ascii="Calibri" w:hAnsi="Calibri"/>
                <w:sz w:val="18"/>
                <w:szCs w:val="18"/>
              </w:rPr>
              <w:t>a</w:t>
            </w:r>
          </w:p>
        </w:tc>
      </w:tr>
      <w:tr w:rsidR="00B656F6" w:rsidRPr="00451852" w14:paraId="3B497404" w14:textId="77777777" w:rsidTr="008F0944">
        <w:tc>
          <w:tcPr>
            <w:tcW w:w="566" w:type="dxa"/>
            <w:vMerge/>
            <w:shd w:val="clear" w:color="auto" w:fill="E7E6E6" w:themeFill="background2"/>
            <w:textDirection w:val="btLr"/>
          </w:tcPr>
          <w:p w14:paraId="7F26C445" w14:textId="77777777" w:rsidR="00B656F6" w:rsidRPr="00451852" w:rsidRDefault="00B656F6" w:rsidP="008F0944">
            <w:pPr>
              <w:snapToGrid w:val="0"/>
              <w:ind w:left="113" w:right="113"/>
              <w:jc w:val="right"/>
              <w:rPr>
                <w:rFonts w:ascii="Calibri" w:hAnsi="Calibri"/>
                <w:sz w:val="18"/>
                <w:szCs w:val="18"/>
              </w:rPr>
            </w:pPr>
          </w:p>
        </w:tc>
        <w:tc>
          <w:tcPr>
            <w:tcW w:w="2268" w:type="dxa"/>
            <w:shd w:val="clear" w:color="auto" w:fill="E7E6E6" w:themeFill="background2"/>
          </w:tcPr>
          <w:p w14:paraId="0D449024" w14:textId="77777777" w:rsidR="00B656F6" w:rsidRPr="00451852" w:rsidRDefault="00B656F6" w:rsidP="008F0944">
            <w:pPr>
              <w:snapToGrid w:val="0"/>
              <w:jc w:val="right"/>
              <w:rPr>
                <w:rFonts w:ascii="Calibri" w:hAnsi="Calibri"/>
                <w:sz w:val="18"/>
                <w:szCs w:val="18"/>
              </w:rPr>
            </w:pPr>
            <w:r w:rsidRPr="00451852">
              <w:rPr>
                <w:rFonts w:ascii="Calibri" w:hAnsi="Calibri"/>
                <w:sz w:val="18"/>
                <w:szCs w:val="18"/>
              </w:rPr>
              <w:t xml:space="preserve">Overweight rate </w:t>
            </w:r>
            <w:r w:rsidRPr="00451852">
              <w:rPr>
                <w:rFonts w:ascii="Calibri" w:hAnsi="Calibri" w:cstheme="minorHAnsi"/>
                <w:sz w:val="18"/>
                <w:szCs w:val="18"/>
                <w:lang w:val="en-GB"/>
              </w:rPr>
              <w:t>(%)</w:t>
            </w:r>
          </w:p>
        </w:tc>
        <w:tc>
          <w:tcPr>
            <w:tcW w:w="0" w:type="auto"/>
            <w:shd w:val="clear" w:color="auto" w:fill="E7E6E6" w:themeFill="background2"/>
          </w:tcPr>
          <w:p w14:paraId="1A5A7F56" w14:textId="77777777" w:rsidR="00B656F6" w:rsidRPr="00451852" w:rsidRDefault="00B656F6" w:rsidP="008F0944">
            <w:pPr>
              <w:snapToGrid w:val="0"/>
              <w:jc w:val="right"/>
              <w:rPr>
                <w:rFonts w:ascii="Calibri" w:hAnsi="Calibri"/>
                <w:sz w:val="18"/>
                <w:szCs w:val="18"/>
              </w:rPr>
            </w:pPr>
            <w:r w:rsidRPr="00451852">
              <w:rPr>
                <w:rFonts w:ascii="Calibri" w:hAnsi="Calibri"/>
                <w:sz w:val="18"/>
                <w:szCs w:val="18"/>
              </w:rPr>
              <w:t>6.5</w:t>
            </w:r>
          </w:p>
        </w:tc>
        <w:tc>
          <w:tcPr>
            <w:tcW w:w="0" w:type="auto"/>
            <w:shd w:val="clear" w:color="auto" w:fill="E7E6E6" w:themeFill="background2"/>
          </w:tcPr>
          <w:p w14:paraId="1CD3B9F2" w14:textId="77777777" w:rsidR="00B656F6" w:rsidRPr="00451852" w:rsidRDefault="00B656F6" w:rsidP="008F0944">
            <w:pPr>
              <w:snapToGrid w:val="0"/>
              <w:jc w:val="right"/>
              <w:rPr>
                <w:rFonts w:ascii="Calibri" w:hAnsi="Calibri"/>
                <w:sz w:val="18"/>
                <w:szCs w:val="18"/>
              </w:rPr>
            </w:pPr>
            <w:r w:rsidRPr="00451852">
              <w:rPr>
                <w:rFonts w:ascii="Calibri" w:hAnsi="Calibri"/>
                <w:sz w:val="18"/>
                <w:szCs w:val="18"/>
              </w:rPr>
              <w:t>8.4</w:t>
            </w:r>
          </w:p>
        </w:tc>
        <w:tc>
          <w:tcPr>
            <w:tcW w:w="717" w:type="dxa"/>
            <w:shd w:val="clear" w:color="auto" w:fill="E7E6E6" w:themeFill="background2"/>
          </w:tcPr>
          <w:p w14:paraId="01913922" w14:textId="77777777" w:rsidR="00B656F6" w:rsidRPr="00451852" w:rsidRDefault="00B656F6" w:rsidP="008F0944">
            <w:pPr>
              <w:snapToGrid w:val="0"/>
              <w:jc w:val="right"/>
              <w:rPr>
                <w:rFonts w:ascii="Calibri" w:hAnsi="Calibri"/>
                <w:sz w:val="18"/>
                <w:szCs w:val="18"/>
              </w:rPr>
            </w:pPr>
            <w:r w:rsidRPr="00451852">
              <w:rPr>
                <w:rFonts w:ascii="Calibri" w:hAnsi="Calibri"/>
                <w:sz w:val="18"/>
                <w:szCs w:val="18"/>
              </w:rPr>
              <w:t>a</w:t>
            </w:r>
          </w:p>
        </w:tc>
      </w:tr>
      <w:tr w:rsidR="00B656F6" w:rsidRPr="00451852" w14:paraId="4C1539FE" w14:textId="77777777" w:rsidTr="008F0944">
        <w:tc>
          <w:tcPr>
            <w:tcW w:w="566" w:type="dxa"/>
            <w:vMerge/>
            <w:textDirection w:val="btLr"/>
          </w:tcPr>
          <w:p w14:paraId="0BF48CCF" w14:textId="77777777" w:rsidR="00B656F6" w:rsidRPr="00451852" w:rsidRDefault="00B656F6" w:rsidP="008F0944">
            <w:pPr>
              <w:snapToGrid w:val="0"/>
              <w:ind w:left="113" w:right="113"/>
              <w:jc w:val="right"/>
              <w:rPr>
                <w:rFonts w:ascii="Calibri" w:hAnsi="Calibri" w:cstheme="minorHAnsi"/>
                <w:sz w:val="18"/>
                <w:szCs w:val="18"/>
                <w:lang w:val="en-GB"/>
              </w:rPr>
            </w:pPr>
          </w:p>
        </w:tc>
        <w:tc>
          <w:tcPr>
            <w:tcW w:w="2268" w:type="dxa"/>
          </w:tcPr>
          <w:p w14:paraId="3FCA877D" w14:textId="77777777" w:rsidR="00B656F6" w:rsidRPr="00451852" w:rsidRDefault="00B656F6" w:rsidP="008F0944">
            <w:pPr>
              <w:snapToGrid w:val="0"/>
              <w:jc w:val="right"/>
              <w:rPr>
                <w:rFonts w:ascii="Calibri" w:hAnsi="Calibri" w:cstheme="minorHAnsi"/>
                <w:sz w:val="18"/>
                <w:szCs w:val="18"/>
                <w:lang w:val="en-GB"/>
              </w:rPr>
            </w:pPr>
            <w:r w:rsidRPr="00451852">
              <w:rPr>
                <w:rFonts w:ascii="Calibri" w:hAnsi="Calibri" w:cstheme="minorHAnsi"/>
                <w:sz w:val="18"/>
                <w:szCs w:val="18"/>
                <w:lang w:val="en-GB"/>
              </w:rPr>
              <w:t>Male</w:t>
            </w:r>
          </w:p>
        </w:tc>
        <w:tc>
          <w:tcPr>
            <w:tcW w:w="0" w:type="auto"/>
          </w:tcPr>
          <w:p w14:paraId="57BC9948" w14:textId="77777777" w:rsidR="00B656F6" w:rsidRPr="00451852" w:rsidRDefault="00B656F6" w:rsidP="008F0944">
            <w:pPr>
              <w:snapToGrid w:val="0"/>
              <w:jc w:val="right"/>
              <w:rPr>
                <w:rFonts w:ascii="Calibri" w:hAnsi="Calibri"/>
                <w:sz w:val="18"/>
                <w:szCs w:val="18"/>
              </w:rPr>
            </w:pPr>
            <w:r w:rsidRPr="00451852">
              <w:rPr>
                <w:rFonts w:ascii="Calibri" w:hAnsi="Calibri"/>
                <w:sz w:val="18"/>
                <w:szCs w:val="18"/>
              </w:rPr>
              <w:t>7.3</w:t>
            </w:r>
          </w:p>
        </w:tc>
        <w:tc>
          <w:tcPr>
            <w:tcW w:w="0" w:type="auto"/>
          </w:tcPr>
          <w:p w14:paraId="795134F2" w14:textId="77777777" w:rsidR="00B656F6" w:rsidRPr="00451852" w:rsidRDefault="00B656F6" w:rsidP="008F0944">
            <w:pPr>
              <w:snapToGrid w:val="0"/>
              <w:jc w:val="right"/>
              <w:rPr>
                <w:rFonts w:ascii="Calibri" w:hAnsi="Calibri"/>
                <w:sz w:val="18"/>
                <w:szCs w:val="18"/>
              </w:rPr>
            </w:pPr>
            <w:r w:rsidRPr="00451852">
              <w:rPr>
                <w:rFonts w:ascii="Calibri" w:hAnsi="Calibri"/>
                <w:sz w:val="18"/>
                <w:szCs w:val="18"/>
              </w:rPr>
              <w:t>9.4</w:t>
            </w:r>
          </w:p>
        </w:tc>
        <w:tc>
          <w:tcPr>
            <w:tcW w:w="717" w:type="dxa"/>
          </w:tcPr>
          <w:p w14:paraId="3B69274B" w14:textId="77777777" w:rsidR="00B656F6" w:rsidRPr="00451852" w:rsidRDefault="00B656F6" w:rsidP="008F0944">
            <w:pPr>
              <w:snapToGrid w:val="0"/>
              <w:jc w:val="right"/>
              <w:rPr>
                <w:rFonts w:ascii="Calibri" w:hAnsi="Calibri"/>
                <w:sz w:val="18"/>
                <w:szCs w:val="18"/>
              </w:rPr>
            </w:pPr>
            <w:r w:rsidRPr="00451852">
              <w:rPr>
                <w:rFonts w:ascii="Calibri" w:hAnsi="Calibri"/>
                <w:sz w:val="18"/>
                <w:szCs w:val="18"/>
              </w:rPr>
              <w:t>a</w:t>
            </w:r>
          </w:p>
        </w:tc>
      </w:tr>
      <w:tr w:rsidR="00B656F6" w:rsidRPr="00451852" w14:paraId="50454BB6" w14:textId="77777777" w:rsidTr="008F0944">
        <w:tc>
          <w:tcPr>
            <w:tcW w:w="566" w:type="dxa"/>
            <w:vMerge/>
            <w:textDirection w:val="btLr"/>
          </w:tcPr>
          <w:p w14:paraId="655EA5A1" w14:textId="77777777" w:rsidR="00B656F6" w:rsidRPr="00451852" w:rsidRDefault="00B656F6" w:rsidP="008F0944">
            <w:pPr>
              <w:snapToGrid w:val="0"/>
              <w:ind w:left="113" w:right="113"/>
              <w:jc w:val="right"/>
              <w:rPr>
                <w:rFonts w:ascii="Calibri" w:hAnsi="Calibri" w:cstheme="minorHAnsi"/>
                <w:sz w:val="18"/>
                <w:szCs w:val="18"/>
                <w:lang w:val="en-GB"/>
              </w:rPr>
            </w:pPr>
          </w:p>
        </w:tc>
        <w:tc>
          <w:tcPr>
            <w:tcW w:w="2268" w:type="dxa"/>
          </w:tcPr>
          <w:p w14:paraId="7B0501F4" w14:textId="77777777" w:rsidR="00B656F6" w:rsidRPr="00451852" w:rsidRDefault="00B656F6" w:rsidP="008F0944">
            <w:pPr>
              <w:snapToGrid w:val="0"/>
              <w:jc w:val="right"/>
              <w:rPr>
                <w:rFonts w:ascii="Calibri" w:hAnsi="Calibri" w:cstheme="minorHAnsi"/>
                <w:sz w:val="18"/>
                <w:szCs w:val="18"/>
                <w:lang w:val="en-GB"/>
              </w:rPr>
            </w:pPr>
            <w:r w:rsidRPr="00451852">
              <w:rPr>
                <w:rFonts w:ascii="Calibri" w:hAnsi="Calibri" w:cstheme="minorHAnsi"/>
                <w:sz w:val="18"/>
                <w:szCs w:val="18"/>
                <w:lang w:val="en-GB"/>
              </w:rPr>
              <w:t>Female</w:t>
            </w:r>
          </w:p>
        </w:tc>
        <w:tc>
          <w:tcPr>
            <w:tcW w:w="0" w:type="auto"/>
          </w:tcPr>
          <w:p w14:paraId="0A28E022" w14:textId="77777777" w:rsidR="00B656F6" w:rsidRPr="00451852" w:rsidRDefault="00B656F6" w:rsidP="008F0944">
            <w:pPr>
              <w:snapToGrid w:val="0"/>
              <w:jc w:val="right"/>
              <w:rPr>
                <w:rFonts w:ascii="Calibri" w:hAnsi="Calibri"/>
                <w:sz w:val="18"/>
                <w:szCs w:val="18"/>
              </w:rPr>
            </w:pPr>
            <w:r w:rsidRPr="00451852">
              <w:rPr>
                <w:rFonts w:ascii="Calibri" w:hAnsi="Calibri"/>
                <w:sz w:val="18"/>
                <w:szCs w:val="18"/>
              </w:rPr>
              <w:t>5.5</w:t>
            </w:r>
          </w:p>
        </w:tc>
        <w:tc>
          <w:tcPr>
            <w:tcW w:w="0" w:type="auto"/>
          </w:tcPr>
          <w:p w14:paraId="5D2B40CE" w14:textId="77777777" w:rsidR="00B656F6" w:rsidRPr="00451852" w:rsidRDefault="00B656F6" w:rsidP="008F0944">
            <w:pPr>
              <w:snapToGrid w:val="0"/>
              <w:jc w:val="right"/>
              <w:rPr>
                <w:rFonts w:ascii="Calibri" w:hAnsi="Calibri"/>
                <w:sz w:val="18"/>
                <w:szCs w:val="18"/>
              </w:rPr>
            </w:pPr>
            <w:r w:rsidRPr="00451852">
              <w:rPr>
                <w:rFonts w:ascii="Calibri" w:hAnsi="Calibri"/>
                <w:sz w:val="18"/>
                <w:szCs w:val="18"/>
              </w:rPr>
              <w:t>7.2</w:t>
            </w:r>
          </w:p>
        </w:tc>
        <w:tc>
          <w:tcPr>
            <w:tcW w:w="717" w:type="dxa"/>
          </w:tcPr>
          <w:p w14:paraId="5F62117A" w14:textId="77777777" w:rsidR="00B656F6" w:rsidRPr="00451852" w:rsidRDefault="00B656F6" w:rsidP="008F0944">
            <w:pPr>
              <w:snapToGrid w:val="0"/>
              <w:jc w:val="right"/>
              <w:rPr>
                <w:rFonts w:ascii="Calibri" w:hAnsi="Calibri"/>
                <w:sz w:val="18"/>
                <w:szCs w:val="18"/>
              </w:rPr>
            </w:pPr>
            <w:r w:rsidRPr="00451852">
              <w:rPr>
                <w:rFonts w:ascii="Calibri" w:hAnsi="Calibri"/>
                <w:sz w:val="18"/>
                <w:szCs w:val="18"/>
              </w:rPr>
              <w:t>a</w:t>
            </w:r>
          </w:p>
        </w:tc>
      </w:tr>
      <w:tr w:rsidR="00B656F6" w:rsidRPr="00451852" w14:paraId="017B8C26" w14:textId="77777777" w:rsidTr="008F0944">
        <w:tc>
          <w:tcPr>
            <w:tcW w:w="566" w:type="dxa"/>
            <w:vMerge/>
            <w:textDirection w:val="btLr"/>
          </w:tcPr>
          <w:p w14:paraId="0D766F85" w14:textId="77777777" w:rsidR="00B656F6" w:rsidRPr="00451852" w:rsidRDefault="00B656F6" w:rsidP="008F0944">
            <w:pPr>
              <w:snapToGrid w:val="0"/>
              <w:ind w:left="113" w:right="113"/>
              <w:jc w:val="right"/>
              <w:rPr>
                <w:rFonts w:ascii="Calibri" w:hAnsi="Calibri" w:cstheme="minorHAnsi"/>
                <w:sz w:val="18"/>
                <w:szCs w:val="18"/>
                <w:lang w:val="en-GB"/>
              </w:rPr>
            </w:pPr>
          </w:p>
        </w:tc>
        <w:tc>
          <w:tcPr>
            <w:tcW w:w="2268" w:type="dxa"/>
          </w:tcPr>
          <w:p w14:paraId="13A0F219" w14:textId="77777777" w:rsidR="00B656F6" w:rsidRPr="00451852" w:rsidRDefault="00B656F6" w:rsidP="008F0944">
            <w:pPr>
              <w:snapToGrid w:val="0"/>
              <w:jc w:val="right"/>
              <w:rPr>
                <w:rFonts w:ascii="Calibri" w:hAnsi="Calibri" w:cstheme="minorHAnsi"/>
                <w:sz w:val="18"/>
                <w:szCs w:val="18"/>
                <w:lang w:val="en-GB"/>
              </w:rPr>
            </w:pPr>
            <w:r w:rsidRPr="00451852">
              <w:rPr>
                <w:rFonts w:ascii="Calibri" w:hAnsi="Calibri" w:cstheme="minorHAnsi"/>
                <w:sz w:val="18"/>
                <w:szCs w:val="18"/>
                <w:lang w:val="en-GB"/>
              </w:rPr>
              <w:t>Urban</w:t>
            </w:r>
          </w:p>
        </w:tc>
        <w:tc>
          <w:tcPr>
            <w:tcW w:w="0" w:type="auto"/>
          </w:tcPr>
          <w:p w14:paraId="20746613" w14:textId="77777777" w:rsidR="00B656F6" w:rsidRPr="00451852" w:rsidRDefault="00B656F6" w:rsidP="008F0944">
            <w:pPr>
              <w:snapToGrid w:val="0"/>
              <w:jc w:val="right"/>
              <w:rPr>
                <w:rFonts w:ascii="Calibri" w:hAnsi="Calibri"/>
                <w:sz w:val="18"/>
                <w:szCs w:val="18"/>
              </w:rPr>
            </w:pPr>
            <w:r w:rsidRPr="00451852">
              <w:rPr>
                <w:rFonts w:ascii="Calibri" w:hAnsi="Calibri"/>
                <w:sz w:val="18"/>
                <w:szCs w:val="18"/>
              </w:rPr>
              <w:t>7.7</w:t>
            </w:r>
          </w:p>
        </w:tc>
        <w:tc>
          <w:tcPr>
            <w:tcW w:w="0" w:type="auto"/>
          </w:tcPr>
          <w:p w14:paraId="2C7CBB33" w14:textId="77777777" w:rsidR="00B656F6" w:rsidRPr="00451852" w:rsidRDefault="00B656F6" w:rsidP="008F0944">
            <w:pPr>
              <w:snapToGrid w:val="0"/>
              <w:jc w:val="right"/>
              <w:rPr>
                <w:rFonts w:ascii="Calibri" w:hAnsi="Calibri"/>
                <w:sz w:val="18"/>
                <w:szCs w:val="18"/>
              </w:rPr>
            </w:pPr>
            <w:r w:rsidRPr="00451852">
              <w:rPr>
                <w:rFonts w:ascii="Calibri" w:hAnsi="Calibri"/>
                <w:sz w:val="18"/>
                <w:szCs w:val="18"/>
              </w:rPr>
              <w:t>8.4</w:t>
            </w:r>
          </w:p>
        </w:tc>
        <w:tc>
          <w:tcPr>
            <w:tcW w:w="717" w:type="dxa"/>
          </w:tcPr>
          <w:p w14:paraId="48265444" w14:textId="77777777" w:rsidR="00B656F6" w:rsidRPr="00451852" w:rsidRDefault="00B656F6" w:rsidP="008F0944">
            <w:pPr>
              <w:snapToGrid w:val="0"/>
              <w:jc w:val="right"/>
              <w:rPr>
                <w:rFonts w:ascii="Calibri" w:hAnsi="Calibri"/>
                <w:sz w:val="18"/>
                <w:szCs w:val="18"/>
              </w:rPr>
            </w:pPr>
            <w:r w:rsidRPr="00451852">
              <w:rPr>
                <w:rFonts w:ascii="Calibri" w:hAnsi="Calibri"/>
                <w:sz w:val="18"/>
                <w:szCs w:val="18"/>
              </w:rPr>
              <w:t>a</w:t>
            </w:r>
          </w:p>
        </w:tc>
      </w:tr>
      <w:tr w:rsidR="00B656F6" w:rsidRPr="00451852" w14:paraId="11D1B812" w14:textId="77777777" w:rsidTr="008F0944">
        <w:tc>
          <w:tcPr>
            <w:tcW w:w="566" w:type="dxa"/>
            <w:vMerge/>
            <w:textDirection w:val="btLr"/>
          </w:tcPr>
          <w:p w14:paraId="7BBC404E" w14:textId="77777777" w:rsidR="00B656F6" w:rsidRPr="00451852" w:rsidRDefault="00B656F6" w:rsidP="008F0944">
            <w:pPr>
              <w:snapToGrid w:val="0"/>
              <w:ind w:left="113" w:right="113"/>
              <w:jc w:val="right"/>
              <w:rPr>
                <w:rFonts w:ascii="Calibri" w:hAnsi="Calibri" w:cstheme="minorHAnsi"/>
                <w:sz w:val="18"/>
                <w:szCs w:val="18"/>
                <w:lang w:val="en-GB"/>
              </w:rPr>
            </w:pPr>
          </w:p>
        </w:tc>
        <w:tc>
          <w:tcPr>
            <w:tcW w:w="2268" w:type="dxa"/>
          </w:tcPr>
          <w:p w14:paraId="7FFBDA82" w14:textId="77777777" w:rsidR="00B656F6" w:rsidRPr="00451852" w:rsidRDefault="00B656F6" w:rsidP="008F0944">
            <w:pPr>
              <w:snapToGrid w:val="0"/>
              <w:jc w:val="right"/>
              <w:rPr>
                <w:rFonts w:ascii="Calibri" w:hAnsi="Calibri" w:cstheme="minorHAnsi"/>
                <w:sz w:val="18"/>
                <w:szCs w:val="18"/>
                <w:lang w:val="en-GB"/>
              </w:rPr>
            </w:pPr>
            <w:r w:rsidRPr="00451852">
              <w:rPr>
                <w:rFonts w:ascii="Calibri" w:hAnsi="Calibri" w:cstheme="minorHAnsi"/>
                <w:sz w:val="18"/>
                <w:szCs w:val="18"/>
                <w:lang w:val="en-GB"/>
              </w:rPr>
              <w:t>Rural</w:t>
            </w:r>
          </w:p>
        </w:tc>
        <w:tc>
          <w:tcPr>
            <w:tcW w:w="0" w:type="auto"/>
          </w:tcPr>
          <w:p w14:paraId="7BFAA170" w14:textId="77777777" w:rsidR="00B656F6" w:rsidRPr="00451852" w:rsidRDefault="00B656F6" w:rsidP="008F0944">
            <w:pPr>
              <w:snapToGrid w:val="0"/>
              <w:jc w:val="right"/>
              <w:rPr>
                <w:rFonts w:ascii="Calibri" w:hAnsi="Calibri"/>
                <w:sz w:val="18"/>
                <w:szCs w:val="18"/>
              </w:rPr>
            </w:pPr>
            <w:r w:rsidRPr="00451852">
              <w:rPr>
                <w:rFonts w:ascii="Calibri" w:hAnsi="Calibri"/>
                <w:sz w:val="18"/>
                <w:szCs w:val="18"/>
              </w:rPr>
              <w:t>5.5</w:t>
            </w:r>
          </w:p>
        </w:tc>
        <w:tc>
          <w:tcPr>
            <w:tcW w:w="0" w:type="auto"/>
          </w:tcPr>
          <w:p w14:paraId="59103B66" w14:textId="77777777" w:rsidR="00B656F6" w:rsidRPr="00451852" w:rsidRDefault="00B656F6" w:rsidP="008F0944">
            <w:pPr>
              <w:snapToGrid w:val="0"/>
              <w:jc w:val="right"/>
              <w:rPr>
                <w:rFonts w:ascii="Calibri" w:hAnsi="Calibri"/>
                <w:sz w:val="18"/>
                <w:szCs w:val="18"/>
              </w:rPr>
            </w:pPr>
            <w:r w:rsidRPr="00451852">
              <w:rPr>
                <w:rFonts w:ascii="Calibri" w:hAnsi="Calibri"/>
                <w:sz w:val="18"/>
                <w:szCs w:val="18"/>
              </w:rPr>
              <w:t>8.4</w:t>
            </w:r>
          </w:p>
        </w:tc>
        <w:tc>
          <w:tcPr>
            <w:tcW w:w="717" w:type="dxa"/>
          </w:tcPr>
          <w:p w14:paraId="5EC39FAE" w14:textId="77777777" w:rsidR="00B656F6" w:rsidRPr="00451852" w:rsidRDefault="00B656F6" w:rsidP="008F0944">
            <w:pPr>
              <w:snapToGrid w:val="0"/>
              <w:jc w:val="right"/>
              <w:rPr>
                <w:rFonts w:ascii="Calibri" w:hAnsi="Calibri"/>
                <w:sz w:val="18"/>
                <w:szCs w:val="18"/>
              </w:rPr>
            </w:pPr>
            <w:r w:rsidRPr="00451852">
              <w:rPr>
                <w:rFonts w:ascii="Calibri" w:hAnsi="Calibri"/>
                <w:sz w:val="18"/>
                <w:szCs w:val="18"/>
              </w:rPr>
              <w:t>a</w:t>
            </w:r>
          </w:p>
        </w:tc>
      </w:tr>
      <w:tr w:rsidR="00B656F6" w:rsidRPr="00451852" w14:paraId="0CC51A0C" w14:textId="77777777" w:rsidTr="008F0944">
        <w:tc>
          <w:tcPr>
            <w:tcW w:w="566" w:type="dxa"/>
            <w:vMerge w:val="restart"/>
            <w:textDirection w:val="btLr"/>
          </w:tcPr>
          <w:p w14:paraId="358F468F" w14:textId="77777777" w:rsidR="00B656F6" w:rsidRPr="00451852" w:rsidRDefault="00B656F6" w:rsidP="008F0944">
            <w:pPr>
              <w:snapToGrid w:val="0"/>
              <w:ind w:left="113" w:right="113"/>
              <w:jc w:val="right"/>
              <w:rPr>
                <w:rFonts w:ascii="Calibri" w:hAnsi="Calibri"/>
                <w:sz w:val="18"/>
                <w:szCs w:val="18"/>
              </w:rPr>
            </w:pPr>
            <w:r>
              <w:rPr>
                <w:rFonts w:ascii="Calibri" w:hAnsi="Calibri"/>
                <w:sz w:val="18"/>
                <w:szCs w:val="18"/>
              </w:rPr>
              <w:t>Maternal and child health and reproductive health</w:t>
            </w:r>
          </w:p>
        </w:tc>
        <w:tc>
          <w:tcPr>
            <w:tcW w:w="2268" w:type="dxa"/>
          </w:tcPr>
          <w:p w14:paraId="5492A262" w14:textId="77777777" w:rsidR="00B656F6" w:rsidRPr="00451852" w:rsidRDefault="00B656F6" w:rsidP="008F0944">
            <w:pPr>
              <w:snapToGrid w:val="0"/>
              <w:jc w:val="right"/>
              <w:rPr>
                <w:rFonts w:ascii="Calibri" w:hAnsi="Calibri"/>
                <w:sz w:val="18"/>
                <w:szCs w:val="18"/>
              </w:rPr>
            </w:pPr>
          </w:p>
        </w:tc>
        <w:tc>
          <w:tcPr>
            <w:tcW w:w="0" w:type="auto"/>
          </w:tcPr>
          <w:p w14:paraId="186C598E" w14:textId="77777777" w:rsidR="00B656F6" w:rsidRPr="00451852" w:rsidRDefault="00B656F6" w:rsidP="008F0944">
            <w:pPr>
              <w:snapToGrid w:val="0"/>
              <w:jc w:val="right"/>
              <w:rPr>
                <w:rFonts w:ascii="Calibri" w:hAnsi="Calibri"/>
                <w:b/>
                <w:sz w:val="18"/>
                <w:szCs w:val="18"/>
              </w:rPr>
            </w:pPr>
            <w:r w:rsidRPr="00451852">
              <w:rPr>
                <w:rFonts w:ascii="Calibri" w:hAnsi="Calibri" w:hint="eastAsia"/>
                <w:b/>
                <w:sz w:val="18"/>
                <w:szCs w:val="18"/>
              </w:rPr>
              <w:t>2010</w:t>
            </w:r>
          </w:p>
        </w:tc>
        <w:tc>
          <w:tcPr>
            <w:tcW w:w="0" w:type="auto"/>
          </w:tcPr>
          <w:p w14:paraId="0FB448CC" w14:textId="77777777" w:rsidR="00B656F6" w:rsidRPr="00451852" w:rsidRDefault="00B656F6" w:rsidP="008F0944">
            <w:pPr>
              <w:snapToGrid w:val="0"/>
              <w:jc w:val="right"/>
              <w:rPr>
                <w:rFonts w:ascii="Calibri" w:hAnsi="Calibri"/>
                <w:b/>
                <w:sz w:val="18"/>
                <w:szCs w:val="18"/>
              </w:rPr>
            </w:pPr>
            <w:r w:rsidRPr="00451852">
              <w:rPr>
                <w:rFonts w:ascii="Calibri" w:hAnsi="Calibri" w:hint="eastAsia"/>
                <w:b/>
                <w:sz w:val="18"/>
                <w:szCs w:val="18"/>
              </w:rPr>
              <w:t>2016</w:t>
            </w:r>
          </w:p>
        </w:tc>
        <w:tc>
          <w:tcPr>
            <w:tcW w:w="717" w:type="dxa"/>
          </w:tcPr>
          <w:p w14:paraId="12597408" w14:textId="77777777" w:rsidR="00B656F6" w:rsidRPr="00451852" w:rsidRDefault="00B656F6" w:rsidP="008F0944">
            <w:pPr>
              <w:snapToGrid w:val="0"/>
              <w:jc w:val="right"/>
              <w:rPr>
                <w:rFonts w:ascii="Calibri" w:hAnsi="Calibri"/>
                <w:sz w:val="18"/>
                <w:szCs w:val="18"/>
              </w:rPr>
            </w:pPr>
            <w:r w:rsidRPr="00451852">
              <w:rPr>
                <w:rFonts w:ascii="Calibri" w:hAnsi="Calibri"/>
                <w:sz w:val="18"/>
                <w:szCs w:val="18"/>
              </w:rPr>
              <w:t>a</w:t>
            </w:r>
          </w:p>
        </w:tc>
      </w:tr>
      <w:tr w:rsidR="00B656F6" w:rsidRPr="00451852" w14:paraId="14B089BC" w14:textId="77777777" w:rsidTr="008F0944">
        <w:tc>
          <w:tcPr>
            <w:tcW w:w="566" w:type="dxa"/>
            <w:vMerge/>
            <w:shd w:val="clear" w:color="auto" w:fill="E7E6E6" w:themeFill="background2"/>
            <w:textDirection w:val="btLr"/>
          </w:tcPr>
          <w:p w14:paraId="0084E840" w14:textId="77777777" w:rsidR="00B656F6" w:rsidRPr="00451852" w:rsidRDefault="00B656F6" w:rsidP="008F0944">
            <w:pPr>
              <w:snapToGrid w:val="0"/>
              <w:ind w:left="113" w:right="113"/>
              <w:jc w:val="right"/>
              <w:rPr>
                <w:rFonts w:ascii="Calibri" w:hAnsi="Calibri" w:cstheme="minorHAnsi"/>
                <w:sz w:val="18"/>
                <w:szCs w:val="18"/>
                <w:lang w:val="en-GB"/>
              </w:rPr>
            </w:pPr>
          </w:p>
        </w:tc>
        <w:tc>
          <w:tcPr>
            <w:tcW w:w="2268" w:type="dxa"/>
            <w:shd w:val="clear" w:color="auto" w:fill="E7E6E6" w:themeFill="background2"/>
          </w:tcPr>
          <w:p w14:paraId="05CE80F9" w14:textId="77777777" w:rsidR="00B656F6" w:rsidRPr="00451852" w:rsidRDefault="00B656F6" w:rsidP="008F0944">
            <w:pPr>
              <w:snapToGrid w:val="0"/>
              <w:jc w:val="right"/>
              <w:rPr>
                <w:rFonts w:ascii="Calibri" w:hAnsi="Calibri" w:cstheme="minorHAnsi"/>
                <w:sz w:val="18"/>
                <w:szCs w:val="18"/>
                <w:lang w:val="en-GB"/>
              </w:rPr>
            </w:pPr>
            <w:r w:rsidRPr="00451852">
              <w:rPr>
                <w:rFonts w:ascii="Calibri" w:hAnsi="Calibri" w:cstheme="minorHAnsi"/>
                <w:sz w:val="18"/>
                <w:szCs w:val="18"/>
                <w:lang w:val="en-GB"/>
              </w:rPr>
              <w:t>MMR (per 100,000 population)</w:t>
            </w:r>
          </w:p>
        </w:tc>
        <w:tc>
          <w:tcPr>
            <w:tcW w:w="0" w:type="auto"/>
            <w:shd w:val="clear" w:color="auto" w:fill="E7E6E6" w:themeFill="background2"/>
          </w:tcPr>
          <w:p w14:paraId="5E3679E4" w14:textId="77777777" w:rsidR="00B656F6" w:rsidRPr="00451852" w:rsidRDefault="00B656F6" w:rsidP="008F0944">
            <w:pPr>
              <w:snapToGrid w:val="0"/>
              <w:jc w:val="right"/>
              <w:rPr>
                <w:rFonts w:ascii="Calibri" w:hAnsi="Calibri"/>
                <w:sz w:val="18"/>
                <w:szCs w:val="18"/>
              </w:rPr>
            </w:pPr>
            <w:r w:rsidRPr="00451852">
              <w:rPr>
                <w:rFonts w:ascii="Calibri" w:hAnsi="Calibri"/>
                <w:sz w:val="18"/>
                <w:szCs w:val="18"/>
              </w:rPr>
              <w:t>30.0</w:t>
            </w:r>
          </w:p>
        </w:tc>
        <w:tc>
          <w:tcPr>
            <w:tcW w:w="0" w:type="auto"/>
            <w:shd w:val="clear" w:color="auto" w:fill="E7E6E6" w:themeFill="background2"/>
          </w:tcPr>
          <w:p w14:paraId="6AEF1652" w14:textId="77777777" w:rsidR="00B656F6" w:rsidRPr="00451852" w:rsidRDefault="00B656F6" w:rsidP="008F0944">
            <w:pPr>
              <w:snapToGrid w:val="0"/>
              <w:jc w:val="right"/>
              <w:rPr>
                <w:rFonts w:ascii="Calibri" w:hAnsi="Calibri"/>
                <w:sz w:val="18"/>
                <w:szCs w:val="18"/>
              </w:rPr>
            </w:pPr>
            <w:r w:rsidRPr="00451852">
              <w:rPr>
                <w:rFonts w:ascii="Calibri" w:hAnsi="Calibri" w:hint="eastAsia"/>
                <w:sz w:val="18"/>
                <w:szCs w:val="18"/>
              </w:rPr>
              <w:t>19.9</w:t>
            </w:r>
          </w:p>
        </w:tc>
        <w:tc>
          <w:tcPr>
            <w:tcW w:w="717" w:type="dxa"/>
            <w:shd w:val="clear" w:color="auto" w:fill="E7E6E6" w:themeFill="background2"/>
          </w:tcPr>
          <w:p w14:paraId="7138375B" w14:textId="77777777" w:rsidR="00B656F6" w:rsidRPr="00451852" w:rsidRDefault="00B656F6" w:rsidP="008F0944">
            <w:pPr>
              <w:snapToGrid w:val="0"/>
              <w:jc w:val="right"/>
              <w:rPr>
                <w:rFonts w:ascii="Calibri" w:hAnsi="Calibri"/>
                <w:sz w:val="18"/>
                <w:szCs w:val="18"/>
              </w:rPr>
            </w:pPr>
            <w:r w:rsidRPr="00451852">
              <w:rPr>
                <w:rFonts w:ascii="Calibri" w:hAnsi="Calibri" w:hint="eastAsia"/>
                <w:sz w:val="18"/>
                <w:szCs w:val="18"/>
              </w:rPr>
              <w:t>b</w:t>
            </w:r>
          </w:p>
        </w:tc>
      </w:tr>
      <w:tr w:rsidR="00B656F6" w:rsidRPr="00451852" w14:paraId="5AA8855F" w14:textId="77777777" w:rsidTr="008F0944">
        <w:tc>
          <w:tcPr>
            <w:tcW w:w="566" w:type="dxa"/>
            <w:vMerge/>
            <w:textDirection w:val="btLr"/>
          </w:tcPr>
          <w:p w14:paraId="53A0A585" w14:textId="77777777" w:rsidR="00B656F6" w:rsidRPr="00451852" w:rsidRDefault="00B656F6" w:rsidP="008F0944">
            <w:pPr>
              <w:snapToGrid w:val="0"/>
              <w:ind w:left="113" w:right="113"/>
              <w:jc w:val="right"/>
              <w:rPr>
                <w:rFonts w:ascii="Calibri" w:hAnsi="Calibri" w:cstheme="minorHAnsi"/>
                <w:sz w:val="18"/>
                <w:szCs w:val="18"/>
                <w:lang w:val="en-GB"/>
              </w:rPr>
            </w:pPr>
          </w:p>
        </w:tc>
        <w:tc>
          <w:tcPr>
            <w:tcW w:w="2268" w:type="dxa"/>
          </w:tcPr>
          <w:p w14:paraId="54FAD04F" w14:textId="77777777" w:rsidR="00B656F6" w:rsidRPr="00451852" w:rsidRDefault="00B656F6" w:rsidP="008F0944">
            <w:pPr>
              <w:snapToGrid w:val="0"/>
              <w:jc w:val="right"/>
              <w:rPr>
                <w:rFonts w:ascii="Calibri" w:hAnsi="Calibri" w:cstheme="minorHAnsi"/>
                <w:sz w:val="18"/>
                <w:szCs w:val="18"/>
                <w:lang w:val="en-GB"/>
              </w:rPr>
            </w:pPr>
            <w:r w:rsidRPr="00451852">
              <w:rPr>
                <w:rFonts w:ascii="Calibri" w:hAnsi="Calibri" w:cstheme="minorHAnsi"/>
                <w:sz w:val="18"/>
                <w:szCs w:val="18"/>
                <w:lang w:val="en-GB"/>
              </w:rPr>
              <w:t>Urban</w:t>
            </w:r>
          </w:p>
        </w:tc>
        <w:tc>
          <w:tcPr>
            <w:tcW w:w="0" w:type="auto"/>
          </w:tcPr>
          <w:p w14:paraId="35163D3E" w14:textId="77777777" w:rsidR="00B656F6" w:rsidRPr="00451852" w:rsidRDefault="00B656F6" w:rsidP="008F0944">
            <w:pPr>
              <w:snapToGrid w:val="0"/>
              <w:jc w:val="right"/>
              <w:rPr>
                <w:rFonts w:ascii="Calibri" w:hAnsi="Calibri"/>
                <w:sz w:val="18"/>
                <w:szCs w:val="18"/>
              </w:rPr>
            </w:pPr>
            <w:r w:rsidRPr="00451852">
              <w:rPr>
                <w:rFonts w:ascii="Calibri" w:hAnsi="Calibri"/>
                <w:sz w:val="18"/>
                <w:szCs w:val="18"/>
              </w:rPr>
              <w:t>29.7</w:t>
            </w:r>
          </w:p>
        </w:tc>
        <w:tc>
          <w:tcPr>
            <w:tcW w:w="0" w:type="auto"/>
          </w:tcPr>
          <w:p w14:paraId="3138457F" w14:textId="77777777" w:rsidR="00B656F6" w:rsidRPr="00451852" w:rsidRDefault="00B656F6" w:rsidP="008F0944">
            <w:pPr>
              <w:snapToGrid w:val="0"/>
              <w:jc w:val="right"/>
              <w:rPr>
                <w:rFonts w:ascii="Calibri" w:hAnsi="Calibri"/>
                <w:sz w:val="18"/>
                <w:szCs w:val="18"/>
              </w:rPr>
            </w:pPr>
            <w:r w:rsidRPr="00451852">
              <w:rPr>
                <w:rFonts w:ascii="Calibri" w:hAnsi="Calibri" w:hint="eastAsia"/>
                <w:sz w:val="18"/>
                <w:szCs w:val="18"/>
              </w:rPr>
              <w:t>19.5</w:t>
            </w:r>
          </w:p>
        </w:tc>
        <w:tc>
          <w:tcPr>
            <w:tcW w:w="717" w:type="dxa"/>
          </w:tcPr>
          <w:p w14:paraId="56CEE809" w14:textId="77777777" w:rsidR="00B656F6" w:rsidRPr="00451852" w:rsidRDefault="00B656F6" w:rsidP="008F0944">
            <w:pPr>
              <w:snapToGrid w:val="0"/>
              <w:jc w:val="right"/>
              <w:rPr>
                <w:rFonts w:ascii="Calibri" w:hAnsi="Calibri"/>
                <w:sz w:val="18"/>
                <w:szCs w:val="18"/>
              </w:rPr>
            </w:pPr>
            <w:r w:rsidRPr="00451852">
              <w:rPr>
                <w:rFonts w:ascii="Calibri" w:hAnsi="Calibri" w:hint="eastAsia"/>
                <w:sz w:val="18"/>
                <w:szCs w:val="18"/>
              </w:rPr>
              <w:t>b</w:t>
            </w:r>
          </w:p>
        </w:tc>
      </w:tr>
      <w:tr w:rsidR="00B656F6" w:rsidRPr="00451852" w14:paraId="0DF4A325" w14:textId="77777777" w:rsidTr="008F0944">
        <w:tc>
          <w:tcPr>
            <w:tcW w:w="566" w:type="dxa"/>
            <w:vMerge/>
            <w:textDirection w:val="btLr"/>
          </w:tcPr>
          <w:p w14:paraId="0E118121" w14:textId="77777777" w:rsidR="00B656F6" w:rsidRPr="00451852" w:rsidRDefault="00B656F6" w:rsidP="008F0944">
            <w:pPr>
              <w:snapToGrid w:val="0"/>
              <w:ind w:left="113" w:right="113"/>
              <w:jc w:val="right"/>
              <w:rPr>
                <w:rFonts w:ascii="Calibri" w:hAnsi="Calibri" w:cstheme="minorHAnsi"/>
                <w:sz w:val="18"/>
                <w:szCs w:val="18"/>
                <w:lang w:val="en-GB"/>
              </w:rPr>
            </w:pPr>
          </w:p>
        </w:tc>
        <w:tc>
          <w:tcPr>
            <w:tcW w:w="2268" w:type="dxa"/>
          </w:tcPr>
          <w:p w14:paraId="50938CE1" w14:textId="77777777" w:rsidR="00B656F6" w:rsidRPr="00451852" w:rsidRDefault="00B656F6" w:rsidP="008F0944">
            <w:pPr>
              <w:snapToGrid w:val="0"/>
              <w:jc w:val="right"/>
              <w:rPr>
                <w:rFonts w:ascii="Calibri" w:hAnsi="Calibri" w:cstheme="minorHAnsi"/>
                <w:sz w:val="18"/>
                <w:szCs w:val="18"/>
                <w:lang w:val="en-GB"/>
              </w:rPr>
            </w:pPr>
            <w:r w:rsidRPr="00451852">
              <w:rPr>
                <w:rFonts w:ascii="Calibri" w:hAnsi="Calibri" w:cstheme="minorHAnsi"/>
                <w:sz w:val="18"/>
                <w:szCs w:val="18"/>
                <w:lang w:val="en-GB"/>
              </w:rPr>
              <w:t>Rural</w:t>
            </w:r>
          </w:p>
        </w:tc>
        <w:tc>
          <w:tcPr>
            <w:tcW w:w="0" w:type="auto"/>
          </w:tcPr>
          <w:p w14:paraId="47906EED" w14:textId="77777777" w:rsidR="00B656F6" w:rsidRPr="00451852" w:rsidRDefault="00B656F6" w:rsidP="008F0944">
            <w:pPr>
              <w:snapToGrid w:val="0"/>
              <w:jc w:val="right"/>
              <w:rPr>
                <w:rFonts w:ascii="Calibri" w:hAnsi="Calibri"/>
                <w:sz w:val="18"/>
                <w:szCs w:val="18"/>
              </w:rPr>
            </w:pPr>
            <w:r w:rsidRPr="00451852">
              <w:rPr>
                <w:rFonts w:ascii="Calibri" w:hAnsi="Calibri"/>
                <w:sz w:val="18"/>
                <w:szCs w:val="18"/>
              </w:rPr>
              <w:t>30.1</w:t>
            </w:r>
          </w:p>
        </w:tc>
        <w:tc>
          <w:tcPr>
            <w:tcW w:w="0" w:type="auto"/>
          </w:tcPr>
          <w:p w14:paraId="0AFC561D" w14:textId="77777777" w:rsidR="00B656F6" w:rsidRPr="00451852" w:rsidRDefault="00B656F6" w:rsidP="008F0944">
            <w:pPr>
              <w:snapToGrid w:val="0"/>
              <w:jc w:val="right"/>
              <w:rPr>
                <w:rFonts w:ascii="Calibri" w:hAnsi="Calibri"/>
                <w:sz w:val="18"/>
                <w:szCs w:val="18"/>
              </w:rPr>
            </w:pPr>
            <w:r w:rsidRPr="00451852">
              <w:rPr>
                <w:rFonts w:ascii="Calibri" w:hAnsi="Calibri" w:hint="eastAsia"/>
                <w:sz w:val="18"/>
                <w:szCs w:val="18"/>
              </w:rPr>
              <w:t>20.0</w:t>
            </w:r>
          </w:p>
        </w:tc>
        <w:tc>
          <w:tcPr>
            <w:tcW w:w="717" w:type="dxa"/>
          </w:tcPr>
          <w:p w14:paraId="0D804C1D" w14:textId="77777777" w:rsidR="00B656F6" w:rsidRPr="00451852" w:rsidRDefault="00B656F6" w:rsidP="008F0944">
            <w:pPr>
              <w:snapToGrid w:val="0"/>
              <w:jc w:val="right"/>
              <w:rPr>
                <w:rFonts w:ascii="Calibri" w:hAnsi="Calibri"/>
                <w:sz w:val="18"/>
                <w:szCs w:val="18"/>
              </w:rPr>
            </w:pPr>
            <w:r w:rsidRPr="00451852">
              <w:rPr>
                <w:rFonts w:ascii="Calibri" w:hAnsi="Calibri" w:hint="eastAsia"/>
                <w:sz w:val="18"/>
                <w:szCs w:val="18"/>
              </w:rPr>
              <w:t>b</w:t>
            </w:r>
          </w:p>
        </w:tc>
      </w:tr>
      <w:tr w:rsidR="00B656F6" w:rsidRPr="00451852" w14:paraId="3E841680" w14:textId="77777777" w:rsidTr="008F0944">
        <w:tc>
          <w:tcPr>
            <w:tcW w:w="566" w:type="dxa"/>
            <w:vMerge/>
            <w:shd w:val="clear" w:color="auto" w:fill="E7E6E6" w:themeFill="background2"/>
            <w:textDirection w:val="btLr"/>
          </w:tcPr>
          <w:p w14:paraId="7D23752A" w14:textId="77777777" w:rsidR="00B656F6" w:rsidRPr="00451852" w:rsidRDefault="00B656F6" w:rsidP="008F0944">
            <w:pPr>
              <w:snapToGrid w:val="0"/>
              <w:ind w:left="113" w:right="113"/>
              <w:jc w:val="right"/>
              <w:rPr>
                <w:rFonts w:ascii="Calibri" w:hAnsi="Calibri" w:cstheme="minorHAnsi"/>
                <w:sz w:val="18"/>
                <w:szCs w:val="18"/>
                <w:lang w:val="en-GB"/>
              </w:rPr>
            </w:pPr>
          </w:p>
        </w:tc>
        <w:tc>
          <w:tcPr>
            <w:tcW w:w="2268" w:type="dxa"/>
            <w:shd w:val="clear" w:color="auto" w:fill="E7E6E6" w:themeFill="background2"/>
          </w:tcPr>
          <w:p w14:paraId="5452CB56" w14:textId="77777777" w:rsidR="00B656F6" w:rsidRPr="00451852" w:rsidRDefault="00B656F6" w:rsidP="008F0944">
            <w:pPr>
              <w:snapToGrid w:val="0"/>
              <w:jc w:val="right"/>
              <w:rPr>
                <w:rFonts w:ascii="Calibri" w:hAnsi="Calibri" w:cstheme="minorHAnsi"/>
                <w:sz w:val="18"/>
                <w:szCs w:val="18"/>
                <w:lang w:val="en-GB"/>
              </w:rPr>
            </w:pPr>
            <w:r w:rsidRPr="00451852">
              <w:rPr>
                <w:rFonts w:ascii="Calibri" w:hAnsi="Calibri" w:cstheme="minorHAnsi"/>
                <w:sz w:val="18"/>
                <w:szCs w:val="18"/>
                <w:lang w:val="en-GB"/>
              </w:rPr>
              <w:t>U5MR (‰)</w:t>
            </w:r>
          </w:p>
        </w:tc>
        <w:tc>
          <w:tcPr>
            <w:tcW w:w="0" w:type="auto"/>
            <w:shd w:val="clear" w:color="auto" w:fill="E7E6E6" w:themeFill="background2"/>
          </w:tcPr>
          <w:p w14:paraId="074F7E7C" w14:textId="77777777" w:rsidR="00B656F6" w:rsidRPr="00451852" w:rsidRDefault="00B656F6" w:rsidP="008F0944">
            <w:pPr>
              <w:snapToGrid w:val="0"/>
              <w:jc w:val="right"/>
              <w:rPr>
                <w:rFonts w:ascii="Calibri" w:hAnsi="Calibri"/>
                <w:sz w:val="18"/>
                <w:szCs w:val="18"/>
              </w:rPr>
            </w:pPr>
            <w:r w:rsidRPr="00451852">
              <w:rPr>
                <w:rFonts w:ascii="Calibri" w:hAnsi="Calibri" w:hint="eastAsia"/>
                <w:sz w:val="18"/>
                <w:szCs w:val="18"/>
              </w:rPr>
              <w:t>16.4</w:t>
            </w:r>
          </w:p>
        </w:tc>
        <w:tc>
          <w:tcPr>
            <w:tcW w:w="0" w:type="auto"/>
            <w:shd w:val="clear" w:color="auto" w:fill="E7E6E6" w:themeFill="background2"/>
          </w:tcPr>
          <w:p w14:paraId="0FB3FF2A" w14:textId="77777777" w:rsidR="00B656F6" w:rsidRPr="00451852" w:rsidRDefault="00B656F6" w:rsidP="008F0944">
            <w:pPr>
              <w:snapToGrid w:val="0"/>
              <w:jc w:val="right"/>
              <w:rPr>
                <w:rFonts w:ascii="Calibri" w:hAnsi="Calibri"/>
                <w:sz w:val="18"/>
                <w:szCs w:val="18"/>
              </w:rPr>
            </w:pPr>
            <w:r w:rsidRPr="00451852">
              <w:rPr>
                <w:rFonts w:ascii="Calibri" w:hAnsi="Calibri" w:hint="eastAsia"/>
                <w:sz w:val="18"/>
                <w:szCs w:val="18"/>
              </w:rPr>
              <w:t>10.2</w:t>
            </w:r>
          </w:p>
        </w:tc>
        <w:tc>
          <w:tcPr>
            <w:tcW w:w="717" w:type="dxa"/>
            <w:shd w:val="clear" w:color="auto" w:fill="E7E6E6" w:themeFill="background2"/>
          </w:tcPr>
          <w:p w14:paraId="0750B6DE" w14:textId="77777777" w:rsidR="00B656F6" w:rsidRPr="00451852" w:rsidRDefault="00B656F6" w:rsidP="008F0944">
            <w:pPr>
              <w:snapToGrid w:val="0"/>
              <w:jc w:val="right"/>
              <w:rPr>
                <w:rFonts w:ascii="Calibri" w:hAnsi="Calibri"/>
                <w:sz w:val="18"/>
                <w:szCs w:val="18"/>
              </w:rPr>
            </w:pPr>
            <w:r w:rsidRPr="00451852">
              <w:rPr>
                <w:rFonts w:ascii="Calibri" w:hAnsi="Calibri" w:hint="eastAsia"/>
                <w:sz w:val="18"/>
                <w:szCs w:val="18"/>
              </w:rPr>
              <w:t>b</w:t>
            </w:r>
          </w:p>
        </w:tc>
      </w:tr>
      <w:tr w:rsidR="00B656F6" w:rsidRPr="00451852" w14:paraId="0553928D" w14:textId="77777777" w:rsidTr="008F0944">
        <w:tc>
          <w:tcPr>
            <w:tcW w:w="566" w:type="dxa"/>
            <w:vMerge/>
            <w:textDirection w:val="btLr"/>
          </w:tcPr>
          <w:p w14:paraId="6C5FFAA6" w14:textId="77777777" w:rsidR="00B656F6" w:rsidRPr="00451852" w:rsidRDefault="00B656F6" w:rsidP="008F0944">
            <w:pPr>
              <w:snapToGrid w:val="0"/>
              <w:ind w:left="113" w:right="113"/>
              <w:jc w:val="right"/>
              <w:rPr>
                <w:rFonts w:ascii="Calibri" w:hAnsi="Calibri" w:cstheme="minorHAnsi"/>
                <w:sz w:val="18"/>
                <w:szCs w:val="18"/>
                <w:lang w:val="en-GB"/>
              </w:rPr>
            </w:pPr>
          </w:p>
        </w:tc>
        <w:tc>
          <w:tcPr>
            <w:tcW w:w="2268" w:type="dxa"/>
          </w:tcPr>
          <w:p w14:paraId="391F9D74" w14:textId="77777777" w:rsidR="00B656F6" w:rsidRPr="00451852" w:rsidRDefault="00B656F6" w:rsidP="008F0944">
            <w:pPr>
              <w:snapToGrid w:val="0"/>
              <w:jc w:val="right"/>
              <w:rPr>
                <w:rFonts w:ascii="Calibri" w:hAnsi="Calibri" w:cstheme="minorHAnsi"/>
                <w:sz w:val="18"/>
                <w:szCs w:val="18"/>
                <w:lang w:val="en-GB"/>
              </w:rPr>
            </w:pPr>
            <w:r w:rsidRPr="00451852">
              <w:rPr>
                <w:rFonts w:ascii="Calibri" w:hAnsi="Calibri" w:cstheme="minorHAnsi"/>
                <w:sz w:val="18"/>
                <w:szCs w:val="18"/>
                <w:lang w:val="en-GB"/>
              </w:rPr>
              <w:t>Urban</w:t>
            </w:r>
          </w:p>
        </w:tc>
        <w:tc>
          <w:tcPr>
            <w:tcW w:w="0" w:type="auto"/>
          </w:tcPr>
          <w:p w14:paraId="0CE83B64" w14:textId="77777777" w:rsidR="00B656F6" w:rsidRPr="00451852" w:rsidRDefault="00B656F6" w:rsidP="008F0944">
            <w:pPr>
              <w:snapToGrid w:val="0"/>
              <w:jc w:val="right"/>
              <w:rPr>
                <w:rFonts w:ascii="Calibri" w:hAnsi="Calibri"/>
                <w:sz w:val="18"/>
                <w:szCs w:val="18"/>
              </w:rPr>
            </w:pPr>
            <w:r w:rsidRPr="00451852">
              <w:rPr>
                <w:rFonts w:ascii="Calibri" w:hAnsi="Calibri" w:hint="eastAsia"/>
                <w:sz w:val="18"/>
                <w:szCs w:val="18"/>
              </w:rPr>
              <w:t>7.3</w:t>
            </w:r>
          </w:p>
        </w:tc>
        <w:tc>
          <w:tcPr>
            <w:tcW w:w="0" w:type="auto"/>
          </w:tcPr>
          <w:p w14:paraId="443B3369" w14:textId="77777777" w:rsidR="00B656F6" w:rsidRPr="00451852" w:rsidRDefault="00B656F6" w:rsidP="008F0944">
            <w:pPr>
              <w:snapToGrid w:val="0"/>
              <w:jc w:val="right"/>
              <w:rPr>
                <w:rFonts w:ascii="Calibri" w:hAnsi="Calibri"/>
                <w:sz w:val="18"/>
                <w:szCs w:val="18"/>
              </w:rPr>
            </w:pPr>
            <w:r w:rsidRPr="00451852">
              <w:rPr>
                <w:rFonts w:ascii="Calibri" w:hAnsi="Calibri" w:hint="eastAsia"/>
                <w:sz w:val="18"/>
                <w:szCs w:val="18"/>
              </w:rPr>
              <w:t>5.2</w:t>
            </w:r>
          </w:p>
        </w:tc>
        <w:tc>
          <w:tcPr>
            <w:tcW w:w="717" w:type="dxa"/>
          </w:tcPr>
          <w:p w14:paraId="2E3012F2" w14:textId="77777777" w:rsidR="00B656F6" w:rsidRPr="00451852" w:rsidRDefault="00B656F6" w:rsidP="008F0944">
            <w:pPr>
              <w:snapToGrid w:val="0"/>
              <w:jc w:val="right"/>
              <w:rPr>
                <w:rFonts w:ascii="Calibri" w:hAnsi="Calibri"/>
                <w:sz w:val="18"/>
                <w:szCs w:val="18"/>
              </w:rPr>
            </w:pPr>
            <w:r w:rsidRPr="00451852">
              <w:rPr>
                <w:rFonts w:ascii="Calibri" w:hAnsi="Calibri" w:hint="eastAsia"/>
                <w:sz w:val="18"/>
                <w:szCs w:val="18"/>
              </w:rPr>
              <w:t>b</w:t>
            </w:r>
          </w:p>
        </w:tc>
      </w:tr>
      <w:tr w:rsidR="00B656F6" w:rsidRPr="00451852" w14:paraId="133E2E88" w14:textId="77777777" w:rsidTr="008F0944">
        <w:tc>
          <w:tcPr>
            <w:tcW w:w="566" w:type="dxa"/>
            <w:vMerge/>
            <w:textDirection w:val="btLr"/>
          </w:tcPr>
          <w:p w14:paraId="7229ED62" w14:textId="77777777" w:rsidR="00B656F6" w:rsidRPr="00451852" w:rsidRDefault="00B656F6" w:rsidP="008F0944">
            <w:pPr>
              <w:snapToGrid w:val="0"/>
              <w:ind w:left="113" w:right="113"/>
              <w:jc w:val="right"/>
              <w:rPr>
                <w:rFonts w:ascii="Calibri" w:hAnsi="Calibri" w:cstheme="minorHAnsi"/>
                <w:sz w:val="18"/>
                <w:szCs w:val="18"/>
                <w:lang w:val="en-GB"/>
              </w:rPr>
            </w:pPr>
          </w:p>
        </w:tc>
        <w:tc>
          <w:tcPr>
            <w:tcW w:w="2268" w:type="dxa"/>
          </w:tcPr>
          <w:p w14:paraId="4D84B15A" w14:textId="77777777" w:rsidR="00B656F6" w:rsidRPr="00451852" w:rsidRDefault="00B656F6" w:rsidP="008F0944">
            <w:pPr>
              <w:snapToGrid w:val="0"/>
              <w:jc w:val="right"/>
              <w:rPr>
                <w:rFonts w:ascii="Calibri" w:hAnsi="Calibri" w:cstheme="minorHAnsi"/>
                <w:sz w:val="18"/>
                <w:szCs w:val="18"/>
                <w:lang w:val="en-GB"/>
              </w:rPr>
            </w:pPr>
            <w:r w:rsidRPr="00451852">
              <w:rPr>
                <w:rFonts w:ascii="Calibri" w:hAnsi="Calibri" w:cstheme="minorHAnsi"/>
                <w:sz w:val="18"/>
                <w:szCs w:val="18"/>
                <w:lang w:val="en-GB"/>
              </w:rPr>
              <w:t>Rural</w:t>
            </w:r>
          </w:p>
        </w:tc>
        <w:tc>
          <w:tcPr>
            <w:tcW w:w="0" w:type="auto"/>
          </w:tcPr>
          <w:p w14:paraId="7694A122" w14:textId="77777777" w:rsidR="00B656F6" w:rsidRPr="00451852" w:rsidRDefault="00B656F6" w:rsidP="008F0944">
            <w:pPr>
              <w:snapToGrid w:val="0"/>
              <w:jc w:val="right"/>
              <w:rPr>
                <w:rFonts w:ascii="Calibri" w:hAnsi="Calibri"/>
                <w:sz w:val="18"/>
                <w:szCs w:val="18"/>
              </w:rPr>
            </w:pPr>
            <w:r w:rsidRPr="00451852">
              <w:rPr>
                <w:rFonts w:ascii="Calibri" w:hAnsi="Calibri" w:hint="eastAsia"/>
                <w:sz w:val="18"/>
                <w:szCs w:val="18"/>
              </w:rPr>
              <w:t>20.1</w:t>
            </w:r>
          </w:p>
        </w:tc>
        <w:tc>
          <w:tcPr>
            <w:tcW w:w="0" w:type="auto"/>
          </w:tcPr>
          <w:p w14:paraId="3EF69495" w14:textId="77777777" w:rsidR="00B656F6" w:rsidRPr="00451852" w:rsidRDefault="00B656F6" w:rsidP="008F0944">
            <w:pPr>
              <w:snapToGrid w:val="0"/>
              <w:jc w:val="right"/>
              <w:rPr>
                <w:rFonts w:ascii="Calibri" w:hAnsi="Calibri"/>
                <w:sz w:val="18"/>
                <w:szCs w:val="18"/>
              </w:rPr>
            </w:pPr>
            <w:r w:rsidRPr="00451852">
              <w:rPr>
                <w:rFonts w:ascii="Calibri" w:hAnsi="Calibri" w:hint="eastAsia"/>
                <w:sz w:val="18"/>
                <w:szCs w:val="18"/>
              </w:rPr>
              <w:t>12.4</w:t>
            </w:r>
          </w:p>
        </w:tc>
        <w:tc>
          <w:tcPr>
            <w:tcW w:w="717" w:type="dxa"/>
          </w:tcPr>
          <w:p w14:paraId="14AEDC18" w14:textId="77777777" w:rsidR="00B656F6" w:rsidRPr="00451852" w:rsidRDefault="00B656F6" w:rsidP="008F0944">
            <w:pPr>
              <w:snapToGrid w:val="0"/>
              <w:jc w:val="right"/>
              <w:rPr>
                <w:rFonts w:ascii="Calibri" w:hAnsi="Calibri"/>
                <w:sz w:val="18"/>
                <w:szCs w:val="18"/>
              </w:rPr>
            </w:pPr>
            <w:r w:rsidRPr="00451852">
              <w:rPr>
                <w:rFonts w:ascii="Calibri" w:hAnsi="Calibri" w:hint="eastAsia"/>
                <w:sz w:val="18"/>
                <w:szCs w:val="18"/>
              </w:rPr>
              <w:t>b</w:t>
            </w:r>
          </w:p>
        </w:tc>
      </w:tr>
      <w:tr w:rsidR="00B656F6" w:rsidRPr="00451852" w14:paraId="1F145135" w14:textId="77777777" w:rsidTr="008F0944">
        <w:tc>
          <w:tcPr>
            <w:tcW w:w="566" w:type="dxa"/>
            <w:vMerge/>
            <w:shd w:val="clear" w:color="auto" w:fill="E7E6E6" w:themeFill="background2"/>
            <w:textDirection w:val="btLr"/>
          </w:tcPr>
          <w:p w14:paraId="538BD885" w14:textId="77777777" w:rsidR="00B656F6" w:rsidRPr="00451852" w:rsidRDefault="00B656F6" w:rsidP="008F0944">
            <w:pPr>
              <w:snapToGrid w:val="0"/>
              <w:ind w:left="113" w:right="113"/>
              <w:jc w:val="right"/>
              <w:rPr>
                <w:rFonts w:ascii="Calibri" w:hAnsi="Calibri"/>
                <w:sz w:val="18"/>
                <w:szCs w:val="18"/>
              </w:rPr>
            </w:pPr>
          </w:p>
        </w:tc>
        <w:tc>
          <w:tcPr>
            <w:tcW w:w="2268" w:type="dxa"/>
            <w:shd w:val="clear" w:color="auto" w:fill="E7E6E6" w:themeFill="background2"/>
          </w:tcPr>
          <w:p w14:paraId="36FE3A3D" w14:textId="77777777" w:rsidR="00B656F6" w:rsidRPr="00451852" w:rsidRDefault="00B656F6" w:rsidP="008F0944">
            <w:pPr>
              <w:snapToGrid w:val="0"/>
              <w:jc w:val="right"/>
              <w:rPr>
                <w:rFonts w:ascii="Calibri" w:hAnsi="Calibri"/>
                <w:sz w:val="18"/>
                <w:szCs w:val="18"/>
              </w:rPr>
            </w:pPr>
            <w:r w:rsidRPr="00451852">
              <w:rPr>
                <w:rFonts w:ascii="Calibri" w:hAnsi="Calibri"/>
                <w:sz w:val="18"/>
                <w:szCs w:val="18"/>
              </w:rPr>
              <w:t>NMR (‰)</w:t>
            </w:r>
          </w:p>
        </w:tc>
        <w:tc>
          <w:tcPr>
            <w:tcW w:w="0" w:type="auto"/>
            <w:shd w:val="clear" w:color="auto" w:fill="E7E6E6" w:themeFill="background2"/>
          </w:tcPr>
          <w:p w14:paraId="520CFA6B" w14:textId="77777777" w:rsidR="00B656F6" w:rsidRPr="00451852" w:rsidRDefault="00B656F6" w:rsidP="008F0944">
            <w:pPr>
              <w:snapToGrid w:val="0"/>
              <w:jc w:val="right"/>
              <w:rPr>
                <w:rFonts w:ascii="Calibri" w:hAnsi="Calibri"/>
                <w:sz w:val="18"/>
                <w:szCs w:val="18"/>
              </w:rPr>
            </w:pPr>
            <w:r w:rsidRPr="00451852">
              <w:rPr>
                <w:rFonts w:ascii="Calibri" w:hAnsi="Calibri" w:hint="eastAsia"/>
                <w:sz w:val="18"/>
                <w:szCs w:val="18"/>
              </w:rPr>
              <w:t>8.3</w:t>
            </w:r>
          </w:p>
        </w:tc>
        <w:tc>
          <w:tcPr>
            <w:tcW w:w="0" w:type="auto"/>
            <w:shd w:val="clear" w:color="auto" w:fill="E7E6E6" w:themeFill="background2"/>
          </w:tcPr>
          <w:p w14:paraId="56EFC6EB" w14:textId="77777777" w:rsidR="00B656F6" w:rsidRPr="00451852" w:rsidRDefault="00B656F6" w:rsidP="008F0944">
            <w:pPr>
              <w:snapToGrid w:val="0"/>
              <w:jc w:val="right"/>
              <w:rPr>
                <w:rFonts w:ascii="Calibri" w:hAnsi="Calibri"/>
                <w:sz w:val="18"/>
                <w:szCs w:val="18"/>
              </w:rPr>
            </w:pPr>
            <w:r w:rsidRPr="00451852">
              <w:rPr>
                <w:rFonts w:ascii="Calibri" w:hAnsi="Calibri" w:hint="eastAsia"/>
                <w:sz w:val="18"/>
                <w:szCs w:val="18"/>
              </w:rPr>
              <w:t>4.9</w:t>
            </w:r>
          </w:p>
        </w:tc>
        <w:tc>
          <w:tcPr>
            <w:tcW w:w="717" w:type="dxa"/>
            <w:shd w:val="clear" w:color="auto" w:fill="E7E6E6" w:themeFill="background2"/>
          </w:tcPr>
          <w:p w14:paraId="47AEFC5D" w14:textId="77777777" w:rsidR="00B656F6" w:rsidRPr="00451852" w:rsidRDefault="00B656F6" w:rsidP="008F0944">
            <w:pPr>
              <w:snapToGrid w:val="0"/>
              <w:jc w:val="right"/>
              <w:rPr>
                <w:rFonts w:ascii="Calibri" w:hAnsi="Calibri"/>
                <w:sz w:val="18"/>
                <w:szCs w:val="18"/>
              </w:rPr>
            </w:pPr>
            <w:r w:rsidRPr="00451852">
              <w:rPr>
                <w:rFonts w:ascii="Calibri" w:hAnsi="Calibri" w:hint="eastAsia"/>
                <w:sz w:val="18"/>
                <w:szCs w:val="18"/>
              </w:rPr>
              <w:t>b</w:t>
            </w:r>
          </w:p>
        </w:tc>
      </w:tr>
      <w:tr w:rsidR="00B656F6" w:rsidRPr="00451852" w14:paraId="58B91BC2" w14:textId="77777777" w:rsidTr="008F0944">
        <w:tc>
          <w:tcPr>
            <w:tcW w:w="566" w:type="dxa"/>
            <w:vMerge/>
            <w:textDirection w:val="btLr"/>
          </w:tcPr>
          <w:p w14:paraId="697C146D" w14:textId="77777777" w:rsidR="00B656F6" w:rsidRPr="00451852" w:rsidRDefault="00B656F6" w:rsidP="008F0944">
            <w:pPr>
              <w:snapToGrid w:val="0"/>
              <w:ind w:left="113" w:right="113"/>
              <w:jc w:val="right"/>
              <w:rPr>
                <w:rFonts w:ascii="Calibri" w:hAnsi="Calibri" w:cstheme="minorHAnsi"/>
                <w:sz w:val="18"/>
                <w:szCs w:val="18"/>
                <w:lang w:val="en-GB"/>
              </w:rPr>
            </w:pPr>
          </w:p>
        </w:tc>
        <w:tc>
          <w:tcPr>
            <w:tcW w:w="2268" w:type="dxa"/>
          </w:tcPr>
          <w:p w14:paraId="58287FF3" w14:textId="77777777" w:rsidR="00B656F6" w:rsidRPr="00451852" w:rsidRDefault="00B656F6" w:rsidP="008F0944">
            <w:pPr>
              <w:snapToGrid w:val="0"/>
              <w:jc w:val="right"/>
              <w:rPr>
                <w:rFonts w:ascii="Calibri" w:hAnsi="Calibri" w:cstheme="minorHAnsi"/>
                <w:sz w:val="18"/>
                <w:szCs w:val="18"/>
                <w:lang w:val="en-GB"/>
              </w:rPr>
            </w:pPr>
            <w:r w:rsidRPr="00451852">
              <w:rPr>
                <w:rFonts w:ascii="Calibri" w:hAnsi="Calibri" w:cstheme="minorHAnsi"/>
                <w:sz w:val="18"/>
                <w:szCs w:val="18"/>
                <w:lang w:val="en-GB"/>
              </w:rPr>
              <w:t>Urban</w:t>
            </w:r>
          </w:p>
        </w:tc>
        <w:tc>
          <w:tcPr>
            <w:tcW w:w="0" w:type="auto"/>
          </w:tcPr>
          <w:p w14:paraId="24C16BC4" w14:textId="77777777" w:rsidR="00B656F6" w:rsidRPr="00451852" w:rsidRDefault="00B656F6" w:rsidP="008F0944">
            <w:pPr>
              <w:snapToGrid w:val="0"/>
              <w:jc w:val="right"/>
              <w:rPr>
                <w:rFonts w:ascii="Calibri" w:hAnsi="Calibri"/>
                <w:sz w:val="18"/>
                <w:szCs w:val="18"/>
              </w:rPr>
            </w:pPr>
            <w:r w:rsidRPr="00451852">
              <w:rPr>
                <w:rFonts w:ascii="Calibri" w:hAnsi="Calibri" w:hint="eastAsia"/>
                <w:sz w:val="18"/>
                <w:szCs w:val="18"/>
              </w:rPr>
              <w:t>4.1</w:t>
            </w:r>
          </w:p>
        </w:tc>
        <w:tc>
          <w:tcPr>
            <w:tcW w:w="0" w:type="auto"/>
          </w:tcPr>
          <w:p w14:paraId="2B4FF38E" w14:textId="77777777" w:rsidR="00B656F6" w:rsidRPr="00451852" w:rsidRDefault="00B656F6" w:rsidP="008F0944">
            <w:pPr>
              <w:snapToGrid w:val="0"/>
              <w:jc w:val="right"/>
              <w:rPr>
                <w:rFonts w:ascii="Calibri" w:hAnsi="Calibri"/>
                <w:sz w:val="18"/>
                <w:szCs w:val="18"/>
              </w:rPr>
            </w:pPr>
            <w:r w:rsidRPr="00451852">
              <w:rPr>
                <w:rFonts w:ascii="Calibri" w:hAnsi="Calibri" w:hint="eastAsia"/>
                <w:sz w:val="18"/>
                <w:szCs w:val="18"/>
              </w:rPr>
              <w:t>3.0</w:t>
            </w:r>
          </w:p>
        </w:tc>
        <w:tc>
          <w:tcPr>
            <w:tcW w:w="717" w:type="dxa"/>
          </w:tcPr>
          <w:p w14:paraId="353F4EA7" w14:textId="77777777" w:rsidR="00B656F6" w:rsidRPr="00451852" w:rsidRDefault="00B656F6" w:rsidP="008F0944">
            <w:pPr>
              <w:snapToGrid w:val="0"/>
              <w:jc w:val="right"/>
              <w:rPr>
                <w:rFonts w:ascii="Calibri" w:hAnsi="Calibri"/>
                <w:sz w:val="18"/>
                <w:szCs w:val="18"/>
              </w:rPr>
            </w:pPr>
            <w:r w:rsidRPr="00451852">
              <w:rPr>
                <w:rFonts w:ascii="Calibri" w:hAnsi="Calibri" w:hint="eastAsia"/>
                <w:sz w:val="18"/>
                <w:szCs w:val="18"/>
              </w:rPr>
              <w:t>b</w:t>
            </w:r>
          </w:p>
        </w:tc>
      </w:tr>
      <w:tr w:rsidR="00B656F6" w:rsidRPr="00451852" w14:paraId="17CD03CD" w14:textId="77777777" w:rsidTr="008F0944">
        <w:tc>
          <w:tcPr>
            <w:tcW w:w="566" w:type="dxa"/>
            <w:vMerge/>
            <w:textDirection w:val="btLr"/>
          </w:tcPr>
          <w:p w14:paraId="506AB911" w14:textId="77777777" w:rsidR="00B656F6" w:rsidRPr="00451852" w:rsidRDefault="00B656F6" w:rsidP="008F0944">
            <w:pPr>
              <w:snapToGrid w:val="0"/>
              <w:ind w:left="113" w:right="113"/>
              <w:jc w:val="right"/>
              <w:rPr>
                <w:rFonts w:ascii="Calibri" w:hAnsi="Calibri" w:cstheme="minorHAnsi"/>
                <w:sz w:val="18"/>
                <w:szCs w:val="18"/>
                <w:lang w:val="en-GB"/>
              </w:rPr>
            </w:pPr>
          </w:p>
        </w:tc>
        <w:tc>
          <w:tcPr>
            <w:tcW w:w="2268" w:type="dxa"/>
          </w:tcPr>
          <w:p w14:paraId="294AA7FB" w14:textId="77777777" w:rsidR="00B656F6" w:rsidRPr="00451852" w:rsidRDefault="00B656F6" w:rsidP="008F0944">
            <w:pPr>
              <w:snapToGrid w:val="0"/>
              <w:jc w:val="right"/>
              <w:rPr>
                <w:rFonts w:ascii="Calibri" w:hAnsi="Calibri" w:cstheme="minorHAnsi"/>
                <w:sz w:val="18"/>
                <w:szCs w:val="18"/>
                <w:lang w:val="en-GB"/>
              </w:rPr>
            </w:pPr>
            <w:r w:rsidRPr="00451852">
              <w:rPr>
                <w:rFonts w:ascii="Calibri" w:hAnsi="Calibri" w:cstheme="minorHAnsi"/>
                <w:sz w:val="18"/>
                <w:szCs w:val="18"/>
                <w:lang w:val="en-GB"/>
              </w:rPr>
              <w:t>Rural</w:t>
            </w:r>
          </w:p>
        </w:tc>
        <w:tc>
          <w:tcPr>
            <w:tcW w:w="0" w:type="auto"/>
          </w:tcPr>
          <w:p w14:paraId="301B03C1" w14:textId="77777777" w:rsidR="00B656F6" w:rsidRPr="00451852" w:rsidRDefault="00B656F6" w:rsidP="008F0944">
            <w:pPr>
              <w:snapToGrid w:val="0"/>
              <w:jc w:val="right"/>
              <w:rPr>
                <w:rFonts w:ascii="Calibri" w:hAnsi="Calibri"/>
                <w:sz w:val="18"/>
                <w:szCs w:val="18"/>
              </w:rPr>
            </w:pPr>
            <w:r w:rsidRPr="00451852">
              <w:rPr>
                <w:rFonts w:ascii="Calibri" w:hAnsi="Calibri" w:hint="eastAsia"/>
                <w:sz w:val="18"/>
                <w:szCs w:val="18"/>
              </w:rPr>
              <w:t>10.0</w:t>
            </w:r>
          </w:p>
        </w:tc>
        <w:tc>
          <w:tcPr>
            <w:tcW w:w="0" w:type="auto"/>
          </w:tcPr>
          <w:p w14:paraId="176BC61A" w14:textId="77777777" w:rsidR="00B656F6" w:rsidRPr="00451852" w:rsidRDefault="00B656F6" w:rsidP="008F0944">
            <w:pPr>
              <w:snapToGrid w:val="0"/>
              <w:jc w:val="right"/>
              <w:rPr>
                <w:rFonts w:ascii="Calibri" w:hAnsi="Calibri"/>
                <w:sz w:val="18"/>
                <w:szCs w:val="18"/>
              </w:rPr>
            </w:pPr>
            <w:r w:rsidRPr="00451852">
              <w:rPr>
                <w:rFonts w:ascii="Calibri" w:hAnsi="Calibri" w:hint="eastAsia"/>
                <w:sz w:val="18"/>
                <w:szCs w:val="18"/>
              </w:rPr>
              <w:t>5.7</w:t>
            </w:r>
          </w:p>
        </w:tc>
        <w:tc>
          <w:tcPr>
            <w:tcW w:w="717" w:type="dxa"/>
          </w:tcPr>
          <w:p w14:paraId="1C9B95C2" w14:textId="77777777" w:rsidR="00B656F6" w:rsidRPr="00451852" w:rsidRDefault="00B656F6" w:rsidP="008F0944">
            <w:pPr>
              <w:snapToGrid w:val="0"/>
              <w:jc w:val="right"/>
              <w:rPr>
                <w:rFonts w:ascii="Calibri" w:hAnsi="Calibri"/>
                <w:sz w:val="18"/>
                <w:szCs w:val="18"/>
              </w:rPr>
            </w:pPr>
            <w:r w:rsidRPr="00451852">
              <w:rPr>
                <w:rFonts w:ascii="Calibri" w:hAnsi="Calibri" w:hint="eastAsia"/>
                <w:sz w:val="18"/>
                <w:szCs w:val="18"/>
              </w:rPr>
              <w:t>b</w:t>
            </w:r>
          </w:p>
        </w:tc>
      </w:tr>
      <w:tr w:rsidR="00B656F6" w:rsidRPr="00451852" w14:paraId="0174D18B" w14:textId="77777777" w:rsidTr="008F0944">
        <w:tc>
          <w:tcPr>
            <w:tcW w:w="566" w:type="dxa"/>
            <w:vMerge w:val="restart"/>
            <w:shd w:val="clear" w:color="auto" w:fill="auto"/>
            <w:textDirection w:val="btLr"/>
          </w:tcPr>
          <w:p w14:paraId="2F179E86" w14:textId="77777777" w:rsidR="00B656F6" w:rsidRPr="00451852" w:rsidRDefault="00B656F6" w:rsidP="008F0944">
            <w:pPr>
              <w:wordWrap w:val="0"/>
              <w:snapToGrid w:val="0"/>
              <w:ind w:left="113" w:right="113"/>
              <w:jc w:val="right"/>
              <w:rPr>
                <w:rFonts w:ascii="Calibri" w:hAnsi="Calibri"/>
                <w:sz w:val="18"/>
                <w:szCs w:val="18"/>
              </w:rPr>
            </w:pPr>
            <w:r w:rsidRPr="00451852">
              <w:rPr>
                <w:rFonts w:ascii="Calibri" w:hAnsi="Calibri" w:hint="eastAsia"/>
                <w:sz w:val="18"/>
                <w:szCs w:val="18"/>
              </w:rPr>
              <w:t>I</w:t>
            </w:r>
            <w:r w:rsidRPr="00451852">
              <w:rPr>
                <w:rFonts w:ascii="Calibri" w:hAnsi="Calibri"/>
                <w:sz w:val="18"/>
                <w:szCs w:val="18"/>
              </w:rPr>
              <w:t>nfectious diseases</w:t>
            </w:r>
          </w:p>
        </w:tc>
        <w:tc>
          <w:tcPr>
            <w:tcW w:w="2268" w:type="dxa"/>
            <w:shd w:val="clear" w:color="auto" w:fill="auto"/>
          </w:tcPr>
          <w:p w14:paraId="3829465C" w14:textId="77777777" w:rsidR="00B656F6" w:rsidRPr="00451852" w:rsidRDefault="00B656F6" w:rsidP="008F0944">
            <w:pPr>
              <w:snapToGrid w:val="0"/>
              <w:jc w:val="right"/>
              <w:rPr>
                <w:rFonts w:ascii="Calibri" w:hAnsi="Calibri"/>
                <w:sz w:val="18"/>
                <w:szCs w:val="18"/>
              </w:rPr>
            </w:pPr>
            <w:r w:rsidRPr="00451852">
              <w:rPr>
                <w:rFonts w:ascii="Calibri" w:hAnsi="Calibri"/>
                <w:sz w:val="18"/>
                <w:szCs w:val="18"/>
              </w:rPr>
              <w:t>Incidence rate of (per 100,000 population)</w:t>
            </w:r>
          </w:p>
        </w:tc>
        <w:tc>
          <w:tcPr>
            <w:tcW w:w="0" w:type="auto"/>
            <w:shd w:val="clear" w:color="auto" w:fill="auto"/>
          </w:tcPr>
          <w:p w14:paraId="227CFC6F" w14:textId="77777777" w:rsidR="00B656F6" w:rsidRPr="00451852" w:rsidRDefault="00B656F6" w:rsidP="008F0944">
            <w:pPr>
              <w:snapToGrid w:val="0"/>
              <w:jc w:val="right"/>
              <w:rPr>
                <w:rFonts w:ascii="Calibri" w:hAnsi="Calibri"/>
                <w:sz w:val="18"/>
                <w:szCs w:val="18"/>
              </w:rPr>
            </w:pPr>
          </w:p>
        </w:tc>
        <w:tc>
          <w:tcPr>
            <w:tcW w:w="0" w:type="auto"/>
            <w:shd w:val="clear" w:color="auto" w:fill="auto"/>
          </w:tcPr>
          <w:p w14:paraId="2FECECF7" w14:textId="77777777" w:rsidR="00B656F6" w:rsidRPr="00451852" w:rsidRDefault="00B656F6" w:rsidP="008F0944">
            <w:pPr>
              <w:snapToGrid w:val="0"/>
              <w:jc w:val="right"/>
              <w:rPr>
                <w:rFonts w:ascii="Calibri" w:hAnsi="Calibri"/>
                <w:sz w:val="18"/>
                <w:szCs w:val="18"/>
              </w:rPr>
            </w:pPr>
          </w:p>
        </w:tc>
        <w:tc>
          <w:tcPr>
            <w:tcW w:w="717" w:type="dxa"/>
            <w:shd w:val="clear" w:color="auto" w:fill="auto"/>
          </w:tcPr>
          <w:p w14:paraId="2F4B93E0" w14:textId="77777777" w:rsidR="00B656F6" w:rsidRPr="00451852" w:rsidRDefault="00B656F6" w:rsidP="008F0944">
            <w:pPr>
              <w:snapToGrid w:val="0"/>
              <w:jc w:val="right"/>
              <w:rPr>
                <w:rFonts w:ascii="Calibri" w:hAnsi="Calibri"/>
                <w:sz w:val="18"/>
                <w:szCs w:val="18"/>
              </w:rPr>
            </w:pPr>
          </w:p>
        </w:tc>
      </w:tr>
      <w:tr w:rsidR="00B656F6" w:rsidRPr="00451852" w14:paraId="6DC8BD73" w14:textId="77777777" w:rsidTr="008F0944">
        <w:tc>
          <w:tcPr>
            <w:tcW w:w="566" w:type="dxa"/>
            <w:vMerge/>
            <w:shd w:val="clear" w:color="auto" w:fill="auto"/>
            <w:textDirection w:val="btLr"/>
          </w:tcPr>
          <w:p w14:paraId="79977AD0" w14:textId="77777777" w:rsidR="00B656F6" w:rsidRPr="00451852" w:rsidRDefault="00B656F6" w:rsidP="008F0944">
            <w:pPr>
              <w:snapToGrid w:val="0"/>
              <w:ind w:left="113" w:right="113"/>
              <w:jc w:val="right"/>
              <w:rPr>
                <w:rFonts w:ascii="Calibri" w:hAnsi="Calibri"/>
                <w:sz w:val="18"/>
                <w:szCs w:val="18"/>
              </w:rPr>
            </w:pPr>
          </w:p>
        </w:tc>
        <w:tc>
          <w:tcPr>
            <w:tcW w:w="2268" w:type="dxa"/>
            <w:shd w:val="clear" w:color="auto" w:fill="E7E6E6" w:themeFill="background2"/>
          </w:tcPr>
          <w:p w14:paraId="434F7C0B" w14:textId="77777777" w:rsidR="00B656F6" w:rsidRPr="00451852" w:rsidRDefault="00B656F6" w:rsidP="008F0944">
            <w:pPr>
              <w:snapToGrid w:val="0"/>
              <w:jc w:val="right"/>
              <w:rPr>
                <w:rFonts w:ascii="Calibri" w:hAnsi="Calibri"/>
                <w:sz w:val="18"/>
                <w:szCs w:val="18"/>
              </w:rPr>
            </w:pPr>
            <w:r w:rsidRPr="00451852">
              <w:rPr>
                <w:rFonts w:ascii="Calibri" w:hAnsi="Calibri" w:hint="eastAsia"/>
                <w:sz w:val="18"/>
                <w:szCs w:val="18"/>
              </w:rPr>
              <w:t>HIV</w:t>
            </w:r>
            <w:r w:rsidRPr="00451852">
              <w:rPr>
                <w:rFonts w:ascii="Calibri" w:hAnsi="Calibri"/>
                <w:sz w:val="18"/>
                <w:szCs w:val="18"/>
              </w:rPr>
              <w:t>/AIDS</w:t>
            </w:r>
          </w:p>
        </w:tc>
        <w:tc>
          <w:tcPr>
            <w:tcW w:w="0" w:type="auto"/>
            <w:shd w:val="clear" w:color="auto" w:fill="E7E6E6" w:themeFill="background2"/>
          </w:tcPr>
          <w:p w14:paraId="5B568863" w14:textId="77777777" w:rsidR="00B656F6" w:rsidRPr="00451852" w:rsidRDefault="00B656F6" w:rsidP="008F0944">
            <w:pPr>
              <w:snapToGrid w:val="0"/>
              <w:jc w:val="right"/>
              <w:rPr>
                <w:rFonts w:ascii="Calibri" w:hAnsi="Calibri"/>
                <w:sz w:val="18"/>
                <w:szCs w:val="18"/>
              </w:rPr>
            </w:pPr>
            <w:r w:rsidRPr="00451852">
              <w:rPr>
                <w:rFonts w:ascii="Calibri" w:hAnsi="Calibri" w:hint="eastAsia"/>
                <w:sz w:val="18"/>
                <w:szCs w:val="18"/>
              </w:rPr>
              <w:t>2.6</w:t>
            </w:r>
          </w:p>
        </w:tc>
        <w:tc>
          <w:tcPr>
            <w:tcW w:w="0" w:type="auto"/>
            <w:shd w:val="clear" w:color="auto" w:fill="E7E6E6" w:themeFill="background2"/>
          </w:tcPr>
          <w:p w14:paraId="21BB285D" w14:textId="77777777" w:rsidR="00B656F6" w:rsidRPr="00451852" w:rsidRDefault="00B656F6" w:rsidP="008F0944">
            <w:pPr>
              <w:snapToGrid w:val="0"/>
              <w:jc w:val="right"/>
              <w:rPr>
                <w:rFonts w:ascii="Calibri" w:hAnsi="Calibri"/>
                <w:sz w:val="18"/>
                <w:szCs w:val="18"/>
              </w:rPr>
            </w:pPr>
            <w:r w:rsidRPr="00451852">
              <w:rPr>
                <w:rFonts w:ascii="Calibri" w:hAnsi="Calibri" w:hint="eastAsia"/>
                <w:sz w:val="18"/>
                <w:szCs w:val="18"/>
              </w:rPr>
              <w:t>4.0</w:t>
            </w:r>
          </w:p>
        </w:tc>
        <w:tc>
          <w:tcPr>
            <w:tcW w:w="717" w:type="dxa"/>
            <w:shd w:val="clear" w:color="auto" w:fill="E7E6E6" w:themeFill="background2"/>
          </w:tcPr>
          <w:p w14:paraId="24084EEE" w14:textId="77777777" w:rsidR="00B656F6" w:rsidRPr="00451852" w:rsidRDefault="00B656F6" w:rsidP="008F0944">
            <w:pPr>
              <w:snapToGrid w:val="0"/>
              <w:jc w:val="right"/>
              <w:rPr>
                <w:rFonts w:ascii="Calibri" w:hAnsi="Calibri"/>
                <w:sz w:val="18"/>
                <w:szCs w:val="18"/>
              </w:rPr>
            </w:pPr>
            <w:r w:rsidRPr="00451852">
              <w:rPr>
                <w:rFonts w:ascii="Calibri" w:hAnsi="Calibri" w:hint="eastAsia"/>
                <w:sz w:val="18"/>
                <w:szCs w:val="18"/>
              </w:rPr>
              <w:t>c</w:t>
            </w:r>
          </w:p>
        </w:tc>
      </w:tr>
      <w:tr w:rsidR="00B656F6" w:rsidRPr="00451852" w14:paraId="483EA58A" w14:textId="77777777" w:rsidTr="008F0944">
        <w:tc>
          <w:tcPr>
            <w:tcW w:w="566" w:type="dxa"/>
            <w:vMerge/>
            <w:shd w:val="clear" w:color="auto" w:fill="auto"/>
            <w:textDirection w:val="btLr"/>
          </w:tcPr>
          <w:p w14:paraId="4918DF6F" w14:textId="77777777" w:rsidR="00B656F6" w:rsidRPr="00451852" w:rsidRDefault="00B656F6" w:rsidP="008F0944">
            <w:pPr>
              <w:snapToGrid w:val="0"/>
              <w:ind w:left="113" w:right="113"/>
              <w:jc w:val="right"/>
              <w:rPr>
                <w:rFonts w:ascii="Calibri" w:hAnsi="Calibri"/>
                <w:sz w:val="18"/>
                <w:szCs w:val="18"/>
              </w:rPr>
            </w:pPr>
          </w:p>
        </w:tc>
        <w:tc>
          <w:tcPr>
            <w:tcW w:w="2268" w:type="dxa"/>
            <w:shd w:val="clear" w:color="auto" w:fill="auto"/>
          </w:tcPr>
          <w:p w14:paraId="5A408C80" w14:textId="77777777" w:rsidR="00B656F6" w:rsidRPr="00451852" w:rsidRDefault="00B656F6" w:rsidP="008F0944">
            <w:pPr>
              <w:wordWrap w:val="0"/>
              <w:snapToGrid w:val="0"/>
              <w:jc w:val="right"/>
              <w:rPr>
                <w:rFonts w:ascii="Calibri" w:hAnsi="Calibri"/>
                <w:sz w:val="18"/>
                <w:szCs w:val="18"/>
              </w:rPr>
            </w:pPr>
            <w:r>
              <w:rPr>
                <w:rFonts w:ascii="Calibri" w:hAnsi="Calibri" w:cstheme="minorHAnsi"/>
                <w:sz w:val="18"/>
                <w:szCs w:val="18"/>
                <w:lang w:val="en-GB"/>
              </w:rPr>
              <w:t>Sex ratio (Male/Female)</w:t>
            </w:r>
          </w:p>
        </w:tc>
        <w:tc>
          <w:tcPr>
            <w:tcW w:w="0" w:type="auto"/>
            <w:shd w:val="clear" w:color="auto" w:fill="auto"/>
          </w:tcPr>
          <w:p w14:paraId="795AE8E8" w14:textId="77777777" w:rsidR="00B656F6" w:rsidRPr="00451852" w:rsidRDefault="00B656F6" w:rsidP="008F0944">
            <w:pPr>
              <w:snapToGrid w:val="0"/>
              <w:jc w:val="right"/>
              <w:rPr>
                <w:rFonts w:ascii="Calibri" w:hAnsi="Calibri"/>
                <w:sz w:val="18"/>
                <w:szCs w:val="18"/>
              </w:rPr>
            </w:pPr>
            <w:r w:rsidRPr="00BD1039">
              <w:rPr>
                <w:rFonts w:ascii="Calibri" w:hAnsi="Calibri"/>
                <w:sz w:val="18"/>
                <w:szCs w:val="18"/>
              </w:rPr>
              <w:t>3.4</w:t>
            </w:r>
          </w:p>
        </w:tc>
        <w:tc>
          <w:tcPr>
            <w:tcW w:w="0" w:type="auto"/>
            <w:shd w:val="clear" w:color="auto" w:fill="auto"/>
          </w:tcPr>
          <w:p w14:paraId="2FA60764" w14:textId="77777777" w:rsidR="00B656F6" w:rsidRPr="00451852" w:rsidRDefault="00B656F6" w:rsidP="008F0944">
            <w:pPr>
              <w:snapToGrid w:val="0"/>
              <w:jc w:val="right"/>
              <w:rPr>
                <w:rFonts w:ascii="Calibri" w:hAnsi="Calibri"/>
                <w:sz w:val="18"/>
                <w:szCs w:val="18"/>
              </w:rPr>
            </w:pPr>
            <w:r w:rsidRPr="00BD1039">
              <w:rPr>
                <w:rFonts w:ascii="Calibri" w:hAnsi="Calibri"/>
                <w:sz w:val="18"/>
                <w:szCs w:val="18"/>
              </w:rPr>
              <w:t>3.6</w:t>
            </w:r>
          </w:p>
        </w:tc>
        <w:tc>
          <w:tcPr>
            <w:tcW w:w="717" w:type="dxa"/>
            <w:shd w:val="clear" w:color="auto" w:fill="auto"/>
          </w:tcPr>
          <w:p w14:paraId="0F764B97" w14:textId="77777777" w:rsidR="00B656F6" w:rsidRPr="00451852" w:rsidRDefault="00B656F6" w:rsidP="008F0944">
            <w:pPr>
              <w:snapToGrid w:val="0"/>
              <w:jc w:val="right"/>
              <w:rPr>
                <w:rFonts w:ascii="Calibri" w:hAnsi="Calibri"/>
                <w:sz w:val="18"/>
                <w:szCs w:val="18"/>
              </w:rPr>
            </w:pPr>
            <w:r w:rsidRPr="00451852">
              <w:rPr>
                <w:rFonts w:ascii="Calibri" w:hAnsi="Calibri" w:hint="eastAsia"/>
                <w:sz w:val="18"/>
                <w:szCs w:val="18"/>
              </w:rPr>
              <w:t>d</w:t>
            </w:r>
          </w:p>
        </w:tc>
      </w:tr>
      <w:tr w:rsidR="00B656F6" w:rsidRPr="00451852" w14:paraId="2D7FE115" w14:textId="77777777" w:rsidTr="008F0944">
        <w:tc>
          <w:tcPr>
            <w:tcW w:w="566" w:type="dxa"/>
            <w:vMerge/>
            <w:shd w:val="clear" w:color="auto" w:fill="auto"/>
            <w:textDirection w:val="btLr"/>
          </w:tcPr>
          <w:p w14:paraId="26617620" w14:textId="77777777" w:rsidR="00B656F6" w:rsidRPr="00451852" w:rsidRDefault="00B656F6" w:rsidP="008F0944">
            <w:pPr>
              <w:snapToGrid w:val="0"/>
              <w:ind w:left="113" w:right="113"/>
              <w:jc w:val="right"/>
              <w:rPr>
                <w:rFonts w:ascii="Calibri" w:hAnsi="Calibri"/>
                <w:sz w:val="18"/>
                <w:szCs w:val="18"/>
              </w:rPr>
            </w:pPr>
          </w:p>
        </w:tc>
        <w:tc>
          <w:tcPr>
            <w:tcW w:w="2268" w:type="dxa"/>
            <w:shd w:val="clear" w:color="auto" w:fill="E7E6E6" w:themeFill="background2"/>
          </w:tcPr>
          <w:p w14:paraId="03FD7F0C" w14:textId="77777777" w:rsidR="00B656F6" w:rsidRPr="00451852" w:rsidRDefault="00B656F6" w:rsidP="008F0944">
            <w:pPr>
              <w:snapToGrid w:val="0"/>
              <w:jc w:val="right"/>
              <w:rPr>
                <w:rFonts w:ascii="Calibri" w:hAnsi="Calibri"/>
                <w:sz w:val="18"/>
                <w:szCs w:val="18"/>
              </w:rPr>
            </w:pPr>
            <w:r w:rsidRPr="00451852">
              <w:rPr>
                <w:rFonts w:ascii="Calibri" w:hAnsi="Calibri" w:hint="eastAsia"/>
                <w:sz w:val="18"/>
                <w:szCs w:val="18"/>
              </w:rPr>
              <w:t>TB</w:t>
            </w:r>
          </w:p>
        </w:tc>
        <w:tc>
          <w:tcPr>
            <w:tcW w:w="0" w:type="auto"/>
            <w:shd w:val="clear" w:color="auto" w:fill="E7E6E6" w:themeFill="background2"/>
          </w:tcPr>
          <w:p w14:paraId="2EFFA589" w14:textId="77777777" w:rsidR="00B656F6" w:rsidRPr="00451852" w:rsidRDefault="00B656F6" w:rsidP="008F0944">
            <w:pPr>
              <w:snapToGrid w:val="0"/>
              <w:jc w:val="right"/>
              <w:rPr>
                <w:rFonts w:ascii="Calibri" w:hAnsi="Calibri"/>
                <w:sz w:val="18"/>
                <w:szCs w:val="18"/>
              </w:rPr>
            </w:pPr>
            <w:r w:rsidRPr="00451852">
              <w:rPr>
                <w:rFonts w:ascii="Calibri" w:hAnsi="Calibri" w:hint="eastAsia"/>
                <w:sz w:val="18"/>
                <w:szCs w:val="18"/>
              </w:rPr>
              <w:t>74.3</w:t>
            </w:r>
          </w:p>
        </w:tc>
        <w:tc>
          <w:tcPr>
            <w:tcW w:w="0" w:type="auto"/>
            <w:shd w:val="clear" w:color="auto" w:fill="E7E6E6" w:themeFill="background2"/>
          </w:tcPr>
          <w:p w14:paraId="207E38C3" w14:textId="77777777" w:rsidR="00B656F6" w:rsidRPr="00451852" w:rsidRDefault="00B656F6" w:rsidP="008F0944">
            <w:pPr>
              <w:snapToGrid w:val="0"/>
              <w:jc w:val="right"/>
              <w:rPr>
                <w:rFonts w:ascii="Calibri" w:hAnsi="Calibri"/>
                <w:sz w:val="18"/>
                <w:szCs w:val="18"/>
              </w:rPr>
            </w:pPr>
            <w:r w:rsidRPr="00451852">
              <w:rPr>
                <w:rFonts w:ascii="Calibri" w:hAnsi="Calibri" w:hint="eastAsia"/>
                <w:sz w:val="18"/>
                <w:szCs w:val="18"/>
              </w:rPr>
              <w:t>61.0</w:t>
            </w:r>
          </w:p>
        </w:tc>
        <w:tc>
          <w:tcPr>
            <w:tcW w:w="717" w:type="dxa"/>
            <w:shd w:val="clear" w:color="auto" w:fill="E7E6E6" w:themeFill="background2"/>
          </w:tcPr>
          <w:p w14:paraId="255448F7" w14:textId="77777777" w:rsidR="00B656F6" w:rsidRPr="00451852" w:rsidRDefault="00B656F6" w:rsidP="008F0944">
            <w:pPr>
              <w:snapToGrid w:val="0"/>
              <w:jc w:val="right"/>
              <w:rPr>
                <w:rFonts w:ascii="Calibri" w:hAnsi="Calibri"/>
                <w:sz w:val="18"/>
                <w:szCs w:val="18"/>
              </w:rPr>
            </w:pPr>
            <w:r w:rsidRPr="00451852">
              <w:rPr>
                <w:rFonts w:ascii="Calibri" w:hAnsi="Calibri" w:hint="eastAsia"/>
                <w:sz w:val="18"/>
                <w:szCs w:val="18"/>
              </w:rPr>
              <w:t>c</w:t>
            </w:r>
          </w:p>
        </w:tc>
      </w:tr>
      <w:tr w:rsidR="00B656F6" w:rsidRPr="00451852" w14:paraId="3A3AA849" w14:textId="77777777" w:rsidTr="008F0944">
        <w:tc>
          <w:tcPr>
            <w:tcW w:w="566" w:type="dxa"/>
            <w:vMerge/>
            <w:shd w:val="clear" w:color="auto" w:fill="auto"/>
            <w:textDirection w:val="btLr"/>
          </w:tcPr>
          <w:p w14:paraId="1DEAA2B2" w14:textId="77777777" w:rsidR="00B656F6" w:rsidRPr="00451852" w:rsidRDefault="00B656F6" w:rsidP="008F0944">
            <w:pPr>
              <w:snapToGrid w:val="0"/>
              <w:ind w:left="113" w:right="113"/>
              <w:jc w:val="right"/>
              <w:rPr>
                <w:rFonts w:ascii="Calibri" w:hAnsi="Calibri"/>
                <w:sz w:val="18"/>
                <w:szCs w:val="18"/>
              </w:rPr>
            </w:pPr>
          </w:p>
        </w:tc>
        <w:tc>
          <w:tcPr>
            <w:tcW w:w="2268" w:type="dxa"/>
            <w:shd w:val="clear" w:color="auto" w:fill="auto"/>
          </w:tcPr>
          <w:p w14:paraId="4D7045C1" w14:textId="77777777" w:rsidR="00B656F6" w:rsidRPr="00451852" w:rsidRDefault="00B656F6" w:rsidP="008F0944">
            <w:pPr>
              <w:snapToGrid w:val="0"/>
              <w:jc w:val="right"/>
              <w:rPr>
                <w:rFonts w:ascii="Calibri" w:hAnsi="Calibri"/>
                <w:sz w:val="18"/>
                <w:szCs w:val="18"/>
              </w:rPr>
            </w:pPr>
            <w:r>
              <w:rPr>
                <w:rFonts w:ascii="Calibri" w:hAnsi="Calibri" w:cstheme="minorHAnsi"/>
                <w:sz w:val="18"/>
                <w:szCs w:val="18"/>
                <w:lang w:val="en-GB"/>
              </w:rPr>
              <w:t>Sex ratio (Male/Female)</w:t>
            </w:r>
          </w:p>
        </w:tc>
        <w:tc>
          <w:tcPr>
            <w:tcW w:w="0" w:type="auto"/>
            <w:shd w:val="clear" w:color="auto" w:fill="auto"/>
          </w:tcPr>
          <w:p w14:paraId="6730D4B4" w14:textId="77777777" w:rsidR="00B656F6" w:rsidRPr="00451852" w:rsidRDefault="00B656F6" w:rsidP="008F0944">
            <w:pPr>
              <w:snapToGrid w:val="0"/>
              <w:jc w:val="right"/>
              <w:rPr>
                <w:rFonts w:ascii="Calibri" w:hAnsi="Calibri"/>
                <w:sz w:val="18"/>
                <w:szCs w:val="18"/>
              </w:rPr>
            </w:pPr>
            <w:r w:rsidRPr="00BD1039">
              <w:rPr>
                <w:rFonts w:ascii="Calibri" w:hAnsi="Calibri"/>
                <w:sz w:val="18"/>
                <w:szCs w:val="18"/>
              </w:rPr>
              <w:t>1.8</w:t>
            </w:r>
          </w:p>
        </w:tc>
        <w:tc>
          <w:tcPr>
            <w:tcW w:w="0" w:type="auto"/>
            <w:shd w:val="clear" w:color="auto" w:fill="auto"/>
          </w:tcPr>
          <w:p w14:paraId="575CE431" w14:textId="77777777" w:rsidR="00B656F6" w:rsidRPr="00451852" w:rsidRDefault="00B656F6" w:rsidP="008F0944">
            <w:pPr>
              <w:snapToGrid w:val="0"/>
              <w:jc w:val="right"/>
              <w:rPr>
                <w:rFonts w:ascii="Calibri" w:hAnsi="Calibri"/>
                <w:sz w:val="18"/>
                <w:szCs w:val="18"/>
              </w:rPr>
            </w:pPr>
            <w:r w:rsidRPr="00BD1039">
              <w:rPr>
                <w:rFonts w:ascii="Calibri" w:hAnsi="Calibri"/>
                <w:sz w:val="18"/>
                <w:szCs w:val="18"/>
              </w:rPr>
              <w:t>1.8</w:t>
            </w:r>
          </w:p>
        </w:tc>
        <w:tc>
          <w:tcPr>
            <w:tcW w:w="717" w:type="dxa"/>
            <w:shd w:val="clear" w:color="auto" w:fill="auto"/>
          </w:tcPr>
          <w:p w14:paraId="21AB0DBC" w14:textId="77777777" w:rsidR="00B656F6" w:rsidRPr="00451852" w:rsidRDefault="00B656F6" w:rsidP="008F0944">
            <w:pPr>
              <w:snapToGrid w:val="0"/>
              <w:jc w:val="right"/>
              <w:rPr>
                <w:rFonts w:ascii="Calibri" w:hAnsi="Calibri"/>
                <w:sz w:val="18"/>
                <w:szCs w:val="18"/>
              </w:rPr>
            </w:pPr>
            <w:r>
              <w:rPr>
                <w:rFonts w:ascii="Calibri" w:hAnsi="Calibri" w:hint="eastAsia"/>
                <w:sz w:val="18"/>
                <w:szCs w:val="18"/>
              </w:rPr>
              <w:t>d</w:t>
            </w:r>
          </w:p>
        </w:tc>
      </w:tr>
      <w:tr w:rsidR="00B656F6" w:rsidRPr="00451852" w14:paraId="2452338E" w14:textId="77777777" w:rsidTr="008F0944">
        <w:tc>
          <w:tcPr>
            <w:tcW w:w="566" w:type="dxa"/>
            <w:vMerge/>
            <w:shd w:val="clear" w:color="auto" w:fill="auto"/>
            <w:textDirection w:val="btLr"/>
          </w:tcPr>
          <w:p w14:paraId="7756BAD4" w14:textId="77777777" w:rsidR="00B656F6" w:rsidRPr="00451852" w:rsidRDefault="00B656F6" w:rsidP="008F0944">
            <w:pPr>
              <w:snapToGrid w:val="0"/>
              <w:ind w:left="113" w:right="113"/>
              <w:jc w:val="right"/>
              <w:rPr>
                <w:rFonts w:ascii="Calibri" w:hAnsi="Calibri"/>
                <w:sz w:val="18"/>
                <w:szCs w:val="18"/>
              </w:rPr>
            </w:pPr>
          </w:p>
        </w:tc>
        <w:tc>
          <w:tcPr>
            <w:tcW w:w="2268" w:type="dxa"/>
            <w:shd w:val="clear" w:color="auto" w:fill="E7E6E6" w:themeFill="background2"/>
          </w:tcPr>
          <w:p w14:paraId="554A4DB3" w14:textId="77777777" w:rsidR="00B656F6" w:rsidRPr="00451852" w:rsidRDefault="00B656F6" w:rsidP="008F0944">
            <w:pPr>
              <w:snapToGrid w:val="0"/>
              <w:jc w:val="right"/>
              <w:rPr>
                <w:rFonts w:ascii="Calibri" w:hAnsi="Calibri"/>
                <w:sz w:val="18"/>
                <w:szCs w:val="18"/>
              </w:rPr>
            </w:pPr>
            <w:r w:rsidRPr="00451852">
              <w:rPr>
                <w:rFonts w:ascii="Calibri" w:hAnsi="Calibri" w:hint="eastAsia"/>
                <w:sz w:val="18"/>
                <w:szCs w:val="18"/>
              </w:rPr>
              <w:t>M</w:t>
            </w:r>
            <w:r w:rsidRPr="00451852">
              <w:rPr>
                <w:rFonts w:ascii="Calibri" w:hAnsi="Calibri"/>
                <w:sz w:val="18"/>
                <w:szCs w:val="18"/>
              </w:rPr>
              <w:t>alaria</w:t>
            </w:r>
          </w:p>
        </w:tc>
        <w:tc>
          <w:tcPr>
            <w:tcW w:w="0" w:type="auto"/>
            <w:shd w:val="clear" w:color="auto" w:fill="E7E6E6" w:themeFill="background2"/>
          </w:tcPr>
          <w:p w14:paraId="1E93C171" w14:textId="77777777" w:rsidR="00B656F6" w:rsidRPr="00451852" w:rsidRDefault="00B656F6" w:rsidP="008F0944">
            <w:pPr>
              <w:snapToGrid w:val="0"/>
              <w:jc w:val="right"/>
              <w:rPr>
                <w:rFonts w:ascii="Calibri" w:hAnsi="Calibri"/>
                <w:sz w:val="18"/>
                <w:szCs w:val="18"/>
              </w:rPr>
            </w:pPr>
            <w:r w:rsidRPr="00451852">
              <w:rPr>
                <w:rFonts w:ascii="Calibri" w:hAnsi="Calibri" w:hint="eastAsia"/>
                <w:sz w:val="18"/>
                <w:szCs w:val="18"/>
              </w:rPr>
              <w:t>0.6</w:t>
            </w:r>
          </w:p>
        </w:tc>
        <w:tc>
          <w:tcPr>
            <w:tcW w:w="0" w:type="auto"/>
            <w:shd w:val="clear" w:color="auto" w:fill="E7E6E6" w:themeFill="background2"/>
          </w:tcPr>
          <w:p w14:paraId="2570D7BB" w14:textId="77777777" w:rsidR="00B656F6" w:rsidRPr="00451852" w:rsidRDefault="00B656F6" w:rsidP="008F0944">
            <w:pPr>
              <w:snapToGrid w:val="0"/>
              <w:jc w:val="right"/>
              <w:rPr>
                <w:rFonts w:ascii="Calibri" w:hAnsi="Calibri"/>
                <w:sz w:val="18"/>
                <w:szCs w:val="18"/>
              </w:rPr>
            </w:pPr>
            <w:r w:rsidRPr="00451852">
              <w:rPr>
                <w:rFonts w:ascii="Calibri" w:hAnsi="Calibri" w:hint="eastAsia"/>
                <w:sz w:val="18"/>
                <w:szCs w:val="18"/>
              </w:rPr>
              <w:t>0.2</w:t>
            </w:r>
          </w:p>
        </w:tc>
        <w:tc>
          <w:tcPr>
            <w:tcW w:w="717" w:type="dxa"/>
            <w:shd w:val="clear" w:color="auto" w:fill="E7E6E6" w:themeFill="background2"/>
          </w:tcPr>
          <w:p w14:paraId="7510E5F1" w14:textId="77777777" w:rsidR="00B656F6" w:rsidRPr="00451852" w:rsidRDefault="00B656F6" w:rsidP="008F0944">
            <w:pPr>
              <w:snapToGrid w:val="0"/>
              <w:jc w:val="right"/>
              <w:rPr>
                <w:rFonts w:ascii="Calibri" w:hAnsi="Calibri"/>
                <w:sz w:val="18"/>
                <w:szCs w:val="18"/>
              </w:rPr>
            </w:pPr>
            <w:r w:rsidRPr="00451852">
              <w:rPr>
                <w:rFonts w:ascii="Calibri" w:hAnsi="Calibri"/>
                <w:sz w:val="18"/>
                <w:szCs w:val="18"/>
              </w:rPr>
              <w:t>c</w:t>
            </w:r>
          </w:p>
        </w:tc>
      </w:tr>
      <w:tr w:rsidR="00B656F6" w:rsidRPr="00451852" w14:paraId="2FC75A4C" w14:textId="77777777" w:rsidTr="008F0944">
        <w:tc>
          <w:tcPr>
            <w:tcW w:w="566" w:type="dxa"/>
            <w:vMerge/>
            <w:shd w:val="clear" w:color="auto" w:fill="auto"/>
            <w:textDirection w:val="btLr"/>
          </w:tcPr>
          <w:p w14:paraId="0090A2BC" w14:textId="77777777" w:rsidR="00B656F6" w:rsidRPr="00451852" w:rsidRDefault="00B656F6" w:rsidP="008F0944">
            <w:pPr>
              <w:snapToGrid w:val="0"/>
              <w:ind w:left="113" w:right="113"/>
              <w:jc w:val="right"/>
              <w:rPr>
                <w:rFonts w:ascii="Calibri" w:hAnsi="Calibri"/>
                <w:sz w:val="18"/>
                <w:szCs w:val="18"/>
              </w:rPr>
            </w:pPr>
          </w:p>
        </w:tc>
        <w:tc>
          <w:tcPr>
            <w:tcW w:w="2268" w:type="dxa"/>
            <w:shd w:val="clear" w:color="auto" w:fill="auto"/>
          </w:tcPr>
          <w:p w14:paraId="47BFB919" w14:textId="77777777" w:rsidR="00B656F6" w:rsidRPr="00451852" w:rsidRDefault="00B656F6" w:rsidP="008F0944">
            <w:pPr>
              <w:snapToGrid w:val="0"/>
              <w:jc w:val="right"/>
              <w:rPr>
                <w:rFonts w:ascii="Calibri" w:hAnsi="Calibri"/>
                <w:sz w:val="18"/>
                <w:szCs w:val="18"/>
              </w:rPr>
            </w:pPr>
            <w:r>
              <w:rPr>
                <w:rFonts w:ascii="Calibri" w:hAnsi="Calibri" w:cstheme="minorHAnsi"/>
                <w:sz w:val="18"/>
                <w:szCs w:val="18"/>
                <w:lang w:val="en-GB"/>
              </w:rPr>
              <w:t>Sex ratio (Male/Female)</w:t>
            </w:r>
          </w:p>
        </w:tc>
        <w:tc>
          <w:tcPr>
            <w:tcW w:w="0" w:type="auto"/>
            <w:shd w:val="clear" w:color="auto" w:fill="auto"/>
            <w:vAlign w:val="center"/>
          </w:tcPr>
          <w:p w14:paraId="212CD3C5" w14:textId="77777777" w:rsidR="00B656F6" w:rsidRPr="00451852" w:rsidRDefault="00B656F6" w:rsidP="008F0944">
            <w:pPr>
              <w:snapToGrid w:val="0"/>
              <w:jc w:val="right"/>
              <w:rPr>
                <w:rFonts w:ascii="Calibri" w:hAnsi="Calibri"/>
                <w:sz w:val="18"/>
                <w:szCs w:val="18"/>
              </w:rPr>
            </w:pPr>
            <w:r w:rsidRPr="00BD1039">
              <w:rPr>
                <w:rFonts w:ascii="Calibri" w:hAnsi="Calibri"/>
                <w:sz w:val="18"/>
                <w:szCs w:val="18"/>
              </w:rPr>
              <w:t>1.3</w:t>
            </w:r>
          </w:p>
        </w:tc>
        <w:tc>
          <w:tcPr>
            <w:tcW w:w="0" w:type="auto"/>
            <w:shd w:val="clear" w:color="auto" w:fill="auto"/>
            <w:vAlign w:val="center"/>
          </w:tcPr>
          <w:p w14:paraId="4FC4E9C8" w14:textId="77777777" w:rsidR="00B656F6" w:rsidRPr="00451852" w:rsidRDefault="00B656F6" w:rsidP="008F0944">
            <w:pPr>
              <w:snapToGrid w:val="0"/>
              <w:jc w:val="right"/>
              <w:rPr>
                <w:rFonts w:ascii="Calibri" w:hAnsi="Calibri"/>
                <w:sz w:val="18"/>
                <w:szCs w:val="18"/>
              </w:rPr>
            </w:pPr>
            <w:r>
              <w:rPr>
                <w:rFonts w:ascii="Calibri" w:hAnsi="Calibri" w:hint="eastAsia"/>
                <w:sz w:val="18"/>
                <w:szCs w:val="18"/>
              </w:rPr>
              <w:t>1</w:t>
            </w:r>
            <w:r>
              <w:rPr>
                <w:rFonts w:ascii="Calibri" w:hAnsi="Calibri"/>
                <w:sz w:val="18"/>
                <w:szCs w:val="18"/>
              </w:rPr>
              <w:t>.0</w:t>
            </w:r>
          </w:p>
        </w:tc>
        <w:tc>
          <w:tcPr>
            <w:tcW w:w="717" w:type="dxa"/>
            <w:shd w:val="clear" w:color="auto" w:fill="auto"/>
          </w:tcPr>
          <w:p w14:paraId="504986DB" w14:textId="77777777" w:rsidR="00B656F6" w:rsidRPr="00451852" w:rsidRDefault="00B656F6" w:rsidP="008F0944">
            <w:pPr>
              <w:snapToGrid w:val="0"/>
              <w:jc w:val="right"/>
              <w:rPr>
                <w:rFonts w:ascii="Calibri" w:hAnsi="Calibri"/>
                <w:sz w:val="18"/>
                <w:szCs w:val="18"/>
              </w:rPr>
            </w:pPr>
            <w:r>
              <w:rPr>
                <w:rFonts w:ascii="Calibri" w:hAnsi="Calibri" w:hint="eastAsia"/>
                <w:sz w:val="18"/>
                <w:szCs w:val="18"/>
              </w:rPr>
              <w:t>d</w:t>
            </w:r>
          </w:p>
        </w:tc>
      </w:tr>
      <w:tr w:rsidR="00B656F6" w:rsidRPr="00451852" w14:paraId="4DE4A50F" w14:textId="77777777" w:rsidTr="008F0944">
        <w:tc>
          <w:tcPr>
            <w:tcW w:w="566" w:type="dxa"/>
            <w:vMerge/>
            <w:shd w:val="clear" w:color="auto" w:fill="auto"/>
            <w:textDirection w:val="btLr"/>
          </w:tcPr>
          <w:p w14:paraId="0DDFEE2E" w14:textId="77777777" w:rsidR="00B656F6" w:rsidRPr="00451852" w:rsidRDefault="00B656F6" w:rsidP="008F0944">
            <w:pPr>
              <w:snapToGrid w:val="0"/>
              <w:ind w:left="113" w:right="113"/>
              <w:jc w:val="right"/>
              <w:rPr>
                <w:rFonts w:ascii="Calibri" w:hAnsi="Calibri"/>
                <w:sz w:val="18"/>
                <w:szCs w:val="18"/>
              </w:rPr>
            </w:pPr>
          </w:p>
        </w:tc>
        <w:tc>
          <w:tcPr>
            <w:tcW w:w="2268" w:type="dxa"/>
            <w:shd w:val="clear" w:color="auto" w:fill="E7E6E6" w:themeFill="background2"/>
          </w:tcPr>
          <w:p w14:paraId="62C102A5" w14:textId="77777777" w:rsidR="00B656F6" w:rsidRPr="00451852" w:rsidRDefault="00B656F6" w:rsidP="008F0944">
            <w:pPr>
              <w:snapToGrid w:val="0"/>
              <w:jc w:val="right"/>
              <w:rPr>
                <w:rFonts w:ascii="Calibri" w:hAnsi="Calibri"/>
                <w:sz w:val="18"/>
                <w:szCs w:val="18"/>
              </w:rPr>
            </w:pPr>
            <w:r w:rsidRPr="00451852">
              <w:rPr>
                <w:rFonts w:ascii="Calibri" w:hAnsi="Calibri" w:hint="eastAsia"/>
                <w:sz w:val="18"/>
                <w:szCs w:val="18"/>
              </w:rPr>
              <w:t>HBV</w:t>
            </w:r>
          </w:p>
        </w:tc>
        <w:tc>
          <w:tcPr>
            <w:tcW w:w="0" w:type="auto"/>
            <w:shd w:val="clear" w:color="auto" w:fill="E7E6E6" w:themeFill="background2"/>
          </w:tcPr>
          <w:p w14:paraId="218F6D07" w14:textId="77777777" w:rsidR="00B656F6" w:rsidRPr="00451852" w:rsidRDefault="00B656F6" w:rsidP="008F0944">
            <w:pPr>
              <w:snapToGrid w:val="0"/>
              <w:jc w:val="right"/>
              <w:rPr>
                <w:rFonts w:ascii="Calibri" w:hAnsi="Calibri"/>
                <w:sz w:val="18"/>
                <w:szCs w:val="18"/>
              </w:rPr>
            </w:pPr>
            <w:r w:rsidRPr="00451852">
              <w:rPr>
                <w:rFonts w:ascii="Calibri" w:hAnsi="Calibri" w:hint="eastAsia"/>
                <w:sz w:val="18"/>
                <w:szCs w:val="18"/>
              </w:rPr>
              <w:t>79.5</w:t>
            </w:r>
          </w:p>
        </w:tc>
        <w:tc>
          <w:tcPr>
            <w:tcW w:w="0" w:type="auto"/>
            <w:shd w:val="clear" w:color="auto" w:fill="E7E6E6" w:themeFill="background2"/>
          </w:tcPr>
          <w:p w14:paraId="16566D67" w14:textId="77777777" w:rsidR="00B656F6" w:rsidRPr="00451852" w:rsidRDefault="00B656F6" w:rsidP="008F0944">
            <w:pPr>
              <w:snapToGrid w:val="0"/>
              <w:jc w:val="right"/>
              <w:rPr>
                <w:rFonts w:ascii="Calibri" w:hAnsi="Calibri"/>
                <w:sz w:val="18"/>
                <w:szCs w:val="18"/>
              </w:rPr>
            </w:pPr>
            <w:r w:rsidRPr="00451852">
              <w:rPr>
                <w:rFonts w:ascii="Calibri" w:hAnsi="Calibri" w:hint="eastAsia"/>
                <w:sz w:val="18"/>
                <w:szCs w:val="18"/>
              </w:rPr>
              <w:t>68.7</w:t>
            </w:r>
          </w:p>
        </w:tc>
        <w:tc>
          <w:tcPr>
            <w:tcW w:w="717" w:type="dxa"/>
            <w:shd w:val="clear" w:color="auto" w:fill="E7E6E6" w:themeFill="background2"/>
          </w:tcPr>
          <w:p w14:paraId="0CAFC351" w14:textId="77777777" w:rsidR="00B656F6" w:rsidRPr="00451852" w:rsidRDefault="00B656F6" w:rsidP="008F0944">
            <w:pPr>
              <w:snapToGrid w:val="0"/>
              <w:jc w:val="right"/>
              <w:rPr>
                <w:rFonts w:ascii="Calibri" w:hAnsi="Calibri"/>
                <w:sz w:val="18"/>
                <w:szCs w:val="18"/>
              </w:rPr>
            </w:pPr>
            <w:r w:rsidRPr="00451852">
              <w:rPr>
                <w:rFonts w:ascii="Calibri" w:hAnsi="Calibri" w:hint="eastAsia"/>
                <w:sz w:val="18"/>
                <w:szCs w:val="18"/>
              </w:rPr>
              <w:t>c</w:t>
            </w:r>
          </w:p>
        </w:tc>
      </w:tr>
      <w:tr w:rsidR="00B656F6" w:rsidRPr="00451852" w14:paraId="45E62194" w14:textId="77777777" w:rsidTr="008F0944">
        <w:trPr>
          <w:trHeight w:val="75"/>
        </w:trPr>
        <w:tc>
          <w:tcPr>
            <w:tcW w:w="566" w:type="dxa"/>
            <w:vMerge/>
            <w:shd w:val="clear" w:color="auto" w:fill="auto"/>
            <w:textDirection w:val="btLr"/>
          </w:tcPr>
          <w:p w14:paraId="579D17D9" w14:textId="77777777" w:rsidR="00B656F6" w:rsidRPr="00451852" w:rsidRDefault="00B656F6" w:rsidP="008F0944">
            <w:pPr>
              <w:snapToGrid w:val="0"/>
              <w:ind w:left="113" w:right="113"/>
              <w:jc w:val="right"/>
              <w:rPr>
                <w:rFonts w:ascii="Calibri" w:hAnsi="Calibri"/>
                <w:sz w:val="18"/>
                <w:szCs w:val="18"/>
              </w:rPr>
            </w:pPr>
          </w:p>
        </w:tc>
        <w:tc>
          <w:tcPr>
            <w:tcW w:w="2268" w:type="dxa"/>
            <w:shd w:val="clear" w:color="auto" w:fill="auto"/>
          </w:tcPr>
          <w:p w14:paraId="40A8D326" w14:textId="77777777" w:rsidR="00B656F6" w:rsidRPr="00451852" w:rsidRDefault="00B656F6" w:rsidP="008F0944">
            <w:pPr>
              <w:snapToGrid w:val="0"/>
              <w:jc w:val="right"/>
              <w:rPr>
                <w:rFonts w:ascii="Calibri" w:hAnsi="Calibri"/>
                <w:sz w:val="18"/>
                <w:szCs w:val="18"/>
              </w:rPr>
            </w:pPr>
            <w:r>
              <w:rPr>
                <w:rFonts w:ascii="Calibri" w:hAnsi="Calibri" w:cstheme="minorHAnsi"/>
                <w:sz w:val="18"/>
                <w:szCs w:val="18"/>
                <w:lang w:val="en-GB"/>
              </w:rPr>
              <w:t>Sex ratio (Male/Female)</w:t>
            </w:r>
          </w:p>
        </w:tc>
        <w:tc>
          <w:tcPr>
            <w:tcW w:w="0" w:type="auto"/>
            <w:shd w:val="clear" w:color="auto" w:fill="auto"/>
          </w:tcPr>
          <w:p w14:paraId="27B92130" w14:textId="77777777" w:rsidR="00B656F6" w:rsidRPr="00451852" w:rsidRDefault="00B656F6" w:rsidP="008F0944">
            <w:pPr>
              <w:snapToGrid w:val="0"/>
              <w:jc w:val="right"/>
              <w:rPr>
                <w:rFonts w:ascii="Calibri" w:hAnsi="Calibri"/>
                <w:sz w:val="18"/>
                <w:szCs w:val="18"/>
              </w:rPr>
            </w:pPr>
            <w:r w:rsidRPr="00BD1039">
              <w:rPr>
                <w:rFonts w:ascii="Calibri" w:hAnsi="Calibri"/>
                <w:sz w:val="18"/>
                <w:szCs w:val="18"/>
              </w:rPr>
              <w:t>1.7</w:t>
            </w:r>
          </w:p>
        </w:tc>
        <w:tc>
          <w:tcPr>
            <w:tcW w:w="0" w:type="auto"/>
            <w:shd w:val="clear" w:color="auto" w:fill="auto"/>
          </w:tcPr>
          <w:p w14:paraId="043AF3C0" w14:textId="77777777" w:rsidR="00B656F6" w:rsidRPr="00451852" w:rsidRDefault="00B656F6" w:rsidP="008F0944">
            <w:pPr>
              <w:snapToGrid w:val="0"/>
              <w:jc w:val="right"/>
              <w:rPr>
                <w:rFonts w:ascii="Calibri" w:hAnsi="Calibri"/>
                <w:sz w:val="18"/>
                <w:szCs w:val="18"/>
              </w:rPr>
            </w:pPr>
            <w:r w:rsidRPr="00BD1039">
              <w:rPr>
                <w:rFonts w:ascii="Calibri" w:hAnsi="Calibri"/>
                <w:sz w:val="18"/>
                <w:szCs w:val="18"/>
              </w:rPr>
              <w:t>1.7</w:t>
            </w:r>
          </w:p>
        </w:tc>
        <w:tc>
          <w:tcPr>
            <w:tcW w:w="717" w:type="dxa"/>
            <w:shd w:val="clear" w:color="auto" w:fill="auto"/>
          </w:tcPr>
          <w:p w14:paraId="64A5C0E6" w14:textId="77777777" w:rsidR="00B656F6" w:rsidRPr="00451852" w:rsidRDefault="00B656F6" w:rsidP="008F0944">
            <w:pPr>
              <w:snapToGrid w:val="0"/>
              <w:jc w:val="right"/>
              <w:rPr>
                <w:rFonts w:ascii="Calibri" w:hAnsi="Calibri"/>
                <w:sz w:val="18"/>
                <w:szCs w:val="18"/>
              </w:rPr>
            </w:pPr>
            <w:r w:rsidRPr="00451852">
              <w:rPr>
                <w:rFonts w:ascii="Calibri" w:hAnsi="Calibri" w:hint="eastAsia"/>
                <w:sz w:val="18"/>
                <w:szCs w:val="18"/>
              </w:rPr>
              <w:t>d</w:t>
            </w:r>
          </w:p>
        </w:tc>
      </w:tr>
      <w:tr w:rsidR="00B656F6" w:rsidRPr="00451852" w14:paraId="4C67EC79" w14:textId="77777777" w:rsidTr="008F0944">
        <w:tc>
          <w:tcPr>
            <w:tcW w:w="566" w:type="dxa"/>
            <w:vMerge/>
            <w:shd w:val="clear" w:color="auto" w:fill="auto"/>
            <w:textDirection w:val="btLr"/>
          </w:tcPr>
          <w:p w14:paraId="28A3056E" w14:textId="77777777" w:rsidR="00B656F6" w:rsidRPr="00451852" w:rsidRDefault="00B656F6" w:rsidP="008F0944">
            <w:pPr>
              <w:snapToGrid w:val="0"/>
              <w:ind w:left="113" w:right="113"/>
              <w:jc w:val="right"/>
              <w:rPr>
                <w:rFonts w:ascii="Calibri" w:hAnsi="Calibri"/>
                <w:sz w:val="18"/>
                <w:szCs w:val="18"/>
              </w:rPr>
            </w:pPr>
          </w:p>
        </w:tc>
        <w:tc>
          <w:tcPr>
            <w:tcW w:w="2268" w:type="dxa"/>
            <w:shd w:val="clear" w:color="auto" w:fill="E7E6E6" w:themeFill="background2"/>
          </w:tcPr>
          <w:p w14:paraId="11141E90" w14:textId="77777777" w:rsidR="00B656F6" w:rsidRPr="00451852" w:rsidRDefault="00B656F6" w:rsidP="008F0944">
            <w:pPr>
              <w:snapToGrid w:val="0"/>
              <w:jc w:val="right"/>
              <w:rPr>
                <w:rFonts w:ascii="Calibri" w:hAnsi="Calibri"/>
                <w:sz w:val="18"/>
                <w:szCs w:val="18"/>
              </w:rPr>
            </w:pPr>
            <w:r w:rsidRPr="00451852">
              <w:rPr>
                <w:rFonts w:ascii="Calibri" w:hAnsi="Calibri"/>
                <w:sz w:val="18"/>
                <w:szCs w:val="18"/>
              </w:rPr>
              <w:t>Brucellosis</w:t>
            </w:r>
          </w:p>
        </w:tc>
        <w:tc>
          <w:tcPr>
            <w:tcW w:w="0" w:type="auto"/>
            <w:shd w:val="clear" w:color="auto" w:fill="E7E6E6" w:themeFill="background2"/>
          </w:tcPr>
          <w:p w14:paraId="4BE5265F" w14:textId="77777777" w:rsidR="00B656F6" w:rsidRPr="00451852" w:rsidRDefault="00B656F6" w:rsidP="008F0944">
            <w:pPr>
              <w:snapToGrid w:val="0"/>
              <w:jc w:val="right"/>
              <w:rPr>
                <w:rFonts w:ascii="Calibri" w:hAnsi="Calibri"/>
                <w:sz w:val="18"/>
                <w:szCs w:val="18"/>
              </w:rPr>
            </w:pPr>
            <w:r w:rsidRPr="00451852">
              <w:rPr>
                <w:rFonts w:ascii="Calibri" w:hAnsi="Calibri" w:hint="eastAsia"/>
                <w:sz w:val="18"/>
                <w:szCs w:val="18"/>
              </w:rPr>
              <w:t>2</w:t>
            </w:r>
            <w:r w:rsidRPr="00451852">
              <w:rPr>
                <w:rFonts w:ascii="Calibri" w:hAnsi="Calibri"/>
                <w:sz w:val="18"/>
                <w:szCs w:val="18"/>
              </w:rPr>
              <w:t>.5</w:t>
            </w:r>
          </w:p>
        </w:tc>
        <w:tc>
          <w:tcPr>
            <w:tcW w:w="0" w:type="auto"/>
            <w:shd w:val="clear" w:color="auto" w:fill="E7E6E6" w:themeFill="background2"/>
          </w:tcPr>
          <w:p w14:paraId="30FDDCDC" w14:textId="77777777" w:rsidR="00B656F6" w:rsidRPr="00451852" w:rsidRDefault="00B656F6" w:rsidP="008F0944">
            <w:pPr>
              <w:snapToGrid w:val="0"/>
              <w:jc w:val="right"/>
              <w:rPr>
                <w:rFonts w:ascii="Calibri" w:hAnsi="Calibri"/>
                <w:sz w:val="18"/>
                <w:szCs w:val="18"/>
              </w:rPr>
            </w:pPr>
            <w:r w:rsidRPr="00451852">
              <w:rPr>
                <w:rFonts w:ascii="Calibri" w:hAnsi="Calibri" w:hint="eastAsia"/>
                <w:sz w:val="18"/>
                <w:szCs w:val="18"/>
              </w:rPr>
              <w:t>3</w:t>
            </w:r>
            <w:r w:rsidRPr="00451852">
              <w:rPr>
                <w:rFonts w:ascii="Calibri" w:hAnsi="Calibri"/>
                <w:sz w:val="18"/>
                <w:szCs w:val="18"/>
              </w:rPr>
              <w:t>.4</w:t>
            </w:r>
          </w:p>
        </w:tc>
        <w:tc>
          <w:tcPr>
            <w:tcW w:w="717" w:type="dxa"/>
            <w:shd w:val="clear" w:color="auto" w:fill="E7E6E6" w:themeFill="background2"/>
          </w:tcPr>
          <w:p w14:paraId="160EAF4D" w14:textId="77777777" w:rsidR="00B656F6" w:rsidRPr="00451852" w:rsidRDefault="00B656F6" w:rsidP="008F0944">
            <w:pPr>
              <w:snapToGrid w:val="0"/>
              <w:jc w:val="right"/>
              <w:rPr>
                <w:rFonts w:ascii="Calibri" w:hAnsi="Calibri"/>
                <w:sz w:val="18"/>
                <w:szCs w:val="18"/>
              </w:rPr>
            </w:pPr>
            <w:r w:rsidRPr="00451852">
              <w:rPr>
                <w:rFonts w:ascii="Calibri" w:hAnsi="Calibri" w:hint="eastAsia"/>
                <w:sz w:val="18"/>
                <w:szCs w:val="18"/>
              </w:rPr>
              <w:t>c</w:t>
            </w:r>
          </w:p>
        </w:tc>
      </w:tr>
      <w:tr w:rsidR="00B656F6" w:rsidRPr="00451852" w14:paraId="3B666D1D" w14:textId="77777777" w:rsidTr="008F0944">
        <w:tc>
          <w:tcPr>
            <w:tcW w:w="566" w:type="dxa"/>
            <w:vMerge/>
            <w:shd w:val="clear" w:color="auto" w:fill="auto"/>
            <w:textDirection w:val="btLr"/>
          </w:tcPr>
          <w:p w14:paraId="49E7AD15" w14:textId="77777777" w:rsidR="00B656F6" w:rsidRPr="00451852" w:rsidRDefault="00B656F6" w:rsidP="008F0944">
            <w:pPr>
              <w:snapToGrid w:val="0"/>
              <w:ind w:left="113" w:right="113"/>
              <w:jc w:val="right"/>
              <w:rPr>
                <w:rFonts w:ascii="Calibri" w:hAnsi="Calibri"/>
                <w:sz w:val="18"/>
                <w:szCs w:val="18"/>
              </w:rPr>
            </w:pPr>
          </w:p>
        </w:tc>
        <w:tc>
          <w:tcPr>
            <w:tcW w:w="2268" w:type="dxa"/>
            <w:shd w:val="clear" w:color="auto" w:fill="E7E6E6" w:themeFill="background2"/>
          </w:tcPr>
          <w:p w14:paraId="57E7D146" w14:textId="77777777" w:rsidR="00B656F6" w:rsidRPr="00451852" w:rsidRDefault="00B656F6" w:rsidP="008F0944">
            <w:pPr>
              <w:snapToGrid w:val="0"/>
              <w:jc w:val="right"/>
              <w:rPr>
                <w:rFonts w:ascii="Calibri" w:hAnsi="Calibri"/>
                <w:sz w:val="18"/>
                <w:szCs w:val="18"/>
              </w:rPr>
            </w:pPr>
            <w:r w:rsidRPr="00451852">
              <w:rPr>
                <w:rFonts w:ascii="Calibri" w:hAnsi="Calibri"/>
                <w:sz w:val="18"/>
                <w:szCs w:val="18"/>
              </w:rPr>
              <w:t>Dengue</w:t>
            </w:r>
          </w:p>
        </w:tc>
        <w:tc>
          <w:tcPr>
            <w:tcW w:w="0" w:type="auto"/>
            <w:shd w:val="clear" w:color="auto" w:fill="E7E6E6" w:themeFill="background2"/>
          </w:tcPr>
          <w:p w14:paraId="735451AE" w14:textId="77777777" w:rsidR="00B656F6" w:rsidRPr="00451852" w:rsidRDefault="00B656F6" w:rsidP="008F0944">
            <w:pPr>
              <w:snapToGrid w:val="0"/>
              <w:jc w:val="right"/>
              <w:rPr>
                <w:rFonts w:ascii="Calibri" w:hAnsi="Calibri"/>
                <w:sz w:val="18"/>
                <w:szCs w:val="18"/>
              </w:rPr>
            </w:pPr>
            <w:r w:rsidRPr="00451852">
              <w:rPr>
                <w:rFonts w:ascii="Calibri" w:hAnsi="Calibri" w:hint="eastAsia"/>
                <w:sz w:val="18"/>
                <w:szCs w:val="18"/>
              </w:rPr>
              <w:t>0</w:t>
            </w:r>
            <w:r w:rsidRPr="00451852">
              <w:rPr>
                <w:rFonts w:ascii="Calibri" w:hAnsi="Calibri"/>
                <w:sz w:val="18"/>
                <w:szCs w:val="18"/>
              </w:rPr>
              <w:t>.0</w:t>
            </w:r>
          </w:p>
        </w:tc>
        <w:tc>
          <w:tcPr>
            <w:tcW w:w="0" w:type="auto"/>
            <w:shd w:val="clear" w:color="auto" w:fill="E7E6E6" w:themeFill="background2"/>
          </w:tcPr>
          <w:p w14:paraId="04CE6598" w14:textId="77777777" w:rsidR="00B656F6" w:rsidRPr="00451852" w:rsidRDefault="00B656F6" w:rsidP="008F0944">
            <w:pPr>
              <w:snapToGrid w:val="0"/>
              <w:jc w:val="right"/>
              <w:rPr>
                <w:rFonts w:ascii="Calibri" w:hAnsi="Calibri"/>
                <w:sz w:val="18"/>
                <w:szCs w:val="18"/>
              </w:rPr>
            </w:pPr>
            <w:r w:rsidRPr="00451852">
              <w:rPr>
                <w:rFonts w:ascii="Calibri" w:hAnsi="Calibri" w:hint="eastAsia"/>
                <w:sz w:val="18"/>
                <w:szCs w:val="18"/>
              </w:rPr>
              <w:t>0</w:t>
            </w:r>
            <w:r w:rsidRPr="00451852">
              <w:rPr>
                <w:rFonts w:ascii="Calibri" w:hAnsi="Calibri"/>
                <w:sz w:val="18"/>
                <w:szCs w:val="18"/>
              </w:rPr>
              <w:t>.2</w:t>
            </w:r>
          </w:p>
        </w:tc>
        <w:tc>
          <w:tcPr>
            <w:tcW w:w="717" w:type="dxa"/>
            <w:shd w:val="clear" w:color="auto" w:fill="E7E6E6" w:themeFill="background2"/>
          </w:tcPr>
          <w:p w14:paraId="7D1C228D" w14:textId="77777777" w:rsidR="00B656F6" w:rsidRPr="00451852" w:rsidRDefault="00B656F6" w:rsidP="008F0944">
            <w:pPr>
              <w:snapToGrid w:val="0"/>
              <w:jc w:val="right"/>
              <w:rPr>
                <w:rFonts w:ascii="Calibri" w:hAnsi="Calibri"/>
                <w:sz w:val="18"/>
                <w:szCs w:val="18"/>
              </w:rPr>
            </w:pPr>
            <w:r w:rsidRPr="00451852">
              <w:rPr>
                <w:rFonts w:ascii="Calibri" w:hAnsi="Calibri" w:hint="eastAsia"/>
                <w:sz w:val="18"/>
                <w:szCs w:val="18"/>
              </w:rPr>
              <w:t>c</w:t>
            </w:r>
          </w:p>
        </w:tc>
      </w:tr>
      <w:tr w:rsidR="00B656F6" w:rsidRPr="00451852" w14:paraId="64434863" w14:textId="77777777" w:rsidTr="008F0944">
        <w:tc>
          <w:tcPr>
            <w:tcW w:w="566" w:type="dxa"/>
            <w:vMerge/>
            <w:shd w:val="clear" w:color="auto" w:fill="auto"/>
            <w:textDirection w:val="btLr"/>
          </w:tcPr>
          <w:p w14:paraId="6374CEF8" w14:textId="77777777" w:rsidR="00B656F6" w:rsidRPr="00451852" w:rsidRDefault="00B656F6" w:rsidP="008F0944">
            <w:pPr>
              <w:snapToGrid w:val="0"/>
              <w:ind w:left="113" w:right="113"/>
              <w:jc w:val="right"/>
              <w:rPr>
                <w:rFonts w:ascii="Calibri" w:hAnsi="Calibri"/>
                <w:sz w:val="18"/>
                <w:szCs w:val="18"/>
              </w:rPr>
            </w:pPr>
          </w:p>
        </w:tc>
        <w:tc>
          <w:tcPr>
            <w:tcW w:w="2268" w:type="dxa"/>
            <w:shd w:val="clear" w:color="auto" w:fill="E7E6E6" w:themeFill="background2"/>
          </w:tcPr>
          <w:p w14:paraId="1334ED58" w14:textId="77777777" w:rsidR="00B656F6" w:rsidRPr="00451852" w:rsidRDefault="00B656F6" w:rsidP="008F0944">
            <w:pPr>
              <w:snapToGrid w:val="0"/>
              <w:jc w:val="right"/>
              <w:rPr>
                <w:rFonts w:ascii="Calibri" w:hAnsi="Calibri"/>
                <w:sz w:val="18"/>
                <w:szCs w:val="18"/>
              </w:rPr>
            </w:pPr>
            <w:r w:rsidRPr="00451852">
              <w:rPr>
                <w:rFonts w:ascii="Calibri" w:hAnsi="Calibri"/>
                <w:sz w:val="18"/>
                <w:szCs w:val="18"/>
              </w:rPr>
              <w:t>Rabies</w:t>
            </w:r>
          </w:p>
        </w:tc>
        <w:tc>
          <w:tcPr>
            <w:tcW w:w="0" w:type="auto"/>
            <w:shd w:val="clear" w:color="auto" w:fill="E7E6E6" w:themeFill="background2"/>
          </w:tcPr>
          <w:p w14:paraId="7081F5FF" w14:textId="77777777" w:rsidR="00B656F6" w:rsidRPr="00451852" w:rsidRDefault="00B656F6" w:rsidP="008F0944">
            <w:pPr>
              <w:snapToGrid w:val="0"/>
              <w:jc w:val="right"/>
              <w:rPr>
                <w:rFonts w:ascii="Calibri" w:hAnsi="Calibri"/>
                <w:sz w:val="18"/>
                <w:szCs w:val="18"/>
              </w:rPr>
            </w:pPr>
            <w:r w:rsidRPr="00451852">
              <w:rPr>
                <w:rFonts w:ascii="Calibri" w:hAnsi="Calibri" w:hint="eastAsia"/>
                <w:sz w:val="18"/>
                <w:szCs w:val="18"/>
              </w:rPr>
              <w:t>0</w:t>
            </w:r>
            <w:r w:rsidRPr="00451852">
              <w:rPr>
                <w:rFonts w:ascii="Calibri" w:hAnsi="Calibri"/>
                <w:sz w:val="18"/>
                <w:szCs w:val="18"/>
              </w:rPr>
              <w:t>.2</w:t>
            </w:r>
          </w:p>
        </w:tc>
        <w:tc>
          <w:tcPr>
            <w:tcW w:w="0" w:type="auto"/>
            <w:shd w:val="clear" w:color="auto" w:fill="E7E6E6" w:themeFill="background2"/>
          </w:tcPr>
          <w:p w14:paraId="44C73E35" w14:textId="77777777" w:rsidR="00B656F6" w:rsidRPr="00451852" w:rsidRDefault="00B656F6" w:rsidP="008F0944">
            <w:pPr>
              <w:snapToGrid w:val="0"/>
              <w:jc w:val="right"/>
              <w:rPr>
                <w:rFonts w:ascii="Calibri" w:hAnsi="Calibri"/>
                <w:sz w:val="18"/>
                <w:szCs w:val="18"/>
              </w:rPr>
            </w:pPr>
            <w:r w:rsidRPr="00451852">
              <w:rPr>
                <w:rFonts w:ascii="Calibri" w:hAnsi="Calibri" w:hint="eastAsia"/>
                <w:sz w:val="18"/>
                <w:szCs w:val="18"/>
              </w:rPr>
              <w:t>0</w:t>
            </w:r>
            <w:r w:rsidRPr="00451852">
              <w:rPr>
                <w:rFonts w:ascii="Calibri" w:hAnsi="Calibri"/>
                <w:sz w:val="18"/>
                <w:szCs w:val="18"/>
              </w:rPr>
              <w:t>.1</w:t>
            </w:r>
          </w:p>
        </w:tc>
        <w:tc>
          <w:tcPr>
            <w:tcW w:w="717" w:type="dxa"/>
            <w:shd w:val="clear" w:color="auto" w:fill="E7E6E6" w:themeFill="background2"/>
          </w:tcPr>
          <w:p w14:paraId="2AAA59C9" w14:textId="77777777" w:rsidR="00B656F6" w:rsidRPr="00451852" w:rsidRDefault="00B656F6" w:rsidP="008F0944">
            <w:pPr>
              <w:snapToGrid w:val="0"/>
              <w:jc w:val="right"/>
              <w:rPr>
                <w:rFonts w:ascii="Calibri" w:hAnsi="Calibri"/>
                <w:sz w:val="18"/>
                <w:szCs w:val="18"/>
              </w:rPr>
            </w:pPr>
            <w:r w:rsidRPr="00451852">
              <w:rPr>
                <w:rFonts w:ascii="Calibri" w:hAnsi="Calibri" w:hint="eastAsia"/>
                <w:sz w:val="18"/>
                <w:szCs w:val="18"/>
              </w:rPr>
              <w:t>c</w:t>
            </w:r>
          </w:p>
        </w:tc>
      </w:tr>
      <w:tr w:rsidR="00B656F6" w:rsidRPr="00451852" w14:paraId="500F5745" w14:textId="77777777" w:rsidTr="008F0944">
        <w:tc>
          <w:tcPr>
            <w:tcW w:w="566" w:type="dxa"/>
            <w:vMerge/>
            <w:shd w:val="clear" w:color="auto" w:fill="auto"/>
            <w:textDirection w:val="btLr"/>
          </w:tcPr>
          <w:p w14:paraId="043CEC0A" w14:textId="77777777" w:rsidR="00B656F6" w:rsidRPr="00451852" w:rsidRDefault="00B656F6" w:rsidP="008F0944">
            <w:pPr>
              <w:snapToGrid w:val="0"/>
              <w:ind w:left="113" w:right="113"/>
              <w:jc w:val="right"/>
              <w:rPr>
                <w:rFonts w:ascii="Calibri" w:hAnsi="Calibri"/>
                <w:sz w:val="18"/>
                <w:szCs w:val="18"/>
              </w:rPr>
            </w:pPr>
          </w:p>
        </w:tc>
        <w:tc>
          <w:tcPr>
            <w:tcW w:w="2268" w:type="dxa"/>
            <w:shd w:val="clear" w:color="auto" w:fill="E7E6E6" w:themeFill="background2"/>
          </w:tcPr>
          <w:p w14:paraId="3037E897" w14:textId="77777777" w:rsidR="00B656F6" w:rsidRPr="00451852" w:rsidRDefault="00B656F6" w:rsidP="008F0944">
            <w:pPr>
              <w:snapToGrid w:val="0"/>
              <w:jc w:val="right"/>
              <w:rPr>
                <w:rFonts w:ascii="Calibri" w:hAnsi="Calibri"/>
                <w:sz w:val="18"/>
                <w:szCs w:val="18"/>
              </w:rPr>
            </w:pPr>
            <w:r w:rsidRPr="00451852">
              <w:rPr>
                <w:rFonts w:ascii="Calibri" w:hAnsi="Calibri"/>
                <w:sz w:val="18"/>
                <w:szCs w:val="18"/>
              </w:rPr>
              <w:t>Schistosomiasis</w:t>
            </w:r>
          </w:p>
        </w:tc>
        <w:tc>
          <w:tcPr>
            <w:tcW w:w="0" w:type="auto"/>
            <w:shd w:val="clear" w:color="auto" w:fill="E7E6E6" w:themeFill="background2"/>
          </w:tcPr>
          <w:p w14:paraId="6BE2C218" w14:textId="77777777" w:rsidR="00B656F6" w:rsidRPr="00451852" w:rsidRDefault="00B656F6" w:rsidP="008F0944">
            <w:pPr>
              <w:snapToGrid w:val="0"/>
              <w:jc w:val="right"/>
              <w:rPr>
                <w:rFonts w:ascii="Calibri" w:hAnsi="Calibri"/>
                <w:sz w:val="18"/>
                <w:szCs w:val="18"/>
              </w:rPr>
            </w:pPr>
            <w:r w:rsidRPr="00451852">
              <w:rPr>
                <w:rFonts w:ascii="Calibri" w:hAnsi="Calibri" w:hint="eastAsia"/>
                <w:sz w:val="18"/>
                <w:szCs w:val="18"/>
              </w:rPr>
              <w:t>0</w:t>
            </w:r>
            <w:r w:rsidRPr="00451852">
              <w:rPr>
                <w:rFonts w:ascii="Calibri" w:hAnsi="Calibri"/>
                <w:sz w:val="18"/>
                <w:szCs w:val="18"/>
              </w:rPr>
              <w:t>.3</w:t>
            </w:r>
          </w:p>
        </w:tc>
        <w:tc>
          <w:tcPr>
            <w:tcW w:w="0" w:type="auto"/>
            <w:shd w:val="clear" w:color="auto" w:fill="E7E6E6" w:themeFill="background2"/>
          </w:tcPr>
          <w:p w14:paraId="753CF95E" w14:textId="77777777" w:rsidR="00B656F6" w:rsidRPr="00451852" w:rsidRDefault="00B656F6" w:rsidP="008F0944">
            <w:pPr>
              <w:snapToGrid w:val="0"/>
              <w:jc w:val="right"/>
              <w:rPr>
                <w:rFonts w:ascii="Calibri" w:hAnsi="Calibri"/>
                <w:sz w:val="18"/>
                <w:szCs w:val="18"/>
              </w:rPr>
            </w:pPr>
            <w:r w:rsidRPr="00451852">
              <w:rPr>
                <w:rFonts w:ascii="Calibri" w:hAnsi="Calibri" w:hint="eastAsia"/>
                <w:sz w:val="18"/>
                <w:szCs w:val="18"/>
              </w:rPr>
              <w:t>0</w:t>
            </w:r>
            <w:r w:rsidRPr="00451852">
              <w:rPr>
                <w:rFonts w:ascii="Calibri" w:hAnsi="Calibri"/>
                <w:sz w:val="18"/>
                <w:szCs w:val="18"/>
              </w:rPr>
              <w:t>.2</w:t>
            </w:r>
          </w:p>
        </w:tc>
        <w:tc>
          <w:tcPr>
            <w:tcW w:w="717" w:type="dxa"/>
            <w:shd w:val="clear" w:color="auto" w:fill="E7E6E6" w:themeFill="background2"/>
          </w:tcPr>
          <w:p w14:paraId="3F3785A8" w14:textId="77777777" w:rsidR="00B656F6" w:rsidRPr="00451852" w:rsidRDefault="00B656F6" w:rsidP="008F0944">
            <w:pPr>
              <w:snapToGrid w:val="0"/>
              <w:jc w:val="right"/>
              <w:rPr>
                <w:rFonts w:ascii="Calibri" w:hAnsi="Calibri"/>
                <w:sz w:val="18"/>
                <w:szCs w:val="18"/>
              </w:rPr>
            </w:pPr>
            <w:r w:rsidRPr="00451852">
              <w:rPr>
                <w:rFonts w:ascii="Calibri" w:hAnsi="Calibri"/>
                <w:sz w:val="18"/>
                <w:szCs w:val="18"/>
              </w:rPr>
              <w:t>c</w:t>
            </w:r>
          </w:p>
        </w:tc>
      </w:tr>
      <w:tr w:rsidR="00B656F6" w:rsidRPr="00451852" w14:paraId="687F85E1" w14:textId="77777777" w:rsidTr="008F0944">
        <w:tc>
          <w:tcPr>
            <w:tcW w:w="566" w:type="dxa"/>
            <w:vMerge w:val="restart"/>
            <w:shd w:val="clear" w:color="auto" w:fill="auto"/>
            <w:textDirection w:val="btLr"/>
          </w:tcPr>
          <w:p w14:paraId="7793D8B7" w14:textId="77777777" w:rsidR="00B656F6" w:rsidRPr="00451852" w:rsidRDefault="00B656F6" w:rsidP="008F0944">
            <w:pPr>
              <w:snapToGrid w:val="0"/>
              <w:ind w:left="113" w:right="113"/>
              <w:jc w:val="right"/>
              <w:rPr>
                <w:rFonts w:ascii="Calibri" w:hAnsi="Calibri"/>
                <w:sz w:val="18"/>
                <w:szCs w:val="18"/>
              </w:rPr>
            </w:pPr>
            <w:r w:rsidRPr="00451852">
              <w:rPr>
                <w:rFonts w:ascii="Calibri" w:hAnsi="Calibri" w:hint="eastAsia"/>
                <w:sz w:val="18"/>
                <w:szCs w:val="18"/>
              </w:rPr>
              <w:t>N</w:t>
            </w:r>
            <w:r>
              <w:rPr>
                <w:rFonts w:ascii="Calibri" w:hAnsi="Calibri"/>
                <w:sz w:val="18"/>
                <w:szCs w:val="18"/>
              </w:rPr>
              <w:t>oncommunicable diseases and mental health</w:t>
            </w:r>
          </w:p>
        </w:tc>
        <w:tc>
          <w:tcPr>
            <w:tcW w:w="2268" w:type="dxa"/>
            <w:shd w:val="clear" w:color="auto" w:fill="auto"/>
          </w:tcPr>
          <w:p w14:paraId="7DEDDED6" w14:textId="77777777" w:rsidR="00B656F6" w:rsidRPr="00451852" w:rsidRDefault="00B656F6" w:rsidP="008F0944">
            <w:pPr>
              <w:snapToGrid w:val="0"/>
              <w:jc w:val="right"/>
              <w:rPr>
                <w:rFonts w:ascii="Calibri" w:hAnsi="Calibri"/>
                <w:sz w:val="18"/>
                <w:szCs w:val="18"/>
              </w:rPr>
            </w:pPr>
            <w:r w:rsidRPr="00451852">
              <w:rPr>
                <w:rFonts w:ascii="Calibri" w:hAnsi="Calibri"/>
                <w:sz w:val="18"/>
                <w:szCs w:val="18"/>
              </w:rPr>
              <w:t>Premature death rate (per 100,000 population)</w:t>
            </w:r>
          </w:p>
        </w:tc>
        <w:tc>
          <w:tcPr>
            <w:tcW w:w="0" w:type="auto"/>
            <w:shd w:val="clear" w:color="auto" w:fill="auto"/>
          </w:tcPr>
          <w:p w14:paraId="298AA969" w14:textId="77777777" w:rsidR="00B656F6" w:rsidRPr="00451852" w:rsidRDefault="00B656F6" w:rsidP="008F0944">
            <w:pPr>
              <w:snapToGrid w:val="0"/>
              <w:jc w:val="right"/>
              <w:rPr>
                <w:rFonts w:ascii="Calibri" w:hAnsi="Calibri"/>
                <w:sz w:val="18"/>
                <w:szCs w:val="18"/>
              </w:rPr>
            </w:pPr>
          </w:p>
        </w:tc>
        <w:tc>
          <w:tcPr>
            <w:tcW w:w="0" w:type="auto"/>
            <w:shd w:val="clear" w:color="auto" w:fill="auto"/>
          </w:tcPr>
          <w:p w14:paraId="4791E9C0" w14:textId="77777777" w:rsidR="00B656F6" w:rsidRPr="00451852" w:rsidRDefault="00B656F6" w:rsidP="008F0944">
            <w:pPr>
              <w:snapToGrid w:val="0"/>
              <w:jc w:val="right"/>
              <w:rPr>
                <w:rFonts w:ascii="Calibri" w:hAnsi="Calibri"/>
                <w:sz w:val="18"/>
                <w:szCs w:val="18"/>
              </w:rPr>
            </w:pPr>
          </w:p>
        </w:tc>
        <w:tc>
          <w:tcPr>
            <w:tcW w:w="717" w:type="dxa"/>
            <w:shd w:val="clear" w:color="auto" w:fill="auto"/>
          </w:tcPr>
          <w:p w14:paraId="43C144F7" w14:textId="77777777" w:rsidR="00B656F6" w:rsidRPr="00451852" w:rsidRDefault="00B656F6" w:rsidP="008F0944">
            <w:pPr>
              <w:snapToGrid w:val="0"/>
              <w:jc w:val="right"/>
              <w:rPr>
                <w:rFonts w:ascii="Calibri" w:hAnsi="Calibri"/>
                <w:sz w:val="18"/>
                <w:szCs w:val="18"/>
              </w:rPr>
            </w:pPr>
          </w:p>
        </w:tc>
      </w:tr>
      <w:tr w:rsidR="00B656F6" w:rsidRPr="00451852" w14:paraId="0210179D" w14:textId="77777777" w:rsidTr="008F0944">
        <w:tc>
          <w:tcPr>
            <w:tcW w:w="566" w:type="dxa"/>
            <w:vMerge/>
            <w:shd w:val="clear" w:color="auto" w:fill="auto"/>
            <w:textDirection w:val="btLr"/>
          </w:tcPr>
          <w:p w14:paraId="7F3FF3E2" w14:textId="77777777" w:rsidR="00B656F6" w:rsidRPr="00451852" w:rsidRDefault="00B656F6" w:rsidP="008F0944">
            <w:pPr>
              <w:snapToGrid w:val="0"/>
              <w:ind w:left="113" w:right="113"/>
              <w:jc w:val="right"/>
              <w:rPr>
                <w:rFonts w:ascii="Calibri" w:hAnsi="Calibri"/>
                <w:sz w:val="18"/>
                <w:szCs w:val="18"/>
              </w:rPr>
            </w:pPr>
          </w:p>
        </w:tc>
        <w:tc>
          <w:tcPr>
            <w:tcW w:w="2268" w:type="dxa"/>
            <w:shd w:val="clear" w:color="auto" w:fill="E7E6E6" w:themeFill="background2"/>
          </w:tcPr>
          <w:p w14:paraId="537C1B90" w14:textId="77777777" w:rsidR="00B656F6" w:rsidRPr="00451852" w:rsidRDefault="00B656F6" w:rsidP="008F0944">
            <w:pPr>
              <w:snapToGrid w:val="0"/>
              <w:jc w:val="right"/>
              <w:rPr>
                <w:rFonts w:ascii="Calibri" w:hAnsi="Calibri"/>
                <w:sz w:val="18"/>
                <w:szCs w:val="18"/>
              </w:rPr>
            </w:pPr>
            <w:r w:rsidRPr="00451852">
              <w:rPr>
                <w:rFonts w:ascii="Calibri" w:hAnsi="Calibri"/>
                <w:sz w:val="18"/>
                <w:szCs w:val="18"/>
              </w:rPr>
              <w:t>Cardiovascular disease</w:t>
            </w:r>
          </w:p>
        </w:tc>
        <w:tc>
          <w:tcPr>
            <w:tcW w:w="0" w:type="auto"/>
            <w:shd w:val="clear" w:color="auto" w:fill="E7E6E6" w:themeFill="background2"/>
          </w:tcPr>
          <w:p w14:paraId="5B3A43E5" w14:textId="77777777" w:rsidR="00B656F6" w:rsidRPr="00451852" w:rsidRDefault="00B656F6" w:rsidP="008F0944">
            <w:pPr>
              <w:snapToGrid w:val="0"/>
              <w:jc w:val="right"/>
              <w:rPr>
                <w:rFonts w:ascii="Calibri" w:hAnsi="Calibri"/>
                <w:sz w:val="18"/>
                <w:szCs w:val="18"/>
              </w:rPr>
            </w:pPr>
            <w:r w:rsidRPr="00451852">
              <w:rPr>
                <w:rFonts w:ascii="Calibri" w:hAnsi="Calibri" w:hint="eastAsia"/>
                <w:sz w:val="18"/>
                <w:szCs w:val="18"/>
              </w:rPr>
              <w:t>320.0</w:t>
            </w:r>
          </w:p>
        </w:tc>
        <w:tc>
          <w:tcPr>
            <w:tcW w:w="0" w:type="auto"/>
            <w:shd w:val="clear" w:color="auto" w:fill="E7E6E6" w:themeFill="background2"/>
          </w:tcPr>
          <w:p w14:paraId="654B8733" w14:textId="77777777" w:rsidR="00B656F6" w:rsidRPr="00451852" w:rsidRDefault="00B656F6" w:rsidP="008F0944">
            <w:pPr>
              <w:snapToGrid w:val="0"/>
              <w:jc w:val="right"/>
              <w:rPr>
                <w:rFonts w:ascii="Calibri" w:hAnsi="Calibri"/>
                <w:sz w:val="18"/>
                <w:szCs w:val="18"/>
              </w:rPr>
            </w:pPr>
            <w:r w:rsidRPr="00451852">
              <w:rPr>
                <w:rFonts w:ascii="Calibri" w:hAnsi="Calibri" w:hint="eastAsia"/>
                <w:sz w:val="18"/>
                <w:szCs w:val="18"/>
              </w:rPr>
              <w:t>290.8</w:t>
            </w:r>
          </w:p>
        </w:tc>
        <w:tc>
          <w:tcPr>
            <w:tcW w:w="717" w:type="dxa"/>
            <w:shd w:val="clear" w:color="auto" w:fill="E7E6E6" w:themeFill="background2"/>
          </w:tcPr>
          <w:p w14:paraId="1D8E95A8" w14:textId="77777777" w:rsidR="00B656F6" w:rsidRPr="00451852" w:rsidRDefault="00B656F6" w:rsidP="008F0944">
            <w:pPr>
              <w:snapToGrid w:val="0"/>
              <w:jc w:val="right"/>
              <w:rPr>
                <w:rFonts w:ascii="Calibri" w:hAnsi="Calibri"/>
                <w:sz w:val="18"/>
                <w:szCs w:val="18"/>
              </w:rPr>
            </w:pPr>
            <w:r w:rsidRPr="00451852">
              <w:rPr>
                <w:rFonts w:ascii="Calibri" w:hAnsi="Calibri" w:hint="eastAsia"/>
                <w:sz w:val="18"/>
                <w:szCs w:val="18"/>
              </w:rPr>
              <w:t>d</w:t>
            </w:r>
          </w:p>
        </w:tc>
      </w:tr>
      <w:tr w:rsidR="00B656F6" w:rsidRPr="00451852" w14:paraId="0E068612" w14:textId="77777777" w:rsidTr="008F0944">
        <w:tc>
          <w:tcPr>
            <w:tcW w:w="566" w:type="dxa"/>
            <w:vMerge/>
            <w:shd w:val="clear" w:color="auto" w:fill="auto"/>
            <w:textDirection w:val="btLr"/>
          </w:tcPr>
          <w:p w14:paraId="3E66A3BF" w14:textId="77777777" w:rsidR="00B656F6" w:rsidRPr="00451852" w:rsidRDefault="00B656F6" w:rsidP="008F0944">
            <w:pPr>
              <w:snapToGrid w:val="0"/>
              <w:ind w:left="113" w:right="113"/>
              <w:jc w:val="right"/>
              <w:rPr>
                <w:rFonts w:ascii="Calibri" w:hAnsi="Calibri" w:cstheme="minorHAnsi"/>
                <w:sz w:val="18"/>
                <w:szCs w:val="18"/>
                <w:lang w:val="en-GB"/>
              </w:rPr>
            </w:pPr>
          </w:p>
        </w:tc>
        <w:tc>
          <w:tcPr>
            <w:tcW w:w="2268" w:type="dxa"/>
          </w:tcPr>
          <w:p w14:paraId="02A4BBB2" w14:textId="77777777" w:rsidR="00B656F6" w:rsidRPr="00451852" w:rsidRDefault="00B656F6" w:rsidP="008F0944">
            <w:pPr>
              <w:snapToGrid w:val="0"/>
              <w:jc w:val="right"/>
              <w:rPr>
                <w:rFonts w:ascii="Calibri" w:hAnsi="Calibri" w:cstheme="minorHAnsi"/>
                <w:sz w:val="18"/>
                <w:szCs w:val="18"/>
                <w:lang w:val="en-GB"/>
              </w:rPr>
            </w:pPr>
            <w:r w:rsidRPr="00451852">
              <w:rPr>
                <w:rFonts w:ascii="Calibri" w:hAnsi="Calibri" w:cstheme="minorHAnsi"/>
                <w:sz w:val="18"/>
                <w:szCs w:val="18"/>
                <w:lang w:val="en-GB"/>
              </w:rPr>
              <w:t>Male</w:t>
            </w:r>
          </w:p>
        </w:tc>
        <w:tc>
          <w:tcPr>
            <w:tcW w:w="0" w:type="auto"/>
          </w:tcPr>
          <w:p w14:paraId="04C155F6" w14:textId="77777777" w:rsidR="00B656F6" w:rsidRPr="00451852" w:rsidRDefault="00B656F6" w:rsidP="008F0944">
            <w:pPr>
              <w:snapToGrid w:val="0"/>
              <w:jc w:val="right"/>
              <w:rPr>
                <w:rFonts w:ascii="Calibri" w:hAnsi="Calibri"/>
                <w:sz w:val="18"/>
                <w:szCs w:val="18"/>
              </w:rPr>
            </w:pPr>
            <w:r w:rsidRPr="00451852">
              <w:rPr>
                <w:rFonts w:ascii="Calibri" w:hAnsi="Calibri" w:hint="eastAsia"/>
                <w:sz w:val="18"/>
                <w:szCs w:val="18"/>
              </w:rPr>
              <w:t>350.7</w:t>
            </w:r>
          </w:p>
        </w:tc>
        <w:tc>
          <w:tcPr>
            <w:tcW w:w="0" w:type="auto"/>
          </w:tcPr>
          <w:p w14:paraId="080B7DFD" w14:textId="77777777" w:rsidR="00B656F6" w:rsidRPr="00451852" w:rsidRDefault="00B656F6" w:rsidP="008F0944">
            <w:pPr>
              <w:snapToGrid w:val="0"/>
              <w:jc w:val="right"/>
              <w:rPr>
                <w:rFonts w:ascii="Calibri" w:hAnsi="Calibri"/>
                <w:sz w:val="18"/>
                <w:szCs w:val="18"/>
              </w:rPr>
            </w:pPr>
            <w:r w:rsidRPr="00451852">
              <w:rPr>
                <w:rFonts w:ascii="Calibri" w:hAnsi="Calibri" w:hint="eastAsia"/>
                <w:sz w:val="18"/>
                <w:szCs w:val="18"/>
              </w:rPr>
              <w:t>332.1</w:t>
            </w:r>
          </w:p>
        </w:tc>
        <w:tc>
          <w:tcPr>
            <w:tcW w:w="717" w:type="dxa"/>
          </w:tcPr>
          <w:p w14:paraId="3BECFF2F" w14:textId="77777777" w:rsidR="00B656F6" w:rsidRPr="00451852" w:rsidRDefault="00B656F6" w:rsidP="008F0944">
            <w:pPr>
              <w:snapToGrid w:val="0"/>
              <w:jc w:val="right"/>
              <w:rPr>
                <w:rFonts w:ascii="Calibri" w:hAnsi="Calibri"/>
                <w:sz w:val="18"/>
                <w:szCs w:val="18"/>
              </w:rPr>
            </w:pPr>
            <w:r w:rsidRPr="00451852">
              <w:rPr>
                <w:rFonts w:ascii="Calibri" w:hAnsi="Calibri" w:hint="eastAsia"/>
                <w:sz w:val="18"/>
                <w:szCs w:val="18"/>
              </w:rPr>
              <w:t>d</w:t>
            </w:r>
          </w:p>
        </w:tc>
      </w:tr>
      <w:tr w:rsidR="00B656F6" w:rsidRPr="00451852" w14:paraId="7FA43AA7" w14:textId="77777777" w:rsidTr="008F0944">
        <w:tc>
          <w:tcPr>
            <w:tcW w:w="566" w:type="dxa"/>
            <w:vMerge/>
            <w:shd w:val="clear" w:color="auto" w:fill="auto"/>
            <w:textDirection w:val="btLr"/>
          </w:tcPr>
          <w:p w14:paraId="2B5224E0" w14:textId="77777777" w:rsidR="00B656F6" w:rsidRPr="00451852" w:rsidRDefault="00B656F6" w:rsidP="008F0944">
            <w:pPr>
              <w:snapToGrid w:val="0"/>
              <w:ind w:left="113" w:right="113"/>
              <w:jc w:val="right"/>
              <w:rPr>
                <w:rFonts w:ascii="Calibri" w:hAnsi="Calibri" w:cstheme="minorHAnsi"/>
                <w:sz w:val="18"/>
                <w:szCs w:val="18"/>
                <w:lang w:val="en-GB"/>
              </w:rPr>
            </w:pPr>
          </w:p>
        </w:tc>
        <w:tc>
          <w:tcPr>
            <w:tcW w:w="2268" w:type="dxa"/>
          </w:tcPr>
          <w:p w14:paraId="095D7208" w14:textId="77777777" w:rsidR="00B656F6" w:rsidRPr="00451852" w:rsidRDefault="00B656F6" w:rsidP="008F0944">
            <w:pPr>
              <w:snapToGrid w:val="0"/>
              <w:jc w:val="right"/>
              <w:rPr>
                <w:rFonts w:ascii="Calibri" w:hAnsi="Calibri" w:cstheme="minorHAnsi"/>
                <w:sz w:val="18"/>
                <w:szCs w:val="18"/>
                <w:lang w:val="en-GB"/>
              </w:rPr>
            </w:pPr>
            <w:r w:rsidRPr="00451852">
              <w:rPr>
                <w:rFonts w:ascii="Calibri" w:hAnsi="Calibri" w:cstheme="minorHAnsi"/>
                <w:sz w:val="18"/>
                <w:szCs w:val="18"/>
                <w:lang w:val="en-GB"/>
              </w:rPr>
              <w:t>Female</w:t>
            </w:r>
          </w:p>
        </w:tc>
        <w:tc>
          <w:tcPr>
            <w:tcW w:w="0" w:type="auto"/>
          </w:tcPr>
          <w:p w14:paraId="60EC4969" w14:textId="77777777" w:rsidR="00B656F6" w:rsidRPr="00451852" w:rsidRDefault="00B656F6" w:rsidP="008F0944">
            <w:pPr>
              <w:snapToGrid w:val="0"/>
              <w:jc w:val="right"/>
              <w:rPr>
                <w:rFonts w:ascii="Calibri" w:hAnsi="Calibri"/>
                <w:sz w:val="18"/>
                <w:szCs w:val="18"/>
              </w:rPr>
            </w:pPr>
            <w:r w:rsidRPr="00451852">
              <w:rPr>
                <w:rFonts w:ascii="Calibri" w:hAnsi="Calibri" w:hint="eastAsia"/>
                <w:sz w:val="18"/>
                <w:szCs w:val="18"/>
              </w:rPr>
              <w:t>287.1</w:t>
            </w:r>
          </w:p>
        </w:tc>
        <w:tc>
          <w:tcPr>
            <w:tcW w:w="0" w:type="auto"/>
          </w:tcPr>
          <w:p w14:paraId="63C93D4D" w14:textId="77777777" w:rsidR="00B656F6" w:rsidRPr="00451852" w:rsidRDefault="00B656F6" w:rsidP="008F0944">
            <w:pPr>
              <w:snapToGrid w:val="0"/>
              <w:jc w:val="right"/>
              <w:rPr>
                <w:rFonts w:ascii="Calibri" w:hAnsi="Calibri"/>
                <w:sz w:val="18"/>
                <w:szCs w:val="18"/>
              </w:rPr>
            </w:pPr>
            <w:r w:rsidRPr="00451852">
              <w:rPr>
                <w:rFonts w:ascii="Calibri" w:hAnsi="Calibri" w:hint="eastAsia"/>
                <w:sz w:val="18"/>
                <w:szCs w:val="18"/>
              </w:rPr>
              <w:t>247.0</w:t>
            </w:r>
          </w:p>
        </w:tc>
        <w:tc>
          <w:tcPr>
            <w:tcW w:w="717" w:type="dxa"/>
          </w:tcPr>
          <w:p w14:paraId="3A418BFD" w14:textId="77777777" w:rsidR="00B656F6" w:rsidRPr="00451852" w:rsidRDefault="00B656F6" w:rsidP="008F0944">
            <w:pPr>
              <w:snapToGrid w:val="0"/>
              <w:jc w:val="right"/>
              <w:rPr>
                <w:rFonts w:ascii="Calibri" w:hAnsi="Calibri"/>
                <w:sz w:val="18"/>
                <w:szCs w:val="18"/>
              </w:rPr>
            </w:pPr>
            <w:r w:rsidRPr="00451852">
              <w:rPr>
                <w:rFonts w:ascii="Calibri" w:hAnsi="Calibri" w:hint="eastAsia"/>
                <w:sz w:val="18"/>
                <w:szCs w:val="18"/>
              </w:rPr>
              <w:t>d</w:t>
            </w:r>
          </w:p>
        </w:tc>
      </w:tr>
      <w:tr w:rsidR="00B656F6" w:rsidRPr="00451852" w14:paraId="675A2B0D" w14:textId="77777777" w:rsidTr="008F0944">
        <w:tc>
          <w:tcPr>
            <w:tcW w:w="566" w:type="dxa"/>
            <w:vMerge/>
            <w:shd w:val="clear" w:color="auto" w:fill="auto"/>
            <w:textDirection w:val="btLr"/>
          </w:tcPr>
          <w:p w14:paraId="5A6B1F63" w14:textId="77777777" w:rsidR="00B656F6" w:rsidRPr="00451852" w:rsidRDefault="00B656F6" w:rsidP="008F0944">
            <w:pPr>
              <w:snapToGrid w:val="0"/>
              <w:ind w:left="113" w:right="113"/>
              <w:jc w:val="right"/>
              <w:rPr>
                <w:rFonts w:ascii="Calibri" w:hAnsi="Calibri"/>
                <w:sz w:val="18"/>
                <w:szCs w:val="18"/>
              </w:rPr>
            </w:pPr>
          </w:p>
        </w:tc>
        <w:tc>
          <w:tcPr>
            <w:tcW w:w="2268" w:type="dxa"/>
            <w:shd w:val="clear" w:color="auto" w:fill="E7E6E6" w:themeFill="background2"/>
          </w:tcPr>
          <w:p w14:paraId="5AA00995" w14:textId="77777777" w:rsidR="00B656F6" w:rsidRPr="00451852" w:rsidRDefault="00B656F6" w:rsidP="008F0944">
            <w:pPr>
              <w:snapToGrid w:val="0"/>
              <w:jc w:val="right"/>
              <w:rPr>
                <w:rFonts w:ascii="Calibri" w:hAnsi="Calibri"/>
                <w:sz w:val="18"/>
                <w:szCs w:val="18"/>
              </w:rPr>
            </w:pPr>
            <w:r w:rsidRPr="00451852">
              <w:rPr>
                <w:rFonts w:ascii="Calibri" w:hAnsi="Calibri"/>
                <w:sz w:val="18"/>
                <w:szCs w:val="18"/>
              </w:rPr>
              <w:t>Neoplasm</w:t>
            </w:r>
          </w:p>
        </w:tc>
        <w:tc>
          <w:tcPr>
            <w:tcW w:w="0" w:type="auto"/>
            <w:shd w:val="clear" w:color="auto" w:fill="E7E6E6" w:themeFill="background2"/>
          </w:tcPr>
          <w:p w14:paraId="489C7331" w14:textId="77777777" w:rsidR="00B656F6" w:rsidRPr="00451852" w:rsidRDefault="00B656F6" w:rsidP="008F0944">
            <w:pPr>
              <w:snapToGrid w:val="0"/>
              <w:jc w:val="right"/>
              <w:rPr>
                <w:rFonts w:ascii="Calibri" w:hAnsi="Calibri"/>
                <w:sz w:val="18"/>
                <w:szCs w:val="18"/>
              </w:rPr>
            </w:pPr>
            <w:r w:rsidRPr="00451852">
              <w:rPr>
                <w:rFonts w:ascii="Calibri" w:hAnsi="Calibri" w:hint="eastAsia"/>
                <w:sz w:val="18"/>
                <w:szCs w:val="18"/>
              </w:rPr>
              <w:t>191.4</w:t>
            </w:r>
          </w:p>
        </w:tc>
        <w:tc>
          <w:tcPr>
            <w:tcW w:w="0" w:type="auto"/>
            <w:shd w:val="clear" w:color="auto" w:fill="E7E6E6" w:themeFill="background2"/>
          </w:tcPr>
          <w:p w14:paraId="34FC0561" w14:textId="77777777" w:rsidR="00B656F6" w:rsidRPr="00451852" w:rsidRDefault="00B656F6" w:rsidP="008F0944">
            <w:pPr>
              <w:snapToGrid w:val="0"/>
              <w:jc w:val="right"/>
              <w:rPr>
                <w:rFonts w:ascii="Calibri" w:hAnsi="Calibri"/>
                <w:sz w:val="18"/>
                <w:szCs w:val="18"/>
              </w:rPr>
            </w:pPr>
            <w:r w:rsidRPr="00451852">
              <w:rPr>
                <w:rFonts w:ascii="Calibri" w:hAnsi="Calibri" w:hint="eastAsia"/>
                <w:sz w:val="18"/>
                <w:szCs w:val="18"/>
              </w:rPr>
              <w:t>174.0</w:t>
            </w:r>
          </w:p>
        </w:tc>
        <w:tc>
          <w:tcPr>
            <w:tcW w:w="717" w:type="dxa"/>
            <w:shd w:val="clear" w:color="auto" w:fill="E7E6E6" w:themeFill="background2"/>
          </w:tcPr>
          <w:p w14:paraId="43672744" w14:textId="77777777" w:rsidR="00B656F6" w:rsidRPr="00451852" w:rsidRDefault="00B656F6" w:rsidP="008F0944">
            <w:pPr>
              <w:snapToGrid w:val="0"/>
              <w:jc w:val="right"/>
              <w:rPr>
                <w:rFonts w:ascii="Calibri" w:hAnsi="Calibri"/>
                <w:sz w:val="18"/>
                <w:szCs w:val="18"/>
              </w:rPr>
            </w:pPr>
            <w:r w:rsidRPr="00451852">
              <w:rPr>
                <w:rFonts w:ascii="Calibri" w:hAnsi="Calibri" w:hint="eastAsia"/>
                <w:sz w:val="18"/>
                <w:szCs w:val="18"/>
              </w:rPr>
              <w:t>d</w:t>
            </w:r>
          </w:p>
        </w:tc>
      </w:tr>
      <w:tr w:rsidR="00B656F6" w:rsidRPr="00451852" w14:paraId="55011D32" w14:textId="77777777" w:rsidTr="008F0944">
        <w:tc>
          <w:tcPr>
            <w:tcW w:w="566" w:type="dxa"/>
            <w:vMerge/>
            <w:shd w:val="clear" w:color="auto" w:fill="auto"/>
            <w:textDirection w:val="btLr"/>
          </w:tcPr>
          <w:p w14:paraId="09327947" w14:textId="77777777" w:rsidR="00B656F6" w:rsidRPr="00451852" w:rsidRDefault="00B656F6" w:rsidP="008F0944">
            <w:pPr>
              <w:snapToGrid w:val="0"/>
              <w:ind w:left="113" w:right="113"/>
              <w:jc w:val="right"/>
              <w:rPr>
                <w:rFonts w:ascii="Calibri" w:hAnsi="Calibri" w:cstheme="minorHAnsi"/>
                <w:sz w:val="18"/>
                <w:szCs w:val="18"/>
                <w:lang w:val="en-GB"/>
              </w:rPr>
            </w:pPr>
          </w:p>
        </w:tc>
        <w:tc>
          <w:tcPr>
            <w:tcW w:w="2268" w:type="dxa"/>
          </w:tcPr>
          <w:p w14:paraId="70634D51" w14:textId="77777777" w:rsidR="00B656F6" w:rsidRPr="00451852" w:rsidRDefault="00B656F6" w:rsidP="008F0944">
            <w:pPr>
              <w:snapToGrid w:val="0"/>
              <w:jc w:val="right"/>
              <w:rPr>
                <w:rFonts w:ascii="Calibri" w:hAnsi="Calibri" w:cstheme="minorHAnsi"/>
                <w:sz w:val="18"/>
                <w:szCs w:val="18"/>
                <w:lang w:val="en-GB"/>
              </w:rPr>
            </w:pPr>
            <w:r w:rsidRPr="00451852">
              <w:rPr>
                <w:rFonts w:ascii="Calibri" w:hAnsi="Calibri" w:cstheme="minorHAnsi"/>
                <w:sz w:val="18"/>
                <w:szCs w:val="18"/>
                <w:lang w:val="en-GB"/>
              </w:rPr>
              <w:t>Male</w:t>
            </w:r>
          </w:p>
        </w:tc>
        <w:tc>
          <w:tcPr>
            <w:tcW w:w="0" w:type="auto"/>
          </w:tcPr>
          <w:p w14:paraId="2C9A02EE" w14:textId="77777777" w:rsidR="00B656F6" w:rsidRPr="00451852" w:rsidRDefault="00B656F6" w:rsidP="008F0944">
            <w:pPr>
              <w:snapToGrid w:val="0"/>
              <w:jc w:val="right"/>
              <w:rPr>
                <w:rFonts w:ascii="Calibri" w:hAnsi="Calibri"/>
                <w:sz w:val="18"/>
                <w:szCs w:val="18"/>
              </w:rPr>
            </w:pPr>
            <w:r w:rsidRPr="00451852">
              <w:rPr>
                <w:rFonts w:ascii="Calibri" w:hAnsi="Calibri" w:hint="eastAsia"/>
                <w:sz w:val="18"/>
                <w:szCs w:val="18"/>
              </w:rPr>
              <w:t>243.0</w:t>
            </w:r>
          </w:p>
        </w:tc>
        <w:tc>
          <w:tcPr>
            <w:tcW w:w="0" w:type="auto"/>
          </w:tcPr>
          <w:p w14:paraId="2B6F2A85" w14:textId="77777777" w:rsidR="00B656F6" w:rsidRPr="00451852" w:rsidRDefault="00B656F6" w:rsidP="008F0944">
            <w:pPr>
              <w:snapToGrid w:val="0"/>
              <w:jc w:val="right"/>
              <w:rPr>
                <w:rFonts w:ascii="Calibri" w:hAnsi="Calibri"/>
                <w:sz w:val="18"/>
                <w:szCs w:val="18"/>
              </w:rPr>
            </w:pPr>
            <w:r w:rsidRPr="00451852">
              <w:rPr>
                <w:rFonts w:ascii="Calibri" w:hAnsi="Calibri" w:hint="eastAsia"/>
                <w:sz w:val="18"/>
                <w:szCs w:val="18"/>
              </w:rPr>
              <w:t>226.3</w:t>
            </w:r>
          </w:p>
        </w:tc>
        <w:tc>
          <w:tcPr>
            <w:tcW w:w="717" w:type="dxa"/>
          </w:tcPr>
          <w:p w14:paraId="62BF03C9" w14:textId="77777777" w:rsidR="00B656F6" w:rsidRPr="00451852" w:rsidRDefault="00B656F6" w:rsidP="008F0944">
            <w:pPr>
              <w:snapToGrid w:val="0"/>
              <w:jc w:val="right"/>
              <w:rPr>
                <w:rFonts w:ascii="Calibri" w:hAnsi="Calibri"/>
                <w:sz w:val="18"/>
                <w:szCs w:val="18"/>
              </w:rPr>
            </w:pPr>
            <w:r w:rsidRPr="00451852">
              <w:rPr>
                <w:rFonts w:ascii="Calibri" w:hAnsi="Calibri" w:hint="eastAsia"/>
                <w:sz w:val="18"/>
                <w:szCs w:val="18"/>
              </w:rPr>
              <w:t>d</w:t>
            </w:r>
          </w:p>
        </w:tc>
      </w:tr>
      <w:tr w:rsidR="00B656F6" w:rsidRPr="00451852" w14:paraId="7789FBB9" w14:textId="77777777" w:rsidTr="008F0944">
        <w:tc>
          <w:tcPr>
            <w:tcW w:w="566" w:type="dxa"/>
            <w:vMerge/>
            <w:shd w:val="clear" w:color="auto" w:fill="auto"/>
            <w:textDirection w:val="btLr"/>
          </w:tcPr>
          <w:p w14:paraId="26C9E593" w14:textId="77777777" w:rsidR="00B656F6" w:rsidRPr="00451852" w:rsidRDefault="00B656F6" w:rsidP="008F0944">
            <w:pPr>
              <w:snapToGrid w:val="0"/>
              <w:ind w:left="113" w:right="113"/>
              <w:jc w:val="right"/>
              <w:rPr>
                <w:rFonts w:ascii="Calibri" w:hAnsi="Calibri" w:cstheme="minorHAnsi"/>
                <w:sz w:val="18"/>
                <w:szCs w:val="18"/>
                <w:lang w:val="en-GB"/>
              </w:rPr>
            </w:pPr>
          </w:p>
        </w:tc>
        <w:tc>
          <w:tcPr>
            <w:tcW w:w="2268" w:type="dxa"/>
          </w:tcPr>
          <w:p w14:paraId="2A790D26" w14:textId="77777777" w:rsidR="00B656F6" w:rsidRPr="00451852" w:rsidRDefault="00B656F6" w:rsidP="008F0944">
            <w:pPr>
              <w:snapToGrid w:val="0"/>
              <w:jc w:val="right"/>
              <w:rPr>
                <w:rFonts w:ascii="Calibri" w:hAnsi="Calibri" w:cstheme="minorHAnsi"/>
                <w:sz w:val="18"/>
                <w:szCs w:val="18"/>
                <w:lang w:val="en-GB"/>
              </w:rPr>
            </w:pPr>
            <w:r w:rsidRPr="00451852">
              <w:rPr>
                <w:rFonts w:ascii="Calibri" w:hAnsi="Calibri" w:cstheme="minorHAnsi"/>
                <w:sz w:val="18"/>
                <w:szCs w:val="18"/>
                <w:lang w:val="en-GB"/>
              </w:rPr>
              <w:t>Female</w:t>
            </w:r>
          </w:p>
        </w:tc>
        <w:tc>
          <w:tcPr>
            <w:tcW w:w="0" w:type="auto"/>
          </w:tcPr>
          <w:p w14:paraId="00FA2EFE" w14:textId="77777777" w:rsidR="00B656F6" w:rsidRPr="00451852" w:rsidRDefault="00B656F6" w:rsidP="008F0944">
            <w:pPr>
              <w:snapToGrid w:val="0"/>
              <w:jc w:val="right"/>
              <w:rPr>
                <w:rFonts w:ascii="Calibri" w:hAnsi="Calibri"/>
                <w:sz w:val="18"/>
                <w:szCs w:val="18"/>
              </w:rPr>
            </w:pPr>
            <w:r w:rsidRPr="00451852">
              <w:rPr>
                <w:rFonts w:ascii="Calibri" w:hAnsi="Calibri" w:hint="eastAsia"/>
                <w:sz w:val="18"/>
                <w:szCs w:val="18"/>
              </w:rPr>
              <w:t>136.2</w:t>
            </w:r>
          </w:p>
        </w:tc>
        <w:tc>
          <w:tcPr>
            <w:tcW w:w="0" w:type="auto"/>
          </w:tcPr>
          <w:p w14:paraId="18E984FE" w14:textId="77777777" w:rsidR="00B656F6" w:rsidRPr="00451852" w:rsidRDefault="00B656F6" w:rsidP="008F0944">
            <w:pPr>
              <w:snapToGrid w:val="0"/>
              <w:jc w:val="right"/>
              <w:rPr>
                <w:rFonts w:ascii="Calibri" w:hAnsi="Calibri"/>
                <w:sz w:val="18"/>
                <w:szCs w:val="18"/>
              </w:rPr>
            </w:pPr>
            <w:r w:rsidRPr="00451852">
              <w:rPr>
                <w:rFonts w:ascii="Calibri" w:hAnsi="Calibri" w:hint="eastAsia"/>
                <w:sz w:val="18"/>
                <w:szCs w:val="18"/>
              </w:rPr>
              <w:t>118.5</w:t>
            </w:r>
          </w:p>
        </w:tc>
        <w:tc>
          <w:tcPr>
            <w:tcW w:w="717" w:type="dxa"/>
          </w:tcPr>
          <w:p w14:paraId="519FB906" w14:textId="77777777" w:rsidR="00B656F6" w:rsidRPr="00451852" w:rsidRDefault="00B656F6" w:rsidP="008F0944">
            <w:pPr>
              <w:snapToGrid w:val="0"/>
              <w:jc w:val="right"/>
              <w:rPr>
                <w:rFonts w:ascii="Calibri" w:hAnsi="Calibri"/>
                <w:sz w:val="18"/>
                <w:szCs w:val="18"/>
              </w:rPr>
            </w:pPr>
            <w:r w:rsidRPr="00451852">
              <w:rPr>
                <w:rFonts w:ascii="Calibri" w:hAnsi="Calibri" w:hint="eastAsia"/>
                <w:sz w:val="18"/>
                <w:szCs w:val="18"/>
              </w:rPr>
              <w:t>d</w:t>
            </w:r>
          </w:p>
        </w:tc>
      </w:tr>
      <w:tr w:rsidR="00B656F6" w:rsidRPr="00451852" w14:paraId="7256EAEA" w14:textId="77777777" w:rsidTr="008F0944">
        <w:tc>
          <w:tcPr>
            <w:tcW w:w="566" w:type="dxa"/>
            <w:vMerge/>
            <w:shd w:val="clear" w:color="auto" w:fill="auto"/>
            <w:textDirection w:val="btLr"/>
          </w:tcPr>
          <w:p w14:paraId="038AD6F4" w14:textId="77777777" w:rsidR="00B656F6" w:rsidRPr="00451852" w:rsidRDefault="00B656F6" w:rsidP="008F0944">
            <w:pPr>
              <w:snapToGrid w:val="0"/>
              <w:ind w:left="113" w:right="113"/>
              <w:jc w:val="right"/>
              <w:rPr>
                <w:rFonts w:ascii="Calibri" w:hAnsi="Calibri"/>
                <w:sz w:val="18"/>
                <w:szCs w:val="18"/>
              </w:rPr>
            </w:pPr>
          </w:p>
        </w:tc>
        <w:tc>
          <w:tcPr>
            <w:tcW w:w="2268" w:type="dxa"/>
            <w:shd w:val="clear" w:color="auto" w:fill="E7E6E6" w:themeFill="background2"/>
          </w:tcPr>
          <w:p w14:paraId="0065141A" w14:textId="77777777" w:rsidR="00B656F6" w:rsidRPr="00451852" w:rsidRDefault="00B656F6" w:rsidP="008F0944">
            <w:pPr>
              <w:snapToGrid w:val="0"/>
              <w:jc w:val="right"/>
              <w:rPr>
                <w:rFonts w:ascii="Calibri" w:hAnsi="Calibri"/>
                <w:sz w:val="18"/>
                <w:szCs w:val="18"/>
              </w:rPr>
            </w:pPr>
            <w:r w:rsidRPr="00451852">
              <w:rPr>
                <w:rFonts w:ascii="Calibri" w:hAnsi="Calibri"/>
                <w:sz w:val="18"/>
                <w:szCs w:val="18"/>
              </w:rPr>
              <w:t>Diabetes</w:t>
            </w:r>
          </w:p>
        </w:tc>
        <w:tc>
          <w:tcPr>
            <w:tcW w:w="0" w:type="auto"/>
            <w:shd w:val="clear" w:color="auto" w:fill="E7E6E6" w:themeFill="background2"/>
          </w:tcPr>
          <w:p w14:paraId="40C0EB88" w14:textId="77777777" w:rsidR="00B656F6" w:rsidRPr="00451852" w:rsidRDefault="00B656F6" w:rsidP="008F0944">
            <w:pPr>
              <w:snapToGrid w:val="0"/>
              <w:jc w:val="right"/>
              <w:rPr>
                <w:rFonts w:ascii="Calibri" w:hAnsi="Calibri"/>
                <w:sz w:val="18"/>
                <w:szCs w:val="18"/>
              </w:rPr>
            </w:pPr>
            <w:r w:rsidRPr="00451852">
              <w:rPr>
                <w:rFonts w:ascii="Calibri" w:hAnsi="Calibri" w:hint="eastAsia"/>
                <w:sz w:val="18"/>
                <w:szCs w:val="18"/>
              </w:rPr>
              <w:t>11.3</w:t>
            </w:r>
          </w:p>
        </w:tc>
        <w:tc>
          <w:tcPr>
            <w:tcW w:w="0" w:type="auto"/>
            <w:shd w:val="clear" w:color="auto" w:fill="E7E6E6" w:themeFill="background2"/>
          </w:tcPr>
          <w:p w14:paraId="4418A230" w14:textId="77777777" w:rsidR="00B656F6" w:rsidRPr="00451852" w:rsidRDefault="00B656F6" w:rsidP="008F0944">
            <w:pPr>
              <w:snapToGrid w:val="0"/>
              <w:jc w:val="right"/>
              <w:rPr>
                <w:rFonts w:ascii="Calibri" w:hAnsi="Calibri"/>
                <w:sz w:val="18"/>
                <w:szCs w:val="18"/>
              </w:rPr>
            </w:pPr>
            <w:r w:rsidRPr="00451852">
              <w:rPr>
                <w:rFonts w:ascii="Calibri" w:hAnsi="Calibri" w:hint="eastAsia"/>
                <w:sz w:val="18"/>
                <w:szCs w:val="18"/>
              </w:rPr>
              <w:t>10.3</w:t>
            </w:r>
          </w:p>
        </w:tc>
        <w:tc>
          <w:tcPr>
            <w:tcW w:w="717" w:type="dxa"/>
            <w:shd w:val="clear" w:color="auto" w:fill="E7E6E6" w:themeFill="background2"/>
          </w:tcPr>
          <w:p w14:paraId="0012F53E" w14:textId="77777777" w:rsidR="00B656F6" w:rsidRPr="00451852" w:rsidRDefault="00B656F6" w:rsidP="008F0944">
            <w:pPr>
              <w:snapToGrid w:val="0"/>
              <w:jc w:val="right"/>
              <w:rPr>
                <w:rFonts w:ascii="Calibri" w:hAnsi="Calibri"/>
                <w:sz w:val="18"/>
                <w:szCs w:val="18"/>
              </w:rPr>
            </w:pPr>
            <w:r w:rsidRPr="00451852">
              <w:rPr>
                <w:rFonts w:ascii="Calibri" w:hAnsi="Calibri" w:hint="eastAsia"/>
                <w:sz w:val="18"/>
                <w:szCs w:val="18"/>
              </w:rPr>
              <w:t>d</w:t>
            </w:r>
          </w:p>
        </w:tc>
      </w:tr>
      <w:tr w:rsidR="00B656F6" w:rsidRPr="00451852" w14:paraId="6A6391BE" w14:textId="77777777" w:rsidTr="008F0944">
        <w:tc>
          <w:tcPr>
            <w:tcW w:w="566" w:type="dxa"/>
            <w:vMerge/>
            <w:shd w:val="clear" w:color="auto" w:fill="auto"/>
            <w:textDirection w:val="btLr"/>
          </w:tcPr>
          <w:p w14:paraId="0B7F1756" w14:textId="77777777" w:rsidR="00B656F6" w:rsidRPr="00451852" w:rsidRDefault="00B656F6" w:rsidP="008F0944">
            <w:pPr>
              <w:snapToGrid w:val="0"/>
              <w:ind w:left="113" w:right="113"/>
              <w:jc w:val="right"/>
              <w:rPr>
                <w:rFonts w:ascii="Calibri" w:hAnsi="Calibri" w:cstheme="minorHAnsi"/>
                <w:sz w:val="18"/>
                <w:szCs w:val="18"/>
                <w:lang w:val="en-GB"/>
              </w:rPr>
            </w:pPr>
          </w:p>
        </w:tc>
        <w:tc>
          <w:tcPr>
            <w:tcW w:w="2268" w:type="dxa"/>
          </w:tcPr>
          <w:p w14:paraId="25AEF6F7" w14:textId="77777777" w:rsidR="00B656F6" w:rsidRPr="00451852" w:rsidRDefault="00B656F6" w:rsidP="008F0944">
            <w:pPr>
              <w:snapToGrid w:val="0"/>
              <w:jc w:val="right"/>
              <w:rPr>
                <w:rFonts w:ascii="Calibri" w:hAnsi="Calibri" w:cstheme="minorHAnsi"/>
                <w:sz w:val="18"/>
                <w:szCs w:val="18"/>
                <w:lang w:val="en-GB"/>
              </w:rPr>
            </w:pPr>
            <w:r w:rsidRPr="00451852">
              <w:rPr>
                <w:rFonts w:ascii="Calibri" w:hAnsi="Calibri" w:cstheme="minorHAnsi"/>
                <w:sz w:val="18"/>
                <w:szCs w:val="18"/>
                <w:lang w:val="en-GB"/>
              </w:rPr>
              <w:t>Male</w:t>
            </w:r>
          </w:p>
        </w:tc>
        <w:tc>
          <w:tcPr>
            <w:tcW w:w="0" w:type="auto"/>
          </w:tcPr>
          <w:p w14:paraId="44452876" w14:textId="77777777" w:rsidR="00B656F6" w:rsidRPr="00451852" w:rsidRDefault="00B656F6" w:rsidP="008F0944">
            <w:pPr>
              <w:snapToGrid w:val="0"/>
              <w:jc w:val="right"/>
              <w:rPr>
                <w:rFonts w:ascii="Calibri" w:hAnsi="Calibri"/>
                <w:sz w:val="18"/>
                <w:szCs w:val="18"/>
              </w:rPr>
            </w:pPr>
            <w:r w:rsidRPr="00451852">
              <w:rPr>
                <w:rFonts w:ascii="Calibri" w:hAnsi="Calibri" w:hint="eastAsia"/>
                <w:sz w:val="18"/>
                <w:szCs w:val="18"/>
              </w:rPr>
              <w:t>10.4</w:t>
            </w:r>
          </w:p>
        </w:tc>
        <w:tc>
          <w:tcPr>
            <w:tcW w:w="0" w:type="auto"/>
          </w:tcPr>
          <w:p w14:paraId="2C2E22B1" w14:textId="77777777" w:rsidR="00B656F6" w:rsidRPr="00451852" w:rsidRDefault="00B656F6" w:rsidP="008F0944">
            <w:pPr>
              <w:snapToGrid w:val="0"/>
              <w:jc w:val="right"/>
              <w:rPr>
                <w:rFonts w:ascii="Calibri" w:hAnsi="Calibri"/>
                <w:sz w:val="18"/>
                <w:szCs w:val="18"/>
              </w:rPr>
            </w:pPr>
            <w:r w:rsidRPr="00451852">
              <w:rPr>
                <w:rFonts w:ascii="Calibri" w:hAnsi="Calibri" w:hint="eastAsia"/>
                <w:sz w:val="18"/>
                <w:szCs w:val="18"/>
              </w:rPr>
              <w:t>10.2</w:t>
            </w:r>
          </w:p>
        </w:tc>
        <w:tc>
          <w:tcPr>
            <w:tcW w:w="717" w:type="dxa"/>
          </w:tcPr>
          <w:p w14:paraId="00F5A264" w14:textId="77777777" w:rsidR="00B656F6" w:rsidRPr="00451852" w:rsidRDefault="00B656F6" w:rsidP="008F0944">
            <w:pPr>
              <w:snapToGrid w:val="0"/>
              <w:jc w:val="right"/>
              <w:rPr>
                <w:rFonts w:ascii="Calibri" w:hAnsi="Calibri"/>
                <w:sz w:val="18"/>
                <w:szCs w:val="18"/>
              </w:rPr>
            </w:pPr>
            <w:r w:rsidRPr="00451852">
              <w:rPr>
                <w:rFonts w:ascii="Calibri" w:hAnsi="Calibri" w:hint="eastAsia"/>
                <w:sz w:val="18"/>
                <w:szCs w:val="18"/>
              </w:rPr>
              <w:t>d</w:t>
            </w:r>
          </w:p>
        </w:tc>
      </w:tr>
      <w:tr w:rsidR="00B656F6" w:rsidRPr="00451852" w14:paraId="1C412532" w14:textId="77777777" w:rsidTr="008F0944">
        <w:tc>
          <w:tcPr>
            <w:tcW w:w="566" w:type="dxa"/>
            <w:vMerge/>
            <w:shd w:val="clear" w:color="auto" w:fill="auto"/>
            <w:textDirection w:val="btLr"/>
          </w:tcPr>
          <w:p w14:paraId="08DB27CE" w14:textId="77777777" w:rsidR="00B656F6" w:rsidRPr="00451852" w:rsidRDefault="00B656F6" w:rsidP="008F0944">
            <w:pPr>
              <w:snapToGrid w:val="0"/>
              <w:ind w:left="113" w:right="113"/>
              <w:jc w:val="right"/>
              <w:rPr>
                <w:rFonts w:ascii="Calibri" w:hAnsi="Calibri" w:cstheme="minorHAnsi"/>
                <w:sz w:val="18"/>
                <w:szCs w:val="18"/>
                <w:lang w:val="en-GB"/>
              </w:rPr>
            </w:pPr>
          </w:p>
        </w:tc>
        <w:tc>
          <w:tcPr>
            <w:tcW w:w="2268" w:type="dxa"/>
          </w:tcPr>
          <w:p w14:paraId="5A92B97D" w14:textId="77777777" w:rsidR="00B656F6" w:rsidRPr="00451852" w:rsidRDefault="00B656F6" w:rsidP="008F0944">
            <w:pPr>
              <w:snapToGrid w:val="0"/>
              <w:jc w:val="right"/>
              <w:rPr>
                <w:rFonts w:ascii="Calibri" w:hAnsi="Calibri" w:cstheme="minorHAnsi"/>
                <w:sz w:val="18"/>
                <w:szCs w:val="18"/>
                <w:lang w:val="en-GB"/>
              </w:rPr>
            </w:pPr>
            <w:r w:rsidRPr="00451852">
              <w:rPr>
                <w:rFonts w:ascii="Calibri" w:hAnsi="Calibri" w:cstheme="minorHAnsi"/>
                <w:sz w:val="18"/>
                <w:szCs w:val="18"/>
                <w:lang w:val="en-GB"/>
              </w:rPr>
              <w:t>Female</w:t>
            </w:r>
          </w:p>
        </w:tc>
        <w:tc>
          <w:tcPr>
            <w:tcW w:w="0" w:type="auto"/>
          </w:tcPr>
          <w:p w14:paraId="49E2DE54" w14:textId="77777777" w:rsidR="00B656F6" w:rsidRPr="00451852" w:rsidRDefault="00B656F6" w:rsidP="008F0944">
            <w:pPr>
              <w:snapToGrid w:val="0"/>
              <w:jc w:val="right"/>
              <w:rPr>
                <w:rFonts w:ascii="Calibri" w:hAnsi="Calibri"/>
                <w:sz w:val="18"/>
                <w:szCs w:val="18"/>
              </w:rPr>
            </w:pPr>
            <w:r w:rsidRPr="00451852">
              <w:rPr>
                <w:rFonts w:ascii="Calibri" w:hAnsi="Calibri" w:hint="eastAsia"/>
                <w:sz w:val="18"/>
                <w:szCs w:val="18"/>
              </w:rPr>
              <w:t>12.3</w:t>
            </w:r>
          </w:p>
        </w:tc>
        <w:tc>
          <w:tcPr>
            <w:tcW w:w="0" w:type="auto"/>
          </w:tcPr>
          <w:p w14:paraId="1F782844" w14:textId="77777777" w:rsidR="00B656F6" w:rsidRPr="00451852" w:rsidRDefault="00B656F6" w:rsidP="008F0944">
            <w:pPr>
              <w:snapToGrid w:val="0"/>
              <w:jc w:val="right"/>
              <w:rPr>
                <w:rFonts w:ascii="Calibri" w:hAnsi="Calibri"/>
                <w:sz w:val="18"/>
                <w:szCs w:val="18"/>
              </w:rPr>
            </w:pPr>
            <w:r w:rsidRPr="00451852">
              <w:rPr>
                <w:rFonts w:ascii="Calibri" w:hAnsi="Calibri" w:hint="eastAsia"/>
                <w:sz w:val="18"/>
                <w:szCs w:val="18"/>
              </w:rPr>
              <w:t>10.4</w:t>
            </w:r>
          </w:p>
        </w:tc>
        <w:tc>
          <w:tcPr>
            <w:tcW w:w="717" w:type="dxa"/>
          </w:tcPr>
          <w:p w14:paraId="5FAD73D2" w14:textId="77777777" w:rsidR="00B656F6" w:rsidRPr="00451852" w:rsidRDefault="00B656F6" w:rsidP="008F0944">
            <w:pPr>
              <w:snapToGrid w:val="0"/>
              <w:jc w:val="right"/>
              <w:rPr>
                <w:rFonts w:ascii="Calibri" w:hAnsi="Calibri"/>
                <w:sz w:val="18"/>
                <w:szCs w:val="18"/>
              </w:rPr>
            </w:pPr>
            <w:r w:rsidRPr="00451852">
              <w:rPr>
                <w:rFonts w:ascii="Calibri" w:hAnsi="Calibri" w:hint="eastAsia"/>
                <w:sz w:val="18"/>
                <w:szCs w:val="18"/>
              </w:rPr>
              <w:t>d</w:t>
            </w:r>
          </w:p>
        </w:tc>
      </w:tr>
      <w:tr w:rsidR="00B656F6" w:rsidRPr="00451852" w14:paraId="14CB2557" w14:textId="77777777" w:rsidTr="008F0944">
        <w:tc>
          <w:tcPr>
            <w:tcW w:w="566" w:type="dxa"/>
            <w:vMerge/>
            <w:shd w:val="clear" w:color="auto" w:fill="auto"/>
            <w:textDirection w:val="btLr"/>
          </w:tcPr>
          <w:p w14:paraId="0A3CA3D8" w14:textId="77777777" w:rsidR="00B656F6" w:rsidRPr="00451852" w:rsidRDefault="00B656F6" w:rsidP="008F0944">
            <w:pPr>
              <w:snapToGrid w:val="0"/>
              <w:ind w:left="113" w:right="113"/>
              <w:jc w:val="right"/>
              <w:rPr>
                <w:rFonts w:ascii="Calibri" w:hAnsi="Calibri"/>
                <w:sz w:val="18"/>
                <w:szCs w:val="18"/>
              </w:rPr>
            </w:pPr>
          </w:p>
        </w:tc>
        <w:tc>
          <w:tcPr>
            <w:tcW w:w="2268" w:type="dxa"/>
            <w:shd w:val="clear" w:color="auto" w:fill="E7E6E6" w:themeFill="background2"/>
          </w:tcPr>
          <w:p w14:paraId="53663D2E" w14:textId="77777777" w:rsidR="00B656F6" w:rsidRPr="00451852" w:rsidRDefault="00B656F6" w:rsidP="008F0944">
            <w:pPr>
              <w:snapToGrid w:val="0"/>
              <w:jc w:val="right"/>
              <w:rPr>
                <w:rFonts w:ascii="Calibri" w:hAnsi="Calibri"/>
                <w:sz w:val="18"/>
                <w:szCs w:val="18"/>
              </w:rPr>
            </w:pPr>
            <w:r w:rsidRPr="00451852">
              <w:rPr>
                <w:rFonts w:ascii="Calibri" w:hAnsi="Calibri"/>
                <w:sz w:val="18"/>
                <w:szCs w:val="18"/>
              </w:rPr>
              <w:t>Chronic respiratory disease</w:t>
            </w:r>
          </w:p>
        </w:tc>
        <w:tc>
          <w:tcPr>
            <w:tcW w:w="0" w:type="auto"/>
            <w:shd w:val="clear" w:color="auto" w:fill="E7E6E6" w:themeFill="background2"/>
          </w:tcPr>
          <w:p w14:paraId="1445F1E5" w14:textId="77777777" w:rsidR="00B656F6" w:rsidRPr="00451852" w:rsidRDefault="00B656F6" w:rsidP="008F0944">
            <w:pPr>
              <w:snapToGrid w:val="0"/>
              <w:jc w:val="right"/>
              <w:rPr>
                <w:rFonts w:ascii="Calibri" w:hAnsi="Calibri"/>
                <w:sz w:val="18"/>
                <w:szCs w:val="18"/>
              </w:rPr>
            </w:pPr>
            <w:r w:rsidRPr="00451852">
              <w:rPr>
                <w:rFonts w:ascii="Calibri" w:hAnsi="Calibri" w:hint="eastAsia"/>
                <w:sz w:val="18"/>
                <w:szCs w:val="18"/>
              </w:rPr>
              <w:t>83.9</w:t>
            </w:r>
          </w:p>
        </w:tc>
        <w:tc>
          <w:tcPr>
            <w:tcW w:w="0" w:type="auto"/>
            <w:shd w:val="clear" w:color="auto" w:fill="E7E6E6" w:themeFill="background2"/>
          </w:tcPr>
          <w:p w14:paraId="5A5D8C0C" w14:textId="77777777" w:rsidR="00B656F6" w:rsidRPr="00451852" w:rsidRDefault="00B656F6" w:rsidP="008F0944">
            <w:pPr>
              <w:snapToGrid w:val="0"/>
              <w:jc w:val="right"/>
              <w:rPr>
                <w:rFonts w:ascii="Calibri" w:hAnsi="Calibri"/>
                <w:sz w:val="18"/>
                <w:szCs w:val="18"/>
              </w:rPr>
            </w:pPr>
            <w:r w:rsidRPr="00451852">
              <w:rPr>
                <w:rFonts w:ascii="Calibri" w:hAnsi="Calibri" w:hint="eastAsia"/>
                <w:sz w:val="18"/>
                <w:szCs w:val="18"/>
              </w:rPr>
              <w:t>67.0</w:t>
            </w:r>
          </w:p>
        </w:tc>
        <w:tc>
          <w:tcPr>
            <w:tcW w:w="717" w:type="dxa"/>
            <w:shd w:val="clear" w:color="auto" w:fill="E7E6E6" w:themeFill="background2"/>
          </w:tcPr>
          <w:p w14:paraId="51D2887E" w14:textId="77777777" w:rsidR="00B656F6" w:rsidRPr="00451852" w:rsidRDefault="00B656F6" w:rsidP="008F0944">
            <w:pPr>
              <w:snapToGrid w:val="0"/>
              <w:jc w:val="right"/>
              <w:rPr>
                <w:rFonts w:ascii="Calibri" w:hAnsi="Calibri"/>
                <w:sz w:val="18"/>
                <w:szCs w:val="18"/>
              </w:rPr>
            </w:pPr>
            <w:r w:rsidRPr="00451852">
              <w:rPr>
                <w:rFonts w:ascii="Calibri" w:hAnsi="Calibri" w:hint="eastAsia"/>
                <w:sz w:val="18"/>
                <w:szCs w:val="18"/>
              </w:rPr>
              <w:t>d</w:t>
            </w:r>
          </w:p>
        </w:tc>
      </w:tr>
      <w:tr w:rsidR="00B656F6" w:rsidRPr="00451852" w14:paraId="6C0D15DE" w14:textId="77777777" w:rsidTr="008F0944">
        <w:tc>
          <w:tcPr>
            <w:tcW w:w="566" w:type="dxa"/>
            <w:vMerge/>
            <w:shd w:val="clear" w:color="auto" w:fill="auto"/>
            <w:textDirection w:val="btLr"/>
          </w:tcPr>
          <w:p w14:paraId="50642CBB" w14:textId="77777777" w:rsidR="00B656F6" w:rsidRPr="00451852" w:rsidRDefault="00B656F6" w:rsidP="008F0944">
            <w:pPr>
              <w:snapToGrid w:val="0"/>
              <w:ind w:left="113" w:right="113"/>
              <w:jc w:val="right"/>
              <w:rPr>
                <w:rFonts w:ascii="Calibri" w:hAnsi="Calibri" w:cstheme="minorHAnsi"/>
                <w:sz w:val="18"/>
                <w:szCs w:val="18"/>
                <w:lang w:val="en-GB"/>
              </w:rPr>
            </w:pPr>
          </w:p>
        </w:tc>
        <w:tc>
          <w:tcPr>
            <w:tcW w:w="2268" w:type="dxa"/>
          </w:tcPr>
          <w:p w14:paraId="2E14EFA1" w14:textId="77777777" w:rsidR="00B656F6" w:rsidRPr="00451852" w:rsidRDefault="00B656F6" w:rsidP="008F0944">
            <w:pPr>
              <w:snapToGrid w:val="0"/>
              <w:jc w:val="right"/>
              <w:rPr>
                <w:rFonts w:ascii="Calibri" w:hAnsi="Calibri" w:cstheme="minorHAnsi"/>
                <w:sz w:val="18"/>
                <w:szCs w:val="18"/>
                <w:lang w:val="en-GB"/>
              </w:rPr>
            </w:pPr>
            <w:r w:rsidRPr="00451852">
              <w:rPr>
                <w:rFonts w:ascii="Calibri" w:hAnsi="Calibri" w:cstheme="minorHAnsi"/>
                <w:sz w:val="18"/>
                <w:szCs w:val="18"/>
                <w:lang w:val="en-GB"/>
              </w:rPr>
              <w:t>Male</w:t>
            </w:r>
          </w:p>
        </w:tc>
        <w:tc>
          <w:tcPr>
            <w:tcW w:w="0" w:type="auto"/>
          </w:tcPr>
          <w:p w14:paraId="7439CA54" w14:textId="77777777" w:rsidR="00B656F6" w:rsidRPr="00451852" w:rsidRDefault="00B656F6" w:rsidP="008F0944">
            <w:pPr>
              <w:snapToGrid w:val="0"/>
              <w:jc w:val="right"/>
              <w:rPr>
                <w:rFonts w:ascii="Calibri" w:hAnsi="Calibri"/>
                <w:sz w:val="18"/>
                <w:szCs w:val="18"/>
              </w:rPr>
            </w:pPr>
            <w:r w:rsidRPr="00451852">
              <w:rPr>
                <w:rFonts w:ascii="Calibri" w:hAnsi="Calibri" w:hint="eastAsia"/>
                <w:sz w:val="18"/>
                <w:szCs w:val="18"/>
              </w:rPr>
              <w:t>94.5</w:t>
            </w:r>
          </w:p>
        </w:tc>
        <w:tc>
          <w:tcPr>
            <w:tcW w:w="0" w:type="auto"/>
          </w:tcPr>
          <w:p w14:paraId="6813E65C" w14:textId="77777777" w:rsidR="00B656F6" w:rsidRPr="00451852" w:rsidRDefault="00B656F6" w:rsidP="008F0944">
            <w:pPr>
              <w:snapToGrid w:val="0"/>
              <w:jc w:val="right"/>
              <w:rPr>
                <w:rFonts w:ascii="Calibri" w:hAnsi="Calibri"/>
                <w:sz w:val="18"/>
                <w:szCs w:val="18"/>
              </w:rPr>
            </w:pPr>
            <w:r w:rsidRPr="00451852">
              <w:rPr>
                <w:rFonts w:ascii="Calibri" w:hAnsi="Calibri" w:hint="eastAsia"/>
                <w:sz w:val="18"/>
                <w:szCs w:val="18"/>
              </w:rPr>
              <w:t>79.5</w:t>
            </w:r>
          </w:p>
        </w:tc>
        <w:tc>
          <w:tcPr>
            <w:tcW w:w="717" w:type="dxa"/>
          </w:tcPr>
          <w:p w14:paraId="5E793C59" w14:textId="77777777" w:rsidR="00B656F6" w:rsidRPr="00451852" w:rsidRDefault="00B656F6" w:rsidP="008F0944">
            <w:pPr>
              <w:snapToGrid w:val="0"/>
              <w:jc w:val="right"/>
              <w:rPr>
                <w:rFonts w:ascii="Calibri" w:hAnsi="Calibri"/>
                <w:sz w:val="18"/>
                <w:szCs w:val="18"/>
              </w:rPr>
            </w:pPr>
            <w:r w:rsidRPr="00451852">
              <w:rPr>
                <w:rFonts w:ascii="Calibri" w:hAnsi="Calibri" w:hint="eastAsia"/>
                <w:sz w:val="18"/>
                <w:szCs w:val="18"/>
              </w:rPr>
              <w:t>d</w:t>
            </w:r>
          </w:p>
        </w:tc>
      </w:tr>
      <w:tr w:rsidR="00B656F6" w:rsidRPr="00451852" w14:paraId="484894C3" w14:textId="77777777" w:rsidTr="008F0944">
        <w:tc>
          <w:tcPr>
            <w:tcW w:w="566" w:type="dxa"/>
            <w:vMerge/>
            <w:shd w:val="clear" w:color="auto" w:fill="auto"/>
            <w:textDirection w:val="btLr"/>
          </w:tcPr>
          <w:p w14:paraId="4D0CE94C" w14:textId="77777777" w:rsidR="00B656F6" w:rsidRPr="00451852" w:rsidRDefault="00B656F6" w:rsidP="008F0944">
            <w:pPr>
              <w:snapToGrid w:val="0"/>
              <w:ind w:left="113" w:right="113"/>
              <w:jc w:val="right"/>
              <w:rPr>
                <w:rFonts w:ascii="Calibri" w:hAnsi="Calibri" w:cstheme="minorHAnsi"/>
                <w:sz w:val="18"/>
                <w:szCs w:val="18"/>
                <w:lang w:val="en-GB"/>
              </w:rPr>
            </w:pPr>
          </w:p>
        </w:tc>
        <w:tc>
          <w:tcPr>
            <w:tcW w:w="2268" w:type="dxa"/>
          </w:tcPr>
          <w:p w14:paraId="035EE7FF" w14:textId="77777777" w:rsidR="00B656F6" w:rsidRPr="00451852" w:rsidRDefault="00B656F6" w:rsidP="008F0944">
            <w:pPr>
              <w:snapToGrid w:val="0"/>
              <w:jc w:val="right"/>
              <w:rPr>
                <w:rFonts w:ascii="Calibri" w:hAnsi="Calibri" w:cstheme="minorHAnsi"/>
                <w:sz w:val="18"/>
                <w:szCs w:val="18"/>
                <w:lang w:val="en-GB"/>
              </w:rPr>
            </w:pPr>
            <w:r w:rsidRPr="00451852">
              <w:rPr>
                <w:rFonts w:ascii="Calibri" w:hAnsi="Calibri" w:cstheme="minorHAnsi"/>
                <w:sz w:val="18"/>
                <w:szCs w:val="18"/>
                <w:lang w:val="en-GB"/>
              </w:rPr>
              <w:t>Female</w:t>
            </w:r>
          </w:p>
        </w:tc>
        <w:tc>
          <w:tcPr>
            <w:tcW w:w="0" w:type="auto"/>
          </w:tcPr>
          <w:p w14:paraId="6AF6DDE0" w14:textId="77777777" w:rsidR="00B656F6" w:rsidRPr="00451852" w:rsidRDefault="00B656F6" w:rsidP="008F0944">
            <w:pPr>
              <w:snapToGrid w:val="0"/>
              <w:jc w:val="right"/>
              <w:rPr>
                <w:rFonts w:ascii="Calibri" w:hAnsi="Calibri"/>
                <w:sz w:val="18"/>
                <w:szCs w:val="18"/>
              </w:rPr>
            </w:pPr>
            <w:r w:rsidRPr="00451852">
              <w:rPr>
                <w:rFonts w:ascii="Calibri" w:hAnsi="Calibri" w:hint="eastAsia"/>
                <w:sz w:val="18"/>
                <w:szCs w:val="18"/>
              </w:rPr>
              <w:t>72.6</w:t>
            </w:r>
          </w:p>
        </w:tc>
        <w:tc>
          <w:tcPr>
            <w:tcW w:w="0" w:type="auto"/>
          </w:tcPr>
          <w:p w14:paraId="1BAADC14" w14:textId="77777777" w:rsidR="00B656F6" w:rsidRPr="00451852" w:rsidRDefault="00B656F6" w:rsidP="008F0944">
            <w:pPr>
              <w:snapToGrid w:val="0"/>
              <w:jc w:val="right"/>
              <w:rPr>
                <w:rFonts w:ascii="Calibri" w:hAnsi="Calibri"/>
                <w:sz w:val="18"/>
                <w:szCs w:val="18"/>
              </w:rPr>
            </w:pPr>
            <w:r w:rsidRPr="00451852">
              <w:rPr>
                <w:rFonts w:ascii="Calibri" w:hAnsi="Calibri" w:hint="eastAsia"/>
                <w:sz w:val="18"/>
                <w:szCs w:val="18"/>
              </w:rPr>
              <w:t>53.8</w:t>
            </w:r>
          </w:p>
        </w:tc>
        <w:tc>
          <w:tcPr>
            <w:tcW w:w="717" w:type="dxa"/>
          </w:tcPr>
          <w:p w14:paraId="04C9AEEE" w14:textId="77777777" w:rsidR="00B656F6" w:rsidRPr="00451852" w:rsidRDefault="00B656F6" w:rsidP="008F0944">
            <w:pPr>
              <w:snapToGrid w:val="0"/>
              <w:jc w:val="right"/>
              <w:rPr>
                <w:rFonts w:ascii="Calibri" w:hAnsi="Calibri"/>
                <w:sz w:val="18"/>
                <w:szCs w:val="18"/>
              </w:rPr>
            </w:pPr>
            <w:r w:rsidRPr="00451852">
              <w:rPr>
                <w:rFonts w:ascii="Calibri" w:hAnsi="Calibri" w:hint="eastAsia"/>
                <w:sz w:val="18"/>
                <w:szCs w:val="18"/>
              </w:rPr>
              <w:t>d</w:t>
            </w:r>
          </w:p>
        </w:tc>
      </w:tr>
      <w:tr w:rsidR="00B656F6" w:rsidRPr="00451852" w14:paraId="06F72647" w14:textId="77777777" w:rsidTr="008F0944">
        <w:tc>
          <w:tcPr>
            <w:tcW w:w="566" w:type="dxa"/>
            <w:textDirection w:val="btLr"/>
          </w:tcPr>
          <w:p w14:paraId="237FCE70" w14:textId="77777777" w:rsidR="00B656F6" w:rsidRPr="00451852" w:rsidRDefault="00B656F6" w:rsidP="008F0944">
            <w:pPr>
              <w:wordWrap w:val="0"/>
              <w:snapToGrid w:val="0"/>
              <w:ind w:left="113" w:right="113"/>
              <w:jc w:val="right"/>
              <w:rPr>
                <w:rFonts w:ascii="Calibri" w:hAnsi="Calibri" w:cstheme="minorHAnsi"/>
                <w:sz w:val="18"/>
                <w:szCs w:val="18"/>
                <w:lang w:val="en-GB"/>
              </w:rPr>
            </w:pPr>
          </w:p>
        </w:tc>
        <w:tc>
          <w:tcPr>
            <w:tcW w:w="2268" w:type="dxa"/>
          </w:tcPr>
          <w:p w14:paraId="791F711B" w14:textId="77777777" w:rsidR="00B656F6" w:rsidRPr="00451852" w:rsidRDefault="00B656F6" w:rsidP="008F0944">
            <w:pPr>
              <w:snapToGrid w:val="0"/>
              <w:jc w:val="right"/>
              <w:rPr>
                <w:rFonts w:ascii="Calibri" w:hAnsi="Calibri" w:cstheme="minorHAnsi"/>
                <w:sz w:val="18"/>
                <w:szCs w:val="18"/>
                <w:lang w:val="en-GB"/>
              </w:rPr>
            </w:pPr>
          </w:p>
        </w:tc>
        <w:tc>
          <w:tcPr>
            <w:tcW w:w="0" w:type="auto"/>
          </w:tcPr>
          <w:p w14:paraId="46431185" w14:textId="77777777" w:rsidR="00B656F6" w:rsidRPr="00451852" w:rsidRDefault="00B656F6" w:rsidP="008F0944">
            <w:pPr>
              <w:snapToGrid w:val="0"/>
              <w:jc w:val="right"/>
              <w:rPr>
                <w:rFonts w:ascii="Calibri" w:hAnsi="Calibri"/>
                <w:b/>
                <w:sz w:val="18"/>
                <w:szCs w:val="18"/>
              </w:rPr>
            </w:pPr>
            <w:r>
              <w:rPr>
                <w:rFonts w:ascii="Calibri" w:hAnsi="Calibri" w:hint="eastAsia"/>
                <w:b/>
                <w:sz w:val="18"/>
                <w:szCs w:val="18"/>
              </w:rPr>
              <w:t>2</w:t>
            </w:r>
            <w:r>
              <w:rPr>
                <w:rFonts w:ascii="Calibri" w:hAnsi="Calibri"/>
                <w:b/>
                <w:sz w:val="18"/>
                <w:szCs w:val="18"/>
              </w:rPr>
              <w:t>013</w:t>
            </w:r>
          </w:p>
        </w:tc>
        <w:tc>
          <w:tcPr>
            <w:tcW w:w="0" w:type="auto"/>
          </w:tcPr>
          <w:p w14:paraId="1603E6C6" w14:textId="77777777" w:rsidR="00B656F6" w:rsidRPr="00451852" w:rsidRDefault="00B656F6" w:rsidP="008F0944">
            <w:pPr>
              <w:snapToGrid w:val="0"/>
              <w:jc w:val="right"/>
              <w:rPr>
                <w:rFonts w:ascii="Calibri" w:hAnsi="Calibri"/>
                <w:b/>
                <w:sz w:val="18"/>
                <w:szCs w:val="18"/>
              </w:rPr>
            </w:pPr>
            <w:r>
              <w:rPr>
                <w:rFonts w:ascii="Calibri" w:hAnsi="Calibri" w:hint="eastAsia"/>
                <w:b/>
                <w:sz w:val="18"/>
                <w:szCs w:val="18"/>
              </w:rPr>
              <w:t>2</w:t>
            </w:r>
            <w:r>
              <w:rPr>
                <w:rFonts w:ascii="Calibri" w:hAnsi="Calibri"/>
                <w:b/>
                <w:sz w:val="18"/>
                <w:szCs w:val="18"/>
              </w:rPr>
              <w:t>016</w:t>
            </w:r>
          </w:p>
        </w:tc>
        <w:tc>
          <w:tcPr>
            <w:tcW w:w="717" w:type="dxa"/>
          </w:tcPr>
          <w:p w14:paraId="2EB8EA09" w14:textId="77777777" w:rsidR="00B656F6" w:rsidRPr="00451852" w:rsidRDefault="00B656F6" w:rsidP="008F0944">
            <w:pPr>
              <w:snapToGrid w:val="0"/>
              <w:jc w:val="right"/>
              <w:rPr>
                <w:rFonts w:ascii="Calibri" w:hAnsi="Calibri"/>
                <w:sz w:val="18"/>
                <w:szCs w:val="18"/>
              </w:rPr>
            </w:pPr>
          </w:p>
        </w:tc>
      </w:tr>
      <w:tr w:rsidR="00B656F6" w:rsidRPr="00451852" w14:paraId="6A9D5965" w14:textId="77777777" w:rsidTr="008F0944">
        <w:tc>
          <w:tcPr>
            <w:tcW w:w="566" w:type="dxa"/>
            <w:textDirection w:val="btLr"/>
          </w:tcPr>
          <w:p w14:paraId="52841E73" w14:textId="77777777" w:rsidR="00B656F6" w:rsidRPr="00451852" w:rsidRDefault="00B656F6" w:rsidP="008F0944">
            <w:pPr>
              <w:wordWrap w:val="0"/>
              <w:snapToGrid w:val="0"/>
              <w:ind w:left="113" w:right="113"/>
              <w:jc w:val="right"/>
              <w:rPr>
                <w:rFonts w:ascii="Calibri" w:hAnsi="Calibri" w:cstheme="minorHAnsi"/>
                <w:sz w:val="18"/>
                <w:szCs w:val="18"/>
                <w:lang w:val="en-GB"/>
              </w:rPr>
            </w:pPr>
          </w:p>
        </w:tc>
        <w:tc>
          <w:tcPr>
            <w:tcW w:w="2268" w:type="dxa"/>
            <w:shd w:val="clear" w:color="auto" w:fill="E7E6E6" w:themeFill="background2"/>
          </w:tcPr>
          <w:p w14:paraId="31910582" w14:textId="77777777" w:rsidR="00B656F6" w:rsidRPr="00451852" w:rsidRDefault="00B656F6" w:rsidP="008F0944">
            <w:pPr>
              <w:wordWrap w:val="0"/>
              <w:snapToGrid w:val="0"/>
              <w:jc w:val="right"/>
              <w:rPr>
                <w:rFonts w:ascii="Calibri" w:hAnsi="Calibri" w:cstheme="minorHAnsi"/>
                <w:sz w:val="18"/>
                <w:szCs w:val="18"/>
                <w:lang w:val="en-GB"/>
              </w:rPr>
            </w:pPr>
            <w:r>
              <w:rPr>
                <w:rFonts w:ascii="Calibri" w:hAnsi="Calibri" w:cstheme="minorHAnsi"/>
                <w:sz w:val="18"/>
                <w:szCs w:val="18"/>
                <w:lang w:val="en-GB"/>
              </w:rPr>
              <w:t xml:space="preserve">Suicide mortality </w:t>
            </w:r>
            <w:r w:rsidRPr="00451852">
              <w:rPr>
                <w:rFonts w:ascii="Calibri" w:hAnsi="Calibri"/>
                <w:sz w:val="18"/>
                <w:szCs w:val="18"/>
              </w:rPr>
              <w:t>(per 10</w:t>
            </w:r>
            <w:r w:rsidRPr="00451852">
              <w:rPr>
                <w:rFonts w:ascii="Calibri" w:hAnsi="Calibri"/>
                <w:sz w:val="18"/>
                <w:szCs w:val="18"/>
              </w:rPr>
              <w:lastRenderedPageBreak/>
              <w:t>0,000 population)</w:t>
            </w:r>
          </w:p>
        </w:tc>
        <w:tc>
          <w:tcPr>
            <w:tcW w:w="0" w:type="auto"/>
            <w:shd w:val="clear" w:color="auto" w:fill="E7E6E6" w:themeFill="background2"/>
          </w:tcPr>
          <w:p w14:paraId="238D1D00" w14:textId="77777777" w:rsidR="00B656F6" w:rsidRPr="008F0944" w:rsidRDefault="00B656F6" w:rsidP="008F0944">
            <w:pPr>
              <w:snapToGrid w:val="0"/>
              <w:jc w:val="right"/>
              <w:rPr>
                <w:rFonts w:ascii="Calibri" w:hAnsi="Calibri"/>
                <w:bCs/>
                <w:sz w:val="18"/>
                <w:szCs w:val="18"/>
              </w:rPr>
            </w:pPr>
            <w:r w:rsidRPr="008F0944">
              <w:rPr>
                <w:rFonts w:ascii="Calibri" w:hAnsi="Calibri"/>
                <w:bCs/>
                <w:sz w:val="18"/>
                <w:szCs w:val="18"/>
              </w:rPr>
              <w:lastRenderedPageBreak/>
              <w:t>7.69</w:t>
            </w:r>
          </w:p>
        </w:tc>
        <w:tc>
          <w:tcPr>
            <w:tcW w:w="0" w:type="auto"/>
            <w:shd w:val="clear" w:color="auto" w:fill="E7E6E6" w:themeFill="background2"/>
          </w:tcPr>
          <w:p w14:paraId="779E5B7E" w14:textId="77777777" w:rsidR="00B656F6" w:rsidRPr="008F0944" w:rsidRDefault="00B656F6" w:rsidP="008F0944">
            <w:pPr>
              <w:snapToGrid w:val="0"/>
              <w:jc w:val="right"/>
              <w:rPr>
                <w:rFonts w:ascii="Calibri" w:hAnsi="Calibri"/>
                <w:bCs/>
                <w:sz w:val="18"/>
                <w:szCs w:val="18"/>
              </w:rPr>
            </w:pPr>
            <w:r w:rsidRPr="008F0944">
              <w:rPr>
                <w:rFonts w:ascii="Calibri" w:hAnsi="Calibri"/>
                <w:bCs/>
                <w:sz w:val="18"/>
                <w:szCs w:val="18"/>
              </w:rPr>
              <w:t>7.05</w:t>
            </w:r>
          </w:p>
        </w:tc>
        <w:tc>
          <w:tcPr>
            <w:tcW w:w="717" w:type="dxa"/>
            <w:shd w:val="clear" w:color="auto" w:fill="E7E6E6" w:themeFill="background2"/>
          </w:tcPr>
          <w:p w14:paraId="1128F074" w14:textId="77777777" w:rsidR="00B656F6" w:rsidRPr="00451852" w:rsidRDefault="00B656F6" w:rsidP="008F0944">
            <w:pPr>
              <w:snapToGrid w:val="0"/>
              <w:jc w:val="right"/>
              <w:rPr>
                <w:rFonts w:ascii="Calibri" w:hAnsi="Calibri"/>
                <w:sz w:val="18"/>
                <w:szCs w:val="18"/>
              </w:rPr>
            </w:pPr>
          </w:p>
        </w:tc>
      </w:tr>
      <w:tr w:rsidR="00B656F6" w:rsidRPr="00451852" w14:paraId="5E3E3D52" w14:textId="77777777" w:rsidTr="008F0944">
        <w:tc>
          <w:tcPr>
            <w:tcW w:w="566" w:type="dxa"/>
            <w:textDirection w:val="btLr"/>
          </w:tcPr>
          <w:p w14:paraId="317B6DEE" w14:textId="77777777" w:rsidR="00B656F6" w:rsidRPr="00451852" w:rsidRDefault="00B656F6" w:rsidP="008F0944">
            <w:pPr>
              <w:wordWrap w:val="0"/>
              <w:snapToGrid w:val="0"/>
              <w:ind w:left="113" w:right="113"/>
              <w:jc w:val="right"/>
              <w:rPr>
                <w:rFonts w:ascii="Calibri" w:hAnsi="Calibri" w:cstheme="minorHAnsi"/>
                <w:sz w:val="18"/>
                <w:szCs w:val="18"/>
                <w:lang w:val="en-GB"/>
              </w:rPr>
            </w:pPr>
          </w:p>
        </w:tc>
        <w:tc>
          <w:tcPr>
            <w:tcW w:w="2268" w:type="dxa"/>
          </w:tcPr>
          <w:p w14:paraId="67350F10" w14:textId="77777777" w:rsidR="00B656F6" w:rsidRPr="00451852" w:rsidRDefault="00B656F6" w:rsidP="008F0944">
            <w:pPr>
              <w:snapToGrid w:val="0"/>
              <w:jc w:val="right"/>
              <w:rPr>
                <w:rFonts w:ascii="Calibri" w:hAnsi="Calibri" w:cstheme="minorHAnsi"/>
                <w:sz w:val="18"/>
                <w:szCs w:val="18"/>
                <w:lang w:val="en-GB"/>
              </w:rPr>
            </w:pPr>
            <w:r>
              <w:rPr>
                <w:rFonts w:ascii="Calibri" w:hAnsi="Calibri" w:cstheme="minorHAnsi" w:hint="eastAsia"/>
                <w:sz w:val="18"/>
                <w:szCs w:val="18"/>
                <w:lang w:val="en-GB"/>
              </w:rPr>
              <w:t>M</w:t>
            </w:r>
            <w:r>
              <w:rPr>
                <w:rFonts w:ascii="Calibri" w:hAnsi="Calibri" w:cstheme="minorHAnsi"/>
                <w:sz w:val="18"/>
                <w:szCs w:val="18"/>
                <w:lang w:val="en-GB"/>
              </w:rPr>
              <w:t>ale</w:t>
            </w:r>
          </w:p>
        </w:tc>
        <w:tc>
          <w:tcPr>
            <w:tcW w:w="0" w:type="auto"/>
          </w:tcPr>
          <w:p w14:paraId="798FBD37" w14:textId="77777777" w:rsidR="00B656F6" w:rsidRPr="00ED5A1D" w:rsidRDefault="00B656F6" w:rsidP="008F0944">
            <w:pPr>
              <w:snapToGrid w:val="0"/>
              <w:jc w:val="right"/>
              <w:rPr>
                <w:rFonts w:ascii="Calibri" w:hAnsi="Calibri"/>
                <w:sz w:val="18"/>
                <w:szCs w:val="18"/>
              </w:rPr>
            </w:pPr>
            <w:r w:rsidRPr="00ED5A1D">
              <w:rPr>
                <w:rFonts w:ascii="Calibri" w:hAnsi="Calibri" w:hint="eastAsia"/>
                <w:sz w:val="18"/>
                <w:szCs w:val="18"/>
              </w:rPr>
              <w:t>8</w:t>
            </w:r>
            <w:r w:rsidRPr="00ED5A1D">
              <w:rPr>
                <w:rFonts w:ascii="Calibri" w:hAnsi="Calibri"/>
                <w:sz w:val="18"/>
                <w:szCs w:val="18"/>
              </w:rPr>
              <w:t>.7</w:t>
            </w:r>
          </w:p>
        </w:tc>
        <w:tc>
          <w:tcPr>
            <w:tcW w:w="0" w:type="auto"/>
          </w:tcPr>
          <w:p w14:paraId="1A5AD01C" w14:textId="77777777" w:rsidR="00B656F6" w:rsidRPr="00ED5A1D" w:rsidRDefault="00B656F6" w:rsidP="008F0944">
            <w:pPr>
              <w:snapToGrid w:val="0"/>
              <w:jc w:val="right"/>
              <w:rPr>
                <w:rFonts w:ascii="Calibri" w:hAnsi="Calibri"/>
                <w:sz w:val="18"/>
                <w:szCs w:val="18"/>
              </w:rPr>
            </w:pPr>
            <w:r w:rsidRPr="00ED5A1D">
              <w:rPr>
                <w:rFonts w:ascii="Calibri" w:hAnsi="Calibri" w:hint="eastAsia"/>
                <w:sz w:val="18"/>
                <w:szCs w:val="18"/>
              </w:rPr>
              <w:t>8</w:t>
            </w:r>
            <w:r w:rsidRPr="00ED5A1D">
              <w:rPr>
                <w:rFonts w:ascii="Calibri" w:hAnsi="Calibri"/>
                <w:sz w:val="18"/>
                <w:szCs w:val="18"/>
              </w:rPr>
              <w:t>.1</w:t>
            </w:r>
          </w:p>
        </w:tc>
        <w:tc>
          <w:tcPr>
            <w:tcW w:w="717" w:type="dxa"/>
          </w:tcPr>
          <w:p w14:paraId="28EE6FA8" w14:textId="77777777" w:rsidR="00B656F6" w:rsidRPr="00451852" w:rsidRDefault="00B656F6" w:rsidP="008F0944">
            <w:pPr>
              <w:snapToGrid w:val="0"/>
              <w:jc w:val="right"/>
              <w:rPr>
                <w:rFonts w:ascii="Calibri" w:hAnsi="Calibri"/>
                <w:sz w:val="18"/>
                <w:szCs w:val="18"/>
              </w:rPr>
            </w:pPr>
            <w:r>
              <w:rPr>
                <w:rFonts w:ascii="Calibri" w:hAnsi="Calibri" w:hint="eastAsia"/>
                <w:sz w:val="18"/>
                <w:szCs w:val="18"/>
              </w:rPr>
              <w:t>e</w:t>
            </w:r>
          </w:p>
        </w:tc>
      </w:tr>
      <w:tr w:rsidR="00B656F6" w:rsidRPr="00451852" w14:paraId="3FE81B2E" w14:textId="77777777" w:rsidTr="008F0944">
        <w:tc>
          <w:tcPr>
            <w:tcW w:w="566" w:type="dxa"/>
            <w:textDirection w:val="btLr"/>
          </w:tcPr>
          <w:p w14:paraId="14C362F6" w14:textId="77777777" w:rsidR="00B656F6" w:rsidRPr="00451852" w:rsidRDefault="00B656F6" w:rsidP="008F0944">
            <w:pPr>
              <w:wordWrap w:val="0"/>
              <w:snapToGrid w:val="0"/>
              <w:ind w:left="113" w:right="113"/>
              <w:jc w:val="right"/>
              <w:rPr>
                <w:rFonts w:ascii="Calibri" w:hAnsi="Calibri" w:cstheme="minorHAnsi"/>
                <w:sz w:val="18"/>
                <w:szCs w:val="18"/>
                <w:lang w:val="en-GB"/>
              </w:rPr>
            </w:pPr>
          </w:p>
        </w:tc>
        <w:tc>
          <w:tcPr>
            <w:tcW w:w="2268" w:type="dxa"/>
          </w:tcPr>
          <w:p w14:paraId="26B8279F" w14:textId="77777777" w:rsidR="00B656F6" w:rsidRPr="00451852" w:rsidRDefault="00B656F6" w:rsidP="008F0944">
            <w:pPr>
              <w:snapToGrid w:val="0"/>
              <w:jc w:val="right"/>
              <w:rPr>
                <w:rFonts w:ascii="Calibri" w:hAnsi="Calibri" w:cstheme="minorHAnsi"/>
                <w:sz w:val="18"/>
                <w:szCs w:val="18"/>
                <w:lang w:val="en-GB"/>
              </w:rPr>
            </w:pPr>
            <w:r>
              <w:rPr>
                <w:rFonts w:ascii="Calibri" w:hAnsi="Calibri" w:cstheme="minorHAnsi" w:hint="eastAsia"/>
                <w:sz w:val="18"/>
                <w:szCs w:val="18"/>
                <w:lang w:val="en-GB"/>
              </w:rPr>
              <w:t>F</w:t>
            </w:r>
            <w:r>
              <w:rPr>
                <w:rFonts w:ascii="Calibri" w:hAnsi="Calibri" w:cstheme="minorHAnsi"/>
                <w:sz w:val="18"/>
                <w:szCs w:val="18"/>
                <w:lang w:val="en-GB"/>
              </w:rPr>
              <w:t>emale</w:t>
            </w:r>
          </w:p>
        </w:tc>
        <w:tc>
          <w:tcPr>
            <w:tcW w:w="0" w:type="auto"/>
          </w:tcPr>
          <w:p w14:paraId="01D4D7B5" w14:textId="77777777" w:rsidR="00B656F6" w:rsidRPr="00ED5A1D" w:rsidRDefault="00B656F6" w:rsidP="008F0944">
            <w:pPr>
              <w:snapToGrid w:val="0"/>
              <w:jc w:val="right"/>
              <w:rPr>
                <w:rFonts w:ascii="Calibri" w:hAnsi="Calibri"/>
                <w:sz w:val="18"/>
                <w:szCs w:val="18"/>
              </w:rPr>
            </w:pPr>
            <w:r w:rsidRPr="00ED5A1D">
              <w:rPr>
                <w:rFonts w:ascii="Calibri" w:hAnsi="Calibri" w:hint="eastAsia"/>
                <w:sz w:val="18"/>
                <w:szCs w:val="18"/>
              </w:rPr>
              <w:t>6</w:t>
            </w:r>
            <w:r w:rsidRPr="00ED5A1D">
              <w:rPr>
                <w:rFonts w:ascii="Calibri" w:hAnsi="Calibri"/>
                <w:sz w:val="18"/>
                <w:szCs w:val="18"/>
              </w:rPr>
              <w:t>.7</w:t>
            </w:r>
          </w:p>
        </w:tc>
        <w:tc>
          <w:tcPr>
            <w:tcW w:w="0" w:type="auto"/>
          </w:tcPr>
          <w:p w14:paraId="5D63DF2B" w14:textId="77777777" w:rsidR="00B656F6" w:rsidRPr="00ED5A1D" w:rsidRDefault="00B656F6" w:rsidP="008F0944">
            <w:pPr>
              <w:snapToGrid w:val="0"/>
              <w:jc w:val="right"/>
              <w:rPr>
                <w:rFonts w:ascii="Calibri" w:hAnsi="Calibri"/>
                <w:sz w:val="18"/>
                <w:szCs w:val="18"/>
              </w:rPr>
            </w:pPr>
            <w:r w:rsidRPr="00ED5A1D">
              <w:rPr>
                <w:rFonts w:ascii="Calibri" w:hAnsi="Calibri" w:hint="eastAsia"/>
                <w:sz w:val="18"/>
                <w:szCs w:val="18"/>
              </w:rPr>
              <w:t>6</w:t>
            </w:r>
            <w:r w:rsidRPr="00ED5A1D">
              <w:rPr>
                <w:rFonts w:ascii="Calibri" w:hAnsi="Calibri"/>
                <w:sz w:val="18"/>
                <w:szCs w:val="18"/>
              </w:rPr>
              <w:t>.0</w:t>
            </w:r>
          </w:p>
        </w:tc>
        <w:tc>
          <w:tcPr>
            <w:tcW w:w="717" w:type="dxa"/>
          </w:tcPr>
          <w:p w14:paraId="5B75591A" w14:textId="77777777" w:rsidR="00B656F6" w:rsidRPr="00451852" w:rsidRDefault="00B656F6" w:rsidP="008F0944">
            <w:pPr>
              <w:snapToGrid w:val="0"/>
              <w:jc w:val="right"/>
              <w:rPr>
                <w:rFonts w:ascii="Calibri" w:hAnsi="Calibri"/>
                <w:sz w:val="18"/>
                <w:szCs w:val="18"/>
              </w:rPr>
            </w:pPr>
            <w:r>
              <w:rPr>
                <w:rFonts w:ascii="Calibri" w:hAnsi="Calibri" w:hint="eastAsia"/>
                <w:sz w:val="18"/>
                <w:szCs w:val="18"/>
              </w:rPr>
              <w:t>e</w:t>
            </w:r>
          </w:p>
        </w:tc>
      </w:tr>
      <w:tr w:rsidR="00B656F6" w:rsidRPr="00451852" w14:paraId="6B5A6195" w14:textId="77777777" w:rsidTr="008F0944">
        <w:tc>
          <w:tcPr>
            <w:tcW w:w="566" w:type="dxa"/>
            <w:textDirection w:val="btLr"/>
          </w:tcPr>
          <w:p w14:paraId="46677A4B" w14:textId="77777777" w:rsidR="00B656F6" w:rsidRPr="00451852" w:rsidRDefault="00B656F6" w:rsidP="008F0944">
            <w:pPr>
              <w:wordWrap w:val="0"/>
              <w:snapToGrid w:val="0"/>
              <w:ind w:left="113" w:right="113"/>
              <w:jc w:val="right"/>
              <w:rPr>
                <w:rFonts w:ascii="Calibri" w:hAnsi="Calibri" w:cstheme="minorHAnsi"/>
                <w:sz w:val="18"/>
                <w:szCs w:val="18"/>
                <w:lang w:val="en-GB"/>
              </w:rPr>
            </w:pPr>
          </w:p>
        </w:tc>
        <w:tc>
          <w:tcPr>
            <w:tcW w:w="2268" w:type="dxa"/>
          </w:tcPr>
          <w:p w14:paraId="0ACB6D23" w14:textId="77777777" w:rsidR="00B656F6" w:rsidRDefault="00B656F6" w:rsidP="008F0944">
            <w:pPr>
              <w:snapToGrid w:val="0"/>
              <w:jc w:val="right"/>
              <w:rPr>
                <w:rFonts w:ascii="Calibri" w:hAnsi="Calibri" w:cstheme="minorHAnsi"/>
                <w:sz w:val="18"/>
                <w:szCs w:val="18"/>
                <w:lang w:val="en-GB"/>
              </w:rPr>
            </w:pPr>
            <w:r w:rsidRPr="00451852">
              <w:rPr>
                <w:rFonts w:ascii="Calibri" w:hAnsi="Calibri" w:cstheme="minorHAnsi"/>
                <w:sz w:val="18"/>
                <w:szCs w:val="18"/>
                <w:lang w:val="en-GB"/>
              </w:rPr>
              <w:t>Urban</w:t>
            </w:r>
          </w:p>
        </w:tc>
        <w:tc>
          <w:tcPr>
            <w:tcW w:w="0" w:type="auto"/>
          </w:tcPr>
          <w:p w14:paraId="39267BAE" w14:textId="77777777" w:rsidR="00B656F6" w:rsidRPr="00ED5A1D" w:rsidRDefault="00B656F6" w:rsidP="008F0944">
            <w:pPr>
              <w:snapToGrid w:val="0"/>
              <w:jc w:val="right"/>
              <w:rPr>
                <w:rFonts w:ascii="Calibri" w:hAnsi="Calibri"/>
                <w:sz w:val="18"/>
                <w:szCs w:val="18"/>
              </w:rPr>
            </w:pPr>
            <w:r w:rsidRPr="00ED5A1D">
              <w:rPr>
                <w:rFonts w:ascii="Calibri" w:hAnsi="Calibri" w:hint="eastAsia"/>
                <w:sz w:val="18"/>
                <w:szCs w:val="18"/>
              </w:rPr>
              <w:t>5</w:t>
            </w:r>
            <w:r w:rsidRPr="00ED5A1D">
              <w:rPr>
                <w:rFonts w:ascii="Calibri" w:hAnsi="Calibri"/>
                <w:sz w:val="18"/>
                <w:szCs w:val="18"/>
              </w:rPr>
              <w:t>.3</w:t>
            </w:r>
          </w:p>
        </w:tc>
        <w:tc>
          <w:tcPr>
            <w:tcW w:w="0" w:type="auto"/>
          </w:tcPr>
          <w:p w14:paraId="1463A33F" w14:textId="77777777" w:rsidR="00B656F6" w:rsidRPr="00ED5A1D" w:rsidRDefault="00B656F6" w:rsidP="008F0944">
            <w:pPr>
              <w:snapToGrid w:val="0"/>
              <w:jc w:val="right"/>
              <w:rPr>
                <w:rFonts w:ascii="Calibri" w:hAnsi="Calibri"/>
                <w:sz w:val="18"/>
                <w:szCs w:val="18"/>
              </w:rPr>
            </w:pPr>
            <w:r w:rsidRPr="00ED5A1D">
              <w:rPr>
                <w:rFonts w:ascii="Calibri" w:hAnsi="Calibri" w:hint="eastAsia"/>
                <w:sz w:val="18"/>
                <w:szCs w:val="18"/>
              </w:rPr>
              <w:t>4</w:t>
            </w:r>
            <w:r w:rsidRPr="00ED5A1D">
              <w:rPr>
                <w:rFonts w:ascii="Calibri" w:hAnsi="Calibri"/>
                <w:sz w:val="18"/>
                <w:szCs w:val="18"/>
              </w:rPr>
              <w:t>.9</w:t>
            </w:r>
          </w:p>
        </w:tc>
        <w:tc>
          <w:tcPr>
            <w:tcW w:w="717" w:type="dxa"/>
          </w:tcPr>
          <w:p w14:paraId="4D7A63FB" w14:textId="77777777" w:rsidR="00B656F6" w:rsidRPr="00451852" w:rsidRDefault="00B656F6" w:rsidP="008F0944">
            <w:pPr>
              <w:snapToGrid w:val="0"/>
              <w:jc w:val="right"/>
              <w:rPr>
                <w:rFonts w:ascii="Calibri" w:hAnsi="Calibri"/>
                <w:sz w:val="18"/>
                <w:szCs w:val="18"/>
              </w:rPr>
            </w:pPr>
            <w:r>
              <w:rPr>
                <w:rFonts w:ascii="Calibri" w:hAnsi="Calibri" w:hint="eastAsia"/>
                <w:sz w:val="18"/>
                <w:szCs w:val="18"/>
              </w:rPr>
              <w:t>e</w:t>
            </w:r>
          </w:p>
        </w:tc>
      </w:tr>
      <w:tr w:rsidR="00B656F6" w:rsidRPr="00451852" w14:paraId="42B60D31" w14:textId="77777777" w:rsidTr="008F0944">
        <w:tc>
          <w:tcPr>
            <w:tcW w:w="566" w:type="dxa"/>
            <w:textDirection w:val="btLr"/>
          </w:tcPr>
          <w:p w14:paraId="055E8353" w14:textId="77777777" w:rsidR="00B656F6" w:rsidRPr="00451852" w:rsidRDefault="00B656F6" w:rsidP="008F0944">
            <w:pPr>
              <w:wordWrap w:val="0"/>
              <w:snapToGrid w:val="0"/>
              <w:ind w:left="113" w:right="113"/>
              <w:jc w:val="right"/>
              <w:rPr>
                <w:rFonts w:ascii="Calibri" w:hAnsi="Calibri" w:cstheme="minorHAnsi"/>
                <w:sz w:val="18"/>
                <w:szCs w:val="18"/>
                <w:lang w:val="en-GB"/>
              </w:rPr>
            </w:pPr>
          </w:p>
        </w:tc>
        <w:tc>
          <w:tcPr>
            <w:tcW w:w="2268" w:type="dxa"/>
          </w:tcPr>
          <w:p w14:paraId="15E0B3BD" w14:textId="77777777" w:rsidR="00B656F6" w:rsidRDefault="00B656F6" w:rsidP="008F0944">
            <w:pPr>
              <w:snapToGrid w:val="0"/>
              <w:jc w:val="right"/>
              <w:rPr>
                <w:rFonts w:ascii="Calibri" w:hAnsi="Calibri" w:cstheme="minorHAnsi"/>
                <w:sz w:val="18"/>
                <w:szCs w:val="18"/>
                <w:lang w:val="en-GB"/>
              </w:rPr>
            </w:pPr>
            <w:r w:rsidRPr="00451852">
              <w:rPr>
                <w:rFonts w:ascii="Calibri" w:hAnsi="Calibri" w:cstheme="minorHAnsi"/>
                <w:sz w:val="18"/>
                <w:szCs w:val="18"/>
                <w:lang w:val="en-GB"/>
              </w:rPr>
              <w:t>Rural</w:t>
            </w:r>
          </w:p>
        </w:tc>
        <w:tc>
          <w:tcPr>
            <w:tcW w:w="0" w:type="auto"/>
          </w:tcPr>
          <w:p w14:paraId="685C100E" w14:textId="77777777" w:rsidR="00B656F6" w:rsidRPr="00ED5A1D" w:rsidRDefault="00B656F6" w:rsidP="008F0944">
            <w:pPr>
              <w:snapToGrid w:val="0"/>
              <w:jc w:val="right"/>
              <w:rPr>
                <w:rFonts w:ascii="Calibri" w:hAnsi="Calibri"/>
                <w:sz w:val="18"/>
                <w:szCs w:val="18"/>
              </w:rPr>
            </w:pPr>
            <w:r w:rsidRPr="00ED5A1D">
              <w:rPr>
                <w:rFonts w:ascii="Calibri" w:hAnsi="Calibri" w:hint="eastAsia"/>
                <w:sz w:val="18"/>
                <w:szCs w:val="18"/>
              </w:rPr>
              <w:t>8</w:t>
            </w:r>
            <w:r w:rsidRPr="00ED5A1D">
              <w:rPr>
                <w:rFonts w:ascii="Calibri" w:hAnsi="Calibri"/>
                <w:sz w:val="18"/>
                <w:szCs w:val="18"/>
              </w:rPr>
              <w:t>.8</w:t>
            </w:r>
          </w:p>
        </w:tc>
        <w:tc>
          <w:tcPr>
            <w:tcW w:w="0" w:type="auto"/>
          </w:tcPr>
          <w:p w14:paraId="2EE0E458" w14:textId="77777777" w:rsidR="00B656F6" w:rsidRPr="00ED5A1D" w:rsidRDefault="00B656F6" w:rsidP="008F0944">
            <w:pPr>
              <w:snapToGrid w:val="0"/>
              <w:jc w:val="right"/>
              <w:rPr>
                <w:rFonts w:ascii="Calibri" w:hAnsi="Calibri"/>
                <w:sz w:val="18"/>
                <w:szCs w:val="18"/>
              </w:rPr>
            </w:pPr>
            <w:r w:rsidRPr="00ED5A1D">
              <w:rPr>
                <w:rFonts w:ascii="Calibri" w:hAnsi="Calibri" w:hint="eastAsia"/>
                <w:sz w:val="18"/>
                <w:szCs w:val="18"/>
              </w:rPr>
              <w:t>8</w:t>
            </w:r>
            <w:r w:rsidRPr="00ED5A1D">
              <w:rPr>
                <w:rFonts w:ascii="Calibri" w:hAnsi="Calibri"/>
                <w:sz w:val="18"/>
                <w:szCs w:val="18"/>
              </w:rPr>
              <w:t>.1</w:t>
            </w:r>
          </w:p>
        </w:tc>
        <w:tc>
          <w:tcPr>
            <w:tcW w:w="717" w:type="dxa"/>
          </w:tcPr>
          <w:p w14:paraId="04A4D618" w14:textId="77777777" w:rsidR="00B656F6" w:rsidRPr="00451852" w:rsidRDefault="00B656F6" w:rsidP="008F0944">
            <w:pPr>
              <w:snapToGrid w:val="0"/>
              <w:jc w:val="right"/>
              <w:rPr>
                <w:rFonts w:ascii="Calibri" w:hAnsi="Calibri"/>
                <w:sz w:val="18"/>
                <w:szCs w:val="18"/>
              </w:rPr>
            </w:pPr>
            <w:r>
              <w:rPr>
                <w:rFonts w:ascii="Calibri" w:hAnsi="Calibri" w:hint="eastAsia"/>
                <w:sz w:val="18"/>
                <w:szCs w:val="18"/>
              </w:rPr>
              <w:t>e</w:t>
            </w:r>
          </w:p>
        </w:tc>
      </w:tr>
      <w:tr w:rsidR="00B656F6" w:rsidRPr="00451852" w14:paraId="771AAD74" w14:textId="77777777" w:rsidTr="008F0944">
        <w:tc>
          <w:tcPr>
            <w:tcW w:w="566" w:type="dxa"/>
            <w:vMerge w:val="restart"/>
            <w:textDirection w:val="btLr"/>
          </w:tcPr>
          <w:p w14:paraId="5D24ECA9" w14:textId="77777777" w:rsidR="00B656F6" w:rsidRPr="00451852" w:rsidRDefault="00B656F6" w:rsidP="008F0944">
            <w:pPr>
              <w:wordWrap w:val="0"/>
              <w:snapToGrid w:val="0"/>
              <w:ind w:left="113" w:right="113"/>
              <w:jc w:val="right"/>
              <w:rPr>
                <w:rFonts w:ascii="Calibri" w:hAnsi="Calibri" w:cstheme="minorHAnsi"/>
                <w:sz w:val="18"/>
                <w:szCs w:val="18"/>
                <w:lang w:val="en-GB"/>
              </w:rPr>
            </w:pPr>
            <w:r w:rsidRPr="00451852">
              <w:rPr>
                <w:rFonts w:ascii="Calibri" w:hAnsi="Calibri" w:cstheme="minorHAnsi" w:hint="eastAsia"/>
                <w:sz w:val="18"/>
                <w:szCs w:val="18"/>
                <w:lang w:val="en-GB"/>
              </w:rPr>
              <w:t>R</w:t>
            </w:r>
            <w:r w:rsidRPr="00451852">
              <w:rPr>
                <w:rFonts w:ascii="Calibri" w:hAnsi="Calibri" w:cstheme="minorHAnsi"/>
                <w:sz w:val="18"/>
                <w:szCs w:val="18"/>
                <w:lang w:val="en-GB"/>
              </w:rPr>
              <w:t>oad injury</w:t>
            </w:r>
          </w:p>
        </w:tc>
        <w:tc>
          <w:tcPr>
            <w:tcW w:w="2268" w:type="dxa"/>
          </w:tcPr>
          <w:p w14:paraId="6C9803C1" w14:textId="77777777" w:rsidR="00B656F6" w:rsidRPr="00451852" w:rsidRDefault="00B656F6" w:rsidP="008F0944">
            <w:pPr>
              <w:snapToGrid w:val="0"/>
              <w:jc w:val="right"/>
              <w:rPr>
                <w:rFonts w:ascii="Calibri" w:hAnsi="Calibri" w:cstheme="minorHAnsi"/>
                <w:sz w:val="18"/>
                <w:szCs w:val="18"/>
                <w:lang w:val="en-GB"/>
              </w:rPr>
            </w:pPr>
          </w:p>
        </w:tc>
        <w:tc>
          <w:tcPr>
            <w:tcW w:w="0" w:type="auto"/>
          </w:tcPr>
          <w:p w14:paraId="1ED506B1" w14:textId="77777777" w:rsidR="00B656F6" w:rsidRPr="00451852" w:rsidRDefault="00B656F6" w:rsidP="008F0944">
            <w:pPr>
              <w:snapToGrid w:val="0"/>
              <w:jc w:val="right"/>
              <w:rPr>
                <w:rFonts w:ascii="Calibri" w:hAnsi="Calibri"/>
                <w:b/>
                <w:sz w:val="18"/>
                <w:szCs w:val="18"/>
              </w:rPr>
            </w:pPr>
            <w:r w:rsidRPr="00451852">
              <w:rPr>
                <w:rFonts w:ascii="Calibri" w:hAnsi="Calibri" w:hint="eastAsia"/>
                <w:b/>
                <w:sz w:val="18"/>
                <w:szCs w:val="18"/>
              </w:rPr>
              <w:t>2010</w:t>
            </w:r>
          </w:p>
        </w:tc>
        <w:tc>
          <w:tcPr>
            <w:tcW w:w="0" w:type="auto"/>
          </w:tcPr>
          <w:p w14:paraId="6D6E6647" w14:textId="77777777" w:rsidR="00B656F6" w:rsidRPr="00451852" w:rsidRDefault="00B656F6" w:rsidP="008F0944">
            <w:pPr>
              <w:snapToGrid w:val="0"/>
              <w:jc w:val="right"/>
              <w:rPr>
                <w:rFonts w:ascii="Calibri" w:hAnsi="Calibri"/>
                <w:b/>
                <w:sz w:val="18"/>
                <w:szCs w:val="18"/>
              </w:rPr>
            </w:pPr>
            <w:r w:rsidRPr="00451852">
              <w:rPr>
                <w:rFonts w:ascii="Calibri" w:hAnsi="Calibri" w:hint="eastAsia"/>
                <w:b/>
                <w:sz w:val="18"/>
                <w:szCs w:val="18"/>
              </w:rPr>
              <w:t>2</w:t>
            </w:r>
            <w:r w:rsidRPr="00451852">
              <w:rPr>
                <w:rFonts w:ascii="Calibri" w:hAnsi="Calibri"/>
                <w:b/>
                <w:sz w:val="18"/>
                <w:szCs w:val="18"/>
              </w:rPr>
              <w:t>015</w:t>
            </w:r>
          </w:p>
        </w:tc>
        <w:tc>
          <w:tcPr>
            <w:tcW w:w="717" w:type="dxa"/>
          </w:tcPr>
          <w:p w14:paraId="3F56918D" w14:textId="77777777" w:rsidR="00B656F6" w:rsidRPr="00451852" w:rsidRDefault="00B656F6" w:rsidP="008F0944">
            <w:pPr>
              <w:snapToGrid w:val="0"/>
              <w:jc w:val="right"/>
              <w:rPr>
                <w:rFonts w:ascii="Calibri" w:hAnsi="Calibri"/>
                <w:sz w:val="18"/>
                <w:szCs w:val="18"/>
              </w:rPr>
            </w:pPr>
          </w:p>
        </w:tc>
      </w:tr>
      <w:tr w:rsidR="00B656F6" w:rsidRPr="00451852" w14:paraId="31622BAB" w14:textId="77777777" w:rsidTr="008F0944">
        <w:tc>
          <w:tcPr>
            <w:tcW w:w="566" w:type="dxa"/>
            <w:vMerge/>
            <w:shd w:val="clear" w:color="auto" w:fill="E7E6E6" w:themeFill="background2"/>
            <w:textDirection w:val="btLr"/>
          </w:tcPr>
          <w:p w14:paraId="557D362C" w14:textId="77777777" w:rsidR="00B656F6" w:rsidRPr="00451852" w:rsidRDefault="00B656F6" w:rsidP="008F0944">
            <w:pPr>
              <w:snapToGrid w:val="0"/>
              <w:ind w:left="113" w:right="113"/>
              <w:jc w:val="right"/>
              <w:rPr>
                <w:rFonts w:ascii="Calibri" w:hAnsi="Calibri" w:cstheme="minorHAnsi"/>
                <w:sz w:val="18"/>
                <w:szCs w:val="18"/>
                <w:lang w:val="en-GB"/>
              </w:rPr>
            </w:pPr>
          </w:p>
        </w:tc>
        <w:tc>
          <w:tcPr>
            <w:tcW w:w="2268" w:type="dxa"/>
            <w:shd w:val="clear" w:color="auto" w:fill="E7E6E6" w:themeFill="background2"/>
          </w:tcPr>
          <w:p w14:paraId="3F9419B7" w14:textId="77777777" w:rsidR="00B656F6" w:rsidRPr="00451852" w:rsidRDefault="00B656F6" w:rsidP="008F0944">
            <w:pPr>
              <w:wordWrap w:val="0"/>
              <w:snapToGrid w:val="0"/>
              <w:jc w:val="right"/>
              <w:rPr>
                <w:rFonts w:ascii="Calibri" w:hAnsi="Calibri" w:cstheme="minorHAnsi"/>
                <w:sz w:val="18"/>
                <w:szCs w:val="18"/>
                <w:lang w:val="en-GB"/>
              </w:rPr>
            </w:pPr>
            <w:r w:rsidRPr="00451852">
              <w:rPr>
                <w:rFonts w:ascii="Calibri" w:hAnsi="Calibri" w:cstheme="minorHAnsi"/>
                <w:sz w:val="18"/>
                <w:szCs w:val="18"/>
                <w:lang w:val="en-GB"/>
              </w:rPr>
              <w:t>Road injury mortality</w:t>
            </w:r>
            <w:r>
              <w:rPr>
                <w:rFonts w:ascii="Calibri" w:hAnsi="Calibri" w:cstheme="minorHAnsi"/>
                <w:sz w:val="18"/>
                <w:szCs w:val="18"/>
                <w:lang w:val="en-GB"/>
              </w:rPr>
              <w:t xml:space="preserve"> (per 100,000 population)</w:t>
            </w:r>
          </w:p>
        </w:tc>
        <w:tc>
          <w:tcPr>
            <w:tcW w:w="0" w:type="auto"/>
            <w:shd w:val="clear" w:color="auto" w:fill="E7E6E6" w:themeFill="background2"/>
          </w:tcPr>
          <w:p w14:paraId="2FAB5241" w14:textId="77777777" w:rsidR="00B656F6" w:rsidRPr="00451852" w:rsidRDefault="00B656F6" w:rsidP="008F0944">
            <w:pPr>
              <w:snapToGrid w:val="0"/>
              <w:jc w:val="right"/>
              <w:rPr>
                <w:rFonts w:ascii="Calibri" w:hAnsi="Calibri"/>
                <w:sz w:val="18"/>
                <w:szCs w:val="18"/>
              </w:rPr>
            </w:pPr>
          </w:p>
        </w:tc>
        <w:tc>
          <w:tcPr>
            <w:tcW w:w="0" w:type="auto"/>
            <w:shd w:val="clear" w:color="auto" w:fill="E7E6E6" w:themeFill="background2"/>
          </w:tcPr>
          <w:p w14:paraId="5A7F5A1C" w14:textId="77777777" w:rsidR="00B656F6" w:rsidRPr="00451852" w:rsidRDefault="00B656F6" w:rsidP="008F0944">
            <w:pPr>
              <w:snapToGrid w:val="0"/>
              <w:jc w:val="right"/>
              <w:rPr>
                <w:rFonts w:ascii="Calibri" w:hAnsi="Calibri"/>
                <w:sz w:val="18"/>
                <w:szCs w:val="18"/>
              </w:rPr>
            </w:pPr>
          </w:p>
        </w:tc>
        <w:tc>
          <w:tcPr>
            <w:tcW w:w="717" w:type="dxa"/>
            <w:shd w:val="clear" w:color="auto" w:fill="E7E6E6" w:themeFill="background2"/>
          </w:tcPr>
          <w:p w14:paraId="62B0BD7C" w14:textId="77777777" w:rsidR="00B656F6" w:rsidRPr="00451852" w:rsidRDefault="00B656F6" w:rsidP="008F0944">
            <w:pPr>
              <w:snapToGrid w:val="0"/>
              <w:jc w:val="right"/>
              <w:rPr>
                <w:rFonts w:ascii="Calibri" w:hAnsi="Calibri"/>
                <w:sz w:val="18"/>
                <w:szCs w:val="18"/>
              </w:rPr>
            </w:pPr>
          </w:p>
        </w:tc>
      </w:tr>
      <w:tr w:rsidR="00B656F6" w:rsidRPr="00451852" w14:paraId="6DDE3260" w14:textId="77777777" w:rsidTr="008F0944">
        <w:tc>
          <w:tcPr>
            <w:tcW w:w="566" w:type="dxa"/>
            <w:vMerge/>
            <w:textDirection w:val="btLr"/>
          </w:tcPr>
          <w:p w14:paraId="1E320EFF" w14:textId="77777777" w:rsidR="00B656F6" w:rsidRPr="00451852" w:rsidRDefault="00B656F6" w:rsidP="008F0944">
            <w:pPr>
              <w:snapToGrid w:val="0"/>
              <w:ind w:left="113" w:right="113"/>
              <w:jc w:val="right"/>
              <w:rPr>
                <w:rFonts w:ascii="Calibri" w:hAnsi="Calibri" w:cstheme="minorHAnsi"/>
                <w:sz w:val="18"/>
                <w:szCs w:val="18"/>
                <w:lang w:val="en-GB"/>
              </w:rPr>
            </w:pPr>
          </w:p>
        </w:tc>
        <w:tc>
          <w:tcPr>
            <w:tcW w:w="2268" w:type="dxa"/>
          </w:tcPr>
          <w:p w14:paraId="0176183E" w14:textId="77777777" w:rsidR="00B656F6" w:rsidRPr="00451852" w:rsidRDefault="00B656F6" w:rsidP="008F0944">
            <w:pPr>
              <w:snapToGrid w:val="0"/>
              <w:jc w:val="right"/>
              <w:rPr>
                <w:rFonts w:ascii="Calibri" w:hAnsi="Calibri" w:cstheme="minorHAnsi"/>
                <w:sz w:val="18"/>
                <w:szCs w:val="18"/>
                <w:lang w:val="en-GB"/>
              </w:rPr>
            </w:pPr>
            <w:r w:rsidRPr="00451852">
              <w:rPr>
                <w:rFonts w:ascii="Calibri" w:hAnsi="Calibri" w:cstheme="minorHAnsi" w:hint="eastAsia"/>
                <w:sz w:val="18"/>
                <w:szCs w:val="18"/>
                <w:lang w:val="en-GB"/>
              </w:rPr>
              <w:t>U</w:t>
            </w:r>
            <w:r w:rsidRPr="00451852">
              <w:rPr>
                <w:rFonts w:ascii="Calibri" w:hAnsi="Calibri" w:cstheme="minorHAnsi"/>
                <w:sz w:val="18"/>
                <w:szCs w:val="18"/>
                <w:lang w:val="en-GB"/>
              </w:rPr>
              <w:t>rban total</w:t>
            </w:r>
          </w:p>
        </w:tc>
        <w:tc>
          <w:tcPr>
            <w:tcW w:w="0" w:type="auto"/>
          </w:tcPr>
          <w:p w14:paraId="2A8CC091" w14:textId="77777777" w:rsidR="00B656F6" w:rsidRPr="00451852" w:rsidRDefault="00B656F6" w:rsidP="008F0944">
            <w:pPr>
              <w:snapToGrid w:val="0"/>
              <w:jc w:val="right"/>
              <w:rPr>
                <w:rFonts w:ascii="Calibri" w:hAnsi="Calibri"/>
                <w:sz w:val="18"/>
                <w:szCs w:val="18"/>
              </w:rPr>
            </w:pPr>
            <w:r w:rsidRPr="00451852">
              <w:rPr>
                <w:rFonts w:ascii="Calibri" w:hAnsi="Calibri" w:hint="eastAsia"/>
                <w:sz w:val="18"/>
                <w:szCs w:val="18"/>
              </w:rPr>
              <w:t>8.7</w:t>
            </w:r>
          </w:p>
        </w:tc>
        <w:tc>
          <w:tcPr>
            <w:tcW w:w="0" w:type="auto"/>
          </w:tcPr>
          <w:p w14:paraId="74C43D6F" w14:textId="77777777" w:rsidR="00B656F6" w:rsidRPr="00451852" w:rsidRDefault="00B656F6" w:rsidP="008F0944">
            <w:pPr>
              <w:snapToGrid w:val="0"/>
              <w:jc w:val="right"/>
              <w:rPr>
                <w:rFonts w:ascii="Calibri" w:hAnsi="Calibri"/>
                <w:sz w:val="18"/>
                <w:szCs w:val="18"/>
              </w:rPr>
            </w:pPr>
            <w:r w:rsidRPr="00451852">
              <w:rPr>
                <w:rFonts w:ascii="Calibri" w:hAnsi="Calibri" w:hint="eastAsia"/>
                <w:sz w:val="18"/>
                <w:szCs w:val="18"/>
              </w:rPr>
              <w:t>1</w:t>
            </w:r>
            <w:r w:rsidRPr="00451852">
              <w:rPr>
                <w:rFonts w:ascii="Calibri" w:hAnsi="Calibri"/>
                <w:sz w:val="18"/>
                <w:szCs w:val="18"/>
              </w:rPr>
              <w:t>3.2</w:t>
            </w:r>
          </w:p>
        </w:tc>
        <w:tc>
          <w:tcPr>
            <w:tcW w:w="717" w:type="dxa"/>
          </w:tcPr>
          <w:p w14:paraId="2775D0F6" w14:textId="77777777" w:rsidR="00B656F6" w:rsidRPr="00451852" w:rsidRDefault="00B656F6" w:rsidP="008F0944">
            <w:pPr>
              <w:snapToGrid w:val="0"/>
              <w:jc w:val="right"/>
              <w:rPr>
                <w:rFonts w:ascii="Calibri" w:hAnsi="Calibri"/>
                <w:sz w:val="18"/>
                <w:szCs w:val="18"/>
              </w:rPr>
            </w:pPr>
            <w:r>
              <w:rPr>
                <w:rFonts w:ascii="Calibri" w:hAnsi="Calibri" w:hint="eastAsia"/>
                <w:sz w:val="18"/>
                <w:szCs w:val="18"/>
              </w:rPr>
              <w:t>c</w:t>
            </w:r>
          </w:p>
        </w:tc>
      </w:tr>
      <w:tr w:rsidR="00B656F6" w:rsidRPr="00451852" w14:paraId="4732CC7D" w14:textId="77777777" w:rsidTr="008F0944">
        <w:tc>
          <w:tcPr>
            <w:tcW w:w="566" w:type="dxa"/>
            <w:vMerge/>
            <w:textDirection w:val="btLr"/>
          </w:tcPr>
          <w:p w14:paraId="003F71E2" w14:textId="77777777" w:rsidR="00B656F6" w:rsidRPr="00451852" w:rsidRDefault="00B656F6" w:rsidP="008F0944">
            <w:pPr>
              <w:snapToGrid w:val="0"/>
              <w:ind w:left="113" w:right="113"/>
              <w:jc w:val="right"/>
              <w:rPr>
                <w:rFonts w:ascii="Calibri" w:hAnsi="Calibri" w:cstheme="minorHAnsi"/>
                <w:sz w:val="18"/>
                <w:szCs w:val="18"/>
                <w:lang w:val="en-GB"/>
              </w:rPr>
            </w:pPr>
          </w:p>
        </w:tc>
        <w:tc>
          <w:tcPr>
            <w:tcW w:w="2268" w:type="dxa"/>
          </w:tcPr>
          <w:p w14:paraId="1D0098E3" w14:textId="77777777" w:rsidR="00B656F6" w:rsidRPr="00451852" w:rsidRDefault="00B656F6" w:rsidP="008F0944">
            <w:pPr>
              <w:snapToGrid w:val="0"/>
              <w:jc w:val="right"/>
              <w:rPr>
                <w:rFonts w:ascii="Calibri" w:hAnsi="Calibri" w:cstheme="minorHAnsi"/>
                <w:sz w:val="18"/>
                <w:szCs w:val="18"/>
                <w:lang w:val="en-GB"/>
              </w:rPr>
            </w:pPr>
            <w:r w:rsidRPr="00451852">
              <w:rPr>
                <w:rFonts w:ascii="Calibri" w:hAnsi="Calibri" w:cstheme="minorHAnsi" w:hint="eastAsia"/>
                <w:sz w:val="18"/>
                <w:szCs w:val="18"/>
                <w:lang w:val="en-GB"/>
              </w:rPr>
              <w:t>U</w:t>
            </w:r>
            <w:r w:rsidRPr="00451852">
              <w:rPr>
                <w:rFonts w:ascii="Calibri" w:hAnsi="Calibri" w:cstheme="minorHAnsi"/>
                <w:sz w:val="18"/>
                <w:szCs w:val="18"/>
                <w:lang w:val="en-GB"/>
              </w:rPr>
              <w:t>rban male</w:t>
            </w:r>
          </w:p>
        </w:tc>
        <w:tc>
          <w:tcPr>
            <w:tcW w:w="0" w:type="auto"/>
          </w:tcPr>
          <w:p w14:paraId="3AF5EF45" w14:textId="77777777" w:rsidR="00B656F6" w:rsidRPr="00451852" w:rsidRDefault="00B656F6" w:rsidP="008F0944">
            <w:pPr>
              <w:snapToGrid w:val="0"/>
              <w:jc w:val="right"/>
              <w:rPr>
                <w:rFonts w:ascii="Calibri" w:hAnsi="Calibri"/>
                <w:sz w:val="18"/>
                <w:szCs w:val="18"/>
              </w:rPr>
            </w:pPr>
            <w:r w:rsidRPr="00451852">
              <w:rPr>
                <w:rFonts w:ascii="Calibri" w:hAnsi="Calibri" w:hint="eastAsia"/>
                <w:sz w:val="18"/>
                <w:szCs w:val="18"/>
              </w:rPr>
              <w:t>12.2</w:t>
            </w:r>
          </w:p>
        </w:tc>
        <w:tc>
          <w:tcPr>
            <w:tcW w:w="0" w:type="auto"/>
          </w:tcPr>
          <w:p w14:paraId="07E8F1C7" w14:textId="77777777" w:rsidR="00B656F6" w:rsidRPr="00451852" w:rsidRDefault="00B656F6" w:rsidP="008F0944">
            <w:pPr>
              <w:snapToGrid w:val="0"/>
              <w:jc w:val="right"/>
              <w:rPr>
                <w:rFonts w:ascii="Calibri" w:hAnsi="Calibri"/>
                <w:sz w:val="18"/>
                <w:szCs w:val="18"/>
              </w:rPr>
            </w:pPr>
            <w:r w:rsidRPr="00451852">
              <w:rPr>
                <w:rFonts w:ascii="Calibri" w:hAnsi="Calibri" w:hint="eastAsia"/>
                <w:sz w:val="18"/>
                <w:szCs w:val="18"/>
              </w:rPr>
              <w:t>1</w:t>
            </w:r>
            <w:r w:rsidRPr="00451852">
              <w:rPr>
                <w:rFonts w:ascii="Calibri" w:hAnsi="Calibri"/>
                <w:sz w:val="18"/>
                <w:szCs w:val="18"/>
              </w:rPr>
              <w:t>8.8</w:t>
            </w:r>
          </w:p>
        </w:tc>
        <w:tc>
          <w:tcPr>
            <w:tcW w:w="717" w:type="dxa"/>
          </w:tcPr>
          <w:p w14:paraId="0E900C41" w14:textId="77777777" w:rsidR="00B656F6" w:rsidRPr="00451852" w:rsidRDefault="00B656F6" w:rsidP="008F0944">
            <w:pPr>
              <w:snapToGrid w:val="0"/>
              <w:jc w:val="right"/>
              <w:rPr>
                <w:rFonts w:ascii="Calibri" w:hAnsi="Calibri"/>
                <w:sz w:val="18"/>
                <w:szCs w:val="18"/>
              </w:rPr>
            </w:pPr>
            <w:r>
              <w:rPr>
                <w:rFonts w:ascii="Calibri" w:hAnsi="Calibri" w:hint="eastAsia"/>
                <w:sz w:val="18"/>
                <w:szCs w:val="18"/>
              </w:rPr>
              <w:t>c</w:t>
            </w:r>
          </w:p>
        </w:tc>
      </w:tr>
      <w:tr w:rsidR="00B656F6" w:rsidRPr="00451852" w14:paraId="2D2F7A6F" w14:textId="77777777" w:rsidTr="008F0944">
        <w:tc>
          <w:tcPr>
            <w:tcW w:w="566" w:type="dxa"/>
            <w:vMerge/>
            <w:textDirection w:val="btLr"/>
          </w:tcPr>
          <w:p w14:paraId="02DBBE11" w14:textId="77777777" w:rsidR="00B656F6" w:rsidRPr="00451852" w:rsidRDefault="00B656F6" w:rsidP="008F0944">
            <w:pPr>
              <w:snapToGrid w:val="0"/>
              <w:ind w:left="113" w:right="113"/>
              <w:jc w:val="right"/>
              <w:rPr>
                <w:rFonts w:ascii="Calibri" w:hAnsi="Calibri" w:cstheme="minorHAnsi"/>
                <w:sz w:val="18"/>
                <w:szCs w:val="18"/>
                <w:lang w:val="en-GB"/>
              </w:rPr>
            </w:pPr>
          </w:p>
        </w:tc>
        <w:tc>
          <w:tcPr>
            <w:tcW w:w="2268" w:type="dxa"/>
          </w:tcPr>
          <w:p w14:paraId="43173FCF" w14:textId="77777777" w:rsidR="00B656F6" w:rsidRPr="00451852" w:rsidRDefault="00B656F6" w:rsidP="008F0944">
            <w:pPr>
              <w:snapToGrid w:val="0"/>
              <w:jc w:val="right"/>
              <w:rPr>
                <w:rFonts w:ascii="Calibri" w:hAnsi="Calibri" w:cstheme="minorHAnsi"/>
                <w:sz w:val="18"/>
                <w:szCs w:val="18"/>
                <w:lang w:val="en-GB"/>
              </w:rPr>
            </w:pPr>
            <w:r w:rsidRPr="00451852">
              <w:rPr>
                <w:rFonts w:ascii="Calibri" w:hAnsi="Calibri" w:cstheme="minorHAnsi" w:hint="eastAsia"/>
                <w:sz w:val="18"/>
                <w:szCs w:val="18"/>
                <w:lang w:val="en-GB"/>
              </w:rPr>
              <w:t>U</w:t>
            </w:r>
            <w:r w:rsidRPr="00451852">
              <w:rPr>
                <w:rFonts w:ascii="Calibri" w:hAnsi="Calibri" w:cstheme="minorHAnsi"/>
                <w:sz w:val="18"/>
                <w:szCs w:val="18"/>
                <w:lang w:val="en-GB"/>
              </w:rPr>
              <w:t>rban female</w:t>
            </w:r>
          </w:p>
        </w:tc>
        <w:tc>
          <w:tcPr>
            <w:tcW w:w="0" w:type="auto"/>
          </w:tcPr>
          <w:p w14:paraId="6DF7B36D" w14:textId="77777777" w:rsidR="00B656F6" w:rsidRPr="00451852" w:rsidRDefault="00B656F6" w:rsidP="008F0944">
            <w:pPr>
              <w:snapToGrid w:val="0"/>
              <w:jc w:val="right"/>
              <w:rPr>
                <w:rFonts w:ascii="Calibri" w:hAnsi="Calibri"/>
                <w:sz w:val="18"/>
                <w:szCs w:val="18"/>
              </w:rPr>
            </w:pPr>
            <w:r w:rsidRPr="00451852">
              <w:rPr>
                <w:rFonts w:ascii="Calibri" w:hAnsi="Calibri" w:hint="eastAsia"/>
                <w:sz w:val="18"/>
                <w:szCs w:val="18"/>
              </w:rPr>
              <w:t>5.0</w:t>
            </w:r>
          </w:p>
        </w:tc>
        <w:tc>
          <w:tcPr>
            <w:tcW w:w="0" w:type="auto"/>
          </w:tcPr>
          <w:p w14:paraId="52AB5B86" w14:textId="77777777" w:rsidR="00B656F6" w:rsidRPr="00451852" w:rsidRDefault="00B656F6" w:rsidP="008F0944">
            <w:pPr>
              <w:snapToGrid w:val="0"/>
              <w:jc w:val="right"/>
              <w:rPr>
                <w:rFonts w:ascii="Calibri" w:hAnsi="Calibri"/>
                <w:sz w:val="18"/>
                <w:szCs w:val="18"/>
              </w:rPr>
            </w:pPr>
            <w:r w:rsidRPr="00451852">
              <w:rPr>
                <w:rFonts w:ascii="Calibri" w:hAnsi="Calibri"/>
                <w:sz w:val="18"/>
                <w:szCs w:val="18"/>
              </w:rPr>
              <w:t>7.4</w:t>
            </w:r>
          </w:p>
        </w:tc>
        <w:tc>
          <w:tcPr>
            <w:tcW w:w="717" w:type="dxa"/>
          </w:tcPr>
          <w:p w14:paraId="12E3187F" w14:textId="77777777" w:rsidR="00B656F6" w:rsidRPr="00451852" w:rsidRDefault="00B656F6" w:rsidP="008F0944">
            <w:pPr>
              <w:snapToGrid w:val="0"/>
              <w:jc w:val="right"/>
              <w:rPr>
                <w:rFonts w:ascii="Calibri" w:hAnsi="Calibri"/>
                <w:sz w:val="18"/>
                <w:szCs w:val="18"/>
              </w:rPr>
            </w:pPr>
            <w:r>
              <w:rPr>
                <w:rFonts w:ascii="Calibri" w:hAnsi="Calibri" w:hint="eastAsia"/>
                <w:sz w:val="18"/>
                <w:szCs w:val="18"/>
              </w:rPr>
              <w:t>c</w:t>
            </w:r>
          </w:p>
        </w:tc>
      </w:tr>
      <w:tr w:rsidR="00B656F6" w:rsidRPr="00451852" w14:paraId="105630B6" w14:textId="77777777" w:rsidTr="008F0944">
        <w:tc>
          <w:tcPr>
            <w:tcW w:w="566" w:type="dxa"/>
            <w:vMerge/>
            <w:textDirection w:val="btLr"/>
          </w:tcPr>
          <w:p w14:paraId="1178B3F1" w14:textId="77777777" w:rsidR="00B656F6" w:rsidRPr="00451852" w:rsidRDefault="00B656F6" w:rsidP="008F0944">
            <w:pPr>
              <w:snapToGrid w:val="0"/>
              <w:ind w:left="113" w:right="113"/>
              <w:jc w:val="right"/>
              <w:rPr>
                <w:rFonts w:ascii="Calibri" w:hAnsi="Calibri" w:cstheme="minorHAnsi"/>
                <w:sz w:val="18"/>
                <w:szCs w:val="18"/>
                <w:lang w:val="en-GB"/>
              </w:rPr>
            </w:pPr>
          </w:p>
        </w:tc>
        <w:tc>
          <w:tcPr>
            <w:tcW w:w="2268" w:type="dxa"/>
          </w:tcPr>
          <w:p w14:paraId="5E9BE031" w14:textId="77777777" w:rsidR="00B656F6" w:rsidRPr="00451852" w:rsidRDefault="00B656F6" w:rsidP="008F0944">
            <w:pPr>
              <w:snapToGrid w:val="0"/>
              <w:jc w:val="right"/>
              <w:rPr>
                <w:rFonts w:ascii="Calibri" w:hAnsi="Calibri" w:cstheme="minorHAnsi"/>
                <w:sz w:val="18"/>
                <w:szCs w:val="18"/>
                <w:lang w:val="en-GB"/>
              </w:rPr>
            </w:pPr>
            <w:r w:rsidRPr="00451852">
              <w:rPr>
                <w:rFonts w:ascii="Calibri" w:hAnsi="Calibri" w:cstheme="minorHAnsi" w:hint="eastAsia"/>
                <w:sz w:val="18"/>
                <w:szCs w:val="18"/>
                <w:lang w:val="en-GB"/>
              </w:rPr>
              <w:t>R</w:t>
            </w:r>
            <w:r w:rsidRPr="00451852">
              <w:rPr>
                <w:rFonts w:ascii="Calibri" w:hAnsi="Calibri" w:cstheme="minorHAnsi"/>
                <w:sz w:val="18"/>
                <w:szCs w:val="18"/>
                <w:lang w:val="en-GB"/>
              </w:rPr>
              <w:t>ural total</w:t>
            </w:r>
          </w:p>
        </w:tc>
        <w:tc>
          <w:tcPr>
            <w:tcW w:w="0" w:type="auto"/>
          </w:tcPr>
          <w:p w14:paraId="1CF4A81F" w14:textId="77777777" w:rsidR="00B656F6" w:rsidRPr="00451852" w:rsidRDefault="00B656F6" w:rsidP="008F0944">
            <w:pPr>
              <w:snapToGrid w:val="0"/>
              <w:jc w:val="right"/>
              <w:rPr>
                <w:rFonts w:ascii="Calibri" w:hAnsi="Calibri"/>
                <w:sz w:val="18"/>
                <w:szCs w:val="18"/>
              </w:rPr>
            </w:pPr>
            <w:r w:rsidRPr="00451852">
              <w:rPr>
                <w:rFonts w:ascii="Calibri" w:hAnsi="Calibri" w:hint="eastAsia"/>
                <w:sz w:val="18"/>
                <w:szCs w:val="18"/>
              </w:rPr>
              <w:t>15.3</w:t>
            </w:r>
          </w:p>
        </w:tc>
        <w:tc>
          <w:tcPr>
            <w:tcW w:w="0" w:type="auto"/>
          </w:tcPr>
          <w:p w14:paraId="70E26B73" w14:textId="77777777" w:rsidR="00B656F6" w:rsidRPr="00451852" w:rsidRDefault="00B656F6" w:rsidP="008F0944">
            <w:pPr>
              <w:snapToGrid w:val="0"/>
              <w:jc w:val="right"/>
              <w:rPr>
                <w:rFonts w:ascii="Calibri" w:hAnsi="Calibri"/>
                <w:sz w:val="18"/>
                <w:szCs w:val="18"/>
              </w:rPr>
            </w:pPr>
            <w:r w:rsidRPr="00451852">
              <w:rPr>
                <w:rFonts w:ascii="Calibri" w:hAnsi="Calibri" w:hint="eastAsia"/>
                <w:sz w:val="18"/>
                <w:szCs w:val="18"/>
              </w:rPr>
              <w:t>1</w:t>
            </w:r>
            <w:r w:rsidRPr="00451852">
              <w:rPr>
                <w:rFonts w:ascii="Calibri" w:hAnsi="Calibri"/>
                <w:sz w:val="18"/>
                <w:szCs w:val="18"/>
              </w:rPr>
              <w:t>9.3</w:t>
            </w:r>
          </w:p>
        </w:tc>
        <w:tc>
          <w:tcPr>
            <w:tcW w:w="717" w:type="dxa"/>
          </w:tcPr>
          <w:p w14:paraId="394111D7" w14:textId="77777777" w:rsidR="00B656F6" w:rsidRPr="00451852" w:rsidRDefault="00B656F6" w:rsidP="008F0944">
            <w:pPr>
              <w:snapToGrid w:val="0"/>
              <w:jc w:val="right"/>
              <w:rPr>
                <w:rFonts w:ascii="Calibri" w:hAnsi="Calibri"/>
                <w:sz w:val="18"/>
                <w:szCs w:val="18"/>
              </w:rPr>
            </w:pPr>
            <w:r>
              <w:rPr>
                <w:rFonts w:ascii="Calibri" w:hAnsi="Calibri" w:hint="eastAsia"/>
                <w:sz w:val="18"/>
                <w:szCs w:val="18"/>
              </w:rPr>
              <w:t>c</w:t>
            </w:r>
          </w:p>
        </w:tc>
      </w:tr>
      <w:tr w:rsidR="00B656F6" w:rsidRPr="00451852" w14:paraId="09B73089" w14:textId="77777777" w:rsidTr="008F0944">
        <w:tc>
          <w:tcPr>
            <w:tcW w:w="566" w:type="dxa"/>
            <w:vMerge/>
            <w:textDirection w:val="btLr"/>
          </w:tcPr>
          <w:p w14:paraId="55977428" w14:textId="77777777" w:rsidR="00B656F6" w:rsidRPr="00451852" w:rsidRDefault="00B656F6" w:rsidP="008F0944">
            <w:pPr>
              <w:snapToGrid w:val="0"/>
              <w:ind w:left="113" w:right="113"/>
              <w:jc w:val="right"/>
              <w:rPr>
                <w:rFonts w:ascii="Calibri" w:hAnsi="Calibri" w:cstheme="minorHAnsi"/>
                <w:sz w:val="18"/>
                <w:szCs w:val="18"/>
                <w:lang w:val="en-GB"/>
              </w:rPr>
            </w:pPr>
          </w:p>
        </w:tc>
        <w:tc>
          <w:tcPr>
            <w:tcW w:w="2268" w:type="dxa"/>
          </w:tcPr>
          <w:p w14:paraId="2E500BA8" w14:textId="77777777" w:rsidR="00B656F6" w:rsidRPr="00451852" w:rsidRDefault="00B656F6" w:rsidP="008F0944">
            <w:pPr>
              <w:snapToGrid w:val="0"/>
              <w:jc w:val="right"/>
              <w:rPr>
                <w:rFonts w:ascii="Calibri" w:hAnsi="Calibri" w:cstheme="minorHAnsi"/>
                <w:sz w:val="18"/>
                <w:szCs w:val="18"/>
                <w:lang w:val="en-GB"/>
              </w:rPr>
            </w:pPr>
            <w:r w:rsidRPr="00451852">
              <w:rPr>
                <w:rFonts w:ascii="Calibri" w:hAnsi="Calibri" w:cstheme="minorHAnsi"/>
                <w:sz w:val="18"/>
                <w:szCs w:val="18"/>
                <w:lang w:val="en-GB"/>
              </w:rPr>
              <w:t>R</w:t>
            </w:r>
            <w:r w:rsidRPr="00451852">
              <w:rPr>
                <w:rFonts w:ascii="Calibri" w:hAnsi="Calibri" w:cstheme="minorHAnsi" w:hint="eastAsia"/>
                <w:sz w:val="18"/>
                <w:szCs w:val="18"/>
                <w:lang w:val="en-GB"/>
              </w:rPr>
              <w:t>ur</w:t>
            </w:r>
            <w:r w:rsidRPr="00451852">
              <w:rPr>
                <w:rFonts w:ascii="Calibri" w:hAnsi="Calibri" w:cstheme="minorHAnsi"/>
                <w:sz w:val="18"/>
                <w:szCs w:val="18"/>
                <w:lang w:val="en-GB"/>
              </w:rPr>
              <w:t>al male</w:t>
            </w:r>
          </w:p>
        </w:tc>
        <w:tc>
          <w:tcPr>
            <w:tcW w:w="0" w:type="auto"/>
          </w:tcPr>
          <w:p w14:paraId="4FDBFFCD" w14:textId="77777777" w:rsidR="00B656F6" w:rsidRPr="00451852" w:rsidRDefault="00B656F6" w:rsidP="008F0944">
            <w:pPr>
              <w:snapToGrid w:val="0"/>
              <w:jc w:val="right"/>
              <w:rPr>
                <w:rFonts w:ascii="Calibri" w:hAnsi="Calibri"/>
                <w:sz w:val="18"/>
                <w:szCs w:val="18"/>
              </w:rPr>
            </w:pPr>
            <w:r w:rsidRPr="00451852">
              <w:rPr>
                <w:rFonts w:ascii="Calibri" w:hAnsi="Calibri" w:hint="eastAsia"/>
                <w:sz w:val="18"/>
                <w:szCs w:val="18"/>
              </w:rPr>
              <w:t>22.9</w:t>
            </w:r>
          </w:p>
        </w:tc>
        <w:tc>
          <w:tcPr>
            <w:tcW w:w="0" w:type="auto"/>
          </w:tcPr>
          <w:p w14:paraId="45F13829" w14:textId="77777777" w:rsidR="00B656F6" w:rsidRPr="00451852" w:rsidRDefault="00B656F6" w:rsidP="008F0944">
            <w:pPr>
              <w:snapToGrid w:val="0"/>
              <w:jc w:val="right"/>
              <w:rPr>
                <w:rFonts w:ascii="Calibri" w:hAnsi="Calibri"/>
                <w:sz w:val="18"/>
                <w:szCs w:val="18"/>
              </w:rPr>
            </w:pPr>
            <w:r w:rsidRPr="00451852">
              <w:rPr>
                <w:rFonts w:ascii="Calibri" w:hAnsi="Calibri" w:hint="eastAsia"/>
                <w:sz w:val="18"/>
                <w:szCs w:val="18"/>
              </w:rPr>
              <w:t>2</w:t>
            </w:r>
            <w:r w:rsidRPr="00451852">
              <w:rPr>
                <w:rFonts w:ascii="Calibri" w:hAnsi="Calibri"/>
                <w:sz w:val="18"/>
                <w:szCs w:val="18"/>
              </w:rPr>
              <w:t>8.6</w:t>
            </w:r>
          </w:p>
        </w:tc>
        <w:tc>
          <w:tcPr>
            <w:tcW w:w="717" w:type="dxa"/>
          </w:tcPr>
          <w:p w14:paraId="52044AD2" w14:textId="77777777" w:rsidR="00B656F6" w:rsidRPr="00451852" w:rsidRDefault="00B656F6" w:rsidP="008F0944">
            <w:pPr>
              <w:snapToGrid w:val="0"/>
              <w:jc w:val="right"/>
              <w:rPr>
                <w:rFonts w:ascii="Calibri" w:hAnsi="Calibri"/>
                <w:sz w:val="18"/>
                <w:szCs w:val="18"/>
              </w:rPr>
            </w:pPr>
            <w:r>
              <w:rPr>
                <w:rFonts w:ascii="Calibri" w:hAnsi="Calibri" w:hint="eastAsia"/>
                <w:sz w:val="18"/>
                <w:szCs w:val="18"/>
              </w:rPr>
              <w:t>c</w:t>
            </w:r>
          </w:p>
        </w:tc>
      </w:tr>
      <w:tr w:rsidR="00B656F6" w:rsidRPr="00451852" w14:paraId="4652E80E" w14:textId="77777777" w:rsidTr="008F0944">
        <w:tc>
          <w:tcPr>
            <w:tcW w:w="566" w:type="dxa"/>
            <w:vMerge/>
            <w:textDirection w:val="btLr"/>
          </w:tcPr>
          <w:p w14:paraId="53CDADDE" w14:textId="77777777" w:rsidR="00B656F6" w:rsidRPr="00451852" w:rsidRDefault="00B656F6" w:rsidP="008F0944">
            <w:pPr>
              <w:snapToGrid w:val="0"/>
              <w:ind w:left="113" w:right="113"/>
              <w:jc w:val="right"/>
              <w:rPr>
                <w:rFonts w:ascii="Calibri" w:hAnsi="Calibri" w:cstheme="minorHAnsi"/>
                <w:sz w:val="18"/>
                <w:szCs w:val="18"/>
                <w:lang w:val="en-GB"/>
              </w:rPr>
            </w:pPr>
          </w:p>
        </w:tc>
        <w:tc>
          <w:tcPr>
            <w:tcW w:w="2268" w:type="dxa"/>
          </w:tcPr>
          <w:p w14:paraId="1493FD09" w14:textId="77777777" w:rsidR="00B656F6" w:rsidRPr="00451852" w:rsidRDefault="00B656F6" w:rsidP="008F0944">
            <w:pPr>
              <w:snapToGrid w:val="0"/>
              <w:jc w:val="right"/>
              <w:rPr>
                <w:rFonts w:ascii="Calibri" w:hAnsi="Calibri" w:cstheme="minorHAnsi"/>
                <w:sz w:val="18"/>
                <w:szCs w:val="18"/>
                <w:lang w:val="en-GB"/>
              </w:rPr>
            </w:pPr>
            <w:r w:rsidRPr="00451852">
              <w:rPr>
                <w:rFonts w:ascii="Calibri" w:hAnsi="Calibri" w:cstheme="minorHAnsi"/>
                <w:sz w:val="18"/>
                <w:szCs w:val="18"/>
                <w:lang w:val="en-GB"/>
              </w:rPr>
              <w:t>R</w:t>
            </w:r>
            <w:r w:rsidRPr="00451852">
              <w:rPr>
                <w:rFonts w:ascii="Calibri" w:hAnsi="Calibri" w:cstheme="minorHAnsi" w:hint="eastAsia"/>
                <w:sz w:val="18"/>
                <w:szCs w:val="18"/>
                <w:lang w:val="en-GB"/>
              </w:rPr>
              <w:t xml:space="preserve">ural </w:t>
            </w:r>
            <w:r w:rsidRPr="00451852">
              <w:rPr>
                <w:rFonts w:ascii="Calibri" w:hAnsi="Calibri" w:cstheme="minorHAnsi"/>
                <w:sz w:val="18"/>
                <w:szCs w:val="18"/>
                <w:lang w:val="en-GB"/>
              </w:rPr>
              <w:t>female</w:t>
            </w:r>
          </w:p>
        </w:tc>
        <w:tc>
          <w:tcPr>
            <w:tcW w:w="0" w:type="auto"/>
          </w:tcPr>
          <w:p w14:paraId="0C5EFE84" w14:textId="77777777" w:rsidR="00B656F6" w:rsidRPr="00451852" w:rsidRDefault="00B656F6" w:rsidP="008F0944">
            <w:pPr>
              <w:snapToGrid w:val="0"/>
              <w:jc w:val="right"/>
              <w:rPr>
                <w:rFonts w:ascii="Calibri" w:hAnsi="Calibri"/>
                <w:sz w:val="18"/>
                <w:szCs w:val="18"/>
              </w:rPr>
            </w:pPr>
            <w:r w:rsidRPr="00451852">
              <w:rPr>
                <w:rFonts w:ascii="Calibri" w:hAnsi="Calibri" w:hint="eastAsia"/>
                <w:sz w:val="18"/>
                <w:szCs w:val="18"/>
              </w:rPr>
              <w:t>7.4</w:t>
            </w:r>
          </w:p>
        </w:tc>
        <w:tc>
          <w:tcPr>
            <w:tcW w:w="0" w:type="auto"/>
          </w:tcPr>
          <w:p w14:paraId="3356C2EE" w14:textId="77777777" w:rsidR="00B656F6" w:rsidRPr="00451852" w:rsidRDefault="00B656F6" w:rsidP="008F0944">
            <w:pPr>
              <w:snapToGrid w:val="0"/>
              <w:jc w:val="right"/>
              <w:rPr>
                <w:rFonts w:ascii="Calibri" w:hAnsi="Calibri"/>
                <w:sz w:val="18"/>
                <w:szCs w:val="18"/>
              </w:rPr>
            </w:pPr>
            <w:r w:rsidRPr="00451852">
              <w:rPr>
                <w:rFonts w:ascii="Calibri" w:hAnsi="Calibri" w:hint="eastAsia"/>
                <w:sz w:val="18"/>
                <w:szCs w:val="18"/>
              </w:rPr>
              <w:t>9</w:t>
            </w:r>
            <w:r w:rsidRPr="00451852">
              <w:rPr>
                <w:rFonts w:ascii="Calibri" w:hAnsi="Calibri"/>
                <w:sz w:val="18"/>
                <w:szCs w:val="18"/>
              </w:rPr>
              <w:t>.6</w:t>
            </w:r>
          </w:p>
        </w:tc>
        <w:tc>
          <w:tcPr>
            <w:tcW w:w="717" w:type="dxa"/>
          </w:tcPr>
          <w:p w14:paraId="2280E80C" w14:textId="77777777" w:rsidR="00B656F6" w:rsidRPr="00451852" w:rsidRDefault="00B656F6" w:rsidP="008F0944">
            <w:pPr>
              <w:snapToGrid w:val="0"/>
              <w:jc w:val="right"/>
              <w:rPr>
                <w:rFonts w:ascii="Calibri" w:hAnsi="Calibri"/>
                <w:sz w:val="18"/>
                <w:szCs w:val="18"/>
              </w:rPr>
            </w:pPr>
            <w:r>
              <w:rPr>
                <w:rFonts w:ascii="Calibri" w:hAnsi="Calibri" w:hint="eastAsia"/>
                <w:sz w:val="18"/>
                <w:szCs w:val="18"/>
              </w:rPr>
              <w:t>c</w:t>
            </w:r>
          </w:p>
        </w:tc>
      </w:tr>
      <w:tr w:rsidR="00B656F6" w:rsidRPr="00451852" w14:paraId="669B7ED6" w14:textId="77777777" w:rsidTr="008F0944">
        <w:tc>
          <w:tcPr>
            <w:tcW w:w="566" w:type="dxa"/>
            <w:vMerge w:val="restart"/>
            <w:shd w:val="clear" w:color="auto" w:fill="auto"/>
            <w:textDirection w:val="btLr"/>
          </w:tcPr>
          <w:p w14:paraId="759D36CD" w14:textId="77777777" w:rsidR="00B656F6" w:rsidRPr="00451852" w:rsidRDefault="00B656F6" w:rsidP="008F0944">
            <w:pPr>
              <w:snapToGrid w:val="0"/>
              <w:ind w:left="113" w:right="113"/>
              <w:jc w:val="right"/>
              <w:rPr>
                <w:rFonts w:ascii="Calibri" w:hAnsi="Calibri" w:cstheme="minorHAnsi"/>
                <w:sz w:val="18"/>
                <w:szCs w:val="18"/>
                <w:lang w:val="en-GB"/>
              </w:rPr>
            </w:pPr>
            <w:r w:rsidRPr="00451852">
              <w:rPr>
                <w:rFonts w:ascii="Calibri" w:hAnsi="Calibri" w:cstheme="minorHAnsi"/>
                <w:sz w:val="18"/>
                <w:szCs w:val="18"/>
                <w:lang w:val="en-GB"/>
              </w:rPr>
              <w:t>Environment</w:t>
            </w:r>
          </w:p>
        </w:tc>
        <w:tc>
          <w:tcPr>
            <w:tcW w:w="2268" w:type="dxa"/>
          </w:tcPr>
          <w:p w14:paraId="2B4C4EE2" w14:textId="77777777" w:rsidR="00B656F6" w:rsidRPr="00451852" w:rsidRDefault="00B656F6" w:rsidP="008F0944">
            <w:pPr>
              <w:snapToGrid w:val="0"/>
              <w:jc w:val="right"/>
              <w:rPr>
                <w:rFonts w:ascii="Calibri" w:hAnsi="Calibri" w:cstheme="minorHAnsi"/>
                <w:sz w:val="18"/>
                <w:szCs w:val="18"/>
                <w:lang w:val="en-GB"/>
              </w:rPr>
            </w:pPr>
          </w:p>
        </w:tc>
        <w:tc>
          <w:tcPr>
            <w:tcW w:w="0" w:type="auto"/>
          </w:tcPr>
          <w:p w14:paraId="297B0A0C" w14:textId="77777777" w:rsidR="00B656F6" w:rsidRPr="00451852" w:rsidRDefault="00B656F6" w:rsidP="008F0944">
            <w:pPr>
              <w:snapToGrid w:val="0"/>
              <w:jc w:val="right"/>
              <w:rPr>
                <w:rFonts w:ascii="Calibri" w:hAnsi="Calibri"/>
                <w:b/>
                <w:sz w:val="18"/>
                <w:szCs w:val="18"/>
              </w:rPr>
            </w:pPr>
            <w:r w:rsidRPr="00451852">
              <w:rPr>
                <w:rFonts w:ascii="Calibri" w:hAnsi="Calibri" w:hint="eastAsia"/>
                <w:b/>
                <w:sz w:val="18"/>
                <w:szCs w:val="18"/>
              </w:rPr>
              <w:t>2</w:t>
            </w:r>
            <w:r w:rsidRPr="00451852">
              <w:rPr>
                <w:rFonts w:ascii="Calibri" w:hAnsi="Calibri"/>
                <w:b/>
                <w:sz w:val="18"/>
                <w:szCs w:val="18"/>
              </w:rPr>
              <w:t>014</w:t>
            </w:r>
          </w:p>
        </w:tc>
        <w:tc>
          <w:tcPr>
            <w:tcW w:w="0" w:type="auto"/>
          </w:tcPr>
          <w:p w14:paraId="703D2EF2" w14:textId="77777777" w:rsidR="00B656F6" w:rsidRPr="00451852" w:rsidRDefault="00B656F6" w:rsidP="008F0944">
            <w:pPr>
              <w:snapToGrid w:val="0"/>
              <w:jc w:val="right"/>
              <w:rPr>
                <w:rFonts w:ascii="Calibri" w:hAnsi="Calibri"/>
                <w:b/>
                <w:sz w:val="18"/>
                <w:szCs w:val="18"/>
              </w:rPr>
            </w:pPr>
            <w:r w:rsidRPr="00451852">
              <w:rPr>
                <w:rFonts w:ascii="Calibri" w:hAnsi="Calibri" w:hint="eastAsia"/>
                <w:b/>
                <w:sz w:val="18"/>
                <w:szCs w:val="18"/>
              </w:rPr>
              <w:t>2</w:t>
            </w:r>
            <w:r w:rsidRPr="00451852">
              <w:rPr>
                <w:rFonts w:ascii="Calibri" w:hAnsi="Calibri"/>
                <w:b/>
                <w:sz w:val="18"/>
                <w:szCs w:val="18"/>
              </w:rPr>
              <w:t>016</w:t>
            </w:r>
          </w:p>
        </w:tc>
        <w:tc>
          <w:tcPr>
            <w:tcW w:w="717" w:type="dxa"/>
          </w:tcPr>
          <w:p w14:paraId="763EE9C7" w14:textId="77777777" w:rsidR="00B656F6" w:rsidRPr="00451852" w:rsidRDefault="00B656F6" w:rsidP="008F0944">
            <w:pPr>
              <w:snapToGrid w:val="0"/>
              <w:jc w:val="right"/>
              <w:rPr>
                <w:rFonts w:ascii="Calibri" w:hAnsi="Calibri"/>
                <w:sz w:val="18"/>
                <w:szCs w:val="18"/>
              </w:rPr>
            </w:pPr>
          </w:p>
        </w:tc>
      </w:tr>
      <w:tr w:rsidR="00B656F6" w:rsidRPr="00451852" w14:paraId="3171756F" w14:textId="77777777" w:rsidTr="008F0944">
        <w:tc>
          <w:tcPr>
            <w:tcW w:w="566" w:type="dxa"/>
            <w:vMerge/>
            <w:shd w:val="clear" w:color="auto" w:fill="auto"/>
            <w:textDirection w:val="btLr"/>
          </w:tcPr>
          <w:p w14:paraId="765DC835" w14:textId="77777777" w:rsidR="00B656F6" w:rsidRPr="00451852" w:rsidRDefault="00B656F6" w:rsidP="008F0944">
            <w:pPr>
              <w:snapToGrid w:val="0"/>
              <w:ind w:left="113" w:right="113"/>
              <w:jc w:val="right"/>
              <w:rPr>
                <w:rFonts w:ascii="Calibri" w:hAnsi="Calibri" w:cstheme="minorHAnsi"/>
                <w:sz w:val="18"/>
                <w:szCs w:val="18"/>
              </w:rPr>
            </w:pPr>
          </w:p>
        </w:tc>
        <w:tc>
          <w:tcPr>
            <w:tcW w:w="2268" w:type="dxa"/>
            <w:shd w:val="clear" w:color="auto" w:fill="E7E6E6" w:themeFill="background2"/>
          </w:tcPr>
          <w:p w14:paraId="06D68BC0" w14:textId="77777777" w:rsidR="00B656F6" w:rsidRPr="00451852" w:rsidRDefault="00B656F6" w:rsidP="008F0944">
            <w:pPr>
              <w:snapToGrid w:val="0"/>
              <w:jc w:val="right"/>
              <w:rPr>
                <w:rFonts w:ascii="Calibri" w:hAnsi="Calibri" w:cstheme="minorHAnsi"/>
                <w:sz w:val="18"/>
                <w:szCs w:val="18"/>
              </w:rPr>
            </w:pPr>
            <w:r w:rsidRPr="00451852">
              <w:rPr>
                <w:rFonts w:ascii="Calibri" w:hAnsi="Calibri" w:cstheme="minorHAnsi"/>
                <w:sz w:val="18"/>
                <w:szCs w:val="18"/>
              </w:rPr>
              <w:t>PM2.5 annual average (μg/m³)</w:t>
            </w:r>
          </w:p>
        </w:tc>
        <w:tc>
          <w:tcPr>
            <w:tcW w:w="0" w:type="auto"/>
            <w:shd w:val="clear" w:color="auto" w:fill="E7E6E6" w:themeFill="background2"/>
          </w:tcPr>
          <w:p w14:paraId="6FBBE6D7" w14:textId="77777777" w:rsidR="00B656F6" w:rsidRPr="00451852" w:rsidRDefault="00B656F6" w:rsidP="008F0944">
            <w:pPr>
              <w:snapToGrid w:val="0"/>
              <w:jc w:val="right"/>
              <w:rPr>
                <w:rFonts w:ascii="Calibri" w:hAnsi="Calibri"/>
                <w:sz w:val="18"/>
                <w:szCs w:val="18"/>
              </w:rPr>
            </w:pPr>
            <w:r w:rsidRPr="00451852">
              <w:rPr>
                <w:rFonts w:ascii="Calibri" w:hAnsi="Calibri" w:hint="eastAsia"/>
                <w:sz w:val="18"/>
                <w:szCs w:val="18"/>
              </w:rPr>
              <w:t>6</w:t>
            </w:r>
            <w:r w:rsidRPr="00451852">
              <w:rPr>
                <w:rFonts w:ascii="Calibri" w:hAnsi="Calibri"/>
                <w:sz w:val="18"/>
                <w:szCs w:val="18"/>
              </w:rPr>
              <w:t>2</w:t>
            </w:r>
          </w:p>
        </w:tc>
        <w:tc>
          <w:tcPr>
            <w:tcW w:w="0" w:type="auto"/>
            <w:shd w:val="clear" w:color="auto" w:fill="E7E6E6" w:themeFill="background2"/>
          </w:tcPr>
          <w:p w14:paraId="1693B8C0" w14:textId="77777777" w:rsidR="00B656F6" w:rsidRPr="00451852" w:rsidRDefault="00B656F6" w:rsidP="008F0944">
            <w:pPr>
              <w:snapToGrid w:val="0"/>
              <w:jc w:val="right"/>
              <w:rPr>
                <w:rFonts w:ascii="Calibri" w:hAnsi="Calibri"/>
                <w:sz w:val="18"/>
                <w:szCs w:val="18"/>
              </w:rPr>
            </w:pPr>
            <w:r w:rsidRPr="00451852">
              <w:rPr>
                <w:rFonts w:ascii="Calibri" w:hAnsi="Calibri" w:hint="eastAsia"/>
                <w:sz w:val="18"/>
                <w:szCs w:val="18"/>
              </w:rPr>
              <w:t>4</w:t>
            </w:r>
            <w:r w:rsidRPr="00451852">
              <w:rPr>
                <w:rFonts w:ascii="Calibri" w:hAnsi="Calibri"/>
                <w:sz w:val="18"/>
                <w:szCs w:val="18"/>
              </w:rPr>
              <w:t>7</w:t>
            </w:r>
          </w:p>
        </w:tc>
        <w:tc>
          <w:tcPr>
            <w:tcW w:w="717" w:type="dxa"/>
            <w:shd w:val="clear" w:color="auto" w:fill="E7E6E6" w:themeFill="background2"/>
          </w:tcPr>
          <w:p w14:paraId="3C234DEE" w14:textId="77777777" w:rsidR="00B656F6" w:rsidRPr="00451852" w:rsidRDefault="00B656F6" w:rsidP="008F0944">
            <w:pPr>
              <w:snapToGrid w:val="0"/>
              <w:jc w:val="right"/>
              <w:rPr>
                <w:rFonts w:ascii="Calibri" w:hAnsi="Calibri"/>
                <w:sz w:val="18"/>
                <w:szCs w:val="18"/>
              </w:rPr>
            </w:pPr>
            <w:r>
              <w:rPr>
                <w:rFonts w:ascii="Calibri" w:hAnsi="Calibri" w:hint="eastAsia"/>
                <w:sz w:val="18"/>
                <w:szCs w:val="18"/>
              </w:rPr>
              <w:t>f</w:t>
            </w:r>
          </w:p>
        </w:tc>
      </w:tr>
      <w:tr w:rsidR="00B656F6" w:rsidRPr="00451852" w14:paraId="2F3AC45D" w14:textId="77777777" w:rsidTr="008F0944">
        <w:tc>
          <w:tcPr>
            <w:tcW w:w="566" w:type="dxa"/>
            <w:vMerge/>
            <w:shd w:val="clear" w:color="auto" w:fill="auto"/>
            <w:textDirection w:val="btLr"/>
          </w:tcPr>
          <w:p w14:paraId="68B2F239" w14:textId="77777777" w:rsidR="00B656F6" w:rsidRPr="00451852" w:rsidRDefault="00B656F6" w:rsidP="008F0944">
            <w:pPr>
              <w:snapToGrid w:val="0"/>
              <w:ind w:left="113" w:right="113"/>
              <w:jc w:val="right"/>
              <w:rPr>
                <w:rFonts w:ascii="Calibri" w:hAnsi="Calibri" w:cstheme="minorHAnsi"/>
                <w:sz w:val="18"/>
                <w:szCs w:val="18"/>
                <w:lang w:val="en-GB"/>
              </w:rPr>
            </w:pPr>
          </w:p>
        </w:tc>
        <w:tc>
          <w:tcPr>
            <w:tcW w:w="2268" w:type="dxa"/>
          </w:tcPr>
          <w:p w14:paraId="340358D0" w14:textId="77777777" w:rsidR="00B656F6" w:rsidRPr="00451852" w:rsidRDefault="00B656F6" w:rsidP="008F0944">
            <w:pPr>
              <w:snapToGrid w:val="0"/>
              <w:jc w:val="right"/>
              <w:rPr>
                <w:rFonts w:ascii="Calibri" w:hAnsi="Calibri" w:cstheme="minorHAnsi"/>
                <w:sz w:val="18"/>
                <w:szCs w:val="18"/>
                <w:lang w:val="en-GB"/>
              </w:rPr>
            </w:pPr>
          </w:p>
        </w:tc>
        <w:tc>
          <w:tcPr>
            <w:tcW w:w="0" w:type="auto"/>
          </w:tcPr>
          <w:p w14:paraId="7F72F0CF" w14:textId="77777777" w:rsidR="00B656F6" w:rsidRPr="00451852" w:rsidRDefault="00B656F6" w:rsidP="008F0944">
            <w:pPr>
              <w:snapToGrid w:val="0"/>
              <w:jc w:val="right"/>
              <w:rPr>
                <w:rFonts w:ascii="Calibri" w:hAnsi="Calibri"/>
                <w:b/>
                <w:sz w:val="18"/>
                <w:szCs w:val="18"/>
              </w:rPr>
            </w:pPr>
            <w:r w:rsidRPr="00451852">
              <w:rPr>
                <w:rFonts w:ascii="Calibri" w:hAnsi="Calibri" w:hint="eastAsia"/>
                <w:b/>
                <w:sz w:val="18"/>
                <w:szCs w:val="18"/>
              </w:rPr>
              <w:t>2</w:t>
            </w:r>
            <w:r w:rsidRPr="00451852">
              <w:rPr>
                <w:rFonts w:ascii="Calibri" w:hAnsi="Calibri"/>
                <w:b/>
                <w:sz w:val="18"/>
                <w:szCs w:val="18"/>
              </w:rPr>
              <w:t>010</w:t>
            </w:r>
          </w:p>
        </w:tc>
        <w:tc>
          <w:tcPr>
            <w:tcW w:w="0" w:type="auto"/>
          </w:tcPr>
          <w:p w14:paraId="778D3FD0" w14:textId="77777777" w:rsidR="00B656F6" w:rsidRPr="00451852" w:rsidRDefault="00B656F6" w:rsidP="008F0944">
            <w:pPr>
              <w:snapToGrid w:val="0"/>
              <w:jc w:val="right"/>
              <w:rPr>
                <w:rFonts w:ascii="Calibri" w:hAnsi="Calibri"/>
                <w:b/>
                <w:sz w:val="18"/>
                <w:szCs w:val="18"/>
              </w:rPr>
            </w:pPr>
            <w:r w:rsidRPr="00451852">
              <w:rPr>
                <w:rFonts w:ascii="Calibri" w:hAnsi="Calibri" w:hint="eastAsia"/>
                <w:b/>
                <w:sz w:val="18"/>
                <w:szCs w:val="18"/>
              </w:rPr>
              <w:t>2</w:t>
            </w:r>
            <w:r w:rsidRPr="00451852">
              <w:rPr>
                <w:rFonts w:ascii="Calibri" w:hAnsi="Calibri"/>
                <w:b/>
                <w:sz w:val="18"/>
                <w:szCs w:val="18"/>
              </w:rPr>
              <w:t>016</w:t>
            </w:r>
          </w:p>
        </w:tc>
        <w:tc>
          <w:tcPr>
            <w:tcW w:w="717" w:type="dxa"/>
          </w:tcPr>
          <w:p w14:paraId="00D61044" w14:textId="77777777" w:rsidR="00B656F6" w:rsidRPr="00451852" w:rsidRDefault="00B656F6" w:rsidP="008F0944">
            <w:pPr>
              <w:snapToGrid w:val="0"/>
              <w:jc w:val="right"/>
              <w:rPr>
                <w:rFonts w:ascii="Calibri" w:hAnsi="Calibri"/>
                <w:sz w:val="18"/>
                <w:szCs w:val="18"/>
              </w:rPr>
            </w:pPr>
          </w:p>
        </w:tc>
      </w:tr>
      <w:tr w:rsidR="00B656F6" w:rsidRPr="00451852" w14:paraId="56BFBD9F" w14:textId="77777777" w:rsidTr="008F0944">
        <w:tc>
          <w:tcPr>
            <w:tcW w:w="566" w:type="dxa"/>
            <w:vMerge/>
            <w:shd w:val="clear" w:color="auto" w:fill="auto"/>
            <w:textDirection w:val="btLr"/>
          </w:tcPr>
          <w:p w14:paraId="7C8BFE72" w14:textId="77777777" w:rsidR="00B656F6" w:rsidRPr="00451852" w:rsidRDefault="00B656F6" w:rsidP="008F0944">
            <w:pPr>
              <w:snapToGrid w:val="0"/>
              <w:ind w:left="113" w:right="113"/>
              <w:jc w:val="right"/>
              <w:rPr>
                <w:rFonts w:ascii="Calibri" w:hAnsi="Calibri" w:cstheme="minorHAnsi"/>
                <w:sz w:val="18"/>
                <w:szCs w:val="18"/>
                <w:lang w:val="en-GB"/>
              </w:rPr>
            </w:pPr>
          </w:p>
        </w:tc>
        <w:tc>
          <w:tcPr>
            <w:tcW w:w="2268" w:type="dxa"/>
            <w:shd w:val="clear" w:color="auto" w:fill="E7E6E6" w:themeFill="background2"/>
          </w:tcPr>
          <w:p w14:paraId="21AD5EE1" w14:textId="77777777" w:rsidR="00B656F6" w:rsidRPr="00451852" w:rsidRDefault="00B656F6" w:rsidP="008F0944">
            <w:pPr>
              <w:snapToGrid w:val="0"/>
              <w:jc w:val="right"/>
              <w:rPr>
                <w:rFonts w:ascii="Calibri" w:hAnsi="Calibri" w:cstheme="minorHAnsi"/>
                <w:sz w:val="18"/>
                <w:szCs w:val="18"/>
                <w:lang w:val="en-GB"/>
              </w:rPr>
            </w:pPr>
            <w:r w:rsidRPr="00451852">
              <w:rPr>
                <w:rFonts w:ascii="Calibri" w:hAnsi="Calibri" w:cstheme="minorHAnsi"/>
                <w:sz w:val="18"/>
                <w:szCs w:val="18"/>
                <w:lang w:val="en-GB"/>
              </w:rPr>
              <w:t>Percentage of water quality better than grade III (%)</w:t>
            </w:r>
          </w:p>
        </w:tc>
        <w:tc>
          <w:tcPr>
            <w:tcW w:w="0" w:type="auto"/>
            <w:shd w:val="clear" w:color="auto" w:fill="E7E6E6" w:themeFill="background2"/>
          </w:tcPr>
          <w:p w14:paraId="131D988F" w14:textId="77777777" w:rsidR="00B656F6" w:rsidRPr="00451852" w:rsidRDefault="00B656F6" w:rsidP="008F0944">
            <w:pPr>
              <w:snapToGrid w:val="0"/>
              <w:jc w:val="right"/>
              <w:rPr>
                <w:rFonts w:ascii="Calibri" w:hAnsi="Calibri"/>
                <w:sz w:val="18"/>
                <w:szCs w:val="18"/>
              </w:rPr>
            </w:pPr>
            <w:r w:rsidRPr="00451852">
              <w:rPr>
                <w:rFonts w:ascii="Calibri" w:hAnsi="Calibri"/>
                <w:sz w:val="18"/>
                <w:szCs w:val="18"/>
              </w:rPr>
              <w:t>60.0</w:t>
            </w:r>
          </w:p>
        </w:tc>
        <w:tc>
          <w:tcPr>
            <w:tcW w:w="0" w:type="auto"/>
            <w:shd w:val="clear" w:color="auto" w:fill="E7E6E6" w:themeFill="background2"/>
          </w:tcPr>
          <w:p w14:paraId="71726FFA" w14:textId="77777777" w:rsidR="00B656F6" w:rsidRPr="00451852" w:rsidRDefault="00B656F6" w:rsidP="008F0944">
            <w:pPr>
              <w:snapToGrid w:val="0"/>
              <w:jc w:val="right"/>
              <w:rPr>
                <w:rFonts w:ascii="Calibri" w:hAnsi="Calibri"/>
                <w:sz w:val="18"/>
                <w:szCs w:val="18"/>
              </w:rPr>
            </w:pPr>
            <w:r w:rsidRPr="00451852">
              <w:rPr>
                <w:rFonts w:ascii="Calibri" w:hAnsi="Calibri" w:hint="eastAsia"/>
                <w:sz w:val="18"/>
                <w:szCs w:val="18"/>
              </w:rPr>
              <w:t>6</w:t>
            </w:r>
            <w:r w:rsidRPr="00451852">
              <w:rPr>
                <w:rFonts w:ascii="Calibri" w:hAnsi="Calibri"/>
                <w:sz w:val="18"/>
                <w:szCs w:val="18"/>
              </w:rPr>
              <w:t>7.8</w:t>
            </w:r>
          </w:p>
        </w:tc>
        <w:tc>
          <w:tcPr>
            <w:tcW w:w="717" w:type="dxa"/>
            <w:shd w:val="clear" w:color="auto" w:fill="E7E6E6" w:themeFill="background2"/>
          </w:tcPr>
          <w:p w14:paraId="4E3EB558" w14:textId="77777777" w:rsidR="00B656F6" w:rsidRPr="00451852" w:rsidRDefault="00B656F6" w:rsidP="008F0944">
            <w:pPr>
              <w:snapToGrid w:val="0"/>
              <w:jc w:val="right"/>
              <w:rPr>
                <w:rFonts w:ascii="Calibri" w:hAnsi="Calibri"/>
                <w:sz w:val="18"/>
                <w:szCs w:val="18"/>
              </w:rPr>
            </w:pPr>
            <w:r>
              <w:rPr>
                <w:rFonts w:ascii="Calibri" w:hAnsi="Calibri" w:hint="eastAsia"/>
                <w:sz w:val="18"/>
                <w:szCs w:val="18"/>
              </w:rPr>
              <w:t>f</w:t>
            </w:r>
          </w:p>
        </w:tc>
      </w:tr>
      <w:tr w:rsidR="00B656F6" w:rsidRPr="00451852" w14:paraId="2C9FCB26" w14:textId="77777777" w:rsidTr="008F0944">
        <w:tc>
          <w:tcPr>
            <w:tcW w:w="566" w:type="dxa"/>
            <w:vMerge/>
            <w:shd w:val="clear" w:color="auto" w:fill="auto"/>
            <w:textDirection w:val="btLr"/>
          </w:tcPr>
          <w:p w14:paraId="14DA4FA3" w14:textId="77777777" w:rsidR="00B656F6" w:rsidRPr="00451852" w:rsidRDefault="00B656F6" w:rsidP="008F0944">
            <w:pPr>
              <w:snapToGrid w:val="0"/>
              <w:ind w:left="113" w:right="113"/>
              <w:jc w:val="right"/>
              <w:rPr>
                <w:rFonts w:ascii="Calibri" w:hAnsi="Calibri" w:cstheme="minorHAnsi"/>
                <w:sz w:val="18"/>
                <w:szCs w:val="18"/>
                <w:lang w:val="en-GB"/>
              </w:rPr>
            </w:pPr>
          </w:p>
        </w:tc>
        <w:tc>
          <w:tcPr>
            <w:tcW w:w="2268" w:type="dxa"/>
            <w:shd w:val="clear" w:color="auto" w:fill="E7E6E6" w:themeFill="background2"/>
          </w:tcPr>
          <w:p w14:paraId="162DCFA6" w14:textId="77777777" w:rsidR="00B656F6" w:rsidRPr="00451852" w:rsidRDefault="00B656F6" w:rsidP="008F0944">
            <w:pPr>
              <w:snapToGrid w:val="0"/>
              <w:jc w:val="right"/>
              <w:rPr>
                <w:rFonts w:ascii="Calibri" w:hAnsi="Calibri" w:cstheme="minorHAnsi"/>
                <w:sz w:val="18"/>
                <w:szCs w:val="18"/>
                <w:lang w:val="en-GB"/>
              </w:rPr>
            </w:pPr>
            <w:r w:rsidRPr="00451852">
              <w:rPr>
                <w:rFonts w:ascii="Calibri" w:hAnsi="Calibri" w:cstheme="minorHAnsi"/>
                <w:sz w:val="18"/>
                <w:szCs w:val="18"/>
                <w:lang w:val="en-GB"/>
              </w:rPr>
              <w:t>Percentage of rural households with piped sanitation (%)</w:t>
            </w:r>
          </w:p>
        </w:tc>
        <w:tc>
          <w:tcPr>
            <w:tcW w:w="0" w:type="auto"/>
            <w:shd w:val="clear" w:color="auto" w:fill="E7E6E6" w:themeFill="background2"/>
          </w:tcPr>
          <w:p w14:paraId="7683C5F4" w14:textId="77777777" w:rsidR="00B656F6" w:rsidRPr="00451852" w:rsidRDefault="00B656F6" w:rsidP="008F0944">
            <w:pPr>
              <w:snapToGrid w:val="0"/>
              <w:jc w:val="right"/>
              <w:rPr>
                <w:rFonts w:ascii="Calibri" w:hAnsi="Calibri" w:cstheme="minorHAnsi"/>
                <w:sz w:val="18"/>
                <w:szCs w:val="18"/>
                <w:lang w:val="en-GB"/>
              </w:rPr>
            </w:pPr>
            <w:r w:rsidRPr="00451852">
              <w:rPr>
                <w:rFonts w:ascii="Calibri" w:hAnsi="Calibri" w:cstheme="minorHAnsi" w:hint="eastAsia"/>
                <w:sz w:val="18"/>
                <w:szCs w:val="18"/>
                <w:lang w:val="en-GB"/>
              </w:rPr>
              <w:t>4</w:t>
            </w:r>
            <w:r w:rsidRPr="00451852">
              <w:rPr>
                <w:rFonts w:ascii="Calibri" w:hAnsi="Calibri" w:cstheme="minorHAnsi"/>
                <w:sz w:val="18"/>
                <w:szCs w:val="18"/>
                <w:lang w:val="en-GB"/>
              </w:rPr>
              <w:t>5.0</w:t>
            </w:r>
          </w:p>
        </w:tc>
        <w:tc>
          <w:tcPr>
            <w:tcW w:w="0" w:type="auto"/>
            <w:shd w:val="clear" w:color="auto" w:fill="E7E6E6" w:themeFill="background2"/>
          </w:tcPr>
          <w:p w14:paraId="384E19C0" w14:textId="77777777" w:rsidR="00B656F6" w:rsidRPr="00451852" w:rsidRDefault="00B656F6" w:rsidP="008F0944">
            <w:pPr>
              <w:snapToGrid w:val="0"/>
              <w:jc w:val="right"/>
              <w:rPr>
                <w:rFonts w:ascii="Calibri" w:hAnsi="Calibri" w:cstheme="minorHAnsi"/>
                <w:sz w:val="18"/>
                <w:szCs w:val="18"/>
                <w:lang w:val="en-GB"/>
              </w:rPr>
            </w:pPr>
            <w:r w:rsidRPr="00451852">
              <w:rPr>
                <w:rFonts w:ascii="Calibri" w:hAnsi="Calibri" w:cstheme="minorHAnsi" w:hint="eastAsia"/>
                <w:sz w:val="18"/>
                <w:szCs w:val="18"/>
                <w:lang w:val="en-GB"/>
              </w:rPr>
              <w:t>6</w:t>
            </w:r>
            <w:r w:rsidRPr="00451852">
              <w:rPr>
                <w:rFonts w:ascii="Calibri" w:hAnsi="Calibri" w:cstheme="minorHAnsi"/>
                <w:sz w:val="18"/>
                <w:szCs w:val="18"/>
                <w:lang w:val="en-GB"/>
              </w:rPr>
              <w:t>0.5</w:t>
            </w:r>
          </w:p>
        </w:tc>
        <w:tc>
          <w:tcPr>
            <w:tcW w:w="717" w:type="dxa"/>
            <w:shd w:val="clear" w:color="auto" w:fill="E7E6E6" w:themeFill="background2"/>
          </w:tcPr>
          <w:p w14:paraId="273EBB2F" w14:textId="77777777" w:rsidR="00B656F6" w:rsidRPr="00451852" w:rsidRDefault="00B656F6" w:rsidP="008F0944">
            <w:pPr>
              <w:snapToGrid w:val="0"/>
              <w:jc w:val="right"/>
              <w:rPr>
                <w:rFonts w:ascii="Calibri" w:hAnsi="Calibri"/>
                <w:sz w:val="18"/>
                <w:szCs w:val="18"/>
              </w:rPr>
            </w:pPr>
            <w:r>
              <w:rPr>
                <w:rFonts w:ascii="Calibri" w:hAnsi="Calibri" w:hint="eastAsia"/>
                <w:sz w:val="18"/>
                <w:szCs w:val="18"/>
              </w:rPr>
              <w:t>f</w:t>
            </w:r>
          </w:p>
        </w:tc>
      </w:tr>
      <w:tr w:rsidR="00B656F6" w:rsidRPr="00451852" w14:paraId="3941743E" w14:textId="77777777" w:rsidTr="008F0944">
        <w:tc>
          <w:tcPr>
            <w:tcW w:w="566" w:type="dxa"/>
            <w:vMerge w:val="restart"/>
            <w:shd w:val="clear" w:color="auto" w:fill="auto"/>
            <w:textDirection w:val="btLr"/>
          </w:tcPr>
          <w:p w14:paraId="094138D0" w14:textId="77777777" w:rsidR="00B656F6" w:rsidRPr="00451852" w:rsidRDefault="00B656F6" w:rsidP="008F0944">
            <w:pPr>
              <w:wordWrap w:val="0"/>
              <w:snapToGrid w:val="0"/>
              <w:ind w:left="113" w:right="113"/>
              <w:jc w:val="right"/>
              <w:rPr>
                <w:rFonts w:ascii="Calibri" w:hAnsi="Calibri"/>
                <w:sz w:val="18"/>
                <w:szCs w:val="18"/>
              </w:rPr>
            </w:pPr>
            <w:r>
              <w:rPr>
                <w:rFonts w:ascii="Calibri" w:hAnsi="Calibri"/>
                <w:sz w:val="18"/>
                <w:szCs w:val="18"/>
              </w:rPr>
              <w:t>Universal health coverage</w:t>
            </w:r>
          </w:p>
        </w:tc>
        <w:tc>
          <w:tcPr>
            <w:tcW w:w="2268" w:type="dxa"/>
            <w:shd w:val="clear" w:color="auto" w:fill="E7E6E6" w:themeFill="background2"/>
          </w:tcPr>
          <w:p w14:paraId="262D4C65" w14:textId="77777777" w:rsidR="00B656F6" w:rsidRPr="00451852" w:rsidRDefault="00B656F6" w:rsidP="008F0944">
            <w:pPr>
              <w:snapToGrid w:val="0"/>
              <w:jc w:val="right"/>
              <w:rPr>
                <w:rFonts w:ascii="Calibri" w:hAnsi="Calibri"/>
                <w:sz w:val="18"/>
                <w:szCs w:val="18"/>
              </w:rPr>
            </w:pPr>
            <w:r w:rsidRPr="00451852">
              <w:rPr>
                <w:rFonts w:ascii="Calibri" w:hAnsi="Calibri"/>
                <w:sz w:val="18"/>
                <w:szCs w:val="18"/>
              </w:rPr>
              <w:t>Contraception rate in married women of childbearing age (%)</w:t>
            </w:r>
          </w:p>
        </w:tc>
        <w:tc>
          <w:tcPr>
            <w:tcW w:w="0" w:type="auto"/>
            <w:shd w:val="clear" w:color="auto" w:fill="E7E6E6" w:themeFill="background2"/>
          </w:tcPr>
          <w:p w14:paraId="32D88773" w14:textId="77777777" w:rsidR="00B656F6" w:rsidRPr="00451852" w:rsidRDefault="00B656F6" w:rsidP="008F0944">
            <w:pPr>
              <w:snapToGrid w:val="0"/>
              <w:jc w:val="right"/>
              <w:rPr>
                <w:rFonts w:ascii="Calibri" w:hAnsi="Calibri" w:cstheme="minorHAnsi"/>
                <w:sz w:val="18"/>
                <w:szCs w:val="18"/>
                <w:lang w:val="en-GB"/>
              </w:rPr>
            </w:pPr>
            <w:r w:rsidRPr="00451852">
              <w:rPr>
                <w:rFonts w:ascii="Calibri" w:hAnsi="Calibri" w:cstheme="minorHAnsi"/>
                <w:sz w:val="18"/>
                <w:szCs w:val="18"/>
                <w:lang w:val="en-GB"/>
              </w:rPr>
              <w:t>89.1</w:t>
            </w:r>
          </w:p>
          <w:p w14:paraId="37D10891" w14:textId="77777777" w:rsidR="00B656F6" w:rsidRPr="00451852" w:rsidRDefault="00B656F6" w:rsidP="008F0944">
            <w:pPr>
              <w:snapToGrid w:val="0"/>
              <w:jc w:val="right"/>
              <w:rPr>
                <w:rFonts w:ascii="Calibri" w:hAnsi="Calibri" w:cstheme="minorHAnsi"/>
                <w:sz w:val="18"/>
                <w:szCs w:val="18"/>
                <w:lang w:val="en-GB"/>
              </w:rPr>
            </w:pPr>
          </w:p>
        </w:tc>
        <w:tc>
          <w:tcPr>
            <w:tcW w:w="0" w:type="auto"/>
            <w:shd w:val="clear" w:color="auto" w:fill="E7E6E6" w:themeFill="background2"/>
          </w:tcPr>
          <w:p w14:paraId="69426895" w14:textId="77777777" w:rsidR="00B656F6" w:rsidRPr="00451852" w:rsidRDefault="00B656F6" w:rsidP="008F0944">
            <w:pPr>
              <w:snapToGrid w:val="0"/>
              <w:jc w:val="right"/>
              <w:rPr>
                <w:rFonts w:ascii="Calibri" w:hAnsi="Calibri" w:cstheme="minorHAnsi"/>
                <w:sz w:val="18"/>
                <w:szCs w:val="18"/>
                <w:lang w:val="en-GB"/>
              </w:rPr>
            </w:pPr>
            <w:r w:rsidRPr="00451852">
              <w:rPr>
                <w:rFonts w:ascii="Calibri" w:hAnsi="Calibri" w:cstheme="minorHAnsi"/>
                <w:sz w:val="18"/>
                <w:szCs w:val="18"/>
                <w:lang w:val="en-GB"/>
              </w:rPr>
              <w:t>83.0</w:t>
            </w:r>
          </w:p>
          <w:p w14:paraId="33B30807" w14:textId="77777777" w:rsidR="00B656F6" w:rsidRPr="00451852" w:rsidRDefault="00B656F6" w:rsidP="008F0944">
            <w:pPr>
              <w:snapToGrid w:val="0"/>
              <w:jc w:val="right"/>
              <w:rPr>
                <w:rFonts w:ascii="Calibri" w:hAnsi="Calibri" w:cstheme="minorHAnsi"/>
                <w:sz w:val="18"/>
                <w:szCs w:val="18"/>
                <w:lang w:val="en-GB"/>
              </w:rPr>
            </w:pPr>
          </w:p>
        </w:tc>
        <w:tc>
          <w:tcPr>
            <w:tcW w:w="717" w:type="dxa"/>
            <w:shd w:val="clear" w:color="auto" w:fill="E7E6E6" w:themeFill="background2"/>
          </w:tcPr>
          <w:p w14:paraId="7647BD98" w14:textId="77777777" w:rsidR="00B656F6" w:rsidRPr="00451852" w:rsidRDefault="00B656F6" w:rsidP="008F0944">
            <w:pPr>
              <w:snapToGrid w:val="0"/>
              <w:jc w:val="right"/>
              <w:rPr>
                <w:rFonts w:ascii="Calibri" w:hAnsi="Calibri"/>
                <w:sz w:val="18"/>
                <w:szCs w:val="18"/>
              </w:rPr>
            </w:pPr>
            <w:r w:rsidRPr="00451852">
              <w:rPr>
                <w:rFonts w:ascii="Calibri" w:hAnsi="Calibri" w:hint="eastAsia"/>
                <w:sz w:val="18"/>
                <w:szCs w:val="18"/>
              </w:rPr>
              <w:t>c</w:t>
            </w:r>
          </w:p>
        </w:tc>
      </w:tr>
      <w:tr w:rsidR="00B656F6" w:rsidRPr="00451852" w14:paraId="2F8123EC" w14:textId="77777777" w:rsidTr="008F0944">
        <w:tc>
          <w:tcPr>
            <w:tcW w:w="566" w:type="dxa"/>
            <w:vMerge/>
            <w:shd w:val="clear" w:color="auto" w:fill="auto"/>
          </w:tcPr>
          <w:p w14:paraId="1F154A76" w14:textId="77777777" w:rsidR="00B656F6" w:rsidRPr="00451852" w:rsidRDefault="00B656F6" w:rsidP="008F0944">
            <w:pPr>
              <w:snapToGrid w:val="0"/>
              <w:jc w:val="right"/>
              <w:rPr>
                <w:rFonts w:ascii="Calibri" w:hAnsi="Calibri"/>
                <w:sz w:val="18"/>
                <w:szCs w:val="18"/>
              </w:rPr>
            </w:pPr>
          </w:p>
        </w:tc>
        <w:tc>
          <w:tcPr>
            <w:tcW w:w="2268" w:type="dxa"/>
            <w:shd w:val="clear" w:color="auto" w:fill="E7E6E6" w:themeFill="background2"/>
          </w:tcPr>
          <w:p w14:paraId="0ED665D7" w14:textId="77777777" w:rsidR="00B656F6" w:rsidRPr="00451852" w:rsidRDefault="00B656F6" w:rsidP="008F0944">
            <w:pPr>
              <w:snapToGrid w:val="0"/>
              <w:jc w:val="right"/>
              <w:rPr>
                <w:rFonts w:ascii="Calibri" w:hAnsi="Calibri"/>
                <w:sz w:val="18"/>
                <w:szCs w:val="18"/>
              </w:rPr>
            </w:pPr>
            <w:r w:rsidRPr="00451852">
              <w:rPr>
                <w:rFonts w:ascii="Calibri" w:hAnsi="Calibri"/>
                <w:sz w:val="18"/>
                <w:szCs w:val="18"/>
              </w:rPr>
              <w:t>Prenatal examination rate (%)</w:t>
            </w:r>
          </w:p>
        </w:tc>
        <w:tc>
          <w:tcPr>
            <w:tcW w:w="0" w:type="auto"/>
            <w:shd w:val="clear" w:color="auto" w:fill="E7E6E6" w:themeFill="background2"/>
          </w:tcPr>
          <w:p w14:paraId="520D9BD5" w14:textId="77777777" w:rsidR="00B656F6" w:rsidRPr="00451852" w:rsidRDefault="00B656F6" w:rsidP="008F0944">
            <w:pPr>
              <w:snapToGrid w:val="0"/>
              <w:jc w:val="right"/>
              <w:rPr>
                <w:rFonts w:ascii="Calibri" w:hAnsi="Calibri"/>
                <w:sz w:val="18"/>
                <w:szCs w:val="18"/>
              </w:rPr>
            </w:pPr>
            <w:r w:rsidRPr="00451852">
              <w:rPr>
                <w:rFonts w:ascii="Calibri" w:hAnsi="Calibri"/>
                <w:sz w:val="18"/>
                <w:szCs w:val="18"/>
              </w:rPr>
              <w:t>94.1</w:t>
            </w:r>
          </w:p>
          <w:p w14:paraId="6F201317" w14:textId="77777777" w:rsidR="00B656F6" w:rsidRPr="00451852" w:rsidRDefault="00B656F6" w:rsidP="008F0944">
            <w:pPr>
              <w:snapToGrid w:val="0"/>
              <w:jc w:val="right"/>
              <w:rPr>
                <w:rFonts w:ascii="Calibri" w:hAnsi="Calibri"/>
                <w:sz w:val="18"/>
                <w:szCs w:val="18"/>
              </w:rPr>
            </w:pPr>
          </w:p>
        </w:tc>
        <w:tc>
          <w:tcPr>
            <w:tcW w:w="0" w:type="auto"/>
            <w:shd w:val="clear" w:color="auto" w:fill="E7E6E6" w:themeFill="background2"/>
          </w:tcPr>
          <w:p w14:paraId="3C895BF5" w14:textId="77777777" w:rsidR="00B656F6" w:rsidRPr="00451852" w:rsidRDefault="00B656F6" w:rsidP="008F0944">
            <w:pPr>
              <w:snapToGrid w:val="0"/>
              <w:jc w:val="right"/>
              <w:rPr>
                <w:rFonts w:ascii="Calibri" w:hAnsi="Calibri"/>
                <w:sz w:val="18"/>
                <w:szCs w:val="18"/>
              </w:rPr>
            </w:pPr>
            <w:r w:rsidRPr="00451852">
              <w:rPr>
                <w:rFonts w:ascii="Calibri" w:hAnsi="Calibri"/>
                <w:sz w:val="18"/>
                <w:szCs w:val="18"/>
              </w:rPr>
              <w:t>96.6</w:t>
            </w:r>
          </w:p>
          <w:p w14:paraId="7C99908E" w14:textId="77777777" w:rsidR="00B656F6" w:rsidRPr="00451852" w:rsidRDefault="00B656F6" w:rsidP="008F0944">
            <w:pPr>
              <w:snapToGrid w:val="0"/>
              <w:jc w:val="right"/>
              <w:rPr>
                <w:rFonts w:ascii="Calibri" w:hAnsi="Calibri"/>
                <w:sz w:val="18"/>
                <w:szCs w:val="18"/>
              </w:rPr>
            </w:pPr>
          </w:p>
        </w:tc>
        <w:tc>
          <w:tcPr>
            <w:tcW w:w="717" w:type="dxa"/>
            <w:shd w:val="clear" w:color="auto" w:fill="E7E6E6" w:themeFill="background2"/>
          </w:tcPr>
          <w:p w14:paraId="2A4B8D86" w14:textId="77777777" w:rsidR="00B656F6" w:rsidRPr="00451852" w:rsidRDefault="00B656F6" w:rsidP="008F0944">
            <w:pPr>
              <w:snapToGrid w:val="0"/>
              <w:jc w:val="right"/>
              <w:rPr>
                <w:rFonts w:ascii="Calibri" w:hAnsi="Calibri"/>
                <w:sz w:val="18"/>
                <w:szCs w:val="18"/>
              </w:rPr>
            </w:pPr>
            <w:r w:rsidRPr="00451852">
              <w:rPr>
                <w:rFonts w:ascii="Calibri" w:hAnsi="Calibri" w:hint="eastAsia"/>
                <w:sz w:val="18"/>
                <w:szCs w:val="18"/>
              </w:rPr>
              <w:t>c</w:t>
            </w:r>
          </w:p>
        </w:tc>
      </w:tr>
      <w:tr w:rsidR="00B656F6" w:rsidRPr="00451852" w14:paraId="0E6EC0C7" w14:textId="77777777" w:rsidTr="008F0944">
        <w:tc>
          <w:tcPr>
            <w:tcW w:w="566" w:type="dxa"/>
            <w:vMerge/>
            <w:shd w:val="clear" w:color="auto" w:fill="auto"/>
          </w:tcPr>
          <w:p w14:paraId="084BF133" w14:textId="77777777" w:rsidR="00B656F6" w:rsidRPr="00451852" w:rsidRDefault="00B656F6" w:rsidP="008F0944">
            <w:pPr>
              <w:snapToGrid w:val="0"/>
              <w:jc w:val="right"/>
              <w:rPr>
                <w:rFonts w:ascii="Calibri" w:hAnsi="Calibri"/>
                <w:sz w:val="18"/>
                <w:szCs w:val="18"/>
              </w:rPr>
            </w:pPr>
          </w:p>
        </w:tc>
        <w:tc>
          <w:tcPr>
            <w:tcW w:w="2268" w:type="dxa"/>
            <w:shd w:val="clear" w:color="auto" w:fill="E7E6E6" w:themeFill="background2"/>
          </w:tcPr>
          <w:p w14:paraId="6470EA8C" w14:textId="77777777" w:rsidR="00B656F6" w:rsidRPr="00451852" w:rsidRDefault="00B656F6" w:rsidP="008F0944">
            <w:pPr>
              <w:snapToGrid w:val="0"/>
              <w:jc w:val="right"/>
              <w:rPr>
                <w:rFonts w:ascii="Calibri" w:hAnsi="Calibri"/>
                <w:sz w:val="18"/>
                <w:szCs w:val="18"/>
              </w:rPr>
            </w:pPr>
            <w:r w:rsidRPr="00451852">
              <w:rPr>
                <w:rFonts w:ascii="Calibri" w:hAnsi="Calibri"/>
                <w:sz w:val="18"/>
                <w:szCs w:val="18"/>
              </w:rPr>
              <w:t>Hospital delivery rate (%)</w:t>
            </w:r>
          </w:p>
        </w:tc>
        <w:tc>
          <w:tcPr>
            <w:tcW w:w="0" w:type="auto"/>
            <w:shd w:val="clear" w:color="auto" w:fill="E7E6E6" w:themeFill="background2"/>
          </w:tcPr>
          <w:p w14:paraId="5AE2DF77" w14:textId="77777777" w:rsidR="00B656F6" w:rsidRPr="00451852" w:rsidRDefault="00B656F6" w:rsidP="008F0944">
            <w:pPr>
              <w:snapToGrid w:val="0"/>
              <w:jc w:val="right"/>
              <w:rPr>
                <w:rFonts w:ascii="Calibri" w:hAnsi="Calibri"/>
                <w:sz w:val="18"/>
                <w:szCs w:val="18"/>
              </w:rPr>
            </w:pPr>
            <w:r w:rsidRPr="00451852">
              <w:rPr>
                <w:rFonts w:ascii="Calibri" w:hAnsi="Calibri"/>
                <w:sz w:val="18"/>
                <w:szCs w:val="18"/>
              </w:rPr>
              <w:t>97.8</w:t>
            </w:r>
          </w:p>
          <w:p w14:paraId="4CA3B391" w14:textId="77777777" w:rsidR="00B656F6" w:rsidRPr="00451852" w:rsidRDefault="00B656F6" w:rsidP="008F0944">
            <w:pPr>
              <w:snapToGrid w:val="0"/>
              <w:jc w:val="right"/>
              <w:rPr>
                <w:rFonts w:ascii="Calibri" w:hAnsi="Calibri"/>
                <w:sz w:val="18"/>
                <w:szCs w:val="18"/>
              </w:rPr>
            </w:pPr>
          </w:p>
        </w:tc>
        <w:tc>
          <w:tcPr>
            <w:tcW w:w="0" w:type="auto"/>
            <w:shd w:val="clear" w:color="auto" w:fill="E7E6E6" w:themeFill="background2"/>
          </w:tcPr>
          <w:p w14:paraId="3F2CABA0" w14:textId="77777777" w:rsidR="00B656F6" w:rsidRPr="00451852" w:rsidRDefault="00B656F6" w:rsidP="008F0944">
            <w:pPr>
              <w:snapToGrid w:val="0"/>
              <w:jc w:val="right"/>
              <w:rPr>
                <w:rFonts w:ascii="Calibri" w:hAnsi="Calibri"/>
                <w:sz w:val="18"/>
                <w:szCs w:val="18"/>
              </w:rPr>
            </w:pPr>
            <w:r w:rsidRPr="00451852">
              <w:rPr>
                <w:rFonts w:ascii="Calibri" w:hAnsi="Calibri"/>
                <w:sz w:val="18"/>
                <w:szCs w:val="18"/>
              </w:rPr>
              <w:t>99.8</w:t>
            </w:r>
          </w:p>
          <w:p w14:paraId="2FC0ECD2" w14:textId="77777777" w:rsidR="00B656F6" w:rsidRPr="00451852" w:rsidRDefault="00B656F6" w:rsidP="008F0944">
            <w:pPr>
              <w:snapToGrid w:val="0"/>
              <w:jc w:val="right"/>
              <w:rPr>
                <w:rFonts w:ascii="Calibri" w:hAnsi="Calibri"/>
                <w:sz w:val="18"/>
                <w:szCs w:val="18"/>
              </w:rPr>
            </w:pPr>
          </w:p>
        </w:tc>
        <w:tc>
          <w:tcPr>
            <w:tcW w:w="717" w:type="dxa"/>
            <w:shd w:val="clear" w:color="auto" w:fill="E7E6E6" w:themeFill="background2"/>
          </w:tcPr>
          <w:p w14:paraId="174A0A03" w14:textId="77777777" w:rsidR="00B656F6" w:rsidRPr="00451852" w:rsidRDefault="00B656F6" w:rsidP="008F0944">
            <w:pPr>
              <w:snapToGrid w:val="0"/>
              <w:jc w:val="right"/>
              <w:rPr>
                <w:rFonts w:ascii="Calibri" w:hAnsi="Calibri"/>
                <w:sz w:val="18"/>
                <w:szCs w:val="18"/>
              </w:rPr>
            </w:pPr>
            <w:r w:rsidRPr="00451852">
              <w:rPr>
                <w:rFonts w:ascii="Calibri" w:hAnsi="Calibri" w:hint="eastAsia"/>
                <w:sz w:val="18"/>
                <w:szCs w:val="18"/>
              </w:rPr>
              <w:t>c</w:t>
            </w:r>
          </w:p>
        </w:tc>
      </w:tr>
      <w:tr w:rsidR="00B656F6" w:rsidRPr="00451852" w14:paraId="56843E36" w14:textId="77777777" w:rsidTr="008F0944">
        <w:tc>
          <w:tcPr>
            <w:tcW w:w="566" w:type="dxa"/>
            <w:vMerge/>
            <w:shd w:val="clear" w:color="auto" w:fill="auto"/>
          </w:tcPr>
          <w:p w14:paraId="49E641CC" w14:textId="77777777" w:rsidR="00B656F6" w:rsidRPr="00451852" w:rsidRDefault="00B656F6" w:rsidP="008F0944">
            <w:pPr>
              <w:snapToGrid w:val="0"/>
              <w:jc w:val="right"/>
              <w:rPr>
                <w:rFonts w:ascii="Calibri" w:hAnsi="Calibri"/>
                <w:sz w:val="18"/>
                <w:szCs w:val="18"/>
              </w:rPr>
            </w:pPr>
          </w:p>
        </w:tc>
        <w:tc>
          <w:tcPr>
            <w:tcW w:w="2268" w:type="dxa"/>
          </w:tcPr>
          <w:p w14:paraId="21770F18" w14:textId="77777777" w:rsidR="00B656F6" w:rsidRPr="00451852" w:rsidRDefault="00B656F6" w:rsidP="008F0944">
            <w:pPr>
              <w:snapToGrid w:val="0"/>
              <w:jc w:val="right"/>
              <w:rPr>
                <w:rFonts w:ascii="Calibri" w:hAnsi="Calibri"/>
                <w:sz w:val="18"/>
                <w:szCs w:val="18"/>
              </w:rPr>
            </w:pPr>
          </w:p>
        </w:tc>
        <w:tc>
          <w:tcPr>
            <w:tcW w:w="0" w:type="auto"/>
          </w:tcPr>
          <w:p w14:paraId="6F8AD958" w14:textId="77777777" w:rsidR="00B656F6" w:rsidRPr="00451852" w:rsidRDefault="00B656F6" w:rsidP="008F0944">
            <w:pPr>
              <w:snapToGrid w:val="0"/>
              <w:jc w:val="right"/>
              <w:rPr>
                <w:rFonts w:ascii="Calibri" w:hAnsi="Calibri"/>
                <w:b/>
                <w:sz w:val="18"/>
                <w:szCs w:val="18"/>
              </w:rPr>
            </w:pPr>
            <w:r w:rsidRPr="00451852">
              <w:rPr>
                <w:rFonts w:ascii="Calibri" w:hAnsi="Calibri" w:hint="eastAsia"/>
                <w:b/>
                <w:sz w:val="18"/>
                <w:szCs w:val="18"/>
              </w:rPr>
              <w:t>2</w:t>
            </w:r>
            <w:r w:rsidRPr="00451852">
              <w:rPr>
                <w:rFonts w:ascii="Calibri" w:hAnsi="Calibri"/>
                <w:b/>
                <w:sz w:val="18"/>
                <w:szCs w:val="18"/>
              </w:rPr>
              <w:t>012</w:t>
            </w:r>
          </w:p>
        </w:tc>
        <w:tc>
          <w:tcPr>
            <w:tcW w:w="0" w:type="auto"/>
          </w:tcPr>
          <w:p w14:paraId="3CC0E5B4" w14:textId="77777777" w:rsidR="00B656F6" w:rsidRPr="00451852" w:rsidRDefault="00B656F6" w:rsidP="008F0944">
            <w:pPr>
              <w:snapToGrid w:val="0"/>
              <w:jc w:val="right"/>
              <w:rPr>
                <w:rFonts w:ascii="Calibri" w:hAnsi="Calibri"/>
                <w:b/>
                <w:sz w:val="18"/>
                <w:szCs w:val="18"/>
              </w:rPr>
            </w:pPr>
            <w:r w:rsidRPr="00451852">
              <w:rPr>
                <w:rFonts w:ascii="Calibri" w:hAnsi="Calibri" w:hint="eastAsia"/>
                <w:b/>
                <w:sz w:val="18"/>
                <w:szCs w:val="18"/>
              </w:rPr>
              <w:t>2</w:t>
            </w:r>
            <w:r w:rsidRPr="00451852">
              <w:rPr>
                <w:rFonts w:ascii="Calibri" w:hAnsi="Calibri"/>
                <w:b/>
                <w:sz w:val="18"/>
                <w:szCs w:val="18"/>
              </w:rPr>
              <w:t>015</w:t>
            </w:r>
          </w:p>
        </w:tc>
        <w:tc>
          <w:tcPr>
            <w:tcW w:w="717" w:type="dxa"/>
          </w:tcPr>
          <w:p w14:paraId="4F38F10C" w14:textId="77777777" w:rsidR="00B656F6" w:rsidRPr="00451852" w:rsidRDefault="00B656F6" w:rsidP="008F0944">
            <w:pPr>
              <w:snapToGrid w:val="0"/>
              <w:jc w:val="right"/>
              <w:rPr>
                <w:rFonts w:ascii="Calibri" w:hAnsi="Calibri"/>
                <w:sz w:val="18"/>
                <w:szCs w:val="18"/>
              </w:rPr>
            </w:pPr>
          </w:p>
        </w:tc>
      </w:tr>
      <w:tr w:rsidR="00B656F6" w:rsidRPr="00451852" w14:paraId="72BECEEE" w14:textId="77777777" w:rsidTr="008F0944">
        <w:tc>
          <w:tcPr>
            <w:tcW w:w="566" w:type="dxa"/>
            <w:vMerge/>
            <w:shd w:val="clear" w:color="auto" w:fill="auto"/>
          </w:tcPr>
          <w:p w14:paraId="2A538A31" w14:textId="77777777" w:rsidR="00B656F6" w:rsidRPr="00451852" w:rsidRDefault="00B656F6" w:rsidP="008F0944">
            <w:pPr>
              <w:snapToGrid w:val="0"/>
              <w:jc w:val="right"/>
              <w:rPr>
                <w:rFonts w:ascii="Calibri" w:hAnsi="Calibri"/>
                <w:sz w:val="18"/>
                <w:szCs w:val="18"/>
              </w:rPr>
            </w:pPr>
          </w:p>
        </w:tc>
        <w:tc>
          <w:tcPr>
            <w:tcW w:w="2268" w:type="dxa"/>
            <w:shd w:val="clear" w:color="auto" w:fill="E7E6E6" w:themeFill="background2"/>
          </w:tcPr>
          <w:p w14:paraId="61E934D8" w14:textId="77777777" w:rsidR="00B656F6" w:rsidRPr="00451852" w:rsidRDefault="00B656F6" w:rsidP="008F0944">
            <w:pPr>
              <w:snapToGrid w:val="0"/>
              <w:jc w:val="right"/>
              <w:rPr>
                <w:rFonts w:ascii="Calibri" w:hAnsi="Calibri"/>
                <w:sz w:val="18"/>
                <w:szCs w:val="18"/>
              </w:rPr>
            </w:pPr>
            <w:r w:rsidRPr="00451852">
              <w:rPr>
                <w:rFonts w:ascii="Calibri" w:hAnsi="Calibri"/>
                <w:sz w:val="18"/>
                <w:szCs w:val="18"/>
              </w:rPr>
              <w:t>Antivirus treatment rate (%)</w:t>
            </w:r>
          </w:p>
        </w:tc>
        <w:tc>
          <w:tcPr>
            <w:tcW w:w="0" w:type="auto"/>
            <w:shd w:val="clear" w:color="auto" w:fill="E7E6E6" w:themeFill="background2"/>
          </w:tcPr>
          <w:p w14:paraId="4A9D2167" w14:textId="77777777" w:rsidR="00B656F6" w:rsidRPr="00451852" w:rsidRDefault="00B656F6" w:rsidP="008F0944">
            <w:pPr>
              <w:snapToGrid w:val="0"/>
              <w:jc w:val="right"/>
              <w:rPr>
                <w:rFonts w:ascii="Calibri" w:hAnsi="Calibri"/>
                <w:sz w:val="18"/>
                <w:szCs w:val="18"/>
              </w:rPr>
            </w:pPr>
            <w:r w:rsidRPr="00451852">
              <w:rPr>
                <w:rFonts w:ascii="Calibri" w:hAnsi="Calibri"/>
                <w:sz w:val="18"/>
                <w:szCs w:val="18"/>
              </w:rPr>
              <w:t>33.3</w:t>
            </w:r>
          </w:p>
        </w:tc>
        <w:tc>
          <w:tcPr>
            <w:tcW w:w="0" w:type="auto"/>
            <w:shd w:val="clear" w:color="auto" w:fill="E7E6E6" w:themeFill="background2"/>
          </w:tcPr>
          <w:p w14:paraId="09174B95" w14:textId="77777777" w:rsidR="00B656F6" w:rsidRPr="00451852" w:rsidRDefault="00B656F6" w:rsidP="008F0944">
            <w:pPr>
              <w:snapToGrid w:val="0"/>
              <w:jc w:val="right"/>
              <w:rPr>
                <w:rFonts w:ascii="Calibri" w:hAnsi="Calibri"/>
                <w:sz w:val="18"/>
                <w:szCs w:val="18"/>
              </w:rPr>
            </w:pPr>
            <w:r w:rsidRPr="00451852">
              <w:rPr>
                <w:rFonts w:ascii="Calibri" w:hAnsi="Calibri"/>
                <w:sz w:val="18"/>
                <w:szCs w:val="18"/>
              </w:rPr>
              <w:t>67.0</w:t>
            </w:r>
          </w:p>
        </w:tc>
        <w:tc>
          <w:tcPr>
            <w:tcW w:w="717" w:type="dxa"/>
            <w:shd w:val="clear" w:color="auto" w:fill="E7E6E6" w:themeFill="background2"/>
          </w:tcPr>
          <w:p w14:paraId="5DBB3A77" w14:textId="77777777" w:rsidR="00B656F6" w:rsidRPr="00451852" w:rsidRDefault="00B656F6" w:rsidP="008F0944">
            <w:pPr>
              <w:snapToGrid w:val="0"/>
              <w:jc w:val="right"/>
              <w:rPr>
                <w:rFonts w:ascii="Calibri" w:hAnsi="Calibri"/>
                <w:sz w:val="18"/>
                <w:szCs w:val="18"/>
              </w:rPr>
            </w:pPr>
            <w:r>
              <w:rPr>
                <w:rFonts w:ascii="Calibri" w:hAnsi="Calibri" w:hint="eastAsia"/>
                <w:sz w:val="18"/>
                <w:szCs w:val="18"/>
              </w:rPr>
              <w:t>g</w:t>
            </w:r>
          </w:p>
        </w:tc>
      </w:tr>
      <w:tr w:rsidR="00B656F6" w:rsidRPr="00451852" w14:paraId="7C4F16D0" w14:textId="77777777" w:rsidTr="008F0944">
        <w:trPr>
          <w:trHeight w:val="66"/>
        </w:trPr>
        <w:tc>
          <w:tcPr>
            <w:tcW w:w="566" w:type="dxa"/>
            <w:vMerge/>
            <w:shd w:val="clear" w:color="auto" w:fill="auto"/>
          </w:tcPr>
          <w:p w14:paraId="1D15694A" w14:textId="77777777" w:rsidR="00B656F6" w:rsidRPr="00451852" w:rsidRDefault="00B656F6" w:rsidP="008F0944">
            <w:pPr>
              <w:snapToGrid w:val="0"/>
              <w:jc w:val="right"/>
              <w:rPr>
                <w:rFonts w:ascii="Calibri" w:hAnsi="Calibri"/>
                <w:sz w:val="18"/>
                <w:szCs w:val="18"/>
              </w:rPr>
            </w:pPr>
          </w:p>
        </w:tc>
        <w:tc>
          <w:tcPr>
            <w:tcW w:w="2268" w:type="dxa"/>
            <w:shd w:val="clear" w:color="auto" w:fill="auto"/>
          </w:tcPr>
          <w:p w14:paraId="5974F3DA" w14:textId="77777777" w:rsidR="00B656F6" w:rsidRPr="00F912E0" w:rsidRDefault="00B656F6" w:rsidP="008F0944">
            <w:pPr>
              <w:snapToGrid w:val="0"/>
              <w:jc w:val="right"/>
              <w:rPr>
                <w:rFonts w:ascii="Calibri" w:hAnsi="Calibri"/>
                <w:b/>
                <w:sz w:val="18"/>
                <w:szCs w:val="18"/>
              </w:rPr>
            </w:pPr>
          </w:p>
        </w:tc>
        <w:tc>
          <w:tcPr>
            <w:tcW w:w="0" w:type="auto"/>
            <w:shd w:val="clear" w:color="auto" w:fill="auto"/>
          </w:tcPr>
          <w:p w14:paraId="76BBE655" w14:textId="77777777" w:rsidR="00B656F6" w:rsidRPr="00F912E0" w:rsidRDefault="00B656F6" w:rsidP="008F0944">
            <w:pPr>
              <w:snapToGrid w:val="0"/>
              <w:jc w:val="right"/>
              <w:rPr>
                <w:rFonts w:ascii="Calibri" w:hAnsi="Calibri"/>
                <w:b/>
                <w:sz w:val="18"/>
                <w:szCs w:val="18"/>
              </w:rPr>
            </w:pPr>
            <w:r w:rsidRPr="00F912E0">
              <w:rPr>
                <w:rFonts w:ascii="Calibri" w:hAnsi="Calibri" w:hint="eastAsia"/>
                <w:b/>
                <w:sz w:val="18"/>
                <w:szCs w:val="18"/>
              </w:rPr>
              <w:t>2015</w:t>
            </w:r>
          </w:p>
        </w:tc>
        <w:tc>
          <w:tcPr>
            <w:tcW w:w="0" w:type="auto"/>
            <w:shd w:val="clear" w:color="auto" w:fill="auto"/>
          </w:tcPr>
          <w:p w14:paraId="2180398D" w14:textId="77777777" w:rsidR="00B656F6" w:rsidRPr="00F912E0" w:rsidRDefault="00B656F6" w:rsidP="008F0944">
            <w:pPr>
              <w:snapToGrid w:val="0"/>
              <w:jc w:val="right"/>
              <w:rPr>
                <w:rFonts w:ascii="Calibri" w:hAnsi="Calibri"/>
                <w:b/>
                <w:sz w:val="18"/>
                <w:szCs w:val="18"/>
              </w:rPr>
            </w:pPr>
            <w:r w:rsidRPr="00F912E0">
              <w:rPr>
                <w:rFonts w:ascii="Calibri" w:hAnsi="Calibri" w:hint="eastAsia"/>
                <w:b/>
                <w:sz w:val="18"/>
                <w:szCs w:val="18"/>
              </w:rPr>
              <w:t>2016</w:t>
            </w:r>
          </w:p>
        </w:tc>
        <w:tc>
          <w:tcPr>
            <w:tcW w:w="717" w:type="dxa"/>
            <w:shd w:val="clear" w:color="auto" w:fill="auto"/>
          </w:tcPr>
          <w:p w14:paraId="4F2C94A3" w14:textId="77777777" w:rsidR="00B656F6" w:rsidRPr="00F912E0" w:rsidRDefault="00B656F6" w:rsidP="008F0944">
            <w:pPr>
              <w:snapToGrid w:val="0"/>
              <w:jc w:val="right"/>
              <w:rPr>
                <w:rFonts w:ascii="Calibri" w:hAnsi="Calibri"/>
                <w:b/>
                <w:sz w:val="18"/>
                <w:szCs w:val="18"/>
              </w:rPr>
            </w:pPr>
          </w:p>
        </w:tc>
      </w:tr>
      <w:tr w:rsidR="00B656F6" w:rsidRPr="00451852" w14:paraId="4782DF65" w14:textId="77777777" w:rsidTr="008F0944">
        <w:trPr>
          <w:trHeight w:val="66"/>
        </w:trPr>
        <w:tc>
          <w:tcPr>
            <w:tcW w:w="566" w:type="dxa"/>
            <w:vMerge/>
            <w:shd w:val="clear" w:color="auto" w:fill="auto"/>
          </w:tcPr>
          <w:p w14:paraId="012B3575" w14:textId="77777777" w:rsidR="00B656F6" w:rsidRPr="00451852" w:rsidRDefault="00B656F6" w:rsidP="008F0944">
            <w:pPr>
              <w:snapToGrid w:val="0"/>
              <w:jc w:val="right"/>
              <w:rPr>
                <w:rFonts w:ascii="Calibri" w:hAnsi="Calibri"/>
                <w:sz w:val="18"/>
                <w:szCs w:val="18"/>
              </w:rPr>
            </w:pPr>
          </w:p>
        </w:tc>
        <w:tc>
          <w:tcPr>
            <w:tcW w:w="2268" w:type="dxa"/>
            <w:shd w:val="clear" w:color="auto" w:fill="E7E6E6" w:themeFill="background2"/>
          </w:tcPr>
          <w:p w14:paraId="71AE81C6" w14:textId="77777777" w:rsidR="00B656F6" w:rsidRPr="00451852" w:rsidRDefault="00B656F6" w:rsidP="008F0944">
            <w:pPr>
              <w:snapToGrid w:val="0"/>
              <w:jc w:val="right"/>
              <w:rPr>
                <w:rFonts w:ascii="Calibri" w:hAnsi="Calibri"/>
                <w:sz w:val="18"/>
                <w:szCs w:val="18"/>
              </w:rPr>
            </w:pPr>
            <w:r w:rsidRPr="00451852">
              <w:rPr>
                <w:rFonts w:ascii="Calibri" w:hAnsi="Calibri"/>
                <w:sz w:val="18"/>
                <w:szCs w:val="18"/>
              </w:rPr>
              <w:t>TB treatment rate (%)</w:t>
            </w:r>
          </w:p>
        </w:tc>
        <w:tc>
          <w:tcPr>
            <w:tcW w:w="0" w:type="auto"/>
            <w:shd w:val="clear" w:color="auto" w:fill="E7E6E6" w:themeFill="background2"/>
          </w:tcPr>
          <w:p w14:paraId="4EB57294" w14:textId="77777777" w:rsidR="00B656F6" w:rsidRPr="00451852" w:rsidRDefault="00B656F6" w:rsidP="008F0944">
            <w:pPr>
              <w:snapToGrid w:val="0"/>
              <w:jc w:val="right"/>
              <w:rPr>
                <w:rFonts w:ascii="Calibri" w:hAnsi="Calibri"/>
                <w:sz w:val="18"/>
                <w:szCs w:val="18"/>
              </w:rPr>
            </w:pPr>
            <w:r w:rsidRPr="00451852">
              <w:rPr>
                <w:rFonts w:ascii="Calibri" w:hAnsi="Calibri"/>
                <w:sz w:val="18"/>
                <w:szCs w:val="18"/>
              </w:rPr>
              <w:t>87.0</w:t>
            </w:r>
          </w:p>
        </w:tc>
        <w:tc>
          <w:tcPr>
            <w:tcW w:w="0" w:type="auto"/>
            <w:shd w:val="clear" w:color="auto" w:fill="E7E6E6" w:themeFill="background2"/>
          </w:tcPr>
          <w:p w14:paraId="21F9817E" w14:textId="77777777" w:rsidR="00B656F6" w:rsidRPr="00451852" w:rsidRDefault="00B656F6" w:rsidP="008F0944">
            <w:pPr>
              <w:snapToGrid w:val="0"/>
              <w:jc w:val="right"/>
              <w:rPr>
                <w:rFonts w:ascii="Calibri" w:hAnsi="Calibri"/>
                <w:sz w:val="18"/>
                <w:szCs w:val="18"/>
              </w:rPr>
            </w:pPr>
            <w:r w:rsidRPr="00451852">
              <w:rPr>
                <w:rFonts w:ascii="Calibri" w:hAnsi="Calibri"/>
                <w:sz w:val="18"/>
                <w:szCs w:val="18"/>
              </w:rPr>
              <w:t>87.0</w:t>
            </w:r>
          </w:p>
        </w:tc>
        <w:tc>
          <w:tcPr>
            <w:tcW w:w="717" w:type="dxa"/>
            <w:shd w:val="clear" w:color="auto" w:fill="E7E6E6" w:themeFill="background2"/>
          </w:tcPr>
          <w:p w14:paraId="7BE97D8F" w14:textId="77777777" w:rsidR="00B656F6" w:rsidRPr="00451852" w:rsidRDefault="00B656F6" w:rsidP="008F0944">
            <w:pPr>
              <w:snapToGrid w:val="0"/>
              <w:jc w:val="right"/>
              <w:rPr>
                <w:rFonts w:ascii="Calibri" w:hAnsi="Calibri"/>
                <w:sz w:val="18"/>
                <w:szCs w:val="18"/>
              </w:rPr>
            </w:pPr>
            <w:r>
              <w:rPr>
                <w:rFonts w:ascii="Calibri" w:hAnsi="Calibri" w:hint="eastAsia"/>
                <w:sz w:val="18"/>
                <w:szCs w:val="18"/>
              </w:rPr>
              <w:t>h</w:t>
            </w:r>
          </w:p>
        </w:tc>
      </w:tr>
      <w:tr w:rsidR="00B656F6" w:rsidRPr="00451852" w14:paraId="3B716B41" w14:textId="77777777" w:rsidTr="008F0944">
        <w:trPr>
          <w:trHeight w:val="66"/>
        </w:trPr>
        <w:tc>
          <w:tcPr>
            <w:tcW w:w="566" w:type="dxa"/>
            <w:vMerge/>
            <w:shd w:val="clear" w:color="auto" w:fill="auto"/>
          </w:tcPr>
          <w:p w14:paraId="02C0F6B1" w14:textId="77777777" w:rsidR="00B656F6" w:rsidRPr="00451852" w:rsidRDefault="00B656F6" w:rsidP="008F0944">
            <w:pPr>
              <w:snapToGrid w:val="0"/>
              <w:jc w:val="right"/>
              <w:rPr>
                <w:rFonts w:ascii="Calibri" w:hAnsi="Calibri"/>
                <w:sz w:val="18"/>
                <w:szCs w:val="18"/>
              </w:rPr>
            </w:pPr>
          </w:p>
        </w:tc>
        <w:tc>
          <w:tcPr>
            <w:tcW w:w="2268" w:type="dxa"/>
            <w:shd w:val="clear" w:color="auto" w:fill="auto"/>
          </w:tcPr>
          <w:p w14:paraId="3FC4A557" w14:textId="77777777" w:rsidR="00B656F6" w:rsidRPr="00451852" w:rsidRDefault="00B656F6" w:rsidP="008F0944">
            <w:pPr>
              <w:snapToGrid w:val="0"/>
              <w:jc w:val="right"/>
              <w:rPr>
                <w:rFonts w:ascii="Calibri" w:hAnsi="Calibri"/>
                <w:sz w:val="18"/>
                <w:szCs w:val="18"/>
              </w:rPr>
            </w:pPr>
          </w:p>
        </w:tc>
        <w:tc>
          <w:tcPr>
            <w:tcW w:w="0" w:type="auto"/>
            <w:shd w:val="clear" w:color="auto" w:fill="auto"/>
          </w:tcPr>
          <w:p w14:paraId="7607C78E" w14:textId="77777777" w:rsidR="00B656F6" w:rsidRPr="00451852" w:rsidRDefault="00B656F6" w:rsidP="008F0944">
            <w:pPr>
              <w:snapToGrid w:val="0"/>
              <w:jc w:val="right"/>
              <w:rPr>
                <w:rFonts w:ascii="Calibri" w:hAnsi="Calibri"/>
                <w:b/>
                <w:sz w:val="18"/>
                <w:szCs w:val="18"/>
              </w:rPr>
            </w:pPr>
            <w:r w:rsidRPr="00451852">
              <w:rPr>
                <w:rFonts w:ascii="Calibri" w:hAnsi="Calibri" w:hint="eastAsia"/>
                <w:b/>
                <w:sz w:val="18"/>
                <w:szCs w:val="18"/>
              </w:rPr>
              <w:t>2</w:t>
            </w:r>
            <w:r w:rsidRPr="00451852">
              <w:rPr>
                <w:rFonts w:ascii="Calibri" w:hAnsi="Calibri"/>
                <w:b/>
                <w:sz w:val="18"/>
                <w:szCs w:val="18"/>
              </w:rPr>
              <w:t>008</w:t>
            </w:r>
          </w:p>
        </w:tc>
        <w:tc>
          <w:tcPr>
            <w:tcW w:w="0" w:type="auto"/>
            <w:shd w:val="clear" w:color="auto" w:fill="auto"/>
          </w:tcPr>
          <w:p w14:paraId="237F9856" w14:textId="77777777" w:rsidR="00B656F6" w:rsidRPr="00451852" w:rsidRDefault="00B656F6" w:rsidP="008F0944">
            <w:pPr>
              <w:snapToGrid w:val="0"/>
              <w:jc w:val="right"/>
              <w:rPr>
                <w:rFonts w:ascii="Calibri" w:hAnsi="Calibri"/>
                <w:b/>
                <w:sz w:val="18"/>
                <w:szCs w:val="18"/>
              </w:rPr>
            </w:pPr>
            <w:r w:rsidRPr="00451852">
              <w:rPr>
                <w:rFonts w:ascii="Calibri" w:hAnsi="Calibri" w:hint="eastAsia"/>
                <w:b/>
                <w:sz w:val="18"/>
                <w:szCs w:val="18"/>
              </w:rPr>
              <w:t>2</w:t>
            </w:r>
            <w:r w:rsidRPr="00451852">
              <w:rPr>
                <w:rFonts w:ascii="Calibri" w:hAnsi="Calibri"/>
                <w:b/>
                <w:sz w:val="18"/>
                <w:szCs w:val="18"/>
              </w:rPr>
              <w:t>013</w:t>
            </w:r>
          </w:p>
        </w:tc>
        <w:tc>
          <w:tcPr>
            <w:tcW w:w="717" w:type="dxa"/>
          </w:tcPr>
          <w:p w14:paraId="7103D78F" w14:textId="77777777" w:rsidR="00B656F6" w:rsidRPr="00451852" w:rsidRDefault="00B656F6" w:rsidP="008F0944">
            <w:pPr>
              <w:snapToGrid w:val="0"/>
              <w:jc w:val="right"/>
              <w:rPr>
                <w:rFonts w:ascii="Calibri" w:hAnsi="Calibri"/>
                <w:sz w:val="18"/>
                <w:szCs w:val="18"/>
              </w:rPr>
            </w:pPr>
          </w:p>
        </w:tc>
      </w:tr>
      <w:tr w:rsidR="00B656F6" w:rsidRPr="00451852" w14:paraId="39449F6D" w14:textId="77777777" w:rsidTr="008F0944">
        <w:tc>
          <w:tcPr>
            <w:tcW w:w="566" w:type="dxa"/>
            <w:vMerge/>
            <w:shd w:val="clear" w:color="auto" w:fill="auto"/>
          </w:tcPr>
          <w:p w14:paraId="092C8272" w14:textId="77777777" w:rsidR="00B656F6" w:rsidRPr="00451852" w:rsidRDefault="00B656F6" w:rsidP="008F0944">
            <w:pPr>
              <w:snapToGrid w:val="0"/>
              <w:jc w:val="right"/>
              <w:rPr>
                <w:rFonts w:ascii="Calibri" w:hAnsi="Calibri"/>
                <w:sz w:val="18"/>
                <w:szCs w:val="18"/>
              </w:rPr>
            </w:pPr>
          </w:p>
        </w:tc>
        <w:tc>
          <w:tcPr>
            <w:tcW w:w="2268" w:type="dxa"/>
            <w:shd w:val="clear" w:color="auto" w:fill="E7E6E6" w:themeFill="background2"/>
          </w:tcPr>
          <w:p w14:paraId="0B94FD20" w14:textId="77777777" w:rsidR="00B656F6" w:rsidRPr="00451852" w:rsidRDefault="00B656F6" w:rsidP="008F0944">
            <w:pPr>
              <w:snapToGrid w:val="0"/>
              <w:jc w:val="right"/>
              <w:rPr>
                <w:rFonts w:ascii="Calibri" w:hAnsi="Calibri"/>
                <w:sz w:val="18"/>
                <w:szCs w:val="18"/>
              </w:rPr>
            </w:pPr>
            <w:r w:rsidRPr="00451852">
              <w:rPr>
                <w:rFonts w:ascii="Calibri" w:hAnsi="Calibri" w:hint="eastAsia"/>
                <w:sz w:val="18"/>
                <w:szCs w:val="18"/>
              </w:rPr>
              <w:t xml:space="preserve">Vaccination </w:t>
            </w:r>
            <w:r>
              <w:rPr>
                <w:rFonts w:ascii="Calibri" w:hAnsi="Calibri"/>
                <w:sz w:val="18"/>
                <w:szCs w:val="18"/>
              </w:rPr>
              <w:t>c</w:t>
            </w:r>
            <w:r w:rsidRPr="00451852">
              <w:rPr>
                <w:rFonts w:ascii="Calibri" w:hAnsi="Calibri" w:hint="eastAsia"/>
                <w:sz w:val="18"/>
                <w:szCs w:val="18"/>
              </w:rPr>
              <w:t>overage (%)</w:t>
            </w:r>
          </w:p>
        </w:tc>
        <w:tc>
          <w:tcPr>
            <w:tcW w:w="0" w:type="auto"/>
            <w:shd w:val="clear" w:color="auto" w:fill="E7E6E6" w:themeFill="background2"/>
          </w:tcPr>
          <w:p w14:paraId="6DBF6075" w14:textId="77777777" w:rsidR="00B656F6" w:rsidRPr="00451852" w:rsidRDefault="00B656F6" w:rsidP="008F0944">
            <w:pPr>
              <w:snapToGrid w:val="0"/>
              <w:jc w:val="right"/>
              <w:rPr>
                <w:rFonts w:ascii="Calibri" w:hAnsi="Calibri"/>
                <w:b/>
                <w:sz w:val="18"/>
                <w:szCs w:val="18"/>
              </w:rPr>
            </w:pPr>
          </w:p>
        </w:tc>
        <w:tc>
          <w:tcPr>
            <w:tcW w:w="0" w:type="auto"/>
            <w:shd w:val="clear" w:color="auto" w:fill="E7E6E6" w:themeFill="background2"/>
          </w:tcPr>
          <w:p w14:paraId="61E44C4F" w14:textId="77777777" w:rsidR="00B656F6" w:rsidRPr="00451852" w:rsidRDefault="00B656F6" w:rsidP="008F0944">
            <w:pPr>
              <w:snapToGrid w:val="0"/>
              <w:jc w:val="right"/>
              <w:rPr>
                <w:rFonts w:ascii="Calibri" w:hAnsi="Calibri"/>
                <w:b/>
                <w:sz w:val="18"/>
                <w:szCs w:val="18"/>
              </w:rPr>
            </w:pPr>
          </w:p>
        </w:tc>
        <w:tc>
          <w:tcPr>
            <w:tcW w:w="717" w:type="dxa"/>
            <w:shd w:val="clear" w:color="auto" w:fill="E7E6E6" w:themeFill="background2"/>
          </w:tcPr>
          <w:p w14:paraId="0E504A72" w14:textId="77777777" w:rsidR="00B656F6" w:rsidRPr="00451852" w:rsidRDefault="00B656F6" w:rsidP="008F0944">
            <w:pPr>
              <w:snapToGrid w:val="0"/>
              <w:jc w:val="right"/>
              <w:rPr>
                <w:rFonts w:ascii="Calibri" w:hAnsi="Calibri"/>
                <w:sz w:val="18"/>
                <w:szCs w:val="18"/>
              </w:rPr>
            </w:pPr>
          </w:p>
        </w:tc>
      </w:tr>
      <w:tr w:rsidR="00B656F6" w:rsidRPr="00451852" w14:paraId="776E20E0" w14:textId="77777777" w:rsidTr="008F0944">
        <w:tc>
          <w:tcPr>
            <w:tcW w:w="566" w:type="dxa"/>
            <w:vMerge/>
            <w:shd w:val="clear" w:color="auto" w:fill="auto"/>
          </w:tcPr>
          <w:p w14:paraId="18A4F24A" w14:textId="77777777" w:rsidR="00B656F6" w:rsidRPr="00451852" w:rsidRDefault="00B656F6" w:rsidP="008F0944">
            <w:pPr>
              <w:snapToGrid w:val="0"/>
              <w:jc w:val="right"/>
              <w:rPr>
                <w:rFonts w:ascii="Calibri" w:hAnsi="Calibri"/>
                <w:sz w:val="18"/>
                <w:szCs w:val="18"/>
              </w:rPr>
            </w:pPr>
          </w:p>
        </w:tc>
        <w:tc>
          <w:tcPr>
            <w:tcW w:w="2268" w:type="dxa"/>
            <w:shd w:val="clear" w:color="auto" w:fill="E7E6E6" w:themeFill="background2"/>
          </w:tcPr>
          <w:p w14:paraId="0AEFC49F" w14:textId="77777777" w:rsidR="00B656F6" w:rsidRPr="00451852" w:rsidRDefault="00B656F6" w:rsidP="008F0944">
            <w:pPr>
              <w:snapToGrid w:val="0"/>
              <w:jc w:val="right"/>
              <w:rPr>
                <w:rFonts w:ascii="Calibri" w:hAnsi="Calibri"/>
                <w:sz w:val="18"/>
                <w:szCs w:val="18"/>
              </w:rPr>
            </w:pPr>
            <w:r w:rsidRPr="00451852">
              <w:rPr>
                <w:rFonts w:ascii="Calibri" w:hAnsi="Calibri"/>
                <w:sz w:val="18"/>
                <w:szCs w:val="18"/>
              </w:rPr>
              <w:t>Polio</w:t>
            </w:r>
          </w:p>
        </w:tc>
        <w:tc>
          <w:tcPr>
            <w:tcW w:w="0" w:type="auto"/>
            <w:shd w:val="clear" w:color="auto" w:fill="E7E6E6" w:themeFill="background2"/>
          </w:tcPr>
          <w:p w14:paraId="2B56C308" w14:textId="77777777" w:rsidR="00B656F6" w:rsidRPr="00451852" w:rsidRDefault="00B656F6" w:rsidP="008F0944">
            <w:pPr>
              <w:snapToGrid w:val="0"/>
              <w:jc w:val="right"/>
              <w:rPr>
                <w:rFonts w:ascii="Calibri" w:hAnsi="Calibri"/>
                <w:sz w:val="18"/>
                <w:szCs w:val="18"/>
              </w:rPr>
            </w:pPr>
            <w:r w:rsidRPr="00451852">
              <w:rPr>
                <w:rFonts w:ascii="Calibri" w:hAnsi="Calibri" w:hint="eastAsia"/>
                <w:sz w:val="18"/>
                <w:szCs w:val="18"/>
              </w:rPr>
              <w:t>92.4</w:t>
            </w:r>
          </w:p>
        </w:tc>
        <w:tc>
          <w:tcPr>
            <w:tcW w:w="0" w:type="auto"/>
            <w:shd w:val="clear" w:color="auto" w:fill="E7E6E6" w:themeFill="background2"/>
          </w:tcPr>
          <w:p w14:paraId="3A84D762" w14:textId="77777777" w:rsidR="00B656F6" w:rsidRPr="00451852" w:rsidRDefault="00B656F6" w:rsidP="008F0944">
            <w:pPr>
              <w:snapToGrid w:val="0"/>
              <w:jc w:val="right"/>
              <w:rPr>
                <w:rFonts w:ascii="Calibri" w:hAnsi="Calibri"/>
                <w:sz w:val="18"/>
                <w:szCs w:val="18"/>
              </w:rPr>
            </w:pPr>
            <w:r w:rsidRPr="00451852">
              <w:rPr>
                <w:rFonts w:ascii="Calibri" w:hAnsi="Calibri" w:hint="eastAsia"/>
                <w:sz w:val="18"/>
                <w:szCs w:val="18"/>
              </w:rPr>
              <w:t>93.7</w:t>
            </w:r>
          </w:p>
        </w:tc>
        <w:tc>
          <w:tcPr>
            <w:tcW w:w="717" w:type="dxa"/>
            <w:shd w:val="clear" w:color="auto" w:fill="E7E6E6" w:themeFill="background2"/>
          </w:tcPr>
          <w:p w14:paraId="15479D66" w14:textId="77777777" w:rsidR="00B656F6" w:rsidRPr="00451852" w:rsidRDefault="00B656F6" w:rsidP="008F0944">
            <w:pPr>
              <w:snapToGrid w:val="0"/>
              <w:jc w:val="right"/>
              <w:rPr>
                <w:rFonts w:ascii="Calibri" w:hAnsi="Calibri"/>
                <w:sz w:val="18"/>
                <w:szCs w:val="18"/>
              </w:rPr>
            </w:pPr>
            <w:r>
              <w:rPr>
                <w:rFonts w:ascii="Calibri" w:hAnsi="Calibri" w:hint="eastAsia"/>
                <w:sz w:val="18"/>
                <w:szCs w:val="18"/>
              </w:rPr>
              <w:t>i</w:t>
            </w:r>
          </w:p>
        </w:tc>
      </w:tr>
      <w:tr w:rsidR="00B656F6" w:rsidRPr="00451852" w14:paraId="7CEEE245" w14:textId="77777777" w:rsidTr="008F0944">
        <w:tc>
          <w:tcPr>
            <w:tcW w:w="566" w:type="dxa"/>
            <w:vMerge/>
            <w:shd w:val="clear" w:color="auto" w:fill="auto"/>
          </w:tcPr>
          <w:p w14:paraId="56F034E0" w14:textId="77777777" w:rsidR="00B656F6" w:rsidRPr="00451852" w:rsidRDefault="00B656F6" w:rsidP="008F0944">
            <w:pPr>
              <w:snapToGrid w:val="0"/>
              <w:jc w:val="right"/>
              <w:rPr>
                <w:rFonts w:ascii="Calibri" w:hAnsi="Calibri" w:cstheme="minorHAnsi"/>
                <w:sz w:val="18"/>
                <w:szCs w:val="18"/>
                <w:lang w:val="en-GB"/>
              </w:rPr>
            </w:pPr>
          </w:p>
        </w:tc>
        <w:tc>
          <w:tcPr>
            <w:tcW w:w="2268" w:type="dxa"/>
            <w:shd w:val="clear" w:color="auto" w:fill="E7E6E6" w:themeFill="background2"/>
          </w:tcPr>
          <w:p w14:paraId="582946D2" w14:textId="77777777" w:rsidR="00B656F6" w:rsidRPr="00451852" w:rsidRDefault="00B656F6" w:rsidP="008F0944">
            <w:pPr>
              <w:snapToGrid w:val="0"/>
              <w:jc w:val="right"/>
              <w:rPr>
                <w:rFonts w:ascii="Calibri" w:hAnsi="Calibri" w:cstheme="minorHAnsi"/>
                <w:sz w:val="18"/>
                <w:szCs w:val="18"/>
                <w:lang w:val="en-GB"/>
              </w:rPr>
            </w:pPr>
            <w:r w:rsidRPr="00451852">
              <w:rPr>
                <w:rFonts w:ascii="Calibri" w:hAnsi="Calibri" w:cstheme="minorHAnsi"/>
                <w:sz w:val="18"/>
                <w:szCs w:val="18"/>
                <w:lang w:val="en-GB"/>
              </w:rPr>
              <w:t>Tdap</w:t>
            </w:r>
          </w:p>
        </w:tc>
        <w:tc>
          <w:tcPr>
            <w:tcW w:w="0" w:type="auto"/>
            <w:shd w:val="clear" w:color="auto" w:fill="E7E6E6" w:themeFill="background2"/>
          </w:tcPr>
          <w:p w14:paraId="428ED123" w14:textId="77777777" w:rsidR="00B656F6" w:rsidRPr="00451852" w:rsidRDefault="00B656F6" w:rsidP="008F0944">
            <w:pPr>
              <w:snapToGrid w:val="0"/>
              <w:jc w:val="right"/>
              <w:rPr>
                <w:rFonts w:ascii="Calibri" w:hAnsi="Calibri"/>
                <w:sz w:val="18"/>
                <w:szCs w:val="18"/>
              </w:rPr>
            </w:pPr>
            <w:r w:rsidRPr="00451852">
              <w:rPr>
                <w:rFonts w:ascii="Calibri" w:hAnsi="Calibri" w:hint="eastAsia"/>
                <w:sz w:val="18"/>
                <w:szCs w:val="18"/>
              </w:rPr>
              <w:t>90.7</w:t>
            </w:r>
          </w:p>
        </w:tc>
        <w:tc>
          <w:tcPr>
            <w:tcW w:w="0" w:type="auto"/>
            <w:shd w:val="clear" w:color="auto" w:fill="E7E6E6" w:themeFill="background2"/>
          </w:tcPr>
          <w:p w14:paraId="7BFA064D" w14:textId="77777777" w:rsidR="00B656F6" w:rsidRPr="00451852" w:rsidRDefault="00B656F6" w:rsidP="008F0944">
            <w:pPr>
              <w:snapToGrid w:val="0"/>
              <w:jc w:val="right"/>
              <w:rPr>
                <w:rFonts w:ascii="Calibri" w:hAnsi="Calibri"/>
                <w:sz w:val="18"/>
                <w:szCs w:val="18"/>
              </w:rPr>
            </w:pPr>
            <w:r w:rsidRPr="00451852">
              <w:rPr>
                <w:rFonts w:ascii="Calibri" w:hAnsi="Calibri" w:hint="eastAsia"/>
                <w:sz w:val="18"/>
                <w:szCs w:val="18"/>
              </w:rPr>
              <w:t>92.5</w:t>
            </w:r>
          </w:p>
        </w:tc>
        <w:tc>
          <w:tcPr>
            <w:tcW w:w="717" w:type="dxa"/>
            <w:shd w:val="clear" w:color="auto" w:fill="E7E6E6" w:themeFill="background2"/>
          </w:tcPr>
          <w:p w14:paraId="41D0A8F7" w14:textId="77777777" w:rsidR="00B656F6" w:rsidRPr="00451852" w:rsidRDefault="00B656F6" w:rsidP="008F0944">
            <w:pPr>
              <w:snapToGrid w:val="0"/>
              <w:jc w:val="right"/>
              <w:rPr>
                <w:rFonts w:ascii="Calibri" w:hAnsi="Calibri"/>
                <w:sz w:val="18"/>
                <w:szCs w:val="18"/>
              </w:rPr>
            </w:pPr>
            <w:r>
              <w:rPr>
                <w:rFonts w:ascii="Calibri" w:hAnsi="Calibri"/>
                <w:sz w:val="18"/>
                <w:szCs w:val="18"/>
              </w:rPr>
              <w:t>i</w:t>
            </w:r>
          </w:p>
        </w:tc>
      </w:tr>
      <w:tr w:rsidR="00B656F6" w:rsidRPr="00451852" w14:paraId="6DCB7589" w14:textId="77777777" w:rsidTr="008F0944">
        <w:tc>
          <w:tcPr>
            <w:tcW w:w="566" w:type="dxa"/>
            <w:vMerge/>
            <w:shd w:val="clear" w:color="auto" w:fill="auto"/>
          </w:tcPr>
          <w:p w14:paraId="736B6966" w14:textId="77777777" w:rsidR="00B656F6" w:rsidRPr="00451852" w:rsidRDefault="00B656F6" w:rsidP="008F0944">
            <w:pPr>
              <w:snapToGrid w:val="0"/>
              <w:jc w:val="right"/>
              <w:rPr>
                <w:rFonts w:ascii="Calibri" w:hAnsi="Calibri" w:cstheme="minorHAnsi"/>
                <w:sz w:val="18"/>
                <w:szCs w:val="18"/>
                <w:lang w:val="en-GB"/>
              </w:rPr>
            </w:pPr>
          </w:p>
        </w:tc>
        <w:tc>
          <w:tcPr>
            <w:tcW w:w="2268" w:type="dxa"/>
            <w:shd w:val="clear" w:color="auto" w:fill="E7E6E6" w:themeFill="background2"/>
          </w:tcPr>
          <w:p w14:paraId="7AB76377" w14:textId="77777777" w:rsidR="00B656F6" w:rsidRPr="00451852" w:rsidRDefault="00B656F6" w:rsidP="008F0944">
            <w:pPr>
              <w:snapToGrid w:val="0"/>
              <w:jc w:val="right"/>
              <w:rPr>
                <w:rFonts w:ascii="Calibri" w:hAnsi="Calibri" w:cstheme="minorHAnsi"/>
                <w:sz w:val="18"/>
                <w:szCs w:val="18"/>
                <w:lang w:val="en-GB"/>
              </w:rPr>
            </w:pPr>
            <w:r w:rsidRPr="00451852">
              <w:rPr>
                <w:rFonts w:ascii="Calibri" w:hAnsi="Calibri" w:cstheme="minorHAnsi"/>
                <w:sz w:val="18"/>
                <w:szCs w:val="18"/>
                <w:lang w:val="en-GB"/>
              </w:rPr>
              <w:t>Measles</w:t>
            </w:r>
          </w:p>
        </w:tc>
        <w:tc>
          <w:tcPr>
            <w:tcW w:w="0" w:type="auto"/>
            <w:shd w:val="clear" w:color="auto" w:fill="E7E6E6" w:themeFill="background2"/>
          </w:tcPr>
          <w:p w14:paraId="686FBE58" w14:textId="77777777" w:rsidR="00B656F6" w:rsidRPr="00451852" w:rsidRDefault="00B656F6" w:rsidP="008F0944">
            <w:pPr>
              <w:snapToGrid w:val="0"/>
              <w:jc w:val="right"/>
              <w:rPr>
                <w:rFonts w:ascii="Calibri" w:hAnsi="Calibri"/>
                <w:sz w:val="18"/>
                <w:szCs w:val="18"/>
              </w:rPr>
            </w:pPr>
            <w:r w:rsidRPr="00451852">
              <w:rPr>
                <w:rFonts w:ascii="Calibri" w:hAnsi="Calibri" w:hint="eastAsia"/>
                <w:sz w:val="18"/>
                <w:szCs w:val="18"/>
              </w:rPr>
              <w:t>92.1</w:t>
            </w:r>
          </w:p>
        </w:tc>
        <w:tc>
          <w:tcPr>
            <w:tcW w:w="0" w:type="auto"/>
            <w:shd w:val="clear" w:color="auto" w:fill="E7E6E6" w:themeFill="background2"/>
          </w:tcPr>
          <w:p w14:paraId="21E62863" w14:textId="77777777" w:rsidR="00B656F6" w:rsidRPr="00451852" w:rsidRDefault="00B656F6" w:rsidP="008F0944">
            <w:pPr>
              <w:snapToGrid w:val="0"/>
              <w:jc w:val="right"/>
              <w:rPr>
                <w:rFonts w:ascii="Calibri" w:hAnsi="Calibri"/>
                <w:sz w:val="18"/>
                <w:szCs w:val="18"/>
              </w:rPr>
            </w:pPr>
            <w:r w:rsidRPr="00451852">
              <w:rPr>
                <w:rFonts w:ascii="Calibri" w:hAnsi="Calibri" w:hint="eastAsia"/>
                <w:sz w:val="18"/>
                <w:szCs w:val="18"/>
              </w:rPr>
              <w:t>97.3</w:t>
            </w:r>
          </w:p>
        </w:tc>
        <w:tc>
          <w:tcPr>
            <w:tcW w:w="717" w:type="dxa"/>
            <w:shd w:val="clear" w:color="auto" w:fill="E7E6E6" w:themeFill="background2"/>
          </w:tcPr>
          <w:p w14:paraId="15A81F75" w14:textId="77777777" w:rsidR="00B656F6" w:rsidRPr="00451852" w:rsidRDefault="00B656F6" w:rsidP="008F0944">
            <w:pPr>
              <w:snapToGrid w:val="0"/>
              <w:jc w:val="right"/>
              <w:rPr>
                <w:rFonts w:ascii="Calibri" w:hAnsi="Calibri"/>
                <w:sz w:val="18"/>
                <w:szCs w:val="18"/>
              </w:rPr>
            </w:pPr>
            <w:r>
              <w:rPr>
                <w:rFonts w:ascii="Calibri" w:hAnsi="Calibri"/>
                <w:sz w:val="18"/>
                <w:szCs w:val="18"/>
              </w:rPr>
              <w:t>i</w:t>
            </w:r>
          </w:p>
        </w:tc>
      </w:tr>
      <w:tr w:rsidR="00B656F6" w:rsidRPr="00451852" w14:paraId="240ECB4C" w14:textId="77777777" w:rsidTr="008F0944">
        <w:tc>
          <w:tcPr>
            <w:tcW w:w="566" w:type="dxa"/>
            <w:vMerge/>
            <w:shd w:val="clear" w:color="auto" w:fill="auto"/>
          </w:tcPr>
          <w:p w14:paraId="31690527" w14:textId="77777777" w:rsidR="00B656F6" w:rsidRPr="00451852" w:rsidRDefault="00B656F6" w:rsidP="008F0944">
            <w:pPr>
              <w:snapToGrid w:val="0"/>
              <w:jc w:val="right"/>
              <w:rPr>
                <w:rFonts w:ascii="Calibri" w:hAnsi="Calibri" w:cstheme="minorHAnsi"/>
                <w:sz w:val="18"/>
                <w:szCs w:val="18"/>
                <w:lang w:val="en-GB"/>
              </w:rPr>
            </w:pPr>
          </w:p>
        </w:tc>
        <w:tc>
          <w:tcPr>
            <w:tcW w:w="2268" w:type="dxa"/>
            <w:shd w:val="clear" w:color="auto" w:fill="E7E6E6" w:themeFill="background2"/>
          </w:tcPr>
          <w:p w14:paraId="24F770BA" w14:textId="77777777" w:rsidR="00B656F6" w:rsidRPr="00451852" w:rsidRDefault="00B656F6" w:rsidP="008F0944">
            <w:pPr>
              <w:snapToGrid w:val="0"/>
              <w:jc w:val="right"/>
              <w:rPr>
                <w:rFonts w:ascii="Calibri" w:hAnsi="Calibri" w:cstheme="minorHAnsi"/>
                <w:sz w:val="18"/>
                <w:szCs w:val="18"/>
                <w:lang w:val="en-GB"/>
              </w:rPr>
            </w:pPr>
            <w:r w:rsidRPr="00451852">
              <w:rPr>
                <w:rFonts w:ascii="Calibri" w:hAnsi="Calibri" w:cstheme="minorHAnsi"/>
                <w:sz w:val="18"/>
                <w:szCs w:val="18"/>
                <w:lang w:val="en-GB"/>
              </w:rPr>
              <w:t>HBV</w:t>
            </w:r>
          </w:p>
        </w:tc>
        <w:tc>
          <w:tcPr>
            <w:tcW w:w="0" w:type="auto"/>
            <w:shd w:val="clear" w:color="auto" w:fill="E7E6E6" w:themeFill="background2"/>
          </w:tcPr>
          <w:p w14:paraId="43AC54F4" w14:textId="77777777" w:rsidR="00B656F6" w:rsidRPr="00451852" w:rsidRDefault="00B656F6" w:rsidP="008F0944">
            <w:pPr>
              <w:snapToGrid w:val="0"/>
              <w:jc w:val="right"/>
              <w:rPr>
                <w:rFonts w:ascii="Calibri" w:hAnsi="Calibri"/>
                <w:sz w:val="18"/>
                <w:szCs w:val="18"/>
              </w:rPr>
            </w:pPr>
            <w:r w:rsidRPr="00451852">
              <w:rPr>
                <w:rFonts w:ascii="Calibri" w:hAnsi="Calibri" w:hint="eastAsia"/>
                <w:sz w:val="18"/>
                <w:szCs w:val="18"/>
              </w:rPr>
              <w:t>93.3</w:t>
            </w:r>
          </w:p>
        </w:tc>
        <w:tc>
          <w:tcPr>
            <w:tcW w:w="0" w:type="auto"/>
            <w:shd w:val="clear" w:color="auto" w:fill="E7E6E6" w:themeFill="background2"/>
          </w:tcPr>
          <w:p w14:paraId="4543F61F" w14:textId="77777777" w:rsidR="00B656F6" w:rsidRPr="00451852" w:rsidRDefault="00B656F6" w:rsidP="008F0944">
            <w:pPr>
              <w:snapToGrid w:val="0"/>
              <w:jc w:val="right"/>
              <w:rPr>
                <w:rFonts w:ascii="Calibri" w:hAnsi="Calibri"/>
                <w:sz w:val="18"/>
                <w:szCs w:val="18"/>
              </w:rPr>
            </w:pPr>
            <w:r w:rsidRPr="00451852">
              <w:rPr>
                <w:rFonts w:ascii="Calibri" w:hAnsi="Calibri" w:hint="eastAsia"/>
                <w:sz w:val="18"/>
                <w:szCs w:val="18"/>
              </w:rPr>
              <w:t>93.3</w:t>
            </w:r>
          </w:p>
        </w:tc>
        <w:tc>
          <w:tcPr>
            <w:tcW w:w="717" w:type="dxa"/>
            <w:shd w:val="clear" w:color="auto" w:fill="E7E6E6" w:themeFill="background2"/>
          </w:tcPr>
          <w:p w14:paraId="5B45E92A" w14:textId="77777777" w:rsidR="00B656F6" w:rsidRPr="00451852" w:rsidRDefault="00B656F6" w:rsidP="008F0944">
            <w:pPr>
              <w:snapToGrid w:val="0"/>
              <w:jc w:val="right"/>
              <w:rPr>
                <w:rFonts w:ascii="Calibri" w:hAnsi="Calibri"/>
                <w:sz w:val="18"/>
                <w:szCs w:val="18"/>
              </w:rPr>
            </w:pPr>
            <w:r>
              <w:rPr>
                <w:rFonts w:ascii="Calibri" w:hAnsi="Calibri"/>
                <w:sz w:val="18"/>
                <w:szCs w:val="18"/>
              </w:rPr>
              <w:t>i</w:t>
            </w:r>
          </w:p>
        </w:tc>
      </w:tr>
      <w:tr w:rsidR="00B656F6" w:rsidRPr="00451852" w14:paraId="51C21728" w14:textId="77777777" w:rsidTr="008F0944">
        <w:tc>
          <w:tcPr>
            <w:tcW w:w="566" w:type="dxa"/>
            <w:vMerge/>
            <w:shd w:val="clear" w:color="auto" w:fill="auto"/>
          </w:tcPr>
          <w:p w14:paraId="6699F0AF" w14:textId="77777777" w:rsidR="00B656F6" w:rsidRPr="00451852" w:rsidRDefault="00B656F6" w:rsidP="008F0944">
            <w:pPr>
              <w:snapToGrid w:val="0"/>
              <w:jc w:val="right"/>
              <w:rPr>
                <w:rFonts w:ascii="Calibri" w:hAnsi="Calibri" w:cstheme="minorHAnsi"/>
                <w:sz w:val="18"/>
                <w:szCs w:val="18"/>
                <w:lang w:val="en-GB"/>
              </w:rPr>
            </w:pPr>
          </w:p>
        </w:tc>
        <w:tc>
          <w:tcPr>
            <w:tcW w:w="2268" w:type="dxa"/>
            <w:shd w:val="clear" w:color="auto" w:fill="E7E6E6" w:themeFill="background2"/>
          </w:tcPr>
          <w:p w14:paraId="3AB34DC1" w14:textId="77777777" w:rsidR="00B656F6" w:rsidRPr="00451852" w:rsidRDefault="00B656F6" w:rsidP="008F0944">
            <w:pPr>
              <w:snapToGrid w:val="0"/>
              <w:jc w:val="right"/>
              <w:rPr>
                <w:rFonts w:ascii="Calibri" w:hAnsi="Calibri" w:cstheme="minorHAnsi"/>
                <w:sz w:val="18"/>
                <w:szCs w:val="18"/>
                <w:lang w:val="en-GB"/>
              </w:rPr>
            </w:pPr>
            <w:r w:rsidRPr="00451852">
              <w:rPr>
                <w:rFonts w:ascii="Calibri" w:hAnsi="Calibri" w:cstheme="minorHAnsi"/>
                <w:sz w:val="18"/>
                <w:szCs w:val="18"/>
                <w:lang w:val="en-GB"/>
              </w:rPr>
              <w:t>BCG</w:t>
            </w:r>
          </w:p>
        </w:tc>
        <w:tc>
          <w:tcPr>
            <w:tcW w:w="0" w:type="auto"/>
            <w:shd w:val="clear" w:color="auto" w:fill="E7E6E6" w:themeFill="background2"/>
          </w:tcPr>
          <w:p w14:paraId="0BBAB956" w14:textId="77777777" w:rsidR="00B656F6" w:rsidRPr="00451852" w:rsidRDefault="00B656F6" w:rsidP="008F0944">
            <w:pPr>
              <w:snapToGrid w:val="0"/>
              <w:jc w:val="right"/>
              <w:rPr>
                <w:rFonts w:ascii="Calibri" w:hAnsi="Calibri"/>
                <w:sz w:val="18"/>
                <w:szCs w:val="18"/>
              </w:rPr>
            </w:pPr>
            <w:r w:rsidRPr="00451852">
              <w:rPr>
                <w:rFonts w:ascii="Calibri" w:hAnsi="Calibri" w:hint="eastAsia"/>
                <w:sz w:val="18"/>
                <w:szCs w:val="18"/>
              </w:rPr>
              <w:t>98.8</w:t>
            </w:r>
          </w:p>
        </w:tc>
        <w:tc>
          <w:tcPr>
            <w:tcW w:w="0" w:type="auto"/>
            <w:shd w:val="clear" w:color="auto" w:fill="E7E6E6" w:themeFill="background2"/>
          </w:tcPr>
          <w:p w14:paraId="1564D204" w14:textId="77777777" w:rsidR="00B656F6" w:rsidRPr="00451852" w:rsidRDefault="00B656F6" w:rsidP="008F0944">
            <w:pPr>
              <w:snapToGrid w:val="0"/>
              <w:jc w:val="right"/>
              <w:rPr>
                <w:rFonts w:ascii="Calibri" w:hAnsi="Calibri"/>
                <w:sz w:val="18"/>
                <w:szCs w:val="18"/>
              </w:rPr>
            </w:pPr>
            <w:r w:rsidRPr="00451852">
              <w:rPr>
                <w:rFonts w:ascii="Calibri" w:hAnsi="Calibri" w:hint="eastAsia"/>
                <w:sz w:val="18"/>
                <w:szCs w:val="18"/>
              </w:rPr>
              <w:t>98.7</w:t>
            </w:r>
          </w:p>
        </w:tc>
        <w:tc>
          <w:tcPr>
            <w:tcW w:w="717" w:type="dxa"/>
            <w:shd w:val="clear" w:color="auto" w:fill="E7E6E6" w:themeFill="background2"/>
          </w:tcPr>
          <w:p w14:paraId="57D998A7" w14:textId="77777777" w:rsidR="00B656F6" w:rsidRPr="00451852" w:rsidRDefault="00B656F6" w:rsidP="008F0944">
            <w:pPr>
              <w:snapToGrid w:val="0"/>
              <w:jc w:val="right"/>
              <w:rPr>
                <w:rFonts w:ascii="Calibri" w:hAnsi="Calibri"/>
                <w:sz w:val="18"/>
                <w:szCs w:val="18"/>
              </w:rPr>
            </w:pPr>
            <w:r>
              <w:rPr>
                <w:rFonts w:ascii="Calibri" w:hAnsi="Calibri"/>
                <w:sz w:val="18"/>
                <w:szCs w:val="18"/>
              </w:rPr>
              <w:t>i</w:t>
            </w:r>
          </w:p>
        </w:tc>
      </w:tr>
      <w:tr w:rsidR="00B656F6" w:rsidRPr="00451852" w14:paraId="07C58A2A" w14:textId="77777777" w:rsidTr="008F0944">
        <w:tc>
          <w:tcPr>
            <w:tcW w:w="566" w:type="dxa"/>
            <w:vMerge/>
            <w:shd w:val="clear" w:color="auto" w:fill="auto"/>
          </w:tcPr>
          <w:p w14:paraId="1DFF473B" w14:textId="77777777" w:rsidR="00B656F6" w:rsidRPr="00451852" w:rsidRDefault="00B656F6" w:rsidP="008F0944">
            <w:pPr>
              <w:snapToGrid w:val="0"/>
              <w:jc w:val="right"/>
              <w:rPr>
                <w:rFonts w:ascii="Calibri" w:hAnsi="Calibri" w:cstheme="minorHAnsi"/>
                <w:sz w:val="18"/>
                <w:szCs w:val="18"/>
                <w:lang w:val="en-GB"/>
              </w:rPr>
            </w:pPr>
          </w:p>
        </w:tc>
        <w:tc>
          <w:tcPr>
            <w:tcW w:w="2268" w:type="dxa"/>
            <w:shd w:val="clear" w:color="auto" w:fill="FFFFFF" w:themeFill="background1"/>
          </w:tcPr>
          <w:p w14:paraId="655C52E9" w14:textId="77777777" w:rsidR="00B656F6" w:rsidRPr="00451852" w:rsidRDefault="00B656F6" w:rsidP="008F0944">
            <w:pPr>
              <w:snapToGrid w:val="0"/>
              <w:jc w:val="right"/>
              <w:rPr>
                <w:rFonts w:ascii="Calibri" w:hAnsi="Calibri" w:cstheme="minorHAnsi"/>
                <w:sz w:val="18"/>
                <w:szCs w:val="18"/>
                <w:lang w:val="en-GB"/>
              </w:rPr>
            </w:pPr>
          </w:p>
        </w:tc>
        <w:tc>
          <w:tcPr>
            <w:tcW w:w="0" w:type="auto"/>
            <w:shd w:val="clear" w:color="auto" w:fill="FFFFFF" w:themeFill="background1"/>
          </w:tcPr>
          <w:p w14:paraId="21E5A27E" w14:textId="77777777" w:rsidR="00B656F6" w:rsidRPr="00451852" w:rsidRDefault="00B656F6" w:rsidP="008F0944">
            <w:pPr>
              <w:snapToGrid w:val="0"/>
              <w:jc w:val="right"/>
              <w:rPr>
                <w:rFonts w:ascii="Calibri" w:hAnsi="Calibri"/>
                <w:b/>
                <w:sz w:val="18"/>
                <w:szCs w:val="18"/>
              </w:rPr>
            </w:pPr>
            <w:r w:rsidRPr="00451852">
              <w:rPr>
                <w:rFonts w:ascii="Calibri" w:hAnsi="Calibri" w:hint="eastAsia"/>
                <w:b/>
                <w:sz w:val="18"/>
                <w:szCs w:val="18"/>
              </w:rPr>
              <w:t>2010</w:t>
            </w:r>
          </w:p>
        </w:tc>
        <w:tc>
          <w:tcPr>
            <w:tcW w:w="0" w:type="auto"/>
            <w:shd w:val="clear" w:color="auto" w:fill="FFFFFF" w:themeFill="background1"/>
          </w:tcPr>
          <w:p w14:paraId="01977A31" w14:textId="77777777" w:rsidR="00B656F6" w:rsidRPr="00451852" w:rsidRDefault="00B656F6" w:rsidP="008F0944">
            <w:pPr>
              <w:snapToGrid w:val="0"/>
              <w:jc w:val="right"/>
              <w:rPr>
                <w:rFonts w:ascii="Calibri" w:hAnsi="Calibri"/>
                <w:b/>
                <w:sz w:val="18"/>
                <w:szCs w:val="18"/>
              </w:rPr>
            </w:pPr>
            <w:r w:rsidRPr="00451852">
              <w:rPr>
                <w:rFonts w:ascii="Calibri" w:hAnsi="Calibri" w:hint="eastAsia"/>
                <w:b/>
                <w:sz w:val="18"/>
                <w:szCs w:val="18"/>
              </w:rPr>
              <w:t>2013</w:t>
            </w:r>
          </w:p>
        </w:tc>
        <w:tc>
          <w:tcPr>
            <w:tcW w:w="717" w:type="dxa"/>
            <w:shd w:val="clear" w:color="auto" w:fill="FFFFFF" w:themeFill="background1"/>
          </w:tcPr>
          <w:p w14:paraId="2B37690B" w14:textId="77777777" w:rsidR="00B656F6" w:rsidRPr="00451852" w:rsidRDefault="00B656F6" w:rsidP="008F0944">
            <w:pPr>
              <w:snapToGrid w:val="0"/>
              <w:jc w:val="right"/>
              <w:rPr>
                <w:rFonts w:ascii="Calibri" w:hAnsi="Calibri"/>
                <w:sz w:val="18"/>
                <w:szCs w:val="18"/>
              </w:rPr>
            </w:pPr>
          </w:p>
        </w:tc>
      </w:tr>
      <w:tr w:rsidR="00B656F6" w:rsidRPr="00451852" w14:paraId="31581066" w14:textId="77777777" w:rsidTr="008F0944">
        <w:tc>
          <w:tcPr>
            <w:tcW w:w="566" w:type="dxa"/>
            <w:vMerge/>
            <w:shd w:val="clear" w:color="auto" w:fill="auto"/>
          </w:tcPr>
          <w:p w14:paraId="405230F5" w14:textId="77777777" w:rsidR="00B656F6" w:rsidRPr="00451852" w:rsidRDefault="00B656F6" w:rsidP="008F0944">
            <w:pPr>
              <w:snapToGrid w:val="0"/>
              <w:jc w:val="right"/>
              <w:rPr>
                <w:rFonts w:ascii="Calibri" w:hAnsi="Calibri" w:cstheme="minorHAnsi"/>
                <w:sz w:val="18"/>
                <w:szCs w:val="18"/>
                <w:lang w:val="en-GB"/>
              </w:rPr>
            </w:pPr>
          </w:p>
        </w:tc>
        <w:tc>
          <w:tcPr>
            <w:tcW w:w="2268" w:type="dxa"/>
            <w:shd w:val="clear" w:color="auto" w:fill="E7E6E6" w:themeFill="background2"/>
          </w:tcPr>
          <w:p w14:paraId="2C2CF1F9" w14:textId="77777777" w:rsidR="00B656F6" w:rsidRPr="00451852" w:rsidRDefault="00B656F6" w:rsidP="008F0944">
            <w:pPr>
              <w:snapToGrid w:val="0"/>
              <w:jc w:val="right"/>
              <w:rPr>
                <w:rFonts w:ascii="Calibri" w:hAnsi="Calibri" w:cstheme="minorHAnsi"/>
                <w:sz w:val="18"/>
                <w:szCs w:val="18"/>
              </w:rPr>
            </w:pPr>
            <w:r w:rsidRPr="00451852">
              <w:rPr>
                <w:rFonts w:ascii="Calibri" w:hAnsi="Calibri" w:cstheme="minorHAnsi"/>
                <w:sz w:val="18"/>
                <w:szCs w:val="18"/>
                <w:lang w:val="en-GB"/>
              </w:rPr>
              <w:t xml:space="preserve">Treatment rate </w:t>
            </w:r>
            <w:r w:rsidRPr="00451852">
              <w:rPr>
                <w:rFonts w:ascii="Calibri" w:hAnsi="Calibri" w:cstheme="minorHAnsi"/>
                <w:sz w:val="18"/>
                <w:szCs w:val="18"/>
              </w:rPr>
              <w:t>(%)</w:t>
            </w:r>
          </w:p>
        </w:tc>
        <w:tc>
          <w:tcPr>
            <w:tcW w:w="0" w:type="auto"/>
            <w:shd w:val="clear" w:color="auto" w:fill="E7E6E6" w:themeFill="background2"/>
          </w:tcPr>
          <w:p w14:paraId="534B99D9" w14:textId="77777777" w:rsidR="00B656F6" w:rsidRPr="00451852" w:rsidRDefault="00B656F6" w:rsidP="008F0944">
            <w:pPr>
              <w:snapToGrid w:val="0"/>
              <w:jc w:val="right"/>
              <w:rPr>
                <w:rFonts w:ascii="Calibri" w:hAnsi="Calibri"/>
                <w:sz w:val="18"/>
                <w:szCs w:val="18"/>
              </w:rPr>
            </w:pPr>
          </w:p>
        </w:tc>
        <w:tc>
          <w:tcPr>
            <w:tcW w:w="0" w:type="auto"/>
            <w:shd w:val="clear" w:color="auto" w:fill="E7E6E6" w:themeFill="background2"/>
          </w:tcPr>
          <w:p w14:paraId="165A031C" w14:textId="77777777" w:rsidR="00B656F6" w:rsidRPr="00451852" w:rsidRDefault="00B656F6" w:rsidP="008F0944">
            <w:pPr>
              <w:snapToGrid w:val="0"/>
              <w:jc w:val="right"/>
              <w:rPr>
                <w:rFonts w:ascii="Calibri" w:hAnsi="Calibri"/>
                <w:sz w:val="18"/>
                <w:szCs w:val="18"/>
              </w:rPr>
            </w:pPr>
          </w:p>
        </w:tc>
        <w:tc>
          <w:tcPr>
            <w:tcW w:w="717" w:type="dxa"/>
            <w:shd w:val="clear" w:color="auto" w:fill="E7E6E6" w:themeFill="background2"/>
          </w:tcPr>
          <w:p w14:paraId="16360485" w14:textId="77777777" w:rsidR="00B656F6" w:rsidRPr="00451852" w:rsidRDefault="00B656F6" w:rsidP="008F0944">
            <w:pPr>
              <w:snapToGrid w:val="0"/>
              <w:jc w:val="right"/>
              <w:rPr>
                <w:rFonts w:ascii="Calibri" w:hAnsi="Calibri"/>
                <w:sz w:val="18"/>
                <w:szCs w:val="18"/>
              </w:rPr>
            </w:pPr>
          </w:p>
        </w:tc>
      </w:tr>
      <w:tr w:rsidR="00B656F6" w:rsidRPr="00451852" w14:paraId="07C30DF4" w14:textId="77777777" w:rsidTr="008F0944">
        <w:tc>
          <w:tcPr>
            <w:tcW w:w="566" w:type="dxa"/>
            <w:vMerge/>
            <w:shd w:val="clear" w:color="auto" w:fill="auto"/>
          </w:tcPr>
          <w:p w14:paraId="1A79E7BB" w14:textId="77777777" w:rsidR="00B656F6" w:rsidRPr="00451852" w:rsidRDefault="00B656F6" w:rsidP="008F0944">
            <w:pPr>
              <w:snapToGrid w:val="0"/>
              <w:jc w:val="right"/>
              <w:rPr>
                <w:rFonts w:ascii="Calibri" w:hAnsi="Calibri" w:cstheme="minorHAnsi"/>
                <w:sz w:val="18"/>
                <w:szCs w:val="18"/>
                <w:lang w:val="en-GB"/>
              </w:rPr>
            </w:pPr>
          </w:p>
        </w:tc>
        <w:tc>
          <w:tcPr>
            <w:tcW w:w="2268" w:type="dxa"/>
            <w:shd w:val="clear" w:color="auto" w:fill="E7E6E6" w:themeFill="background2"/>
          </w:tcPr>
          <w:p w14:paraId="51BBC022" w14:textId="77777777" w:rsidR="00B656F6" w:rsidRPr="00451852" w:rsidRDefault="00B656F6" w:rsidP="008F0944">
            <w:pPr>
              <w:snapToGrid w:val="0"/>
              <w:jc w:val="right"/>
              <w:rPr>
                <w:rFonts w:ascii="Calibri" w:hAnsi="Calibri" w:cstheme="minorHAnsi"/>
                <w:sz w:val="18"/>
                <w:szCs w:val="18"/>
                <w:lang w:val="en-GB"/>
              </w:rPr>
            </w:pPr>
            <w:r w:rsidRPr="00451852">
              <w:rPr>
                <w:rFonts w:ascii="Calibri" w:hAnsi="Calibri" w:cstheme="minorHAnsi"/>
                <w:sz w:val="18"/>
                <w:szCs w:val="18"/>
                <w:lang w:val="en-GB"/>
              </w:rPr>
              <w:t xml:space="preserve">Hypertensive </w:t>
            </w:r>
            <w:r>
              <w:rPr>
                <w:rFonts w:ascii="Calibri" w:hAnsi="Calibri" w:cstheme="minorHAnsi"/>
                <w:sz w:val="18"/>
                <w:szCs w:val="18"/>
                <w:lang w:val="en-GB"/>
              </w:rPr>
              <w:t>p</w:t>
            </w:r>
            <w:r w:rsidRPr="00451852">
              <w:rPr>
                <w:rFonts w:ascii="Calibri" w:hAnsi="Calibri" w:cstheme="minorHAnsi"/>
                <w:sz w:val="18"/>
                <w:szCs w:val="18"/>
                <w:lang w:val="en-GB"/>
              </w:rPr>
              <w:t>atients over 18</w:t>
            </w:r>
          </w:p>
        </w:tc>
        <w:tc>
          <w:tcPr>
            <w:tcW w:w="0" w:type="auto"/>
            <w:shd w:val="clear" w:color="auto" w:fill="E7E6E6" w:themeFill="background2"/>
          </w:tcPr>
          <w:p w14:paraId="2AC6B1F8" w14:textId="77777777" w:rsidR="00B656F6" w:rsidRPr="00451852" w:rsidRDefault="00B656F6" w:rsidP="008F0944">
            <w:pPr>
              <w:snapToGrid w:val="0"/>
              <w:jc w:val="right"/>
              <w:rPr>
                <w:rFonts w:ascii="Calibri" w:hAnsi="Calibri"/>
                <w:sz w:val="18"/>
                <w:szCs w:val="18"/>
              </w:rPr>
            </w:pPr>
            <w:r w:rsidRPr="00451852">
              <w:rPr>
                <w:rFonts w:ascii="Calibri" w:hAnsi="Calibri" w:hint="eastAsia"/>
                <w:sz w:val="18"/>
                <w:szCs w:val="18"/>
              </w:rPr>
              <w:t>28.7</w:t>
            </w:r>
          </w:p>
        </w:tc>
        <w:tc>
          <w:tcPr>
            <w:tcW w:w="0" w:type="auto"/>
            <w:shd w:val="clear" w:color="auto" w:fill="E7E6E6" w:themeFill="background2"/>
          </w:tcPr>
          <w:p w14:paraId="23A633DD" w14:textId="77777777" w:rsidR="00B656F6" w:rsidRPr="00451852" w:rsidRDefault="00B656F6" w:rsidP="008F0944">
            <w:pPr>
              <w:snapToGrid w:val="0"/>
              <w:jc w:val="right"/>
              <w:rPr>
                <w:rFonts w:ascii="Calibri" w:hAnsi="Calibri"/>
                <w:sz w:val="18"/>
                <w:szCs w:val="18"/>
              </w:rPr>
            </w:pPr>
            <w:r w:rsidRPr="00451852">
              <w:rPr>
                <w:rFonts w:ascii="Calibri" w:hAnsi="Calibri" w:hint="eastAsia"/>
                <w:sz w:val="18"/>
                <w:szCs w:val="18"/>
              </w:rPr>
              <w:t>32.5</w:t>
            </w:r>
          </w:p>
        </w:tc>
        <w:tc>
          <w:tcPr>
            <w:tcW w:w="717" w:type="dxa"/>
            <w:shd w:val="clear" w:color="auto" w:fill="E7E6E6" w:themeFill="background2"/>
          </w:tcPr>
          <w:p w14:paraId="3A2064AD" w14:textId="77777777" w:rsidR="00B656F6" w:rsidRPr="00451852" w:rsidRDefault="00B656F6" w:rsidP="008F0944">
            <w:pPr>
              <w:snapToGrid w:val="0"/>
              <w:jc w:val="right"/>
              <w:rPr>
                <w:rFonts w:ascii="Calibri" w:hAnsi="Calibri"/>
                <w:sz w:val="18"/>
                <w:szCs w:val="18"/>
              </w:rPr>
            </w:pPr>
            <w:r>
              <w:rPr>
                <w:rFonts w:ascii="Calibri" w:hAnsi="Calibri"/>
                <w:sz w:val="18"/>
                <w:szCs w:val="18"/>
              </w:rPr>
              <w:t>j</w:t>
            </w:r>
          </w:p>
        </w:tc>
      </w:tr>
      <w:tr w:rsidR="00B656F6" w:rsidRPr="00451852" w14:paraId="553AE90C" w14:textId="77777777" w:rsidTr="008F0944">
        <w:tc>
          <w:tcPr>
            <w:tcW w:w="566" w:type="dxa"/>
            <w:vMerge/>
            <w:shd w:val="clear" w:color="auto" w:fill="auto"/>
          </w:tcPr>
          <w:p w14:paraId="60FAF998" w14:textId="77777777" w:rsidR="00B656F6" w:rsidRPr="00451852" w:rsidRDefault="00B656F6" w:rsidP="008F0944">
            <w:pPr>
              <w:snapToGrid w:val="0"/>
              <w:jc w:val="right"/>
              <w:rPr>
                <w:rFonts w:ascii="Calibri" w:hAnsi="Calibri" w:cstheme="minorHAnsi"/>
                <w:sz w:val="18"/>
                <w:szCs w:val="18"/>
                <w:lang w:val="en-GB"/>
              </w:rPr>
            </w:pPr>
          </w:p>
        </w:tc>
        <w:tc>
          <w:tcPr>
            <w:tcW w:w="2268" w:type="dxa"/>
            <w:shd w:val="clear" w:color="auto" w:fill="E7E6E6" w:themeFill="background2"/>
          </w:tcPr>
          <w:p w14:paraId="17461FA7" w14:textId="77777777" w:rsidR="00B656F6" w:rsidRPr="00451852" w:rsidRDefault="00B656F6" w:rsidP="008F0944">
            <w:pPr>
              <w:snapToGrid w:val="0"/>
              <w:jc w:val="right"/>
              <w:rPr>
                <w:rFonts w:ascii="Calibri" w:hAnsi="Calibri" w:cstheme="minorHAnsi"/>
                <w:sz w:val="18"/>
                <w:szCs w:val="18"/>
                <w:lang w:val="en-GB"/>
              </w:rPr>
            </w:pPr>
            <w:r w:rsidRPr="00451852">
              <w:rPr>
                <w:rFonts w:ascii="Calibri" w:hAnsi="Calibri" w:cstheme="minorHAnsi"/>
                <w:sz w:val="18"/>
                <w:szCs w:val="18"/>
                <w:lang w:val="en-GB"/>
              </w:rPr>
              <w:t>Diabetes patients over 18</w:t>
            </w:r>
          </w:p>
        </w:tc>
        <w:tc>
          <w:tcPr>
            <w:tcW w:w="0" w:type="auto"/>
            <w:shd w:val="clear" w:color="auto" w:fill="E7E6E6" w:themeFill="background2"/>
          </w:tcPr>
          <w:p w14:paraId="7838FE90" w14:textId="77777777" w:rsidR="00B656F6" w:rsidRPr="00451852" w:rsidRDefault="00B656F6" w:rsidP="008F0944">
            <w:pPr>
              <w:snapToGrid w:val="0"/>
              <w:jc w:val="right"/>
              <w:rPr>
                <w:rFonts w:ascii="Calibri" w:hAnsi="Calibri"/>
                <w:sz w:val="18"/>
                <w:szCs w:val="18"/>
              </w:rPr>
            </w:pPr>
            <w:r w:rsidRPr="00451852">
              <w:rPr>
                <w:rFonts w:ascii="Calibri" w:hAnsi="Calibri" w:hint="eastAsia"/>
                <w:sz w:val="18"/>
                <w:szCs w:val="18"/>
              </w:rPr>
              <w:t>33.4</w:t>
            </w:r>
          </w:p>
        </w:tc>
        <w:tc>
          <w:tcPr>
            <w:tcW w:w="0" w:type="auto"/>
            <w:shd w:val="clear" w:color="auto" w:fill="E7E6E6" w:themeFill="background2"/>
          </w:tcPr>
          <w:p w14:paraId="3D8AE3A8" w14:textId="77777777" w:rsidR="00B656F6" w:rsidRPr="00451852" w:rsidRDefault="00B656F6" w:rsidP="008F0944">
            <w:pPr>
              <w:snapToGrid w:val="0"/>
              <w:jc w:val="right"/>
              <w:rPr>
                <w:rFonts w:ascii="Calibri" w:hAnsi="Calibri"/>
                <w:sz w:val="18"/>
                <w:szCs w:val="18"/>
              </w:rPr>
            </w:pPr>
            <w:r w:rsidRPr="00451852">
              <w:rPr>
                <w:rFonts w:ascii="Calibri" w:hAnsi="Calibri" w:hint="eastAsia"/>
                <w:sz w:val="18"/>
                <w:szCs w:val="18"/>
              </w:rPr>
              <w:t>35.6</w:t>
            </w:r>
          </w:p>
        </w:tc>
        <w:tc>
          <w:tcPr>
            <w:tcW w:w="717" w:type="dxa"/>
            <w:shd w:val="clear" w:color="auto" w:fill="E7E6E6" w:themeFill="background2"/>
          </w:tcPr>
          <w:p w14:paraId="144C7BED" w14:textId="77777777" w:rsidR="00B656F6" w:rsidRPr="00451852" w:rsidRDefault="00B656F6" w:rsidP="008F0944">
            <w:pPr>
              <w:snapToGrid w:val="0"/>
              <w:jc w:val="right"/>
              <w:rPr>
                <w:rFonts w:ascii="Calibri" w:hAnsi="Calibri"/>
                <w:sz w:val="18"/>
                <w:szCs w:val="18"/>
              </w:rPr>
            </w:pPr>
            <w:r>
              <w:rPr>
                <w:rFonts w:ascii="Calibri" w:hAnsi="Calibri"/>
                <w:sz w:val="18"/>
                <w:szCs w:val="18"/>
              </w:rPr>
              <w:t>j</w:t>
            </w:r>
          </w:p>
        </w:tc>
      </w:tr>
      <w:tr w:rsidR="00B656F6" w:rsidRPr="00451852" w14:paraId="25F6C1B3" w14:textId="77777777" w:rsidTr="008F0944">
        <w:tc>
          <w:tcPr>
            <w:tcW w:w="566" w:type="dxa"/>
            <w:vMerge/>
            <w:shd w:val="clear" w:color="auto" w:fill="auto"/>
          </w:tcPr>
          <w:p w14:paraId="500B42CE" w14:textId="77777777" w:rsidR="00B656F6" w:rsidRPr="00451852" w:rsidRDefault="00B656F6" w:rsidP="008F0944">
            <w:pPr>
              <w:snapToGrid w:val="0"/>
              <w:jc w:val="right"/>
              <w:rPr>
                <w:rFonts w:ascii="Calibri" w:hAnsi="Calibri" w:cstheme="minorHAnsi"/>
                <w:sz w:val="18"/>
                <w:szCs w:val="18"/>
                <w:lang w:val="en-GB"/>
              </w:rPr>
            </w:pPr>
          </w:p>
        </w:tc>
        <w:tc>
          <w:tcPr>
            <w:tcW w:w="2268" w:type="dxa"/>
            <w:shd w:val="clear" w:color="auto" w:fill="E7E6E6" w:themeFill="background2"/>
          </w:tcPr>
          <w:p w14:paraId="5B0EC3AF" w14:textId="77777777" w:rsidR="00B656F6" w:rsidRPr="00451852" w:rsidRDefault="00B656F6" w:rsidP="008F0944">
            <w:pPr>
              <w:snapToGrid w:val="0"/>
              <w:jc w:val="right"/>
              <w:rPr>
                <w:rFonts w:ascii="Calibri" w:hAnsi="Calibri" w:cstheme="minorHAnsi"/>
                <w:sz w:val="18"/>
                <w:szCs w:val="18"/>
                <w:lang w:val="en-GB"/>
              </w:rPr>
            </w:pPr>
            <w:r w:rsidRPr="00451852">
              <w:rPr>
                <w:rFonts w:ascii="Calibri" w:hAnsi="Calibri" w:cstheme="minorHAnsi" w:hint="eastAsia"/>
                <w:sz w:val="18"/>
                <w:szCs w:val="18"/>
                <w:lang w:val="en-GB"/>
              </w:rPr>
              <w:t>C</w:t>
            </w:r>
            <w:r w:rsidRPr="00451852">
              <w:rPr>
                <w:rFonts w:ascii="Calibri" w:hAnsi="Calibri" w:cstheme="minorHAnsi"/>
                <w:sz w:val="18"/>
                <w:szCs w:val="18"/>
                <w:lang w:val="en-GB"/>
              </w:rPr>
              <w:t>ontrol rate (%)</w:t>
            </w:r>
          </w:p>
        </w:tc>
        <w:tc>
          <w:tcPr>
            <w:tcW w:w="0" w:type="auto"/>
            <w:shd w:val="clear" w:color="auto" w:fill="E7E6E6" w:themeFill="background2"/>
          </w:tcPr>
          <w:p w14:paraId="6075EB29" w14:textId="77777777" w:rsidR="00B656F6" w:rsidRPr="00451852" w:rsidRDefault="00B656F6" w:rsidP="008F0944">
            <w:pPr>
              <w:snapToGrid w:val="0"/>
              <w:jc w:val="right"/>
              <w:rPr>
                <w:rFonts w:ascii="Calibri" w:hAnsi="Calibri"/>
                <w:sz w:val="18"/>
                <w:szCs w:val="18"/>
              </w:rPr>
            </w:pPr>
          </w:p>
        </w:tc>
        <w:tc>
          <w:tcPr>
            <w:tcW w:w="0" w:type="auto"/>
            <w:shd w:val="clear" w:color="auto" w:fill="E7E6E6" w:themeFill="background2"/>
          </w:tcPr>
          <w:p w14:paraId="26CB74E3" w14:textId="77777777" w:rsidR="00B656F6" w:rsidRPr="00451852" w:rsidRDefault="00B656F6" w:rsidP="008F0944">
            <w:pPr>
              <w:snapToGrid w:val="0"/>
              <w:jc w:val="right"/>
              <w:rPr>
                <w:rFonts w:ascii="Calibri" w:hAnsi="Calibri"/>
                <w:sz w:val="18"/>
                <w:szCs w:val="18"/>
              </w:rPr>
            </w:pPr>
          </w:p>
        </w:tc>
        <w:tc>
          <w:tcPr>
            <w:tcW w:w="717" w:type="dxa"/>
            <w:shd w:val="clear" w:color="auto" w:fill="E7E6E6" w:themeFill="background2"/>
          </w:tcPr>
          <w:p w14:paraId="664FFF01" w14:textId="77777777" w:rsidR="00B656F6" w:rsidRPr="00451852" w:rsidRDefault="00B656F6" w:rsidP="008F0944">
            <w:pPr>
              <w:snapToGrid w:val="0"/>
              <w:jc w:val="right"/>
              <w:rPr>
                <w:rFonts w:ascii="Calibri" w:hAnsi="Calibri"/>
                <w:sz w:val="18"/>
                <w:szCs w:val="18"/>
              </w:rPr>
            </w:pPr>
          </w:p>
        </w:tc>
      </w:tr>
      <w:tr w:rsidR="00B656F6" w:rsidRPr="00451852" w14:paraId="2D8A76EE" w14:textId="77777777" w:rsidTr="008F0944">
        <w:tc>
          <w:tcPr>
            <w:tcW w:w="566" w:type="dxa"/>
            <w:vMerge/>
            <w:shd w:val="clear" w:color="auto" w:fill="auto"/>
          </w:tcPr>
          <w:p w14:paraId="0671BEEE" w14:textId="77777777" w:rsidR="00B656F6" w:rsidRPr="00451852" w:rsidRDefault="00B656F6" w:rsidP="008F0944">
            <w:pPr>
              <w:snapToGrid w:val="0"/>
              <w:jc w:val="right"/>
              <w:rPr>
                <w:rFonts w:ascii="Calibri" w:hAnsi="Calibri" w:cstheme="minorHAnsi"/>
                <w:sz w:val="18"/>
                <w:szCs w:val="18"/>
                <w:lang w:val="en-GB"/>
              </w:rPr>
            </w:pPr>
          </w:p>
        </w:tc>
        <w:tc>
          <w:tcPr>
            <w:tcW w:w="2268" w:type="dxa"/>
            <w:shd w:val="clear" w:color="auto" w:fill="E7E6E6" w:themeFill="background2"/>
          </w:tcPr>
          <w:p w14:paraId="54B66E33" w14:textId="77777777" w:rsidR="00B656F6" w:rsidRPr="00451852" w:rsidRDefault="00B656F6" w:rsidP="008F0944">
            <w:pPr>
              <w:snapToGrid w:val="0"/>
              <w:jc w:val="right"/>
              <w:rPr>
                <w:rFonts w:ascii="Calibri" w:hAnsi="Calibri" w:cstheme="minorHAnsi"/>
                <w:sz w:val="18"/>
                <w:szCs w:val="18"/>
                <w:lang w:val="en-GB"/>
              </w:rPr>
            </w:pPr>
            <w:r w:rsidRPr="00451852">
              <w:rPr>
                <w:rFonts w:ascii="Calibri" w:hAnsi="Calibri" w:cstheme="minorHAnsi"/>
                <w:sz w:val="18"/>
                <w:szCs w:val="18"/>
                <w:lang w:val="en-GB"/>
              </w:rPr>
              <w:t xml:space="preserve">Hypertensive </w:t>
            </w:r>
            <w:r>
              <w:rPr>
                <w:rFonts w:ascii="Calibri" w:hAnsi="Calibri" w:cstheme="minorHAnsi"/>
                <w:sz w:val="18"/>
                <w:szCs w:val="18"/>
                <w:lang w:val="en-GB"/>
              </w:rPr>
              <w:t>p</w:t>
            </w:r>
            <w:r w:rsidRPr="00451852">
              <w:rPr>
                <w:rFonts w:ascii="Calibri" w:hAnsi="Calibri" w:cstheme="minorHAnsi"/>
                <w:sz w:val="18"/>
                <w:szCs w:val="18"/>
                <w:lang w:val="en-GB"/>
              </w:rPr>
              <w:t>atients over 18</w:t>
            </w:r>
          </w:p>
        </w:tc>
        <w:tc>
          <w:tcPr>
            <w:tcW w:w="0" w:type="auto"/>
            <w:shd w:val="clear" w:color="auto" w:fill="E7E6E6" w:themeFill="background2"/>
          </w:tcPr>
          <w:p w14:paraId="75AE8E24" w14:textId="77777777" w:rsidR="00B656F6" w:rsidRPr="00451852" w:rsidRDefault="00B656F6" w:rsidP="008F0944">
            <w:pPr>
              <w:snapToGrid w:val="0"/>
              <w:jc w:val="right"/>
              <w:rPr>
                <w:rFonts w:ascii="Calibri" w:hAnsi="Calibri"/>
                <w:sz w:val="18"/>
                <w:szCs w:val="18"/>
              </w:rPr>
            </w:pPr>
            <w:r w:rsidRPr="00451852">
              <w:rPr>
                <w:rFonts w:ascii="Calibri" w:hAnsi="Calibri" w:hint="eastAsia"/>
                <w:sz w:val="18"/>
                <w:szCs w:val="18"/>
              </w:rPr>
              <w:t>4.9</w:t>
            </w:r>
          </w:p>
        </w:tc>
        <w:tc>
          <w:tcPr>
            <w:tcW w:w="0" w:type="auto"/>
            <w:shd w:val="clear" w:color="auto" w:fill="E7E6E6" w:themeFill="background2"/>
          </w:tcPr>
          <w:p w14:paraId="448FDF55" w14:textId="77777777" w:rsidR="00B656F6" w:rsidRPr="00451852" w:rsidRDefault="00B656F6" w:rsidP="008F0944">
            <w:pPr>
              <w:snapToGrid w:val="0"/>
              <w:jc w:val="right"/>
              <w:rPr>
                <w:rFonts w:ascii="Calibri" w:hAnsi="Calibri"/>
                <w:sz w:val="18"/>
                <w:szCs w:val="18"/>
              </w:rPr>
            </w:pPr>
            <w:r w:rsidRPr="00451852">
              <w:rPr>
                <w:rFonts w:ascii="Calibri" w:hAnsi="Calibri" w:hint="eastAsia"/>
                <w:sz w:val="18"/>
                <w:szCs w:val="18"/>
              </w:rPr>
              <w:t>9.7</w:t>
            </w:r>
          </w:p>
        </w:tc>
        <w:tc>
          <w:tcPr>
            <w:tcW w:w="717" w:type="dxa"/>
            <w:shd w:val="clear" w:color="auto" w:fill="E7E6E6" w:themeFill="background2"/>
          </w:tcPr>
          <w:p w14:paraId="5E779B37" w14:textId="77777777" w:rsidR="00B656F6" w:rsidRPr="00451852" w:rsidRDefault="00B656F6" w:rsidP="008F0944">
            <w:pPr>
              <w:snapToGrid w:val="0"/>
              <w:jc w:val="right"/>
              <w:rPr>
                <w:rFonts w:ascii="Calibri" w:hAnsi="Calibri"/>
                <w:sz w:val="18"/>
                <w:szCs w:val="18"/>
              </w:rPr>
            </w:pPr>
            <w:r>
              <w:rPr>
                <w:rFonts w:ascii="Calibri" w:hAnsi="Calibri"/>
                <w:sz w:val="18"/>
                <w:szCs w:val="18"/>
              </w:rPr>
              <w:t>j</w:t>
            </w:r>
          </w:p>
        </w:tc>
      </w:tr>
      <w:tr w:rsidR="00B656F6" w:rsidRPr="00451852" w14:paraId="336913F7" w14:textId="77777777" w:rsidTr="008F0944">
        <w:tc>
          <w:tcPr>
            <w:tcW w:w="566" w:type="dxa"/>
            <w:vMerge/>
            <w:shd w:val="clear" w:color="auto" w:fill="auto"/>
          </w:tcPr>
          <w:p w14:paraId="34015C28" w14:textId="77777777" w:rsidR="00B656F6" w:rsidRPr="00451852" w:rsidRDefault="00B656F6" w:rsidP="008F0944">
            <w:pPr>
              <w:snapToGrid w:val="0"/>
              <w:jc w:val="right"/>
              <w:rPr>
                <w:rFonts w:ascii="Calibri" w:hAnsi="Calibri" w:cstheme="minorHAnsi"/>
                <w:sz w:val="18"/>
                <w:szCs w:val="18"/>
                <w:lang w:val="en-GB"/>
              </w:rPr>
            </w:pPr>
          </w:p>
        </w:tc>
        <w:tc>
          <w:tcPr>
            <w:tcW w:w="2268" w:type="dxa"/>
            <w:shd w:val="clear" w:color="auto" w:fill="E7E6E6" w:themeFill="background2"/>
          </w:tcPr>
          <w:p w14:paraId="33394040" w14:textId="77777777" w:rsidR="00B656F6" w:rsidRPr="00451852" w:rsidRDefault="00B656F6" w:rsidP="008F0944">
            <w:pPr>
              <w:snapToGrid w:val="0"/>
              <w:jc w:val="right"/>
              <w:rPr>
                <w:rFonts w:ascii="Calibri" w:hAnsi="Calibri" w:cstheme="minorHAnsi"/>
                <w:sz w:val="18"/>
                <w:szCs w:val="18"/>
                <w:lang w:val="en-GB"/>
              </w:rPr>
            </w:pPr>
            <w:r w:rsidRPr="00451852">
              <w:rPr>
                <w:rFonts w:ascii="Calibri" w:hAnsi="Calibri" w:cstheme="minorHAnsi"/>
                <w:sz w:val="18"/>
                <w:szCs w:val="18"/>
                <w:lang w:val="en-GB"/>
              </w:rPr>
              <w:t>Diabetes patients over 18</w:t>
            </w:r>
          </w:p>
        </w:tc>
        <w:tc>
          <w:tcPr>
            <w:tcW w:w="0" w:type="auto"/>
            <w:shd w:val="clear" w:color="auto" w:fill="E7E6E6" w:themeFill="background2"/>
          </w:tcPr>
          <w:p w14:paraId="3662A94C" w14:textId="77777777" w:rsidR="00B656F6" w:rsidRPr="00451852" w:rsidRDefault="00B656F6" w:rsidP="008F0944">
            <w:pPr>
              <w:snapToGrid w:val="0"/>
              <w:jc w:val="right"/>
              <w:rPr>
                <w:rFonts w:ascii="Calibri" w:hAnsi="Calibri"/>
                <w:sz w:val="18"/>
                <w:szCs w:val="18"/>
              </w:rPr>
            </w:pPr>
            <w:r w:rsidRPr="00451852">
              <w:rPr>
                <w:rFonts w:ascii="Calibri" w:hAnsi="Calibri" w:hint="eastAsia"/>
                <w:sz w:val="18"/>
                <w:szCs w:val="18"/>
              </w:rPr>
              <w:t>34.7</w:t>
            </w:r>
          </w:p>
        </w:tc>
        <w:tc>
          <w:tcPr>
            <w:tcW w:w="0" w:type="auto"/>
            <w:shd w:val="clear" w:color="auto" w:fill="E7E6E6" w:themeFill="background2"/>
          </w:tcPr>
          <w:p w14:paraId="02059E7B" w14:textId="77777777" w:rsidR="00B656F6" w:rsidRPr="00451852" w:rsidRDefault="00B656F6" w:rsidP="008F0944">
            <w:pPr>
              <w:snapToGrid w:val="0"/>
              <w:jc w:val="right"/>
              <w:rPr>
                <w:rFonts w:ascii="Calibri" w:hAnsi="Calibri"/>
                <w:sz w:val="18"/>
                <w:szCs w:val="18"/>
              </w:rPr>
            </w:pPr>
            <w:r w:rsidRPr="00451852">
              <w:rPr>
                <w:rFonts w:ascii="Calibri" w:hAnsi="Calibri" w:hint="eastAsia"/>
                <w:sz w:val="18"/>
                <w:szCs w:val="18"/>
              </w:rPr>
              <w:t>33.0</w:t>
            </w:r>
          </w:p>
        </w:tc>
        <w:tc>
          <w:tcPr>
            <w:tcW w:w="717" w:type="dxa"/>
            <w:shd w:val="clear" w:color="auto" w:fill="E7E6E6" w:themeFill="background2"/>
          </w:tcPr>
          <w:p w14:paraId="2C9D8E4E" w14:textId="77777777" w:rsidR="00B656F6" w:rsidRPr="00451852" w:rsidRDefault="00B656F6" w:rsidP="008F0944">
            <w:pPr>
              <w:snapToGrid w:val="0"/>
              <w:jc w:val="right"/>
              <w:rPr>
                <w:rFonts w:ascii="Calibri" w:hAnsi="Calibri"/>
                <w:sz w:val="18"/>
                <w:szCs w:val="18"/>
              </w:rPr>
            </w:pPr>
            <w:r>
              <w:rPr>
                <w:rFonts w:ascii="Calibri" w:hAnsi="Calibri"/>
                <w:sz w:val="18"/>
                <w:szCs w:val="18"/>
              </w:rPr>
              <w:t>j</w:t>
            </w:r>
          </w:p>
        </w:tc>
      </w:tr>
      <w:tr w:rsidR="00B656F6" w:rsidRPr="00451852" w14:paraId="23089FE5" w14:textId="77777777" w:rsidTr="008F0944">
        <w:tc>
          <w:tcPr>
            <w:tcW w:w="566" w:type="dxa"/>
            <w:vMerge/>
            <w:shd w:val="clear" w:color="auto" w:fill="auto"/>
          </w:tcPr>
          <w:p w14:paraId="612FBC1A" w14:textId="77777777" w:rsidR="00B656F6" w:rsidRPr="00451852" w:rsidRDefault="00B656F6" w:rsidP="008F0944">
            <w:pPr>
              <w:snapToGrid w:val="0"/>
              <w:jc w:val="right"/>
              <w:rPr>
                <w:rFonts w:ascii="Calibri" w:hAnsi="Calibri" w:cstheme="minorHAnsi"/>
                <w:sz w:val="18"/>
                <w:szCs w:val="18"/>
                <w:lang w:val="en-GB"/>
              </w:rPr>
            </w:pPr>
          </w:p>
        </w:tc>
        <w:tc>
          <w:tcPr>
            <w:tcW w:w="2268" w:type="dxa"/>
            <w:shd w:val="clear" w:color="auto" w:fill="FFFFFF" w:themeFill="background1"/>
          </w:tcPr>
          <w:p w14:paraId="7F501552" w14:textId="77777777" w:rsidR="00B656F6" w:rsidRPr="00451852" w:rsidRDefault="00B656F6" w:rsidP="008F0944">
            <w:pPr>
              <w:snapToGrid w:val="0"/>
              <w:jc w:val="right"/>
              <w:rPr>
                <w:rFonts w:ascii="Calibri" w:hAnsi="Calibri" w:cstheme="minorHAnsi"/>
                <w:sz w:val="18"/>
                <w:szCs w:val="18"/>
                <w:lang w:val="en-GB"/>
              </w:rPr>
            </w:pPr>
          </w:p>
        </w:tc>
        <w:tc>
          <w:tcPr>
            <w:tcW w:w="0" w:type="auto"/>
            <w:shd w:val="clear" w:color="auto" w:fill="FFFFFF" w:themeFill="background1"/>
          </w:tcPr>
          <w:p w14:paraId="3E4EEFDD" w14:textId="77777777" w:rsidR="00B656F6" w:rsidRPr="00451852" w:rsidRDefault="00B656F6" w:rsidP="008F0944">
            <w:pPr>
              <w:snapToGrid w:val="0"/>
              <w:jc w:val="right"/>
              <w:rPr>
                <w:rFonts w:ascii="Calibri" w:hAnsi="Calibri"/>
                <w:b/>
                <w:sz w:val="18"/>
                <w:szCs w:val="18"/>
              </w:rPr>
            </w:pPr>
            <w:r w:rsidRPr="00451852">
              <w:rPr>
                <w:rFonts w:ascii="Calibri" w:hAnsi="Calibri" w:hint="eastAsia"/>
                <w:b/>
                <w:sz w:val="18"/>
                <w:szCs w:val="18"/>
              </w:rPr>
              <w:t>2010</w:t>
            </w:r>
          </w:p>
        </w:tc>
        <w:tc>
          <w:tcPr>
            <w:tcW w:w="0" w:type="auto"/>
            <w:shd w:val="clear" w:color="auto" w:fill="FFFFFF" w:themeFill="background1"/>
          </w:tcPr>
          <w:p w14:paraId="7554BB89" w14:textId="77777777" w:rsidR="00B656F6" w:rsidRPr="00451852" w:rsidRDefault="00B656F6" w:rsidP="008F0944">
            <w:pPr>
              <w:snapToGrid w:val="0"/>
              <w:jc w:val="right"/>
              <w:rPr>
                <w:rFonts w:ascii="Calibri" w:hAnsi="Calibri"/>
                <w:b/>
                <w:sz w:val="18"/>
                <w:szCs w:val="18"/>
              </w:rPr>
            </w:pPr>
            <w:r w:rsidRPr="00451852">
              <w:rPr>
                <w:rFonts w:ascii="Calibri" w:hAnsi="Calibri" w:hint="eastAsia"/>
                <w:b/>
                <w:sz w:val="18"/>
                <w:szCs w:val="18"/>
              </w:rPr>
              <w:t>2015</w:t>
            </w:r>
          </w:p>
        </w:tc>
        <w:tc>
          <w:tcPr>
            <w:tcW w:w="717" w:type="dxa"/>
            <w:shd w:val="clear" w:color="auto" w:fill="FFFFFF" w:themeFill="background1"/>
          </w:tcPr>
          <w:p w14:paraId="4EAB7732" w14:textId="77777777" w:rsidR="00B656F6" w:rsidRPr="00451852" w:rsidRDefault="00B656F6" w:rsidP="008F0944">
            <w:pPr>
              <w:snapToGrid w:val="0"/>
              <w:jc w:val="right"/>
              <w:rPr>
                <w:rFonts w:ascii="Calibri" w:hAnsi="Calibri"/>
                <w:sz w:val="18"/>
                <w:szCs w:val="18"/>
              </w:rPr>
            </w:pPr>
          </w:p>
        </w:tc>
      </w:tr>
      <w:tr w:rsidR="00B656F6" w:rsidRPr="00451852" w14:paraId="6C904DE8" w14:textId="77777777" w:rsidTr="008F0944">
        <w:tc>
          <w:tcPr>
            <w:tcW w:w="566" w:type="dxa"/>
            <w:vMerge/>
            <w:shd w:val="clear" w:color="auto" w:fill="auto"/>
          </w:tcPr>
          <w:p w14:paraId="1CEAC8CB" w14:textId="77777777" w:rsidR="00B656F6" w:rsidRPr="00451852" w:rsidRDefault="00B656F6" w:rsidP="008F0944">
            <w:pPr>
              <w:snapToGrid w:val="0"/>
              <w:jc w:val="right"/>
              <w:rPr>
                <w:rFonts w:ascii="Calibri" w:hAnsi="Calibri" w:cstheme="minorHAnsi"/>
                <w:sz w:val="18"/>
                <w:szCs w:val="18"/>
                <w:lang w:val="en-GB"/>
              </w:rPr>
            </w:pPr>
          </w:p>
        </w:tc>
        <w:tc>
          <w:tcPr>
            <w:tcW w:w="2268" w:type="dxa"/>
            <w:shd w:val="clear" w:color="auto" w:fill="E7E6E6" w:themeFill="background2"/>
          </w:tcPr>
          <w:p w14:paraId="7625DADA" w14:textId="77777777" w:rsidR="00B656F6" w:rsidRPr="00451852" w:rsidRDefault="00B656F6" w:rsidP="008F0944">
            <w:pPr>
              <w:snapToGrid w:val="0"/>
              <w:jc w:val="right"/>
              <w:rPr>
                <w:rFonts w:ascii="Calibri" w:hAnsi="Calibri"/>
                <w:sz w:val="18"/>
                <w:szCs w:val="18"/>
              </w:rPr>
            </w:pPr>
            <w:r w:rsidRPr="00451852">
              <w:rPr>
                <w:rFonts w:ascii="Calibri" w:hAnsi="Calibri" w:cstheme="minorHAnsi"/>
                <w:sz w:val="18"/>
                <w:szCs w:val="18"/>
                <w:lang w:val="en-GB"/>
              </w:rPr>
              <w:t>Number of health professionals (per 1,000 population)</w:t>
            </w:r>
          </w:p>
        </w:tc>
        <w:tc>
          <w:tcPr>
            <w:tcW w:w="0" w:type="auto"/>
            <w:shd w:val="clear" w:color="auto" w:fill="E7E6E6" w:themeFill="background2"/>
          </w:tcPr>
          <w:p w14:paraId="2549C57F" w14:textId="77777777" w:rsidR="00B656F6" w:rsidRPr="00451852" w:rsidRDefault="00B656F6" w:rsidP="008F0944">
            <w:pPr>
              <w:snapToGrid w:val="0"/>
              <w:jc w:val="right"/>
              <w:rPr>
                <w:rFonts w:ascii="Calibri" w:hAnsi="Calibri"/>
                <w:sz w:val="18"/>
                <w:szCs w:val="18"/>
              </w:rPr>
            </w:pPr>
            <w:r w:rsidRPr="00451852">
              <w:rPr>
                <w:rFonts w:ascii="Calibri" w:hAnsi="Calibri"/>
                <w:sz w:val="18"/>
                <w:szCs w:val="18"/>
              </w:rPr>
              <w:t>4.4</w:t>
            </w:r>
          </w:p>
        </w:tc>
        <w:tc>
          <w:tcPr>
            <w:tcW w:w="0" w:type="auto"/>
            <w:shd w:val="clear" w:color="auto" w:fill="E7E6E6" w:themeFill="background2"/>
          </w:tcPr>
          <w:p w14:paraId="1A2A6CFC" w14:textId="77777777" w:rsidR="00B656F6" w:rsidRPr="00451852" w:rsidRDefault="00B656F6" w:rsidP="008F0944">
            <w:pPr>
              <w:snapToGrid w:val="0"/>
              <w:jc w:val="right"/>
              <w:rPr>
                <w:rFonts w:ascii="Calibri" w:hAnsi="Calibri"/>
                <w:sz w:val="18"/>
                <w:szCs w:val="18"/>
              </w:rPr>
            </w:pPr>
            <w:r w:rsidRPr="00451852">
              <w:rPr>
                <w:rFonts w:ascii="Calibri" w:hAnsi="Calibri"/>
                <w:sz w:val="18"/>
                <w:szCs w:val="18"/>
              </w:rPr>
              <w:t>5.8</w:t>
            </w:r>
          </w:p>
        </w:tc>
        <w:tc>
          <w:tcPr>
            <w:tcW w:w="717" w:type="dxa"/>
            <w:shd w:val="clear" w:color="auto" w:fill="E7E6E6" w:themeFill="background2"/>
          </w:tcPr>
          <w:p w14:paraId="68A3BCD6" w14:textId="77777777" w:rsidR="00B656F6" w:rsidRPr="00451852" w:rsidRDefault="00B656F6" w:rsidP="008F0944">
            <w:pPr>
              <w:snapToGrid w:val="0"/>
              <w:jc w:val="right"/>
              <w:rPr>
                <w:rFonts w:ascii="Calibri" w:hAnsi="Calibri"/>
                <w:sz w:val="18"/>
                <w:szCs w:val="18"/>
              </w:rPr>
            </w:pPr>
            <w:r w:rsidRPr="00451852">
              <w:rPr>
                <w:rFonts w:ascii="Calibri" w:hAnsi="Calibri" w:hint="eastAsia"/>
                <w:sz w:val="18"/>
                <w:szCs w:val="18"/>
              </w:rPr>
              <w:t>c</w:t>
            </w:r>
          </w:p>
        </w:tc>
      </w:tr>
      <w:tr w:rsidR="00B656F6" w:rsidRPr="00451852" w14:paraId="58EE8407" w14:textId="77777777" w:rsidTr="008F0944">
        <w:tc>
          <w:tcPr>
            <w:tcW w:w="566" w:type="dxa"/>
            <w:vMerge/>
            <w:shd w:val="clear" w:color="auto" w:fill="auto"/>
          </w:tcPr>
          <w:p w14:paraId="7709BA42" w14:textId="77777777" w:rsidR="00B656F6" w:rsidRPr="00451852" w:rsidRDefault="00B656F6" w:rsidP="008F0944">
            <w:pPr>
              <w:snapToGrid w:val="0"/>
              <w:jc w:val="right"/>
              <w:rPr>
                <w:rFonts w:ascii="Calibri" w:hAnsi="Calibri"/>
                <w:sz w:val="18"/>
                <w:szCs w:val="18"/>
              </w:rPr>
            </w:pPr>
          </w:p>
        </w:tc>
        <w:tc>
          <w:tcPr>
            <w:tcW w:w="2268" w:type="dxa"/>
            <w:shd w:val="clear" w:color="auto" w:fill="E7E6E6" w:themeFill="background2"/>
          </w:tcPr>
          <w:p w14:paraId="4B3B7548" w14:textId="77777777" w:rsidR="00B656F6" w:rsidRPr="00451852" w:rsidRDefault="00B656F6" w:rsidP="008F0944">
            <w:pPr>
              <w:snapToGrid w:val="0"/>
              <w:jc w:val="right"/>
              <w:rPr>
                <w:rFonts w:ascii="Calibri" w:hAnsi="Calibri"/>
                <w:sz w:val="18"/>
                <w:szCs w:val="18"/>
              </w:rPr>
            </w:pPr>
            <w:r w:rsidRPr="00451852">
              <w:rPr>
                <w:rFonts w:ascii="Calibri" w:hAnsi="Calibri"/>
                <w:sz w:val="18"/>
                <w:szCs w:val="18"/>
              </w:rPr>
              <w:t>D</w:t>
            </w:r>
            <w:r w:rsidRPr="00451852">
              <w:rPr>
                <w:rFonts w:ascii="Calibri" w:hAnsi="Calibri" w:hint="eastAsia"/>
                <w:sz w:val="18"/>
                <w:szCs w:val="18"/>
              </w:rPr>
              <w:t>octors</w:t>
            </w:r>
          </w:p>
        </w:tc>
        <w:tc>
          <w:tcPr>
            <w:tcW w:w="0" w:type="auto"/>
            <w:shd w:val="clear" w:color="auto" w:fill="E7E6E6" w:themeFill="background2"/>
          </w:tcPr>
          <w:p w14:paraId="430F1602" w14:textId="77777777" w:rsidR="00B656F6" w:rsidRPr="00451852" w:rsidRDefault="00B656F6" w:rsidP="008F0944">
            <w:pPr>
              <w:snapToGrid w:val="0"/>
              <w:jc w:val="right"/>
              <w:rPr>
                <w:rFonts w:ascii="Calibri" w:hAnsi="Calibri"/>
                <w:sz w:val="18"/>
                <w:szCs w:val="18"/>
              </w:rPr>
            </w:pPr>
            <w:r w:rsidRPr="00451852">
              <w:rPr>
                <w:rFonts w:ascii="Calibri" w:hAnsi="Calibri"/>
                <w:sz w:val="18"/>
                <w:szCs w:val="18"/>
              </w:rPr>
              <w:t>1.8</w:t>
            </w:r>
          </w:p>
        </w:tc>
        <w:tc>
          <w:tcPr>
            <w:tcW w:w="0" w:type="auto"/>
            <w:shd w:val="clear" w:color="auto" w:fill="E7E6E6" w:themeFill="background2"/>
          </w:tcPr>
          <w:p w14:paraId="34CC362D" w14:textId="77777777" w:rsidR="00B656F6" w:rsidRPr="00451852" w:rsidRDefault="00B656F6" w:rsidP="008F0944">
            <w:pPr>
              <w:snapToGrid w:val="0"/>
              <w:jc w:val="right"/>
              <w:rPr>
                <w:rFonts w:ascii="Calibri" w:hAnsi="Calibri"/>
                <w:sz w:val="18"/>
                <w:szCs w:val="18"/>
              </w:rPr>
            </w:pPr>
            <w:r w:rsidRPr="00451852">
              <w:rPr>
                <w:rFonts w:ascii="Calibri" w:hAnsi="Calibri"/>
                <w:sz w:val="18"/>
                <w:szCs w:val="18"/>
              </w:rPr>
              <w:t>2.2</w:t>
            </w:r>
          </w:p>
        </w:tc>
        <w:tc>
          <w:tcPr>
            <w:tcW w:w="717" w:type="dxa"/>
            <w:shd w:val="clear" w:color="auto" w:fill="E7E6E6" w:themeFill="background2"/>
          </w:tcPr>
          <w:p w14:paraId="194721F5" w14:textId="77777777" w:rsidR="00B656F6" w:rsidRPr="00451852" w:rsidRDefault="00B656F6" w:rsidP="008F0944">
            <w:pPr>
              <w:snapToGrid w:val="0"/>
              <w:jc w:val="right"/>
              <w:rPr>
                <w:rFonts w:ascii="Calibri" w:hAnsi="Calibri"/>
                <w:sz w:val="18"/>
                <w:szCs w:val="18"/>
              </w:rPr>
            </w:pPr>
            <w:r w:rsidRPr="00451852">
              <w:rPr>
                <w:rFonts w:ascii="Calibri" w:hAnsi="Calibri" w:hint="eastAsia"/>
                <w:sz w:val="18"/>
                <w:szCs w:val="18"/>
              </w:rPr>
              <w:t>c</w:t>
            </w:r>
          </w:p>
        </w:tc>
      </w:tr>
      <w:tr w:rsidR="00B656F6" w:rsidRPr="00451852" w14:paraId="03F80E1C" w14:textId="77777777" w:rsidTr="008F0944">
        <w:tc>
          <w:tcPr>
            <w:tcW w:w="566" w:type="dxa"/>
            <w:vMerge/>
            <w:shd w:val="clear" w:color="auto" w:fill="auto"/>
          </w:tcPr>
          <w:p w14:paraId="514BDA15" w14:textId="77777777" w:rsidR="00B656F6" w:rsidRPr="00451852" w:rsidRDefault="00B656F6" w:rsidP="008F0944">
            <w:pPr>
              <w:snapToGrid w:val="0"/>
              <w:jc w:val="right"/>
              <w:rPr>
                <w:rFonts w:ascii="Calibri" w:hAnsi="Calibri"/>
                <w:sz w:val="18"/>
                <w:szCs w:val="18"/>
              </w:rPr>
            </w:pPr>
          </w:p>
        </w:tc>
        <w:tc>
          <w:tcPr>
            <w:tcW w:w="2268" w:type="dxa"/>
            <w:shd w:val="clear" w:color="auto" w:fill="E7E6E6" w:themeFill="background2"/>
          </w:tcPr>
          <w:p w14:paraId="65FA33CA" w14:textId="77777777" w:rsidR="00B656F6" w:rsidRPr="00451852" w:rsidRDefault="00B656F6" w:rsidP="008F0944">
            <w:pPr>
              <w:snapToGrid w:val="0"/>
              <w:jc w:val="right"/>
              <w:rPr>
                <w:rFonts w:ascii="Calibri" w:hAnsi="Calibri"/>
                <w:sz w:val="18"/>
                <w:szCs w:val="18"/>
              </w:rPr>
            </w:pPr>
            <w:r w:rsidRPr="00451852">
              <w:rPr>
                <w:rFonts w:ascii="Calibri" w:hAnsi="Calibri"/>
                <w:sz w:val="18"/>
                <w:szCs w:val="18"/>
              </w:rPr>
              <w:t>R</w:t>
            </w:r>
            <w:r w:rsidRPr="00451852">
              <w:rPr>
                <w:rFonts w:ascii="Calibri" w:hAnsi="Calibri" w:hint="eastAsia"/>
                <w:sz w:val="18"/>
                <w:szCs w:val="18"/>
              </w:rPr>
              <w:t xml:space="preserve">ural </w:t>
            </w:r>
            <w:r w:rsidRPr="00451852">
              <w:rPr>
                <w:rFonts w:ascii="Calibri" w:hAnsi="Calibri"/>
                <w:sz w:val="18"/>
                <w:szCs w:val="18"/>
              </w:rPr>
              <w:t>doctors</w:t>
            </w:r>
          </w:p>
        </w:tc>
        <w:tc>
          <w:tcPr>
            <w:tcW w:w="0" w:type="auto"/>
            <w:shd w:val="clear" w:color="auto" w:fill="E7E6E6" w:themeFill="background2"/>
          </w:tcPr>
          <w:p w14:paraId="4AA1B642" w14:textId="77777777" w:rsidR="00B656F6" w:rsidRPr="00451852" w:rsidRDefault="00B656F6" w:rsidP="008F0944">
            <w:pPr>
              <w:snapToGrid w:val="0"/>
              <w:jc w:val="right"/>
              <w:rPr>
                <w:rFonts w:ascii="Calibri" w:hAnsi="Calibri"/>
                <w:sz w:val="18"/>
                <w:szCs w:val="18"/>
              </w:rPr>
            </w:pPr>
            <w:r w:rsidRPr="00451852">
              <w:rPr>
                <w:rFonts w:ascii="Calibri" w:hAnsi="Calibri"/>
                <w:sz w:val="18"/>
                <w:szCs w:val="18"/>
              </w:rPr>
              <w:t>1.1</w:t>
            </w:r>
          </w:p>
        </w:tc>
        <w:tc>
          <w:tcPr>
            <w:tcW w:w="0" w:type="auto"/>
            <w:shd w:val="clear" w:color="auto" w:fill="E7E6E6" w:themeFill="background2"/>
          </w:tcPr>
          <w:p w14:paraId="38D9CEB4" w14:textId="77777777" w:rsidR="00B656F6" w:rsidRPr="00451852" w:rsidRDefault="00B656F6" w:rsidP="008F0944">
            <w:pPr>
              <w:snapToGrid w:val="0"/>
              <w:jc w:val="right"/>
              <w:rPr>
                <w:rFonts w:ascii="Calibri" w:hAnsi="Calibri"/>
                <w:sz w:val="18"/>
                <w:szCs w:val="18"/>
              </w:rPr>
            </w:pPr>
            <w:r w:rsidRPr="00451852">
              <w:rPr>
                <w:rFonts w:ascii="Calibri" w:hAnsi="Calibri"/>
                <w:sz w:val="18"/>
                <w:szCs w:val="18"/>
              </w:rPr>
              <w:t>1.1</w:t>
            </w:r>
          </w:p>
        </w:tc>
        <w:tc>
          <w:tcPr>
            <w:tcW w:w="717" w:type="dxa"/>
            <w:shd w:val="clear" w:color="auto" w:fill="E7E6E6" w:themeFill="background2"/>
          </w:tcPr>
          <w:p w14:paraId="16DBA93C" w14:textId="77777777" w:rsidR="00B656F6" w:rsidRPr="00451852" w:rsidRDefault="00B656F6" w:rsidP="008F0944">
            <w:pPr>
              <w:snapToGrid w:val="0"/>
              <w:jc w:val="right"/>
              <w:rPr>
                <w:rFonts w:ascii="Calibri" w:hAnsi="Calibri"/>
                <w:sz w:val="18"/>
                <w:szCs w:val="18"/>
              </w:rPr>
            </w:pPr>
            <w:r w:rsidRPr="00451852">
              <w:rPr>
                <w:rFonts w:ascii="Calibri" w:hAnsi="Calibri" w:hint="eastAsia"/>
                <w:sz w:val="18"/>
                <w:szCs w:val="18"/>
              </w:rPr>
              <w:t>c</w:t>
            </w:r>
          </w:p>
        </w:tc>
      </w:tr>
      <w:tr w:rsidR="00B656F6" w:rsidRPr="00451852" w14:paraId="13B403FD" w14:textId="77777777" w:rsidTr="008F0944">
        <w:tc>
          <w:tcPr>
            <w:tcW w:w="566" w:type="dxa"/>
            <w:vMerge/>
            <w:shd w:val="clear" w:color="auto" w:fill="auto"/>
          </w:tcPr>
          <w:p w14:paraId="5E41FB32" w14:textId="77777777" w:rsidR="00B656F6" w:rsidRPr="00451852" w:rsidRDefault="00B656F6" w:rsidP="008F0944">
            <w:pPr>
              <w:snapToGrid w:val="0"/>
              <w:jc w:val="right"/>
              <w:rPr>
                <w:rFonts w:ascii="Calibri" w:hAnsi="Calibri"/>
                <w:sz w:val="18"/>
                <w:szCs w:val="18"/>
              </w:rPr>
            </w:pPr>
          </w:p>
        </w:tc>
        <w:tc>
          <w:tcPr>
            <w:tcW w:w="2268" w:type="dxa"/>
            <w:shd w:val="clear" w:color="auto" w:fill="E7E6E6" w:themeFill="background2"/>
          </w:tcPr>
          <w:p w14:paraId="244EA1C1" w14:textId="77777777" w:rsidR="00B656F6" w:rsidRPr="00451852" w:rsidRDefault="00B656F6" w:rsidP="008F0944">
            <w:pPr>
              <w:snapToGrid w:val="0"/>
              <w:jc w:val="right"/>
              <w:rPr>
                <w:rFonts w:ascii="Calibri" w:hAnsi="Calibri"/>
                <w:sz w:val="18"/>
                <w:szCs w:val="18"/>
              </w:rPr>
            </w:pPr>
            <w:r w:rsidRPr="00451852">
              <w:rPr>
                <w:rFonts w:ascii="Calibri" w:hAnsi="Calibri"/>
                <w:sz w:val="18"/>
                <w:szCs w:val="18"/>
              </w:rPr>
              <w:t>R</w:t>
            </w:r>
            <w:r w:rsidRPr="00451852">
              <w:rPr>
                <w:rFonts w:ascii="Calibri" w:hAnsi="Calibri" w:hint="eastAsia"/>
                <w:sz w:val="18"/>
                <w:szCs w:val="18"/>
              </w:rPr>
              <w:t xml:space="preserve">egistered </w:t>
            </w:r>
            <w:r w:rsidRPr="00451852">
              <w:rPr>
                <w:rFonts w:ascii="Calibri" w:hAnsi="Calibri"/>
                <w:sz w:val="18"/>
                <w:szCs w:val="18"/>
              </w:rPr>
              <w:t>nurses</w:t>
            </w:r>
          </w:p>
        </w:tc>
        <w:tc>
          <w:tcPr>
            <w:tcW w:w="0" w:type="auto"/>
            <w:shd w:val="clear" w:color="auto" w:fill="E7E6E6" w:themeFill="background2"/>
          </w:tcPr>
          <w:p w14:paraId="77A034DD" w14:textId="77777777" w:rsidR="00B656F6" w:rsidRPr="00451852" w:rsidRDefault="00B656F6" w:rsidP="008F0944">
            <w:pPr>
              <w:snapToGrid w:val="0"/>
              <w:jc w:val="right"/>
              <w:rPr>
                <w:rFonts w:ascii="Calibri" w:hAnsi="Calibri"/>
                <w:sz w:val="18"/>
                <w:szCs w:val="18"/>
              </w:rPr>
            </w:pPr>
            <w:r w:rsidRPr="00451852">
              <w:rPr>
                <w:rFonts w:ascii="Calibri" w:hAnsi="Calibri"/>
                <w:sz w:val="18"/>
                <w:szCs w:val="18"/>
              </w:rPr>
              <w:t>1.5</w:t>
            </w:r>
          </w:p>
        </w:tc>
        <w:tc>
          <w:tcPr>
            <w:tcW w:w="0" w:type="auto"/>
            <w:shd w:val="clear" w:color="auto" w:fill="E7E6E6" w:themeFill="background2"/>
          </w:tcPr>
          <w:p w14:paraId="5818F4A0" w14:textId="77777777" w:rsidR="00B656F6" w:rsidRPr="00451852" w:rsidRDefault="00B656F6" w:rsidP="008F0944">
            <w:pPr>
              <w:snapToGrid w:val="0"/>
              <w:jc w:val="right"/>
              <w:rPr>
                <w:rFonts w:ascii="Calibri" w:hAnsi="Calibri"/>
                <w:sz w:val="18"/>
                <w:szCs w:val="18"/>
              </w:rPr>
            </w:pPr>
            <w:r w:rsidRPr="00451852">
              <w:rPr>
                <w:rFonts w:ascii="Calibri" w:hAnsi="Calibri"/>
                <w:sz w:val="18"/>
                <w:szCs w:val="18"/>
              </w:rPr>
              <w:t>2.4</w:t>
            </w:r>
          </w:p>
        </w:tc>
        <w:tc>
          <w:tcPr>
            <w:tcW w:w="717" w:type="dxa"/>
            <w:shd w:val="clear" w:color="auto" w:fill="E7E6E6" w:themeFill="background2"/>
          </w:tcPr>
          <w:p w14:paraId="506D7F28" w14:textId="77777777" w:rsidR="00B656F6" w:rsidRPr="00451852" w:rsidRDefault="00B656F6" w:rsidP="008F0944">
            <w:pPr>
              <w:snapToGrid w:val="0"/>
              <w:jc w:val="right"/>
              <w:rPr>
                <w:rFonts w:ascii="Calibri" w:hAnsi="Calibri"/>
                <w:sz w:val="18"/>
                <w:szCs w:val="18"/>
              </w:rPr>
            </w:pPr>
            <w:r w:rsidRPr="00451852">
              <w:rPr>
                <w:rFonts w:ascii="Calibri" w:hAnsi="Calibri" w:hint="eastAsia"/>
                <w:sz w:val="18"/>
                <w:szCs w:val="18"/>
              </w:rPr>
              <w:t>c</w:t>
            </w:r>
          </w:p>
        </w:tc>
      </w:tr>
      <w:tr w:rsidR="00B656F6" w:rsidRPr="00451852" w14:paraId="6B56D606" w14:textId="77777777" w:rsidTr="008F0944">
        <w:trPr>
          <w:trHeight w:val="70"/>
        </w:trPr>
        <w:tc>
          <w:tcPr>
            <w:tcW w:w="566" w:type="dxa"/>
            <w:vMerge/>
            <w:shd w:val="clear" w:color="auto" w:fill="auto"/>
          </w:tcPr>
          <w:p w14:paraId="7C09CE4F" w14:textId="77777777" w:rsidR="00B656F6" w:rsidRPr="00451852" w:rsidRDefault="00B656F6" w:rsidP="008F0944">
            <w:pPr>
              <w:snapToGrid w:val="0"/>
              <w:jc w:val="right"/>
              <w:rPr>
                <w:rFonts w:ascii="Calibri" w:hAnsi="Calibri"/>
                <w:sz w:val="18"/>
                <w:szCs w:val="18"/>
              </w:rPr>
            </w:pPr>
          </w:p>
        </w:tc>
        <w:tc>
          <w:tcPr>
            <w:tcW w:w="2268" w:type="dxa"/>
          </w:tcPr>
          <w:p w14:paraId="1F3C9EE4" w14:textId="77777777" w:rsidR="00B656F6" w:rsidRPr="00451852" w:rsidRDefault="00B656F6" w:rsidP="008F0944">
            <w:pPr>
              <w:snapToGrid w:val="0"/>
              <w:jc w:val="right"/>
              <w:rPr>
                <w:rFonts w:ascii="Calibri" w:hAnsi="Calibri"/>
                <w:sz w:val="18"/>
                <w:szCs w:val="18"/>
              </w:rPr>
            </w:pPr>
          </w:p>
        </w:tc>
        <w:tc>
          <w:tcPr>
            <w:tcW w:w="0" w:type="auto"/>
          </w:tcPr>
          <w:p w14:paraId="73A863C5" w14:textId="77777777" w:rsidR="00B656F6" w:rsidRPr="00451852" w:rsidRDefault="00B656F6" w:rsidP="008F0944">
            <w:pPr>
              <w:snapToGrid w:val="0"/>
              <w:jc w:val="right"/>
              <w:rPr>
                <w:rFonts w:ascii="Calibri" w:hAnsi="Calibri"/>
                <w:b/>
                <w:sz w:val="18"/>
                <w:szCs w:val="18"/>
              </w:rPr>
            </w:pPr>
            <w:r w:rsidRPr="00451852">
              <w:rPr>
                <w:rFonts w:ascii="Calibri" w:hAnsi="Calibri" w:hint="eastAsia"/>
                <w:b/>
                <w:sz w:val="18"/>
                <w:szCs w:val="18"/>
              </w:rPr>
              <w:t>2010</w:t>
            </w:r>
          </w:p>
        </w:tc>
        <w:tc>
          <w:tcPr>
            <w:tcW w:w="0" w:type="auto"/>
          </w:tcPr>
          <w:p w14:paraId="1E087FB1" w14:textId="77777777" w:rsidR="00B656F6" w:rsidRPr="00451852" w:rsidRDefault="00B656F6" w:rsidP="008F0944">
            <w:pPr>
              <w:snapToGrid w:val="0"/>
              <w:jc w:val="right"/>
              <w:rPr>
                <w:rFonts w:ascii="Calibri" w:hAnsi="Calibri"/>
                <w:b/>
                <w:sz w:val="18"/>
                <w:szCs w:val="18"/>
              </w:rPr>
            </w:pPr>
            <w:r w:rsidRPr="00451852">
              <w:rPr>
                <w:rFonts w:ascii="Calibri" w:hAnsi="Calibri" w:hint="eastAsia"/>
                <w:b/>
                <w:sz w:val="18"/>
                <w:szCs w:val="18"/>
              </w:rPr>
              <w:t>2016</w:t>
            </w:r>
          </w:p>
        </w:tc>
        <w:tc>
          <w:tcPr>
            <w:tcW w:w="717" w:type="dxa"/>
          </w:tcPr>
          <w:p w14:paraId="47177E58" w14:textId="77777777" w:rsidR="00B656F6" w:rsidRPr="00451852" w:rsidRDefault="00B656F6" w:rsidP="008F0944">
            <w:pPr>
              <w:snapToGrid w:val="0"/>
              <w:jc w:val="right"/>
              <w:rPr>
                <w:rFonts w:ascii="Calibri" w:hAnsi="Calibri"/>
                <w:sz w:val="18"/>
                <w:szCs w:val="18"/>
              </w:rPr>
            </w:pPr>
          </w:p>
        </w:tc>
      </w:tr>
      <w:tr w:rsidR="00B656F6" w:rsidRPr="00451852" w14:paraId="0C57F7DB" w14:textId="77777777" w:rsidTr="008F0944">
        <w:tc>
          <w:tcPr>
            <w:tcW w:w="566" w:type="dxa"/>
            <w:vMerge/>
            <w:shd w:val="clear" w:color="auto" w:fill="auto"/>
          </w:tcPr>
          <w:p w14:paraId="7D5D9F22" w14:textId="77777777" w:rsidR="00B656F6" w:rsidRPr="00451852" w:rsidRDefault="00B656F6" w:rsidP="008F0944">
            <w:pPr>
              <w:snapToGrid w:val="0"/>
              <w:jc w:val="right"/>
              <w:rPr>
                <w:rFonts w:ascii="Calibri" w:hAnsi="Calibri"/>
                <w:sz w:val="18"/>
                <w:szCs w:val="18"/>
              </w:rPr>
            </w:pPr>
          </w:p>
        </w:tc>
        <w:tc>
          <w:tcPr>
            <w:tcW w:w="2268" w:type="dxa"/>
            <w:shd w:val="clear" w:color="auto" w:fill="E7E6E6" w:themeFill="background2"/>
          </w:tcPr>
          <w:p w14:paraId="0BAEDE68" w14:textId="77777777" w:rsidR="00B656F6" w:rsidRPr="00451852" w:rsidRDefault="00B656F6" w:rsidP="008F0944">
            <w:pPr>
              <w:wordWrap w:val="0"/>
              <w:snapToGrid w:val="0"/>
              <w:jc w:val="right"/>
              <w:rPr>
                <w:rFonts w:ascii="Calibri" w:hAnsi="Calibri"/>
                <w:sz w:val="18"/>
                <w:szCs w:val="18"/>
              </w:rPr>
            </w:pPr>
            <w:r w:rsidRPr="00451852">
              <w:rPr>
                <w:rFonts w:ascii="Calibri" w:hAnsi="Calibri" w:hint="eastAsia"/>
                <w:sz w:val="18"/>
                <w:szCs w:val="18"/>
              </w:rPr>
              <w:t xml:space="preserve">Government </w:t>
            </w:r>
            <w:r>
              <w:rPr>
                <w:rFonts w:ascii="Calibri" w:hAnsi="Calibri"/>
                <w:sz w:val="18"/>
                <w:szCs w:val="18"/>
              </w:rPr>
              <w:t>h</w:t>
            </w:r>
            <w:r w:rsidRPr="00451852">
              <w:rPr>
                <w:rFonts w:ascii="Calibri" w:hAnsi="Calibri" w:hint="eastAsia"/>
                <w:sz w:val="18"/>
                <w:szCs w:val="18"/>
              </w:rPr>
              <w:t xml:space="preserve">ealth </w:t>
            </w:r>
            <w:r>
              <w:rPr>
                <w:rFonts w:ascii="Calibri" w:hAnsi="Calibri"/>
                <w:sz w:val="18"/>
                <w:szCs w:val="18"/>
              </w:rPr>
              <w:t>e</w:t>
            </w:r>
            <w:r w:rsidRPr="00451852">
              <w:rPr>
                <w:rFonts w:ascii="Calibri" w:hAnsi="Calibri" w:hint="eastAsia"/>
                <w:sz w:val="18"/>
                <w:szCs w:val="18"/>
              </w:rPr>
              <w:t>xpenditure</w:t>
            </w:r>
            <w:r w:rsidRPr="00451852">
              <w:rPr>
                <w:rFonts w:ascii="Calibri" w:hAnsi="Calibri"/>
                <w:sz w:val="18"/>
                <w:szCs w:val="18"/>
              </w:rPr>
              <w:t xml:space="preserve"> (%)</w:t>
            </w:r>
          </w:p>
        </w:tc>
        <w:tc>
          <w:tcPr>
            <w:tcW w:w="0" w:type="auto"/>
            <w:shd w:val="clear" w:color="auto" w:fill="E7E6E6" w:themeFill="background2"/>
          </w:tcPr>
          <w:p w14:paraId="4E96E36B" w14:textId="77777777" w:rsidR="00B656F6" w:rsidRPr="00451852" w:rsidRDefault="00B656F6" w:rsidP="008F0944">
            <w:pPr>
              <w:snapToGrid w:val="0"/>
              <w:jc w:val="right"/>
              <w:rPr>
                <w:rFonts w:ascii="Calibri" w:hAnsi="Calibri"/>
                <w:sz w:val="18"/>
                <w:szCs w:val="18"/>
              </w:rPr>
            </w:pPr>
            <w:r w:rsidRPr="00451852">
              <w:rPr>
                <w:rFonts w:ascii="Calibri" w:hAnsi="Calibri"/>
                <w:sz w:val="18"/>
                <w:szCs w:val="18"/>
              </w:rPr>
              <w:t>28.7</w:t>
            </w:r>
          </w:p>
        </w:tc>
        <w:tc>
          <w:tcPr>
            <w:tcW w:w="0" w:type="auto"/>
            <w:shd w:val="clear" w:color="auto" w:fill="E7E6E6" w:themeFill="background2"/>
          </w:tcPr>
          <w:p w14:paraId="0D9F5D16" w14:textId="77777777" w:rsidR="00B656F6" w:rsidRPr="00451852" w:rsidRDefault="00B656F6" w:rsidP="008F0944">
            <w:pPr>
              <w:snapToGrid w:val="0"/>
              <w:jc w:val="right"/>
              <w:rPr>
                <w:rFonts w:ascii="Calibri" w:hAnsi="Calibri"/>
                <w:sz w:val="18"/>
                <w:szCs w:val="18"/>
              </w:rPr>
            </w:pPr>
            <w:r w:rsidRPr="00451852">
              <w:rPr>
                <w:rFonts w:ascii="Calibri" w:hAnsi="Calibri" w:hint="eastAsia"/>
                <w:sz w:val="18"/>
                <w:szCs w:val="18"/>
              </w:rPr>
              <w:t>3</w:t>
            </w:r>
            <w:r w:rsidRPr="00451852">
              <w:rPr>
                <w:rFonts w:ascii="Calibri" w:hAnsi="Calibri"/>
                <w:sz w:val="18"/>
                <w:szCs w:val="18"/>
              </w:rPr>
              <w:t>0.0</w:t>
            </w:r>
          </w:p>
        </w:tc>
        <w:tc>
          <w:tcPr>
            <w:tcW w:w="717" w:type="dxa"/>
            <w:shd w:val="clear" w:color="auto" w:fill="E7E6E6" w:themeFill="background2"/>
          </w:tcPr>
          <w:p w14:paraId="35C2C6F8" w14:textId="77777777" w:rsidR="00B656F6" w:rsidRPr="00451852" w:rsidRDefault="00B656F6" w:rsidP="008F0944">
            <w:pPr>
              <w:snapToGrid w:val="0"/>
              <w:jc w:val="right"/>
              <w:rPr>
                <w:rFonts w:ascii="Calibri" w:hAnsi="Calibri"/>
                <w:sz w:val="18"/>
                <w:szCs w:val="18"/>
              </w:rPr>
            </w:pPr>
            <w:r>
              <w:rPr>
                <w:rFonts w:ascii="Calibri" w:hAnsi="Calibri"/>
                <w:sz w:val="18"/>
                <w:szCs w:val="18"/>
              </w:rPr>
              <w:t>k</w:t>
            </w:r>
          </w:p>
        </w:tc>
      </w:tr>
      <w:tr w:rsidR="00B656F6" w:rsidRPr="00451852" w14:paraId="758E24C9" w14:textId="77777777" w:rsidTr="008F0944">
        <w:tc>
          <w:tcPr>
            <w:tcW w:w="566" w:type="dxa"/>
            <w:vMerge/>
            <w:shd w:val="clear" w:color="auto" w:fill="auto"/>
          </w:tcPr>
          <w:p w14:paraId="25CC4548" w14:textId="77777777" w:rsidR="00B656F6" w:rsidRPr="00451852" w:rsidRDefault="00B656F6" w:rsidP="008F0944">
            <w:pPr>
              <w:snapToGrid w:val="0"/>
              <w:jc w:val="right"/>
              <w:rPr>
                <w:rFonts w:ascii="Calibri" w:hAnsi="Calibri"/>
                <w:sz w:val="18"/>
                <w:szCs w:val="18"/>
              </w:rPr>
            </w:pPr>
          </w:p>
        </w:tc>
        <w:tc>
          <w:tcPr>
            <w:tcW w:w="2268" w:type="dxa"/>
            <w:shd w:val="clear" w:color="auto" w:fill="E7E6E6" w:themeFill="background2"/>
          </w:tcPr>
          <w:p w14:paraId="288AA1E4" w14:textId="77777777" w:rsidR="00B656F6" w:rsidRPr="00451852" w:rsidRDefault="00B656F6" w:rsidP="008F0944">
            <w:pPr>
              <w:wordWrap w:val="0"/>
              <w:snapToGrid w:val="0"/>
              <w:jc w:val="right"/>
              <w:rPr>
                <w:rFonts w:ascii="Calibri" w:hAnsi="Calibri"/>
                <w:sz w:val="18"/>
                <w:szCs w:val="18"/>
              </w:rPr>
            </w:pPr>
            <w:r w:rsidRPr="00451852">
              <w:rPr>
                <w:rFonts w:ascii="Calibri" w:hAnsi="Calibri" w:hint="eastAsia"/>
                <w:sz w:val="18"/>
                <w:szCs w:val="18"/>
              </w:rPr>
              <w:t xml:space="preserve">Social </w:t>
            </w:r>
            <w:r>
              <w:rPr>
                <w:rFonts w:ascii="Calibri" w:hAnsi="Calibri"/>
                <w:sz w:val="18"/>
                <w:szCs w:val="18"/>
              </w:rPr>
              <w:t>h</w:t>
            </w:r>
            <w:r w:rsidRPr="00451852">
              <w:rPr>
                <w:rFonts w:ascii="Calibri" w:hAnsi="Calibri" w:hint="eastAsia"/>
                <w:sz w:val="18"/>
                <w:szCs w:val="18"/>
              </w:rPr>
              <w:t xml:space="preserve">ealth </w:t>
            </w:r>
            <w:r>
              <w:rPr>
                <w:rFonts w:ascii="Calibri" w:hAnsi="Calibri"/>
                <w:sz w:val="18"/>
                <w:szCs w:val="18"/>
              </w:rPr>
              <w:t>e</w:t>
            </w:r>
            <w:r w:rsidRPr="00451852">
              <w:rPr>
                <w:rFonts w:ascii="Calibri" w:hAnsi="Calibri" w:hint="eastAsia"/>
                <w:sz w:val="18"/>
                <w:szCs w:val="18"/>
              </w:rPr>
              <w:t>xpenditure</w:t>
            </w:r>
            <w:r w:rsidRPr="00451852">
              <w:rPr>
                <w:rFonts w:ascii="Calibri" w:hAnsi="Calibri"/>
                <w:sz w:val="18"/>
                <w:szCs w:val="18"/>
              </w:rPr>
              <w:t xml:space="preserve"> (%)</w:t>
            </w:r>
          </w:p>
        </w:tc>
        <w:tc>
          <w:tcPr>
            <w:tcW w:w="0" w:type="auto"/>
            <w:shd w:val="clear" w:color="auto" w:fill="E7E6E6" w:themeFill="background2"/>
          </w:tcPr>
          <w:p w14:paraId="69716D49" w14:textId="77777777" w:rsidR="00B656F6" w:rsidRPr="00451852" w:rsidRDefault="00B656F6" w:rsidP="008F0944">
            <w:pPr>
              <w:snapToGrid w:val="0"/>
              <w:jc w:val="right"/>
              <w:rPr>
                <w:rFonts w:ascii="Calibri" w:hAnsi="Calibri"/>
                <w:sz w:val="18"/>
                <w:szCs w:val="18"/>
              </w:rPr>
            </w:pPr>
            <w:r w:rsidRPr="00451852">
              <w:rPr>
                <w:rFonts w:ascii="Calibri" w:hAnsi="Calibri"/>
                <w:sz w:val="18"/>
                <w:szCs w:val="18"/>
              </w:rPr>
              <w:t>36</w:t>
            </w:r>
          </w:p>
        </w:tc>
        <w:tc>
          <w:tcPr>
            <w:tcW w:w="0" w:type="auto"/>
            <w:shd w:val="clear" w:color="auto" w:fill="E7E6E6" w:themeFill="background2"/>
          </w:tcPr>
          <w:p w14:paraId="3F7A71F8" w14:textId="77777777" w:rsidR="00B656F6" w:rsidRPr="00451852" w:rsidRDefault="00B656F6" w:rsidP="008F0944">
            <w:pPr>
              <w:snapToGrid w:val="0"/>
              <w:jc w:val="right"/>
              <w:rPr>
                <w:rFonts w:ascii="Calibri" w:hAnsi="Calibri"/>
                <w:sz w:val="18"/>
                <w:szCs w:val="18"/>
              </w:rPr>
            </w:pPr>
            <w:r w:rsidRPr="00451852">
              <w:rPr>
                <w:rFonts w:ascii="Calibri" w:hAnsi="Calibri" w:hint="eastAsia"/>
                <w:sz w:val="18"/>
                <w:szCs w:val="18"/>
              </w:rPr>
              <w:t>4</w:t>
            </w:r>
            <w:r w:rsidRPr="00451852">
              <w:rPr>
                <w:rFonts w:ascii="Calibri" w:hAnsi="Calibri"/>
                <w:sz w:val="18"/>
                <w:szCs w:val="18"/>
              </w:rPr>
              <w:t>1.2</w:t>
            </w:r>
          </w:p>
        </w:tc>
        <w:tc>
          <w:tcPr>
            <w:tcW w:w="717" w:type="dxa"/>
            <w:shd w:val="clear" w:color="auto" w:fill="E7E6E6" w:themeFill="background2"/>
          </w:tcPr>
          <w:p w14:paraId="577318E0" w14:textId="77777777" w:rsidR="00B656F6" w:rsidRPr="00451852" w:rsidRDefault="00B656F6" w:rsidP="008F0944">
            <w:pPr>
              <w:snapToGrid w:val="0"/>
              <w:jc w:val="right"/>
              <w:rPr>
                <w:rFonts w:ascii="Calibri" w:hAnsi="Calibri"/>
                <w:sz w:val="18"/>
                <w:szCs w:val="18"/>
              </w:rPr>
            </w:pPr>
            <w:r>
              <w:rPr>
                <w:rFonts w:ascii="Calibri" w:hAnsi="Calibri"/>
                <w:sz w:val="18"/>
                <w:szCs w:val="18"/>
              </w:rPr>
              <w:t>k</w:t>
            </w:r>
          </w:p>
        </w:tc>
      </w:tr>
      <w:tr w:rsidR="00B656F6" w:rsidRPr="00451852" w14:paraId="3EC59729" w14:textId="77777777" w:rsidTr="008F0944">
        <w:tc>
          <w:tcPr>
            <w:tcW w:w="566" w:type="dxa"/>
            <w:vMerge/>
            <w:shd w:val="clear" w:color="auto" w:fill="auto"/>
          </w:tcPr>
          <w:p w14:paraId="692623EF" w14:textId="77777777" w:rsidR="00B656F6" w:rsidRPr="00451852" w:rsidRDefault="00B656F6" w:rsidP="008F0944">
            <w:pPr>
              <w:snapToGrid w:val="0"/>
              <w:jc w:val="right"/>
              <w:rPr>
                <w:rFonts w:ascii="Calibri" w:hAnsi="Calibri"/>
                <w:sz w:val="18"/>
                <w:szCs w:val="18"/>
              </w:rPr>
            </w:pPr>
          </w:p>
        </w:tc>
        <w:tc>
          <w:tcPr>
            <w:tcW w:w="2268" w:type="dxa"/>
            <w:shd w:val="clear" w:color="auto" w:fill="E7E6E6" w:themeFill="background2"/>
          </w:tcPr>
          <w:p w14:paraId="773D7DD5" w14:textId="77777777" w:rsidR="00B656F6" w:rsidRPr="00451852" w:rsidRDefault="00B656F6" w:rsidP="008F0944">
            <w:pPr>
              <w:wordWrap w:val="0"/>
              <w:snapToGrid w:val="0"/>
              <w:jc w:val="right"/>
              <w:rPr>
                <w:rFonts w:ascii="Calibri" w:hAnsi="Calibri"/>
                <w:sz w:val="18"/>
                <w:szCs w:val="18"/>
              </w:rPr>
            </w:pPr>
            <w:r w:rsidRPr="00451852">
              <w:rPr>
                <w:rFonts w:ascii="Calibri" w:hAnsi="Calibri" w:hint="eastAsia"/>
                <w:sz w:val="18"/>
                <w:szCs w:val="18"/>
              </w:rPr>
              <w:t xml:space="preserve">Out-of-pocket </w:t>
            </w:r>
            <w:r>
              <w:rPr>
                <w:rFonts w:ascii="Calibri" w:hAnsi="Calibri"/>
                <w:sz w:val="18"/>
                <w:szCs w:val="18"/>
              </w:rPr>
              <w:t>h</w:t>
            </w:r>
            <w:r w:rsidRPr="00451852">
              <w:rPr>
                <w:rFonts w:ascii="Calibri" w:hAnsi="Calibri" w:hint="eastAsia"/>
                <w:sz w:val="18"/>
                <w:szCs w:val="18"/>
              </w:rPr>
              <w:t xml:space="preserve">ealth </w:t>
            </w:r>
            <w:r>
              <w:rPr>
                <w:rFonts w:ascii="Calibri" w:hAnsi="Calibri"/>
                <w:sz w:val="18"/>
                <w:szCs w:val="18"/>
              </w:rPr>
              <w:t>e</w:t>
            </w:r>
            <w:r w:rsidRPr="00451852">
              <w:rPr>
                <w:rFonts w:ascii="Calibri" w:hAnsi="Calibri" w:hint="eastAsia"/>
                <w:sz w:val="18"/>
                <w:szCs w:val="18"/>
              </w:rPr>
              <w:t>xpenditure</w:t>
            </w:r>
            <w:r w:rsidRPr="00451852">
              <w:rPr>
                <w:rFonts w:ascii="Calibri" w:hAnsi="Calibri"/>
                <w:sz w:val="18"/>
                <w:szCs w:val="18"/>
              </w:rPr>
              <w:t xml:space="preserve"> (%)</w:t>
            </w:r>
          </w:p>
        </w:tc>
        <w:tc>
          <w:tcPr>
            <w:tcW w:w="0" w:type="auto"/>
            <w:shd w:val="clear" w:color="auto" w:fill="E7E6E6" w:themeFill="background2"/>
          </w:tcPr>
          <w:p w14:paraId="0D1157CE" w14:textId="77777777" w:rsidR="00B656F6" w:rsidRPr="00451852" w:rsidRDefault="00B656F6" w:rsidP="008F0944">
            <w:pPr>
              <w:snapToGrid w:val="0"/>
              <w:jc w:val="right"/>
              <w:rPr>
                <w:rFonts w:ascii="Calibri" w:hAnsi="Calibri"/>
                <w:sz w:val="18"/>
                <w:szCs w:val="18"/>
              </w:rPr>
            </w:pPr>
            <w:r w:rsidRPr="00451852">
              <w:rPr>
                <w:rFonts w:ascii="Calibri" w:hAnsi="Calibri"/>
                <w:sz w:val="18"/>
                <w:szCs w:val="18"/>
              </w:rPr>
              <w:t>35.5</w:t>
            </w:r>
          </w:p>
        </w:tc>
        <w:tc>
          <w:tcPr>
            <w:tcW w:w="0" w:type="auto"/>
            <w:shd w:val="clear" w:color="auto" w:fill="E7E6E6" w:themeFill="background2"/>
          </w:tcPr>
          <w:p w14:paraId="6D624463" w14:textId="77777777" w:rsidR="00B656F6" w:rsidRPr="00451852" w:rsidRDefault="00B656F6" w:rsidP="008F0944">
            <w:pPr>
              <w:snapToGrid w:val="0"/>
              <w:jc w:val="right"/>
              <w:rPr>
                <w:rFonts w:ascii="Calibri" w:hAnsi="Calibri"/>
                <w:sz w:val="18"/>
                <w:szCs w:val="18"/>
              </w:rPr>
            </w:pPr>
            <w:r w:rsidRPr="00451852">
              <w:rPr>
                <w:rFonts w:ascii="Calibri" w:hAnsi="Calibri" w:hint="eastAsia"/>
                <w:sz w:val="18"/>
                <w:szCs w:val="18"/>
              </w:rPr>
              <w:t>2</w:t>
            </w:r>
            <w:r w:rsidRPr="00451852">
              <w:rPr>
                <w:rFonts w:ascii="Calibri" w:hAnsi="Calibri"/>
                <w:sz w:val="18"/>
                <w:szCs w:val="18"/>
              </w:rPr>
              <w:t>8.8</w:t>
            </w:r>
          </w:p>
        </w:tc>
        <w:tc>
          <w:tcPr>
            <w:tcW w:w="717" w:type="dxa"/>
            <w:shd w:val="clear" w:color="auto" w:fill="E7E6E6" w:themeFill="background2"/>
          </w:tcPr>
          <w:p w14:paraId="6DE67FE6" w14:textId="77777777" w:rsidR="00B656F6" w:rsidRPr="00451852" w:rsidRDefault="00B656F6" w:rsidP="008F0944">
            <w:pPr>
              <w:snapToGrid w:val="0"/>
              <w:jc w:val="right"/>
              <w:rPr>
                <w:rFonts w:ascii="Calibri" w:hAnsi="Calibri"/>
                <w:sz w:val="18"/>
                <w:szCs w:val="18"/>
              </w:rPr>
            </w:pPr>
            <w:r>
              <w:rPr>
                <w:rFonts w:ascii="Calibri" w:hAnsi="Calibri"/>
                <w:sz w:val="18"/>
                <w:szCs w:val="18"/>
              </w:rPr>
              <w:t>k</w:t>
            </w:r>
          </w:p>
        </w:tc>
      </w:tr>
      <w:tr w:rsidR="00B656F6" w:rsidRPr="00451852" w14:paraId="0E2900B0" w14:textId="77777777" w:rsidTr="008F0944">
        <w:tc>
          <w:tcPr>
            <w:tcW w:w="566" w:type="dxa"/>
            <w:vMerge/>
            <w:shd w:val="clear" w:color="auto" w:fill="auto"/>
          </w:tcPr>
          <w:p w14:paraId="3D44DC6E" w14:textId="77777777" w:rsidR="00B656F6" w:rsidRPr="00451852" w:rsidRDefault="00B656F6" w:rsidP="008F0944">
            <w:pPr>
              <w:wordWrap w:val="0"/>
              <w:snapToGrid w:val="0"/>
              <w:jc w:val="right"/>
              <w:rPr>
                <w:rFonts w:ascii="Calibri" w:hAnsi="Calibri"/>
                <w:sz w:val="18"/>
                <w:szCs w:val="18"/>
              </w:rPr>
            </w:pPr>
          </w:p>
        </w:tc>
        <w:tc>
          <w:tcPr>
            <w:tcW w:w="2268" w:type="dxa"/>
            <w:shd w:val="clear" w:color="auto" w:fill="E7E6E6" w:themeFill="background2"/>
          </w:tcPr>
          <w:p w14:paraId="15C94E51" w14:textId="77777777" w:rsidR="00B656F6" w:rsidRPr="00451852" w:rsidRDefault="00B656F6" w:rsidP="008F0944">
            <w:pPr>
              <w:wordWrap w:val="0"/>
              <w:snapToGrid w:val="0"/>
              <w:jc w:val="right"/>
              <w:rPr>
                <w:rFonts w:ascii="Calibri" w:hAnsi="Calibri"/>
                <w:sz w:val="18"/>
                <w:szCs w:val="18"/>
              </w:rPr>
            </w:pPr>
            <w:r w:rsidRPr="00451852">
              <w:rPr>
                <w:rFonts w:ascii="Calibri" w:hAnsi="Calibri" w:hint="eastAsia"/>
                <w:sz w:val="18"/>
                <w:szCs w:val="18"/>
              </w:rPr>
              <w:t>T</w:t>
            </w:r>
            <w:r w:rsidRPr="00451852">
              <w:rPr>
                <w:rFonts w:ascii="Calibri" w:hAnsi="Calibri"/>
                <w:sz w:val="18"/>
                <w:szCs w:val="18"/>
              </w:rPr>
              <w:t>HE</w:t>
            </w:r>
            <w:r w:rsidRPr="00451852">
              <w:rPr>
                <w:rFonts w:ascii="Calibri" w:hAnsi="Calibri" w:hint="eastAsia"/>
                <w:sz w:val="18"/>
                <w:szCs w:val="18"/>
              </w:rPr>
              <w:t xml:space="preserve"> as </w:t>
            </w:r>
            <w:r>
              <w:rPr>
                <w:rFonts w:ascii="Calibri" w:hAnsi="Calibri"/>
                <w:sz w:val="18"/>
                <w:szCs w:val="18"/>
              </w:rPr>
              <w:t>s</w:t>
            </w:r>
            <w:r w:rsidRPr="00451852">
              <w:rPr>
                <w:rFonts w:ascii="Calibri" w:hAnsi="Calibri" w:hint="eastAsia"/>
                <w:sz w:val="18"/>
                <w:szCs w:val="18"/>
              </w:rPr>
              <w:t>hare of GDP</w:t>
            </w:r>
            <w:r w:rsidRPr="00451852">
              <w:rPr>
                <w:rFonts w:ascii="Calibri" w:hAnsi="Calibri"/>
                <w:sz w:val="18"/>
                <w:szCs w:val="18"/>
              </w:rPr>
              <w:t xml:space="preserve"> (%)</w:t>
            </w:r>
          </w:p>
        </w:tc>
        <w:tc>
          <w:tcPr>
            <w:tcW w:w="0" w:type="auto"/>
            <w:shd w:val="clear" w:color="auto" w:fill="E7E6E6" w:themeFill="background2"/>
          </w:tcPr>
          <w:p w14:paraId="66CE318C" w14:textId="77777777" w:rsidR="00B656F6" w:rsidRPr="00451852" w:rsidRDefault="00B656F6" w:rsidP="008F0944">
            <w:pPr>
              <w:snapToGrid w:val="0"/>
              <w:jc w:val="right"/>
              <w:rPr>
                <w:rFonts w:ascii="Calibri" w:hAnsi="Calibri"/>
                <w:sz w:val="18"/>
                <w:szCs w:val="18"/>
              </w:rPr>
            </w:pPr>
            <w:r w:rsidRPr="00451852">
              <w:rPr>
                <w:rFonts w:ascii="Calibri" w:hAnsi="Calibri" w:hint="eastAsia"/>
                <w:sz w:val="18"/>
                <w:szCs w:val="18"/>
              </w:rPr>
              <w:t>4.8</w:t>
            </w:r>
          </w:p>
        </w:tc>
        <w:tc>
          <w:tcPr>
            <w:tcW w:w="0" w:type="auto"/>
            <w:shd w:val="clear" w:color="auto" w:fill="E7E6E6" w:themeFill="background2"/>
          </w:tcPr>
          <w:p w14:paraId="0F4FA393" w14:textId="77777777" w:rsidR="00B656F6" w:rsidRPr="00451852" w:rsidRDefault="00B656F6" w:rsidP="008F0944">
            <w:pPr>
              <w:snapToGrid w:val="0"/>
              <w:jc w:val="right"/>
              <w:rPr>
                <w:rFonts w:ascii="Calibri" w:hAnsi="Calibri"/>
                <w:sz w:val="18"/>
                <w:szCs w:val="18"/>
              </w:rPr>
            </w:pPr>
            <w:r w:rsidRPr="00451852">
              <w:rPr>
                <w:rFonts w:ascii="Calibri" w:hAnsi="Calibri" w:hint="eastAsia"/>
                <w:sz w:val="18"/>
                <w:szCs w:val="18"/>
              </w:rPr>
              <w:t>6.2</w:t>
            </w:r>
          </w:p>
        </w:tc>
        <w:tc>
          <w:tcPr>
            <w:tcW w:w="717" w:type="dxa"/>
            <w:shd w:val="clear" w:color="auto" w:fill="E7E6E6" w:themeFill="background2"/>
          </w:tcPr>
          <w:p w14:paraId="7D42FE76" w14:textId="77777777" w:rsidR="00B656F6" w:rsidRPr="00451852" w:rsidRDefault="00B656F6" w:rsidP="008F0944">
            <w:pPr>
              <w:snapToGrid w:val="0"/>
              <w:jc w:val="right"/>
              <w:rPr>
                <w:rFonts w:ascii="Calibri" w:hAnsi="Calibri"/>
                <w:sz w:val="18"/>
                <w:szCs w:val="18"/>
              </w:rPr>
            </w:pPr>
            <w:r>
              <w:rPr>
                <w:rFonts w:ascii="Calibri" w:hAnsi="Calibri"/>
                <w:sz w:val="18"/>
                <w:szCs w:val="18"/>
              </w:rPr>
              <w:t>k</w:t>
            </w:r>
          </w:p>
        </w:tc>
      </w:tr>
      <w:tr w:rsidR="00B656F6" w:rsidRPr="00451852" w14:paraId="15A874C3" w14:textId="77777777" w:rsidTr="008F0944">
        <w:tc>
          <w:tcPr>
            <w:tcW w:w="566" w:type="dxa"/>
            <w:vMerge/>
            <w:shd w:val="clear" w:color="auto" w:fill="auto"/>
          </w:tcPr>
          <w:p w14:paraId="560C1150" w14:textId="77777777" w:rsidR="00B656F6" w:rsidRPr="00451852" w:rsidRDefault="00B656F6" w:rsidP="008F0944">
            <w:pPr>
              <w:wordWrap w:val="0"/>
              <w:snapToGrid w:val="0"/>
              <w:jc w:val="right"/>
              <w:rPr>
                <w:rFonts w:ascii="Calibri" w:hAnsi="Calibri"/>
                <w:sz w:val="18"/>
                <w:szCs w:val="18"/>
              </w:rPr>
            </w:pPr>
          </w:p>
        </w:tc>
        <w:tc>
          <w:tcPr>
            <w:tcW w:w="2268" w:type="dxa"/>
            <w:shd w:val="clear" w:color="auto" w:fill="FFFFFF" w:themeFill="background1"/>
          </w:tcPr>
          <w:p w14:paraId="28011ECD" w14:textId="77777777" w:rsidR="00B656F6" w:rsidRPr="00451852" w:rsidRDefault="00B656F6" w:rsidP="008F0944">
            <w:pPr>
              <w:wordWrap w:val="0"/>
              <w:snapToGrid w:val="0"/>
              <w:jc w:val="right"/>
              <w:rPr>
                <w:rFonts w:ascii="Calibri" w:hAnsi="Calibri"/>
                <w:sz w:val="18"/>
                <w:szCs w:val="18"/>
              </w:rPr>
            </w:pPr>
          </w:p>
        </w:tc>
        <w:tc>
          <w:tcPr>
            <w:tcW w:w="0" w:type="auto"/>
            <w:shd w:val="clear" w:color="auto" w:fill="FFFFFF" w:themeFill="background1"/>
          </w:tcPr>
          <w:p w14:paraId="4E077829" w14:textId="77777777" w:rsidR="00B656F6" w:rsidRPr="00451852" w:rsidRDefault="00B656F6" w:rsidP="008F0944">
            <w:pPr>
              <w:snapToGrid w:val="0"/>
              <w:jc w:val="right"/>
              <w:rPr>
                <w:rFonts w:ascii="Calibri" w:hAnsi="Calibri"/>
                <w:b/>
                <w:sz w:val="18"/>
                <w:szCs w:val="18"/>
              </w:rPr>
            </w:pPr>
            <w:r w:rsidRPr="00451852">
              <w:rPr>
                <w:rFonts w:ascii="Calibri" w:hAnsi="Calibri" w:hint="eastAsia"/>
                <w:b/>
                <w:sz w:val="18"/>
                <w:szCs w:val="18"/>
              </w:rPr>
              <w:t>2</w:t>
            </w:r>
            <w:r w:rsidRPr="00451852">
              <w:rPr>
                <w:rFonts w:ascii="Calibri" w:hAnsi="Calibri"/>
                <w:b/>
                <w:sz w:val="18"/>
                <w:szCs w:val="18"/>
              </w:rPr>
              <w:t>013</w:t>
            </w:r>
          </w:p>
        </w:tc>
        <w:tc>
          <w:tcPr>
            <w:tcW w:w="0" w:type="auto"/>
            <w:shd w:val="clear" w:color="auto" w:fill="FFFFFF" w:themeFill="background1"/>
          </w:tcPr>
          <w:p w14:paraId="0F99A6FF" w14:textId="77777777" w:rsidR="00B656F6" w:rsidRPr="00451852" w:rsidRDefault="00B656F6" w:rsidP="008F0944">
            <w:pPr>
              <w:snapToGrid w:val="0"/>
              <w:jc w:val="right"/>
              <w:rPr>
                <w:rFonts w:ascii="Calibri" w:hAnsi="Calibri"/>
                <w:b/>
                <w:sz w:val="18"/>
                <w:szCs w:val="18"/>
              </w:rPr>
            </w:pPr>
            <w:r w:rsidRPr="00451852">
              <w:rPr>
                <w:rFonts w:ascii="Calibri" w:hAnsi="Calibri" w:hint="eastAsia"/>
                <w:b/>
                <w:sz w:val="18"/>
                <w:szCs w:val="18"/>
              </w:rPr>
              <w:t>2</w:t>
            </w:r>
            <w:r w:rsidRPr="00451852">
              <w:rPr>
                <w:rFonts w:ascii="Calibri" w:hAnsi="Calibri"/>
                <w:b/>
                <w:sz w:val="18"/>
                <w:szCs w:val="18"/>
              </w:rPr>
              <w:t>015</w:t>
            </w:r>
          </w:p>
        </w:tc>
        <w:tc>
          <w:tcPr>
            <w:tcW w:w="717" w:type="dxa"/>
            <w:shd w:val="clear" w:color="auto" w:fill="FFFFFF" w:themeFill="background1"/>
          </w:tcPr>
          <w:p w14:paraId="14A83FE8" w14:textId="77777777" w:rsidR="00B656F6" w:rsidRPr="00451852" w:rsidRDefault="00B656F6" w:rsidP="008F0944">
            <w:pPr>
              <w:snapToGrid w:val="0"/>
              <w:jc w:val="right"/>
              <w:rPr>
                <w:rFonts w:ascii="Calibri" w:hAnsi="Calibri"/>
                <w:sz w:val="18"/>
                <w:szCs w:val="18"/>
              </w:rPr>
            </w:pPr>
          </w:p>
        </w:tc>
      </w:tr>
      <w:tr w:rsidR="00B656F6" w:rsidRPr="00451852" w14:paraId="26EBFADD" w14:textId="77777777" w:rsidTr="008F0944">
        <w:tc>
          <w:tcPr>
            <w:tcW w:w="566" w:type="dxa"/>
            <w:vMerge/>
            <w:shd w:val="clear" w:color="auto" w:fill="auto"/>
          </w:tcPr>
          <w:p w14:paraId="7A940945" w14:textId="77777777" w:rsidR="00B656F6" w:rsidRPr="00451852" w:rsidRDefault="00B656F6" w:rsidP="008F0944">
            <w:pPr>
              <w:wordWrap w:val="0"/>
              <w:snapToGrid w:val="0"/>
              <w:jc w:val="right"/>
              <w:rPr>
                <w:rFonts w:ascii="Calibri" w:hAnsi="Calibri"/>
                <w:sz w:val="18"/>
                <w:szCs w:val="18"/>
              </w:rPr>
            </w:pPr>
          </w:p>
        </w:tc>
        <w:tc>
          <w:tcPr>
            <w:tcW w:w="2268" w:type="dxa"/>
            <w:shd w:val="clear" w:color="auto" w:fill="auto"/>
          </w:tcPr>
          <w:p w14:paraId="1C349142" w14:textId="77777777" w:rsidR="00B656F6" w:rsidRPr="00451852" w:rsidRDefault="00B656F6" w:rsidP="008F0944">
            <w:pPr>
              <w:wordWrap w:val="0"/>
              <w:snapToGrid w:val="0"/>
              <w:jc w:val="right"/>
              <w:rPr>
                <w:rFonts w:ascii="Calibri" w:hAnsi="Calibri"/>
                <w:sz w:val="18"/>
                <w:szCs w:val="18"/>
              </w:rPr>
            </w:pPr>
            <w:r w:rsidRPr="00451852">
              <w:rPr>
                <w:rFonts w:ascii="Calibri" w:hAnsi="Calibri"/>
                <w:sz w:val="18"/>
                <w:szCs w:val="18"/>
              </w:rPr>
              <w:t>Inpatient reimbursement ratio (%)</w:t>
            </w:r>
          </w:p>
        </w:tc>
        <w:tc>
          <w:tcPr>
            <w:tcW w:w="0" w:type="auto"/>
            <w:shd w:val="clear" w:color="auto" w:fill="auto"/>
          </w:tcPr>
          <w:p w14:paraId="27B547C0" w14:textId="77777777" w:rsidR="00B656F6" w:rsidRPr="00451852" w:rsidRDefault="00B656F6" w:rsidP="008F0944">
            <w:pPr>
              <w:snapToGrid w:val="0"/>
              <w:jc w:val="right"/>
              <w:rPr>
                <w:rFonts w:ascii="Calibri" w:hAnsi="Calibri"/>
                <w:sz w:val="18"/>
                <w:szCs w:val="18"/>
              </w:rPr>
            </w:pPr>
          </w:p>
        </w:tc>
        <w:tc>
          <w:tcPr>
            <w:tcW w:w="0" w:type="auto"/>
            <w:shd w:val="clear" w:color="auto" w:fill="auto"/>
          </w:tcPr>
          <w:p w14:paraId="708E621F" w14:textId="77777777" w:rsidR="00B656F6" w:rsidRPr="00451852" w:rsidRDefault="00B656F6" w:rsidP="008F0944">
            <w:pPr>
              <w:snapToGrid w:val="0"/>
              <w:jc w:val="right"/>
              <w:rPr>
                <w:rFonts w:ascii="Calibri" w:hAnsi="Calibri"/>
                <w:sz w:val="18"/>
                <w:szCs w:val="18"/>
              </w:rPr>
            </w:pPr>
          </w:p>
        </w:tc>
        <w:tc>
          <w:tcPr>
            <w:tcW w:w="717" w:type="dxa"/>
            <w:shd w:val="clear" w:color="auto" w:fill="auto"/>
          </w:tcPr>
          <w:p w14:paraId="21572325" w14:textId="77777777" w:rsidR="00B656F6" w:rsidRPr="00451852" w:rsidRDefault="00B656F6" w:rsidP="008F0944">
            <w:pPr>
              <w:snapToGrid w:val="0"/>
              <w:jc w:val="right"/>
              <w:rPr>
                <w:rFonts w:ascii="Calibri" w:hAnsi="Calibri"/>
                <w:sz w:val="18"/>
                <w:szCs w:val="18"/>
              </w:rPr>
            </w:pPr>
          </w:p>
        </w:tc>
      </w:tr>
      <w:tr w:rsidR="00B656F6" w:rsidRPr="00451852" w14:paraId="73206642" w14:textId="77777777" w:rsidTr="008F0944">
        <w:tc>
          <w:tcPr>
            <w:tcW w:w="566" w:type="dxa"/>
            <w:vMerge/>
            <w:shd w:val="clear" w:color="auto" w:fill="auto"/>
          </w:tcPr>
          <w:p w14:paraId="4603C182" w14:textId="77777777" w:rsidR="00B656F6" w:rsidRPr="00451852" w:rsidRDefault="00B656F6" w:rsidP="008F0944">
            <w:pPr>
              <w:jc w:val="right"/>
              <w:rPr>
                <w:rFonts w:ascii="Calibri" w:hAnsi="Calibri"/>
                <w:sz w:val="18"/>
                <w:szCs w:val="18"/>
              </w:rPr>
            </w:pPr>
          </w:p>
        </w:tc>
        <w:tc>
          <w:tcPr>
            <w:tcW w:w="2268" w:type="dxa"/>
            <w:shd w:val="clear" w:color="auto" w:fill="E7E6E6" w:themeFill="background2"/>
          </w:tcPr>
          <w:p w14:paraId="19236E2C" w14:textId="77777777" w:rsidR="00B656F6" w:rsidRPr="00451852" w:rsidRDefault="00B656F6" w:rsidP="008F0944">
            <w:pPr>
              <w:jc w:val="right"/>
              <w:rPr>
                <w:rFonts w:ascii="Calibri" w:hAnsi="Calibri"/>
                <w:sz w:val="18"/>
                <w:szCs w:val="18"/>
              </w:rPr>
            </w:pPr>
            <w:r w:rsidRPr="00451852">
              <w:rPr>
                <w:rFonts w:ascii="Calibri" w:hAnsi="Calibri"/>
                <w:sz w:val="18"/>
                <w:szCs w:val="18"/>
              </w:rPr>
              <w:t xml:space="preserve">Urban </w:t>
            </w:r>
            <w:r>
              <w:rPr>
                <w:rFonts w:ascii="Calibri" w:hAnsi="Calibri"/>
                <w:sz w:val="18"/>
                <w:szCs w:val="18"/>
              </w:rPr>
              <w:t>e</w:t>
            </w:r>
            <w:r w:rsidRPr="00451852">
              <w:rPr>
                <w:rFonts w:ascii="Calibri" w:hAnsi="Calibri"/>
                <w:sz w:val="18"/>
                <w:szCs w:val="18"/>
              </w:rPr>
              <w:t xml:space="preserve">mployee </w:t>
            </w:r>
            <w:r>
              <w:rPr>
                <w:rFonts w:ascii="Calibri" w:hAnsi="Calibri"/>
                <w:sz w:val="18"/>
                <w:szCs w:val="18"/>
              </w:rPr>
              <w:t>b</w:t>
            </w:r>
            <w:r w:rsidRPr="00451852">
              <w:rPr>
                <w:rFonts w:ascii="Calibri" w:hAnsi="Calibri"/>
                <w:sz w:val="18"/>
                <w:szCs w:val="18"/>
              </w:rPr>
              <w:t xml:space="preserve">asic </w:t>
            </w:r>
            <w:r>
              <w:rPr>
                <w:rFonts w:ascii="Calibri" w:hAnsi="Calibri"/>
                <w:sz w:val="18"/>
                <w:szCs w:val="18"/>
              </w:rPr>
              <w:t>m</w:t>
            </w:r>
            <w:r w:rsidRPr="00451852">
              <w:rPr>
                <w:rFonts w:ascii="Calibri" w:hAnsi="Calibri"/>
                <w:sz w:val="18"/>
                <w:szCs w:val="18"/>
              </w:rPr>
              <w:t xml:space="preserve">edical </w:t>
            </w:r>
            <w:r>
              <w:rPr>
                <w:rFonts w:ascii="Calibri" w:hAnsi="Calibri"/>
                <w:sz w:val="18"/>
                <w:szCs w:val="18"/>
              </w:rPr>
              <w:t>i</w:t>
            </w:r>
            <w:r w:rsidRPr="00451852">
              <w:rPr>
                <w:rFonts w:ascii="Calibri" w:hAnsi="Calibri"/>
                <w:sz w:val="18"/>
                <w:szCs w:val="18"/>
              </w:rPr>
              <w:t>nsurance</w:t>
            </w:r>
          </w:p>
        </w:tc>
        <w:tc>
          <w:tcPr>
            <w:tcW w:w="0" w:type="auto"/>
            <w:shd w:val="clear" w:color="auto" w:fill="E7E6E6" w:themeFill="background2"/>
          </w:tcPr>
          <w:p w14:paraId="7F464E92" w14:textId="77777777" w:rsidR="00B656F6" w:rsidRPr="00451852" w:rsidRDefault="00B656F6" w:rsidP="008F0944">
            <w:pPr>
              <w:snapToGrid w:val="0"/>
              <w:jc w:val="right"/>
              <w:rPr>
                <w:rFonts w:ascii="Calibri" w:hAnsi="Calibri"/>
                <w:sz w:val="18"/>
                <w:szCs w:val="18"/>
              </w:rPr>
            </w:pPr>
            <w:r w:rsidRPr="00451852">
              <w:rPr>
                <w:rFonts w:ascii="Calibri" w:hAnsi="Calibri"/>
                <w:sz w:val="18"/>
                <w:szCs w:val="18"/>
              </w:rPr>
              <w:t>55.0</w:t>
            </w:r>
          </w:p>
        </w:tc>
        <w:tc>
          <w:tcPr>
            <w:tcW w:w="0" w:type="auto"/>
            <w:shd w:val="clear" w:color="auto" w:fill="E7E6E6" w:themeFill="background2"/>
          </w:tcPr>
          <w:p w14:paraId="474126E8" w14:textId="77777777" w:rsidR="00B656F6" w:rsidRPr="00451852" w:rsidRDefault="00B656F6" w:rsidP="008F0944">
            <w:pPr>
              <w:snapToGrid w:val="0"/>
              <w:jc w:val="right"/>
              <w:rPr>
                <w:rFonts w:ascii="Calibri" w:hAnsi="Calibri"/>
                <w:sz w:val="18"/>
                <w:szCs w:val="18"/>
              </w:rPr>
            </w:pPr>
            <w:r w:rsidRPr="00451852">
              <w:rPr>
                <w:rFonts w:ascii="Calibri" w:hAnsi="Calibri"/>
                <w:sz w:val="18"/>
                <w:szCs w:val="18"/>
              </w:rPr>
              <w:t>53.9</w:t>
            </w:r>
          </w:p>
        </w:tc>
        <w:tc>
          <w:tcPr>
            <w:tcW w:w="717" w:type="dxa"/>
            <w:shd w:val="clear" w:color="auto" w:fill="E7E6E6" w:themeFill="background2"/>
          </w:tcPr>
          <w:p w14:paraId="297E7377" w14:textId="77777777" w:rsidR="00B656F6" w:rsidRPr="00451852" w:rsidRDefault="00B656F6" w:rsidP="008F0944">
            <w:pPr>
              <w:snapToGrid w:val="0"/>
              <w:jc w:val="right"/>
              <w:rPr>
                <w:rFonts w:ascii="Calibri" w:hAnsi="Calibri"/>
                <w:sz w:val="18"/>
                <w:szCs w:val="18"/>
              </w:rPr>
            </w:pPr>
            <w:r>
              <w:rPr>
                <w:rFonts w:ascii="Calibri" w:hAnsi="Calibri"/>
                <w:sz w:val="18"/>
                <w:szCs w:val="18"/>
              </w:rPr>
              <w:t>l</w:t>
            </w:r>
          </w:p>
        </w:tc>
      </w:tr>
      <w:tr w:rsidR="00B656F6" w:rsidRPr="00451852" w14:paraId="0DCDA6C9" w14:textId="77777777" w:rsidTr="008F0944">
        <w:tc>
          <w:tcPr>
            <w:tcW w:w="566" w:type="dxa"/>
            <w:vMerge/>
            <w:shd w:val="clear" w:color="auto" w:fill="auto"/>
          </w:tcPr>
          <w:p w14:paraId="3CFFDD80" w14:textId="77777777" w:rsidR="00B656F6" w:rsidRPr="00451852" w:rsidRDefault="00B656F6" w:rsidP="008F0944">
            <w:pPr>
              <w:jc w:val="right"/>
              <w:rPr>
                <w:rFonts w:ascii="Calibri" w:hAnsi="Calibri"/>
                <w:sz w:val="18"/>
                <w:szCs w:val="18"/>
              </w:rPr>
            </w:pPr>
          </w:p>
        </w:tc>
        <w:tc>
          <w:tcPr>
            <w:tcW w:w="2268" w:type="dxa"/>
            <w:shd w:val="clear" w:color="auto" w:fill="E7E6E6" w:themeFill="background2"/>
          </w:tcPr>
          <w:p w14:paraId="3EE14427" w14:textId="77777777" w:rsidR="00B656F6" w:rsidRPr="00451852" w:rsidRDefault="00B656F6" w:rsidP="008F0944">
            <w:pPr>
              <w:jc w:val="right"/>
              <w:rPr>
                <w:rFonts w:ascii="Calibri" w:hAnsi="Calibri"/>
                <w:sz w:val="18"/>
                <w:szCs w:val="18"/>
              </w:rPr>
            </w:pPr>
            <w:r w:rsidRPr="00451852">
              <w:rPr>
                <w:rFonts w:ascii="Calibri" w:hAnsi="Calibri"/>
                <w:sz w:val="18"/>
                <w:szCs w:val="18"/>
              </w:rPr>
              <w:t xml:space="preserve">Urban </w:t>
            </w:r>
            <w:r>
              <w:rPr>
                <w:rFonts w:ascii="Calibri" w:hAnsi="Calibri"/>
                <w:sz w:val="18"/>
                <w:szCs w:val="18"/>
              </w:rPr>
              <w:t>r</w:t>
            </w:r>
            <w:r w:rsidRPr="00451852">
              <w:rPr>
                <w:rFonts w:ascii="Calibri" w:hAnsi="Calibri"/>
                <w:sz w:val="18"/>
                <w:szCs w:val="18"/>
              </w:rPr>
              <w:t xml:space="preserve">esident </w:t>
            </w:r>
            <w:r>
              <w:rPr>
                <w:rFonts w:ascii="Calibri" w:hAnsi="Calibri"/>
                <w:sz w:val="18"/>
                <w:szCs w:val="18"/>
              </w:rPr>
              <w:t>b</w:t>
            </w:r>
            <w:r w:rsidRPr="00451852">
              <w:rPr>
                <w:rFonts w:ascii="Calibri" w:hAnsi="Calibri"/>
                <w:sz w:val="18"/>
                <w:szCs w:val="18"/>
              </w:rPr>
              <w:t xml:space="preserve">asic </w:t>
            </w:r>
            <w:r>
              <w:rPr>
                <w:rFonts w:ascii="Calibri" w:hAnsi="Calibri"/>
                <w:sz w:val="18"/>
                <w:szCs w:val="18"/>
              </w:rPr>
              <w:t>m</w:t>
            </w:r>
            <w:r w:rsidRPr="00451852">
              <w:rPr>
                <w:rFonts w:ascii="Calibri" w:hAnsi="Calibri"/>
                <w:sz w:val="18"/>
                <w:szCs w:val="18"/>
              </w:rPr>
              <w:t xml:space="preserve">edical </w:t>
            </w:r>
            <w:r>
              <w:rPr>
                <w:rFonts w:ascii="Calibri" w:hAnsi="Calibri"/>
                <w:sz w:val="18"/>
                <w:szCs w:val="18"/>
              </w:rPr>
              <w:t>i</w:t>
            </w:r>
            <w:r w:rsidRPr="00451852">
              <w:rPr>
                <w:rFonts w:ascii="Calibri" w:hAnsi="Calibri"/>
                <w:sz w:val="18"/>
                <w:szCs w:val="18"/>
              </w:rPr>
              <w:t>nsurance</w:t>
            </w:r>
          </w:p>
        </w:tc>
        <w:tc>
          <w:tcPr>
            <w:tcW w:w="0" w:type="auto"/>
            <w:shd w:val="clear" w:color="auto" w:fill="E7E6E6" w:themeFill="background2"/>
          </w:tcPr>
          <w:p w14:paraId="63005F09" w14:textId="77777777" w:rsidR="00B656F6" w:rsidRPr="00451852" w:rsidRDefault="00B656F6" w:rsidP="008F0944">
            <w:pPr>
              <w:snapToGrid w:val="0"/>
              <w:jc w:val="right"/>
              <w:rPr>
                <w:rFonts w:ascii="Calibri" w:hAnsi="Calibri"/>
                <w:sz w:val="18"/>
                <w:szCs w:val="18"/>
              </w:rPr>
            </w:pPr>
            <w:r w:rsidRPr="00451852">
              <w:rPr>
                <w:rFonts w:ascii="Calibri" w:hAnsi="Calibri"/>
                <w:sz w:val="18"/>
                <w:szCs w:val="18"/>
              </w:rPr>
              <w:t>46.5</w:t>
            </w:r>
          </w:p>
        </w:tc>
        <w:tc>
          <w:tcPr>
            <w:tcW w:w="0" w:type="auto"/>
            <w:shd w:val="clear" w:color="auto" w:fill="E7E6E6" w:themeFill="background2"/>
          </w:tcPr>
          <w:p w14:paraId="204AD86E" w14:textId="77777777" w:rsidR="00B656F6" w:rsidRPr="00451852" w:rsidRDefault="00B656F6" w:rsidP="008F0944">
            <w:pPr>
              <w:snapToGrid w:val="0"/>
              <w:jc w:val="right"/>
              <w:rPr>
                <w:rFonts w:ascii="Calibri" w:hAnsi="Calibri"/>
                <w:sz w:val="18"/>
                <w:szCs w:val="18"/>
              </w:rPr>
            </w:pPr>
            <w:r w:rsidRPr="00451852">
              <w:rPr>
                <w:rFonts w:ascii="Calibri" w:hAnsi="Calibri"/>
                <w:sz w:val="18"/>
                <w:szCs w:val="18"/>
              </w:rPr>
              <w:t>48.2</w:t>
            </w:r>
          </w:p>
        </w:tc>
        <w:tc>
          <w:tcPr>
            <w:tcW w:w="717" w:type="dxa"/>
            <w:shd w:val="clear" w:color="auto" w:fill="E7E6E6" w:themeFill="background2"/>
          </w:tcPr>
          <w:p w14:paraId="725DA69C" w14:textId="77777777" w:rsidR="00B656F6" w:rsidRPr="00451852" w:rsidRDefault="00B656F6" w:rsidP="008F0944">
            <w:pPr>
              <w:snapToGrid w:val="0"/>
              <w:jc w:val="right"/>
              <w:rPr>
                <w:rFonts w:ascii="Calibri" w:hAnsi="Calibri"/>
                <w:sz w:val="18"/>
                <w:szCs w:val="18"/>
              </w:rPr>
            </w:pPr>
            <w:r>
              <w:rPr>
                <w:rFonts w:ascii="Calibri" w:hAnsi="Calibri"/>
                <w:sz w:val="18"/>
                <w:szCs w:val="18"/>
              </w:rPr>
              <w:t>l</w:t>
            </w:r>
          </w:p>
        </w:tc>
      </w:tr>
      <w:tr w:rsidR="00B656F6" w:rsidRPr="00451852" w14:paraId="59044E58" w14:textId="77777777" w:rsidTr="008F0944">
        <w:tc>
          <w:tcPr>
            <w:tcW w:w="566" w:type="dxa"/>
            <w:vMerge/>
            <w:shd w:val="clear" w:color="auto" w:fill="auto"/>
          </w:tcPr>
          <w:p w14:paraId="25842717" w14:textId="77777777" w:rsidR="00B656F6" w:rsidRPr="00451852" w:rsidRDefault="00B656F6" w:rsidP="008F0944">
            <w:pPr>
              <w:jc w:val="right"/>
              <w:rPr>
                <w:rFonts w:ascii="Calibri" w:hAnsi="Calibri"/>
                <w:sz w:val="18"/>
                <w:szCs w:val="18"/>
              </w:rPr>
            </w:pPr>
          </w:p>
        </w:tc>
        <w:tc>
          <w:tcPr>
            <w:tcW w:w="2268" w:type="dxa"/>
            <w:shd w:val="clear" w:color="auto" w:fill="E7E6E6" w:themeFill="background2"/>
          </w:tcPr>
          <w:p w14:paraId="59DC6E6D" w14:textId="77777777" w:rsidR="00B656F6" w:rsidRPr="00451852" w:rsidRDefault="00B656F6" w:rsidP="008F0944">
            <w:pPr>
              <w:jc w:val="right"/>
              <w:rPr>
                <w:rFonts w:ascii="Calibri" w:hAnsi="Calibri"/>
                <w:sz w:val="18"/>
                <w:szCs w:val="18"/>
              </w:rPr>
            </w:pPr>
            <w:r w:rsidRPr="00451852">
              <w:rPr>
                <w:rFonts w:ascii="Calibri" w:hAnsi="Calibri"/>
                <w:sz w:val="18"/>
                <w:szCs w:val="18"/>
              </w:rPr>
              <w:t xml:space="preserve">New </w:t>
            </w:r>
            <w:r>
              <w:rPr>
                <w:rFonts w:ascii="Calibri" w:hAnsi="Calibri"/>
                <w:sz w:val="18"/>
                <w:szCs w:val="18"/>
              </w:rPr>
              <w:t>r</w:t>
            </w:r>
            <w:r w:rsidRPr="00451852">
              <w:rPr>
                <w:rFonts w:ascii="Calibri" w:hAnsi="Calibri"/>
                <w:sz w:val="18"/>
                <w:szCs w:val="18"/>
              </w:rPr>
              <w:t xml:space="preserve">ural </w:t>
            </w:r>
            <w:r>
              <w:rPr>
                <w:rFonts w:ascii="Calibri" w:hAnsi="Calibri"/>
                <w:sz w:val="18"/>
                <w:szCs w:val="18"/>
              </w:rPr>
              <w:t>c</w:t>
            </w:r>
            <w:r w:rsidRPr="00451852">
              <w:rPr>
                <w:rFonts w:ascii="Calibri" w:hAnsi="Calibri"/>
                <w:sz w:val="18"/>
                <w:szCs w:val="18"/>
              </w:rPr>
              <w:t xml:space="preserve">ooperative </w:t>
            </w:r>
            <w:r>
              <w:rPr>
                <w:rFonts w:ascii="Calibri" w:hAnsi="Calibri"/>
                <w:sz w:val="18"/>
                <w:szCs w:val="18"/>
              </w:rPr>
              <w:t>m</w:t>
            </w:r>
            <w:r w:rsidRPr="00451852">
              <w:rPr>
                <w:rFonts w:ascii="Calibri" w:hAnsi="Calibri"/>
                <w:sz w:val="18"/>
                <w:szCs w:val="18"/>
              </w:rPr>
              <w:t xml:space="preserve">edical </w:t>
            </w:r>
            <w:r>
              <w:rPr>
                <w:rFonts w:ascii="Calibri" w:hAnsi="Calibri"/>
                <w:sz w:val="18"/>
                <w:szCs w:val="18"/>
              </w:rPr>
              <w:t>s</w:t>
            </w:r>
            <w:r w:rsidRPr="00451852">
              <w:rPr>
                <w:rFonts w:ascii="Calibri" w:hAnsi="Calibri"/>
                <w:sz w:val="18"/>
                <w:szCs w:val="18"/>
              </w:rPr>
              <w:t>cheme</w:t>
            </w:r>
          </w:p>
        </w:tc>
        <w:tc>
          <w:tcPr>
            <w:tcW w:w="0" w:type="auto"/>
            <w:shd w:val="clear" w:color="auto" w:fill="E7E6E6" w:themeFill="background2"/>
          </w:tcPr>
          <w:p w14:paraId="788539F7" w14:textId="77777777" w:rsidR="00B656F6" w:rsidRPr="00451852" w:rsidRDefault="00B656F6" w:rsidP="008F0944">
            <w:pPr>
              <w:snapToGrid w:val="0"/>
              <w:jc w:val="right"/>
              <w:rPr>
                <w:rFonts w:ascii="Calibri" w:hAnsi="Calibri"/>
                <w:sz w:val="18"/>
                <w:szCs w:val="18"/>
              </w:rPr>
            </w:pPr>
            <w:r w:rsidRPr="00451852">
              <w:rPr>
                <w:rFonts w:ascii="Calibri" w:hAnsi="Calibri"/>
                <w:sz w:val="18"/>
                <w:szCs w:val="18"/>
              </w:rPr>
              <w:t>39.4</w:t>
            </w:r>
          </w:p>
        </w:tc>
        <w:tc>
          <w:tcPr>
            <w:tcW w:w="0" w:type="auto"/>
            <w:shd w:val="clear" w:color="auto" w:fill="E7E6E6" w:themeFill="background2"/>
          </w:tcPr>
          <w:p w14:paraId="2A0DA7ED" w14:textId="77777777" w:rsidR="00B656F6" w:rsidRPr="00451852" w:rsidRDefault="00B656F6" w:rsidP="008F0944">
            <w:pPr>
              <w:snapToGrid w:val="0"/>
              <w:jc w:val="right"/>
              <w:rPr>
                <w:rFonts w:ascii="Calibri" w:hAnsi="Calibri"/>
                <w:sz w:val="18"/>
                <w:szCs w:val="18"/>
              </w:rPr>
            </w:pPr>
            <w:r w:rsidRPr="00451852">
              <w:rPr>
                <w:rFonts w:ascii="Calibri" w:hAnsi="Calibri"/>
                <w:sz w:val="18"/>
                <w:szCs w:val="18"/>
              </w:rPr>
              <w:t>34.6</w:t>
            </w:r>
          </w:p>
        </w:tc>
        <w:tc>
          <w:tcPr>
            <w:tcW w:w="717" w:type="dxa"/>
            <w:shd w:val="clear" w:color="auto" w:fill="E7E6E6" w:themeFill="background2"/>
          </w:tcPr>
          <w:p w14:paraId="68EFF7DA" w14:textId="77777777" w:rsidR="00B656F6" w:rsidRPr="00451852" w:rsidRDefault="00B656F6" w:rsidP="008F0944">
            <w:pPr>
              <w:snapToGrid w:val="0"/>
              <w:jc w:val="right"/>
              <w:rPr>
                <w:rFonts w:ascii="Calibri" w:hAnsi="Calibri"/>
                <w:sz w:val="18"/>
                <w:szCs w:val="18"/>
              </w:rPr>
            </w:pPr>
            <w:r>
              <w:rPr>
                <w:rFonts w:ascii="Calibri" w:hAnsi="Calibri"/>
                <w:sz w:val="18"/>
                <w:szCs w:val="18"/>
              </w:rPr>
              <w:t>l</w:t>
            </w:r>
          </w:p>
        </w:tc>
      </w:tr>
      <w:tr w:rsidR="00B656F6" w:rsidRPr="00451852" w14:paraId="166CF6A1" w14:textId="77777777" w:rsidTr="008F0944">
        <w:tc>
          <w:tcPr>
            <w:tcW w:w="566" w:type="dxa"/>
            <w:vMerge/>
            <w:shd w:val="clear" w:color="auto" w:fill="auto"/>
          </w:tcPr>
          <w:p w14:paraId="153E723E" w14:textId="77777777" w:rsidR="00B656F6" w:rsidRPr="00451852" w:rsidRDefault="00B656F6" w:rsidP="008F0944">
            <w:pPr>
              <w:snapToGrid w:val="0"/>
              <w:jc w:val="right"/>
              <w:rPr>
                <w:rFonts w:ascii="Calibri" w:hAnsi="Calibri"/>
                <w:sz w:val="18"/>
                <w:szCs w:val="18"/>
              </w:rPr>
            </w:pPr>
          </w:p>
        </w:tc>
        <w:tc>
          <w:tcPr>
            <w:tcW w:w="2268" w:type="dxa"/>
          </w:tcPr>
          <w:p w14:paraId="17B17A0F" w14:textId="77777777" w:rsidR="00B656F6" w:rsidRPr="00451852" w:rsidRDefault="00B656F6" w:rsidP="008F0944">
            <w:pPr>
              <w:snapToGrid w:val="0"/>
              <w:jc w:val="right"/>
              <w:rPr>
                <w:rFonts w:ascii="Calibri" w:hAnsi="Calibri"/>
                <w:sz w:val="18"/>
                <w:szCs w:val="18"/>
              </w:rPr>
            </w:pPr>
          </w:p>
        </w:tc>
        <w:tc>
          <w:tcPr>
            <w:tcW w:w="0" w:type="auto"/>
          </w:tcPr>
          <w:p w14:paraId="0EA45A82" w14:textId="77777777" w:rsidR="00B656F6" w:rsidRPr="00451852" w:rsidRDefault="00B656F6" w:rsidP="008F0944">
            <w:pPr>
              <w:snapToGrid w:val="0"/>
              <w:jc w:val="right"/>
              <w:rPr>
                <w:rFonts w:ascii="Calibri" w:hAnsi="Calibri"/>
                <w:b/>
                <w:sz w:val="18"/>
                <w:szCs w:val="18"/>
              </w:rPr>
            </w:pPr>
            <w:r w:rsidRPr="00451852">
              <w:rPr>
                <w:rFonts w:ascii="Calibri" w:hAnsi="Calibri" w:hint="eastAsia"/>
                <w:b/>
                <w:sz w:val="18"/>
                <w:szCs w:val="18"/>
              </w:rPr>
              <w:t>2</w:t>
            </w:r>
            <w:r w:rsidRPr="00451852">
              <w:rPr>
                <w:rFonts w:ascii="Calibri" w:hAnsi="Calibri"/>
                <w:b/>
                <w:sz w:val="18"/>
                <w:szCs w:val="18"/>
              </w:rPr>
              <w:t>008</w:t>
            </w:r>
          </w:p>
        </w:tc>
        <w:tc>
          <w:tcPr>
            <w:tcW w:w="0" w:type="auto"/>
          </w:tcPr>
          <w:p w14:paraId="5230E486" w14:textId="77777777" w:rsidR="00B656F6" w:rsidRPr="00451852" w:rsidRDefault="00B656F6" w:rsidP="008F0944">
            <w:pPr>
              <w:snapToGrid w:val="0"/>
              <w:jc w:val="right"/>
              <w:rPr>
                <w:rFonts w:ascii="Calibri" w:hAnsi="Calibri"/>
                <w:b/>
                <w:sz w:val="18"/>
                <w:szCs w:val="18"/>
              </w:rPr>
            </w:pPr>
            <w:r w:rsidRPr="00451852">
              <w:rPr>
                <w:rFonts w:ascii="Calibri" w:hAnsi="Calibri" w:hint="eastAsia"/>
                <w:b/>
                <w:sz w:val="18"/>
                <w:szCs w:val="18"/>
              </w:rPr>
              <w:t>2</w:t>
            </w:r>
            <w:r w:rsidRPr="00451852">
              <w:rPr>
                <w:rFonts w:ascii="Calibri" w:hAnsi="Calibri"/>
                <w:b/>
                <w:sz w:val="18"/>
                <w:szCs w:val="18"/>
              </w:rPr>
              <w:t>013</w:t>
            </w:r>
          </w:p>
        </w:tc>
        <w:tc>
          <w:tcPr>
            <w:tcW w:w="717" w:type="dxa"/>
          </w:tcPr>
          <w:p w14:paraId="38BBC478" w14:textId="77777777" w:rsidR="00B656F6" w:rsidRPr="00451852" w:rsidRDefault="00B656F6" w:rsidP="008F0944">
            <w:pPr>
              <w:snapToGrid w:val="0"/>
              <w:jc w:val="right"/>
              <w:rPr>
                <w:rFonts w:ascii="Calibri" w:hAnsi="Calibri"/>
                <w:sz w:val="18"/>
                <w:szCs w:val="18"/>
              </w:rPr>
            </w:pPr>
          </w:p>
        </w:tc>
      </w:tr>
      <w:tr w:rsidR="00B656F6" w:rsidRPr="00451852" w14:paraId="280E5DB9" w14:textId="77777777" w:rsidTr="008F0944">
        <w:tc>
          <w:tcPr>
            <w:tcW w:w="566" w:type="dxa"/>
            <w:vMerge/>
            <w:shd w:val="clear" w:color="auto" w:fill="auto"/>
          </w:tcPr>
          <w:p w14:paraId="6D3E3974" w14:textId="77777777" w:rsidR="00B656F6" w:rsidRPr="00451852" w:rsidRDefault="00B656F6" w:rsidP="008F0944">
            <w:pPr>
              <w:snapToGrid w:val="0"/>
              <w:jc w:val="right"/>
              <w:rPr>
                <w:rFonts w:ascii="Calibri" w:hAnsi="Calibri"/>
                <w:sz w:val="18"/>
                <w:szCs w:val="18"/>
              </w:rPr>
            </w:pPr>
          </w:p>
        </w:tc>
        <w:tc>
          <w:tcPr>
            <w:tcW w:w="2268" w:type="dxa"/>
            <w:shd w:val="clear" w:color="auto" w:fill="E7E6E6" w:themeFill="background2"/>
          </w:tcPr>
          <w:p w14:paraId="072F1579" w14:textId="77777777" w:rsidR="00B656F6" w:rsidRPr="00451852" w:rsidRDefault="00B656F6" w:rsidP="008F0944">
            <w:pPr>
              <w:snapToGrid w:val="0"/>
              <w:jc w:val="right"/>
              <w:rPr>
                <w:rFonts w:ascii="Calibri" w:hAnsi="Calibri"/>
                <w:sz w:val="18"/>
                <w:szCs w:val="18"/>
              </w:rPr>
            </w:pPr>
            <w:r w:rsidRPr="00451852">
              <w:rPr>
                <w:rFonts w:ascii="Calibri" w:hAnsi="Calibri"/>
                <w:sz w:val="18"/>
                <w:szCs w:val="18"/>
              </w:rPr>
              <w:t xml:space="preserve">Proportion of </w:t>
            </w:r>
            <w:r>
              <w:rPr>
                <w:rFonts w:ascii="Calibri" w:hAnsi="Calibri"/>
                <w:sz w:val="18"/>
                <w:szCs w:val="18"/>
              </w:rPr>
              <w:t>l</w:t>
            </w:r>
            <w:r w:rsidRPr="00451852">
              <w:rPr>
                <w:rFonts w:ascii="Calibri" w:hAnsi="Calibri" w:hint="eastAsia"/>
                <w:sz w:val="18"/>
                <w:szCs w:val="18"/>
              </w:rPr>
              <w:t xml:space="preserve">ow-income </w:t>
            </w:r>
            <w:r>
              <w:rPr>
                <w:rFonts w:ascii="Calibri" w:hAnsi="Calibri"/>
                <w:sz w:val="18"/>
                <w:szCs w:val="18"/>
              </w:rPr>
              <w:t>f</w:t>
            </w:r>
            <w:r w:rsidRPr="00451852">
              <w:rPr>
                <w:rFonts w:ascii="Calibri" w:hAnsi="Calibri" w:hint="eastAsia"/>
                <w:sz w:val="18"/>
                <w:szCs w:val="18"/>
              </w:rPr>
              <w:t>amilies</w:t>
            </w:r>
            <w:r w:rsidRPr="00451852">
              <w:rPr>
                <w:rFonts w:ascii="Calibri" w:hAnsi="Calibri"/>
                <w:sz w:val="18"/>
                <w:szCs w:val="18"/>
              </w:rPr>
              <w:t xml:space="preserve"> with </w:t>
            </w:r>
            <w:r>
              <w:rPr>
                <w:rFonts w:ascii="Calibri" w:hAnsi="Calibri"/>
                <w:sz w:val="18"/>
                <w:szCs w:val="18"/>
              </w:rPr>
              <w:t>c</w:t>
            </w:r>
            <w:r w:rsidRPr="00451852">
              <w:rPr>
                <w:rFonts w:ascii="Calibri" w:hAnsi="Calibri" w:hint="eastAsia"/>
                <w:sz w:val="18"/>
                <w:szCs w:val="18"/>
              </w:rPr>
              <w:t xml:space="preserve">atastrophic </w:t>
            </w:r>
            <w:r>
              <w:rPr>
                <w:rFonts w:ascii="Calibri" w:hAnsi="Calibri"/>
                <w:sz w:val="18"/>
                <w:szCs w:val="18"/>
              </w:rPr>
              <w:t>h</w:t>
            </w:r>
            <w:r w:rsidRPr="00451852">
              <w:rPr>
                <w:rFonts w:ascii="Calibri" w:hAnsi="Calibri" w:hint="eastAsia"/>
                <w:sz w:val="18"/>
                <w:szCs w:val="18"/>
              </w:rPr>
              <w:t xml:space="preserve">ealth </w:t>
            </w:r>
            <w:r>
              <w:rPr>
                <w:rFonts w:ascii="Calibri" w:hAnsi="Calibri"/>
                <w:sz w:val="18"/>
                <w:szCs w:val="18"/>
              </w:rPr>
              <w:t>e</w:t>
            </w:r>
            <w:r w:rsidRPr="00451852">
              <w:rPr>
                <w:rFonts w:ascii="Calibri" w:hAnsi="Calibri"/>
                <w:sz w:val="18"/>
                <w:szCs w:val="18"/>
              </w:rPr>
              <w:t>xpenditure (%)</w:t>
            </w:r>
          </w:p>
        </w:tc>
        <w:tc>
          <w:tcPr>
            <w:tcW w:w="0" w:type="auto"/>
            <w:shd w:val="clear" w:color="auto" w:fill="E7E6E6" w:themeFill="background2"/>
          </w:tcPr>
          <w:p w14:paraId="34578006" w14:textId="77777777" w:rsidR="00B656F6" w:rsidRPr="00451852" w:rsidRDefault="00B656F6" w:rsidP="008F0944">
            <w:pPr>
              <w:snapToGrid w:val="0"/>
              <w:jc w:val="right"/>
              <w:rPr>
                <w:rFonts w:ascii="Calibri" w:hAnsi="Calibri"/>
                <w:sz w:val="18"/>
                <w:szCs w:val="18"/>
              </w:rPr>
            </w:pPr>
            <w:r w:rsidRPr="00451852">
              <w:rPr>
                <w:rFonts w:ascii="Calibri" w:hAnsi="Calibri" w:hint="eastAsia"/>
                <w:sz w:val="18"/>
                <w:szCs w:val="18"/>
              </w:rPr>
              <w:t>14.0</w:t>
            </w:r>
          </w:p>
        </w:tc>
        <w:tc>
          <w:tcPr>
            <w:tcW w:w="0" w:type="auto"/>
            <w:shd w:val="clear" w:color="auto" w:fill="E7E6E6" w:themeFill="background2"/>
          </w:tcPr>
          <w:p w14:paraId="1BD74172" w14:textId="77777777" w:rsidR="00B656F6" w:rsidRPr="00451852" w:rsidRDefault="00B656F6" w:rsidP="008F0944">
            <w:pPr>
              <w:snapToGrid w:val="0"/>
              <w:jc w:val="right"/>
              <w:rPr>
                <w:rFonts w:ascii="Calibri" w:hAnsi="Calibri"/>
                <w:sz w:val="18"/>
                <w:szCs w:val="18"/>
              </w:rPr>
            </w:pPr>
            <w:r w:rsidRPr="00451852">
              <w:rPr>
                <w:rFonts w:ascii="Calibri" w:hAnsi="Calibri" w:hint="eastAsia"/>
                <w:sz w:val="18"/>
                <w:szCs w:val="18"/>
              </w:rPr>
              <w:t>16.4</w:t>
            </w:r>
          </w:p>
        </w:tc>
        <w:tc>
          <w:tcPr>
            <w:tcW w:w="717" w:type="dxa"/>
            <w:shd w:val="clear" w:color="auto" w:fill="E7E6E6" w:themeFill="background2"/>
          </w:tcPr>
          <w:p w14:paraId="2BF66F08" w14:textId="77777777" w:rsidR="00B656F6" w:rsidRPr="00451852" w:rsidRDefault="00B656F6" w:rsidP="008F0944">
            <w:pPr>
              <w:snapToGrid w:val="0"/>
              <w:jc w:val="right"/>
              <w:rPr>
                <w:rFonts w:ascii="Calibri" w:hAnsi="Calibri"/>
                <w:sz w:val="18"/>
                <w:szCs w:val="18"/>
              </w:rPr>
            </w:pPr>
            <w:r>
              <w:rPr>
                <w:rFonts w:ascii="Calibri" w:hAnsi="Calibri"/>
                <w:sz w:val="18"/>
                <w:szCs w:val="18"/>
              </w:rPr>
              <w:t>i</w:t>
            </w:r>
          </w:p>
        </w:tc>
      </w:tr>
      <w:tr w:rsidR="00B656F6" w:rsidRPr="00451852" w14:paraId="2856B79F" w14:textId="77777777" w:rsidTr="008F0944">
        <w:trPr>
          <w:trHeight w:val="70"/>
        </w:trPr>
        <w:tc>
          <w:tcPr>
            <w:tcW w:w="566" w:type="dxa"/>
          </w:tcPr>
          <w:p w14:paraId="4A2E578D" w14:textId="77777777" w:rsidR="00B656F6" w:rsidRPr="00451852" w:rsidRDefault="00B656F6" w:rsidP="008F0944">
            <w:pPr>
              <w:snapToGrid w:val="0"/>
              <w:jc w:val="right"/>
              <w:rPr>
                <w:rFonts w:ascii="Calibri" w:hAnsi="Calibri"/>
                <w:sz w:val="18"/>
                <w:szCs w:val="18"/>
              </w:rPr>
            </w:pPr>
          </w:p>
        </w:tc>
        <w:tc>
          <w:tcPr>
            <w:tcW w:w="2268" w:type="dxa"/>
          </w:tcPr>
          <w:p w14:paraId="6EE191CA" w14:textId="77777777" w:rsidR="00B656F6" w:rsidRPr="00451852" w:rsidRDefault="00B656F6" w:rsidP="008F0944">
            <w:pPr>
              <w:snapToGrid w:val="0"/>
              <w:jc w:val="right"/>
              <w:rPr>
                <w:rFonts w:ascii="Calibri" w:hAnsi="Calibri"/>
                <w:sz w:val="18"/>
                <w:szCs w:val="18"/>
              </w:rPr>
            </w:pPr>
            <w:r w:rsidRPr="00451852">
              <w:rPr>
                <w:rFonts w:ascii="Calibri" w:hAnsi="Calibri" w:hint="eastAsia"/>
                <w:sz w:val="18"/>
                <w:szCs w:val="18"/>
              </w:rPr>
              <w:t>Urban</w:t>
            </w:r>
          </w:p>
        </w:tc>
        <w:tc>
          <w:tcPr>
            <w:tcW w:w="0" w:type="auto"/>
          </w:tcPr>
          <w:p w14:paraId="5EA2DCDB" w14:textId="77777777" w:rsidR="00B656F6" w:rsidRPr="00451852" w:rsidRDefault="00B656F6" w:rsidP="008F0944">
            <w:pPr>
              <w:snapToGrid w:val="0"/>
              <w:jc w:val="right"/>
              <w:rPr>
                <w:rFonts w:ascii="Calibri" w:hAnsi="Calibri"/>
                <w:sz w:val="18"/>
                <w:szCs w:val="18"/>
              </w:rPr>
            </w:pPr>
            <w:r w:rsidRPr="00451852">
              <w:rPr>
                <w:rFonts w:ascii="Calibri" w:hAnsi="Calibri" w:hint="eastAsia"/>
                <w:sz w:val="18"/>
                <w:szCs w:val="18"/>
              </w:rPr>
              <w:t>9.8</w:t>
            </w:r>
          </w:p>
        </w:tc>
        <w:tc>
          <w:tcPr>
            <w:tcW w:w="0" w:type="auto"/>
          </w:tcPr>
          <w:p w14:paraId="28FF9BBF" w14:textId="77777777" w:rsidR="00B656F6" w:rsidRPr="00451852" w:rsidRDefault="00B656F6" w:rsidP="008F0944">
            <w:pPr>
              <w:snapToGrid w:val="0"/>
              <w:jc w:val="right"/>
              <w:rPr>
                <w:rFonts w:ascii="Calibri" w:hAnsi="Calibri"/>
                <w:sz w:val="18"/>
                <w:szCs w:val="18"/>
              </w:rPr>
            </w:pPr>
            <w:r w:rsidRPr="00451852">
              <w:rPr>
                <w:rFonts w:ascii="Calibri" w:hAnsi="Calibri" w:hint="eastAsia"/>
                <w:sz w:val="18"/>
                <w:szCs w:val="18"/>
              </w:rPr>
              <w:t>8.1</w:t>
            </w:r>
          </w:p>
        </w:tc>
        <w:tc>
          <w:tcPr>
            <w:tcW w:w="717" w:type="dxa"/>
          </w:tcPr>
          <w:p w14:paraId="7106AE39" w14:textId="77777777" w:rsidR="00B656F6" w:rsidRPr="00451852" w:rsidRDefault="00B656F6" w:rsidP="008F0944">
            <w:pPr>
              <w:snapToGrid w:val="0"/>
              <w:jc w:val="right"/>
              <w:rPr>
                <w:rFonts w:ascii="Calibri" w:hAnsi="Calibri"/>
                <w:sz w:val="18"/>
                <w:szCs w:val="18"/>
              </w:rPr>
            </w:pPr>
            <w:r>
              <w:rPr>
                <w:rFonts w:ascii="Calibri" w:hAnsi="Calibri"/>
                <w:sz w:val="18"/>
                <w:szCs w:val="18"/>
              </w:rPr>
              <w:t>i</w:t>
            </w:r>
          </w:p>
        </w:tc>
      </w:tr>
      <w:tr w:rsidR="00B656F6" w:rsidRPr="00451852" w14:paraId="286F5EC1" w14:textId="77777777" w:rsidTr="008F0944">
        <w:tc>
          <w:tcPr>
            <w:tcW w:w="566" w:type="dxa"/>
          </w:tcPr>
          <w:p w14:paraId="21CF0C6E" w14:textId="77777777" w:rsidR="00B656F6" w:rsidRPr="00451852" w:rsidRDefault="00B656F6" w:rsidP="008F0944">
            <w:pPr>
              <w:snapToGrid w:val="0"/>
              <w:jc w:val="right"/>
              <w:rPr>
                <w:rFonts w:ascii="Calibri" w:hAnsi="Calibri"/>
                <w:sz w:val="18"/>
                <w:szCs w:val="18"/>
              </w:rPr>
            </w:pPr>
          </w:p>
        </w:tc>
        <w:tc>
          <w:tcPr>
            <w:tcW w:w="2268" w:type="dxa"/>
          </w:tcPr>
          <w:p w14:paraId="1F1C9E3F" w14:textId="77777777" w:rsidR="00B656F6" w:rsidRPr="00451852" w:rsidRDefault="00B656F6" w:rsidP="008F0944">
            <w:pPr>
              <w:snapToGrid w:val="0"/>
              <w:jc w:val="right"/>
              <w:rPr>
                <w:rFonts w:ascii="Calibri" w:hAnsi="Calibri"/>
                <w:sz w:val="18"/>
                <w:szCs w:val="18"/>
              </w:rPr>
            </w:pPr>
            <w:r w:rsidRPr="00451852">
              <w:rPr>
                <w:rFonts w:ascii="Calibri" w:hAnsi="Calibri" w:hint="eastAsia"/>
                <w:sz w:val="18"/>
                <w:szCs w:val="18"/>
              </w:rPr>
              <w:t>Rural</w:t>
            </w:r>
          </w:p>
        </w:tc>
        <w:tc>
          <w:tcPr>
            <w:tcW w:w="0" w:type="auto"/>
          </w:tcPr>
          <w:p w14:paraId="27EF98E6" w14:textId="77777777" w:rsidR="00B656F6" w:rsidRPr="00451852" w:rsidRDefault="00B656F6" w:rsidP="008F0944">
            <w:pPr>
              <w:snapToGrid w:val="0"/>
              <w:jc w:val="right"/>
              <w:rPr>
                <w:rFonts w:ascii="Calibri" w:hAnsi="Calibri"/>
                <w:sz w:val="18"/>
                <w:szCs w:val="18"/>
              </w:rPr>
            </w:pPr>
            <w:r w:rsidRPr="00451852">
              <w:rPr>
                <w:rFonts w:ascii="Calibri" w:hAnsi="Calibri" w:hint="eastAsia"/>
                <w:sz w:val="18"/>
                <w:szCs w:val="18"/>
              </w:rPr>
              <w:t>15.6</w:t>
            </w:r>
          </w:p>
        </w:tc>
        <w:tc>
          <w:tcPr>
            <w:tcW w:w="0" w:type="auto"/>
          </w:tcPr>
          <w:p w14:paraId="2DC98A5F" w14:textId="77777777" w:rsidR="00B656F6" w:rsidRPr="00451852" w:rsidRDefault="00B656F6" w:rsidP="008F0944">
            <w:pPr>
              <w:snapToGrid w:val="0"/>
              <w:jc w:val="right"/>
              <w:rPr>
                <w:rFonts w:ascii="Calibri" w:hAnsi="Calibri"/>
                <w:sz w:val="18"/>
                <w:szCs w:val="18"/>
              </w:rPr>
            </w:pPr>
            <w:r w:rsidRPr="00451852">
              <w:rPr>
                <w:rFonts w:ascii="Calibri" w:hAnsi="Calibri" w:hint="eastAsia"/>
                <w:sz w:val="18"/>
                <w:szCs w:val="18"/>
              </w:rPr>
              <w:t>19.2</w:t>
            </w:r>
          </w:p>
        </w:tc>
        <w:tc>
          <w:tcPr>
            <w:tcW w:w="717" w:type="dxa"/>
          </w:tcPr>
          <w:p w14:paraId="27CE17AF" w14:textId="77777777" w:rsidR="00B656F6" w:rsidRPr="00451852" w:rsidRDefault="00B656F6" w:rsidP="008F0944">
            <w:pPr>
              <w:snapToGrid w:val="0"/>
              <w:jc w:val="right"/>
              <w:rPr>
                <w:rFonts w:ascii="Calibri" w:hAnsi="Calibri"/>
                <w:sz w:val="18"/>
                <w:szCs w:val="18"/>
              </w:rPr>
            </w:pPr>
            <w:r>
              <w:rPr>
                <w:rFonts w:ascii="Calibri" w:hAnsi="Calibri"/>
                <w:sz w:val="18"/>
                <w:szCs w:val="18"/>
              </w:rPr>
              <w:t>i</w:t>
            </w:r>
          </w:p>
        </w:tc>
      </w:tr>
    </w:tbl>
    <w:p w14:paraId="5392E535" w14:textId="77777777" w:rsidR="00B656F6" w:rsidRPr="00B656F6" w:rsidRDefault="00B656F6" w:rsidP="00B656F6">
      <w:pPr>
        <w:snapToGrid w:val="0"/>
        <w:rPr>
          <w:rFonts w:ascii="Calibri" w:hAnsi="Calibri"/>
          <w:sz w:val="18"/>
          <w:szCs w:val="18"/>
        </w:rPr>
      </w:pPr>
      <w:r w:rsidRPr="00B656F6">
        <w:rPr>
          <w:rFonts w:ascii="Calibri" w:hAnsi="Calibri"/>
          <w:sz w:val="18"/>
          <w:szCs w:val="18"/>
        </w:rPr>
        <w:t>The grade III of water quality is defined in a national standard of environmental quality for surface water in China (GB 3838-2002). It is mainly applicable to second class of protected areas for centralized sources of drinking water, wintering farm and migration channel of fish and shrimp, aquaculture and other fishing waters, and swimming areas.</w:t>
      </w:r>
    </w:p>
    <w:p w14:paraId="45700CF4" w14:textId="77777777" w:rsidR="00B656F6" w:rsidRPr="00B656F6" w:rsidRDefault="00B656F6" w:rsidP="00B656F6">
      <w:pPr>
        <w:snapToGrid w:val="0"/>
        <w:rPr>
          <w:rFonts w:ascii="Calibri" w:hAnsi="Calibri"/>
          <w:sz w:val="18"/>
          <w:szCs w:val="18"/>
        </w:rPr>
      </w:pPr>
      <w:r w:rsidRPr="00B656F6">
        <w:rPr>
          <w:rFonts w:ascii="Calibri" w:hAnsi="Calibri"/>
          <w:sz w:val="18"/>
          <w:szCs w:val="18"/>
        </w:rPr>
        <w:t>Data source:</w:t>
      </w:r>
    </w:p>
    <w:p w14:paraId="76ADB94A" w14:textId="77777777" w:rsidR="00B656F6" w:rsidRPr="00B656F6" w:rsidRDefault="00B656F6" w:rsidP="00B656F6">
      <w:pPr>
        <w:snapToGrid w:val="0"/>
        <w:rPr>
          <w:rFonts w:ascii="Calibri" w:hAnsi="Calibri"/>
          <w:sz w:val="18"/>
          <w:szCs w:val="18"/>
        </w:rPr>
      </w:pPr>
      <w:r w:rsidRPr="00B656F6">
        <w:rPr>
          <w:rFonts w:ascii="Calibri" w:hAnsi="Calibri"/>
          <w:sz w:val="18"/>
          <w:szCs w:val="18"/>
        </w:rPr>
        <w:t xml:space="preserve">a: </w:t>
      </w:r>
      <w:r w:rsidRPr="00B656F6">
        <w:rPr>
          <w:rFonts w:ascii="Calibri" w:hAnsi="Calibri"/>
          <w:i/>
          <w:iCs/>
          <w:sz w:val="18"/>
          <w:szCs w:val="18"/>
        </w:rPr>
        <w:t>Report on Chinese Nutrition and Health Surveillance.</w:t>
      </w:r>
    </w:p>
    <w:p w14:paraId="01AA451F" w14:textId="77777777" w:rsidR="00B656F6" w:rsidRPr="00B656F6" w:rsidRDefault="00B656F6" w:rsidP="00B656F6">
      <w:pPr>
        <w:snapToGrid w:val="0"/>
        <w:rPr>
          <w:rFonts w:ascii="Calibri" w:hAnsi="Calibri"/>
          <w:sz w:val="18"/>
          <w:szCs w:val="18"/>
        </w:rPr>
      </w:pPr>
      <w:r w:rsidRPr="00B656F6">
        <w:rPr>
          <w:rFonts w:ascii="Calibri" w:hAnsi="Calibri"/>
          <w:sz w:val="18"/>
          <w:szCs w:val="18"/>
        </w:rPr>
        <w:t>b: China Maternal and Child Health Surveillance.</w:t>
      </w:r>
    </w:p>
    <w:p w14:paraId="7C2A65D6" w14:textId="77777777" w:rsidR="00B656F6" w:rsidRPr="00B656F6" w:rsidRDefault="00B656F6" w:rsidP="00B656F6">
      <w:pPr>
        <w:snapToGrid w:val="0"/>
        <w:rPr>
          <w:rFonts w:ascii="Calibri" w:hAnsi="Calibri"/>
          <w:sz w:val="18"/>
          <w:szCs w:val="18"/>
        </w:rPr>
      </w:pPr>
      <w:r w:rsidRPr="00B656F6">
        <w:rPr>
          <w:rFonts w:ascii="Calibri" w:hAnsi="Calibri"/>
          <w:sz w:val="18"/>
          <w:szCs w:val="18"/>
        </w:rPr>
        <w:t xml:space="preserve">c: </w:t>
      </w:r>
      <w:r w:rsidRPr="00B656F6">
        <w:rPr>
          <w:rFonts w:ascii="Calibri" w:hAnsi="Calibri"/>
          <w:i/>
          <w:iCs/>
          <w:sz w:val="18"/>
          <w:szCs w:val="18"/>
        </w:rPr>
        <w:t>China Health and Family Planning Statistics Yearbook.</w:t>
      </w:r>
    </w:p>
    <w:p w14:paraId="0191D010" w14:textId="77777777" w:rsidR="00B656F6" w:rsidRPr="00B656F6" w:rsidRDefault="00B656F6" w:rsidP="00B656F6">
      <w:pPr>
        <w:snapToGrid w:val="0"/>
        <w:rPr>
          <w:rFonts w:ascii="Calibri" w:hAnsi="Calibri"/>
          <w:sz w:val="18"/>
          <w:szCs w:val="18"/>
        </w:rPr>
      </w:pPr>
      <w:r w:rsidRPr="00B656F6">
        <w:rPr>
          <w:rFonts w:ascii="Calibri" w:hAnsi="Calibri"/>
          <w:sz w:val="18"/>
          <w:szCs w:val="18"/>
        </w:rPr>
        <w:t>d: Global Burden of Diseases Study 2016.</w:t>
      </w:r>
    </w:p>
    <w:p w14:paraId="51E7A47E" w14:textId="77777777" w:rsidR="00B656F6" w:rsidRPr="00B656F6" w:rsidRDefault="00B656F6" w:rsidP="00B656F6">
      <w:pPr>
        <w:snapToGrid w:val="0"/>
        <w:rPr>
          <w:rFonts w:ascii="Calibri" w:hAnsi="Calibri"/>
          <w:sz w:val="18"/>
          <w:szCs w:val="18"/>
        </w:rPr>
      </w:pPr>
      <w:r w:rsidRPr="00B656F6">
        <w:rPr>
          <w:rFonts w:ascii="Calibri" w:hAnsi="Calibri"/>
          <w:sz w:val="18"/>
          <w:szCs w:val="18"/>
        </w:rPr>
        <w:t>e:</w:t>
      </w:r>
      <w:r w:rsidRPr="00B656F6">
        <w:rPr>
          <w:rFonts w:ascii="Calibri" w:hAnsi="Calibri"/>
          <w:i/>
          <w:iCs/>
          <w:sz w:val="18"/>
          <w:szCs w:val="18"/>
        </w:rPr>
        <w:t xml:space="preserve"> </w:t>
      </w:r>
      <w:r w:rsidRPr="00B656F6">
        <w:rPr>
          <w:rFonts w:ascii="Calibri" w:hAnsi="Calibri"/>
          <w:sz w:val="18"/>
          <w:szCs w:val="18"/>
        </w:rPr>
        <w:t>China Cause of Death Surveillance Dataset 2016.</w:t>
      </w:r>
    </w:p>
    <w:p w14:paraId="3E9E55D5" w14:textId="77777777" w:rsidR="00B656F6" w:rsidRPr="00B656F6" w:rsidRDefault="00B656F6" w:rsidP="00B656F6">
      <w:pPr>
        <w:snapToGrid w:val="0"/>
        <w:rPr>
          <w:rFonts w:ascii="Calibri" w:hAnsi="Calibri"/>
          <w:sz w:val="18"/>
          <w:szCs w:val="18"/>
        </w:rPr>
      </w:pPr>
      <w:r w:rsidRPr="00B656F6">
        <w:rPr>
          <w:rFonts w:ascii="Calibri" w:hAnsi="Calibri"/>
          <w:sz w:val="18"/>
          <w:szCs w:val="18"/>
        </w:rPr>
        <w:t xml:space="preserve">f: </w:t>
      </w:r>
      <w:r w:rsidRPr="00B656F6">
        <w:rPr>
          <w:rFonts w:ascii="Calibri" w:hAnsi="Calibri"/>
          <w:i/>
          <w:iCs/>
          <w:sz w:val="18"/>
          <w:szCs w:val="18"/>
        </w:rPr>
        <w:t>Report on the State of the Environment in China.</w:t>
      </w:r>
    </w:p>
    <w:p w14:paraId="5B4FAC70" w14:textId="77777777" w:rsidR="00B656F6" w:rsidRPr="00B656F6" w:rsidRDefault="00B656F6" w:rsidP="00B656F6">
      <w:pPr>
        <w:snapToGrid w:val="0"/>
        <w:rPr>
          <w:rFonts w:ascii="Calibri" w:hAnsi="Calibri"/>
          <w:sz w:val="18"/>
          <w:szCs w:val="18"/>
        </w:rPr>
      </w:pPr>
      <w:r w:rsidRPr="00B656F6">
        <w:rPr>
          <w:rFonts w:ascii="Calibri" w:hAnsi="Calibri"/>
          <w:sz w:val="18"/>
          <w:szCs w:val="18"/>
        </w:rPr>
        <w:t xml:space="preserve">g: </w:t>
      </w:r>
      <w:r w:rsidRPr="00B656F6">
        <w:rPr>
          <w:rFonts w:ascii="Calibri" w:hAnsi="Calibri"/>
          <w:i/>
          <w:iCs/>
          <w:sz w:val="18"/>
          <w:szCs w:val="18"/>
        </w:rPr>
        <w:t>China AIDs Response Progress Report 2012-2015.</w:t>
      </w:r>
    </w:p>
    <w:p w14:paraId="1A971949" w14:textId="77777777" w:rsidR="00B656F6" w:rsidRPr="00B656F6" w:rsidRDefault="00B656F6" w:rsidP="00B656F6">
      <w:pPr>
        <w:snapToGrid w:val="0"/>
        <w:rPr>
          <w:rFonts w:ascii="Calibri" w:hAnsi="Calibri"/>
          <w:sz w:val="18"/>
          <w:szCs w:val="18"/>
        </w:rPr>
      </w:pPr>
      <w:r w:rsidRPr="00B656F6">
        <w:rPr>
          <w:rFonts w:ascii="Calibri" w:hAnsi="Calibri"/>
          <w:sz w:val="18"/>
          <w:szCs w:val="18"/>
        </w:rPr>
        <w:t xml:space="preserve">h: </w:t>
      </w:r>
      <w:r w:rsidRPr="00B656F6">
        <w:rPr>
          <w:rFonts w:ascii="Calibri" w:hAnsi="Calibri"/>
          <w:i/>
          <w:iCs/>
          <w:sz w:val="18"/>
          <w:szCs w:val="18"/>
        </w:rPr>
        <w:t>WHO Global Tuberculosis Report.</w:t>
      </w:r>
    </w:p>
    <w:p w14:paraId="31B1BBC5" w14:textId="77777777" w:rsidR="00B656F6" w:rsidRPr="00B656F6" w:rsidRDefault="00B656F6" w:rsidP="00B656F6">
      <w:pPr>
        <w:snapToGrid w:val="0"/>
        <w:rPr>
          <w:rFonts w:ascii="Calibri" w:hAnsi="Calibri"/>
          <w:sz w:val="18"/>
          <w:szCs w:val="18"/>
        </w:rPr>
      </w:pPr>
      <w:r w:rsidRPr="00B656F6">
        <w:rPr>
          <w:rFonts w:ascii="Calibri" w:hAnsi="Calibri"/>
          <w:sz w:val="18"/>
          <w:szCs w:val="18"/>
        </w:rPr>
        <w:t xml:space="preserve">i: </w:t>
      </w:r>
      <w:r w:rsidRPr="00B656F6">
        <w:rPr>
          <w:rFonts w:ascii="Calibri" w:hAnsi="Calibri"/>
          <w:i/>
          <w:iCs/>
          <w:sz w:val="18"/>
          <w:szCs w:val="18"/>
        </w:rPr>
        <w:t>Analysis Report of National Health Service Survey in China.</w:t>
      </w:r>
    </w:p>
    <w:p w14:paraId="0A7D3B87" w14:textId="77777777" w:rsidR="00B656F6" w:rsidRPr="00B656F6" w:rsidRDefault="00B656F6" w:rsidP="00B656F6">
      <w:pPr>
        <w:snapToGrid w:val="0"/>
        <w:rPr>
          <w:rFonts w:ascii="Calibri" w:hAnsi="Calibri"/>
          <w:sz w:val="18"/>
          <w:szCs w:val="18"/>
        </w:rPr>
      </w:pPr>
      <w:r w:rsidRPr="00B656F6">
        <w:rPr>
          <w:rFonts w:ascii="Calibri" w:hAnsi="Calibri"/>
          <w:sz w:val="18"/>
          <w:szCs w:val="18"/>
        </w:rPr>
        <w:t xml:space="preserve">j: </w:t>
      </w:r>
      <w:r w:rsidRPr="00B656F6">
        <w:rPr>
          <w:rFonts w:ascii="Calibri" w:hAnsi="Calibri"/>
          <w:i/>
          <w:iCs/>
          <w:sz w:val="18"/>
          <w:szCs w:val="18"/>
        </w:rPr>
        <w:t>Report on Chronic Disease Risk Factors Surveillance in China.</w:t>
      </w:r>
    </w:p>
    <w:p w14:paraId="01615E0C" w14:textId="77777777" w:rsidR="00B656F6" w:rsidRPr="00B656F6" w:rsidRDefault="00B656F6" w:rsidP="00B656F6">
      <w:pPr>
        <w:snapToGrid w:val="0"/>
        <w:rPr>
          <w:rFonts w:ascii="Calibri" w:hAnsi="Calibri"/>
          <w:sz w:val="18"/>
          <w:szCs w:val="18"/>
        </w:rPr>
      </w:pPr>
      <w:r w:rsidRPr="00B656F6">
        <w:rPr>
          <w:rFonts w:ascii="Calibri" w:hAnsi="Calibri"/>
          <w:sz w:val="18"/>
          <w:szCs w:val="18"/>
        </w:rPr>
        <w:t xml:space="preserve">k: </w:t>
      </w:r>
      <w:r w:rsidRPr="00B656F6">
        <w:rPr>
          <w:rFonts w:ascii="Calibri" w:hAnsi="Calibri"/>
          <w:i/>
          <w:iCs/>
          <w:sz w:val="18"/>
          <w:szCs w:val="18"/>
        </w:rPr>
        <w:t>China National Health Accounts Report 2016.</w:t>
      </w:r>
    </w:p>
    <w:p w14:paraId="0F61A816" w14:textId="77777777" w:rsidR="00B656F6" w:rsidRPr="00B656F6" w:rsidRDefault="00B656F6" w:rsidP="00B656F6">
      <w:pPr>
        <w:snapToGrid w:val="0"/>
        <w:rPr>
          <w:rFonts w:ascii="Calibri" w:hAnsi="Calibri"/>
          <w:sz w:val="18"/>
          <w:szCs w:val="18"/>
        </w:rPr>
      </w:pPr>
      <w:r w:rsidRPr="00B656F6">
        <w:rPr>
          <w:rFonts w:ascii="Calibri" w:hAnsi="Calibri"/>
          <w:sz w:val="18"/>
          <w:szCs w:val="18"/>
        </w:rPr>
        <w:t xml:space="preserve">l: </w:t>
      </w:r>
      <w:r w:rsidRPr="00B656F6">
        <w:rPr>
          <w:rFonts w:ascii="Calibri" w:hAnsi="Calibri"/>
          <w:i/>
          <w:iCs/>
          <w:sz w:val="18"/>
          <w:szCs w:val="18"/>
        </w:rPr>
        <w:t>Report on The People's Livelihood Survey in China (2016).</w:t>
      </w:r>
    </w:p>
    <w:p w14:paraId="307A1089" w14:textId="77777777" w:rsidR="00B656F6" w:rsidRPr="00566686" w:rsidRDefault="00B656F6" w:rsidP="00B656F6">
      <w:pPr>
        <w:snapToGrid w:val="0"/>
        <w:rPr>
          <w:rFonts w:ascii="Calibri" w:hAnsi="Calibri"/>
          <w:sz w:val="18"/>
          <w:szCs w:val="18"/>
        </w:rPr>
        <w:sectPr w:rsidR="00B656F6" w:rsidRPr="00566686" w:rsidSect="00EB4864">
          <w:pgSz w:w="11906" w:h="16838"/>
          <w:pgMar w:top="1440" w:right="1440" w:bottom="1440" w:left="1440" w:header="851" w:footer="992" w:gutter="0"/>
          <w:lnNumType w:countBy="1" w:restart="continuous"/>
          <w:cols w:space="425"/>
          <w:docGrid w:linePitch="312"/>
        </w:sectPr>
      </w:pPr>
      <w:r w:rsidRPr="00B656F6">
        <w:rPr>
          <w:rFonts w:ascii="Calibri" w:hAnsi="Calibri"/>
          <w:sz w:val="18"/>
          <w:szCs w:val="18"/>
        </w:rPr>
        <w:t>Abbreviations: GDP, gross domestic product; HBV, hepatitis B virus; MMR, maternal mortality ratio; NMR, neonatal mortality rate; PM, particulate matter; SDG, Sustainable Development Goal; TB, tuberculosis; THE, total health expenditure; U5MR, under-5 mortality rate; WHO, World Health Organization; Tdap,</w:t>
      </w:r>
      <w:r w:rsidRPr="00B656F6">
        <w:t xml:space="preserve"> </w:t>
      </w:r>
      <w:r w:rsidRPr="00B656F6">
        <w:rPr>
          <w:sz w:val="18"/>
          <w:szCs w:val="18"/>
        </w:rPr>
        <w:t>Tetanus-diphtheria-acellular pertussis</w:t>
      </w:r>
      <w:r w:rsidRPr="00B656F6">
        <w:rPr>
          <w:rFonts w:ascii="Calibri" w:hAnsi="Calibri"/>
          <w:sz w:val="18"/>
          <w:szCs w:val="18"/>
        </w:rPr>
        <w:t>; BCG, Bacille Calmette-Gueri.</w:t>
      </w:r>
    </w:p>
    <w:p w14:paraId="55D9341E" w14:textId="77777777" w:rsidR="00B656F6" w:rsidRPr="00B656F6" w:rsidRDefault="00B656F6" w:rsidP="00B656F6">
      <w:pPr>
        <w:snapToGrid w:val="0"/>
        <w:spacing w:afterLines="50" w:after="120"/>
        <w:rPr>
          <w:b/>
          <w:bCs/>
          <w:sz w:val="18"/>
          <w:szCs w:val="18"/>
          <w:highlight w:val="darkGray"/>
          <w:shd w:val="clear" w:color="auto" w:fill="E7E6E6" w:themeFill="background2"/>
        </w:rPr>
      </w:pPr>
      <w:r w:rsidRPr="00B656F6">
        <w:rPr>
          <w:b/>
          <w:bCs/>
          <w:sz w:val="18"/>
          <w:szCs w:val="18"/>
          <w:highlight w:val="darkGray"/>
          <w:shd w:val="clear" w:color="auto" w:fill="E7E6E6" w:themeFill="background2"/>
        </w:rPr>
        <w:lastRenderedPageBreak/>
        <w:t>Box 1. Selected qualitative data on child nutrition, MCHRH, TB, and NCDs</w:t>
      </w:r>
    </w:p>
    <w:p w14:paraId="08B14B04" w14:textId="77777777" w:rsidR="00B656F6" w:rsidRPr="00B656F6" w:rsidRDefault="00B656F6" w:rsidP="00B656F6">
      <w:pPr>
        <w:snapToGrid w:val="0"/>
        <w:spacing w:afterLines="50" w:after="120"/>
        <w:rPr>
          <w:rFonts w:cstheme="minorHAnsi"/>
          <w:sz w:val="18"/>
          <w:szCs w:val="18"/>
          <w:highlight w:val="darkGray"/>
          <w:u w:val="single"/>
          <w:shd w:val="clear" w:color="auto" w:fill="E7E6E6" w:themeFill="background2"/>
          <w:lang w:val="en-GB"/>
        </w:rPr>
      </w:pPr>
      <w:r w:rsidRPr="00B656F6">
        <w:rPr>
          <w:rFonts w:cstheme="minorHAnsi"/>
          <w:sz w:val="18"/>
          <w:szCs w:val="18"/>
          <w:highlight w:val="darkGray"/>
          <w:u w:val="single"/>
          <w:shd w:val="clear" w:color="auto" w:fill="E7E6E6" w:themeFill="background2"/>
          <w:lang w:val="en-GB"/>
        </w:rPr>
        <w:t>a. Perceived drivers of child overweight and obesity increase</w:t>
      </w:r>
    </w:p>
    <w:p w14:paraId="149787A9" w14:textId="77777777" w:rsidR="00B656F6" w:rsidRPr="00B656F6" w:rsidRDefault="00B656F6" w:rsidP="00B656F6">
      <w:pPr>
        <w:snapToGrid w:val="0"/>
        <w:spacing w:afterLines="50" w:after="120"/>
        <w:rPr>
          <w:rFonts w:cstheme="minorHAnsi"/>
          <w:sz w:val="18"/>
          <w:szCs w:val="18"/>
          <w:highlight w:val="darkGray"/>
          <w:shd w:val="clear" w:color="auto" w:fill="E7E6E6" w:themeFill="background2"/>
          <w:lang w:val="en-GB"/>
        </w:rPr>
      </w:pPr>
      <w:r w:rsidRPr="00B656F6">
        <w:rPr>
          <w:rFonts w:cstheme="minorHAnsi"/>
          <w:sz w:val="18"/>
          <w:szCs w:val="18"/>
          <w:highlight w:val="darkGray"/>
          <w:shd w:val="clear" w:color="auto" w:fill="E7E6E6" w:themeFill="background2"/>
          <w:lang w:val="en-GB"/>
        </w:rPr>
        <w:t>Interviews with 18 key informants explored their perceptions of the reasons for increasing overweight and obesity among children in China. Interviewees tended to attribute obesity to individual and societal cognitive and behavioral factors such as parental lack of knowledge about healthy eating, indulgence of children, and changing social norms of a healthy weight.</w:t>
      </w:r>
    </w:p>
    <w:p w14:paraId="143C2282" w14:textId="77777777" w:rsidR="00B656F6" w:rsidRPr="00B656F6" w:rsidRDefault="00B656F6" w:rsidP="00B656F6">
      <w:pPr>
        <w:snapToGrid w:val="0"/>
        <w:spacing w:afterLines="50" w:after="120"/>
        <w:ind w:left="360"/>
        <w:rPr>
          <w:rFonts w:cstheme="minorHAnsi"/>
          <w:sz w:val="18"/>
          <w:szCs w:val="18"/>
          <w:highlight w:val="darkGray"/>
          <w:shd w:val="clear" w:color="auto" w:fill="E7E6E6" w:themeFill="background2"/>
          <w:lang w:val="en-GB"/>
        </w:rPr>
      </w:pPr>
      <w:r w:rsidRPr="00B656F6">
        <w:rPr>
          <w:rFonts w:cstheme="minorHAnsi"/>
          <w:sz w:val="18"/>
          <w:szCs w:val="18"/>
          <w:highlight w:val="darkGray"/>
          <w:shd w:val="clear" w:color="auto" w:fill="E7E6E6" w:themeFill="background2"/>
          <w:lang w:val="en-GB"/>
        </w:rPr>
        <w:t>During the summer or winter vacation, parents do not control the lifestyle of children and indulge them eating snacks, so that children’s weight can sometimes increase up to 5–10 kg.—Technical officer from an international organization</w:t>
      </w:r>
    </w:p>
    <w:p w14:paraId="62048CF9" w14:textId="77777777" w:rsidR="00B656F6" w:rsidRPr="00B656F6" w:rsidRDefault="00B656F6" w:rsidP="00B656F6">
      <w:pPr>
        <w:snapToGrid w:val="0"/>
        <w:spacing w:afterLines="50" w:after="120"/>
        <w:rPr>
          <w:rFonts w:cstheme="minorHAnsi"/>
          <w:sz w:val="18"/>
          <w:szCs w:val="18"/>
          <w:highlight w:val="darkGray"/>
          <w:shd w:val="clear" w:color="auto" w:fill="E7E6E6" w:themeFill="background2"/>
          <w:lang w:val="en-GB"/>
        </w:rPr>
      </w:pPr>
      <w:r w:rsidRPr="00B656F6">
        <w:rPr>
          <w:rFonts w:cstheme="minorHAnsi"/>
          <w:sz w:val="18"/>
          <w:szCs w:val="18"/>
          <w:highlight w:val="darkGray"/>
          <w:shd w:val="clear" w:color="auto" w:fill="E7E6E6" w:themeFill="background2"/>
          <w:lang w:val="en-GB"/>
        </w:rPr>
        <w:t>Informants also identified a range of structural influences on children’s diets and levels of physical activity, including parental employment conditions leaving limited time for cooking at home and subsequent reliance on “fast foods,” lack of cooking facilities on schools, lack of controls on dietary provision in and around schools, pressures on children’s time due to prioritization of academic work, and lack of available or affordable sports facilities.</w:t>
      </w:r>
    </w:p>
    <w:p w14:paraId="63A10BB0" w14:textId="77777777" w:rsidR="00B656F6" w:rsidRPr="00B656F6" w:rsidRDefault="00B656F6" w:rsidP="00B656F6">
      <w:pPr>
        <w:snapToGrid w:val="0"/>
        <w:spacing w:afterLines="50" w:after="120"/>
        <w:ind w:left="360"/>
        <w:rPr>
          <w:rFonts w:cstheme="minorHAnsi"/>
          <w:sz w:val="18"/>
          <w:szCs w:val="18"/>
          <w:highlight w:val="darkGray"/>
          <w:shd w:val="clear" w:color="auto" w:fill="E7E6E6" w:themeFill="background2"/>
          <w:lang w:val="en-GB"/>
        </w:rPr>
      </w:pPr>
      <w:r w:rsidRPr="00B656F6">
        <w:rPr>
          <w:rFonts w:cstheme="minorHAnsi"/>
          <w:sz w:val="18"/>
          <w:szCs w:val="18"/>
          <w:highlight w:val="darkGray"/>
          <w:shd w:val="clear" w:color="auto" w:fill="E7E6E6" w:themeFill="background2"/>
          <w:lang w:val="en-GB"/>
        </w:rPr>
        <w:t>(At home) as parents are busy, it is quite common [for the family) to have meals outside [at a restaurant), where they love to use big flame and much oil due to the fast speed of cooking, leading to the high intake of fat and energy of children.—Professor in a university, Hubei province</w:t>
      </w:r>
    </w:p>
    <w:p w14:paraId="344A59F9" w14:textId="77777777" w:rsidR="00B656F6" w:rsidRPr="00B656F6" w:rsidRDefault="00B656F6" w:rsidP="00B656F6">
      <w:pPr>
        <w:snapToGrid w:val="0"/>
        <w:spacing w:afterLines="50" w:after="120"/>
        <w:ind w:left="360"/>
        <w:rPr>
          <w:rFonts w:cstheme="minorHAnsi"/>
          <w:sz w:val="18"/>
          <w:szCs w:val="18"/>
          <w:highlight w:val="darkGray"/>
          <w:shd w:val="clear" w:color="auto" w:fill="E7E6E6" w:themeFill="background2"/>
          <w:lang w:val="en-GB"/>
        </w:rPr>
      </w:pPr>
      <w:r w:rsidRPr="00B656F6">
        <w:rPr>
          <w:rFonts w:cstheme="minorHAnsi"/>
          <w:sz w:val="18"/>
          <w:szCs w:val="18"/>
          <w:highlight w:val="darkGray"/>
          <w:shd w:val="clear" w:color="auto" w:fill="E7E6E6" w:themeFill="background2"/>
          <w:lang w:val="en-GB"/>
        </w:rPr>
        <w:t>Some schools have set vending machines that sell sodas. Some schools can order take-outs online, where it is impossible to control the nutrition intake. Some small venders are around the school selling roast squid and grilled sausage, and students will eat these when they come by after school.—Official at provincial level</w:t>
      </w:r>
    </w:p>
    <w:p w14:paraId="236A62AD" w14:textId="77777777" w:rsidR="00B656F6" w:rsidRPr="00B656F6" w:rsidRDefault="00B656F6" w:rsidP="00B656F6">
      <w:pPr>
        <w:snapToGrid w:val="0"/>
        <w:spacing w:afterLines="50" w:after="120"/>
        <w:ind w:left="360"/>
        <w:rPr>
          <w:rFonts w:cstheme="minorHAnsi"/>
          <w:sz w:val="18"/>
          <w:szCs w:val="18"/>
          <w:highlight w:val="darkGray"/>
          <w:shd w:val="clear" w:color="auto" w:fill="E7E6E6" w:themeFill="background2"/>
          <w:lang w:val="en-GB"/>
        </w:rPr>
      </w:pPr>
      <w:r w:rsidRPr="00B656F6">
        <w:rPr>
          <w:rFonts w:cstheme="minorHAnsi"/>
          <w:sz w:val="18"/>
          <w:szCs w:val="18"/>
          <w:highlight w:val="darkGray"/>
          <w:shd w:val="clear" w:color="auto" w:fill="E7E6E6" w:themeFill="background2"/>
          <w:lang w:val="en-GB"/>
        </w:rPr>
        <w:t>The elementary school . . . are usually set in the center of residential areas, and they don’t even have a playground or have a very small one . . . The sports fields are charging high fees to students. The badminton field and swimming pool are charging by 40–50 RMB Yuan per hour.—Official at provincial level</w:t>
      </w:r>
    </w:p>
    <w:p w14:paraId="435849AF" w14:textId="77777777" w:rsidR="00B656F6" w:rsidRPr="00B656F6" w:rsidRDefault="00B656F6" w:rsidP="00B656F6">
      <w:pPr>
        <w:snapToGrid w:val="0"/>
        <w:spacing w:afterLines="50" w:after="120"/>
        <w:rPr>
          <w:rFonts w:cstheme="minorHAnsi"/>
          <w:sz w:val="18"/>
          <w:szCs w:val="18"/>
          <w:highlight w:val="darkGray"/>
          <w:u w:val="single"/>
          <w:shd w:val="clear" w:color="auto" w:fill="E7E6E6" w:themeFill="background2"/>
          <w:lang w:val="en-GB"/>
        </w:rPr>
      </w:pPr>
      <w:r w:rsidRPr="00B656F6">
        <w:rPr>
          <w:rFonts w:hint="eastAsia"/>
          <w:sz w:val="18"/>
          <w:szCs w:val="18"/>
          <w:highlight w:val="darkGray"/>
          <w:u w:val="single"/>
          <w:shd w:val="clear" w:color="auto" w:fill="E7E6E6" w:themeFill="background2"/>
        </w:rPr>
        <w:t>b</w:t>
      </w:r>
      <w:r w:rsidRPr="00B656F6">
        <w:rPr>
          <w:sz w:val="18"/>
          <w:szCs w:val="18"/>
          <w:highlight w:val="darkGray"/>
          <w:u w:val="single"/>
          <w:shd w:val="clear" w:color="auto" w:fill="E7E6E6" w:themeFill="background2"/>
        </w:rPr>
        <w:t>. U</w:t>
      </w:r>
      <w:r w:rsidRPr="00B656F6">
        <w:rPr>
          <w:rFonts w:cstheme="minorHAnsi"/>
          <w:sz w:val="18"/>
          <w:szCs w:val="18"/>
          <w:highlight w:val="darkGray"/>
          <w:u w:val="single"/>
          <w:shd w:val="clear" w:color="auto" w:fill="E7E6E6" w:themeFill="background2"/>
          <w:lang w:val="en-GB"/>
        </w:rPr>
        <w:t>nmet family planning needs among unmarried women</w:t>
      </w:r>
    </w:p>
    <w:p w14:paraId="2D0F9950" w14:textId="77777777" w:rsidR="00B656F6" w:rsidRPr="00B656F6" w:rsidRDefault="00B656F6" w:rsidP="00B656F6">
      <w:pPr>
        <w:snapToGrid w:val="0"/>
        <w:spacing w:afterLines="50" w:after="120"/>
        <w:rPr>
          <w:rFonts w:cstheme="minorHAnsi"/>
          <w:sz w:val="18"/>
          <w:szCs w:val="18"/>
          <w:highlight w:val="darkGray"/>
          <w:shd w:val="clear" w:color="auto" w:fill="E7E6E6" w:themeFill="background2"/>
          <w:lang w:val="en-GB"/>
        </w:rPr>
      </w:pPr>
      <w:r w:rsidRPr="00B656F6">
        <w:rPr>
          <w:rFonts w:cstheme="minorHAnsi"/>
          <w:sz w:val="18"/>
          <w:szCs w:val="18"/>
          <w:highlight w:val="darkGray"/>
          <w:shd w:val="clear" w:color="auto" w:fill="E7E6E6" w:themeFill="background2"/>
          <w:lang w:val="en-GB"/>
        </w:rPr>
        <w:t>Although there are no nationally representative data collected on family planning prevalence among unmarried women, several key informants felt that this group faces unmet needs for contraceptives because they are not provided with free services under the current policy, despite increasing prevalence of premarital sexual activity. In addition, low-income and socially marginalized women in urban areas, such as rural-to-urban migrants, may experience lower financial access and/or entitlement to services.</w:t>
      </w:r>
    </w:p>
    <w:p w14:paraId="4A796AA1" w14:textId="77777777" w:rsidR="00B656F6" w:rsidRPr="00B656F6" w:rsidRDefault="00B656F6" w:rsidP="00B656F6">
      <w:pPr>
        <w:snapToGrid w:val="0"/>
        <w:spacing w:afterLines="50" w:after="120"/>
        <w:ind w:left="360"/>
        <w:rPr>
          <w:rFonts w:cstheme="minorHAnsi"/>
          <w:sz w:val="18"/>
          <w:szCs w:val="18"/>
          <w:highlight w:val="darkGray"/>
          <w:shd w:val="clear" w:color="auto" w:fill="E7E6E6" w:themeFill="background2"/>
          <w:lang w:val="en-GB"/>
        </w:rPr>
      </w:pPr>
      <w:r w:rsidRPr="00B656F6">
        <w:rPr>
          <w:rFonts w:cstheme="minorHAnsi"/>
          <w:sz w:val="18"/>
          <w:szCs w:val="18"/>
          <w:highlight w:val="darkGray"/>
          <w:shd w:val="clear" w:color="auto" w:fill="E7E6E6" w:themeFill="background2"/>
          <w:lang w:val="en-GB"/>
        </w:rPr>
        <w:t>Contraceptive medicine and devices are free to rural married women. Urban areas and unmarried women are excluded. This issue was brought up during the revision of the Law on Family Planning, but it was still not changed in the amendment.—Former official at the national level</w:t>
      </w:r>
    </w:p>
    <w:p w14:paraId="2EFC70CA" w14:textId="77777777" w:rsidR="00B656F6" w:rsidRPr="00B656F6" w:rsidRDefault="00B656F6" w:rsidP="00B656F6">
      <w:pPr>
        <w:snapToGrid w:val="0"/>
        <w:spacing w:afterLines="50" w:after="120"/>
        <w:rPr>
          <w:rFonts w:cstheme="minorHAnsi"/>
          <w:sz w:val="18"/>
          <w:szCs w:val="18"/>
          <w:highlight w:val="darkGray"/>
          <w:shd w:val="clear" w:color="auto" w:fill="E7E6E6" w:themeFill="background2"/>
          <w:lang w:val="en-GB"/>
        </w:rPr>
      </w:pPr>
      <w:r w:rsidRPr="00B656F6">
        <w:rPr>
          <w:rFonts w:cstheme="minorHAnsi"/>
          <w:sz w:val="18"/>
          <w:szCs w:val="18"/>
          <w:highlight w:val="darkGray"/>
          <w:shd w:val="clear" w:color="auto" w:fill="E7E6E6" w:themeFill="background2"/>
          <w:lang w:val="en-GB"/>
        </w:rPr>
        <w:t>Adolescents are particularly vulnerable to having unmet family planning needs because there is no policy provision for school-based sexuality education.</w:t>
      </w:r>
    </w:p>
    <w:p w14:paraId="257FC81B" w14:textId="77777777" w:rsidR="00B656F6" w:rsidRPr="00B656F6" w:rsidRDefault="00B656F6" w:rsidP="00B656F6">
      <w:pPr>
        <w:snapToGrid w:val="0"/>
        <w:spacing w:afterLines="50" w:after="120"/>
        <w:ind w:left="360"/>
        <w:rPr>
          <w:rFonts w:cstheme="minorHAnsi"/>
          <w:sz w:val="18"/>
          <w:szCs w:val="18"/>
          <w:highlight w:val="darkGray"/>
          <w:shd w:val="clear" w:color="auto" w:fill="E7E6E6" w:themeFill="background2"/>
          <w:lang w:val="en-GB"/>
        </w:rPr>
      </w:pPr>
      <w:r w:rsidRPr="00B656F6">
        <w:rPr>
          <w:rFonts w:cstheme="minorHAnsi"/>
          <w:sz w:val="18"/>
          <w:szCs w:val="18"/>
          <w:highlight w:val="darkGray"/>
          <w:shd w:val="clear" w:color="auto" w:fill="E7E6E6" w:themeFill="background2"/>
          <w:lang w:val="en-GB"/>
        </w:rPr>
        <w:t>I think that the increasing of early sex and premarital sex activities is irreversible, but among the department of education, health, and the Youth League, none of them are facing this issue directly. Therefore, there is a blank at both policy and plan level.—Former official at the national level</w:t>
      </w:r>
    </w:p>
    <w:p w14:paraId="322C7BAA" w14:textId="77777777" w:rsidR="00B656F6" w:rsidRPr="00B656F6" w:rsidRDefault="00B656F6" w:rsidP="00B656F6">
      <w:pPr>
        <w:snapToGrid w:val="0"/>
        <w:spacing w:afterLines="50" w:after="120"/>
        <w:rPr>
          <w:sz w:val="18"/>
          <w:szCs w:val="18"/>
          <w:highlight w:val="darkGray"/>
          <w:u w:val="single"/>
          <w:shd w:val="clear" w:color="auto" w:fill="E7E6E6" w:themeFill="background2"/>
          <w:lang w:val="en-GB"/>
        </w:rPr>
      </w:pPr>
      <w:r w:rsidRPr="00B656F6">
        <w:rPr>
          <w:sz w:val="18"/>
          <w:szCs w:val="18"/>
          <w:highlight w:val="darkGray"/>
          <w:u w:val="single"/>
          <w:shd w:val="clear" w:color="auto" w:fill="E7E6E6" w:themeFill="background2"/>
          <w:lang w:val="en-GB"/>
        </w:rPr>
        <w:t>c. Multidrug-resistant TB burden and control challenges</w:t>
      </w:r>
    </w:p>
    <w:p w14:paraId="6F910A03" w14:textId="77777777" w:rsidR="00B656F6" w:rsidRPr="00B656F6" w:rsidRDefault="00B656F6" w:rsidP="00B656F6">
      <w:pPr>
        <w:snapToGrid w:val="0"/>
        <w:spacing w:afterLines="50" w:after="120"/>
        <w:rPr>
          <w:sz w:val="18"/>
          <w:szCs w:val="18"/>
          <w:highlight w:val="darkGray"/>
          <w:shd w:val="clear" w:color="auto" w:fill="E7E6E6" w:themeFill="background2"/>
          <w:lang w:val="en-GB"/>
        </w:rPr>
      </w:pPr>
      <w:r w:rsidRPr="00B656F6">
        <w:rPr>
          <w:sz w:val="18"/>
          <w:szCs w:val="18"/>
          <w:highlight w:val="darkGray"/>
          <w:shd w:val="clear" w:color="auto" w:fill="E7E6E6" w:themeFill="background2"/>
          <w:lang w:val="en-GB"/>
        </w:rPr>
        <w:t>Interviews with a dozen of key informants at the national and provincial levels found that with the increasing number of people screened for multidrug-resistant TB (MDR-TB) and the adoption of new diagnostic methods (GeneXpert), the MDR-TB notified cases in China are increasing. However, there are no accurate data on the number of MDR-TB patients in China.</w:t>
      </w:r>
    </w:p>
    <w:p w14:paraId="2A3A0C74" w14:textId="77777777" w:rsidR="00B656F6" w:rsidRPr="00B656F6" w:rsidRDefault="00B656F6" w:rsidP="00B656F6">
      <w:pPr>
        <w:snapToGrid w:val="0"/>
        <w:spacing w:afterLines="50" w:after="120"/>
        <w:ind w:left="360"/>
        <w:rPr>
          <w:rFonts w:cstheme="minorHAnsi"/>
          <w:sz w:val="18"/>
          <w:szCs w:val="18"/>
          <w:highlight w:val="darkGray"/>
          <w:shd w:val="clear" w:color="auto" w:fill="E7E6E6" w:themeFill="background2"/>
          <w:lang w:val="en-GB"/>
        </w:rPr>
      </w:pPr>
      <w:r w:rsidRPr="00B656F6">
        <w:rPr>
          <w:rFonts w:cstheme="minorHAnsi"/>
          <w:sz w:val="18"/>
          <w:szCs w:val="18"/>
          <w:highlight w:val="darkGray"/>
          <w:shd w:val="clear" w:color="auto" w:fill="E7E6E6" w:themeFill="background2"/>
          <w:lang w:val="en-GB"/>
        </w:rPr>
        <w:t>The MDR-TB screening rate keeps increasing, and it reached to the national requirement of 85% in 2016.—Official at the provincial level</w:t>
      </w:r>
    </w:p>
    <w:p w14:paraId="0FFC7F42" w14:textId="77777777" w:rsidR="00B656F6" w:rsidRPr="00B656F6" w:rsidRDefault="00B656F6" w:rsidP="00B656F6">
      <w:pPr>
        <w:snapToGrid w:val="0"/>
        <w:spacing w:afterLines="50" w:after="120"/>
        <w:ind w:left="360"/>
        <w:rPr>
          <w:rFonts w:cstheme="minorHAnsi"/>
          <w:sz w:val="18"/>
          <w:szCs w:val="18"/>
          <w:highlight w:val="darkGray"/>
          <w:shd w:val="clear" w:color="auto" w:fill="E7E6E6" w:themeFill="background2"/>
          <w:lang w:val="en-GB"/>
        </w:rPr>
      </w:pPr>
      <w:r w:rsidRPr="00B656F6">
        <w:rPr>
          <w:rFonts w:cstheme="minorHAnsi"/>
          <w:sz w:val="18"/>
          <w:szCs w:val="18"/>
          <w:highlight w:val="darkGray"/>
          <w:shd w:val="clear" w:color="auto" w:fill="E7E6E6" w:themeFill="background2"/>
          <w:lang w:val="en-GB"/>
        </w:rPr>
        <w:t xml:space="preserve"> One big issue is that we are not clear about the number of MDR-TB patients in China.—Official at the national level</w:t>
      </w:r>
    </w:p>
    <w:p w14:paraId="64AAB488" w14:textId="77777777" w:rsidR="00B656F6" w:rsidRPr="00B656F6" w:rsidRDefault="00B656F6" w:rsidP="00B656F6">
      <w:pPr>
        <w:snapToGrid w:val="0"/>
        <w:spacing w:afterLines="50" w:after="120"/>
        <w:rPr>
          <w:sz w:val="18"/>
          <w:szCs w:val="18"/>
          <w:highlight w:val="darkGray"/>
          <w:shd w:val="clear" w:color="auto" w:fill="E7E6E6" w:themeFill="background2"/>
          <w:lang w:val="en-GB"/>
        </w:rPr>
      </w:pPr>
      <w:r w:rsidRPr="00B656F6">
        <w:rPr>
          <w:sz w:val="18"/>
          <w:szCs w:val="18"/>
          <w:highlight w:val="darkGray"/>
          <w:shd w:val="clear" w:color="auto" w:fill="E7E6E6" w:themeFill="background2"/>
          <w:lang w:val="en-GB"/>
        </w:rPr>
        <w:t xml:space="preserve">Almost all key informants expressed that the control of MDR-TB faces challenges in case notification, diagnosis, and treatment due to insufficient service coverage and capacity for delivery and difficulty in affording the care. MDR-TB diagnosis and treatment services are not available in some regions. In places where such services are available, the </w:t>
      </w:r>
      <w:r w:rsidRPr="00B656F6">
        <w:rPr>
          <w:sz w:val="18"/>
          <w:szCs w:val="18"/>
          <w:highlight w:val="darkGray"/>
          <w:shd w:val="clear" w:color="auto" w:fill="E7E6E6" w:themeFill="background2"/>
          <w:lang w:val="en-GB"/>
        </w:rPr>
        <w:lastRenderedPageBreak/>
        <w:t>high treatment costs, low actual reimbursement rate (varied based on local health insurance scheme policy), and long treatment duration (around 2 years) reduce patient adherence. Furthermore, low service delivery capacity makes such services largely unstandardized, especially in economically disadvantaged regions.</w:t>
      </w:r>
    </w:p>
    <w:p w14:paraId="03DCB009" w14:textId="77777777" w:rsidR="00B656F6" w:rsidRPr="00B656F6" w:rsidRDefault="00B656F6" w:rsidP="00B656F6">
      <w:pPr>
        <w:snapToGrid w:val="0"/>
        <w:spacing w:afterLines="50" w:after="120"/>
        <w:ind w:left="360"/>
        <w:rPr>
          <w:rFonts w:cstheme="minorHAnsi"/>
          <w:sz w:val="18"/>
          <w:szCs w:val="18"/>
          <w:highlight w:val="darkGray"/>
          <w:shd w:val="clear" w:color="auto" w:fill="E7E6E6" w:themeFill="background2"/>
          <w:lang w:val="en-GB"/>
        </w:rPr>
      </w:pPr>
      <w:r w:rsidRPr="00B656F6">
        <w:rPr>
          <w:rFonts w:cstheme="minorHAnsi"/>
          <w:sz w:val="18"/>
          <w:szCs w:val="18"/>
          <w:highlight w:val="darkGray"/>
          <w:shd w:val="clear" w:color="auto" w:fill="E7E6E6" w:themeFill="background2"/>
          <w:lang w:val="en-GB"/>
        </w:rPr>
        <w:t>The adoption of new diagnostic methods, particularly at primary level is low. The traditional TB sputum smear and culture test capacity is low, and there is lack of health professionals to do it.—Official at national level</w:t>
      </w:r>
    </w:p>
    <w:p w14:paraId="4459E897" w14:textId="77777777" w:rsidR="00B656F6" w:rsidRPr="00B656F6" w:rsidRDefault="00B656F6" w:rsidP="00B656F6">
      <w:pPr>
        <w:snapToGrid w:val="0"/>
        <w:spacing w:afterLines="50" w:after="120"/>
        <w:ind w:left="360"/>
        <w:rPr>
          <w:rFonts w:cstheme="minorHAnsi"/>
          <w:sz w:val="18"/>
          <w:szCs w:val="18"/>
          <w:highlight w:val="darkGray"/>
          <w:shd w:val="clear" w:color="auto" w:fill="E7E6E6" w:themeFill="background2"/>
          <w:lang w:val="en-GB"/>
        </w:rPr>
      </w:pPr>
      <w:r w:rsidRPr="00B656F6">
        <w:rPr>
          <w:rFonts w:cstheme="minorHAnsi"/>
          <w:sz w:val="18"/>
          <w:szCs w:val="18"/>
          <w:highlight w:val="darkGray"/>
          <w:shd w:val="clear" w:color="auto" w:fill="E7E6E6" w:themeFill="background2"/>
          <w:lang w:val="en-GB"/>
        </w:rPr>
        <w:t>There are huge issues after notifying MDR-TB patients. Even if the costs can be reimbursed as high as 70%, patients still cannot afford the other 30% and refuse to receive the treatment.—Official at provincial level</w:t>
      </w:r>
    </w:p>
    <w:p w14:paraId="483CBFD9" w14:textId="77777777" w:rsidR="00B656F6" w:rsidRPr="00B656F6" w:rsidRDefault="00B656F6" w:rsidP="00B656F6">
      <w:pPr>
        <w:snapToGrid w:val="0"/>
        <w:spacing w:afterLines="50" w:after="120"/>
        <w:rPr>
          <w:rFonts w:cstheme="minorHAnsi"/>
          <w:sz w:val="18"/>
          <w:szCs w:val="18"/>
          <w:highlight w:val="darkGray"/>
          <w:u w:val="single"/>
          <w:shd w:val="clear" w:color="auto" w:fill="E7E6E6" w:themeFill="background2"/>
          <w:lang w:val="en-GB"/>
        </w:rPr>
      </w:pPr>
      <w:r w:rsidRPr="00B656F6">
        <w:rPr>
          <w:rFonts w:cstheme="minorHAnsi"/>
          <w:sz w:val="18"/>
          <w:szCs w:val="18"/>
          <w:highlight w:val="darkGray"/>
          <w:u w:val="single"/>
          <w:shd w:val="clear" w:color="auto" w:fill="E7E6E6" w:themeFill="background2"/>
          <w:lang w:val="en-GB"/>
        </w:rPr>
        <w:t>d. Progress and challenges for smoking control in China</w:t>
      </w:r>
    </w:p>
    <w:p w14:paraId="5D98BD40" w14:textId="77777777" w:rsidR="00B656F6" w:rsidRPr="00B656F6" w:rsidRDefault="00B656F6" w:rsidP="00B656F6">
      <w:pPr>
        <w:snapToGrid w:val="0"/>
        <w:spacing w:afterLines="50" w:after="120"/>
        <w:rPr>
          <w:sz w:val="18"/>
          <w:szCs w:val="18"/>
          <w:highlight w:val="darkGray"/>
          <w:shd w:val="clear" w:color="auto" w:fill="E7E6E6" w:themeFill="background2"/>
          <w:lang w:val="en-GB"/>
        </w:rPr>
      </w:pPr>
      <w:r w:rsidRPr="00B656F6">
        <w:rPr>
          <w:sz w:val="18"/>
          <w:szCs w:val="18"/>
          <w:highlight w:val="darkGray"/>
          <w:shd w:val="clear" w:color="auto" w:fill="E7E6E6" w:themeFill="background2"/>
          <w:lang w:val="en-GB"/>
        </w:rPr>
        <w:t>One informant at the national level reported that legislation against smoking in public places has been effective in reducing passive smoking in cities where it has been passed. However, many local governments are reluctant to pass similar legislation, let alone implement the policy.</w:t>
      </w:r>
    </w:p>
    <w:p w14:paraId="47A11CC9" w14:textId="77777777" w:rsidR="00B656F6" w:rsidRPr="00B656F6" w:rsidRDefault="00B656F6" w:rsidP="00B656F6">
      <w:pPr>
        <w:snapToGrid w:val="0"/>
        <w:spacing w:afterLines="50" w:after="120"/>
        <w:ind w:left="360"/>
        <w:rPr>
          <w:rFonts w:cstheme="minorHAnsi"/>
          <w:sz w:val="18"/>
          <w:szCs w:val="18"/>
          <w:highlight w:val="darkGray"/>
          <w:shd w:val="clear" w:color="auto" w:fill="E7E6E6" w:themeFill="background2"/>
          <w:lang w:val="en-GB"/>
        </w:rPr>
      </w:pPr>
      <w:r w:rsidRPr="00B656F6">
        <w:rPr>
          <w:rFonts w:cstheme="minorHAnsi"/>
          <w:sz w:val="18"/>
          <w:szCs w:val="18"/>
          <w:highlight w:val="darkGray"/>
          <w:shd w:val="clear" w:color="auto" w:fill="E7E6E6" w:themeFill="background2"/>
          <w:lang w:val="en-GB"/>
        </w:rPr>
        <w:t>It is a pity that there is no legislation of smoking ban in public places at national level. There are only 18 cities who have done it, covering only 10% of the entire population.—Official at the national level</w:t>
      </w:r>
    </w:p>
    <w:p w14:paraId="0ADA3160" w14:textId="77777777" w:rsidR="00B656F6" w:rsidRPr="00B656F6" w:rsidRDefault="00B656F6" w:rsidP="00B656F6">
      <w:pPr>
        <w:snapToGrid w:val="0"/>
        <w:spacing w:afterLines="50" w:after="120"/>
        <w:ind w:left="360"/>
        <w:rPr>
          <w:rFonts w:cstheme="minorHAnsi"/>
          <w:sz w:val="18"/>
          <w:szCs w:val="18"/>
          <w:highlight w:val="darkGray"/>
          <w:shd w:val="clear" w:color="auto" w:fill="E7E6E6" w:themeFill="background2"/>
          <w:lang w:val="en-GB"/>
        </w:rPr>
      </w:pPr>
      <w:r w:rsidRPr="00B656F6">
        <w:rPr>
          <w:rFonts w:cstheme="minorHAnsi"/>
          <w:sz w:val="18"/>
          <w:szCs w:val="18"/>
          <w:highlight w:val="darkGray"/>
          <w:shd w:val="clear" w:color="auto" w:fill="E7E6E6" w:themeFill="background2"/>
          <w:lang w:val="en-GB"/>
        </w:rPr>
        <w:t>Legislation is effective; however, it is difficult to do it in China. Now it is NGOs and the general public that are pushing the government to do it. Government attitude towards it is very cautious.—Official at provincial level</w:t>
      </w:r>
    </w:p>
    <w:p w14:paraId="6FA4E7FE" w14:textId="77777777" w:rsidR="00B656F6" w:rsidRPr="00B656F6" w:rsidRDefault="00B656F6" w:rsidP="00B656F6">
      <w:pPr>
        <w:snapToGrid w:val="0"/>
        <w:spacing w:afterLines="50" w:after="120"/>
        <w:rPr>
          <w:sz w:val="18"/>
          <w:szCs w:val="18"/>
          <w:highlight w:val="darkGray"/>
          <w:shd w:val="clear" w:color="auto" w:fill="E7E6E6" w:themeFill="background2"/>
          <w:lang w:val="en-GB"/>
        </w:rPr>
      </w:pPr>
      <w:r w:rsidRPr="00B656F6">
        <w:rPr>
          <w:sz w:val="18"/>
          <w:szCs w:val="18"/>
          <w:highlight w:val="darkGray"/>
          <w:shd w:val="clear" w:color="auto" w:fill="E7E6E6" w:themeFill="background2"/>
          <w:lang w:val="en-GB"/>
        </w:rPr>
        <w:t>Several interviewed informants at the national and provincial level outlined a number of challenges to developing and implementing tobacco control polices, including the power of the tobacco industry (particularly due to its revenue generation), public pressure due to the huge number of smokers, and the limited financial and human resources allocated to smoking control.</w:t>
      </w:r>
    </w:p>
    <w:p w14:paraId="2464FD5A" w14:textId="77777777" w:rsidR="00B656F6" w:rsidRPr="00B656F6" w:rsidRDefault="00B656F6" w:rsidP="00B656F6">
      <w:pPr>
        <w:ind w:left="360"/>
        <w:rPr>
          <w:rFonts w:ascii="Calibri" w:hAnsi="Calibri" w:cs="Calibri"/>
          <w:szCs w:val="24"/>
          <w:shd w:val="clear" w:color="auto" w:fill="E7E6E6" w:themeFill="background2"/>
        </w:rPr>
      </w:pPr>
      <w:r w:rsidRPr="00B656F6">
        <w:rPr>
          <w:rFonts w:cstheme="minorHAnsi"/>
          <w:sz w:val="18"/>
          <w:szCs w:val="18"/>
          <w:highlight w:val="darkGray"/>
          <w:shd w:val="clear" w:color="auto" w:fill="E7E6E6" w:themeFill="background2"/>
          <w:lang w:val="en-GB"/>
        </w:rPr>
        <w:t>To implement smoking control strategies is challenging in China. First, China has a large number of smokers, and it is not easy to change such an addictive behavior. There is also low awareness [about the health harm). The financial resources allocated to smoking control is limited. Currently there are only about 30 million RMB coming from central and local government and projects for smoking control use. There are no more than 30 smoking-control professionals in China, and there is only half person who is working on smoking control in the health education department of CDC.—Official at national level</w:t>
      </w:r>
    </w:p>
    <w:p w14:paraId="515825C2" w14:textId="77777777" w:rsidR="00B656F6" w:rsidRPr="00B656F6" w:rsidRDefault="00B656F6" w:rsidP="00B656F6">
      <w:pPr>
        <w:rPr>
          <w:rFonts w:ascii="Calibri" w:hAnsi="Calibri" w:cs="Calibri"/>
          <w:szCs w:val="24"/>
        </w:rPr>
      </w:pPr>
      <w:r w:rsidRPr="00755F09">
        <w:rPr>
          <w:rFonts w:ascii="Calibri" w:hAnsi="Calibri" w:cs="Calibri"/>
          <w:szCs w:val="24"/>
        </w:rPr>
        <w:t>Our analysis estimated that China may achieve 12 of the 28 selected health-related SDG indicators in 2030. The total number of indicators achieved varied geographically among provinces</w:t>
      </w:r>
      <w:r>
        <w:rPr>
          <w:rFonts w:ascii="Calibri" w:hAnsi="Calibri" w:cs="Calibri"/>
          <w:szCs w:val="24"/>
        </w:rPr>
        <w:t>,</w:t>
      </w:r>
      <w:r w:rsidRPr="00755F09">
        <w:rPr>
          <w:rFonts w:ascii="Calibri" w:hAnsi="Calibri" w:cs="Calibri"/>
          <w:szCs w:val="24"/>
        </w:rPr>
        <w:t xml:space="preserve"> and two-thirds of the provinces are estimated not </w:t>
      </w:r>
      <w:r>
        <w:rPr>
          <w:rFonts w:ascii="Calibri" w:hAnsi="Calibri" w:cs="Calibri"/>
          <w:szCs w:val="24"/>
        </w:rPr>
        <w:t xml:space="preserve">to </w:t>
      </w:r>
      <w:r w:rsidRPr="00755F09">
        <w:rPr>
          <w:rFonts w:ascii="Calibri" w:hAnsi="Calibri" w:cs="Calibri"/>
          <w:szCs w:val="24"/>
        </w:rPr>
        <w:t>be able to achieve half of the 28 indicators, though the geographic gap was narrowed (</w:t>
      </w:r>
      <w:r>
        <w:rPr>
          <w:rFonts w:ascii="Calibri" w:hAnsi="Calibri" w:cs="Calibri"/>
          <w:szCs w:val="24"/>
        </w:rPr>
        <w:t>Fig 1</w:t>
      </w:r>
      <w:r w:rsidRPr="00755F09">
        <w:rPr>
          <w:rFonts w:ascii="Calibri" w:hAnsi="Calibri" w:cs="Calibri"/>
          <w:szCs w:val="24"/>
        </w:rPr>
        <w:t>). Eastern coastal provinces are predicted to perform better than central and western provinces, especially for Beijing, Tianjin, Shanghai</w:t>
      </w:r>
      <w:r>
        <w:rPr>
          <w:rFonts w:ascii="Calibri" w:hAnsi="Calibri" w:cs="Calibri"/>
          <w:szCs w:val="24"/>
        </w:rPr>
        <w:t>,</w:t>
      </w:r>
      <w:r w:rsidRPr="00755F09">
        <w:rPr>
          <w:rFonts w:ascii="Calibri" w:hAnsi="Calibri" w:cs="Calibri"/>
          <w:szCs w:val="24"/>
        </w:rPr>
        <w:t xml:space="preserve"> and Hebei</w:t>
      </w:r>
      <w:r>
        <w:rPr>
          <w:rFonts w:ascii="Calibri" w:hAnsi="Calibri" w:cs="Calibri"/>
          <w:szCs w:val="24"/>
        </w:rPr>
        <w:t>,</w:t>
      </w:r>
      <w:r w:rsidRPr="00755F09">
        <w:rPr>
          <w:rFonts w:ascii="Calibri" w:hAnsi="Calibri" w:cs="Calibri"/>
          <w:szCs w:val="24"/>
        </w:rPr>
        <w:t xml:space="preserve"> which could achieve 16 indicators. However, we</w:t>
      </w:r>
      <w:r w:rsidRPr="00B656F6">
        <w:rPr>
          <w:rFonts w:ascii="Calibri" w:hAnsi="Calibri" w:cs="Calibri"/>
          <w:szCs w:val="24"/>
        </w:rPr>
        <w:t>stern provinces progressed faster than eastern and central provinces compared with baseline status, especially for Tibet, which could achieve eight more indicators compared with its baseline in 2015, ranking first among all the provinces. Fig 2 presents the projected progress of the attainment index of the indicators by province from 2015 to the target year, and details are described by thematic topic below.</w:t>
      </w:r>
    </w:p>
    <w:p w14:paraId="3DAD68EE" w14:textId="77777777" w:rsidR="00B656F6" w:rsidRPr="00B656F6" w:rsidRDefault="00B656F6" w:rsidP="00B656F6">
      <w:pPr>
        <w:rPr>
          <w:rFonts w:ascii="Calibri" w:hAnsi="Calibri" w:cs="Calibri"/>
          <w:szCs w:val="24"/>
        </w:rPr>
      </w:pPr>
    </w:p>
    <w:p w14:paraId="409F4A0D" w14:textId="77777777" w:rsidR="00B656F6" w:rsidRPr="00B656F6" w:rsidRDefault="00B656F6" w:rsidP="00B656F6">
      <w:pPr>
        <w:rPr>
          <w:rFonts w:ascii="Calibri" w:hAnsi="Calibri" w:cs="Calibri"/>
          <w:szCs w:val="24"/>
        </w:rPr>
      </w:pPr>
      <w:r w:rsidRPr="00B656F6">
        <w:rPr>
          <w:rFonts w:ascii="Calibri" w:hAnsi="Calibri" w:cs="Calibri"/>
          <w:b/>
          <w:bCs/>
          <w:szCs w:val="24"/>
        </w:rPr>
        <w:t>Fig 1.</w:t>
      </w:r>
      <w:r w:rsidRPr="00B656F6">
        <w:rPr>
          <w:rFonts w:ascii="Calibri" w:hAnsi="Calibri" w:cs="Calibri"/>
          <w:szCs w:val="24"/>
        </w:rPr>
        <w:t xml:space="preserve"> The number of the key health SDG monitoring indicators achieved in China by 2030. SDG, Sustainable Development Goal.</w:t>
      </w:r>
    </w:p>
    <w:p w14:paraId="39E8BB86" w14:textId="77777777" w:rsidR="00B656F6" w:rsidRPr="00B656F6" w:rsidRDefault="00B656F6" w:rsidP="00B656F6">
      <w:pPr>
        <w:rPr>
          <w:rFonts w:ascii="Calibri" w:hAnsi="Calibri" w:cs="Calibri"/>
          <w:szCs w:val="24"/>
        </w:rPr>
      </w:pPr>
    </w:p>
    <w:p w14:paraId="306EE59D" w14:textId="77777777" w:rsidR="00B656F6" w:rsidRPr="00B656F6" w:rsidRDefault="00B656F6" w:rsidP="00B656F6">
      <w:pPr>
        <w:rPr>
          <w:rFonts w:ascii="Calibri" w:hAnsi="Calibri" w:cs="Calibri"/>
          <w:szCs w:val="24"/>
        </w:rPr>
      </w:pPr>
      <w:r w:rsidRPr="00B656F6">
        <w:rPr>
          <w:rFonts w:ascii="Calibri" w:hAnsi="Calibri" w:cs="Calibri"/>
          <w:b/>
          <w:bCs/>
          <w:szCs w:val="24"/>
        </w:rPr>
        <w:t>Fig 2.</w:t>
      </w:r>
      <w:r w:rsidRPr="00B656F6">
        <w:rPr>
          <w:rFonts w:ascii="Calibri" w:hAnsi="Calibri" w:cs="Calibri"/>
          <w:szCs w:val="24"/>
        </w:rPr>
        <w:t xml:space="preserve"> The projected progress of SDG monitoring indicators in China from 2016 to 2030. SDG, Sustainable Development Goal.</w:t>
      </w:r>
    </w:p>
    <w:p w14:paraId="296B7B06" w14:textId="77777777" w:rsidR="00B656F6" w:rsidRPr="00755F09" w:rsidRDefault="00B656F6" w:rsidP="00B656F6">
      <w:pPr>
        <w:rPr>
          <w:rFonts w:ascii="Calibri" w:hAnsi="Calibri" w:cs="Calibri"/>
          <w:szCs w:val="24"/>
        </w:rPr>
      </w:pPr>
      <w:r w:rsidRPr="00B656F6">
        <w:rPr>
          <w:rFonts w:ascii="Calibri" w:hAnsi="Calibri" w:cs="Calibri"/>
          <w:szCs w:val="24"/>
        </w:rPr>
        <w:t>Calculated based on the GBD 2016 results. Data provided here do not include Taiwan. (A) Child nutrition. It includes three indicators: prevalence o</w:t>
      </w:r>
      <w:r w:rsidRPr="00D62654">
        <w:rPr>
          <w:rFonts w:ascii="Calibri" w:hAnsi="Calibri" w:cs="Calibri"/>
          <w:szCs w:val="24"/>
        </w:rPr>
        <w:t xml:space="preserve">f stunting aged under </w:t>
      </w:r>
      <w:r>
        <w:rPr>
          <w:rFonts w:ascii="Calibri" w:hAnsi="Calibri" w:cs="Calibri"/>
          <w:szCs w:val="24"/>
        </w:rPr>
        <w:t>5 years</w:t>
      </w:r>
      <w:r w:rsidRPr="00D62654">
        <w:rPr>
          <w:rFonts w:ascii="Calibri" w:hAnsi="Calibri" w:cs="Calibri"/>
          <w:szCs w:val="24"/>
        </w:rPr>
        <w:t xml:space="preserve"> (SDG 2.2.1), prevalence of wasting aged under </w:t>
      </w:r>
      <w:r>
        <w:rPr>
          <w:rFonts w:ascii="Calibri" w:hAnsi="Calibri" w:cs="Calibri"/>
          <w:szCs w:val="24"/>
        </w:rPr>
        <w:t>5 years</w:t>
      </w:r>
      <w:r w:rsidRPr="00D62654">
        <w:rPr>
          <w:rFonts w:ascii="Calibri" w:hAnsi="Calibri" w:cs="Calibri"/>
          <w:szCs w:val="24"/>
        </w:rPr>
        <w:t xml:space="preserve"> (SDG 2.2.2a)</w:t>
      </w:r>
      <w:r>
        <w:rPr>
          <w:rFonts w:ascii="Calibri" w:hAnsi="Calibri" w:cs="Calibri"/>
          <w:szCs w:val="24"/>
        </w:rPr>
        <w:t>,</w:t>
      </w:r>
      <w:r w:rsidRPr="00D62654">
        <w:rPr>
          <w:rFonts w:ascii="Calibri" w:hAnsi="Calibri" w:cs="Calibri"/>
          <w:szCs w:val="24"/>
        </w:rPr>
        <w:t xml:space="preserve"> and prevalence of overweight aged 2</w:t>
      </w:r>
      <w:r>
        <w:rPr>
          <w:rFonts w:ascii="Calibri" w:hAnsi="Calibri" w:cs="Calibri"/>
          <w:szCs w:val="24"/>
        </w:rPr>
        <w:t>–</w:t>
      </w:r>
      <w:r w:rsidRPr="00D62654">
        <w:rPr>
          <w:rFonts w:ascii="Calibri" w:hAnsi="Calibri" w:cs="Calibri"/>
          <w:szCs w:val="24"/>
        </w:rPr>
        <w:t>4 years (SDG 2.2.2b). (B) M</w:t>
      </w:r>
      <w:r>
        <w:rPr>
          <w:rFonts w:ascii="Calibri" w:hAnsi="Calibri" w:cs="Calibri"/>
          <w:szCs w:val="24"/>
        </w:rPr>
        <w:t>aternal and child health and reproductive health</w:t>
      </w:r>
      <w:r w:rsidRPr="00D62654">
        <w:rPr>
          <w:rFonts w:ascii="Calibri" w:hAnsi="Calibri" w:cs="Calibri"/>
          <w:szCs w:val="24"/>
        </w:rPr>
        <w:t>. It includes six indicators: maternal mortality (SDG 3.1.1), skilled birth attendance (SDG 3.1.2), under-5 mortality (SDG 3.2.1), neonatal mortality (SDG 3.2.2), vaccine coverage (SDG 3.b.1)</w:t>
      </w:r>
      <w:r>
        <w:rPr>
          <w:rFonts w:ascii="Calibri" w:hAnsi="Calibri" w:cs="Calibri"/>
          <w:szCs w:val="24"/>
        </w:rPr>
        <w:t>,</w:t>
      </w:r>
      <w:r w:rsidRPr="00D62654">
        <w:rPr>
          <w:rFonts w:ascii="Calibri" w:hAnsi="Calibri" w:cs="Calibri"/>
          <w:szCs w:val="24"/>
        </w:rPr>
        <w:t xml:space="preserve"> and family planning need met with modern contraception methods (SDG 3.7.1).</w:t>
      </w:r>
      <w:r>
        <w:rPr>
          <w:rFonts w:ascii="Calibri" w:hAnsi="Calibri" w:cs="Calibri"/>
          <w:szCs w:val="24"/>
        </w:rPr>
        <w:t xml:space="preserve"> </w:t>
      </w:r>
      <w:r w:rsidRPr="00D62654">
        <w:rPr>
          <w:rFonts w:ascii="Calibri" w:hAnsi="Calibri" w:cs="Calibri"/>
          <w:szCs w:val="24"/>
        </w:rPr>
        <w:t>(</w:t>
      </w:r>
      <w:r>
        <w:rPr>
          <w:rFonts w:ascii="Calibri" w:hAnsi="Calibri" w:cs="Calibri"/>
          <w:szCs w:val="24"/>
        </w:rPr>
        <w:t>C</w:t>
      </w:r>
      <w:r w:rsidRPr="00D62654">
        <w:rPr>
          <w:rFonts w:ascii="Calibri" w:hAnsi="Calibri" w:cs="Calibri"/>
          <w:szCs w:val="24"/>
        </w:rPr>
        <w:t xml:space="preserve">) </w:t>
      </w:r>
      <w:r>
        <w:rPr>
          <w:rFonts w:ascii="Calibri" w:hAnsi="Calibri" w:cs="Calibri"/>
          <w:szCs w:val="24"/>
        </w:rPr>
        <w:t>I</w:t>
      </w:r>
      <w:r w:rsidRPr="00D62654">
        <w:rPr>
          <w:rFonts w:ascii="Calibri" w:hAnsi="Calibri" w:cs="Calibri"/>
          <w:szCs w:val="24"/>
        </w:rPr>
        <w:t xml:space="preserve">nfectious </w:t>
      </w:r>
      <w:r>
        <w:rPr>
          <w:rFonts w:ascii="Calibri" w:hAnsi="Calibri" w:cs="Calibri"/>
          <w:szCs w:val="24"/>
        </w:rPr>
        <w:t>d</w:t>
      </w:r>
      <w:r w:rsidRPr="00D62654">
        <w:rPr>
          <w:rFonts w:ascii="Calibri" w:hAnsi="Calibri" w:cs="Calibri"/>
          <w:szCs w:val="24"/>
        </w:rPr>
        <w:t>iseases. It includes five indicators: HIV incidence (SDG 3.3.1), TB incidence (SDG 3.3.2), malaria incidence (SDG 3.3.3), hepatitis B incidence (SDG 3.3.4)</w:t>
      </w:r>
      <w:r>
        <w:rPr>
          <w:rFonts w:ascii="Calibri" w:hAnsi="Calibri" w:cs="Calibri"/>
          <w:szCs w:val="24"/>
        </w:rPr>
        <w:t>,</w:t>
      </w:r>
      <w:r w:rsidRPr="00D62654">
        <w:rPr>
          <w:rFonts w:ascii="Calibri" w:hAnsi="Calibri" w:cs="Calibri"/>
          <w:szCs w:val="24"/>
        </w:rPr>
        <w:t xml:space="preserve"> and prevalence of neglected tropic diseases (SDG 3.3.5).</w:t>
      </w:r>
      <w:r>
        <w:rPr>
          <w:rFonts w:ascii="Calibri" w:hAnsi="Calibri" w:cs="Calibri"/>
          <w:szCs w:val="24"/>
        </w:rPr>
        <w:t xml:space="preserve"> </w:t>
      </w:r>
      <w:r w:rsidRPr="00D62654">
        <w:rPr>
          <w:rFonts w:ascii="Calibri" w:hAnsi="Calibri" w:cs="Calibri"/>
          <w:szCs w:val="24"/>
        </w:rPr>
        <w:t>(</w:t>
      </w:r>
      <w:r>
        <w:rPr>
          <w:rFonts w:ascii="Calibri" w:hAnsi="Calibri" w:cs="Calibri"/>
          <w:szCs w:val="24"/>
        </w:rPr>
        <w:t>D</w:t>
      </w:r>
      <w:r w:rsidRPr="00D62654">
        <w:rPr>
          <w:rFonts w:ascii="Calibri" w:hAnsi="Calibri" w:cs="Calibri"/>
          <w:szCs w:val="24"/>
        </w:rPr>
        <w:t>) NCDs and mental health. It includes two indicators</w:t>
      </w:r>
      <w:r>
        <w:rPr>
          <w:rFonts w:ascii="Calibri" w:hAnsi="Calibri" w:cs="Calibri"/>
          <w:szCs w:val="24"/>
        </w:rPr>
        <w:t>:</w:t>
      </w:r>
      <w:r w:rsidRPr="00D62654">
        <w:rPr>
          <w:rFonts w:ascii="Calibri" w:hAnsi="Calibri" w:cs="Calibri"/>
          <w:szCs w:val="24"/>
        </w:rPr>
        <w:t xml:space="preserve"> morality due to cardiovascular diseases, cancer, diabetes and chronic respiratory diseases at age 30</w:t>
      </w:r>
      <w:r>
        <w:rPr>
          <w:rFonts w:ascii="Calibri" w:hAnsi="Calibri" w:cs="Calibri"/>
          <w:szCs w:val="24"/>
        </w:rPr>
        <w:t>–</w:t>
      </w:r>
      <w:r w:rsidRPr="00D62654">
        <w:rPr>
          <w:rFonts w:ascii="Calibri" w:hAnsi="Calibri" w:cs="Calibri"/>
          <w:szCs w:val="24"/>
        </w:rPr>
        <w:t>70 (SDG 3.4.1) and suicide mortality (SDG 3.4.2).</w:t>
      </w:r>
      <w:r>
        <w:rPr>
          <w:rFonts w:ascii="Calibri" w:hAnsi="Calibri" w:cs="Calibri"/>
          <w:szCs w:val="24"/>
        </w:rPr>
        <w:t xml:space="preserve"> </w:t>
      </w:r>
      <w:r w:rsidRPr="00D62654">
        <w:rPr>
          <w:rFonts w:ascii="Calibri" w:hAnsi="Calibri" w:cs="Calibri"/>
          <w:szCs w:val="24"/>
        </w:rPr>
        <w:t>(</w:t>
      </w:r>
      <w:r>
        <w:rPr>
          <w:rFonts w:ascii="Calibri" w:hAnsi="Calibri" w:cs="Calibri"/>
          <w:szCs w:val="24"/>
        </w:rPr>
        <w:t>E</w:t>
      </w:r>
      <w:r w:rsidRPr="00D62654">
        <w:rPr>
          <w:rFonts w:ascii="Calibri" w:hAnsi="Calibri" w:cs="Calibri"/>
          <w:szCs w:val="24"/>
        </w:rPr>
        <w:t>) NCD risk factors. It includes two indicators: smoking prevalence (SDG 3.a.1) and alcohol use (SDG 3.5.2).</w:t>
      </w:r>
      <w:r>
        <w:rPr>
          <w:rFonts w:ascii="Calibri" w:hAnsi="Calibri" w:cs="Calibri"/>
          <w:szCs w:val="24"/>
        </w:rPr>
        <w:t xml:space="preserve"> </w:t>
      </w:r>
      <w:r w:rsidRPr="00D62654">
        <w:rPr>
          <w:rFonts w:ascii="Calibri" w:hAnsi="Calibri" w:cs="Calibri"/>
          <w:szCs w:val="24"/>
        </w:rPr>
        <w:t>(</w:t>
      </w:r>
      <w:r>
        <w:rPr>
          <w:rFonts w:ascii="Calibri" w:hAnsi="Calibri" w:cs="Calibri"/>
          <w:szCs w:val="24"/>
        </w:rPr>
        <w:t>F</w:t>
      </w:r>
      <w:r w:rsidRPr="00D62654">
        <w:rPr>
          <w:rFonts w:ascii="Calibri" w:hAnsi="Calibri" w:cs="Calibri"/>
          <w:szCs w:val="24"/>
        </w:rPr>
        <w:t xml:space="preserve">) </w:t>
      </w:r>
      <w:r>
        <w:rPr>
          <w:rFonts w:ascii="Calibri" w:hAnsi="Calibri" w:cs="Calibri"/>
          <w:szCs w:val="24"/>
        </w:rPr>
        <w:lastRenderedPageBreak/>
        <w:t>R</w:t>
      </w:r>
      <w:r w:rsidRPr="00D62654">
        <w:rPr>
          <w:rFonts w:ascii="Calibri" w:hAnsi="Calibri" w:cs="Calibri"/>
          <w:szCs w:val="24"/>
        </w:rPr>
        <w:t>oad injury. It includes one indicator: road injury mortality (SDG 3.6.1).</w:t>
      </w:r>
      <w:r>
        <w:rPr>
          <w:rFonts w:ascii="Calibri" w:hAnsi="Calibri" w:cs="Calibri"/>
          <w:szCs w:val="24"/>
        </w:rPr>
        <w:t xml:space="preserve"> </w:t>
      </w:r>
      <w:r w:rsidRPr="00D62654">
        <w:rPr>
          <w:rFonts w:ascii="Calibri" w:hAnsi="Calibri" w:cs="Calibri"/>
          <w:szCs w:val="24"/>
        </w:rPr>
        <w:t>(</w:t>
      </w:r>
      <w:r>
        <w:rPr>
          <w:rFonts w:ascii="Calibri" w:hAnsi="Calibri" w:cs="Calibri"/>
          <w:szCs w:val="24"/>
        </w:rPr>
        <w:t>G</w:t>
      </w:r>
      <w:r w:rsidRPr="00D62654">
        <w:rPr>
          <w:rFonts w:ascii="Calibri" w:hAnsi="Calibri" w:cs="Calibri"/>
          <w:szCs w:val="24"/>
        </w:rPr>
        <w:t xml:space="preserve">) </w:t>
      </w:r>
      <w:r>
        <w:rPr>
          <w:rFonts w:ascii="Calibri" w:hAnsi="Calibri" w:cs="Calibri"/>
          <w:szCs w:val="24"/>
        </w:rPr>
        <w:t>E</w:t>
      </w:r>
      <w:r w:rsidRPr="00D62654">
        <w:rPr>
          <w:rFonts w:ascii="Calibri" w:hAnsi="Calibri" w:cs="Calibri"/>
          <w:szCs w:val="24"/>
        </w:rPr>
        <w:t>nvironmental health outcomes. It includes three indicators: air pollution mortality (SDG 3.9.1), WaSH mortality (SDG 3.9.2)</w:t>
      </w:r>
      <w:r>
        <w:rPr>
          <w:rFonts w:ascii="Calibri" w:hAnsi="Calibri" w:cs="Calibri"/>
          <w:szCs w:val="24"/>
        </w:rPr>
        <w:t>,</w:t>
      </w:r>
      <w:r w:rsidRPr="00D62654">
        <w:rPr>
          <w:rFonts w:ascii="Calibri" w:hAnsi="Calibri" w:cs="Calibri"/>
          <w:szCs w:val="24"/>
        </w:rPr>
        <w:t xml:space="preserve"> and poisoning mortality (SDG 3.9.3) were related to health outcomes.</w:t>
      </w:r>
      <w:r>
        <w:rPr>
          <w:rFonts w:ascii="Calibri" w:hAnsi="Calibri" w:cs="Calibri"/>
          <w:szCs w:val="24"/>
        </w:rPr>
        <w:t xml:space="preserve"> </w:t>
      </w:r>
      <w:r w:rsidRPr="00D62654">
        <w:rPr>
          <w:rFonts w:ascii="Calibri" w:hAnsi="Calibri" w:cs="Calibri"/>
          <w:szCs w:val="24"/>
        </w:rPr>
        <w:t>(</w:t>
      </w:r>
      <w:r>
        <w:rPr>
          <w:rFonts w:ascii="Calibri" w:hAnsi="Calibri" w:cs="Calibri"/>
          <w:szCs w:val="24"/>
        </w:rPr>
        <w:t>H</w:t>
      </w:r>
      <w:r w:rsidRPr="00D62654">
        <w:rPr>
          <w:rFonts w:ascii="Calibri" w:hAnsi="Calibri" w:cs="Calibri"/>
          <w:szCs w:val="24"/>
        </w:rPr>
        <w:t xml:space="preserve">) </w:t>
      </w:r>
      <w:r>
        <w:rPr>
          <w:rFonts w:ascii="Calibri" w:hAnsi="Calibri" w:cs="Calibri"/>
          <w:szCs w:val="24"/>
        </w:rPr>
        <w:t>E</w:t>
      </w:r>
      <w:r w:rsidRPr="00D62654">
        <w:rPr>
          <w:rFonts w:ascii="Calibri" w:hAnsi="Calibri" w:cs="Calibri"/>
          <w:szCs w:val="24"/>
        </w:rPr>
        <w:t>nvironmental exposure risk factors. It includes five indicators: mean PM2.5 level (SDG 11.6.2), household air pollution (SDG 7.1.2), unsafe or unimproved water sources (SDG 6.1.1), sanitation (SDG 6.2.1a)</w:t>
      </w:r>
      <w:r>
        <w:rPr>
          <w:rFonts w:ascii="Calibri" w:hAnsi="Calibri" w:cs="Calibri"/>
          <w:szCs w:val="24"/>
        </w:rPr>
        <w:t>,</w:t>
      </w:r>
      <w:r w:rsidRPr="00D62654">
        <w:rPr>
          <w:rFonts w:ascii="Calibri" w:hAnsi="Calibri" w:cs="Calibri"/>
          <w:szCs w:val="24"/>
        </w:rPr>
        <w:t xml:space="preserve"> and hygiene (SDG 6.2.1b).</w:t>
      </w:r>
      <w:r>
        <w:rPr>
          <w:rFonts w:ascii="Calibri" w:hAnsi="Calibri" w:cs="Calibri"/>
          <w:szCs w:val="24"/>
        </w:rPr>
        <w:t xml:space="preserve"> </w:t>
      </w:r>
      <w:r w:rsidRPr="00D62654">
        <w:rPr>
          <w:rFonts w:ascii="Calibri" w:hAnsi="Calibri" w:cs="Calibri"/>
          <w:szCs w:val="24"/>
        </w:rPr>
        <w:t>(</w:t>
      </w:r>
      <w:r>
        <w:rPr>
          <w:rFonts w:ascii="Calibri" w:hAnsi="Calibri" w:cs="Calibri"/>
          <w:szCs w:val="24"/>
        </w:rPr>
        <w:t>I</w:t>
      </w:r>
      <w:r w:rsidRPr="00D62654">
        <w:rPr>
          <w:rFonts w:ascii="Calibri" w:hAnsi="Calibri" w:cs="Calibri"/>
          <w:szCs w:val="24"/>
        </w:rPr>
        <w:t>) UHC index. It includes one indicator: universal health coverage index (SDG 3.8.1).</w:t>
      </w:r>
    </w:p>
    <w:p w14:paraId="1B5B577E" w14:textId="77777777" w:rsidR="00B656F6" w:rsidRPr="00755F09" w:rsidRDefault="00B656F6" w:rsidP="00B656F6">
      <w:pPr>
        <w:rPr>
          <w:rFonts w:ascii="Calibri" w:hAnsi="Calibri" w:cs="Calibri"/>
          <w:szCs w:val="24"/>
        </w:rPr>
      </w:pPr>
    </w:p>
    <w:p w14:paraId="1A384D19" w14:textId="77777777" w:rsidR="00B656F6" w:rsidRPr="00566686" w:rsidRDefault="00B656F6" w:rsidP="00B656F6">
      <w:pPr>
        <w:outlineLvl w:val="0"/>
        <w:rPr>
          <w:rFonts w:ascii="Calibri" w:hAnsi="Calibri" w:cs="Calibri"/>
          <w:b/>
          <w:bCs/>
          <w:iCs/>
          <w:szCs w:val="24"/>
        </w:rPr>
      </w:pPr>
      <w:r w:rsidRPr="00566686">
        <w:rPr>
          <w:rFonts w:ascii="Calibri" w:hAnsi="Calibri" w:cs="Calibri"/>
          <w:b/>
          <w:bCs/>
          <w:iCs/>
          <w:szCs w:val="24"/>
        </w:rPr>
        <w:t>Current performance and future attainment of health-related SDG indicators by thematic topic</w:t>
      </w:r>
    </w:p>
    <w:p w14:paraId="7CF28721" w14:textId="77777777" w:rsidR="00B656F6" w:rsidRDefault="00B656F6" w:rsidP="00B656F6">
      <w:pPr>
        <w:outlineLvl w:val="0"/>
        <w:rPr>
          <w:rFonts w:ascii="Calibri" w:hAnsi="Calibri" w:cs="Calibri"/>
          <w:b/>
          <w:bCs/>
          <w:szCs w:val="24"/>
        </w:rPr>
      </w:pPr>
    </w:p>
    <w:p w14:paraId="7F36EF07" w14:textId="77777777" w:rsidR="00B656F6" w:rsidRPr="00755F09" w:rsidRDefault="00B656F6" w:rsidP="00B656F6">
      <w:pPr>
        <w:outlineLvl w:val="0"/>
        <w:rPr>
          <w:rFonts w:ascii="Calibri" w:hAnsi="Calibri" w:cs="Calibri"/>
          <w:szCs w:val="24"/>
        </w:rPr>
      </w:pPr>
      <w:r w:rsidRPr="00566686">
        <w:rPr>
          <w:rFonts w:ascii="Calibri" w:hAnsi="Calibri" w:cs="Calibri"/>
          <w:b/>
          <w:bCs/>
          <w:szCs w:val="24"/>
        </w:rPr>
        <w:t>Child nutrition</w:t>
      </w:r>
      <w:r>
        <w:rPr>
          <w:rFonts w:ascii="Calibri" w:hAnsi="Calibri" w:cs="Calibri"/>
          <w:b/>
          <w:bCs/>
          <w:szCs w:val="24"/>
        </w:rPr>
        <w:t>.</w:t>
      </w:r>
      <w:r>
        <w:rPr>
          <w:rFonts w:ascii="Calibri" w:hAnsi="Calibri" w:cs="Calibri"/>
          <w:szCs w:val="24"/>
        </w:rPr>
        <w:t xml:space="preserve"> </w:t>
      </w:r>
      <w:r w:rsidRPr="00755F09">
        <w:rPr>
          <w:rFonts w:ascii="Calibri" w:hAnsi="Calibri" w:cs="Calibri"/>
          <w:szCs w:val="24"/>
        </w:rPr>
        <w:t>Child undernutrition greatly improved over the past decades, whereas overweight and obesity emerged as a new public health challenge in China. Among children aged 6 years and younger, the stunting rate reduced from 16</w:t>
      </w:r>
      <w:r>
        <w:rPr>
          <w:rFonts w:ascii="Calibri" w:hAnsi="Calibri" w:cs="Calibri"/>
          <w:szCs w:val="24"/>
        </w:rPr>
        <w:t>.</w:t>
      </w:r>
      <w:r w:rsidRPr="00755F09">
        <w:rPr>
          <w:rFonts w:ascii="Calibri" w:hAnsi="Calibri" w:cs="Calibri"/>
          <w:szCs w:val="24"/>
        </w:rPr>
        <w:t>3% to 8</w:t>
      </w:r>
      <w:r>
        <w:rPr>
          <w:rFonts w:ascii="Calibri" w:hAnsi="Calibri" w:cs="Calibri"/>
          <w:szCs w:val="24"/>
        </w:rPr>
        <w:t>.</w:t>
      </w:r>
      <w:r w:rsidRPr="00755F09">
        <w:rPr>
          <w:rFonts w:ascii="Calibri" w:hAnsi="Calibri" w:cs="Calibri"/>
          <w:szCs w:val="24"/>
        </w:rPr>
        <w:t>1%</w:t>
      </w:r>
      <w:r>
        <w:rPr>
          <w:rFonts w:ascii="Calibri" w:hAnsi="Calibri" w:cs="Calibri"/>
          <w:szCs w:val="24"/>
        </w:rPr>
        <w:t>,</w:t>
      </w:r>
      <w:r w:rsidRPr="00755F09">
        <w:rPr>
          <w:rFonts w:ascii="Calibri" w:hAnsi="Calibri" w:cs="Calibri"/>
          <w:szCs w:val="24"/>
        </w:rPr>
        <w:t xml:space="preserve"> and wasting reduced from 2</w:t>
      </w:r>
      <w:r>
        <w:rPr>
          <w:rFonts w:ascii="Calibri" w:hAnsi="Calibri" w:cs="Calibri"/>
          <w:szCs w:val="24"/>
        </w:rPr>
        <w:t>.</w:t>
      </w:r>
      <w:r w:rsidRPr="00755F09">
        <w:rPr>
          <w:rFonts w:ascii="Calibri" w:hAnsi="Calibri" w:cs="Calibri"/>
          <w:szCs w:val="24"/>
        </w:rPr>
        <w:t>6% to 2</w:t>
      </w:r>
      <w:r>
        <w:rPr>
          <w:rFonts w:ascii="Calibri" w:hAnsi="Calibri" w:cs="Calibri"/>
          <w:szCs w:val="24"/>
        </w:rPr>
        <w:t>.</w:t>
      </w:r>
      <w:r w:rsidRPr="00755F09">
        <w:rPr>
          <w:rFonts w:ascii="Calibri" w:hAnsi="Calibri" w:cs="Calibri"/>
          <w:szCs w:val="24"/>
        </w:rPr>
        <w:t>0% from 2002 to 2013. However, overweight rates increased from 6</w:t>
      </w:r>
      <w:r>
        <w:rPr>
          <w:rFonts w:ascii="Calibri" w:hAnsi="Calibri" w:cs="Calibri"/>
          <w:szCs w:val="24"/>
        </w:rPr>
        <w:t>.</w:t>
      </w:r>
      <w:r w:rsidRPr="00755F09">
        <w:rPr>
          <w:rFonts w:ascii="Calibri" w:hAnsi="Calibri" w:cs="Calibri"/>
          <w:szCs w:val="24"/>
        </w:rPr>
        <w:t>5% to 8</w:t>
      </w:r>
      <w:r>
        <w:rPr>
          <w:rFonts w:ascii="Calibri" w:hAnsi="Calibri" w:cs="Calibri"/>
          <w:szCs w:val="24"/>
        </w:rPr>
        <w:t>.</w:t>
      </w:r>
      <w:r w:rsidRPr="00755F09">
        <w:rPr>
          <w:rFonts w:ascii="Calibri" w:hAnsi="Calibri" w:cs="Calibri"/>
          <w:szCs w:val="24"/>
        </w:rPr>
        <w:t>4% from 2002 to 2013. The perceived drivers of the increase were explored in our interviews (</w:t>
      </w:r>
      <w:r>
        <w:rPr>
          <w:rFonts w:ascii="Calibri" w:hAnsi="Calibri" w:cs="Calibri"/>
          <w:szCs w:val="24"/>
        </w:rPr>
        <w:t>Box</w:t>
      </w:r>
      <w:r w:rsidRPr="00755F09">
        <w:rPr>
          <w:rFonts w:ascii="Calibri" w:hAnsi="Calibri" w:cs="Calibri"/>
          <w:szCs w:val="24"/>
        </w:rPr>
        <w:t xml:space="preserve"> 1)</w:t>
      </w:r>
      <w:r>
        <w:rPr>
          <w:rFonts w:ascii="Calibri" w:hAnsi="Calibri" w:cs="Calibri"/>
          <w:szCs w:val="24"/>
        </w:rPr>
        <w:t xml:space="preserve"> [</w:t>
      </w:r>
      <w:r w:rsidRPr="00755F09">
        <w:rPr>
          <w:rFonts w:ascii="Calibri" w:hAnsi="Calibri" w:cs="Calibri"/>
          <w:szCs w:val="24"/>
        </w:rPr>
        <w:fldChar w:fldCharType="begin"/>
      </w:r>
      <w:r w:rsidRPr="00755F09">
        <w:rPr>
          <w:rFonts w:ascii="Calibri" w:hAnsi="Calibri" w:cs="Calibri"/>
          <w:szCs w:val="24"/>
        </w:rPr>
        <w:instrText xml:space="preserve"> REF _Ref522903753 \r  \* MERGEFORMAT </w:instrText>
      </w:r>
      <w:r w:rsidRPr="00755F09">
        <w:rPr>
          <w:rFonts w:ascii="Calibri" w:hAnsi="Calibri" w:cs="Calibri"/>
          <w:szCs w:val="24"/>
        </w:rPr>
        <w:fldChar w:fldCharType="separate"/>
      </w:r>
      <w:r>
        <w:rPr>
          <w:rFonts w:ascii="Calibri" w:hAnsi="Calibri" w:cs="Calibri"/>
          <w:szCs w:val="24"/>
        </w:rPr>
        <w:t>18</w:t>
      </w:r>
      <w:r w:rsidRPr="00755F09">
        <w:rPr>
          <w:rFonts w:ascii="Calibri" w:hAnsi="Calibri" w:cs="Calibri"/>
          <w:szCs w:val="24"/>
        </w:rPr>
        <w:fldChar w:fldCharType="end"/>
      </w:r>
      <w:r w:rsidRPr="00755F09">
        <w:rPr>
          <w:rFonts w:ascii="Calibri" w:hAnsi="Calibri" w:cs="Calibri"/>
          <w:szCs w:val="24"/>
        </w:rPr>
        <w:t>].</w:t>
      </w:r>
    </w:p>
    <w:p w14:paraId="797CCB10" w14:textId="77777777" w:rsidR="00B656F6" w:rsidRPr="00755F09" w:rsidRDefault="00B656F6" w:rsidP="00B656F6">
      <w:pPr>
        <w:rPr>
          <w:rFonts w:ascii="Calibri" w:hAnsi="Calibri" w:cs="Calibri"/>
          <w:szCs w:val="24"/>
        </w:rPr>
      </w:pPr>
      <w:r w:rsidRPr="00755F09">
        <w:rPr>
          <w:rFonts w:ascii="Calibri" w:hAnsi="Calibri" w:cs="Calibri"/>
          <w:szCs w:val="24"/>
        </w:rPr>
        <w:t>Sex and regional disparities existed in child nutrition. In 2013, the child stunting rate and overweight rate were 1</w:t>
      </w:r>
      <w:r>
        <w:rPr>
          <w:rFonts w:ascii="Calibri" w:hAnsi="Calibri" w:cs="Calibri"/>
          <w:szCs w:val="24"/>
        </w:rPr>
        <w:t>.</w:t>
      </w:r>
      <w:r w:rsidRPr="00755F09">
        <w:rPr>
          <w:rFonts w:ascii="Calibri" w:hAnsi="Calibri" w:cs="Calibri"/>
          <w:szCs w:val="24"/>
        </w:rPr>
        <w:t>2 and 1</w:t>
      </w:r>
      <w:r>
        <w:rPr>
          <w:rFonts w:ascii="Calibri" w:hAnsi="Calibri" w:cs="Calibri"/>
          <w:szCs w:val="24"/>
        </w:rPr>
        <w:t>.</w:t>
      </w:r>
      <w:r w:rsidRPr="00755F09">
        <w:rPr>
          <w:rFonts w:ascii="Calibri" w:hAnsi="Calibri" w:cs="Calibri"/>
          <w:szCs w:val="24"/>
        </w:rPr>
        <w:t xml:space="preserve">3 times higher among boys, </w:t>
      </w:r>
      <w:r>
        <w:rPr>
          <w:rFonts w:ascii="Calibri" w:hAnsi="Calibri" w:cs="Calibri"/>
          <w:szCs w:val="24"/>
        </w:rPr>
        <w:t>whereas</w:t>
      </w:r>
      <w:r w:rsidRPr="00755F09">
        <w:rPr>
          <w:rFonts w:ascii="Calibri" w:hAnsi="Calibri" w:cs="Calibri"/>
          <w:szCs w:val="24"/>
        </w:rPr>
        <w:t xml:space="preserve"> there were no sex disparities in wasting. Child stunting and wasting rates were 2</w:t>
      </w:r>
      <w:r>
        <w:rPr>
          <w:rFonts w:ascii="Calibri" w:hAnsi="Calibri" w:cs="Calibri"/>
          <w:szCs w:val="24"/>
        </w:rPr>
        <w:t>.</w:t>
      </w:r>
      <w:r w:rsidRPr="00755F09">
        <w:rPr>
          <w:rFonts w:ascii="Calibri" w:hAnsi="Calibri" w:cs="Calibri"/>
          <w:szCs w:val="24"/>
        </w:rPr>
        <w:t>7 and 1</w:t>
      </w:r>
      <w:r>
        <w:rPr>
          <w:rFonts w:ascii="Calibri" w:hAnsi="Calibri" w:cs="Calibri"/>
          <w:szCs w:val="24"/>
        </w:rPr>
        <w:t>.</w:t>
      </w:r>
      <w:r w:rsidRPr="00755F09">
        <w:rPr>
          <w:rFonts w:ascii="Calibri" w:hAnsi="Calibri" w:cs="Calibri"/>
          <w:szCs w:val="24"/>
        </w:rPr>
        <w:t>6 times higher, respectively</w:t>
      </w:r>
      <w:r>
        <w:rPr>
          <w:rFonts w:ascii="Calibri" w:hAnsi="Calibri" w:cs="Calibri"/>
          <w:szCs w:val="24"/>
        </w:rPr>
        <w:t>,</w:t>
      </w:r>
      <w:r w:rsidRPr="00755F09">
        <w:rPr>
          <w:rFonts w:ascii="Calibri" w:hAnsi="Calibri" w:cs="Calibri"/>
          <w:szCs w:val="24"/>
        </w:rPr>
        <w:t xml:space="preserve"> in rural than in urban areas. There was no urban</w:t>
      </w:r>
      <w:r>
        <w:rPr>
          <w:rFonts w:ascii="Calibri" w:hAnsi="Calibri" w:cs="Calibri"/>
          <w:szCs w:val="24"/>
        </w:rPr>
        <w:t>–</w:t>
      </w:r>
      <w:r w:rsidRPr="00755F09">
        <w:rPr>
          <w:rFonts w:ascii="Calibri" w:hAnsi="Calibri" w:cs="Calibri"/>
          <w:szCs w:val="24"/>
        </w:rPr>
        <w:t>rural difference in child overweight rate. Eastern provinces had lower rates in child stunting and wasting but higher rates in child overweight than central and western provinces.</w:t>
      </w:r>
    </w:p>
    <w:p w14:paraId="438717D4" w14:textId="77777777" w:rsidR="00B656F6" w:rsidRDefault="00B656F6" w:rsidP="00B656F6">
      <w:pPr>
        <w:rPr>
          <w:rFonts w:ascii="Calibri" w:hAnsi="Calibri" w:cs="Calibri"/>
          <w:szCs w:val="24"/>
        </w:rPr>
      </w:pPr>
      <w:r w:rsidRPr="00755F09">
        <w:rPr>
          <w:rFonts w:ascii="Calibri" w:hAnsi="Calibri" w:cs="Calibri"/>
          <w:szCs w:val="24"/>
        </w:rPr>
        <w:t xml:space="preserve">Based on the projections of the three included indicators, it is estimated that the performance of child nutrition in China will </w:t>
      </w:r>
      <w:r>
        <w:rPr>
          <w:rFonts w:ascii="Calibri" w:hAnsi="Calibri" w:cs="Calibri"/>
          <w:szCs w:val="24"/>
        </w:rPr>
        <w:t>worsen</w:t>
      </w:r>
      <w:r w:rsidRPr="00755F09">
        <w:rPr>
          <w:rFonts w:ascii="Calibri" w:hAnsi="Calibri" w:cs="Calibri"/>
          <w:szCs w:val="24"/>
        </w:rPr>
        <w:t xml:space="preserve"> by 2025 if current trajectories are not addressed (</w:t>
      </w:r>
      <w:r>
        <w:rPr>
          <w:rFonts w:ascii="Calibri" w:hAnsi="Calibri" w:cs="Calibri"/>
          <w:szCs w:val="24"/>
        </w:rPr>
        <w:t>Fig 2A</w:t>
      </w:r>
      <w:r w:rsidRPr="00755F09">
        <w:rPr>
          <w:rFonts w:ascii="Calibri" w:hAnsi="Calibri" w:cs="Calibri"/>
          <w:szCs w:val="24"/>
        </w:rPr>
        <w:t xml:space="preserve">). This is due largely to a rapid increase in childhood overweight and obesity seen almost everywhere </w:t>
      </w:r>
      <w:r>
        <w:rPr>
          <w:rFonts w:ascii="Calibri" w:hAnsi="Calibri" w:cs="Calibri"/>
          <w:szCs w:val="24"/>
        </w:rPr>
        <w:t>in</w:t>
      </w:r>
      <w:r w:rsidRPr="00755F09">
        <w:rPr>
          <w:rFonts w:ascii="Calibri" w:hAnsi="Calibri" w:cs="Calibri"/>
          <w:szCs w:val="24"/>
        </w:rPr>
        <w:t xml:space="preserve"> China. The attainment index is</w:t>
      </w:r>
      <w:r w:rsidRPr="00755F09" w:rsidDel="00E139AB">
        <w:rPr>
          <w:rFonts w:ascii="Calibri" w:hAnsi="Calibri" w:cs="Calibri"/>
          <w:szCs w:val="24"/>
        </w:rPr>
        <w:t xml:space="preserve"> </w:t>
      </w:r>
      <w:r w:rsidRPr="00755F09">
        <w:rPr>
          <w:rFonts w:ascii="Calibri" w:hAnsi="Calibri" w:cs="Calibri"/>
          <w:szCs w:val="24"/>
        </w:rPr>
        <w:t>projected to drop to 80</w:t>
      </w:r>
      <w:r>
        <w:rPr>
          <w:rFonts w:ascii="Calibri" w:hAnsi="Calibri" w:cs="Calibri"/>
          <w:szCs w:val="24"/>
        </w:rPr>
        <w:t>.</w:t>
      </w:r>
      <w:r w:rsidRPr="00755F09">
        <w:rPr>
          <w:rFonts w:ascii="Calibri" w:hAnsi="Calibri" w:cs="Calibri"/>
          <w:szCs w:val="24"/>
        </w:rPr>
        <w:t>5 in 2025 from 91</w:t>
      </w:r>
      <w:r>
        <w:rPr>
          <w:rFonts w:ascii="Calibri" w:hAnsi="Calibri" w:cs="Calibri"/>
          <w:szCs w:val="24"/>
        </w:rPr>
        <w:t>.</w:t>
      </w:r>
      <w:r w:rsidRPr="00755F09">
        <w:rPr>
          <w:rFonts w:ascii="Calibri" w:hAnsi="Calibri" w:cs="Calibri"/>
          <w:szCs w:val="24"/>
        </w:rPr>
        <w:t xml:space="preserve">1 in 2016, with an annual change rate of </w:t>
      </w:r>
      <w:r>
        <w:rPr>
          <w:rFonts w:ascii="Calibri" w:hAnsi="Calibri" w:cs="Calibri"/>
          <w:szCs w:val="24"/>
        </w:rPr>
        <w:t>−</w:t>
      </w:r>
      <w:r w:rsidRPr="00755F09">
        <w:rPr>
          <w:rFonts w:ascii="Calibri" w:hAnsi="Calibri" w:cs="Calibri"/>
          <w:szCs w:val="24"/>
        </w:rPr>
        <w:t>1</w:t>
      </w:r>
      <w:r>
        <w:rPr>
          <w:rFonts w:ascii="Calibri" w:hAnsi="Calibri" w:cs="Calibri"/>
          <w:szCs w:val="24"/>
        </w:rPr>
        <w:t>.</w:t>
      </w:r>
      <w:r w:rsidRPr="00755F09">
        <w:rPr>
          <w:rFonts w:ascii="Calibri" w:hAnsi="Calibri" w:cs="Calibri"/>
          <w:szCs w:val="24"/>
        </w:rPr>
        <w:t>1. Such a sharp decrease is especially obvious among eastern provinces and a few western provinces. Shandong, Tianjin</w:t>
      </w:r>
      <w:r>
        <w:rPr>
          <w:rFonts w:ascii="Calibri" w:hAnsi="Calibri" w:cs="Calibri"/>
          <w:szCs w:val="24"/>
        </w:rPr>
        <w:t>,</w:t>
      </w:r>
      <w:r w:rsidRPr="00755F09">
        <w:rPr>
          <w:rFonts w:ascii="Calibri" w:hAnsi="Calibri" w:cs="Calibri"/>
          <w:szCs w:val="24"/>
        </w:rPr>
        <w:t xml:space="preserve"> and Shanghai ranked as the top three in terms of the projected rapid decrease. In terms of sex disparities, the child overweight rate is</w:t>
      </w:r>
      <w:r w:rsidRPr="00755F09" w:rsidDel="00E139AB">
        <w:rPr>
          <w:rFonts w:ascii="Calibri" w:hAnsi="Calibri" w:cs="Calibri"/>
          <w:szCs w:val="24"/>
        </w:rPr>
        <w:t xml:space="preserve"> </w:t>
      </w:r>
      <w:r w:rsidRPr="00755F09">
        <w:rPr>
          <w:rFonts w:ascii="Calibri" w:hAnsi="Calibri" w:cs="Calibri"/>
          <w:szCs w:val="24"/>
        </w:rPr>
        <w:t>projected to be 1</w:t>
      </w:r>
      <w:r>
        <w:rPr>
          <w:rFonts w:ascii="Calibri" w:hAnsi="Calibri" w:cs="Calibri"/>
          <w:szCs w:val="24"/>
        </w:rPr>
        <w:t>.</w:t>
      </w:r>
      <w:r w:rsidRPr="00755F09">
        <w:rPr>
          <w:rFonts w:ascii="Calibri" w:hAnsi="Calibri" w:cs="Calibri"/>
          <w:szCs w:val="24"/>
        </w:rPr>
        <w:t>4 times higher among boys in 2025. China will</w:t>
      </w:r>
      <w:r w:rsidRPr="00755F09" w:rsidDel="00E139AB">
        <w:rPr>
          <w:rFonts w:ascii="Calibri" w:hAnsi="Calibri" w:cs="Calibri"/>
          <w:szCs w:val="24"/>
        </w:rPr>
        <w:t xml:space="preserve"> </w:t>
      </w:r>
      <w:r w:rsidRPr="00755F09">
        <w:rPr>
          <w:rFonts w:ascii="Calibri" w:hAnsi="Calibri" w:cs="Calibri"/>
          <w:szCs w:val="24"/>
        </w:rPr>
        <w:t>fail to achieve the zero-increase target for child overweight rate if actions are not taken. Though China is estimated to perform well in reducing stunting and wasting, sex disparities remain: the stunting and wasting rate is estimated to be 1.2 and 1.4 times higher</w:t>
      </w:r>
      <w:r>
        <w:rPr>
          <w:rFonts w:ascii="Calibri" w:hAnsi="Calibri" w:cs="Calibri"/>
          <w:szCs w:val="24"/>
        </w:rPr>
        <w:t>,</w:t>
      </w:r>
      <w:r w:rsidRPr="00755F09">
        <w:rPr>
          <w:rFonts w:ascii="Calibri" w:hAnsi="Calibri" w:cs="Calibri"/>
          <w:szCs w:val="24"/>
        </w:rPr>
        <w:t xml:space="preserve"> respectively</w:t>
      </w:r>
      <w:r>
        <w:rPr>
          <w:rFonts w:ascii="Calibri" w:hAnsi="Calibri" w:cs="Calibri"/>
          <w:szCs w:val="24"/>
        </w:rPr>
        <w:t>,</w:t>
      </w:r>
      <w:r w:rsidRPr="00755F09">
        <w:rPr>
          <w:rFonts w:ascii="Calibri" w:hAnsi="Calibri" w:cs="Calibri"/>
          <w:szCs w:val="24"/>
        </w:rPr>
        <w:t xml:space="preserve"> among boys in 2025.</w:t>
      </w:r>
    </w:p>
    <w:p w14:paraId="30A9F2F6" w14:textId="77777777" w:rsidR="00B656F6" w:rsidRPr="00755F09" w:rsidRDefault="00B656F6" w:rsidP="00B656F6">
      <w:pPr>
        <w:outlineLvl w:val="0"/>
        <w:rPr>
          <w:rFonts w:ascii="Calibri" w:hAnsi="Calibri" w:cs="Calibri"/>
          <w:szCs w:val="24"/>
        </w:rPr>
      </w:pPr>
      <w:r w:rsidRPr="00566686">
        <w:rPr>
          <w:rFonts w:ascii="Calibri" w:hAnsi="Calibri" w:cs="Calibri"/>
          <w:b/>
          <w:bCs/>
          <w:szCs w:val="24"/>
        </w:rPr>
        <w:t>MCHRH</w:t>
      </w:r>
      <w:r>
        <w:rPr>
          <w:rFonts w:ascii="Calibri" w:hAnsi="Calibri" w:cs="Calibri"/>
          <w:b/>
          <w:bCs/>
          <w:szCs w:val="24"/>
        </w:rPr>
        <w:t>.</w:t>
      </w:r>
      <w:r>
        <w:rPr>
          <w:rFonts w:ascii="Calibri" w:hAnsi="Calibri" w:cs="Calibri"/>
          <w:szCs w:val="24"/>
        </w:rPr>
        <w:t xml:space="preserve"> </w:t>
      </w:r>
      <w:r w:rsidRPr="00755F09">
        <w:rPr>
          <w:rFonts w:ascii="Calibri" w:hAnsi="Calibri" w:cs="Calibri"/>
          <w:szCs w:val="24"/>
        </w:rPr>
        <w:t xml:space="preserve">China has achieved remarkable progress in MCHRH over the past decades. The </w:t>
      </w:r>
      <w:r w:rsidRPr="00755F09">
        <w:rPr>
          <w:rFonts w:ascii="Calibri" w:hAnsi="Calibri" w:cs="Calibri"/>
        </w:rPr>
        <w:t>maternal mortality ratio</w:t>
      </w:r>
      <w:r w:rsidRPr="00755F09">
        <w:rPr>
          <w:rFonts w:ascii="Calibri" w:hAnsi="Calibri" w:cs="Calibri"/>
          <w:szCs w:val="24"/>
        </w:rPr>
        <w:t xml:space="preserve"> (MMR), under-</w:t>
      </w:r>
      <w:r>
        <w:rPr>
          <w:rFonts w:ascii="Calibri" w:hAnsi="Calibri" w:cs="Calibri"/>
          <w:szCs w:val="24"/>
        </w:rPr>
        <w:t>5</w:t>
      </w:r>
      <w:r w:rsidRPr="00755F09">
        <w:rPr>
          <w:rFonts w:ascii="Calibri" w:hAnsi="Calibri" w:cs="Calibri"/>
          <w:szCs w:val="24"/>
        </w:rPr>
        <w:t xml:space="preserve"> mortality rate (U5MR)</w:t>
      </w:r>
      <w:r>
        <w:rPr>
          <w:rFonts w:ascii="Calibri" w:hAnsi="Calibri" w:cs="Calibri"/>
          <w:szCs w:val="24"/>
        </w:rPr>
        <w:t>,</w:t>
      </w:r>
      <w:r w:rsidRPr="00755F09">
        <w:rPr>
          <w:rFonts w:ascii="Calibri" w:hAnsi="Calibri" w:cs="Calibri"/>
          <w:szCs w:val="24"/>
        </w:rPr>
        <w:t xml:space="preserve"> and neonatal mortality rates (NMR</w:t>
      </w:r>
      <w:r>
        <w:rPr>
          <w:rFonts w:ascii="Calibri" w:hAnsi="Calibri" w:cs="Calibri"/>
          <w:szCs w:val="24"/>
        </w:rPr>
        <w:t>s</w:t>
      </w:r>
      <w:r w:rsidRPr="00755F09">
        <w:rPr>
          <w:rFonts w:ascii="Calibri" w:hAnsi="Calibri" w:cs="Calibri"/>
          <w:szCs w:val="24"/>
        </w:rPr>
        <w:t>) have decreased to very low level</w:t>
      </w:r>
      <w:r>
        <w:rPr>
          <w:rFonts w:ascii="Calibri" w:hAnsi="Calibri" w:cs="Calibri"/>
          <w:szCs w:val="24"/>
        </w:rPr>
        <w:t>s</w:t>
      </w:r>
      <w:r w:rsidRPr="00755F09">
        <w:rPr>
          <w:rFonts w:ascii="Calibri" w:hAnsi="Calibri" w:cs="Calibri"/>
          <w:szCs w:val="24"/>
        </w:rPr>
        <w:t>, reaching 19</w:t>
      </w:r>
      <w:r>
        <w:rPr>
          <w:rFonts w:ascii="Calibri" w:hAnsi="Calibri" w:cs="Calibri"/>
          <w:szCs w:val="24"/>
        </w:rPr>
        <w:t>.</w:t>
      </w:r>
      <w:r w:rsidRPr="00755F09">
        <w:rPr>
          <w:rFonts w:ascii="Calibri" w:hAnsi="Calibri" w:cs="Calibri"/>
          <w:szCs w:val="24"/>
        </w:rPr>
        <w:t>9/100,000, 10</w:t>
      </w:r>
      <w:r>
        <w:rPr>
          <w:rFonts w:ascii="Calibri" w:hAnsi="Calibri" w:cs="Calibri"/>
          <w:szCs w:val="24"/>
        </w:rPr>
        <w:t>.</w:t>
      </w:r>
      <w:r w:rsidRPr="00755F09">
        <w:rPr>
          <w:rFonts w:ascii="Calibri" w:hAnsi="Calibri" w:cs="Calibri"/>
          <w:szCs w:val="24"/>
        </w:rPr>
        <w:t>2‰</w:t>
      </w:r>
      <w:r>
        <w:rPr>
          <w:rFonts w:ascii="Calibri" w:hAnsi="Calibri" w:cs="Calibri"/>
          <w:szCs w:val="24"/>
        </w:rPr>
        <w:t>,</w:t>
      </w:r>
      <w:r w:rsidRPr="00755F09">
        <w:rPr>
          <w:rFonts w:ascii="Calibri" w:hAnsi="Calibri" w:cs="Calibri"/>
          <w:szCs w:val="24"/>
        </w:rPr>
        <w:t xml:space="preserve"> and 4</w:t>
      </w:r>
      <w:r>
        <w:rPr>
          <w:rFonts w:ascii="Calibri" w:hAnsi="Calibri" w:cs="Calibri"/>
          <w:szCs w:val="24"/>
        </w:rPr>
        <w:t>.</w:t>
      </w:r>
      <w:r w:rsidRPr="00755F09">
        <w:rPr>
          <w:rFonts w:ascii="Calibri" w:hAnsi="Calibri" w:cs="Calibri"/>
          <w:szCs w:val="24"/>
        </w:rPr>
        <w:t>9‰ in 2016, respectively</w:t>
      </w:r>
      <w:r>
        <w:rPr>
          <w:rFonts w:ascii="Calibri" w:hAnsi="Calibri" w:cs="Calibri"/>
          <w:szCs w:val="24"/>
        </w:rPr>
        <w:t xml:space="preserve"> [</w:t>
      </w:r>
      <w:r w:rsidRPr="00755F09">
        <w:rPr>
          <w:rFonts w:ascii="Calibri" w:hAnsi="Calibri" w:cs="Calibri"/>
          <w:szCs w:val="24"/>
        </w:rPr>
        <w:fldChar w:fldCharType="begin"/>
      </w:r>
      <w:r w:rsidRPr="00755F09">
        <w:rPr>
          <w:rFonts w:ascii="Calibri" w:hAnsi="Calibri" w:cs="Calibri"/>
          <w:szCs w:val="24"/>
        </w:rPr>
        <w:instrText xml:space="preserve"> REF _Ref522816471 \r  \* MERGEFORMAT </w:instrText>
      </w:r>
      <w:r w:rsidRPr="00755F09">
        <w:rPr>
          <w:rFonts w:ascii="Calibri" w:hAnsi="Calibri" w:cs="Calibri"/>
          <w:szCs w:val="24"/>
        </w:rPr>
        <w:fldChar w:fldCharType="separate"/>
      </w:r>
      <w:r>
        <w:rPr>
          <w:rFonts w:ascii="Calibri" w:hAnsi="Calibri" w:cs="Calibri"/>
          <w:szCs w:val="24"/>
        </w:rPr>
        <w:t>3</w:t>
      </w:r>
      <w:r w:rsidRPr="00755F09">
        <w:rPr>
          <w:rFonts w:ascii="Calibri" w:hAnsi="Calibri" w:cs="Calibri"/>
          <w:szCs w:val="24"/>
        </w:rPr>
        <w:fldChar w:fldCharType="end"/>
      </w:r>
      <w:r w:rsidRPr="00755F09">
        <w:rPr>
          <w:rFonts w:ascii="Calibri" w:hAnsi="Calibri" w:cs="Calibri"/>
          <w:szCs w:val="24"/>
        </w:rPr>
        <w:t xml:space="preserve">]. The vaccine coverage among children under </w:t>
      </w:r>
      <w:r>
        <w:rPr>
          <w:rFonts w:ascii="Calibri" w:hAnsi="Calibri" w:cs="Calibri"/>
          <w:szCs w:val="24"/>
        </w:rPr>
        <w:t>5 years old</w:t>
      </w:r>
      <w:r w:rsidRPr="00755F09">
        <w:rPr>
          <w:rFonts w:ascii="Calibri" w:hAnsi="Calibri" w:cs="Calibri"/>
          <w:szCs w:val="24"/>
        </w:rPr>
        <w:t xml:space="preserve"> was over 90% in 2013</w:t>
      </w:r>
      <w:r>
        <w:rPr>
          <w:rFonts w:ascii="Calibri" w:hAnsi="Calibri" w:cs="Calibri"/>
          <w:szCs w:val="24"/>
        </w:rPr>
        <w:t xml:space="preserve"> [</w:t>
      </w:r>
      <w:r w:rsidRPr="00755F09">
        <w:rPr>
          <w:rFonts w:ascii="Calibri" w:hAnsi="Calibri" w:cs="Calibri"/>
          <w:szCs w:val="24"/>
        </w:rPr>
        <w:fldChar w:fldCharType="begin"/>
      </w:r>
      <w:r w:rsidRPr="00755F09">
        <w:rPr>
          <w:rFonts w:ascii="Calibri" w:hAnsi="Calibri" w:cs="Calibri"/>
          <w:szCs w:val="24"/>
        </w:rPr>
        <w:instrText xml:space="preserve"> REF _Ref533341837 \r \h  \* MERGEFORMAT </w:instrText>
      </w:r>
      <w:r w:rsidRPr="00755F09">
        <w:rPr>
          <w:rFonts w:ascii="Calibri" w:hAnsi="Calibri" w:cs="Calibri"/>
          <w:szCs w:val="24"/>
        </w:rPr>
      </w:r>
      <w:r w:rsidRPr="00755F09">
        <w:rPr>
          <w:rFonts w:ascii="Calibri" w:hAnsi="Calibri" w:cs="Calibri"/>
          <w:szCs w:val="24"/>
        </w:rPr>
        <w:fldChar w:fldCharType="separate"/>
      </w:r>
      <w:r>
        <w:rPr>
          <w:rFonts w:ascii="Calibri" w:hAnsi="Calibri" w:cs="Calibri"/>
          <w:szCs w:val="24"/>
        </w:rPr>
        <w:t>19</w:t>
      </w:r>
      <w:r w:rsidRPr="00755F09">
        <w:rPr>
          <w:rFonts w:ascii="Calibri" w:hAnsi="Calibri" w:cs="Calibri"/>
          <w:szCs w:val="24"/>
        </w:rPr>
        <w:fldChar w:fldCharType="end"/>
      </w:r>
      <w:r w:rsidRPr="00755F09">
        <w:rPr>
          <w:rFonts w:ascii="Calibri" w:hAnsi="Calibri" w:cs="Calibri"/>
          <w:szCs w:val="24"/>
        </w:rPr>
        <w:t>]. However, other aspects of reproductive health show a mixed picture. For example, the contraception rate among married women was 83</w:t>
      </w:r>
      <w:r>
        <w:rPr>
          <w:rFonts w:ascii="Calibri" w:hAnsi="Calibri" w:cs="Calibri"/>
          <w:szCs w:val="24"/>
        </w:rPr>
        <w:t>.</w:t>
      </w:r>
      <w:r w:rsidRPr="00755F09">
        <w:rPr>
          <w:rFonts w:ascii="Calibri" w:hAnsi="Calibri" w:cs="Calibri"/>
          <w:szCs w:val="24"/>
        </w:rPr>
        <w:t xml:space="preserve">0% in 2016, </w:t>
      </w:r>
      <w:r>
        <w:rPr>
          <w:rFonts w:ascii="Calibri" w:hAnsi="Calibri" w:cs="Calibri"/>
          <w:szCs w:val="24"/>
        </w:rPr>
        <w:t>whereas</w:t>
      </w:r>
      <w:r w:rsidRPr="00755F09">
        <w:rPr>
          <w:rFonts w:ascii="Calibri" w:hAnsi="Calibri" w:cs="Calibri"/>
          <w:szCs w:val="24"/>
        </w:rPr>
        <w:t xml:space="preserve"> the availability of contraceptive services among unmarried women was low, based on published studies</w:t>
      </w:r>
      <w:r>
        <w:rPr>
          <w:rFonts w:ascii="Calibri" w:hAnsi="Calibri" w:cs="Calibri"/>
          <w:szCs w:val="24"/>
        </w:rPr>
        <w:t xml:space="preserve"> [</w:t>
      </w:r>
      <w:r w:rsidRPr="00755F09">
        <w:rPr>
          <w:rFonts w:ascii="Calibri" w:hAnsi="Calibri" w:cs="Calibri"/>
          <w:szCs w:val="24"/>
        </w:rPr>
        <w:fldChar w:fldCharType="begin"/>
      </w:r>
      <w:r w:rsidRPr="00755F09">
        <w:rPr>
          <w:rFonts w:ascii="Calibri" w:hAnsi="Calibri" w:cs="Calibri"/>
          <w:szCs w:val="24"/>
        </w:rPr>
        <w:instrText xml:space="preserve"> REF _Ref522907035 \r  \* MERGEFORMAT </w:instrText>
      </w:r>
      <w:r w:rsidRPr="00755F09">
        <w:rPr>
          <w:rFonts w:ascii="Calibri" w:hAnsi="Calibri" w:cs="Calibri"/>
          <w:szCs w:val="24"/>
        </w:rPr>
        <w:fldChar w:fldCharType="separate"/>
      </w:r>
      <w:r>
        <w:rPr>
          <w:rFonts w:ascii="Calibri" w:hAnsi="Calibri" w:cs="Calibri"/>
          <w:szCs w:val="24"/>
        </w:rPr>
        <w:t>19</w:t>
      </w:r>
      <w:r w:rsidRPr="00755F09">
        <w:rPr>
          <w:rFonts w:ascii="Calibri" w:hAnsi="Calibri" w:cs="Calibri"/>
          <w:szCs w:val="24"/>
        </w:rPr>
        <w:fldChar w:fldCharType="end"/>
      </w:r>
      <w:r w:rsidRPr="00755F09">
        <w:rPr>
          <w:rFonts w:ascii="Calibri" w:hAnsi="Calibri" w:cs="Calibri"/>
          <w:szCs w:val="24"/>
        </w:rPr>
        <w:t>,</w:t>
      </w:r>
      <w:r w:rsidRPr="00755F09">
        <w:rPr>
          <w:rFonts w:ascii="Calibri" w:hAnsi="Calibri" w:cs="Calibri"/>
          <w:szCs w:val="24"/>
        </w:rPr>
        <w:fldChar w:fldCharType="begin"/>
      </w:r>
      <w:r w:rsidRPr="00755F09">
        <w:rPr>
          <w:rFonts w:ascii="Calibri" w:hAnsi="Calibri" w:cs="Calibri"/>
          <w:szCs w:val="24"/>
        </w:rPr>
        <w:instrText xml:space="preserve"> REF _Ref522907036 \r  \* MERGEFORMAT </w:instrText>
      </w:r>
      <w:r w:rsidRPr="00755F09">
        <w:rPr>
          <w:rFonts w:ascii="Calibri" w:hAnsi="Calibri" w:cs="Calibri"/>
          <w:szCs w:val="24"/>
        </w:rPr>
        <w:fldChar w:fldCharType="separate"/>
      </w:r>
      <w:r>
        <w:rPr>
          <w:rFonts w:ascii="Calibri" w:hAnsi="Calibri" w:cs="Calibri"/>
          <w:szCs w:val="24"/>
        </w:rPr>
        <w:t>26</w:t>
      </w:r>
      <w:r w:rsidRPr="00755F09">
        <w:rPr>
          <w:rFonts w:ascii="Calibri" w:hAnsi="Calibri" w:cs="Calibri"/>
          <w:szCs w:val="24"/>
        </w:rPr>
        <w:fldChar w:fldCharType="end"/>
      </w:r>
      <w:r w:rsidRPr="00755F09">
        <w:rPr>
          <w:rFonts w:ascii="Calibri" w:hAnsi="Calibri" w:cs="Calibri"/>
          <w:szCs w:val="24"/>
        </w:rPr>
        <w:t>] and the results from our interviews with key stakeholders (</w:t>
      </w:r>
      <w:r>
        <w:rPr>
          <w:rFonts w:ascii="Calibri" w:hAnsi="Calibri" w:cs="Calibri"/>
          <w:szCs w:val="24"/>
        </w:rPr>
        <w:t>Box</w:t>
      </w:r>
      <w:r w:rsidRPr="00755F09">
        <w:rPr>
          <w:rFonts w:ascii="Calibri" w:hAnsi="Calibri" w:cs="Calibri"/>
          <w:szCs w:val="24"/>
        </w:rPr>
        <w:t xml:space="preserve"> 1).</w:t>
      </w:r>
    </w:p>
    <w:p w14:paraId="02DAA422" w14:textId="77777777" w:rsidR="00B656F6" w:rsidRPr="00755F09" w:rsidRDefault="00B656F6" w:rsidP="00B656F6">
      <w:pPr>
        <w:rPr>
          <w:rFonts w:ascii="Calibri" w:hAnsi="Calibri" w:cs="Calibri"/>
          <w:szCs w:val="24"/>
        </w:rPr>
      </w:pPr>
      <w:r w:rsidRPr="00755F09">
        <w:rPr>
          <w:rFonts w:ascii="Calibri" w:hAnsi="Calibri" w:cs="Calibri"/>
          <w:szCs w:val="24"/>
        </w:rPr>
        <w:t>Despite the overall excellent performance, regional disparities exist among urban and rural areas and geographic areas. In 2016</w:t>
      </w:r>
      <w:r>
        <w:rPr>
          <w:rFonts w:ascii="Calibri" w:hAnsi="Calibri" w:cs="Calibri"/>
          <w:szCs w:val="24"/>
        </w:rPr>
        <w:t>—</w:t>
      </w:r>
      <w:r w:rsidRPr="00755F09">
        <w:rPr>
          <w:rFonts w:ascii="Calibri" w:hAnsi="Calibri" w:cs="Calibri"/>
          <w:szCs w:val="24"/>
        </w:rPr>
        <w:t>except for MMR</w:t>
      </w:r>
      <w:r>
        <w:rPr>
          <w:rFonts w:ascii="Calibri" w:hAnsi="Calibri" w:cs="Calibri"/>
          <w:szCs w:val="24"/>
        </w:rPr>
        <w:t>,</w:t>
      </w:r>
      <w:r w:rsidRPr="00755F09">
        <w:rPr>
          <w:rFonts w:ascii="Calibri" w:hAnsi="Calibri" w:cs="Calibri"/>
          <w:szCs w:val="24"/>
        </w:rPr>
        <w:t xml:space="preserve"> which had almost no urban and rural differences</w:t>
      </w:r>
      <w:r>
        <w:rPr>
          <w:rFonts w:ascii="Calibri" w:hAnsi="Calibri" w:cs="Calibri"/>
          <w:szCs w:val="24"/>
        </w:rPr>
        <w:t>—</w:t>
      </w:r>
      <w:r w:rsidRPr="00755F09">
        <w:rPr>
          <w:rFonts w:ascii="Calibri" w:hAnsi="Calibri" w:cs="Calibri"/>
          <w:szCs w:val="24"/>
        </w:rPr>
        <w:t>the NMR and U5MR were 1</w:t>
      </w:r>
      <w:r>
        <w:rPr>
          <w:rFonts w:ascii="Calibri" w:hAnsi="Calibri" w:cs="Calibri"/>
          <w:szCs w:val="24"/>
        </w:rPr>
        <w:t>.</w:t>
      </w:r>
      <w:r w:rsidRPr="00755F09">
        <w:rPr>
          <w:rFonts w:ascii="Calibri" w:hAnsi="Calibri" w:cs="Calibri"/>
          <w:szCs w:val="24"/>
        </w:rPr>
        <w:t>9 and 2</w:t>
      </w:r>
      <w:r>
        <w:rPr>
          <w:rFonts w:ascii="Calibri" w:hAnsi="Calibri" w:cs="Calibri"/>
          <w:szCs w:val="24"/>
        </w:rPr>
        <w:t>.</w:t>
      </w:r>
      <w:r w:rsidRPr="00755F09">
        <w:rPr>
          <w:rFonts w:ascii="Calibri" w:hAnsi="Calibri" w:cs="Calibri"/>
          <w:szCs w:val="24"/>
        </w:rPr>
        <w:t>4 times higher in rural than urban areas, and the MMR, NMR, and U5MR were 2</w:t>
      </w:r>
      <w:r>
        <w:rPr>
          <w:rFonts w:ascii="Calibri" w:hAnsi="Calibri" w:cs="Calibri"/>
          <w:szCs w:val="24"/>
        </w:rPr>
        <w:t>.</w:t>
      </w:r>
      <w:r w:rsidRPr="00755F09">
        <w:rPr>
          <w:rFonts w:ascii="Calibri" w:hAnsi="Calibri" w:cs="Calibri"/>
          <w:szCs w:val="24"/>
        </w:rPr>
        <w:t>0, 2</w:t>
      </w:r>
      <w:r>
        <w:rPr>
          <w:rFonts w:ascii="Calibri" w:hAnsi="Calibri" w:cs="Calibri"/>
          <w:szCs w:val="24"/>
        </w:rPr>
        <w:t>.</w:t>
      </w:r>
      <w:r w:rsidRPr="00755F09">
        <w:rPr>
          <w:rFonts w:ascii="Calibri" w:hAnsi="Calibri" w:cs="Calibri"/>
          <w:szCs w:val="24"/>
        </w:rPr>
        <w:t>7</w:t>
      </w:r>
      <w:r>
        <w:rPr>
          <w:rFonts w:ascii="Calibri" w:hAnsi="Calibri" w:cs="Calibri"/>
          <w:szCs w:val="24"/>
        </w:rPr>
        <w:t>,</w:t>
      </w:r>
      <w:r w:rsidRPr="00755F09">
        <w:rPr>
          <w:rFonts w:ascii="Calibri" w:hAnsi="Calibri" w:cs="Calibri"/>
          <w:szCs w:val="24"/>
        </w:rPr>
        <w:t xml:space="preserve"> and 3</w:t>
      </w:r>
      <w:r>
        <w:rPr>
          <w:rFonts w:ascii="Calibri" w:hAnsi="Calibri" w:cs="Calibri"/>
          <w:szCs w:val="24"/>
        </w:rPr>
        <w:t>.</w:t>
      </w:r>
      <w:r w:rsidRPr="00755F09">
        <w:rPr>
          <w:rFonts w:ascii="Calibri" w:hAnsi="Calibri" w:cs="Calibri"/>
          <w:szCs w:val="24"/>
        </w:rPr>
        <w:t>4 times higher in western provinces compared with eastern provinces.</w:t>
      </w:r>
    </w:p>
    <w:p w14:paraId="18D75AE2" w14:textId="77777777" w:rsidR="00B656F6" w:rsidRPr="00755F09" w:rsidRDefault="00B656F6" w:rsidP="00B656F6">
      <w:pPr>
        <w:rPr>
          <w:rFonts w:ascii="Calibri" w:hAnsi="Calibri" w:cs="Calibri"/>
          <w:szCs w:val="24"/>
        </w:rPr>
      </w:pPr>
      <w:r w:rsidRPr="00755F09">
        <w:rPr>
          <w:rFonts w:ascii="Calibri" w:hAnsi="Calibri" w:cs="Calibri"/>
          <w:szCs w:val="24"/>
        </w:rPr>
        <w:t>Based on the projections of the six included indicators, it is</w:t>
      </w:r>
      <w:r w:rsidRPr="00755F09" w:rsidDel="00E139AB">
        <w:rPr>
          <w:rFonts w:ascii="Calibri" w:hAnsi="Calibri" w:cs="Calibri"/>
          <w:szCs w:val="24"/>
        </w:rPr>
        <w:t xml:space="preserve"> </w:t>
      </w:r>
      <w:r w:rsidRPr="00755F09">
        <w:rPr>
          <w:rFonts w:ascii="Calibri" w:hAnsi="Calibri" w:cs="Calibri"/>
          <w:szCs w:val="24"/>
        </w:rPr>
        <w:t>estimated that the performance of MCHRH in China will</w:t>
      </w:r>
      <w:r w:rsidRPr="00755F09" w:rsidDel="00E139AB">
        <w:rPr>
          <w:rFonts w:ascii="Calibri" w:hAnsi="Calibri" w:cs="Calibri"/>
          <w:szCs w:val="24"/>
        </w:rPr>
        <w:t xml:space="preserve"> </w:t>
      </w:r>
      <w:r w:rsidRPr="00755F09">
        <w:rPr>
          <w:rFonts w:ascii="Calibri" w:hAnsi="Calibri" w:cs="Calibri"/>
          <w:szCs w:val="24"/>
        </w:rPr>
        <w:t>continue to improve toward 2030 based on the historical progress (</w:t>
      </w:r>
      <w:r>
        <w:rPr>
          <w:rFonts w:ascii="Calibri" w:hAnsi="Calibri" w:cs="Calibri"/>
          <w:szCs w:val="24"/>
        </w:rPr>
        <w:t>Fig 2B</w:t>
      </w:r>
      <w:r w:rsidRPr="00755F09">
        <w:rPr>
          <w:rFonts w:ascii="Calibri" w:hAnsi="Calibri" w:cs="Calibri"/>
          <w:szCs w:val="24"/>
        </w:rPr>
        <w:t>). The attainment index is</w:t>
      </w:r>
      <w:r w:rsidRPr="00755F09" w:rsidDel="00E139AB">
        <w:rPr>
          <w:rFonts w:ascii="Calibri" w:hAnsi="Calibri" w:cs="Calibri"/>
          <w:szCs w:val="24"/>
        </w:rPr>
        <w:t xml:space="preserve"> </w:t>
      </w:r>
      <w:r w:rsidRPr="00755F09">
        <w:rPr>
          <w:rFonts w:ascii="Calibri" w:hAnsi="Calibri" w:cs="Calibri"/>
          <w:szCs w:val="24"/>
        </w:rPr>
        <w:t>projected to increase to 95</w:t>
      </w:r>
      <w:r>
        <w:rPr>
          <w:rFonts w:ascii="Calibri" w:hAnsi="Calibri" w:cs="Calibri"/>
          <w:szCs w:val="24"/>
        </w:rPr>
        <w:t>.</w:t>
      </w:r>
      <w:r w:rsidRPr="00755F09">
        <w:rPr>
          <w:rFonts w:ascii="Calibri" w:hAnsi="Calibri" w:cs="Calibri"/>
          <w:szCs w:val="24"/>
        </w:rPr>
        <w:t>3 in 2030 from 91</w:t>
      </w:r>
      <w:r>
        <w:rPr>
          <w:rFonts w:ascii="Calibri" w:hAnsi="Calibri" w:cs="Calibri"/>
          <w:szCs w:val="24"/>
        </w:rPr>
        <w:t>.</w:t>
      </w:r>
      <w:r w:rsidRPr="00755F09">
        <w:rPr>
          <w:rFonts w:ascii="Calibri" w:hAnsi="Calibri" w:cs="Calibri"/>
          <w:szCs w:val="24"/>
        </w:rPr>
        <w:t>8 in 2016, with an annual change rate of 1</w:t>
      </w:r>
      <w:r>
        <w:rPr>
          <w:rFonts w:ascii="Calibri" w:hAnsi="Calibri" w:cs="Calibri"/>
          <w:szCs w:val="24"/>
        </w:rPr>
        <w:t>.</w:t>
      </w:r>
      <w:r w:rsidRPr="00755F09">
        <w:rPr>
          <w:rFonts w:ascii="Calibri" w:hAnsi="Calibri" w:cs="Calibri"/>
          <w:szCs w:val="24"/>
        </w:rPr>
        <w:t>0. Regional disparities are estimated to narrow: the attainment index of Tibet is projected to increase fastest and reach 87</w:t>
      </w:r>
      <w:r>
        <w:rPr>
          <w:rFonts w:ascii="Calibri" w:hAnsi="Calibri" w:cs="Calibri"/>
          <w:szCs w:val="24"/>
        </w:rPr>
        <w:t>.</w:t>
      </w:r>
      <w:r w:rsidRPr="00755F09">
        <w:rPr>
          <w:rFonts w:ascii="Calibri" w:hAnsi="Calibri" w:cs="Calibri"/>
          <w:szCs w:val="24"/>
        </w:rPr>
        <w:t>0 in 2030.</w:t>
      </w:r>
    </w:p>
    <w:p w14:paraId="18C6623A" w14:textId="77777777" w:rsidR="00B656F6" w:rsidRPr="00755F09" w:rsidRDefault="00B656F6" w:rsidP="00B656F6">
      <w:pPr>
        <w:rPr>
          <w:rFonts w:ascii="Calibri" w:hAnsi="Calibri" w:cs="Calibri"/>
          <w:szCs w:val="24"/>
        </w:rPr>
      </w:pPr>
      <w:r w:rsidRPr="00755F09">
        <w:rPr>
          <w:rFonts w:ascii="Calibri" w:hAnsi="Calibri" w:cs="Calibri"/>
          <w:szCs w:val="24"/>
        </w:rPr>
        <w:t>China had already achieved the SDG 2030 targets set for MMR, U5MR, and NMR</w:t>
      </w:r>
      <w:r>
        <w:rPr>
          <w:rFonts w:ascii="Calibri" w:hAnsi="Calibri" w:cs="Calibri"/>
          <w:szCs w:val="24"/>
        </w:rPr>
        <w:t>,</w:t>
      </w:r>
      <w:r w:rsidRPr="00755F09">
        <w:rPr>
          <w:rFonts w:ascii="Calibri" w:hAnsi="Calibri" w:cs="Calibri"/>
          <w:szCs w:val="24"/>
        </w:rPr>
        <w:t xml:space="preserve"> and </w:t>
      </w:r>
      <w:r>
        <w:rPr>
          <w:rFonts w:ascii="Calibri" w:hAnsi="Calibri" w:cs="Calibri"/>
          <w:szCs w:val="24"/>
        </w:rPr>
        <w:t xml:space="preserve">it </w:t>
      </w:r>
      <w:r w:rsidRPr="00755F09">
        <w:rPr>
          <w:rFonts w:ascii="Calibri" w:hAnsi="Calibri" w:cs="Calibri"/>
          <w:szCs w:val="24"/>
        </w:rPr>
        <w:t>had a high institutional-based infant delivery rate and almost achieved universal vaccine coverage in 2016. However, the attainment index of family planning needs met with modern contraception methods, which is projected to reach 76</w:t>
      </w:r>
      <w:r>
        <w:rPr>
          <w:rFonts w:ascii="Calibri" w:hAnsi="Calibri" w:cs="Calibri"/>
          <w:szCs w:val="24"/>
        </w:rPr>
        <w:t>.</w:t>
      </w:r>
      <w:r w:rsidRPr="00755F09">
        <w:rPr>
          <w:rFonts w:ascii="Calibri" w:hAnsi="Calibri" w:cs="Calibri"/>
          <w:szCs w:val="24"/>
        </w:rPr>
        <w:t>6 in 2030, is not as high</w:t>
      </w:r>
      <w:r>
        <w:rPr>
          <w:rFonts w:ascii="Calibri" w:hAnsi="Calibri" w:cs="Calibri"/>
          <w:szCs w:val="24"/>
        </w:rPr>
        <w:t xml:space="preserve">, </w:t>
      </w:r>
      <w:r w:rsidRPr="00755F09">
        <w:rPr>
          <w:rFonts w:ascii="Calibri" w:hAnsi="Calibri" w:cs="Calibri"/>
          <w:szCs w:val="24"/>
        </w:rPr>
        <w:t>largely due to the unmet needs among unmarried reproductive women.</w:t>
      </w:r>
    </w:p>
    <w:p w14:paraId="0DB3188D" w14:textId="77777777" w:rsidR="00B656F6" w:rsidRPr="00755F09" w:rsidRDefault="00B656F6" w:rsidP="00B656F6">
      <w:pPr>
        <w:outlineLvl w:val="0"/>
        <w:rPr>
          <w:rFonts w:ascii="Calibri" w:hAnsi="Calibri" w:cs="Calibri"/>
          <w:szCs w:val="24"/>
        </w:rPr>
      </w:pPr>
      <w:r w:rsidRPr="00566686">
        <w:rPr>
          <w:rFonts w:ascii="Calibri" w:hAnsi="Calibri" w:cs="Calibri"/>
          <w:b/>
          <w:bCs/>
          <w:szCs w:val="24"/>
        </w:rPr>
        <w:t>Infectious diseases</w:t>
      </w:r>
      <w:r>
        <w:rPr>
          <w:rFonts w:ascii="Calibri" w:hAnsi="Calibri" w:cs="Calibri"/>
          <w:b/>
          <w:bCs/>
          <w:szCs w:val="24"/>
        </w:rPr>
        <w:t>.</w:t>
      </w:r>
      <w:r>
        <w:rPr>
          <w:rFonts w:ascii="Calibri" w:hAnsi="Calibri" w:cs="Calibri"/>
          <w:szCs w:val="24"/>
        </w:rPr>
        <w:t xml:space="preserve"> </w:t>
      </w:r>
      <w:r w:rsidRPr="00755F09">
        <w:rPr>
          <w:rFonts w:ascii="Calibri" w:hAnsi="Calibri" w:cs="Calibri"/>
          <w:szCs w:val="24"/>
        </w:rPr>
        <w:t>The notified cases of TB, malaria</w:t>
      </w:r>
      <w:r>
        <w:rPr>
          <w:rFonts w:ascii="Calibri" w:hAnsi="Calibri" w:cs="Calibri"/>
          <w:szCs w:val="24"/>
        </w:rPr>
        <w:t>,</w:t>
      </w:r>
      <w:r w:rsidRPr="00755F09">
        <w:rPr>
          <w:rFonts w:ascii="Calibri" w:hAnsi="Calibri" w:cs="Calibri"/>
          <w:szCs w:val="24"/>
        </w:rPr>
        <w:t xml:space="preserve"> and hepatitis B decreased in the past decade, </w:t>
      </w:r>
      <w:r>
        <w:rPr>
          <w:rFonts w:ascii="Calibri" w:hAnsi="Calibri" w:cs="Calibri"/>
          <w:szCs w:val="24"/>
        </w:rPr>
        <w:t>whereas</w:t>
      </w:r>
      <w:r w:rsidRPr="00755F09">
        <w:rPr>
          <w:rFonts w:ascii="Calibri" w:hAnsi="Calibri" w:cs="Calibri"/>
          <w:szCs w:val="24"/>
        </w:rPr>
        <w:t xml:space="preserve"> the new notified HIV/AIDS cases increased steadily</w:t>
      </w:r>
      <w:r>
        <w:rPr>
          <w:rFonts w:ascii="Calibri" w:hAnsi="Calibri" w:cs="Calibri"/>
          <w:szCs w:val="24"/>
        </w:rPr>
        <w:t>,</w:t>
      </w:r>
      <w:r w:rsidRPr="00755F09">
        <w:rPr>
          <w:rFonts w:ascii="Calibri" w:hAnsi="Calibri" w:cs="Calibri"/>
          <w:szCs w:val="24"/>
        </w:rPr>
        <w:t xml:space="preserve"> though at a low level. In 2016, the hepatitis B notification case rate ranked first among all infectious diseases, reaching 68</w:t>
      </w:r>
      <w:r>
        <w:rPr>
          <w:rFonts w:ascii="Calibri" w:hAnsi="Calibri" w:cs="Calibri"/>
          <w:szCs w:val="24"/>
        </w:rPr>
        <w:t>.</w:t>
      </w:r>
      <w:r w:rsidRPr="00755F09">
        <w:rPr>
          <w:rFonts w:ascii="Calibri" w:hAnsi="Calibri" w:cs="Calibri"/>
          <w:szCs w:val="24"/>
        </w:rPr>
        <w:t>7/100,000, followed by TB at 61</w:t>
      </w:r>
      <w:r>
        <w:rPr>
          <w:rFonts w:ascii="Calibri" w:hAnsi="Calibri" w:cs="Calibri"/>
          <w:szCs w:val="24"/>
        </w:rPr>
        <w:t>.</w:t>
      </w:r>
      <w:r w:rsidRPr="00755F09">
        <w:rPr>
          <w:rFonts w:ascii="Calibri" w:hAnsi="Calibri" w:cs="Calibri"/>
          <w:szCs w:val="24"/>
        </w:rPr>
        <w:t>0/100,000, HIV/AIDS at 4</w:t>
      </w:r>
      <w:r>
        <w:rPr>
          <w:rFonts w:ascii="Calibri" w:hAnsi="Calibri" w:cs="Calibri"/>
          <w:szCs w:val="24"/>
        </w:rPr>
        <w:t>.</w:t>
      </w:r>
      <w:r w:rsidRPr="00755F09">
        <w:rPr>
          <w:rFonts w:ascii="Calibri" w:hAnsi="Calibri" w:cs="Calibri"/>
          <w:szCs w:val="24"/>
        </w:rPr>
        <w:t>0/100,000</w:t>
      </w:r>
      <w:r>
        <w:rPr>
          <w:rFonts w:ascii="Calibri" w:hAnsi="Calibri" w:cs="Calibri"/>
          <w:szCs w:val="24"/>
        </w:rPr>
        <w:t>,</w:t>
      </w:r>
      <w:r w:rsidRPr="00755F09">
        <w:rPr>
          <w:rFonts w:ascii="Calibri" w:hAnsi="Calibri" w:cs="Calibri"/>
          <w:szCs w:val="24"/>
        </w:rPr>
        <w:t xml:space="preserve"> and malaria at 0</w:t>
      </w:r>
      <w:r>
        <w:rPr>
          <w:rFonts w:ascii="Calibri" w:hAnsi="Calibri" w:cs="Calibri"/>
          <w:szCs w:val="24"/>
        </w:rPr>
        <w:t>.</w:t>
      </w:r>
      <w:r w:rsidRPr="00755F09">
        <w:rPr>
          <w:rFonts w:ascii="Calibri" w:hAnsi="Calibri" w:cs="Calibri"/>
          <w:szCs w:val="24"/>
        </w:rPr>
        <w:t>2/100,000</w:t>
      </w:r>
      <w:r>
        <w:rPr>
          <w:rFonts w:ascii="Calibri" w:hAnsi="Calibri" w:cs="Calibri"/>
          <w:szCs w:val="24"/>
        </w:rPr>
        <w:t xml:space="preserve"> [</w:t>
      </w:r>
      <w:r w:rsidRPr="00755F09">
        <w:rPr>
          <w:rFonts w:ascii="Calibri" w:hAnsi="Calibri" w:cs="Calibri"/>
          <w:szCs w:val="24"/>
        </w:rPr>
        <w:fldChar w:fldCharType="begin"/>
      </w:r>
      <w:r w:rsidRPr="00755F09">
        <w:rPr>
          <w:rFonts w:ascii="Calibri" w:hAnsi="Calibri" w:cs="Calibri"/>
          <w:szCs w:val="24"/>
        </w:rPr>
        <w:instrText xml:space="preserve"> REF _Ref522816471 \r  \* MERGEFORMAT </w:instrText>
      </w:r>
      <w:r w:rsidRPr="00755F09">
        <w:rPr>
          <w:rFonts w:ascii="Calibri" w:hAnsi="Calibri" w:cs="Calibri"/>
          <w:szCs w:val="24"/>
        </w:rPr>
        <w:fldChar w:fldCharType="separate"/>
      </w:r>
      <w:r>
        <w:rPr>
          <w:rFonts w:ascii="Calibri" w:hAnsi="Calibri" w:cs="Calibri"/>
          <w:szCs w:val="24"/>
        </w:rPr>
        <w:t>3</w:t>
      </w:r>
      <w:r w:rsidRPr="00755F09">
        <w:rPr>
          <w:rFonts w:ascii="Calibri" w:hAnsi="Calibri" w:cs="Calibri"/>
          <w:szCs w:val="24"/>
        </w:rPr>
        <w:fldChar w:fldCharType="end"/>
      </w:r>
      <w:r w:rsidRPr="00755F09">
        <w:rPr>
          <w:rFonts w:ascii="Calibri" w:hAnsi="Calibri" w:cs="Calibri"/>
          <w:szCs w:val="24"/>
        </w:rPr>
        <w:t>]. However, we found through our interviews that the notified new cases of MDR-TB have been increasing over the past years</w:t>
      </w:r>
      <w:r>
        <w:rPr>
          <w:rFonts w:ascii="Calibri" w:hAnsi="Calibri" w:cs="Calibri"/>
          <w:szCs w:val="24"/>
        </w:rPr>
        <w:t>,</w:t>
      </w:r>
      <w:r w:rsidRPr="00755F09">
        <w:rPr>
          <w:rFonts w:ascii="Calibri" w:hAnsi="Calibri" w:cs="Calibri"/>
          <w:szCs w:val="24"/>
        </w:rPr>
        <w:t xml:space="preserve"> and its control </w:t>
      </w:r>
      <w:r w:rsidRPr="00755F09">
        <w:rPr>
          <w:rFonts w:ascii="Calibri" w:hAnsi="Calibri" w:cs="Calibri"/>
          <w:szCs w:val="24"/>
        </w:rPr>
        <w:lastRenderedPageBreak/>
        <w:t>faces great challenges (</w:t>
      </w:r>
      <w:r>
        <w:rPr>
          <w:rFonts w:ascii="Calibri" w:hAnsi="Calibri" w:cs="Calibri"/>
          <w:szCs w:val="24"/>
        </w:rPr>
        <w:t>Box</w:t>
      </w:r>
      <w:r w:rsidRPr="00755F09">
        <w:rPr>
          <w:rFonts w:ascii="Calibri" w:hAnsi="Calibri" w:cs="Calibri"/>
          <w:szCs w:val="24"/>
        </w:rPr>
        <w:t xml:space="preserve"> 1). Only the incidence of four neglected tropical diseases were officially reported (brucellosis, dengue, rabies</w:t>
      </w:r>
      <w:r>
        <w:rPr>
          <w:rFonts w:ascii="Calibri" w:hAnsi="Calibri" w:cs="Calibri"/>
          <w:szCs w:val="24"/>
        </w:rPr>
        <w:t>,</w:t>
      </w:r>
      <w:r w:rsidRPr="00755F09">
        <w:rPr>
          <w:rFonts w:ascii="Calibri" w:hAnsi="Calibri" w:cs="Calibri"/>
          <w:szCs w:val="24"/>
        </w:rPr>
        <w:t xml:space="preserve"> and schistosomiasis), totaling 3</w:t>
      </w:r>
      <w:r>
        <w:rPr>
          <w:rFonts w:ascii="Calibri" w:hAnsi="Calibri" w:cs="Calibri"/>
          <w:szCs w:val="24"/>
        </w:rPr>
        <w:t>.</w:t>
      </w:r>
      <w:r w:rsidRPr="00755F09">
        <w:rPr>
          <w:rFonts w:ascii="Calibri" w:hAnsi="Calibri" w:cs="Calibri"/>
          <w:szCs w:val="24"/>
        </w:rPr>
        <w:t>85/100,000 in 2016.</w:t>
      </w:r>
    </w:p>
    <w:p w14:paraId="2AC185A8" w14:textId="77777777" w:rsidR="00B656F6" w:rsidRPr="00755F09" w:rsidRDefault="00B656F6" w:rsidP="00B656F6">
      <w:pPr>
        <w:rPr>
          <w:rFonts w:ascii="Calibri" w:hAnsi="Calibri" w:cs="Calibri"/>
          <w:szCs w:val="24"/>
        </w:rPr>
      </w:pPr>
      <w:r w:rsidRPr="00755F09">
        <w:rPr>
          <w:rFonts w:ascii="Calibri" w:hAnsi="Calibri" w:cs="Calibri"/>
          <w:szCs w:val="24"/>
        </w:rPr>
        <w:t>Sex disparities were significant for infectious diseases indicators. The incidence of HIV/AIDS, TB</w:t>
      </w:r>
      <w:r>
        <w:rPr>
          <w:rFonts w:ascii="Calibri" w:hAnsi="Calibri" w:cs="Calibri"/>
          <w:szCs w:val="24"/>
        </w:rPr>
        <w:t>,</w:t>
      </w:r>
      <w:r w:rsidRPr="00755F09">
        <w:rPr>
          <w:rFonts w:ascii="Calibri" w:hAnsi="Calibri" w:cs="Calibri"/>
          <w:szCs w:val="24"/>
        </w:rPr>
        <w:t xml:space="preserve"> and hepatitis B were higher among males, which were 3</w:t>
      </w:r>
      <w:r>
        <w:rPr>
          <w:rFonts w:ascii="Calibri" w:hAnsi="Calibri" w:cs="Calibri"/>
          <w:szCs w:val="24"/>
        </w:rPr>
        <w:t>.</w:t>
      </w:r>
      <w:r w:rsidRPr="00755F09">
        <w:rPr>
          <w:rFonts w:ascii="Calibri" w:hAnsi="Calibri" w:cs="Calibri"/>
          <w:szCs w:val="24"/>
        </w:rPr>
        <w:t>5, 1</w:t>
      </w:r>
      <w:r>
        <w:rPr>
          <w:rFonts w:ascii="Calibri" w:hAnsi="Calibri" w:cs="Calibri"/>
          <w:szCs w:val="24"/>
        </w:rPr>
        <w:t>.</w:t>
      </w:r>
      <w:r w:rsidRPr="00755F09">
        <w:rPr>
          <w:rFonts w:ascii="Calibri" w:hAnsi="Calibri" w:cs="Calibri"/>
          <w:szCs w:val="24"/>
        </w:rPr>
        <w:t>8</w:t>
      </w:r>
      <w:r>
        <w:rPr>
          <w:rFonts w:ascii="Calibri" w:hAnsi="Calibri" w:cs="Calibri"/>
          <w:szCs w:val="24"/>
        </w:rPr>
        <w:t>,</w:t>
      </w:r>
      <w:r w:rsidRPr="00755F09">
        <w:rPr>
          <w:rFonts w:ascii="Calibri" w:hAnsi="Calibri" w:cs="Calibri"/>
          <w:szCs w:val="24"/>
        </w:rPr>
        <w:t xml:space="preserve"> and 1</w:t>
      </w:r>
      <w:r>
        <w:rPr>
          <w:rFonts w:ascii="Calibri" w:hAnsi="Calibri" w:cs="Calibri"/>
          <w:szCs w:val="24"/>
        </w:rPr>
        <w:t>.</w:t>
      </w:r>
      <w:r w:rsidRPr="00755F09">
        <w:rPr>
          <w:rFonts w:ascii="Calibri" w:hAnsi="Calibri" w:cs="Calibri"/>
          <w:szCs w:val="24"/>
        </w:rPr>
        <w:t>7 times higher than females</w:t>
      </w:r>
      <w:r>
        <w:rPr>
          <w:rFonts w:ascii="Calibri" w:hAnsi="Calibri" w:cs="Calibri"/>
          <w:szCs w:val="24"/>
        </w:rPr>
        <w:t>,</w:t>
      </w:r>
      <w:r w:rsidRPr="00755F09">
        <w:rPr>
          <w:rFonts w:ascii="Calibri" w:hAnsi="Calibri" w:cs="Calibri"/>
          <w:szCs w:val="24"/>
        </w:rPr>
        <w:t xml:space="preserve"> respectively.</w:t>
      </w:r>
    </w:p>
    <w:p w14:paraId="5D314CDB" w14:textId="77777777" w:rsidR="00B656F6" w:rsidRPr="00755F09" w:rsidRDefault="00B656F6" w:rsidP="00B656F6">
      <w:pPr>
        <w:rPr>
          <w:rFonts w:ascii="Calibri" w:hAnsi="Calibri" w:cs="Calibri"/>
          <w:szCs w:val="24"/>
        </w:rPr>
      </w:pPr>
      <w:r w:rsidRPr="00755F09">
        <w:rPr>
          <w:rFonts w:ascii="Calibri" w:hAnsi="Calibri" w:cs="Calibri"/>
          <w:szCs w:val="24"/>
        </w:rPr>
        <w:t>The performance of infectious diseases in China will continue to improve toward 2030</w:t>
      </w:r>
      <w:r>
        <w:rPr>
          <w:rFonts w:ascii="Calibri" w:hAnsi="Calibri" w:cs="Calibri"/>
          <w:szCs w:val="24"/>
        </w:rPr>
        <w:t>,</w:t>
      </w:r>
      <w:r w:rsidRPr="00755F09">
        <w:rPr>
          <w:rFonts w:ascii="Calibri" w:hAnsi="Calibri" w:cs="Calibri"/>
          <w:szCs w:val="24"/>
        </w:rPr>
        <w:t xml:space="preserve"> judging from projection results of the five monitoring indicators based on past trends (</w:t>
      </w:r>
      <w:r>
        <w:rPr>
          <w:rFonts w:ascii="Calibri" w:hAnsi="Calibri" w:cs="Calibri"/>
          <w:szCs w:val="24"/>
        </w:rPr>
        <w:t>Fig 2C</w:t>
      </w:r>
      <w:r w:rsidRPr="00755F09">
        <w:rPr>
          <w:rFonts w:ascii="Calibri" w:hAnsi="Calibri" w:cs="Calibri"/>
          <w:szCs w:val="24"/>
        </w:rPr>
        <w:t>). The attainment index is projected to increase to 73</w:t>
      </w:r>
      <w:r>
        <w:rPr>
          <w:rFonts w:ascii="Calibri" w:hAnsi="Calibri" w:cs="Calibri"/>
          <w:szCs w:val="24"/>
        </w:rPr>
        <w:t>.</w:t>
      </w:r>
      <w:r w:rsidRPr="00755F09">
        <w:rPr>
          <w:rFonts w:ascii="Calibri" w:hAnsi="Calibri" w:cs="Calibri"/>
          <w:szCs w:val="24"/>
        </w:rPr>
        <w:t>8 in 2030 from 63</w:t>
      </w:r>
      <w:r>
        <w:rPr>
          <w:rFonts w:ascii="Calibri" w:hAnsi="Calibri" w:cs="Calibri"/>
          <w:szCs w:val="24"/>
        </w:rPr>
        <w:t>.</w:t>
      </w:r>
      <w:r w:rsidRPr="00755F09">
        <w:rPr>
          <w:rFonts w:ascii="Calibri" w:hAnsi="Calibri" w:cs="Calibri"/>
          <w:szCs w:val="24"/>
        </w:rPr>
        <w:t>0 in 2016, with an annual change rate of 0</w:t>
      </w:r>
      <w:r>
        <w:rPr>
          <w:rFonts w:ascii="Calibri" w:hAnsi="Calibri" w:cs="Calibri"/>
          <w:szCs w:val="24"/>
        </w:rPr>
        <w:t>.</w:t>
      </w:r>
      <w:r w:rsidRPr="00755F09">
        <w:rPr>
          <w:rFonts w:ascii="Calibri" w:hAnsi="Calibri" w:cs="Calibri"/>
          <w:szCs w:val="24"/>
        </w:rPr>
        <w:t>7. The improvement is especially obvious among eastern and a few central provinces. Guangxi, Sichuan</w:t>
      </w:r>
      <w:r>
        <w:rPr>
          <w:rFonts w:ascii="Calibri" w:hAnsi="Calibri" w:cs="Calibri"/>
          <w:szCs w:val="24"/>
        </w:rPr>
        <w:t>,</w:t>
      </w:r>
      <w:r w:rsidRPr="00755F09">
        <w:rPr>
          <w:rFonts w:ascii="Calibri" w:hAnsi="Calibri" w:cs="Calibri"/>
          <w:szCs w:val="24"/>
        </w:rPr>
        <w:t xml:space="preserve"> and Yunnan ranked as the top three in terms of the projected increase. Eastern and central provinces are projected to perform better than western provinces by 2030 in terms of achieving the targets, especially Shandong, Hong Kong, Tianjin</w:t>
      </w:r>
      <w:r>
        <w:rPr>
          <w:rFonts w:ascii="Calibri" w:hAnsi="Calibri" w:cs="Calibri"/>
          <w:szCs w:val="24"/>
        </w:rPr>
        <w:t>,</w:t>
      </w:r>
      <w:r w:rsidRPr="00755F09">
        <w:rPr>
          <w:rFonts w:ascii="Calibri" w:hAnsi="Calibri" w:cs="Calibri"/>
          <w:szCs w:val="24"/>
        </w:rPr>
        <w:t xml:space="preserve"> and Jiangsu</w:t>
      </w:r>
      <w:r>
        <w:rPr>
          <w:rFonts w:ascii="Calibri" w:hAnsi="Calibri" w:cs="Calibri"/>
          <w:szCs w:val="24"/>
        </w:rPr>
        <w:t>,</w:t>
      </w:r>
      <w:r w:rsidRPr="00755F09">
        <w:rPr>
          <w:rFonts w:ascii="Calibri" w:hAnsi="Calibri" w:cs="Calibri"/>
          <w:szCs w:val="24"/>
        </w:rPr>
        <w:t xml:space="preserve"> which are</w:t>
      </w:r>
      <w:r w:rsidRPr="00755F09" w:rsidDel="006038CA">
        <w:rPr>
          <w:rFonts w:ascii="Calibri" w:hAnsi="Calibri" w:cs="Calibri"/>
          <w:szCs w:val="24"/>
        </w:rPr>
        <w:t xml:space="preserve"> </w:t>
      </w:r>
      <w:r w:rsidRPr="00755F09">
        <w:rPr>
          <w:rFonts w:ascii="Calibri" w:hAnsi="Calibri" w:cs="Calibri"/>
          <w:szCs w:val="24"/>
        </w:rPr>
        <w:t>projected to score above 88</w:t>
      </w:r>
      <w:r>
        <w:rPr>
          <w:rFonts w:ascii="Calibri" w:hAnsi="Calibri" w:cs="Calibri"/>
          <w:szCs w:val="24"/>
        </w:rPr>
        <w:t>.</w:t>
      </w:r>
      <w:r w:rsidRPr="00755F09">
        <w:rPr>
          <w:rFonts w:ascii="Calibri" w:hAnsi="Calibri" w:cs="Calibri"/>
          <w:szCs w:val="24"/>
        </w:rPr>
        <w:t>0 in 2030.</w:t>
      </w:r>
    </w:p>
    <w:p w14:paraId="475E4AB2" w14:textId="77777777" w:rsidR="00B656F6" w:rsidRPr="00755F09" w:rsidRDefault="00B656F6" w:rsidP="00B656F6">
      <w:pPr>
        <w:rPr>
          <w:rFonts w:ascii="Calibri" w:hAnsi="Calibri" w:cs="Calibri"/>
          <w:szCs w:val="24"/>
        </w:rPr>
      </w:pPr>
      <w:r w:rsidRPr="00755F09">
        <w:rPr>
          <w:rFonts w:ascii="Calibri" w:hAnsi="Calibri" w:cs="Calibri"/>
          <w:szCs w:val="24"/>
        </w:rPr>
        <w:t>China will</w:t>
      </w:r>
      <w:r w:rsidRPr="00755F09" w:rsidDel="006038CA">
        <w:rPr>
          <w:rFonts w:ascii="Calibri" w:hAnsi="Calibri" w:cs="Calibri"/>
          <w:szCs w:val="24"/>
        </w:rPr>
        <w:t xml:space="preserve"> </w:t>
      </w:r>
      <w:r w:rsidRPr="00755F09">
        <w:rPr>
          <w:rFonts w:ascii="Calibri" w:hAnsi="Calibri" w:cs="Calibri"/>
          <w:szCs w:val="24"/>
        </w:rPr>
        <w:t>also achieve the ending malaria target by 2030, as all provinces scored 100</w:t>
      </w:r>
      <w:r>
        <w:rPr>
          <w:rFonts w:ascii="Calibri" w:hAnsi="Calibri" w:cs="Calibri"/>
          <w:szCs w:val="24"/>
        </w:rPr>
        <w:t>.</w:t>
      </w:r>
      <w:r w:rsidRPr="00755F09">
        <w:rPr>
          <w:rFonts w:ascii="Calibri" w:hAnsi="Calibri" w:cs="Calibri"/>
          <w:szCs w:val="24"/>
        </w:rPr>
        <w:t>0 in the attainment index in 2030. However, the challenges of ending HIV/AIDs and TB will be tremendous: the attainment index is projected to be 53</w:t>
      </w:r>
      <w:r>
        <w:rPr>
          <w:rFonts w:ascii="Calibri" w:hAnsi="Calibri" w:cs="Calibri"/>
          <w:szCs w:val="24"/>
        </w:rPr>
        <w:t>.</w:t>
      </w:r>
      <w:r w:rsidRPr="00755F09">
        <w:rPr>
          <w:rFonts w:ascii="Calibri" w:hAnsi="Calibri" w:cs="Calibri"/>
          <w:szCs w:val="24"/>
        </w:rPr>
        <w:t>8 and 75</w:t>
      </w:r>
      <w:r>
        <w:rPr>
          <w:rFonts w:ascii="Calibri" w:hAnsi="Calibri" w:cs="Calibri"/>
          <w:szCs w:val="24"/>
        </w:rPr>
        <w:t>.</w:t>
      </w:r>
      <w:r w:rsidRPr="00755F09">
        <w:rPr>
          <w:rFonts w:ascii="Calibri" w:hAnsi="Calibri" w:cs="Calibri"/>
          <w:szCs w:val="24"/>
        </w:rPr>
        <w:t>8</w:t>
      </w:r>
      <w:r>
        <w:rPr>
          <w:rFonts w:ascii="Calibri" w:hAnsi="Calibri" w:cs="Calibri"/>
          <w:szCs w:val="24"/>
        </w:rPr>
        <w:t>,</w:t>
      </w:r>
      <w:r w:rsidRPr="00755F09">
        <w:rPr>
          <w:rFonts w:ascii="Calibri" w:hAnsi="Calibri" w:cs="Calibri"/>
          <w:szCs w:val="24"/>
        </w:rPr>
        <w:t xml:space="preserve"> respectively</w:t>
      </w:r>
      <w:r>
        <w:rPr>
          <w:rFonts w:ascii="Calibri" w:hAnsi="Calibri" w:cs="Calibri"/>
          <w:szCs w:val="24"/>
        </w:rPr>
        <w:t>,</w:t>
      </w:r>
      <w:r w:rsidRPr="00755F09">
        <w:rPr>
          <w:rFonts w:ascii="Calibri" w:hAnsi="Calibri" w:cs="Calibri"/>
          <w:szCs w:val="24"/>
        </w:rPr>
        <w:t xml:space="preserve"> in 2030 and is lowest among western provinces. It is promising for China to end neglected tropical diseases by 2030, as the attainment index is projected to reach 87</w:t>
      </w:r>
      <w:r>
        <w:rPr>
          <w:rFonts w:ascii="Calibri" w:hAnsi="Calibri" w:cs="Calibri"/>
          <w:szCs w:val="24"/>
        </w:rPr>
        <w:t>.</w:t>
      </w:r>
      <w:r w:rsidRPr="00755F09">
        <w:rPr>
          <w:rFonts w:ascii="Calibri" w:hAnsi="Calibri" w:cs="Calibri"/>
          <w:szCs w:val="24"/>
        </w:rPr>
        <w:t>1</w:t>
      </w:r>
      <w:r>
        <w:rPr>
          <w:rFonts w:ascii="Calibri" w:hAnsi="Calibri" w:cs="Calibri"/>
          <w:szCs w:val="24"/>
        </w:rPr>
        <w:t>,</w:t>
      </w:r>
      <w:r w:rsidRPr="00755F09">
        <w:rPr>
          <w:rFonts w:ascii="Calibri" w:hAnsi="Calibri" w:cs="Calibri"/>
          <w:szCs w:val="24"/>
        </w:rPr>
        <w:t xml:space="preserve"> though a few southern provinces had lower scores. Combating hepatitis will be difficult: the attainment index of hepatitis B incidence is projected to increase to 61</w:t>
      </w:r>
      <w:r>
        <w:rPr>
          <w:rFonts w:ascii="Calibri" w:hAnsi="Calibri" w:cs="Calibri"/>
          <w:szCs w:val="24"/>
        </w:rPr>
        <w:t>.</w:t>
      </w:r>
      <w:r w:rsidRPr="00755F09">
        <w:rPr>
          <w:rFonts w:ascii="Calibri" w:hAnsi="Calibri" w:cs="Calibri"/>
          <w:szCs w:val="24"/>
        </w:rPr>
        <w:t>8 in 2030, demonstrating the challenges China faces in controlling hepatitis.</w:t>
      </w:r>
    </w:p>
    <w:p w14:paraId="0764600A" w14:textId="77777777" w:rsidR="00B656F6" w:rsidRPr="00755F09" w:rsidRDefault="00B656F6" w:rsidP="00B656F6">
      <w:pPr>
        <w:rPr>
          <w:rFonts w:ascii="Calibri" w:hAnsi="Calibri" w:cs="Calibri"/>
          <w:szCs w:val="24"/>
        </w:rPr>
      </w:pPr>
      <w:r w:rsidRPr="00755F09">
        <w:rPr>
          <w:rFonts w:ascii="Calibri" w:hAnsi="Calibri" w:cs="Calibri"/>
          <w:szCs w:val="24"/>
        </w:rPr>
        <w:t>The HIV/AIDS and TB targets are projected to be achieved faster for women than men. The incidence of HIV/AIDS and TB are projected to decrease by 29</w:t>
      </w:r>
      <w:r>
        <w:rPr>
          <w:rFonts w:ascii="Calibri" w:hAnsi="Calibri" w:cs="Calibri"/>
          <w:szCs w:val="24"/>
        </w:rPr>
        <w:t>.</w:t>
      </w:r>
      <w:r w:rsidRPr="00755F09">
        <w:rPr>
          <w:rFonts w:ascii="Calibri" w:hAnsi="Calibri" w:cs="Calibri"/>
          <w:szCs w:val="24"/>
        </w:rPr>
        <w:t>8% and 33</w:t>
      </w:r>
      <w:r>
        <w:rPr>
          <w:rFonts w:ascii="Calibri" w:hAnsi="Calibri" w:cs="Calibri"/>
          <w:szCs w:val="24"/>
        </w:rPr>
        <w:t>.</w:t>
      </w:r>
      <w:r w:rsidRPr="00755F09">
        <w:rPr>
          <w:rFonts w:ascii="Calibri" w:hAnsi="Calibri" w:cs="Calibri"/>
          <w:szCs w:val="24"/>
        </w:rPr>
        <w:t>3%</w:t>
      </w:r>
      <w:r>
        <w:rPr>
          <w:rFonts w:ascii="Calibri" w:hAnsi="Calibri" w:cs="Calibri"/>
          <w:szCs w:val="24"/>
        </w:rPr>
        <w:t>,</w:t>
      </w:r>
      <w:r w:rsidRPr="00755F09">
        <w:rPr>
          <w:rFonts w:ascii="Calibri" w:hAnsi="Calibri" w:cs="Calibri"/>
          <w:szCs w:val="24"/>
        </w:rPr>
        <w:t xml:space="preserve"> respectively</w:t>
      </w:r>
      <w:r>
        <w:rPr>
          <w:rFonts w:ascii="Calibri" w:hAnsi="Calibri" w:cs="Calibri"/>
          <w:szCs w:val="24"/>
        </w:rPr>
        <w:t>,</w:t>
      </w:r>
      <w:r w:rsidRPr="00755F09">
        <w:rPr>
          <w:rFonts w:ascii="Calibri" w:hAnsi="Calibri" w:cs="Calibri"/>
          <w:szCs w:val="24"/>
        </w:rPr>
        <w:t xml:space="preserve"> among women from 2016 to 2030, </w:t>
      </w:r>
      <w:r>
        <w:rPr>
          <w:rFonts w:ascii="Calibri" w:hAnsi="Calibri" w:cs="Calibri"/>
          <w:szCs w:val="24"/>
        </w:rPr>
        <w:t>whereas</w:t>
      </w:r>
      <w:r w:rsidRPr="00755F09">
        <w:rPr>
          <w:rFonts w:ascii="Calibri" w:hAnsi="Calibri" w:cs="Calibri"/>
          <w:szCs w:val="24"/>
        </w:rPr>
        <w:t xml:space="preserve"> they only decrease by 7</w:t>
      </w:r>
      <w:r>
        <w:rPr>
          <w:rFonts w:ascii="Calibri" w:hAnsi="Calibri" w:cs="Calibri"/>
          <w:szCs w:val="24"/>
        </w:rPr>
        <w:t>.</w:t>
      </w:r>
      <w:r w:rsidRPr="00755F09">
        <w:rPr>
          <w:rFonts w:ascii="Calibri" w:hAnsi="Calibri" w:cs="Calibri"/>
          <w:szCs w:val="24"/>
        </w:rPr>
        <w:t>9% and 14</w:t>
      </w:r>
      <w:r>
        <w:rPr>
          <w:rFonts w:ascii="Calibri" w:hAnsi="Calibri" w:cs="Calibri"/>
          <w:szCs w:val="24"/>
        </w:rPr>
        <w:t>.</w:t>
      </w:r>
      <w:r w:rsidRPr="00755F09">
        <w:rPr>
          <w:rFonts w:ascii="Calibri" w:hAnsi="Calibri" w:cs="Calibri"/>
          <w:szCs w:val="24"/>
        </w:rPr>
        <w:t>7%</w:t>
      </w:r>
      <w:r>
        <w:rPr>
          <w:rFonts w:ascii="Calibri" w:hAnsi="Calibri" w:cs="Calibri"/>
          <w:szCs w:val="24"/>
        </w:rPr>
        <w:t>,</w:t>
      </w:r>
      <w:r w:rsidRPr="00755F09">
        <w:rPr>
          <w:rFonts w:ascii="Calibri" w:hAnsi="Calibri" w:cs="Calibri"/>
          <w:szCs w:val="24"/>
        </w:rPr>
        <w:t xml:space="preserve"> respectively</w:t>
      </w:r>
      <w:r>
        <w:rPr>
          <w:rFonts w:ascii="Calibri" w:hAnsi="Calibri" w:cs="Calibri"/>
          <w:szCs w:val="24"/>
        </w:rPr>
        <w:t>,</w:t>
      </w:r>
      <w:r w:rsidRPr="00755F09">
        <w:rPr>
          <w:rFonts w:ascii="Calibri" w:hAnsi="Calibri" w:cs="Calibri"/>
          <w:szCs w:val="24"/>
        </w:rPr>
        <w:t xml:space="preserve"> among men. Sex disparities in the incidence of hepatitis B virus (HBV) are projected to reduce</w:t>
      </w:r>
      <w:r>
        <w:rPr>
          <w:rFonts w:ascii="Calibri" w:hAnsi="Calibri" w:cs="Calibri"/>
          <w:szCs w:val="24"/>
        </w:rPr>
        <w:t>,</w:t>
      </w:r>
      <w:r w:rsidRPr="00755F09">
        <w:rPr>
          <w:rFonts w:ascii="Calibri" w:hAnsi="Calibri" w:cs="Calibri"/>
          <w:szCs w:val="24"/>
        </w:rPr>
        <w:t xml:space="preserve"> with a similar percentage decrease at around 55%, though the projected male incidence is still 1</w:t>
      </w:r>
      <w:r>
        <w:rPr>
          <w:rFonts w:ascii="Calibri" w:hAnsi="Calibri" w:cs="Calibri"/>
          <w:szCs w:val="24"/>
        </w:rPr>
        <w:t>.</w:t>
      </w:r>
      <w:r w:rsidRPr="00755F09">
        <w:rPr>
          <w:rFonts w:ascii="Calibri" w:hAnsi="Calibri" w:cs="Calibri"/>
          <w:szCs w:val="24"/>
        </w:rPr>
        <w:t>8 times higher than female incidence.</w:t>
      </w:r>
    </w:p>
    <w:p w14:paraId="30C51D26" w14:textId="77777777" w:rsidR="00B656F6" w:rsidRPr="00755F09" w:rsidRDefault="00B656F6" w:rsidP="00B656F6">
      <w:pPr>
        <w:outlineLvl w:val="0"/>
        <w:rPr>
          <w:rFonts w:ascii="Calibri" w:hAnsi="Calibri" w:cs="Calibri"/>
          <w:szCs w:val="24"/>
          <w:vertAlign w:val="superscript"/>
        </w:rPr>
      </w:pPr>
      <w:r w:rsidRPr="00566686">
        <w:rPr>
          <w:rFonts w:ascii="Calibri" w:hAnsi="Calibri" w:cs="Calibri"/>
          <w:b/>
          <w:bCs/>
          <w:szCs w:val="24"/>
        </w:rPr>
        <w:t>NCDs and mental health</w:t>
      </w:r>
      <w:r>
        <w:rPr>
          <w:rFonts w:ascii="Calibri" w:hAnsi="Calibri" w:cs="Calibri"/>
          <w:b/>
          <w:bCs/>
          <w:szCs w:val="24"/>
        </w:rPr>
        <w:t>.</w:t>
      </w:r>
      <w:r>
        <w:rPr>
          <w:rFonts w:ascii="Calibri" w:hAnsi="Calibri" w:cs="Calibri"/>
          <w:szCs w:val="24"/>
        </w:rPr>
        <w:t xml:space="preserve"> </w:t>
      </w:r>
      <w:r w:rsidRPr="00755F09">
        <w:rPr>
          <w:rFonts w:ascii="Calibri" w:hAnsi="Calibri" w:cs="Calibri"/>
          <w:szCs w:val="24"/>
        </w:rPr>
        <w:t>NCDs remain the leading cause of death in China</w:t>
      </w:r>
      <w:r>
        <w:rPr>
          <w:rFonts w:ascii="Calibri" w:hAnsi="Calibri" w:cs="Calibri"/>
          <w:szCs w:val="24"/>
        </w:rPr>
        <w:t>,</w:t>
      </w:r>
      <w:r w:rsidRPr="00755F09">
        <w:rPr>
          <w:rFonts w:ascii="Calibri" w:hAnsi="Calibri" w:cs="Calibri"/>
          <w:szCs w:val="24"/>
        </w:rPr>
        <w:t xml:space="preserve"> though the past decades saw substantial decreases in age-standardized mortality</w:t>
      </w:r>
      <w:r>
        <w:rPr>
          <w:rFonts w:ascii="Calibri" w:hAnsi="Calibri" w:cs="Calibri"/>
          <w:szCs w:val="24"/>
        </w:rPr>
        <w:t xml:space="preserve"> [</w:t>
      </w:r>
      <w:r w:rsidRPr="00755F09">
        <w:rPr>
          <w:rFonts w:ascii="Calibri" w:hAnsi="Calibri" w:cs="Calibri"/>
          <w:szCs w:val="24"/>
        </w:rPr>
        <w:fldChar w:fldCharType="begin"/>
      </w:r>
      <w:r w:rsidRPr="00755F09">
        <w:rPr>
          <w:rFonts w:ascii="Calibri" w:hAnsi="Calibri" w:cs="Calibri"/>
          <w:szCs w:val="24"/>
        </w:rPr>
        <w:instrText xml:space="preserve"> REF _Ref522816471 \r \h  \* MERGEFORMAT </w:instrText>
      </w:r>
      <w:r w:rsidRPr="00755F09">
        <w:rPr>
          <w:rFonts w:ascii="Calibri" w:hAnsi="Calibri" w:cs="Calibri"/>
          <w:szCs w:val="24"/>
        </w:rPr>
      </w:r>
      <w:r w:rsidRPr="00755F09">
        <w:rPr>
          <w:rFonts w:ascii="Calibri" w:hAnsi="Calibri" w:cs="Calibri"/>
          <w:szCs w:val="24"/>
        </w:rPr>
        <w:fldChar w:fldCharType="separate"/>
      </w:r>
      <w:r>
        <w:rPr>
          <w:rFonts w:ascii="Calibri" w:hAnsi="Calibri" w:cs="Calibri"/>
          <w:szCs w:val="24"/>
        </w:rPr>
        <w:t>3</w:t>
      </w:r>
      <w:r w:rsidRPr="00755F09">
        <w:rPr>
          <w:rFonts w:ascii="Calibri" w:hAnsi="Calibri" w:cs="Calibri"/>
          <w:szCs w:val="24"/>
        </w:rPr>
        <w:fldChar w:fldCharType="end"/>
      </w:r>
      <w:r w:rsidRPr="00755F09">
        <w:rPr>
          <w:rFonts w:ascii="Calibri" w:hAnsi="Calibri" w:cs="Calibri"/>
          <w:szCs w:val="24"/>
        </w:rPr>
        <w:t>]. The age-standardized mortality of the four major NCDs was 542</w:t>
      </w:r>
      <w:r>
        <w:rPr>
          <w:rFonts w:ascii="Calibri" w:hAnsi="Calibri" w:cs="Calibri"/>
          <w:szCs w:val="24"/>
        </w:rPr>
        <w:t>.</w:t>
      </w:r>
      <w:r w:rsidRPr="00755F09">
        <w:rPr>
          <w:rFonts w:ascii="Calibri" w:hAnsi="Calibri" w:cs="Calibri"/>
          <w:szCs w:val="24"/>
        </w:rPr>
        <w:t>1/100,000 in 2016, with cardiovascular diseases ranking first. Suicide mortality rate has decreased over the past decade, reaching 4</w:t>
      </w:r>
      <w:r>
        <w:rPr>
          <w:rFonts w:ascii="Calibri" w:hAnsi="Calibri" w:cs="Calibri"/>
          <w:szCs w:val="24"/>
        </w:rPr>
        <w:t>.</w:t>
      </w:r>
      <w:r w:rsidRPr="00755F09">
        <w:rPr>
          <w:rFonts w:ascii="Calibri" w:hAnsi="Calibri" w:cs="Calibri"/>
          <w:szCs w:val="24"/>
        </w:rPr>
        <w:t>9/100,000 among urban areas and 8</w:t>
      </w:r>
      <w:r>
        <w:rPr>
          <w:rFonts w:ascii="Calibri" w:hAnsi="Calibri" w:cs="Calibri"/>
          <w:szCs w:val="24"/>
        </w:rPr>
        <w:t>.</w:t>
      </w:r>
      <w:r w:rsidRPr="00755F09">
        <w:rPr>
          <w:rFonts w:ascii="Calibri" w:hAnsi="Calibri" w:cs="Calibri"/>
          <w:szCs w:val="24"/>
        </w:rPr>
        <w:t>1/100,000 among rural areas in 2016</w:t>
      </w:r>
      <w:r>
        <w:rPr>
          <w:rFonts w:ascii="Calibri" w:hAnsi="Calibri" w:cs="Calibri"/>
          <w:szCs w:val="24"/>
        </w:rPr>
        <w:t xml:space="preserve"> [</w:t>
      </w:r>
      <w:r w:rsidRPr="00755F09">
        <w:rPr>
          <w:rFonts w:ascii="Calibri" w:hAnsi="Calibri" w:cs="Calibri"/>
          <w:sz w:val="24"/>
          <w:szCs w:val="24"/>
        </w:rPr>
        <w:fldChar w:fldCharType="begin"/>
      </w:r>
      <w:r w:rsidRPr="00755F09">
        <w:rPr>
          <w:rFonts w:ascii="Calibri" w:hAnsi="Calibri" w:cs="Calibri"/>
          <w:sz w:val="24"/>
          <w:szCs w:val="24"/>
        </w:rPr>
        <w:instrText xml:space="preserve"> REF _Ref533346362 \r \h  \* MERGEFORMAT </w:instrText>
      </w:r>
      <w:r w:rsidRPr="00755F09">
        <w:rPr>
          <w:rFonts w:ascii="Calibri" w:hAnsi="Calibri" w:cs="Calibri"/>
          <w:sz w:val="24"/>
          <w:szCs w:val="24"/>
        </w:rPr>
      </w:r>
      <w:r w:rsidRPr="00755F09">
        <w:rPr>
          <w:rFonts w:ascii="Calibri" w:hAnsi="Calibri" w:cs="Calibri"/>
          <w:sz w:val="24"/>
          <w:szCs w:val="24"/>
        </w:rPr>
        <w:fldChar w:fldCharType="separate"/>
      </w:r>
      <w:r>
        <w:rPr>
          <w:rFonts w:ascii="Calibri" w:hAnsi="Calibri" w:cs="Calibri"/>
          <w:sz w:val="24"/>
          <w:szCs w:val="24"/>
        </w:rPr>
        <w:t>20</w:t>
      </w:r>
      <w:r w:rsidRPr="00755F09">
        <w:rPr>
          <w:rFonts w:ascii="Calibri" w:hAnsi="Calibri" w:cs="Calibri"/>
          <w:sz w:val="24"/>
          <w:szCs w:val="24"/>
        </w:rPr>
        <w:fldChar w:fldCharType="end"/>
      </w:r>
      <w:r w:rsidRPr="00755F09">
        <w:rPr>
          <w:rFonts w:ascii="Calibri" w:hAnsi="Calibri" w:cs="Calibri"/>
          <w:sz w:val="24"/>
          <w:szCs w:val="24"/>
        </w:rPr>
        <w:t>].</w:t>
      </w:r>
      <w:r w:rsidRPr="00755F09">
        <w:rPr>
          <w:rFonts w:ascii="Calibri" w:hAnsi="Calibri" w:cs="Calibri"/>
          <w:szCs w:val="24"/>
        </w:rPr>
        <w:t xml:space="preserve"> The harmful alcohol consumption rate among drinkers increased from 3</w:t>
      </w:r>
      <w:r>
        <w:rPr>
          <w:rFonts w:ascii="Calibri" w:hAnsi="Calibri" w:cs="Calibri"/>
          <w:szCs w:val="24"/>
        </w:rPr>
        <w:t>.</w:t>
      </w:r>
      <w:r w:rsidRPr="00755F09">
        <w:rPr>
          <w:rFonts w:ascii="Calibri" w:hAnsi="Calibri" w:cs="Calibri"/>
          <w:szCs w:val="24"/>
        </w:rPr>
        <w:t>3% in 2007 to 8</w:t>
      </w:r>
      <w:r>
        <w:rPr>
          <w:rFonts w:ascii="Calibri" w:hAnsi="Calibri" w:cs="Calibri"/>
          <w:szCs w:val="24"/>
        </w:rPr>
        <w:t>.</w:t>
      </w:r>
      <w:r w:rsidRPr="00755F09">
        <w:rPr>
          <w:rFonts w:ascii="Calibri" w:hAnsi="Calibri" w:cs="Calibri"/>
          <w:szCs w:val="24"/>
        </w:rPr>
        <w:t>8% in 2013</w:t>
      </w:r>
      <w:r>
        <w:rPr>
          <w:rFonts w:ascii="Calibri" w:hAnsi="Calibri" w:cs="Calibri"/>
          <w:szCs w:val="24"/>
        </w:rPr>
        <w:t xml:space="preserve"> [</w:t>
      </w:r>
      <w:r w:rsidRPr="00755F09">
        <w:rPr>
          <w:rFonts w:ascii="Calibri" w:hAnsi="Calibri" w:cs="Calibri"/>
          <w:szCs w:val="24"/>
        </w:rPr>
        <w:fldChar w:fldCharType="begin"/>
      </w:r>
      <w:r w:rsidRPr="00755F09">
        <w:rPr>
          <w:rFonts w:ascii="Calibri" w:hAnsi="Calibri" w:cs="Calibri"/>
          <w:szCs w:val="24"/>
        </w:rPr>
        <w:instrText xml:space="preserve"> REF _Ref522907984 \r  \* MERGEFORMAT </w:instrText>
      </w:r>
      <w:r w:rsidRPr="00755F09">
        <w:rPr>
          <w:rFonts w:ascii="Calibri" w:hAnsi="Calibri" w:cs="Calibri"/>
          <w:szCs w:val="24"/>
        </w:rPr>
        <w:fldChar w:fldCharType="separate"/>
      </w:r>
      <w:r>
        <w:rPr>
          <w:rFonts w:ascii="Calibri" w:hAnsi="Calibri" w:cs="Calibri"/>
          <w:szCs w:val="24"/>
        </w:rPr>
        <w:t>21</w:t>
      </w:r>
      <w:r w:rsidRPr="00755F09">
        <w:rPr>
          <w:rFonts w:ascii="Calibri" w:hAnsi="Calibri" w:cs="Calibri"/>
          <w:szCs w:val="24"/>
        </w:rPr>
        <w:fldChar w:fldCharType="end"/>
      </w:r>
      <w:r w:rsidRPr="00755F09">
        <w:rPr>
          <w:rFonts w:ascii="Calibri" w:hAnsi="Calibri" w:cs="Calibri"/>
          <w:szCs w:val="24"/>
        </w:rPr>
        <w:t xml:space="preserve">]. The smoking rate (≥15 years old) experienced a slow decrease over the past </w:t>
      </w:r>
      <w:r>
        <w:rPr>
          <w:rFonts w:ascii="Calibri" w:hAnsi="Calibri" w:cs="Calibri"/>
          <w:szCs w:val="24"/>
        </w:rPr>
        <w:t>2</w:t>
      </w:r>
      <w:r w:rsidRPr="00755F09">
        <w:rPr>
          <w:rFonts w:ascii="Calibri" w:hAnsi="Calibri" w:cs="Calibri"/>
          <w:szCs w:val="24"/>
        </w:rPr>
        <w:t xml:space="preserve"> decades, reaching 27</w:t>
      </w:r>
      <w:r>
        <w:rPr>
          <w:rFonts w:ascii="Calibri" w:hAnsi="Calibri" w:cs="Calibri"/>
          <w:szCs w:val="24"/>
        </w:rPr>
        <w:t>.</w:t>
      </w:r>
      <w:r w:rsidRPr="00755F09">
        <w:rPr>
          <w:rFonts w:ascii="Calibri" w:hAnsi="Calibri" w:cs="Calibri"/>
          <w:szCs w:val="24"/>
        </w:rPr>
        <w:t>7% in 2015</w:t>
      </w:r>
      <w:r>
        <w:rPr>
          <w:rFonts w:ascii="Calibri" w:hAnsi="Calibri" w:cs="Calibri"/>
          <w:szCs w:val="24"/>
        </w:rPr>
        <w:t xml:space="preserve"> [</w:t>
      </w:r>
      <w:r w:rsidRPr="00755F09">
        <w:rPr>
          <w:rFonts w:ascii="Calibri" w:hAnsi="Calibri" w:cs="Calibri"/>
          <w:szCs w:val="24"/>
        </w:rPr>
        <w:fldChar w:fldCharType="begin"/>
      </w:r>
      <w:r w:rsidRPr="00755F09">
        <w:rPr>
          <w:rFonts w:ascii="Calibri" w:hAnsi="Calibri" w:cs="Calibri"/>
          <w:szCs w:val="24"/>
        </w:rPr>
        <w:instrText xml:space="preserve"> REF _Ref522908413 \r  \* MERGEFORMAT </w:instrText>
      </w:r>
      <w:r w:rsidRPr="00755F09">
        <w:rPr>
          <w:rFonts w:ascii="Calibri" w:hAnsi="Calibri" w:cs="Calibri"/>
          <w:szCs w:val="24"/>
        </w:rPr>
        <w:fldChar w:fldCharType="separate"/>
      </w:r>
      <w:r>
        <w:rPr>
          <w:rFonts w:ascii="Calibri" w:hAnsi="Calibri" w:cs="Calibri"/>
          <w:szCs w:val="24"/>
        </w:rPr>
        <w:t>27</w:t>
      </w:r>
      <w:r w:rsidRPr="00755F09">
        <w:rPr>
          <w:rFonts w:ascii="Calibri" w:hAnsi="Calibri" w:cs="Calibri"/>
          <w:szCs w:val="24"/>
        </w:rPr>
        <w:fldChar w:fldCharType="end"/>
      </w:r>
      <w:r w:rsidRPr="00755F09">
        <w:rPr>
          <w:rFonts w:ascii="Calibri" w:hAnsi="Calibri" w:cs="Calibri"/>
          <w:szCs w:val="24"/>
        </w:rPr>
        <w:t>]. Challenges related to smoking control were examined in our interviews (</w:t>
      </w:r>
      <w:r>
        <w:rPr>
          <w:rFonts w:ascii="Calibri" w:hAnsi="Calibri" w:cs="Calibri"/>
          <w:szCs w:val="24"/>
        </w:rPr>
        <w:t>Box</w:t>
      </w:r>
      <w:r w:rsidRPr="00755F09">
        <w:rPr>
          <w:rFonts w:ascii="Calibri" w:hAnsi="Calibri" w:cs="Calibri"/>
          <w:szCs w:val="24"/>
        </w:rPr>
        <w:t xml:space="preserve"> 1).</w:t>
      </w:r>
    </w:p>
    <w:p w14:paraId="14FC1984" w14:textId="77777777" w:rsidR="00B656F6" w:rsidRPr="00755F09" w:rsidRDefault="00B656F6" w:rsidP="00B656F6">
      <w:pPr>
        <w:rPr>
          <w:rFonts w:ascii="Calibri" w:hAnsi="Calibri" w:cs="Calibri"/>
          <w:szCs w:val="24"/>
        </w:rPr>
      </w:pPr>
      <w:r w:rsidRPr="00755F09">
        <w:rPr>
          <w:rFonts w:ascii="Calibri" w:hAnsi="Calibri" w:cs="Calibri"/>
          <w:szCs w:val="24"/>
        </w:rPr>
        <w:t>Sex disparities were substantial among NCD indicators. Male mortality rates were higher than females’</w:t>
      </w:r>
      <w:r>
        <w:rPr>
          <w:rFonts w:ascii="Calibri" w:hAnsi="Calibri" w:cs="Calibri"/>
          <w:szCs w:val="24"/>
        </w:rPr>
        <w:t>,</w:t>
      </w:r>
      <w:r w:rsidRPr="00755F09">
        <w:rPr>
          <w:rFonts w:ascii="Calibri" w:hAnsi="Calibri" w:cs="Calibri"/>
          <w:szCs w:val="24"/>
        </w:rPr>
        <w:t xml:space="preserve"> except for diabetes: the baseline number</w:t>
      </w:r>
      <w:r>
        <w:rPr>
          <w:rFonts w:ascii="Calibri" w:hAnsi="Calibri" w:cs="Calibri"/>
          <w:szCs w:val="24"/>
        </w:rPr>
        <w:t>s</w:t>
      </w:r>
      <w:r w:rsidRPr="00755F09">
        <w:rPr>
          <w:rFonts w:ascii="Calibri" w:hAnsi="Calibri" w:cs="Calibri"/>
          <w:szCs w:val="24"/>
        </w:rPr>
        <w:t xml:space="preserve"> of males were 1</w:t>
      </w:r>
      <w:r>
        <w:rPr>
          <w:rFonts w:ascii="Calibri" w:hAnsi="Calibri" w:cs="Calibri"/>
          <w:szCs w:val="24"/>
        </w:rPr>
        <w:t>.</w:t>
      </w:r>
      <w:r w:rsidRPr="00755F09">
        <w:rPr>
          <w:rFonts w:ascii="Calibri" w:hAnsi="Calibri" w:cs="Calibri"/>
          <w:szCs w:val="24"/>
        </w:rPr>
        <w:t>5, 1</w:t>
      </w:r>
      <w:r>
        <w:rPr>
          <w:rFonts w:ascii="Calibri" w:hAnsi="Calibri" w:cs="Calibri"/>
          <w:szCs w:val="24"/>
        </w:rPr>
        <w:t>.</w:t>
      </w:r>
      <w:r w:rsidRPr="00755F09">
        <w:rPr>
          <w:rFonts w:ascii="Calibri" w:hAnsi="Calibri" w:cs="Calibri"/>
          <w:szCs w:val="24"/>
        </w:rPr>
        <w:t>4, 5</w:t>
      </w:r>
      <w:r>
        <w:rPr>
          <w:rFonts w:ascii="Calibri" w:hAnsi="Calibri" w:cs="Calibri"/>
          <w:szCs w:val="24"/>
        </w:rPr>
        <w:t>.</w:t>
      </w:r>
      <w:r w:rsidRPr="00755F09">
        <w:rPr>
          <w:rFonts w:ascii="Calibri" w:hAnsi="Calibri" w:cs="Calibri"/>
          <w:szCs w:val="24"/>
        </w:rPr>
        <w:t>9</w:t>
      </w:r>
      <w:r>
        <w:rPr>
          <w:rFonts w:ascii="Calibri" w:hAnsi="Calibri" w:cs="Calibri"/>
          <w:szCs w:val="24"/>
        </w:rPr>
        <w:t>,</w:t>
      </w:r>
      <w:r w:rsidRPr="00755F09">
        <w:rPr>
          <w:rFonts w:ascii="Calibri" w:hAnsi="Calibri" w:cs="Calibri"/>
          <w:szCs w:val="24"/>
        </w:rPr>
        <w:t xml:space="preserve"> and 19</w:t>
      </w:r>
      <w:r>
        <w:rPr>
          <w:rFonts w:ascii="Calibri" w:hAnsi="Calibri" w:cs="Calibri"/>
          <w:szCs w:val="24"/>
        </w:rPr>
        <w:t>.</w:t>
      </w:r>
      <w:r w:rsidRPr="00755F09">
        <w:rPr>
          <w:rFonts w:ascii="Calibri" w:hAnsi="Calibri" w:cs="Calibri"/>
          <w:szCs w:val="24"/>
        </w:rPr>
        <w:t>3 times higher than that of females in NCD mortality, suicide rate, harmful alcohol consumption rate</w:t>
      </w:r>
      <w:r>
        <w:rPr>
          <w:rFonts w:ascii="Calibri" w:hAnsi="Calibri" w:cs="Calibri"/>
          <w:szCs w:val="24"/>
        </w:rPr>
        <w:t>,</w:t>
      </w:r>
      <w:r w:rsidRPr="00755F09">
        <w:rPr>
          <w:rFonts w:ascii="Calibri" w:hAnsi="Calibri" w:cs="Calibri"/>
          <w:szCs w:val="24"/>
        </w:rPr>
        <w:t xml:space="preserve"> and smoking rate</w:t>
      </w:r>
      <w:r>
        <w:rPr>
          <w:rFonts w:ascii="Calibri" w:hAnsi="Calibri" w:cs="Calibri"/>
          <w:szCs w:val="24"/>
        </w:rPr>
        <w:t>,</w:t>
      </w:r>
      <w:r w:rsidRPr="00755F09">
        <w:rPr>
          <w:rFonts w:ascii="Calibri" w:hAnsi="Calibri" w:cs="Calibri"/>
          <w:szCs w:val="24"/>
        </w:rPr>
        <w:t xml:space="preserve"> respectively.</w:t>
      </w:r>
    </w:p>
    <w:p w14:paraId="266BA735" w14:textId="77777777" w:rsidR="00B656F6" w:rsidRPr="00755F09" w:rsidRDefault="00B656F6" w:rsidP="00B656F6">
      <w:pPr>
        <w:rPr>
          <w:rFonts w:ascii="Calibri" w:hAnsi="Calibri" w:cs="Calibri"/>
          <w:szCs w:val="24"/>
        </w:rPr>
      </w:pPr>
      <w:r w:rsidRPr="00755F09">
        <w:rPr>
          <w:rFonts w:ascii="Calibri" w:hAnsi="Calibri" w:cs="Calibri"/>
          <w:szCs w:val="24"/>
        </w:rPr>
        <w:t>We have done the projections using two mortality indicators related to premature deaths due to NCDs and suicide. These two indicators will greatly improve by 2030 based on China’s historical progress (</w:t>
      </w:r>
      <w:r>
        <w:rPr>
          <w:rFonts w:ascii="Calibri" w:hAnsi="Calibri" w:cs="Calibri"/>
          <w:szCs w:val="24"/>
        </w:rPr>
        <w:t>Fig 2D</w:t>
      </w:r>
      <w:r w:rsidRPr="00755F09">
        <w:rPr>
          <w:rFonts w:ascii="Calibri" w:hAnsi="Calibri" w:cs="Calibri"/>
          <w:szCs w:val="24"/>
        </w:rPr>
        <w:t>). The attainment index is projected to increase to 100</w:t>
      </w:r>
      <w:r>
        <w:rPr>
          <w:rFonts w:ascii="Calibri" w:hAnsi="Calibri" w:cs="Calibri"/>
          <w:szCs w:val="24"/>
        </w:rPr>
        <w:t>.</w:t>
      </w:r>
      <w:r w:rsidRPr="00755F09">
        <w:rPr>
          <w:rFonts w:ascii="Calibri" w:hAnsi="Calibri" w:cs="Calibri"/>
          <w:szCs w:val="24"/>
        </w:rPr>
        <w:t>0 in 2030 from 79</w:t>
      </w:r>
      <w:r>
        <w:rPr>
          <w:rFonts w:ascii="Calibri" w:hAnsi="Calibri" w:cs="Calibri"/>
          <w:szCs w:val="24"/>
        </w:rPr>
        <w:t>.</w:t>
      </w:r>
      <w:r w:rsidRPr="00755F09">
        <w:rPr>
          <w:rFonts w:ascii="Calibri" w:hAnsi="Calibri" w:cs="Calibri"/>
          <w:szCs w:val="24"/>
        </w:rPr>
        <w:t>7 in 2016, with an annual change rate of 1</w:t>
      </w:r>
      <w:r>
        <w:rPr>
          <w:rFonts w:ascii="Calibri" w:hAnsi="Calibri" w:cs="Calibri"/>
          <w:szCs w:val="24"/>
        </w:rPr>
        <w:t>.</w:t>
      </w:r>
      <w:r w:rsidRPr="00755F09">
        <w:rPr>
          <w:rFonts w:ascii="Calibri" w:hAnsi="Calibri" w:cs="Calibri"/>
          <w:szCs w:val="24"/>
        </w:rPr>
        <w:t xml:space="preserve">6. The attainment index of all provinces </w:t>
      </w:r>
      <w:r>
        <w:rPr>
          <w:rFonts w:ascii="Calibri" w:hAnsi="Calibri" w:cs="Calibri"/>
          <w:szCs w:val="24"/>
        </w:rPr>
        <w:t>is</w:t>
      </w:r>
      <w:r w:rsidRPr="00755F09">
        <w:rPr>
          <w:rFonts w:ascii="Calibri" w:hAnsi="Calibri" w:cs="Calibri"/>
          <w:szCs w:val="24"/>
        </w:rPr>
        <w:t xml:space="preserve"> projected to reach above 90</w:t>
      </w:r>
      <w:r>
        <w:rPr>
          <w:rFonts w:ascii="Calibri" w:hAnsi="Calibri" w:cs="Calibri"/>
          <w:szCs w:val="24"/>
        </w:rPr>
        <w:t>.</w:t>
      </w:r>
      <w:r w:rsidRPr="00755F09">
        <w:rPr>
          <w:rFonts w:ascii="Calibri" w:hAnsi="Calibri" w:cs="Calibri"/>
          <w:szCs w:val="24"/>
        </w:rPr>
        <w:t xml:space="preserve">0 in 2030. However, provinces are projected to perform better in suicide mortality than premature NCD morality. </w:t>
      </w:r>
      <w:r>
        <w:rPr>
          <w:rFonts w:ascii="Calibri" w:hAnsi="Calibri" w:cs="Calibri"/>
          <w:szCs w:val="24"/>
        </w:rPr>
        <w:t>Although</w:t>
      </w:r>
      <w:r w:rsidRPr="00755F09">
        <w:rPr>
          <w:rFonts w:ascii="Calibri" w:hAnsi="Calibri" w:cs="Calibri"/>
          <w:szCs w:val="24"/>
        </w:rPr>
        <w:t xml:space="preserve"> the attainment index of all provinces is projected to reach above 95</w:t>
      </w:r>
      <w:r>
        <w:rPr>
          <w:rFonts w:ascii="Calibri" w:hAnsi="Calibri" w:cs="Calibri"/>
          <w:szCs w:val="24"/>
        </w:rPr>
        <w:t>.</w:t>
      </w:r>
      <w:r w:rsidRPr="00755F09">
        <w:rPr>
          <w:rFonts w:ascii="Calibri" w:hAnsi="Calibri" w:cs="Calibri"/>
          <w:szCs w:val="24"/>
        </w:rPr>
        <w:t>0 in suicide mortality, three provinces, Guangxi, Yunnan</w:t>
      </w:r>
      <w:r>
        <w:rPr>
          <w:rFonts w:ascii="Calibri" w:hAnsi="Calibri" w:cs="Calibri"/>
          <w:szCs w:val="24"/>
        </w:rPr>
        <w:t>,</w:t>
      </w:r>
      <w:r w:rsidRPr="00755F09">
        <w:rPr>
          <w:rFonts w:ascii="Calibri" w:hAnsi="Calibri" w:cs="Calibri"/>
          <w:szCs w:val="24"/>
        </w:rPr>
        <w:t xml:space="preserve"> and Hubei, are projected to score under 90</w:t>
      </w:r>
      <w:r>
        <w:rPr>
          <w:rFonts w:ascii="Calibri" w:hAnsi="Calibri" w:cs="Calibri"/>
          <w:szCs w:val="24"/>
        </w:rPr>
        <w:t>.</w:t>
      </w:r>
      <w:r w:rsidRPr="00755F09">
        <w:rPr>
          <w:rFonts w:ascii="Calibri" w:hAnsi="Calibri" w:cs="Calibri"/>
          <w:szCs w:val="24"/>
        </w:rPr>
        <w:t>0 in NCD premature morality. Sex disparities are projected to exist in both NCD premature death and suicide. The premature probability of dying from the four NCDs is projected to drop by 21</w:t>
      </w:r>
      <w:r>
        <w:rPr>
          <w:rFonts w:ascii="Calibri" w:hAnsi="Calibri" w:cs="Calibri"/>
          <w:szCs w:val="24"/>
        </w:rPr>
        <w:t>.</w:t>
      </w:r>
      <w:r w:rsidRPr="00755F09">
        <w:rPr>
          <w:rFonts w:ascii="Calibri" w:hAnsi="Calibri" w:cs="Calibri"/>
          <w:szCs w:val="24"/>
        </w:rPr>
        <w:t>5% among males compared with 38</w:t>
      </w:r>
      <w:r>
        <w:rPr>
          <w:rFonts w:ascii="Calibri" w:hAnsi="Calibri" w:cs="Calibri"/>
          <w:szCs w:val="24"/>
        </w:rPr>
        <w:t>.</w:t>
      </w:r>
      <w:r w:rsidRPr="00755F09">
        <w:rPr>
          <w:rFonts w:ascii="Calibri" w:hAnsi="Calibri" w:cs="Calibri"/>
          <w:szCs w:val="24"/>
        </w:rPr>
        <w:t>9% among females from 2016 to 2030. Projection results show the suicide rate will decrease faster among females at 51</w:t>
      </w:r>
      <w:r>
        <w:rPr>
          <w:rFonts w:ascii="Calibri" w:hAnsi="Calibri" w:cs="Calibri"/>
          <w:szCs w:val="24"/>
        </w:rPr>
        <w:t>.</w:t>
      </w:r>
      <w:r w:rsidRPr="00755F09">
        <w:rPr>
          <w:rFonts w:ascii="Calibri" w:hAnsi="Calibri" w:cs="Calibri"/>
          <w:szCs w:val="24"/>
        </w:rPr>
        <w:t>6% than males at 21</w:t>
      </w:r>
      <w:r>
        <w:rPr>
          <w:rFonts w:ascii="Calibri" w:hAnsi="Calibri" w:cs="Calibri"/>
          <w:szCs w:val="24"/>
        </w:rPr>
        <w:t>.</w:t>
      </w:r>
      <w:r w:rsidRPr="00755F09">
        <w:rPr>
          <w:rFonts w:ascii="Calibri" w:hAnsi="Calibri" w:cs="Calibri"/>
          <w:szCs w:val="24"/>
        </w:rPr>
        <w:t>5%.</w:t>
      </w:r>
    </w:p>
    <w:p w14:paraId="0AFA7652" w14:textId="77777777" w:rsidR="00B656F6" w:rsidRPr="00755F09" w:rsidRDefault="00B656F6" w:rsidP="00B656F6">
      <w:pPr>
        <w:rPr>
          <w:rFonts w:ascii="Calibri" w:hAnsi="Calibri" w:cs="Calibri"/>
          <w:szCs w:val="24"/>
        </w:rPr>
      </w:pPr>
      <w:r w:rsidRPr="00755F09">
        <w:rPr>
          <w:rFonts w:ascii="Calibri" w:hAnsi="Calibri" w:cs="Calibri"/>
          <w:szCs w:val="24"/>
        </w:rPr>
        <w:t>Based on the projections of the two indicators of NCD risk factors, it is estimated that the performance of NCD risk factors in China will continue to worsen by 2025 if the current trajectories continue (</w:t>
      </w:r>
      <w:r>
        <w:rPr>
          <w:rFonts w:ascii="Calibri" w:hAnsi="Calibri" w:cs="Calibri"/>
          <w:szCs w:val="24"/>
        </w:rPr>
        <w:t>Fig 2E</w:t>
      </w:r>
      <w:r w:rsidRPr="00755F09">
        <w:rPr>
          <w:rFonts w:ascii="Calibri" w:hAnsi="Calibri" w:cs="Calibri"/>
          <w:szCs w:val="24"/>
        </w:rPr>
        <w:t>). The attainment index is projected to drop to 38</w:t>
      </w:r>
      <w:r>
        <w:rPr>
          <w:rFonts w:ascii="Calibri" w:hAnsi="Calibri" w:cs="Calibri"/>
          <w:szCs w:val="24"/>
        </w:rPr>
        <w:t>.</w:t>
      </w:r>
      <w:r w:rsidRPr="00755F09">
        <w:rPr>
          <w:rFonts w:ascii="Calibri" w:hAnsi="Calibri" w:cs="Calibri"/>
          <w:szCs w:val="24"/>
        </w:rPr>
        <w:t>8 in 2025 from 60</w:t>
      </w:r>
      <w:r>
        <w:rPr>
          <w:rFonts w:ascii="Calibri" w:hAnsi="Calibri" w:cs="Calibri"/>
          <w:szCs w:val="24"/>
        </w:rPr>
        <w:t>.</w:t>
      </w:r>
      <w:r w:rsidRPr="00755F09">
        <w:rPr>
          <w:rFonts w:ascii="Calibri" w:hAnsi="Calibri" w:cs="Calibri"/>
          <w:szCs w:val="24"/>
        </w:rPr>
        <w:t xml:space="preserve">5 in 2016, with an annual change rate of </w:t>
      </w:r>
      <w:r>
        <w:rPr>
          <w:rFonts w:ascii="Calibri" w:hAnsi="Calibri" w:cs="Calibri"/>
          <w:szCs w:val="24"/>
        </w:rPr>
        <w:t>−</w:t>
      </w:r>
      <w:r w:rsidRPr="00755F09">
        <w:rPr>
          <w:rFonts w:ascii="Calibri" w:hAnsi="Calibri" w:cs="Calibri"/>
          <w:szCs w:val="24"/>
        </w:rPr>
        <w:t>1</w:t>
      </w:r>
      <w:r>
        <w:rPr>
          <w:rFonts w:ascii="Calibri" w:hAnsi="Calibri" w:cs="Calibri"/>
          <w:szCs w:val="24"/>
        </w:rPr>
        <w:t>.</w:t>
      </w:r>
      <w:r w:rsidRPr="00755F09">
        <w:rPr>
          <w:rFonts w:ascii="Calibri" w:hAnsi="Calibri" w:cs="Calibri"/>
          <w:szCs w:val="24"/>
        </w:rPr>
        <w:t xml:space="preserve">3. Such sharp decreases </w:t>
      </w:r>
      <w:r>
        <w:rPr>
          <w:rFonts w:ascii="Calibri" w:hAnsi="Calibri" w:cs="Calibri"/>
          <w:szCs w:val="24"/>
        </w:rPr>
        <w:t>are</w:t>
      </w:r>
      <w:r w:rsidRPr="00755F09">
        <w:rPr>
          <w:rFonts w:ascii="Calibri" w:hAnsi="Calibri" w:cs="Calibri"/>
          <w:szCs w:val="24"/>
        </w:rPr>
        <w:t xml:space="preserve"> especially obvious among eastern provinces. Beijing, Tianjin</w:t>
      </w:r>
      <w:r>
        <w:rPr>
          <w:rFonts w:ascii="Calibri" w:hAnsi="Calibri" w:cs="Calibri"/>
          <w:szCs w:val="24"/>
        </w:rPr>
        <w:t>,</w:t>
      </w:r>
      <w:r w:rsidRPr="00755F09">
        <w:rPr>
          <w:rFonts w:ascii="Calibri" w:hAnsi="Calibri" w:cs="Calibri"/>
          <w:szCs w:val="24"/>
        </w:rPr>
        <w:t xml:space="preserve"> and Shanghai rank in the top three in terms of the projected decreasing speed.</w:t>
      </w:r>
    </w:p>
    <w:p w14:paraId="4599E801" w14:textId="77777777" w:rsidR="00B656F6" w:rsidRPr="00755F09" w:rsidRDefault="00B656F6" w:rsidP="00B656F6">
      <w:pPr>
        <w:rPr>
          <w:rFonts w:ascii="Calibri" w:hAnsi="Calibri" w:cs="Calibri"/>
          <w:szCs w:val="24"/>
        </w:rPr>
      </w:pPr>
      <w:r w:rsidRPr="00755F09">
        <w:rPr>
          <w:rFonts w:ascii="Calibri" w:hAnsi="Calibri" w:cs="Calibri"/>
          <w:szCs w:val="24"/>
        </w:rPr>
        <w:t>The worsening of performance in NCD risk factors is largely attributed to the significant increase of alcohol use, though the smoking prevalence is projected to decrease. In terms of sex disparities, the male smoking prevalence (≥15 years) is projected to be 12</w:t>
      </w:r>
      <w:r>
        <w:rPr>
          <w:rFonts w:ascii="Calibri" w:hAnsi="Calibri" w:cs="Calibri"/>
          <w:szCs w:val="24"/>
        </w:rPr>
        <w:t>.</w:t>
      </w:r>
      <w:r w:rsidRPr="00755F09">
        <w:rPr>
          <w:rFonts w:ascii="Calibri" w:hAnsi="Calibri" w:cs="Calibri"/>
          <w:szCs w:val="24"/>
        </w:rPr>
        <w:t>3 times higher than females in 2025. In addition, the male smoking prevalence is projected to decrease slower than females. Smoking in males is projected to decrease by 8</w:t>
      </w:r>
      <w:r>
        <w:rPr>
          <w:rFonts w:ascii="Calibri" w:hAnsi="Calibri" w:cs="Calibri"/>
          <w:szCs w:val="24"/>
        </w:rPr>
        <w:t>.</w:t>
      </w:r>
      <w:r w:rsidRPr="00755F09">
        <w:rPr>
          <w:rFonts w:ascii="Calibri" w:hAnsi="Calibri" w:cs="Calibri"/>
          <w:szCs w:val="24"/>
        </w:rPr>
        <w:t>4% compared with a decrease in females by 13</w:t>
      </w:r>
      <w:r>
        <w:rPr>
          <w:rFonts w:ascii="Calibri" w:hAnsi="Calibri" w:cs="Calibri"/>
          <w:szCs w:val="24"/>
        </w:rPr>
        <w:t>.</w:t>
      </w:r>
      <w:r w:rsidRPr="00755F09">
        <w:rPr>
          <w:rFonts w:ascii="Calibri" w:hAnsi="Calibri" w:cs="Calibri"/>
          <w:szCs w:val="24"/>
        </w:rPr>
        <w:t xml:space="preserve">1% from 2016 to 2025. The male daily alcohol </w:t>
      </w:r>
      <w:r w:rsidRPr="00755F09">
        <w:rPr>
          <w:rFonts w:ascii="Calibri" w:hAnsi="Calibri" w:cs="Calibri"/>
          <w:szCs w:val="24"/>
        </w:rPr>
        <w:lastRenderedPageBreak/>
        <w:t>consumption in the past 12 months (≥15 years) is projected to be 14</w:t>
      </w:r>
      <w:r>
        <w:rPr>
          <w:rFonts w:ascii="Calibri" w:hAnsi="Calibri" w:cs="Calibri"/>
          <w:szCs w:val="24"/>
        </w:rPr>
        <w:t>.</w:t>
      </w:r>
      <w:r w:rsidRPr="00755F09">
        <w:rPr>
          <w:rFonts w:ascii="Calibri" w:hAnsi="Calibri" w:cs="Calibri"/>
          <w:szCs w:val="24"/>
        </w:rPr>
        <w:t xml:space="preserve">0 times higher than </w:t>
      </w:r>
      <w:r>
        <w:rPr>
          <w:rFonts w:ascii="Calibri" w:hAnsi="Calibri" w:cs="Calibri"/>
          <w:szCs w:val="24"/>
        </w:rPr>
        <w:t xml:space="preserve">for </w:t>
      </w:r>
      <w:r w:rsidRPr="00755F09">
        <w:rPr>
          <w:rFonts w:ascii="Calibri" w:hAnsi="Calibri" w:cs="Calibri"/>
          <w:szCs w:val="24"/>
        </w:rPr>
        <w:t>female</w:t>
      </w:r>
      <w:r>
        <w:rPr>
          <w:rFonts w:ascii="Calibri" w:hAnsi="Calibri" w:cs="Calibri"/>
          <w:szCs w:val="24"/>
        </w:rPr>
        <w:t>s</w:t>
      </w:r>
      <w:r w:rsidRPr="00755F09">
        <w:rPr>
          <w:rFonts w:ascii="Calibri" w:hAnsi="Calibri" w:cs="Calibri"/>
          <w:szCs w:val="24"/>
        </w:rPr>
        <w:t xml:space="preserve"> in 2025, and males are projected to experience an increase of 17</w:t>
      </w:r>
      <w:r>
        <w:rPr>
          <w:rFonts w:ascii="Calibri" w:hAnsi="Calibri" w:cs="Calibri"/>
          <w:szCs w:val="24"/>
        </w:rPr>
        <w:t>.</w:t>
      </w:r>
      <w:r w:rsidRPr="00755F09">
        <w:rPr>
          <w:rFonts w:ascii="Calibri" w:hAnsi="Calibri" w:cs="Calibri"/>
          <w:szCs w:val="24"/>
        </w:rPr>
        <w:t>0% compared with 15</w:t>
      </w:r>
      <w:r>
        <w:rPr>
          <w:rFonts w:ascii="Calibri" w:hAnsi="Calibri" w:cs="Calibri"/>
          <w:szCs w:val="24"/>
        </w:rPr>
        <w:t>.</w:t>
      </w:r>
      <w:r w:rsidRPr="00755F09">
        <w:rPr>
          <w:rFonts w:ascii="Calibri" w:hAnsi="Calibri" w:cs="Calibri"/>
          <w:szCs w:val="24"/>
        </w:rPr>
        <w:t>8% among females.</w:t>
      </w:r>
    </w:p>
    <w:p w14:paraId="3C663B64" w14:textId="77777777" w:rsidR="00B656F6" w:rsidRPr="00755F09" w:rsidRDefault="00B656F6" w:rsidP="00B656F6">
      <w:pPr>
        <w:outlineLvl w:val="0"/>
        <w:rPr>
          <w:rFonts w:ascii="Calibri" w:hAnsi="Calibri" w:cs="Calibri"/>
          <w:szCs w:val="24"/>
          <w:vertAlign w:val="superscript"/>
        </w:rPr>
      </w:pPr>
      <w:r w:rsidRPr="00566686">
        <w:rPr>
          <w:rFonts w:ascii="Calibri" w:hAnsi="Calibri" w:cs="Calibri"/>
          <w:b/>
          <w:bCs/>
          <w:szCs w:val="24"/>
        </w:rPr>
        <w:t>Road injuries</w:t>
      </w:r>
      <w:r>
        <w:rPr>
          <w:rFonts w:ascii="Calibri" w:hAnsi="Calibri" w:cs="Calibri"/>
          <w:b/>
          <w:bCs/>
          <w:szCs w:val="24"/>
        </w:rPr>
        <w:t>.</w:t>
      </w:r>
      <w:r>
        <w:rPr>
          <w:rFonts w:ascii="Calibri" w:hAnsi="Calibri" w:cs="Calibri"/>
          <w:szCs w:val="24"/>
        </w:rPr>
        <w:t xml:space="preserve"> </w:t>
      </w:r>
      <w:r w:rsidRPr="00755F09">
        <w:rPr>
          <w:rFonts w:ascii="Calibri" w:hAnsi="Calibri" w:cs="Calibri"/>
          <w:szCs w:val="24"/>
        </w:rPr>
        <w:t>Road injur</w:t>
      </w:r>
      <w:r>
        <w:rPr>
          <w:rFonts w:ascii="Calibri" w:hAnsi="Calibri" w:cs="Calibri"/>
          <w:szCs w:val="24"/>
        </w:rPr>
        <w:t>y</w:t>
      </w:r>
      <w:r w:rsidRPr="00755F09">
        <w:rPr>
          <w:rFonts w:ascii="Calibri" w:hAnsi="Calibri" w:cs="Calibri"/>
          <w:szCs w:val="24"/>
        </w:rPr>
        <w:t xml:space="preserve"> mortality in China </w:t>
      </w:r>
      <w:r>
        <w:rPr>
          <w:rFonts w:ascii="Calibri" w:hAnsi="Calibri" w:cs="Calibri"/>
          <w:szCs w:val="24"/>
        </w:rPr>
        <w:t>has</w:t>
      </w:r>
      <w:r w:rsidRPr="00755F09">
        <w:rPr>
          <w:rFonts w:ascii="Calibri" w:hAnsi="Calibri" w:cs="Calibri"/>
          <w:szCs w:val="24"/>
        </w:rPr>
        <w:t xml:space="preserve"> had a steady decrease since 2013, after years of increase, dropping to 19</w:t>
      </w:r>
      <w:r>
        <w:rPr>
          <w:rFonts w:ascii="Calibri" w:hAnsi="Calibri" w:cs="Calibri"/>
          <w:szCs w:val="24"/>
        </w:rPr>
        <w:t>.</w:t>
      </w:r>
      <w:r w:rsidRPr="00755F09">
        <w:rPr>
          <w:rFonts w:ascii="Calibri" w:hAnsi="Calibri" w:cs="Calibri"/>
          <w:szCs w:val="24"/>
        </w:rPr>
        <w:t>3/100,000 in rural areas and 13</w:t>
      </w:r>
      <w:r>
        <w:rPr>
          <w:rFonts w:ascii="Calibri" w:hAnsi="Calibri" w:cs="Calibri"/>
          <w:szCs w:val="24"/>
        </w:rPr>
        <w:t>.</w:t>
      </w:r>
      <w:r w:rsidRPr="00755F09">
        <w:rPr>
          <w:rFonts w:ascii="Calibri" w:hAnsi="Calibri" w:cs="Calibri"/>
          <w:szCs w:val="24"/>
        </w:rPr>
        <w:t>2/100,000 in urban areas in 2015</w:t>
      </w:r>
      <w:r>
        <w:rPr>
          <w:rFonts w:ascii="Calibri" w:hAnsi="Calibri" w:cs="Calibri"/>
          <w:szCs w:val="24"/>
        </w:rPr>
        <w:t xml:space="preserve"> [</w:t>
      </w:r>
      <w:r w:rsidRPr="00755F09">
        <w:rPr>
          <w:rFonts w:ascii="Calibri" w:hAnsi="Calibri" w:cs="Calibri"/>
          <w:szCs w:val="24"/>
        </w:rPr>
        <w:fldChar w:fldCharType="begin"/>
      </w:r>
      <w:r w:rsidRPr="00755F09">
        <w:rPr>
          <w:rFonts w:ascii="Calibri" w:hAnsi="Calibri" w:cs="Calibri"/>
          <w:szCs w:val="24"/>
        </w:rPr>
        <w:instrText xml:space="preserve"> REF _Ref522816471 \r  \* MERGEFORMAT </w:instrText>
      </w:r>
      <w:r w:rsidRPr="00755F09">
        <w:rPr>
          <w:rFonts w:ascii="Calibri" w:hAnsi="Calibri" w:cs="Calibri"/>
          <w:szCs w:val="24"/>
        </w:rPr>
        <w:fldChar w:fldCharType="separate"/>
      </w:r>
      <w:r>
        <w:rPr>
          <w:rFonts w:ascii="Calibri" w:hAnsi="Calibri" w:cs="Calibri"/>
          <w:szCs w:val="24"/>
        </w:rPr>
        <w:t>3</w:t>
      </w:r>
      <w:r w:rsidRPr="00755F09">
        <w:rPr>
          <w:rFonts w:ascii="Calibri" w:hAnsi="Calibri" w:cs="Calibri"/>
          <w:szCs w:val="24"/>
        </w:rPr>
        <w:fldChar w:fldCharType="end"/>
      </w:r>
      <w:r w:rsidRPr="00755F09">
        <w:rPr>
          <w:rFonts w:ascii="Calibri" w:hAnsi="Calibri" w:cs="Calibri"/>
          <w:szCs w:val="24"/>
        </w:rPr>
        <w:t>]. The road injur</w:t>
      </w:r>
      <w:r>
        <w:rPr>
          <w:rFonts w:ascii="Calibri" w:hAnsi="Calibri" w:cs="Calibri"/>
          <w:szCs w:val="24"/>
        </w:rPr>
        <w:t>y</w:t>
      </w:r>
      <w:r w:rsidRPr="00755F09">
        <w:rPr>
          <w:rFonts w:ascii="Calibri" w:hAnsi="Calibri" w:cs="Calibri"/>
          <w:szCs w:val="24"/>
        </w:rPr>
        <w:t xml:space="preserve"> mortality rate among males was 2</w:t>
      </w:r>
      <w:r>
        <w:rPr>
          <w:rFonts w:ascii="Calibri" w:hAnsi="Calibri" w:cs="Calibri"/>
          <w:szCs w:val="24"/>
        </w:rPr>
        <w:t>.</w:t>
      </w:r>
      <w:r w:rsidRPr="00755F09">
        <w:rPr>
          <w:rFonts w:ascii="Calibri" w:hAnsi="Calibri" w:cs="Calibri"/>
          <w:szCs w:val="24"/>
        </w:rPr>
        <w:t>7 times higher than females in urban areas and 2</w:t>
      </w:r>
      <w:r>
        <w:rPr>
          <w:rFonts w:ascii="Calibri" w:hAnsi="Calibri" w:cs="Calibri"/>
          <w:szCs w:val="24"/>
        </w:rPr>
        <w:t>.</w:t>
      </w:r>
      <w:r w:rsidRPr="00755F09">
        <w:rPr>
          <w:rFonts w:ascii="Calibri" w:hAnsi="Calibri" w:cs="Calibri"/>
          <w:szCs w:val="24"/>
        </w:rPr>
        <w:t>9 times higher in rural areas</w:t>
      </w:r>
      <w:r>
        <w:rPr>
          <w:rFonts w:ascii="Calibri" w:hAnsi="Calibri" w:cs="Calibri"/>
          <w:szCs w:val="24"/>
        </w:rPr>
        <w:t xml:space="preserve"> [</w:t>
      </w:r>
      <w:r w:rsidRPr="00755F09">
        <w:rPr>
          <w:rFonts w:ascii="Calibri" w:hAnsi="Calibri" w:cs="Calibri"/>
          <w:szCs w:val="24"/>
        </w:rPr>
        <w:fldChar w:fldCharType="begin"/>
      </w:r>
      <w:r w:rsidRPr="00755F09">
        <w:rPr>
          <w:rFonts w:ascii="Calibri" w:hAnsi="Calibri" w:cs="Calibri"/>
          <w:szCs w:val="24"/>
        </w:rPr>
        <w:instrText xml:space="preserve"> REF _Ref522816471 \r \h  \* MERGEFORMAT </w:instrText>
      </w:r>
      <w:r w:rsidRPr="00755F09">
        <w:rPr>
          <w:rFonts w:ascii="Calibri" w:hAnsi="Calibri" w:cs="Calibri"/>
          <w:szCs w:val="24"/>
        </w:rPr>
      </w:r>
      <w:r w:rsidRPr="00755F09">
        <w:rPr>
          <w:rFonts w:ascii="Calibri" w:hAnsi="Calibri" w:cs="Calibri"/>
          <w:szCs w:val="24"/>
        </w:rPr>
        <w:fldChar w:fldCharType="separate"/>
      </w:r>
      <w:r>
        <w:rPr>
          <w:rFonts w:ascii="Calibri" w:hAnsi="Calibri" w:cs="Calibri"/>
          <w:szCs w:val="24"/>
        </w:rPr>
        <w:t>3</w:t>
      </w:r>
      <w:r w:rsidRPr="00755F09">
        <w:rPr>
          <w:rFonts w:ascii="Calibri" w:hAnsi="Calibri" w:cs="Calibri"/>
          <w:szCs w:val="24"/>
        </w:rPr>
        <w:fldChar w:fldCharType="end"/>
      </w:r>
      <w:r w:rsidRPr="00755F09">
        <w:rPr>
          <w:rFonts w:ascii="Calibri" w:hAnsi="Calibri" w:cs="Calibri"/>
          <w:szCs w:val="24"/>
        </w:rPr>
        <w:t>].</w:t>
      </w:r>
    </w:p>
    <w:p w14:paraId="39013AAE" w14:textId="77777777" w:rsidR="00B656F6" w:rsidRPr="00755F09" w:rsidRDefault="00B656F6" w:rsidP="00B656F6">
      <w:pPr>
        <w:rPr>
          <w:rFonts w:ascii="Calibri" w:hAnsi="Calibri" w:cs="Calibri"/>
          <w:szCs w:val="24"/>
          <w:u w:val="single"/>
        </w:rPr>
      </w:pPr>
      <w:r w:rsidRPr="00755F09">
        <w:rPr>
          <w:rFonts w:ascii="Calibri" w:hAnsi="Calibri" w:cs="Calibri"/>
          <w:szCs w:val="24"/>
        </w:rPr>
        <w:t>China’s performance in road injury mortality is projected to improve based on its historical progress (</w:t>
      </w:r>
      <w:r>
        <w:rPr>
          <w:rFonts w:ascii="Calibri" w:hAnsi="Calibri" w:cs="Calibri"/>
          <w:szCs w:val="24"/>
        </w:rPr>
        <w:t>Fig 2F</w:t>
      </w:r>
      <w:r w:rsidRPr="00755F09">
        <w:rPr>
          <w:rFonts w:ascii="Calibri" w:hAnsi="Calibri" w:cs="Calibri"/>
          <w:szCs w:val="24"/>
        </w:rPr>
        <w:t>). The attainment index is projected to increase to 70</w:t>
      </w:r>
      <w:r>
        <w:rPr>
          <w:rFonts w:ascii="Calibri" w:hAnsi="Calibri" w:cs="Calibri"/>
          <w:szCs w:val="24"/>
        </w:rPr>
        <w:t>.</w:t>
      </w:r>
      <w:r w:rsidRPr="00755F09">
        <w:rPr>
          <w:rFonts w:ascii="Calibri" w:hAnsi="Calibri" w:cs="Calibri"/>
          <w:szCs w:val="24"/>
        </w:rPr>
        <w:t>0 in 2020 from 63</w:t>
      </w:r>
      <w:r>
        <w:rPr>
          <w:rFonts w:ascii="Calibri" w:hAnsi="Calibri" w:cs="Calibri"/>
          <w:szCs w:val="24"/>
        </w:rPr>
        <w:t>.</w:t>
      </w:r>
      <w:r w:rsidRPr="00755F09">
        <w:rPr>
          <w:rFonts w:ascii="Calibri" w:hAnsi="Calibri" w:cs="Calibri"/>
          <w:szCs w:val="24"/>
        </w:rPr>
        <w:t>6 in 2016, with an annual change rate of 1</w:t>
      </w:r>
      <w:r>
        <w:rPr>
          <w:rFonts w:ascii="Calibri" w:hAnsi="Calibri" w:cs="Calibri"/>
          <w:szCs w:val="24"/>
        </w:rPr>
        <w:t>.</w:t>
      </w:r>
      <w:r w:rsidRPr="00755F09">
        <w:rPr>
          <w:rFonts w:ascii="Calibri" w:hAnsi="Calibri" w:cs="Calibri"/>
          <w:szCs w:val="24"/>
        </w:rPr>
        <w:t>6. Qinghai, Xinjiang</w:t>
      </w:r>
      <w:r>
        <w:rPr>
          <w:rFonts w:ascii="Calibri" w:hAnsi="Calibri" w:cs="Calibri"/>
          <w:szCs w:val="24"/>
        </w:rPr>
        <w:t>,</w:t>
      </w:r>
      <w:r w:rsidRPr="00755F09">
        <w:rPr>
          <w:rFonts w:ascii="Calibri" w:hAnsi="Calibri" w:cs="Calibri"/>
          <w:szCs w:val="24"/>
        </w:rPr>
        <w:t xml:space="preserve"> and Henan ranked </w:t>
      </w:r>
      <w:r>
        <w:rPr>
          <w:rFonts w:ascii="Calibri" w:hAnsi="Calibri" w:cs="Calibri"/>
          <w:szCs w:val="24"/>
        </w:rPr>
        <w:t xml:space="preserve">as the </w:t>
      </w:r>
      <w:r w:rsidRPr="00755F09">
        <w:rPr>
          <w:rFonts w:ascii="Calibri" w:hAnsi="Calibri" w:cs="Calibri"/>
          <w:szCs w:val="24"/>
        </w:rPr>
        <w:t>top three in terms of the speed of improvement. Despite the rapid progress among a few western provinces, eastern and central provinces are projected to perform better than western provinces by 2020. Ningxia, Qinghai, Tibet</w:t>
      </w:r>
      <w:r>
        <w:rPr>
          <w:rFonts w:ascii="Calibri" w:hAnsi="Calibri" w:cs="Calibri"/>
          <w:szCs w:val="24"/>
        </w:rPr>
        <w:t>,</w:t>
      </w:r>
      <w:r w:rsidRPr="00755F09">
        <w:rPr>
          <w:rFonts w:ascii="Calibri" w:hAnsi="Calibri" w:cs="Calibri"/>
          <w:szCs w:val="24"/>
        </w:rPr>
        <w:t xml:space="preserve"> and Xinjiang are projected to score below 50</w:t>
      </w:r>
      <w:r>
        <w:rPr>
          <w:rFonts w:ascii="Calibri" w:hAnsi="Calibri" w:cs="Calibri"/>
          <w:szCs w:val="24"/>
        </w:rPr>
        <w:t>.</w:t>
      </w:r>
      <w:r w:rsidRPr="00755F09">
        <w:rPr>
          <w:rFonts w:ascii="Calibri" w:hAnsi="Calibri" w:cs="Calibri"/>
          <w:szCs w:val="24"/>
        </w:rPr>
        <w:t>0 in 2020, demonstrating large improvements in road safety. In terms of sex differences, the road mortality is projected to decrease by 8</w:t>
      </w:r>
      <w:r>
        <w:rPr>
          <w:rFonts w:ascii="Calibri" w:hAnsi="Calibri" w:cs="Calibri"/>
          <w:szCs w:val="24"/>
        </w:rPr>
        <w:t>.</w:t>
      </w:r>
      <w:r w:rsidRPr="00755F09">
        <w:rPr>
          <w:rFonts w:ascii="Calibri" w:hAnsi="Calibri" w:cs="Calibri"/>
          <w:szCs w:val="24"/>
        </w:rPr>
        <w:t>3% among women but only 4</w:t>
      </w:r>
      <w:r>
        <w:rPr>
          <w:rFonts w:ascii="Calibri" w:hAnsi="Calibri" w:cs="Calibri"/>
          <w:szCs w:val="24"/>
        </w:rPr>
        <w:t>.</w:t>
      </w:r>
      <w:r w:rsidRPr="00755F09">
        <w:rPr>
          <w:rFonts w:ascii="Calibri" w:hAnsi="Calibri" w:cs="Calibri"/>
          <w:szCs w:val="24"/>
        </w:rPr>
        <w:t>8% among men. China will seemingly fail to achieve the 50% reductions in road injur</w:t>
      </w:r>
      <w:r>
        <w:rPr>
          <w:rFonts w:ascii="Calibri" w:hAnsi="Calibri" w:cs="Calibri"/>
          <w:szCs w:val="24"/>
        </w:rPr>
        <w:t>y</w:t>
      </w:r>
      <w:r w:rsidRPr="00755F09">
        <w:rPr>
          <w:rFonts w:ascii="Calibri" w:hAnsi="Calibri" w:cs="Calibri"/>
          <w:szCs w:val="24"/>
        </w:rPr>
        <w:t xml:space="preserve"> mortality by 2020.</w:t>
      </w:r>
    </w:p>
    <w:p w14:paraId="7F34E665" w14:textId="77777777" w:rsidR="00B656F6" w:rsidRPr="00755F09" w:rsidRDefault="00B656F6" w:rsidP="00B656F6">
      <w:pPr>
        <w:rPr>
          <w:rFonts w:ascii="Calibri" w:hAnsi="Calibri" w:cs="Calibri"/>
          <w:szCs w:val="24"/>
        </w:rPr>
      </w:pPr>
      <w:r w:rsidRPr="00566686">
        <w:rPr>
          <w:rFonts w:ascii="Calibri" w:hAnsi="Calibri" w:cs="Calibri"/>
          <w:b/>
          <w:bCs/>
          <w:szCs w:val="24"/>
        </w:rPr>
        <w:t>Environmental health</w:t>
      </w:r>
      <w:r>
        <w:rPr>
          <w:rFonts w:ascii="Calibri" w:hAnsi="Calibri" w:cs="Calibri"/>
          <w:b/>
          <w:bCs/>
          <w:szCs w:val="24"/>
        </w:rPr>
        <w:t>.</w:t>
      </w:r>
      <w:r>
        <w:rPr>
          <w:rFonts w:ascii="Calibri" w:hAnsi="Calibri" w:cs="Calibri"/>
          <w:szCs w:val="24"/>
        </w:rPr>
        <w:t xml:space="preserve"> </w:t>
      </w:r>
      <w:r w:rsidRPr="00755F09">
        <w:rPr>
          <w:rFonts w:ascii="Calibri" w:hAnsi="Calibri" w:cs="Calibri"/>
          <w:szCs w:val="24"/>
        </w:rPr>
        <w:t>For air pollution</w:t>
      </w:r>
      <w:r>
        <w:rPr>
          <w:rFonts w:ascii="Calibri" w:hAnsi="Calibri" w:cs="Calibri"/>
          <w:szCs w:val="24"/>
        </w:rPr>
        <w:t>,</w:t>
      </w:r>
      <w:r w:rsidRPr="00755F09">
        <w:rPr>
          <w:rFonts w:ascii="Calibri" w:hAnsi="Calibri" w:cs="Calibri"/>
          <w:szCs w:val="24"/>
        </w:rPr>
        <w:t xml:space="preserve"> the overall trend has been decreasing</w:t>
      </w:r>
      <w:r>
        <w:rPr>
          <w:rFonts w:ascii="Calibri" w:hAnsi="Calibri" w:cs="Calibri"/>
          <w:szCs w:val="24"/>
        </w:rPr>
        <w:t>,</w:t>
      </w:r>
      <w:r w:rsidRPr="00755F09">
        <w:rPr>
          <w:rFonts w:ascii="Calibri" w:hAnsi="Calibri" w:cs="Calibri"/>
          <w:szCs w:val="24"/>
        </w:rPr>
        <w:t xml:space="preserve"> though </w:t>
      </w:r>
      <w:r>
        <w:rPr>
          <w:rFonts w:ascii="Calibri" w:hAnsi="Calibri" w:cs="Calibri"/>
          <w:szCs w:val="24"/>
        </w:rPr>
        <w:t xml:space="preserve">it </w:t>
      </w:r>
      <w:r w:rsidRPr="00755F09">
        <w:rPr>
          <w:rFonts w:ascii="Calibri" w:hAnsi="Calibri" w:cs="Calibri"/>
          <w:szCs w:val="24"/>
        </w:rPr>
        <w:t>remains high especially in urban areas. Nationwide, the PM</w:t>
      </w:r>
      <w:r w:rsidRPr="008F0944">
        <w:rPr>
          <w:rFonts w:ascii="Calibri" w:hAnsi="Calibri" w:cs="Calibri"/>
          <w:szCs w:val="24"/>
        </w:rPr>
        <w:t>2</w:t>
      </w:r>
      <w:r>
        <w:rPr>
          <w:rFonts w:ascii="Calibri" w:hAnsi="Calibri" w:cs="Calibri"/>
          <w:szCs w:val="24"/>
        </w:rPr>
        <w:t>.</w:t>
      </w:r>
      <w:r w:rsidRPr="008F0944">
        <w:rPr>
          <w:rFonts w:ascii="Calibri" w:hAnsi="Calibri" w:cs="Calibri"/>
          <w:szCs w:val="24"/>
        </w:rPr>
        <w:t>5</w:t>
      </w:r>
      <w:r w:rsidRPr="00755F09">
        <w:rPr>
          <w:rFonts w:ascii="Calibri" w:hAnsi="Calibri" w:cs="Calibri"/>
          <w:szCs w:val="24"/>
        </w:rPr>
        <w:t xml:space="preserve"> dropped from an annual average of 64 μg/m</w:t>
      </w:r>
      <w:r w:rsidRPr="00755F09">
        <w:rPr>
          <w:rFonts w:ascii="Calibri" w:hAnsi="Calibri" w:cs="Calibri"/>
          <w:szCs w:val="24"/>
          <w:vertAlign w:val="superscript"/>
        </w:rPr>
        <w:t>3</w:t>
      </w:r>
      <w:r w:rsidRPr="00755F09">
        <w:rPr>
          <w:rFonts w:ascii="Calibri" w:hAnsi="Calibri" w:cs="Calibri"/>
          <w:szCs w:val="24"/>
        </w:rPr>
        <w:t xml:space="preserve"> in 2014 to 47 μg/m</w:t>
      </w:r>
      <w:r w:rsidRPr="00755F09">
        <w:rPr>
          <w:rFonts w:ascii="Calibri" w:hAnsi="Calibri" w:cs="Calibri"/>
          <w:szCs w:val="24"/>
          <w:vertAlign w:val="superscript"/>
        </w:rPr>
        <w:t xml:space="preserve">3 </w:t>
      </w:r>
      <w:r w:rsidRPr="00755F09">
        <w:rPr>
          <w:rFonts w:ascii="Calibri" w:hAnsi="Calibri" w:cs="Calibri"/>
          <w:szCs w:val="24"/>
        </w:rPr>
        <w:t>in 2016. The Beijing</w:t>
      </w:r>
      <w:r>
        <w:rPr>
          <w:rFonts w:ascii="Calibri" w:hAnsi="Calibri" w:cs="Calibri"/>
          <w:szCs w:val="24"/>
        </w:rPr>
        <w:t>–</w:t>
      </w:r>
      <w:r w:rsidRPr="00755F09">
        <w:rPr>
          <w:rFonts w:ascii="Calibri" w:hAnsi="Calibri" w:cs="Calibri"/>
          <w:szCs w:val="24"/>
        </w:rPr>
        <w:t>Tianjin</w:t>
      </w:r>
      <w:r>
        <w:rPr>
          <w:rFonts w:ascii="Calibri" w:hAnsi="Calibri" w:cs="Calibri"/>
          <w:szCs w:val="24"/>
        </w:rPr>
        <w:t>–</w:t>
      </w:r>
      <w:r w:rsidRPr="00755F09">
        <w:rPr>
          <w:rFonts w:ascii="Calibri" w:hAnsi="Calibri" w:cs="Calibri"/>
          <w:szCs w:val="24"/>
        </w:rPr>
        <w:t>Hebei, Yangtze River Delta, and Pearl River Delta regions were 39</w:t>
      </w:r>
      <w:r>
        <w:rPr>
          <w:rFonts w:ascii="Calibri" w:hAnsi="Calibri" w:cs="Calibri"/>
          <w:szCs w:val="24"/>
        </w:rPr>
        <w:t>.</w:t>
      </w:r>
      <w:r w:rsidRPr="00755F09">
        <w:rPr>
          <w:rFonts w:ascii="Calibri" w:hAnsi="Calibri" w:cs="Calibri"/>
          <w:szCs w:val="24"/>
        </w:rPr>
        <w:t>6%, 34</w:t>
      </w:r>
      <w:r>
        <w:rPr>
          <w:rFonts w:ascii="Calibri" w:hAnsi="Calibri" w:cs="Calibri"/>
          <w:szCs w:val="24"/>
        </w:rPr>
        <w:t>.</w:t>
      </w:r>
      <w:r w:rsidRPr="00755F09">
        <w:rPr>
          <w:rFonts w:ascii="Calibri" w:hAnsi="Calibri" w:cs="Calibri"/>
          <w:szCs w:val="24"/>
        </w:rPr>
        <w:t>3%, and 27</w:t>
      </w:r>
      <w:r>
        <w:rPr>
          <w:rFonts w:ascii="Calibri" w:hAnsi="Calibri" w:cs="Calibri"/>
          <w:szCs w:val="24"/>
        </w:rPr>
        <w:t>.</w:t>
      </w:r>
      <w:r w:rsidRPr="00755F09">
        <w:rPr>
          <w:rFonts w:ascii="Calibri" w:hAnsi="Calibri" w:cs="Calibri"/>
          <w:szCs w:val="24"/>
        </w:rPr>
        <w:t>7% lower than those of 2013, respectively</w:t>
      </w:r>
      <w:r>
        <w:rPr>
          <w:rFonts w:ascii="Calibri" w:hAnsi="Calibri" w:cs="Calibri"/>
          <w:szCs w:val="24"/>
        </w:rPr>
        <w:t xml:space="preserve"> [</w:t>
      </w:r>
      <w:r w:rsidRPr="00755F09">
        <w:rPr>
          <w:rFonts w:ascii="Calibri" w:hAnsi="Calibri" w:cs="Calibri"/>
          <w:szCs w:val="24"/>
        </w:rPr>
        <w:fldChar w:fldCharType="begin"/>
      </w:r>
      <w:r w:rsidRPr="00755F09">
        <w:rPr>
          <w:rFonts w:ascii="Calibri" w:hAnsi="Calibri" w:cs="Calibri"/>
          <w:szCs w:val="24"/>
        </w:rPr>
        <w:instrText xml:space="preserve"> REF _Ref533346620 \r \h  \* MERGEFORMAT </w:instrText>
      </w:r>
      <w:r w:rsidRPr="00755F09">
        <w:rPr>
          <w:rFonts w:ascii="Calibri" w:hAnsi="Calibri" w:cs="Calibri"/>
          <w:szCs w:val="24"/>
        </w:rPr>
      </w:r>
      <w:r w:rsidRPr="00755F09">
        <w:rPr>
          <w:rFonts w:ascii="Calibri" w:hAnsi="Calibri" w:cs="Calibri"/>
          <w:szCs w:val="24"/>
        </w:rPr>
        <w:fldChar w:fldCharType="separate"/>
      </w:r>
      <w:r>
        <w:rPr>
          <w:rFonts w:ascii="Calibri" w:hAnsi="Calibri" w:cs="Calibri"/>
          <w:szCs w:val="24"/>
        </w:rPr>
        <w:t>28</w:t>
      </w:r>
      <w:r w:rsidRPr="00755F09">
        <w:rPr>
          <w:rFonts w:ascii="Calibri" w:hAnsi="Calibri" w:cs="Calibri"/>
          <w:szCs w:val="24"/>
        </w:rPr>
        <w:fldChar w:fldCharType="end"/>
      </w:r>
      <w:r w:rsidRPr="00755F09">
        <w:rPr>
          <w:rFonts w:ascii="Calibri" w:hAnsi="Calibri" w:cs="Calibri"/>
          <w:szCs w:val="24"/>
        </w:rPr>
        <w:t>]. However, the average level</w:t>
      </w:r>
      <w:r>
        <w:rPr>
          <w:rFonts w:ascii="Calibri" w:hAnsi="Calibri" w:cs="Calibri"/>
          <w:szCs w:val="24"/>
        </w:rPr>
        <w:t>s</w:t>
      </w:r>
      <w:r w:rsidRPr="00755F09">
        <w:rPr>
          <w:rFonts w:ascii="Calibri" w:hAnsi="Calibri" w:cs="Calibri"/>
          <w:szCs w:val="24"/>
        </w:rPr>
        <w:t xml:space="preserve"> of PM</w:t>
      </w:r>
      <w:r w:rsidRPr="008F0944">
        <w:rPr>
          <w:rFonts w:ascii="Calibri" w:hAnsi="Calibri" w:cs="Calibri"/>
          <w:szCs w:val="24"/>
        </w:rPr>
        <w:t>2.5</w:t>
      </w:r>
      <w:r w:rsidRPr="00755F09">
        <w:rPr>
          <w:rFonts w:ascii="Calibri" w:hAnsi="Calibri" w:cs="Calibri"/>
          <w:szCs w:val="24"/>
        </w:rPr>
        <w:t xml:space="preserve"> were 58 μg/m</w:t>
      </w:r>
      <w:r w:rsidRPr="00755F09">
        <w:rPr>
          <w:rFonts w:ascii="Calibri" w:hAnsi="Calibri" w:cs="Calibri"/>
          <w:szCs w:val="24"/>
          <w:vertAlign w:val="superscript"/>
        </w:rPr>
        <w:t>3</w:t>
      </w:r>
      <w:r w:rsidRPr="00755F09">
        <w:rPr>
          <w:rFonts w:ascii="Calibri" w:hAnsi="Calibri" w:cs="Calibri"/>
          <w:szCs w:val="24"/>
        </w:rPr>
        <w:t xml:space="preserve"> and 39 μg/m</w:t>
      </w:r>
      <w:r w:rsidRPr="00755F09">
        <w:rPr>
          <w:rFonts w:ascii="Calibri" w:hAnsi="Calibri" w:cs="Calibri"/>
          <w:szCs w:val="24"/>
          <w:vertAlign w:val="superscript"/>
        </w:rPr>
        <w:t>3</w:t>
      </w:r>
      <w:r w:rsidRPr="00755F09">
        <w:rPr>
          <w:rFonts w:ascii="Calibri" w:hAnsi="Calibri" w:cs="Calibri"/>
          <w:szCs w:val="24"/>
        </w:rPr>
        <w:t xml:space="preserve"> in Beijing and Shanghai</w:t>
      </w:r>
      <w:r>
        <w:rPr>
          <w:rFonts w:ascii="Calibri" w:hAnsi="Calibri" w:cs="Calibri"/>
          <w:szCs w:val="24"/>
        </w:rPr>
        <w:t>,</w:t>
      </w:r>
      <w:r w:rsidRPr="00755F09">
        <w:rPr>
          <w:rFonts w:ascii="Calibri" w:hAnsi="Calibri" w:cs="Calibri"/>
          <w:szCs w:val="24"/>
        </w:rPr>
        <w:t xml:space="preserve"> respectively</w:t>
      </w:r>
      <w:r>
        <w:rPr>
          <w:rFonts w:ascii="Calibri" w:hAnsi="Calibri" w:cs="Calibri"/>
          <w:szCs w:val="24"/>
        </w:rPr>
        <w:t>,</w:t>
      </w:r>
      <w:r w:rsidRPr="00755F09">
        <w:rPr>
          <w:rFonts w:ascii="Calibri" w:hAnsi="Calibri" w:cs="Calibri"/>
          <w:szCs w:val="24"/>
        </w:rPr>
        <w:t xml:space="preserve"> in 2017</w:t>
      </w:r>
      <w:r>
        <w:rPr>
          <w:rFonts w:ascii="Calibri" w:hAnsi="Calibri" w:cs="Calibri"/>
          <w:szCs w:val="24"/>
        </w:rPr>
        <w:t xml:space="preserve"> [</w:t>
      </w:r>
      <w:r w:rsidRPr="00755F09">
        <w:rPr>
          <w:rFonts w:ascii="Calibri" w:hAnsi="Calibri" w:cs="Calibri"/>
          <w:szCs w:val="24"/>
        </w:rPr>
        <w:fldChar w:fldCharType="begin"/>
      </w:r>
      <w:r w:rsidRPr="00755F09">
        <w:rPr>
          <w:rFonts w:ascii="Calibri" w:hAnsi="Calibri" w:cs="Calibri"/>
          <w:szCs w:val="24"/>
        </w:rPr>
        <w:instrText xml:space="preserve"> REF _Ref533346620 \r \h  \* MERGEFORMAT </w:instrText>
      </w:r>
      <w:r w:rsidRPr="00755F09">
        <w:rPr>
          <w:rFonts w:ascii="Calibri" w:hAnsi="Calibri" w:cs="Calibri"/>
          <w:szCs w:val="24"/>
        </w:rPr>
      </w:r>
      <w:r w:rsidRPr="00755F09">
        <w:rPr>
          <w:rFonts w:ascii="Calibri" w:hAnsi="Calibri" w:cs="Calibri"/>
          <w:szCs w:val="24"/>
        </w:rPr>
        <w:fldChar w:fldCharType="separate"/>
      </w:r>
      <w:r>
        <w:rPr>
          <w:rFonts w:ascii="Calibri" w:hAnsi="Calibri" w:cs="Calibri"/>
          <w:szCs w:val="24"/>
        </w:rPr>
        <w:t>28</w:t>
      </w:r>
      <w:r w:rsidRPr="00755F09">
        <w:rPr>
          <w:rFonts w:ascii="Calibri" w:hAnsi="Calibri" w:cs="Calibri"/>
          <w:szCs w:val="24"/>
        </w:rPr>
        <w:fldChar w:fldCharType="end"/>
      </w:r>
      <w:r w:rsidRPr="00755F09">
        <w:rPr>
          <w:rFonts w:ascii="Calibri" w:hAnsi="Calibri" w:cs="Calibri"/>
          <w:szCs w:val="24"/>
        </w:rPr>
        <w:t xml:space="preserve">]. The surface water quality continued to improve, with </w:t>
      </w:r>
      <w:r w:rsidRPr="00755F09">
        <w:rPr>
          <w:rFonts w:ascii="Calibri" w:hAnsi="Calibri" w:cs="Calibri"/>
        </w:rPr>
        <w:t xml:space="preserve">the percentage of water quality better than grade </w:t>
      </w:r>
      <w:r>
        <w:rPr>
          <w:rFonts w:ascii="Calibri" w:hAnsi="Calibri" w:cs="Calibri"/>
        </w:rPr>
        <w:t>III</w:t>
      </w:r>
      <w:r w:rsidRPr="00755F09">
        <w:rPr>
          <w:rFonts w:ascii="Calibri" w:hAnsi="Calibri" w:cs="Calibri"/>
          <w:szCs w:val="24"/>
        </w:rPr>
        <w:t xml:space="preserve"> increasing to 67</w:t>
      </w:r>
      <w:r>
        <w:rPr>
          <w:rFonts w:ascii="Calibri" w:hAnsi="Calibri" w:cs="Calibri"/>
          <w:szCs w:val="24"/>
        </w:rPr>
        <w:t>.</w:t>
      </w:r>
      <w:r w:rsidRPr="00755F09">
        <w:rPr>
          <w:rFonts w:ascii="Calibri" w:hAnsi="Calibri" w:cs="Calibri"/>
          <w:szCs w:val="24"/>
        </w:rPr>
        <w:t>8% in 2016</w:t>
      </w:r>
      <w:r>
        <w:rPr>
          <w:rFonts w:ascii="Calibri" w:hAnsi="Calibri" w:cs="Calibri"/>
          <w:szCs w:val="24"/>
        </w:rPr>
        <w:t xml:space="preserve"> [</w:t>
      </w:r>
      <w:r w:rsidRPr="00755F09">
        <w:rPr>
          <w:rFonts w:ascii="Calibri" w:hAnsi="Calibri" w:cs="Calibri"/>
          <w:szCs w:val="24"/>
        </w:rPr>
        <w:fldChar w:fldCharType="begin"/>
      </w:r>
      <w:r w:rsidRPr="00755F09">
        <w:rPr>
          <w:rFonts w:ascii="Calibri" w:hAnsi="Calibri" w:cs="Calibri"/>
          <w:szCs w:val="24"/>
        </w:rPr>
        <w:instrText xml:space="preserve"> REF _Ref524372004 \r  \* MERGEFORMAT </w:instrText>
      </w:r>
      <w:r w:rsidRPr="00755F09">
        <w:rPr>
          <w:rFonts w:ascii="Calibri" w:hAnsi="Calibri" w:cs="Calibri"/>
          <w:szCs w:val="24"/>
        </w:rPr>
        <w:fldChar w:fldCharType="separate"/>
      </w:r>
      <w:r>
        <w:rPr>
          <w:rFonts w:ascii="Calibri" w:hAnsi="Calibri" w:cs="Calibri"/>
          <w:szCs w:val="24"/>
        </w:rPr>
        <w:t>22</w:t>
      </w:r>
      <w:r w:rsidRPr="00755F09">
        <w:rPr>
          <w:rFonts w:ascii="Calibri" w:hAnsi="Calibri" w:cs="Calibri"/>
          <w:szCs w:val="24"/>
        </w:rPr>
        <w:fldChar w:fldCharType="end"/>
      </w:r>
      <w:r w:rsidRPr="00755F09">
        <w:rPr>
          <w:rFonts w:ascii="Calibri" w:hAnsi="Calibri" w:cs="Calibri"/>
          <w:szCs w:val="24"/>
        </w:rPr>
        <w:t>]. The percentage of rural households with piped sanitation increased steadily from 45</w:t>
      </w:r>
      <w:r>
        <w:rPr>
          <w:rFonts w:ascii="Calibri" w:hAnsi="Calibri" w:cs="Calibri"/>
          <w:szCs w:val="24"/>
        </w:rPr>
        <w:t>.</w:t>
      </w:r>
      <w:r w:rsidRPr="00755F09">
        <w:rPr>
          <w:rFonts w:ascii="Calibri" w:hAnsi="Calibri" w:cs="Calibri"/>
          <w:szCs w:val="24"/>
        </w:rPr>
        <w:t>0% in 2010 to 60</w:t>
      </w:r>
      <w:r>
        <w:rPr>
          <w:rFonts w:ascii="Calibri" w:hAnsi="Calibri" w:cs="Calibri"/>
          <w:szCs w:val="24"/>
        </w:rPr>
        <w:t>.</w:t>
      </w:r>
      <w:r w:rsidRPr="00755F09">
        <w:rPr>
          <w:rFonts w:ascii="Calibri" w:hAnsi="Calibri" w:cs="Calibri"/>
          <w:szCs w:val="24"/>
        </w:rPr>
        <w:t>5% in 2016</w:t>
      </w:r>
      <w:r>
        <w:rPr>
          <w:rFonts w:ascii="Calibri" w:hAnsi="Calibri" w:cs="Calibri"/>
          <w:szCs w:val="24"/>
        </w:rPr>
        <w:t xml:space="preserve"> [</w:t>
      </w:r>
      <w:r w:rsidRPr="00755F09">
        <w:rPr>
          <w:rFonts w:ascii="Calibri" w:hAnsi="Calibri" w:cs="Calibri"/>
          <w:szCs w:val="24"/>
        </w:rPr>
        <w:fldChar w:fldCharType="begin"/>
      </w:r>
      <w:r w:rsidRPr="00755F09">
        <w:rPr>
          <w:rFonts w:ascii="Calibri" w:hAnsi="Calibri" w:cs="Calibri"/>
          <w:szCs w:val="24"/>
        </w:rPr>
        <w:instrText xml:space="preserve"> REF _Ref522816471 \r  \* MERGEFORMAT </w:instrText>
      </w:r>
      <w:r w:rsidRPr="00755F09">
        <w:rPr>
          <w:rFonts w:ascii="Calibri" w:hAnsi="Calibri" w:cs="Calibri"/>
          <w:szCs w:val="24"/>
        </w:rPr>
        <w:fldChar w:fldCharType="separate"/>
      </w:r>
      <w:r>
        <w:rPr>
          <w:rFonts w:ascii="Calibri" w:hAnsi="Calibri" w:cs="Calibri"/>
          <w:szCs w:val="24"/>
        </w:rPr>
        <w:t>3</w:t>
      </w:r>
      <w:r w:rsidRPr="00755F09">
        <w:rPr>
          <w:rFonts w:ascii="Calibri" w:hAnsi="Calibri" w:cs="Calibri"/>
          <w:szCs w:val="24"/>
        </w:rPr>
        <w:fldChar w:fldCharType="end"/>
      </w:r>
      <w:r w:rsidRPr="00755F09">
        <w:rPr>
          <w:rFonts w:ascii="Calibri" w:hAnsi="Calibri" w:cs="Calibri"/>
          <w:szCs w:val="24"/>
        </w:rPr>
        <w:t>].</w:t>
      </w:r>
    </w:p>
    <w:p w14:paraId="2B77B1F2" w14:textId="77777777" w:rsidR="00B656F6" w:rsidRPr="00755F09" w:rsidRDefault="00B656F6" w:rsidP="00B656F6">
      <w:pPr>
        <w:rPr>
          <w:rFonts w:ascii="Calibri" w:hAnsi="Calibri" w:cs="Calibri"/>
          <w:szCs w:val="24"/>
        </w:rPr>
      </w:pPr>
      <w:r w:rsidRPr="00755F09">
        <w:rPr>
          <w:rFonts w:ascii="Calibri" w:hAnsi="Calibri" w:cs="Calibri"/>
          <w:szCs w:val="24"/>
        </w:rPr>
        <w:t>Based on the projection results of the three indicators related to environmental health mortality, China’s performance will continue to improve toward 2030 (</w:t>
      </w:r>
      <w:r>
        <w:rPr>
          <w:rFonts w:ascii="Calibri" w:hAnsi="Calibri" w:cs="Calibri"/>
          <w:szCs w:val="24"/>
        </w:rPr>
        <w:t>Fig 2G</w:t>
      </w:r>
      <w:r w:rsidRPr="00755F09">
        <w:rPr>
          <w:rFonts w:ascii="Calibri" w:hAnsi="Calibri" w:cs="Calibri"/>
          <w:szCs w:val="24"/>
        </w:rPr>
        <w:t>). The attainment index is projected to increase to 89</w:t>
      </w:r>
      <w:r>
        <w:rPr>
          <w:rFonts w:ascii="Calibri" w:hAnsi="Calibri" w:cs="Calibri"/>
          <w:szCs w:val="24"/>
        </w:rPr>
        <w:t>.</w:t>
      </w:r>
      <w:r w:rsidRPr="00755F09">
        <w:rPr>
          <w:rFonts w:ascii="Calibri" w:hAnsi="Calibri" w:cs="Calibri"/>
          <w:szCs w:val="24"/>
        </w:rPr>
        <w:t>2 in 2030 from 75</w:t>
      </w:r>
      <w:r>
        <w:rPr>
          <w:rFonts w:ascii="Calibri" w:hAnsi="Calibri" w:cs="Calibri"/>
          <w:szCs w:val="24"/>
        </w:rPr>
        <w:t>.</w:t>
      </w:r>
      <w:r w:rsidRPr="00755F09">
        <w:rPr>
          <w:rFonts w:ascii="Calibri" w:hAnsi="Calibri" w:cs="Calibri"/>
          <w:szCs w:val="24"/>
        </w:rPr>
        <w:t>5 in 2016, with an annual change rate of 0</w:t>
      </w:r>
      <w:r>
        <w:rPr>
          <w:rFonts w:ascii="Calibri" w:hAnsi="Calibri" w:cs="Calibri"/>
          <w:szCs w:val="24"/>
        </w:rPr>
        <w:t>.</w:t>
      </w:r>
      <w:r w:rsidRPr="00755F09">
        <w:rPr>
          <w:rFonts w:ascii="Calibri" w:hAnsi="Calibri" w:cs="Calibri"/>
          <w:szCs w:val="24"/>
        </w:rPr>
        <w:t>9. The improvement is especially fast among some western provinces. Tibet, Guizhou</w:t>
      </w:r>
      <w:r>
        <w:rPr>
          <w:rFonts w:ascii="Calibri" w:hAnsi="Calibri" w:cs="Calibri"/>
          <w:szCs w:val="24"/>
        </w:rPr>
        <w:t>,</w:t>
      </w:r>
      <w:r w:rsidRPr="00755F09">
        <w:rPr>
          <w:rFonts w:ascii="Calibri" w:hAnsi="Calibri" w:cs="Calibri"/>
          <w:szCs w:val="24"/>
        </w:rPr>
        <w:t xml:space="preserve"> and Yunnan ranked </w:t>
      </w:r>
      <w:r>
        <w:rPr>
          <w:rFonts w:ascii="Calibri" w:hAnsi="Calibri" w:cs="Calibri"/>
          <w:szCs w:val="24"/>
        </w:rPr>
        <w:t xml:space="preserve">as the </w:t>
      </w:r>
      <w:r w:rsidRPr="00755F09">
        <w:rPr>
          <w:rFonts w:ascii="Calibri" w:hAnsi="Calibri" w:cs="Calibri"/>
          <w:szCs w:val="24"/>
        </w:rPr>
        <w:t>top three in terms of the projected increasing speed. Because of the estimated rapid progress among western provinces, regional disparity gaps are projected to be reduced</w:t>
      </w:r>
      <w:r>
        <w:rPr>
          <w:rFonts w:ascii="Calibri" w:hAnsi="Calibri" w:cs="Calibri"/>
          <w:szCs w:val="24"/>
        </w:rPr>
        <w:t>,</w:t>
      </w:r>
      <w:r w:rsidRPr="00755F09">
        <w:rPr>
          <w:rFonts w:ascii="Calibri" w:hAnsi="Calibri" w:cs="Calibri"/>
          <w:szCs w:val="24"/>
        </w:rPr>
        <w:t xml:space="preserve"> and the majority of provinces will score above 80</w:t>
      </w:r>
      <w:r>
        <w:rPr>
          <w:rFonts w:ascii="Calibri" w:hAnsi="Calibri" w:cs="Calibri"/>
          <w:szCs w:val="24"/>
        </w:rPr>
        <w:t>.</w:t>
      </w:r>
      <w:r w:rsidRPr="00755F09">
        <w:rPr>
          <w:rFonts w:ascii="Calibri" w:hAnsi="Calibri" w:cs="Calibri"/>
          <w:szCs w:val="24"/>
        </w:rPr>
        <w:t>0 in the attainment index by 2030.</w:t>
      </w:r>
    </w:p>
    <w:p w14:paraId="29F25121" w14:textId="77777777" w:rsidR="00B656F6" w:rsidRPr="00755F09" w:rsidRDefault="00B656F6" w:rsidP="00B656F6">
      <w:pPr>
        <w:rPr>
          <w:rFonts w:ascii="Calibri" w:hAnsi="Calibri" w:cs="Calibri"/>
          <w:szCs w:val="24"/>
        </w:rPr>
      </w:pPr>
      <w:r w:rsidRPr="00755F09">
        <w:rPr>
          <w:rFonts w:ascii="Calibri" w:hAnsi="Calibri" w:cs="Calibri"/>
          <w:szCs w:val="24"/>
        </w:rPr>
        <w:t>Looking separately into the projection results of the three monitoring indicators, China is projected to perform best in WaSH mortality by 2030, followed by poisoning mortality and air pollution mortality. The attainment index of WaSH and poisoning mortality is projected to increase to 99</w:t>
      </w:r>
      <w:r>
        <w:rPr>
          <w:rFonts w:ascii="Calibri" w:hAnsi="Calibri" w:cs="Calibri"/>
          <w:szCs w:val="24"/>
        </w:rPr>
        <w:t>.</w:t>
      </w:r>
      <w:r w:rsidRPr="00755F09">
        <w:rPr>
          <w:rFonts w:ascii="Calibri" w:hAnsi="Calibri" w:cs="Calibri"/>
          <w:szCs w:val="24"/>
        </w:rPr>
        <w:t>3 and 89</w:t>
      </w:r>
      <w:r>
        <w:rPr>
          <w:rFonts w:ascii="Calibri" w:hAnsi="Calibri" w:cs="Calibri"/>
          <w:szCs w:val="24"/>
        </w:rPr>
        <w:t>.</w:t>
      </w:r>
      <w:r w:rsidRPr="00755F09">
        <w:rPr>
          <w:rFonts w:ascii="Calibri" w:hAnsi="Calibri" w:cs="Calibri"/>
          <w:szCs w:val="24"/>
        </w:rPr>
        <w:t xml:space="preserve">6 in 2030, </w:t>
      </w:r>
      <w:r>
        <w:rPr>
          <w:rFonts w:ascii="Calibri" w:hAnsi="Calibri" w:cs="Calibri"/>
          <w:szCs w:val="24"/>
        </w:rPr>
        <w:t>whereas</w:t>
      </w:r>
      <w:r w:rsidRPr="00755F09">
        <w:rPr>
          <w:rFonts w:ascii="Calibri" w:hAnsi="Calibri" w:cs="Calibri"/>
          <w:szCs w:val="24"/>
        </w:rPr>
        <w:t xml:space="preserve"> the number is 79</w:t>
      </w:r>
      <w:r>
        <w:rPr>
          <w:rFonts w:ascii="Calibri" w:hAnsi="Calibri" w:cs="Calibri"/>
          <w:szCs w:val="24"/>
        </w:rPr>
        <w:t>.</w:t>
      </w:r>
      <w:r w:rsidRPr="00755F09">
        <w:rPr>
          <w:rFonts w:ascii="Calibri" w:hAnsi="Calibri" w:cs="Calibri"/>
          <w:szCs w:val="24"/>
        </w:rPr>
        <w:t>7 for air pollution mortality. Air pollution may continue to be a serious problem in some Chinese provinces. The attainment index of air pollution mortality is projected to be even lower among a few western provinces, especially for Qinghai, Xinjiang</w:t>
      </w:r>
      <w:r>
        <w:rPr>
          <w:rFonts w:ascii="Calibri" w:hAnsi="Calibri" w:cs="Calibri"/>
          <w:szCs w:val="24"/>
        </w:rPr>
        <w:t>,</w:t>
      </w:r>
      <w:r w:rsidRPr="00755F09">
        <w:rPr>
          <w:rFonts w:ascii="Calibri" w:hAnsi="Calibri" w:cs="Calibri"/>
          <w:szCs w:val="24"/>
        </w:rPr>
        <w:t xml:space="preserve"> and Guizhou</w:t>
      </w:r>
      <w:r>
        <w:rPr>
          <w:rFonts w:ascii="Calibri" w:hAnsi="Calibri" w:cs="Calibri"/>
          <w:szCs w:val="24"/>
        </w:rPr>
        <w:t>,</w:t>
      </w:r>
      <w:r w:rsidRPr="00755F09">
        <w:rPr>
          <w:rFonts w:ascii="Calibri" w:hAnsi="Calibri" w:cs="Calibri"/>
          <w:szCs w:val="24"/>
        </w:rPr>
        <w:t xml:space="preserve"> with the projected score under 70</w:t>
      </w:r>
      <w:r>
        <w:rPr>
          <w:rFonts w:ascii="Calibri" w:hAnsi="Calibri" w:cs="Calibri"/>
          <w:szCs w:val="24"/>
        </w:rPr>
        <w:t>.</w:t>
      </w:r>
      <w:r w:rsidRPr="00755F09">
        <w:rPr>
          <w:rFonts w:ascii="Calibri" w:hAnsi="Calibri" w:cs="Calibri"/>
          <w:szCs w:val="24"/>
        </w:rPr>
        <w:t>0 in 2030.</w:t>
      </w:r>
    </w:p>
    <w:p w14:paraId="501F2C04" w14:textId="77777777" w:rsidR="00B656F6" w:rsidRPr="00755F09" w:rsidRDefault="00B656F6" w:rsidP="00B656F6">
      <w:pPr>
        <w:rPr>
          <w:rFonts w:ascii="Calibri" w:hAnsi="Calibri" w:cs="Calibri"/>
          <w:szCs w:val="24"/>
        </w:rPr>
      </w:pPr>
      <w:r w:rsidRPr="00755F09">
        <w:rPr>
          <w:rFonts w:ascii="Calibri" w:hAnsi="Calibri" w:cs="Calibri"/>
          <w:szCs w:val="24"/>
        </w:rPr>
        <w:t>China’s performance in environmental exposure risk factors is projected to improve, though slowly, toward 2030, based on the past trends of the five indicators (</w:t>
      </w:r>
      <w:r>
        <w:rPr>
          <w:rFonts w:ascii="Calibri" w:hAnsi="Calibri" w:cs="Calibri"/>
          <w:szCs w:val="24"/>
        </w:rPr>
        <w:t>Fig 2H</w:t>
      </w:r>
      <w:r w:rsidRPr="00755F09">
        <w:rPr>
          <w:rFonts w:ascii="Calibri" w:hAnsi="Calibri" w:cs="Calibri"/>
          <w:szCs w:val="24"/>
        </w:rPr>
        <w:t>). The attainment index is projected to increase to 60</w:t>
      </w:r>
      <w:r>
        <w:rPr>
          <w:rFonts w:ascii="Calibri" w:hAnsi="Calibri" w:cs="Calibri"/>
          <w:szCs w:val="24"/>
        </w:rPr>
        <w:t>.</w:t>
      </w:r>
      <w:r w:rsidRPr="00755F09">
        <w:rPr>
          <w:rFonts w:ascii="Calibri" w:hAnsi="Calibri" w:cs="Calibri"/>
          <w:szCs w:val="24"/>
        </w:rPr>
        <w:t>2 in 2030 from 54</w:t>
      </w:r>
      <w:r>
        <w:rPr>
          <w:rFonts w:ascii="Calibri" w:hAnsi="Calibri" w:cs="Calibri"/>
          <w:szCs w:val="24"/>
        </w:rPr>
        <w:t>.</w:t>
      </w:r>
      <w:r w:rsidRPr="00755F09">
        <w:rPr>
          <w:rFonts w:ascii="Calibri" w:hAnsi="Calibri" w:cs="Calibri"/>
          <w:szCs w:val="24"/>
        </w:rPr>
        <w:t>9 in 2016, with the annual change rate of 0</w:t>
      </w:r>
      <w:r>
        <w:rPr>
          <w:rFonts w:ascii="Calibri" w:hAnsi="Calibri" w:cs="Calibri"/>
          <w:szCs w:val="24"/>
        </w:rPr>
        <w:t>.</w:t>
      </w:r>
      <w:r w:rsidRPr="00755F09">
        <w:rPr>
          <w:rFonts w:ascii="Calibri" w:hAnsi="Calibri" w:cs="Calibri"/>
          <w:szCs w:val="24"/>
        </w:rPr>
        <w:t xml:space="preserve">4. Though the overall performance is projected to improve, the performance of some provinces is projected to worsen. Among provinces </w:t>
      </w:r>
      <w:r>
        <w:rPr>
          <w:rFonts w:ascii="Calibri" w:hAnsi="Calibri" w:cs="Calibri"/>
          <w:szCs w:val="24"/>
        </w:rPr>
        <w:t>that</w:t>
      </w:r>
      <w:r w:rsidRPr="00755F09">
        <w:rPr>
          <w:rFonts w:ascii="Calibri" w:hAnsi="Calibri" w:cs="Calibri"/>
          <w:szCs w:val="24"/>
        </w:rPr>
        <w:t xml:space="preserve"> are projected to have better performance, Yunnan, Guizhou</w:t>
      </w:r>
      <w:r>
        <w:rPr>
          <w:rFonts w:ascii="Calibri" w:hAnsi="Calibri" w:cs="Calibri"/>
          <w:szCs w:val="24"/>
        </w:rPr>
        <w:t>,</w:t>
      </w:r>
      <w:r w:rsidRPr="00755F09">
        <w:rPr>
          <w:rFonts w:ascii="Calibri" w:hAnsi="Calibri" w:cs="Calibri"/>
          <w:szCs w:val="24"/>
        </w:rPr>
        <w:t xml:space="preserve"> and Gansu score highest. However, there are a total of </w:t>
      </w:r>
      <w:r>
        <w:rPr>
          <w:rFonts w:ascii="Calibri" w:hAnsi="Calibri" w:cs="Calibri"/>
          <w:szCs w:val="24"/>
        </w:rPr>
        <w:t>nine</w:t>
      </w:r>
      <w:r w:rsidRPr="00755F09">
        <w:rPr>
          <w:rFonts w:ascii="Calibri" w:hAnsi="Calibri" w:cs="Calibri"/>
          <w:szCs w:val="24"/>
        </w:rPr>
        <w:t xml:space="preserve"> provinces </w:t>
      </w:r>
      <w:r>
        <w:rPr>
          <w:rFonts w:ascii="Calibri" w:hAnsi="Calibri" w:cs="Calibri"/>
          <w:szCs w:val="24"/>
        </w:rPr>
        <w:t>that</w:t>
      </w:r>
      <w:r w:rsidRPr="00755F09">
        <w:rPr>
          <w:rFonts w:ascii="Calibri" w:hAnsi="Calibri" w:cs="Calibri"/>
          <w:szCs w:val="24"/>
        </w:rPr>
        <w:t xml:space="preserve"> are projected to have poorer performance in environmental exposure risk factor indicators</w:t>
      </w:r>
      <w:r>
        <w:rPr>
          <w:rFonts w:ascii="Calibri" w:hAnsi="Calibri" w:cs="Calibri"/>
          <w:szCs w:val="24"/>
        </w:rPr>
        <w:t>,</w:t>
      </w:r>
      <w:r w:rsidRPr="00755F09">
        <w:rPr>
          <w:rFonts w:ascii="Calibri" w:hAnsi="Calibri" w:cs="Calibri"/>
          <w:szCs w:val="24"/>
        </w:rPr>
        <w:t xml:space="preserve"> and most of them are economically developed and resourced provinces. The deterioration speed is projected to be fastest in Beijing if current trajectories are not addressed.</w:t>
      </w:r>
    </w:p>
    <w:p w14:paraId="56E864CD" w14:textId="77777777" w:rsidR="00B656F6" w:rsidRPr="00755F09" w:rsidRDefault="00B656F6" w:rsidP="00B656F6">
      <w:pPr>
        <w:rPr>
          <w:rFonts w:ascii="Calibri" w:hAnsi="Calibri" w:cs="Calibri"/>
          <w:szCs w:val="24"/>
        </w:rPr>
      </w:pPr>
      <w:r w:rsidRPr="00755F09">
        <w:rPr>
          <w:rFonts w:ascii="Calibri" w:hAnsi="Calibri" w:cs="Calibri"/>
          <w:szCs w:val="24"/>
        </w:rPr>
        <w:t>Looking separately into the projection results of the five monitoring indicators, the performance of household air pollution, sanitation, hygiene</w:t>
      </w:r>
      <w:r>
        <w:rPr>
          <w:rFonts w:ascii="Calibri" w:hAnsi="Calibri" w:cs="Calibri"/>
          <w:szCs w:val="24"/>
        </w:rPr>
        <w:t>,</w:t>
      </w:r>
      <w:r w:rsidRPr="00755F09">
        <w:rPr>
          <w:rFonts w:ascii="Calibri" w:hAnsi="Calibri" w:cs="Calibri"/>
          <w:szCs w:val="24"/>
        </w:rPr>
        <w:t xml:space="preserve"> and water is projected to improve, except for that of the </w:t>
      </w:r>
      <w:r w:rsidRPr="00094543">
        <w:rPr>
          <w:rFonts w:ascii="Calibri" w:hAnsi="Calibri" w:cs="Calibri"/>
          <w:szCs w:val="24"/>
        </w:rPr>
        <w:t>PM</w:t>
      </w:r>
      <w:r w:rsidRPr="008F0944">
        <w:rPr>
          <w:rFonts w:ascii="Calibri" w:hAnsi="Calibri" w:cs="Calibri"/>
          <w:szCs w:val="24"/>
        </w:rPr>
        <w:t>2</w:t>
      </w:r>
      <w:r>
        <w:rPr>
          <w:rFonts w:ascii="Calibri" w:hAnsi="Calibri" w:cs="Calibri"/>
          <w:szCs w:val="24"/>
        </w:rPr>
        <w:t>.</w:t>
      </w:r>
      <w:r w:rsidRPr="008F0944">
        <w:rPr>
          <w:rFonts w:ascii="Calibri" w:hAnsi="Calibri" w:cs="Calibri"/>
          <w:szCs w:val="24"/>
        </w:rPr>
        <w:t>5</w:t>
      </w:r>
      <w:r w:rsidRPr="00755F09">
        <w:rPr>
          <w:rFonts w:ascii="Calibri" w:hAnsi="Calibri" w:cs="Calibri"/>
          <w:szCs w:val="24"/>
        </w:rPr>
        <w:t xml:space="preserve"> level. The attainment index of household air pollution, sanitation, hygiene</w:t>
      </w:r>
      <w:r>
        <w:rPr>
          <w:rFonts w:ascii="Calibri" w:hAnsi="Calibri" w:cs="Calibri"/>
          <w:szCs w:val="24"/>
        </w:rPr>
        <w:t>,</w:t>
      </w:r>
      <w:r w:rsidRPr="00755F09">
        <w:rPr>
          <w:rFonts w:ascii="Calibri" w:hAnsi="Calibri" w:cs="Calibri"/>
          <w:szCs w:val="24"/>
        </w:rPr>
        <w:t xml:space="preserve"> and water is projected to increase to 91</w:t>
      </w:r>
      <w:r>
        <w:rPr>
          <w:rFonts w:ascii="Calibri" w:hAnsi="Calibri" w:cs="Calibri"/>
          <w:szCs w:val="24"/>
        </w:rPr>
        <w:t>.</w:t>
      </w:r>
      <w:r w:rsidRPr="00755F09">
        <w:rPr>
          <w:rFonts w:ascii="Calibri" w:hAnsi="Calibri" w:cs="Calibri"/>
          <w:szCs w:val="24"/>
        </w:rPr>
        <w:t>0, 88</w:t>
      </w:r>
      <w:r>
        <w:rPr>
          <w:rFonts w:ascii="Calibri" w:hAnsi="Calibri" w:cs="Calibri"/>
          <w:szCs w:val="24"/>
        </w:rPr>
        <w:t>.</w:t>
      </w:r>
      <w:r w:rsidRPr="00755F09">
        <w:rPr>
          <w:rFonts w:ascii="Calibri" w:hAnsi="Calibri" w:cs="Calibri"/>
          <w:szCs w:val="24"/>
        </w:rPr>
        <w:t>0, 78</w:t>
      </w:r>
      <w:r>
        <w:rPr>
          <w:rFonts w:ascii="Calibri" w:hAnsi="Calibri" w:cs="Calibri"/>
          <w:szCs w:val="24"/>
        </w:rPr>
        <w:t>.</w:t>
      </w:r>
      <w:r w:rsidRPr="00755F09">
        <w:rPr>
          <w:rFonts w:ascii="Calibri" w:hAnsi="Calibri" w:cs="Calibri"/>
          <w:szCs w:val="24"/>
        </w:rPr>
        <w:t>6</w:t>
      </w:r>
      <w:r>
        <w:rPr>
          <w:rFonts w:ascii="Calibri" w:hAnsi="Calibri" w:cs="Calibri"/>
          <w:szCs w:val="24"/>
        </w:rPr>
        <w:t>,</w:t>
      </w:r>
      <w:r w:rsidRPr="00755F09">
        <w:rPr>
          <w:rFonts w:ascii="Calibri" w:hAnsi="Calibri" w:cs="Calibri"/>
          <w:szCs w:val="24"/>
        </w:rPr>
        <w:t xml:space="preserve"> and 67</w:t>
      </w:r>
      <w:r>
        <w:rPr>
          <w:rFonts w:ascii="Calibri" w:hAnsi="Calibri" w:cs="Calibri"/>
          <w:szCs w:val="24"/>
        </w:rPr>
        <w:t>.</w:t>
      </w:r>
      <w:r w:rsidRPr="00755F09">
        <w:rPr>
          <w:rFonts w:ascii="Calibri" w:hAnsi="Calibri" w:cs="Calibri"/>
          <w:szCs w:val="24"/>
        </w:rPr>
        <w:t xml:space="preserve">8 in 2030, </w:t>
      </w:r>
      <w:r>
        <w:rPr>
          <w:rFonts w:ascii="Calibri" w:hAnsi="Calibri" w:cs="Calibri"/>
          <w:szCs w:val="24"/>
        </w:rPr>
        <w:t>whereas</w:t>
      </w:r>
      <w:r w:rsidRPr="00755F09">
        <w:rPr>
          <w:rFonts w:ascii="Calibri" w:hAnsi="Calibri" w:cs="Calibri"/>
          <w:szCs w:val="24"/>
        </w:rPr>
        <w:t xml:space="preserve"> the attainment index of PM</w:t>
      </w:r>
      <w:r w:rsidRPr="008F0944">
        <w:rPr>
          <w:rFonts w:ascii="Calibri" w:hAnsi="Calibri" w:cs="Calibri"/>
          <w:szCs w:val="24"/>
        </w:rPr>
        <w:t>2</w:t>
      </w:r>
      <w:r>
        <w:rPr>
          <w:rFonts w:ascii="Calibri" w:hAnsi="Calibri" w:cs="Calibri"/>
          <w:szCs w:val="24"/>
        </w:rPr>
        <w:t>.</w:t>
      </w:r>
      <w:r w:rsidRPr="008F0944">
        <w:rPr>
          <w:rFonts w:ascii="Calibri" w:hAnsi="Calibri" w:cs="Calibri"/>
          <w:szCs w:val="24"/>
        </w:rPr>
        <w:t>5</w:t>
      </w:r>
      <w:r w:rsidRPr="00094543">
        <w:rPr>
          <w:rFonts w:ascii="Calibri" w:hAnsi="Calibri" w:cs="Calibri"/>
          <w:szCs w:val="24"/>
        </w:rPr>
        <w:t xml:space="preserve"> </w:t>
      </w:r>
      <w:r w:rsidRPr="00755F09">
        <w:rPr>
          <w:rFonts w:ascii="Calibri" w:hAnsi="Calibri" w:cs="Calibri"/>
          <w:szCs w:val="24"/>
        </w:rPr>
        <w:t>is projected to decrease to 25</w:t>
      </w:r>
      <w:r>
        <w:rPr>
          <w:rFonts w:ascii="Calibri" w:hAnsi="Calibri" w:cs="Calibri"/>
          <w:szCs w:val="24"/>
        </w:rPr>
        <w:t>.</w:t>
      </w:r>
      <w:r w:rsidRPr="00755F09">
        <w:rPr>
          <w:rFonts w:ascii="Calibri" w:hAnsi="Calibri" w:cs="Calibri"/>
          <w:szCs w:val="24"/>
        </w:rPr>
        <w:t>5. Such decreases are particularly obvious among provinces in the north and eastern parts of China and the western province Xinjiang.</w:t>
      </w:r>
    </w:p>
    <w:p w14:paraId="2C6FF406" w14:textId="77777777" w:rsidR="00B656F6" w:rsidRPr="00755F09" w:rsidRDefault="00B656F6" w:rsidP="00B656F6">
      <w:pPr>
        <w:rPr>
          <w:rFonts w:ascii="Calibri" w:hAnsi="Calibri" w:cs="Calibri"/>
          <w:szCs w:val="24"/>
          <w:u w:val="single"/>
        </w:rPr>
      </w:pPr>
      <w:r w:rsidRPr="00566686">
        <w:rPr>
          <w:rFonts w:ascii="Calibri" w:hAnsi="Calibri" w:cs="Calibri"/>
          <w:b/>
          <w:bCs/>
          <w:szCs w:val="24"/>
        </w:rPr>
        <w:t>UHC</w:t>
      </w:r>
      <w:r>
        <w:rPr>
          <w:rFonts w:ascii="Calibri" w:hAnsi="Calibri" w:cs="Calibri"/>
          <w:b/>
          <w:bCs/>
          <w:szCs w:val="24"/>
        </w:rPr>
        <w:t>.</w:t>
      </w:r>
      <w:r>
        <w:rPr>
          <w:rFonts w:ascii="Calibri" w:hAnsi="Calibri" w:cs="Calibri"/>
          <w:szCs w:val="24"/>
        </w:rPr>
        <w:t xml:space="preserve"> </w:t>
      </w:r>
      <w:r w:rsidRPr="00755F09">
        <w:rPr>
          <w:rFonts w:ascii="Calibri" w:hAnsi="Calibri" w:cs="Calibri"/>
          <w:szCs w:val="24"/>
        </w:rPr>
        <w:t xml:space="preserve">There were two monitoring indicators for UHC used globally: coverage of essential health services (SDG 3.8.1) and large household expenditures on health (SDG 3.8.2), though the GBD 2016 study only included UHC index to present the essential health services coverage </w:t>
      </w:r>
      <w:r>
        <w:rPr>
          <w:rFonts w:ascii="Calibri" w:hAnsi="Calibri" w:cs="Calibri"/>
          <w:szCs w:val="24"/>
        </w:rPr>
        <w:t>because of</w:t>
      </w:r>
      <w:r w:rsidRPr="00755F09">
        <w:rPr>
          <w:rFonts w:ascii="Calibri" w:hAnsi="Calibri" w:cs="Calibri"/>
          <w:szCs w:val="24"/>
        </w:rPr>
        <w:t xml:space="preserve"> data availability</w:t>
      </w:r>
      <w:r>
        <w:rPr>
          <w:rFonts w:ascii="Calibri" w:hAnsi="Calibri" w:cs="Calibri"/>
          <w:szCs w:val="24"/>
        </w:rPr>
        <w:t xml:space="preserve"> [</w:t>
      </w:r>
      <w:r w:rsidRPr="00755F09">
        <w:rPr>
          <w:rFonts w:ascii="Calibri" w:hAnsi="Calibri" w:cs="Calibri"/>
          <w:szCs w:val="24"/>
        </w:rPr>
        <w:fldChar w:fldCharType="begin"/>
      </w:r>
      <w:r w:rsidRPr="00755F09">
        <w:rPr>
          <w:rFonts w:ascii="Calibri" w:hAnsi="Calibri" w:cs="Calibri"/>
          <w:szCs w:val="24"/>
        </w:rPr>
        <w:instrText xml:space="preserve"> REF _Ref522900281 \r  \* MERGEFORMAT </w:instrText>
      </w:r>
      <w:r w:rsidRPr="00755F09">
        <w:rPr>
          <w:rFonts w:ascii="Calibri" w:hAnsi="Calibri" w:cs="Calibri"/>
          <w:szCs w:val="24"/>
        </w:rPr>
        <w:fldChar w:fldCharType="separate"/>
      </w:r>
      <w:r>
        <w:rPr>
          <w:rFonts w:ascii="Calibri" w:hAnsi="Calibri" w:cs="Calibri"/>
          <w:szCs w:val="24"/>
        </w:rPr>
        <w:t>23</w:t>
      </w:r>
      <w:r w:rsidRPr="00755F09">
        <w:rPr>
          <w:rFonts w:ascii="Calibri" w:hAnsi="Calibri" w:cs="Calibri"/>
          <w:szCs w:val="24"/>
        </w:rPr>
        <w:fldChar w:fldCharType="end"/>
      </w:r>
      <w:r w:rsidRPr="00755F09">
        <w:rPr>
          <w:rFonts w:ascii="Calibri" w:hAnsi="Calibri" w:cs="Calibri"/>
          <w:szCs w:val="24"/>
        </w:rPr>
        <w:t>]. China had made great progress in expanding health services coverage for maternal, neonatal</w:t>
      </w:r>
      <w:r>
        <w:rPr>
          <w:rFonts w:ascii="Calibri" w:hAnsi="Calibri" w:cs="Calibri"/>
          <w:szCs w:val="24"/>
        </w:rPr>
        <w:t>,</w:t>
      </w:r>
      <w:r w:rsidRPr="00755F09">
        <w:rPr>
          <w:rFonts w:ascii="Calibri" w:hAnsi="Calibri" w:cs="Calibri"/>
          <w:szCs w:val="24"/>
        </w:rPr>
        <w:t xml:space="preserve"> and child health</w:t>
      </w:r>
      <w:r>
        <w:rPr>
          <w:rFonts w:ascii="Calibri" w:hAnsi="Calibri" w:cs="Calibri"/>
          <w:szCs w:val="24"/>
        </w:rPr>
        <w:t>;</w:t>
      </w:r>
      <w:r w:rsidRPr="00755F09">
        <w:rPr>
          <w:rFonts w:ascii="Calibri" w:hAnsi="Calibri" w:cs="Calibri"/>
          <w:szCs w:val="24"/>
        </w:rPr>
        <w:t xml:space="preserve"> </w:t>
      </w:r>
      <w:r w:rsidRPr="00755F09">
        <w:rPr>
          <w:rFonts w:ascii="Calibri" w:hAnsi="Calibri" w:cs="Calibri"/>
          <w:szCs w:val="24"/>
        </w:rPr>
        <w:lastRenderedPageBreak/>
        <w:t>infectious diseases</w:t>
      </w:r>
      <w:r>
        <w:rPr>
          <w:rFonts w:ascii="Calibri" w:hAnsi="Calibri" w:cs="Calibri"/>
          <w:szCs w:val="24"/>
        </w:rPr>
        <w:t>;</w:t>
      </w:r>
      <w:r w:rsidRPr="00755F09">
        <w:rPr>
          <w:rFonts w:ascii="Calibri" w:hAnsi="Calibri" w:cs="Calibri"/>
          <w:szCs w:val="24"/>
        </w:rPr>
        <w:t xml:space="preserve"> and </w:t>
      </w:r>
      <w:r>
        <w:rPr>
          <w:rFonts w:ascii="Calibri" w:hAnsi="Calibri" w:cs="Calibri"/>
          <w:szCs w:val="24"/>
        </w:rPr>
        <w:t>NCDs</w:t>
      </w:r>
      <w:r w:rsidRPr="00755F09">
        <w:rPr>
          <w:rFonts w:ascii="Calibri" w:hAnsi="Calibri" w:cs="Calibri"/>
          <w:szCs w:val="24"/>
        </w:rPr>
        <w:t>, though the treatment and control rate for hypertension and diabetes remained low. For example, the hypertension and diabetes control rates among people over 18 were only 9.7% and 33.0%, respectively, in 2013. Service capacity has improved</w:t>
      </w:r>
      <w:r>
        <w:rPr>
          <w:rFonts w:ascii="Calibri" w:hAnsi="Calibri" w:cs="Calibri"/>
          <w:szCs w:val="24"/>
        </w:rPr>
        <w:t>,</w:t>
      </w:r>
      <w:r w:rsidRPr="00755F09">
        <w:rPr>
          <w:rFonts w:ascii="Calibri" w:hAnsi="Calibri" w:cs="Calibri"/>
          <w:szCs w:val="24"/>
        </w:rPr>
        <w:t xml:space="preserve"> and the number of total health professionals, doctors</w:t>
      </w:r>
      <w:r>
        <w:rPr>
          <w:rFonts w:ascii="Calibri" w:hAnsi="Calibri" w:cs="Calibri"/>
          <w:szCs w:val="24"/>
        </w:rPr>
        <w:t>,</w:t>
      </w:r>
      <w:r w:rsidRPr="00755F09">
        <w:rPr>
          <w:rFonts w:ascii="Calibri" w:hAnsi="Calibri" w:cs="Calibri"/>
          <w:szCs w:val="24"/>
        </w:rPr>
        <w:t xml:space="preserve"> and nurses kept increasing, though urban</w:t>
      </w:r>
      <w:r>
        <w:rPr>
          <w:rFonts w:ascii="Calibri" w:hAnsi="Calibri" w:cs="Calibri"/>
          <w:szCs w:val="24"/>
        </w:rPr>
        <w:t>–</w:t>
      </w:r>
      <w:r w:rsidRPr="00755F09">
        <w:rPr>
          <w:rFonts w:ascii="Calibri" w:hAnsi="Calibri" w:cs="Calibri"/>
          <w:szCs w:val="24"/>
        </w:rPr>
        <w:t xml:space="preserve">rural disparities remain (Table 3). The total health expenditure (THE) </w:t>
      </w:r>
      <w:r>
        <w:rPr>
          <w:rFonts w:ascii="Calibri" w:hAnsi="Calibri" w:cs="Calibri"/>
          <w:szCs w:val="24"/>
        </w:rPr>
        <w:t>has</w:t>
      </w:r>
      <w:r w:rsidRPr="00755F09">
        <w:rPr>
          <w:rFonts w:ascii="Calibri" w:hAnsi="Calibri" w:cs="Calibri"/>
          <w:szCs w:val="24"/>
        </w:rPr>
        <w:t xml:space="preserve"> increased since 2000</w:t>
      </w:r>
      <w:r>
        <w:rPr>
          <w:rFonts w:ascii="Calibri" w:hAnsi="Calibri" w:cs="Calibri"/>
          <w:szCs w:val="24"/>
        </w:rPr>
        <w:t>,</w:t>
      </w:r>
      <w:r w:rsidRPr="00755F09">
        <w:rPr>
          <w:rFonts w:ascii="Calibri" w:hAnsi="Calibri" w:cs="Calibri"/>
          <w:szCs w:val="24"/>
        </w:rPr>
        <w:t xml:space="preserve"> and the out-of-pocket payment </w:t>
      </w:r>
      <w:r w:rsidRPr="00755F09">
        <w:rPr>
          <w:rFonts w:ascii="Calibri" w:hAnsi="Calibri" w:cs="Calibri"/>
        </w:rPr>
        <w:t>(OOP)</w:t>
      </w:r>
      <w:r w:rsidRPr="00755F09">
        <w:rPr>
          <w:rFonts w:ascii="Calibri" w:hAnsi="Calibri" w:cs="Calibri"/>
          <w:szCs w:val="24"/>
        </w:rPr>
        <w:t xml:space="preserve"> ratio decreased to 28</w:t>
      </w:r>
      <w:r>
        <w:rPr>
          <w:rFonts w:ascii="Calibri" w:hAnsi="Calibri" w:cs="Calibri"/>
          <w:szCs w:val="24"/>
        </w:rPr>
        <w:t>.</w:t>
      </w:r>
      <w:r w:rsidRPr="00755F09">
        <w:rPr>
          <w:rFonts w:ascii="Calibri" w:hAnsi="Calibri" w:cs="Calibri"/>
          <w:szCs w:val="24"/>
        </w:rPr>
        <w:t>8% in 2016</w:t>
      </w:r>
      <w:r>
        <w:rPr>
          <w:rFonts w:ascii="Calibri" w:hAnsi="Calibri" w:cs="Calibri"/>
          <w:szCs w:val="24"/>
        </w:rPr>
        <w:t xml:space="preserve"> [</w:t>
      </w:r>
      <w:r w:rsidRPr="00755F09">
        <w:rPr>
          <w:rFonts w:ascii="Calibri" w:hAnsi="Calibri" w:cs="Calibri"/>
          <w:szCs w:val="24"/>
        </w:rPr>
        <w:fldChar w:fldCharType="begin"/>
      </w:r>
      <w:r w:rsidRPr="00755F09">
        <w:rPr>
          <w:rFonts w:ascii="Calibri" w:hAnsi="Calibri" w:cs="Calibri"/>
          <w:szCs w:val="24"/>
        </w:rPr>
        <w:instrText xml:space="preserve"> REF _Ref522816471 \r \h  \* MERGEFORMAT </w:instrText>
      </w:r>
      <w:r w:rsidRPr="00755F09">
        <w:rPr>
          <w:rFonts w:ascii="Calibri" w:hAnsi="Calibri" w:cs="Calibri"/>
          <w:szCs w:val="24"/>
        </w:rPr>
      </w:r>
      <w:r w:rsidRPr="00755F09">
        <w:rPr>
          <w:rFonts w:ascii="Calibri" w:hAnsi="Calibri" w:cs="Calibri"/>
          <w:szCs w:val="24"/>
        </w:rPr>
        <w:fldChar w:fldCharType="separate"/>
      </w:r>
      <w:r>
        <w:rPr>
          <w:rFonts w:ascii="Calibri" w:hAnsi="Calibri" w:cs="Calibri"/>
          <w:szCs w:val="24"/>
        </w:rPr>
        <w:t>3</w:t>
      </w:r>
      <w:r w:rsidRPr="00755F09">
        <w:rPr>
          <w:rFonts w:ascii="Calibri" w:hAnsi="Calibri" w:cs="Calibri"/>
          <w:szCs w:val="24"/>
        </w:rPr>
        <w:fldChar w:fldCharType="end"/>
      </w:r>
      <w:r w:rsidRPr="00755F09">
        <w:rPr>
          <w:rFonts w:ascii="Calibri" w:hAnsi="Calibri" w:cs="Calibri"/>
          <w:szCs w:val="24"/>
        </w:rPr>
        <w:t>]. China has almost achieved universal coverage for basic health insurance. The percentage of low-income households (lowest quintile) with over 40% of household income spent on health increased from 14</w:t>
      </w:r>
      <w:r>
        <w:rPr>
          <w:rFonts w:ascii="Calibri" w:hAnsi="Calibri" w:cs="Calibri"/>
          <w:szCs w:val="24"/>
        </w:rPr>
        <w:t>.</w:t>
      </w:r>
      <w:r w:rsidRPr="00755F09">
        <w:rPr>
          <w:rFonts w:ascii="Calibri" w:hAnsi="Calibri" w:cs="Calibri"/>
          <w:szCs w:val="24"/>
        </w:rPr>
        <w:t>0% in 2008 to 16</w:t>
      </w:r>
      <w:r>
        <w:rPr>
          <w:rFonts w:ascii="Calibri" w:hAnsi="Calibri" w:cs="Calibri"/>
          <w:szCs w:val="24"/>
        </w:rPr>
        <w:t>.</w:t>
      </w:r>
      <w:r w:rsidRPr="00755F09">
        <w:rPr>
          <w:rFonts w:ascii="Calibri" w:hAnsi="Calibri" w:cs="Calibri"/>
          <w:szCs w:val="24"/>
        </w:rPr>
        <w:t>4% in 2013</w:t>
      </w:r>
      <w:r>
        <w:rPr>
          <w:rFonts w:ascii="Calibri" w:hAnsi="Calibri" w:cs="Calibri"/>
          <w:szCs w:val="24"/>
        </w:rPr>
        <w:t xml:space="preserve"> [</w:t>
      </w:r>
      <w:r w:rsidRPr="00755F09">
        <w:rPr>
          <w:rFonts w:ascii="Calibri" w:hAnsi="Calibri" w:cs="Calibri"/>
          <w:szCs w:val="24"/>
        </w:rPr>
        <w:fldChar w:fldCharType="begin"/>
      </w:r>
      <w:r w:rsidRPr="00755F09">
        <w:rPr>
          <w:rFonts w:ascii="Calibri" w:hAnsi="Calibri" w:cs="Calibri"/>
          <w:szCs w:val="24"/>
        </w:rPr>
        <w:instrText xml:space="preserve"> REF _Ref533341837 \r \h  \* MERGEFORMAT </w:instrText>
      </w:r>
      <w:r w:rsidRPr="00755F09">
        <w:rPr>
          <w:rFonts w:ascii="Calibri" w:hAnsi="Calibri" w:cs="Calibri"/>
          <w:szCs w:val="24"/>
        </w:rPr>
      </w:r>
      <w:r w:rsidRPr="00755F09">
        <w:rPr>
          <w:rFonts w:ascii="Calibri" w:hAnsi="Calibri" w:cs="Calibri"/>
          <w:szCs w:val="24"/>
        </w:rPr>
        <w:fldChar w:fldCharType="separate"/>
      </w:r>
      <w:r>
        <w:rPr>
          <w:rFonts w:ascii="Calibri" w:hAnsi="Calibri" w:cs="Calibri"/>
          <w:szCs w:val="24"/>
        </w:rPr>
        <w:t>19</w:t>
      </w:r>
      <w:r w:rsidRPr="00755F09">
        <w:rPr>
          <w:rFonts w:ascii="Calibri" w:hAnsi="Calibri" w:cs="Calibri"/>
          <w:szCs w:val="24"/>
        </w:rPr>
        <w:fldChar w:fldCharType="end"/>
      </w:r>
      <w:r w:rsidRPr="00755F09">
        <w:rPr>
          <w:rFonts w:ascii="Calibri" w:hAnsi="Calibri" w:cs="Calibri"/>
          <w:szCs w:val="24"/>
        </w:rPr>
        <w:t>]. Residents in rural areas suffered greater financial burden from health expenditures, with the percentage 2</w:t>
      </w:r>
      <w:r>
        <w:rPr>
          <w:rFonts w:ascii="Calibri" w:hAnsi="Calibri" w:cs="Calibri"/>
          <w:szCs w:val="24"/>
        </w:rPr>
        <w:t>.</w:t>
      </w:r>
      <w:r w:rsidRPr="00755F09">
        <w:rPr>
          <w:rFonts w:ascii="Calibri" w:hAnsi="Calibri" w:cs="Calibri"/>
          <w:szCs w:val="24"/>
        </w:rPr>
        <w:t>4 times higher than that of urban residents in 2013.</w:t>
      </w:r>
    </w:p>
    <w:p w14:paraId="5DF16511" w14:textId="77777777" w:rsidR="00B656F6" w:rsidRPr="00755F09" w:rsidRDefault="00B656F6" w:rsidP="00B656F6">
      <w:pPr>
        <w:outlineLvl w:val="0"/>
        <w:rPr>
          <w:rFonts w:ascii="Calibri" w:hAnsi="Calibri" w:cs="Calibri"/>
          <w:szCs w:val="24"/>
        </w:rPr>
      </w:pPr>
      <w:r w:rsidRPr="00755F09">
        <w:rPr>
          <w:rFonts w:ascii="Calibri" w:hAnsi="Calibri" w:cs="Calibri"/>
          <w:szCs w:val="24"/>
        </w:rPr>
        <w:t>Based on the projection results of the UHC index, a measure of the essential services coverage alone, China’s performance in UHC is projected to improve toward 2030 based on the past trends of the five indicators (</w:t>
      </w:r>
      <w:r>
        <w:rPr>
          <w:rFonts w:ascii="Calibri" w:hAnsi="Calibri" w:cs="Calibri"/>
          <w:szCs w:val="24"/>
        </w:rPr>
        <w:t>Fig 2I</w:t>
      </w:r>
      <w:r w:rsidRPr="00755F09">
        <w:rPr>
          <w:rFonts w:ascii="Calibri" w:hAnsi="Calibri" w:cs="Calibri"/>
          <w:szCs w:val="24"/>
        </w:rPr>
        <w:t>). The attainment index is projected to increase to 69</w:t>
      </w:r>
      <w:r>
        <w:rPr>
          <w:rFonts w:ascii="Calibri" w:hAnsi="Calibri" w:cs="Calibri"/>
          <w:szCs w:val="24"/>
        </w:rPr>
        <w:t>.</w:t>
      </w:r>
      <w:r w:rsidRPr="00755F09">
        <w:rPr>
          <w:rFonts w:ascii="Calibri" w:hAnsi="Calibri" w:cs="Calibri"/>
          <w:szCs w:val="24"/>
        </w:rPr>
        <w:t>2 in 2030 from 54</w:t>
      </w:r>
      <w:r>
        <w:rPr>
          <w:rFonts w:ascii="Calibri" w:hAnsi="Calibri" w:cs="Calibri"/>
          <w:szCs w:val="24"/>
        </w:rPr>
        <w:t>.</w:t>
      </w:r>
      <w:r w:rsidRPr="00755F09">
        <w:rPr>
          <w:rFonts w:ascii="Calibri" w:hAnsi="Calibri" w:cs="Calibri"/>
          <w:szCs w:val="24"/>
        </w:rPr>
        <w:t xml:space="preserve">4 in 2016, with </w:t>
      </w:r>
      <w:r>
        <w:rPr>
          <w:rFonts w:ascii="Calibri" w:hAnsi="Calibri" w:cs="Calibri"/>
          <w:szCs w:val="24"/>
        </w:rPr>
        <w:t>an</w:t>
      </w:r>
      <w:r w:rsidRPr="00755F09">
        <w:rPr>
          <w:rFonts w:ascii="Calibri" w:hAnsi="Calibri" w:cs="Calibri"/>
          <w:szCs w:val="24"/>
        </w:rPr>
        <w:t xml:space="preserve"> annual change rate of 1</w:t>
      </w:r>
      <w:r>
        <w:rPr>
          <w:rFonts w:ascii="Calibri" w:hAnsi="Calibri" w:cs="Calibri"/>
          <w:szCs w:val="24"/>
        </w:rPr>
        <w:t>.</w:t>
      </w:r>
      <w:r w:rsidRPr="00755F09">
        <w:rPr>
          <w:rFonts w:ascii="Calibri" w:hAnsi="Calibri" w:cs="Calibri"/>
          <w:szCs w:val="24"/>
        </w:rPr>
        <w:t>1. The improvement is especially obvious among western and central provinces. Guizhou, Xinjiang, Gansu</w:t>
      </w:r>
      <w:r>
        <w:rPr>
          <w:rFonts w:ascii="Calibri" w:hAnsi="Calibri" w:cs="Calibri"/>
          <w:szCs w:val="24"/>
        </w:rPr>
        <w:t>,</w:t>
      </w:r>
      <w:r w:rsidRPr="00755F09">
        <w:rPr>
          <w:rFonts w:ascii="Calibri" w:hAnsi="Calibri" w:cs="Calibri"/>
          <w:szCs w:val="24"/>
        </w:rPr>
        <w:t xml:space="preserve"> and Tibet ranked top four in terms of the projected increasing speed. Nevertheless, eastern and central provinces are projected to perform better than western provinces by 2030, especially Macao, Hong Kong, Beijing, Shanghai, and Jiangsu</w:t>
      </w:r>
      <w:r>
        <w:rPr>
          <w:rFonts w:ascii="Calibri" w:hAnsi="Calibri" w:cs="Calibri"/>
          <w:szCs w:val="24"/>
        </w:rPr>
        <w:t>,</w:t>
      </w:r>
      <w:r w:rsidRPr="00755F09">
        <w:rPr>
          <w:rFonts w:ascii="Calibri" w:hAnsi="Calibri" w:cs="Calibri"/>
          <w:szCs w:val="24"/>
        </w:rPr>
        <w:t xml:space="preserve"> which are projected to score over 80</w:t>
      </w:r>
      <w:r>
        <w:rPr>
          <w:rFonts w:ascii="Calibri" w:hAnsi="Calibri" w:cs="Calibri"/>
          <w:szCs w:val="24"/>
        </w:rPr>
        <w:t>.</w:t>
      </w:r>
      <w:r w:rsidRPr="00755F09">
        <w:rPr>
          <w:rFonts w:ascii="Calibri" w:hAnsi="Calibri" w:cs="Calibri"/>
          <w:szCs w:val="24"/>
        </w:rPr>
        <w:t>0. China will fail to achieve UHC by 2030 based on the UHC index results if following the historical trajectories. The challenges will become even more formidable when taking the financial protection coverage into consideration.</w:t>
      </w:r>
    </w:p>
    <w:p w14:paraId="10BF23AE" w14:textId="77777777" w:rsidR="00B656F6" w:rsidRPr="00566686" w:rsidRDefault="00B656F6" w:rsidP="00B656F6">
      <w:pPr>
        <w:outlineLvl w:val="0"/>
        <w:rPr>
          <w:rFonts w:ascii="Calibri" w:hAnsi="Calibri" w:cs="Calibri"/>
          <w:b/>
          <w:sz w:val="28"/>
          <w:szCs w:val="32"/>
        </w:rPr>
      </w:pPr>
      <w:r w:rsidRPr="00566686">
        <w:rPr>
          <w:rFonts w:ascii="Calibri" w:hAnsi="Calibri" w:cs="Calibri"/>
          <w:b/>
          <w:sz w:val="28"/>
          <w:szCs w:val="32"/>
        </w:rPr>
        <w:t>Discussion</w:t>
      </w:r>
    </w:p>
    <w:p w14:paraId="0FC89046" w14:textId="77777777" w:rsidR="00B656F6" w:rsidRPr="00566686" w:rsidRDefault="00B656F6" w:rsidP="00B656F6">
      <w:pPr>
        <w:outlineLvl w:val="0"/>
        <w:rPr>
          <w:rFonts w:ascii="Calibri" w:hAnsi="Calibri" w:cs="Calibri"/>
          <w:b/>
          <w:bCs/>
          <w:iCs/>
          <w:szCs w:val="24"/>
        </w:rPr>
      </w:pPr>
      <w:r w:rsidRPr="00566686">
        <w:rPr>
          <w:rFonts w:ascii="Calibri" w:hAnsi="Calibri" w:cs="Calibri"/>
          <w:b/>
          <w:bCs/>
          <w:iCs/>
          <w:szCs w:val="24"/>
        </w:rPr>
        <w:t>Summary of key findings and challenges</w:t>
      </w:r>
    </w:p>
    <w:p w14:paraId="1C537A8A" w14:textId="77777777" w:rsidR="00B656F6" w:rsidRPr="00755F09" w:rsidRDefault="00B656F6" w:rsidP="00B656F6">
      <w:pPr>
        <w:rPr>
          <w:rFonts w:ascii="Calibri" w:hAnsi="Calibri" w:cs="Calibri"/>
          <w:szCs w:val="24"/>
        </w:rPr>
      </w:pPr>
      <w:r w:rsidRPr="00755F09">
        <w:rPr>
          <w:rFonts w:ascii="Calibri" w:hAnsi="Calibri" w:cs="Calibri"/>
          <w:szCs w:val="24"/>
        </w:rPr>
        <w:t>China has already achieved several health-related SDG targets proposed by the UN, including the NMR, U5MR, and MMR. In the MDG era, the Chinese government—with support from the international community—made significant efforts to tackle both communicable diseases and maternal and child health. However, our study found that there are six particular challenges in the SDG era: control of hepatitis and MDR-TB, curbing NCDs, achieving UHC, tackling regional inequities</w:t>
      </w:r>
      <w:r>
        <w:rPr>
          <w:rFonts w:ascii="Calibri" w:hAnsi="Calibri" w:cs="Calibri"/>
          <w:szCs w:val="24"/>
        </w:rPr>
        <w:t>,</w:t>
      </w:r>
      <w:r w:rsidRPr="00755F09">
        <w:rPr>
          <w:rFonts w:ascii="Calibri" w:hAnsi="Calibri" w:cs="Calibri"/>
          <w:szCs w:val="24"/>
        </w:rPr>
        <w:t xml:space="preserve"> and population aging.</w:t>
      </w:r>
    </w:p>
    <w:p w14:paraId="4990C0F2" w14:textId="77777777" w:rsidR="00B656F6" w:rsidRPr="00755F09" w:rsidRDefault="00B656F6" w:rsidP="00B656F6">
      <w:pPr>
        <w:rPr>
          <w:rFonts w:ascii="Calibri" w:hAnsi="Calibri" w:cs="Calibri"/>
          <w:szCs w:val="24"/>
        </w:rPr>
      </w:pPr>
      <w:r w:rsidRPr="00755F09">
        <w:rPr>
          <w:rFonts w:ascii="Calibri" w:hAnsi="Calibri" w:cs="Calibri"/>
          <w:szCs w:val="24"/>
        </w:rPr>
        <w:t>First, China does not have a comprehensive hepatitis strategy, though it supports selected components (HBV vaccination for children, preventing transmission from mother</w:t>
      </w:r>
      <w:r>
        <w:rPr>
          <w:rFonts w:ascii="Calibri" w:hAnsi="Calibri" w:cs="Calibri"/>
          <w:szCs w:val="24"/>
        </w:rPr>
        <w:t xml:space="preserve"> </w:t>
      </w:r>
      <w:r w:rsidRPr="00755F09">
        <w:rPr>
          <w:rFonts w:ascii="Calibri" w:hAnsi="Calibri" w:cs="Calibri"/>
          <w:szCs w:val="24"/>
        </w:rPr>
        <w:t>to</w:t>
      </w:r>
      <w:r>
        <w:rPr>
          <w:rFonts w:ascii="Calibri" w:hAnsi="Calibri" w:cs="Calibri"/>
          <w:szCs w:val="24"/>
        </w:rPr>
        <w:t xml:space="preserve"> </w:t>
      </w:r>
      <w:r w:rsidRPr="00755F09">
        <w:rPr>
          <w:rFonts w:ascii="Calibri" w:hAnsi="Calibri" w:cs="Calibri"/>
          <w:szCs w:val="24"/>
        </w:rPr>
        <w:t>baby, and some hospital-based safety measures)</w:t>
      </w:r>
      <w:r>
        <w:rPr>
          <w:rFonts w:ascii="Calibri" w:hAnsi="Calibri" w:cs="Calibri"/>
          <w:szCs w:val="24"/>
        </w:rPr>
        <w:t xml:space="preserve"> [</w:t>
      </w:r>
      <w:r w:rsidRPr="00755F09">
        <w:rPr>
          <w:rFonts w:ascii="Calibri" w:hAnsi="Calibri" w:cs="Calibri"/>
          <w:szCs w:val="24"/>
        </w:rPr>
        <w:fldChar w:fldCharType="begin"/>
      </w:r>
      <w:r w:rsidRPr="00755F09">
        <w:rPr>
          <w:rFonts w:ascii="Calibri" w:hAnsi="Calibri" w:cs="Calibri"/>
          <w:szCs w:val="24"/>
        </w:rPr>
        <w:instrText xml:space="preserve"> REF _Ref523080110 \r  \* MERGEFORMAT </w:instrText>
      </w:r>
      <w:r w:rsidRPr="00755F09">
        <w:rPr>
          <w:rFonts w:ascii="Calibri" w:hAnsi="Calibri" w:cs="Calibri"/>
          <w:szCs w:val="24"/>
        </w:rPr>
        <w:fldChar w:fldCharType="separate"/>
      </w:r>
      <w:r>
        <w:rPr>
          <w:rFonts w:ascii="Calibri" w:hAnsi="Calibri" w:cs="Calibri"/>
          <w:szCs w:val="24"/>
        </w:rPr>
        <w:t>29</w:t>
      </w:r>
      <w:r w:rsidRPr="00755F09">
        <w:rPr>
          <w:rFonts w:ascii="Calibri" w:hAnsi="Calibri" w:cs="Calibri"/>
          <w:szCs w:val="24"/>
        </w:rPr>
        <w:fldChar w:fldCharType="end"/>
      </w:r>
      <w:r w:rsidRPr="00755F09">
        <w:rPr>
          <w:rFonts w:ascii="Calibri" w:hAnsi="Calibri" w:cs="Calibri"/>
          <w:szCs w:val="24"/>
        </w:rPr>
        <w:t>]. Rates of case notification and effective treatment of hepatitis are low</w:t>
      </w:r>
      <w:r>
        <w:rPr>
          <w:rFonts w:ascii="Calibri" w:hAnsi="Calibri" w:cs="Calibri"/>
          <w:szCs w:val="24"/>
        </w:rPr>
        <w:t xml:space="preserve"> because of </w:t>
      </w:r>
      <w:r w:rsidRPr="00755F09">
        <w:rPr>
          <w:rFonts w:ascii="Calibri" w:hAnsi="Calibri" w:cs="Calibri"/>
          <w:szCs w:val="24"/>
        </w:rPr>
        <w:t>several factors, such as poor diagnosis, high healthcare costs, and stigma</w:t>
      </w:r>
      <w:r>
        <w:rPr>
          <w:rFonts w:ascii="Calibri" w:hAnsi="Calibri" w:cs="Calibri"/>
          <w:szCs w:val="24"/>
        </w:rPr>
        <w:t xml:space="preserve"> [</w:t>
      </w:r>
      <w:r w:rsidRPr="00755F09">
        <w:rPr>
          <w:rFonts w:ascii="Calibri" w:hAnsi="Calibri" w:cs="Calibri"/>
          <w:szCs w:val="24"/>
        </w:rPr>
        <w:fldChar w:fldCharType="begin"/>
      </w:r>
      <w:r w:rsidRPr="00755F09">
        <w:rPr>
          <w:rFonts w:ascii="Calibri" w:hAnsi="Calibri" w:cs="Calibri"/>
          <w:szCs w:val="24"/>
        </w:rPr>
        <w:instrText xml:space="preserve"> REF _Ref523071399 \r  \* MERGEFORMAT </w:instrText>
      </w:r>
      <w:r w:rsidRPr="00755F09">
        <w:rPr>
          <w:rFonts w:ascii="Calibri" w:hAnsi="Calibri" w:cs="Calibri"/>
          <w:szCs w:val="24"/>
        </w:rPr>
        <w:fldChar w:fldCharType="separate"/>
      </w:r>
      <w:r>
        <w:rPr>
          <w:rFonts w:ascii="Calibri" w:hAnsi="Calibri" w:cs="Calibri"/>
          <w:szCs w:val="24"/>
        </w:rPr>
        <w:t>30</w:t>
      </w:r>
      <w:r w:rsidRPr="00755F09">
        <w:rPr>
          <w:rFonts w:ascii="Calibri" w:hAnsi="Calibri" w:cs="Calibri"/>
          <w:szCs w:val="24"/>
        </w:rPr>
        <w:fldChar w:fldCharType="end"/>
      </w:r>
      <w:r w:rsidRPr="00755F09">
        <w:rPr>
          <w:rFonts w:ascii="Calibri" w:hAnsi="Calibri" w:cs="Calibri"/>
          <w:szCs w:val="24"/>
        </w:rPr>
        <w:t>-</w:t>
      </w:r>
      <w:r w:rsidRPr="00755F09">
        <w:rPr>
          <w:rFonts w:ascii="Calibri" w:hAnsi="Calibri" w:cs="Calibri"/>
          <w:szCs w:val="24"/>
        </w:rPr>
        <w:fldChar w:fldCharType="begin"/>
      </w:r>
      <w:r w:rsidRPr="00755F09">
        <w:rPr>
          <w:rFonts w:ascii="Calibri" w:hAnsi="Calibri" w:cs="Calibri"/>
          <w:szCs w:val="24"/>
        </w:rPr>
        <w:instrText xml:space="preserve"> REF _Ref524373597 \r  \* MERGEFORMAT </w:instrText>
      </w:r>
      <w:r w:rsidRPr="00755F09">
        <w:rPr>
          <w:rFonts w:ascii="Calibri" w:hAnsi="Calibri" w:cs="Calibri"/>
          <w:szCs w:val="24"/>
        </w:rPr>
        <w:fldChar w:fldCharType="separate"/>
      </w:r>
      <w:r>
        <w:rPr>
          <w:rFonts w:ascii="Calibri" w:hAnsi="Calibri" w:cs="Calibri"/>
          <w:szCs w:val="24"/>
        </w:rPr>
        <w:t>33</w:t>
      </w:r>
      <w:r w:rsidRPr="00755F09">
        <w:rPr>
          <w:rFonts w:ascii="Calibri" w:hAnsi="Calibri" w:cs="Calibri"/>
          <w:szCs w:val="24"/>
        </w:rPr>
        <w:fldChar w:fldCharType="end"/>
      </w:r>
      <w:r w:rsidRPr="00755F09">
        <w:rPr>
          <w:rFonts w:ascii="Calibri" w:hAnsi="Calibri" w:cs="Calibri"/>
          <w:szCs w:val="24"/>
        </w:rPr>
        <w:t xml:space="preserve">]. A significant proportion of people infected with HBV and </w:t>
      </w:r>
      <w:r>
        <w:rPr>
          <w:rFonts w:ascii="Calibri" w:hAnsi="Calibri" w:cs="Calibri"/>
          <w:szCs w:val="24"/>
        </w:rPr>
        <w:t>hepatitis C virus (</w:t>
      </w:r>
      <w:r w:rsidRPr="00755F09">
        <w:rPr>
          <w:rFonts w:ascii="Calibri" w:hAnsi="Calibri" w:cs="Calibri"/>
          <w:szCs w:val="24"/>
        </w:rPr>
        <w:t>HCV</w:t>
      </w:r>
      <w:r>
        <w:rPr>
          <w:rFonts w:ascii="Calibri" w:hAnsi="Calibri" w:cs="Calibri"/>
          <w:szCs w:val="24"/>
        </w:rPr>
        <w:t>)</w:t>
      </w:r>
      <w:r w:rsidRPr="00755F09">
        <w:rPr>
          <w:rFonts w:ascii="Calibri" w:hAnsi="Calibri" w:cs="Calibri"/>
          <w:szCs w:val="24"/>
        </w:rPr>
        <w:t xml:space="preserve"> will develop liver cirrhosis, cancer, or other serious liver diseases</w:t>
      </w:r>
      <w:r>
        <w:rPr>
          <w:rFonts w:ascii="Calibri" w:hAnsi="Calibri" w:cs="Calibri"/>
          <w:szCs w:val="24"/>
        </w:rPr>
        <w:t xml:space="preserve"> [</w:t>
      </w:r>
      <w:r w:rsidRPr="00755F09">
        <w:rPr>
          <w:rFonts w:ascii="Calibri" w:hAnsi="Calibri" w:cs="Calibri"/>
          <w:szCs w:val="24"/>
        </w:rPr>
        <w:fldChar w:fldCharType="begin"/>
      </w:r>
      <w:r w:rsidRPr="00755F09">
        <w:rPr>
          <w:rFonts w:ascii="Calibri" w:hAnsi="Calibri" w:cs="Calibri"/>
          <w:szCs w:val="24"/>
        </w:rPr>
        <w:instrText xml:space="preserve"> REF _Ref523071653 \r  \* MERGEFORMAT </w:instrText>
      </w:r>
      <w:r w:rsidRPr="00755F09">
        <w:rPr>
          <w:rFonts w:ascii="Calibri" w:hAnsi="Calibri" w:cs="Calibri"/>
          <w:szCs w:val="24"/>
        </w:rPr>
        <w:fldChar w:fldCharType="separate"/>
      </w:r>
      <w:r>
        <w:rPr>
          <w:rFonts w:ascii="Calibri" w:hAnsi="Calibri" w:cs="Calibri"/>
          <w:szCs w:val="24"/>
        </w:rPr>
        <w:t>34</w:t>
      </w:r>
      <w:r w:rsidRPr="00755F09">
        <w:rPr>
          <w:rFonts w:ascii="Calibri" w:hAnsi="Calibri" w:cs="Calibri"/>
          <w:szCs w:val="24"/>
        </w:rPr>
        <w:fldChar w:fldCharType="end"/>
      </w:r>
      <w:r w:rsidRPr="00755F09">
        <w:rPr>
          <w:rFonts w:ascii="Calibri" w:hAnsi="Calibri" w:cs="Calibri"/>
          <w:szCs w:val="24"/>
        </w:rPr>
        <w:t>,</w:t>
      </w:r>
      <w:r w:rsidRPr="00755F09">
        <w:rPr>
          <w:rFonts w:ascii="Calibri" w:hAnsi="Calibri" w:cs="Calibri"/>
          <w:szCs w:val="24"/>
        </w:rPr>
        <w:fldChar w:fldCharType="begin"/>
      </w:r>
      <w:r w:rsidRPr="00755F09">
        <w:rPr>
          <w:rFonts w:ascii="Calibri" w:hAnsi="Calibri" w:cs="Calibri"/>
          <w:szCs w:val="24"/>
        </w:rPr>
        <w:instrText xml:space="preserve"> REF _Ref523071655 \r  \* MERGEFORMAT </w:instrText>
      </w:r>
      <w:r w:rsidRPr="00755F09">
        <w:rPr>
          <w:rFonts w:ascii="Calibri" w:hAnsi="Calibri" w:cs="Calibri"/>
          <w:szCs w:val="24"/>
        </w:rPr>
        <w:fldChar w:fldCharType="separate"/>
      </w:r>
      <w:r>
        <w:rPr>
          <w:rFonts w:ascii="Calibri" w:hAnsi="Calibri" w:cs="Calibri"/>
          <w:szCs w:val="24"/>
        </w:rPr>
        <w:t>35</w:t>
      </w:r>
      <w:r w:rsidRPr="00755F09">
        <w:rPr>
          <w:rFonts w:ascii="Calibri" w:hAnsi="Calibri" w:cs="Calibri"/>
          <w:szCs w:val="24"/>
        </w:rPr>
        <w:fldChar w:fldCharType="end"/>
      </w:r>
      <w:r w:rsidRPr="00755F09">
        <w:rPr>
          <w:rFonts w:ascii="Calibri" w:hAnsi="Calibri" w:cs="Calibri"/>
          <w:szCs w:val="24"/>
        </w:rPr>
        <w:t>].</w:t>
      </w:r>
    </w:p>
    <w:p w14:paraId="5146E253" w14:textId="77777777" w:rsidR="00B656F6" w:rsidRPr="00755F09" w:rsidRDefault="00B656F6" w:rsidP="00B656F6">
      <w:pPr>
        <w:rPr>
          <w:rFonts w:ascii="Calibri" w:hAnsi="Calibri" w:cs="Calibri"/>
          <w:szCs w:val="24"/>
        </w:rPr>
      </w:pPr>
      <w:r w:rsidRPr="00755F09">
        <w:rPr>
          <w:rFonts w:ascii="Calibri" w:hAnsi="Calibri" w:cs="Calibri"/>
          <w:szCs w:val="24"/>
        </w:rPr>
        <w:t>Second, China has the second largest number of patients with MDR-TB</w:t>
      </w:r>
      <w:r>
        <w:rPr>
          <w:rFonts w:ascii="Calibri" w:hAnsi="Calibri" w:cs="Calibri"/>
          <w:szCs w:val="24"/>
        </w:rPr>
        <w:t>—</w:t>
      </w:r>
      <w:r w:rsidRPr="00755F09">
        <w:rPr>
          <w:rFonts w:ascii="Calibri" w:hAnsi="Calibri" w:cs="Calibri"/>
          <w:szCs w:val="24"/>
        </w:rPr>
        <w:t xml:space="preserve">the most recent survey, conducted in 2010, estimated </w:t>
      </w:r>
      <w:r>
        <w:rPr>
          <w:rFonts w:ascii="Calibri" w:hAnsi="Calibri" w:cs="Calibri"/>
          <w:szCs w:val="24"/>
        </w:rPr>
        <w:t xml:space="preserve">that </w:t>
      </w:r>
      <w:r w:rsidRPr="00755F09">
        <w:rPr>
          <w:rFonts w:ascii="Calibri" w:hAnsi="Calibri" w:cs="Calibri"/>
          <w:szCs w:val="24"/>
        </w:rPr>
        <w:t>there are about 339,000 people with MDR-TB</w:t>
      </w:r>
      <w:r>
        <w:rPr>
          <w:rFonts w:ascii="Calibri" w:hAnsi="Calibri" w:cs="Calibri"/>
          <w:szCs w:val="24"/>
        </w:rPr>
        <w:t xml:space="preserve"> [</w:t>
      </w:r>
      <w:r w:rsidRPr="00755F09">
        <w:rPr>
          <w:rFonts w:ascii="Calibri" w:hAnsi="Calibri" w:cs="Calibri"/>
          <w:szCs w:val="24"/>
        </w:rPr>
        <w:fldChar w:fldCharType="begin"/>
      </w:r>
      <w:r w:rsidRPr="00755F09">
        <w:rPr>
          <w:rFonts w:ascii="Calibri" w:hAnsi="Calibri" w:cs="Calibri"/>
          <w:szCs w:val="24"/>
        </w:rPr>
        <w:instrText xml:space="preserve"> REF _Ref523071771 \r  \* MERGEFORMAT </w:instrText>
      </w:r>
      <w:r w:rsidRPr="00755F09">
        <w:rPr>
          <w:rFonts w:ascii="Calibri" w:hAnsi="Calibri" w:cs="Calibri"/>
          <w:szCs w:val="24"/>
        </w:rPr>
        <w:fldChar w:fldCharType="separate"/>
      </w:r>
      <w:r>
        <w:rPr>
          <w:rFonts w:ascii="Calibri" w:hAnsi="Calibri" w:cs="Calibri"/>
          <w:szCs w:val="24"/>
        </w:rPr>
        <w:t>36</w:t>
      </w:r>
      <w:r w:rsidRPr="00755F09">
        <w:rPr>
          <w:rFonts w:ascii="Calibri" w:hAnsi="Calibri" w:cs="Calibri"/>
          <w:szCs w:val="24"/>
        </w:rPr>
        <w:fldChar w:fldCharType="end"/>
      </w:r>
      <w:r w:rsidRPr="00755F09">
        <w:rPr>
          <w:rFonts w:ascii="Calibri" w:hAnsi="Calibri" w:cs="Calibri"/>
          <w:szCs w:val="24"/>
        </w:rPr>
        <w:t>]. China did not start to implement an effective strategy for addressing MDR-TB until the Global Fund (GF) supported China to undertake MDR-TB case finding and treatment in a small number of Chinese provinces in 2003</w:t>
      </w:r>
      <w:r>
        <w:rPr>
          <w:rFonts w:ascii="Calibri" w:hAnsi="Calibri" w:cs="Calibri"/>
          <w:szCs w:val="24"/>
        </w:rPr>
        <w:t xml:space="preserve"> [</w:t>
      </w:r>
      <w:r w:rsidRPr="00755F09">
        <w:rPr>
          <w:rFonts w:ascii="Calibri" w:hAnsi="Calibri" w:cs="Calibri"/>
          <w:szCs w:val="24"/>
        </w:rPr>
        <w:fldChar w:fldCharType="begin"/>
      </w:r>
      <w:r w:rsidRPr="00755F09">
        <w:rPr>
          <w:rFonts w:ascii="Calibri" w:hAnsi="Calibri" w:cs="Calibri"/>
          <w:szCs w:val="24"/>
        </w:rPr>
        <w:instrText xml:space="preserve"> REF _Ref523074215 \r  \* MERGEFORMAT </w:instrText>
      </w:r>
      <w:r w:rsidRPr="00755F09">
        <w:rPr>
          <w:rFonts w:ascii="Calibri" w:hAnsi="Calibri" w:cs="Calibri"/>
          <w:szCs w:val="24"/>
        </w:rPr>
        <w:fldChar w:fldCharType="separate"/>
      </w:r>
      <w:r>
        <w:rPr>
          <w:rFonts w:ascii="Calibri" w:hAnsi="Calibri" w:cs="Calibri"/>
          <w:szCs w:val="24"/>
        </w:rPr>
        <w:t>37</w:t>
      </w:r>
      <w:r w:rsidRPr="00755F09">
        <w:rPr>
          <w:rFonts w:ascii="Calibri" w:hAnsi="Calibri" w:cs="Calibri"/>
          <w:szCs w:val="24"/>
        </w:rPr>
        <w:fldChar w:fldCharType="end"/>
      </w:r>
      <w:r w:rsidRPr="00755F09">
        <w:rPr>
          <w:rFonts w:ascii="Calibri" w:hAnsi="Calibri" w:cs="Calibri"/>
          <w:szCs w:val="24"/>
        </w:rPr>
        <w:t>]. The GF-funded project has ended</w:t>
      </w:r>
      <w:r>
        <w:rPr>
          <w:rFonts w:ascii="Calibri" w:hAnsi="Calibri" w:cs="Calibri"/>
          <w:szCs w:val="24"/>
        </w:rPr>
        <w:t xml:space="preserve"> because</w:t>
      </w:r>
      <w:r w:rsidRPr="00755F09">
        <w:rPr>
          <w:rFonts w:ascii="Calibri" w:hAnsi="Calibri" w:cs="Calibri"/>
          <w:szCs w:val="24"/>
        </w:rPr>
        <w:t xml:space="preserve"> China no longer qualifies for GF funding. More recently, with support from the Bill &amp; Melinda Gates Foundation, China started to develop and implement an MDR-TB control program slowly in a limited number of provinces</w:t>
      </w:r>
      <w:r>
        <w:rPr>
          <w:rFonts w:ascii="Calibri" w:hAnsi="Calibri" w:cs="Calibri"/>
          <w:szCs w:val="24"/>
        </w:rPr>
        <w:t xml:space="preserve"> [</w:t>
      </w:r>
      <w:r w:rsidRPr="00755F09">
        <w:rPr>
          <w:rFonts w:ascii="Calibri" w:hAnsi="Calibri" w:cs="Calibri"/>
          <w:szCs w:val="24"/>
        </w:rPr>
        <w:fldChar w:fldCharType="begin"/>
      </w:r>
      <w:r w:rsidRPr="00755F09">
        <w:rPr>
          <w:rFonts w:ascii="Calibri" w:hAnsi="Calibri" w:cs="Calibri"/>
          <w:szCs w:val="24"/>
        </w:rPr>
        <w:instrText xml:space="preserve"> REF _Ref523074317 \r  \* MERGEFORMAT </w:instrText>
      </w:r>
      <w:r w:rsidRPr="00755F09">
        <w:rPr>
          <w:rFonts w:ascii="Calibri" w:hAnsi="Calibri" w:cs="Calibri"/>
          <w:szCs w:val="24"/>
        </w:rPr>
        <w:fldChar w:fldCharType="separate"/>
      </w:r>
      <w:r>
        <w:rPr>
          <w:rFonts w:ascii="Calibri" w:hAnsi="Calibri" w:cs="Calibri"/>
          <w:szCs w:val="24"/>
        </w:rPr>
        <w:t>38</w:t>
      </w:r>
      <w:r w:rsidRPr="00755F09">
        <w:rPr>
          <w:rFonts w:ascii="Calibri" w:hAnsi="Calibri" w:cs="Calibri"/>
          <w:szCs w:val="24"/>
        </w:rPr>
        <w:fldChar w:fldCharType="end"/>
      </w:r>
      <w:r w:rsidRPr="00755F09">
        <w:rPr>
          <w:rFonts w:ascii="Calibri" w:hAnsi="Calibri" w:cs="Calibri"/>
          <w:szCs w:val="24"/>
        </w:rPr>
        <w:t>]. Nevertheless, the case notification rate is still very low. In 2016, only 2,016 patients with MDR-TB were detected, of which only 68% have been put on treatment</w:t>
      </w:r>
      <w:r>
        <w:rPr>
          <w:rFonts w:ascii="Calibri" w:hAnsi="Calibri" w:cs="Calibri"/>
          <w:szCs w:val="24"/>
        </w:rPr>
        <w:t xml:space="preserve"> [</w:t>
      </w:r>
      <w:r w:rsidRPr="00755F09">
        <w:rPr>
          <w:rFonts w:ascii="Calibri" w:hAnsi="Calibri" w:cs="Calibri"/>
          <w:szCs w:val="24"/>
        </w:rPr>
        <w:fldChar w:fldCharType="begin"/>
      </w:r>
      <w:r w:rsidRPr="00755F09">
        <w:rPr>
          <w:rFonts w:ascii="Calibri" w:hAnsi="Calibri" w:cs="Calibri"/>
          <w:szCs w:val="24"/>
        </w:rPr>
        <w:instrText xml:space="preserve"> REF _Ref523071771 \r  \* MERGEFORMAT </w:instrText>
      </w:r>
      <w:r w:rsidRPr="00755F09">
        <w:rPr>
          <w:rFonts w:ascii="Calibri" w:hAnsi="Calibri" w:cs="Calibri"/>
          <w:szCs w:val="24"/>
        </w:rPr>
        <w:fldChar w:fldCharType="separate"/>
      </w:r>
      <w:r>
        <w:rPr>
          <w:rFonts w:ascii="Calibri" w:hAnsi="Calibri" w:cs="Calibri"/>
          <w:szCs w:val="24"/>
        </w:rPr>
        <w:t>36</w:t>
      </w:r>
      <w:r w:rsidRPr="00755F09">
        <w:rPr>
          <w:rFonts w:ascii="Calibri" w:hAnsi="Calibri" w:cs="Calibri"/>
          <w:szCs w:val="24"/>
        </w:rPr>
        <w:fldChar w:fldCharType="end"/>
      </w:r>
      <w:r w:rsidRPr="00755F09">
        <w:rPr>
          <w:rFonts w:ascii="Calibri" w:hAnsi="Calibri" w:cs="Calibri"/>
          <w:szCs w:val="24"/>
        </w:rPr>
        <w:t>]. Apparently, China is not on course to achieve the target of ending TB by 2030 set out by WHO.</w:t>
      </w:r>
    </w:p>
    <w:p w14:paraId="27655EE6" w14:textId="77777777" w:rsidR="00B656F6" w:rsidRPr="00755F09" w:rsidRDefault="00B656F6" w:rsidP="00B656F6">
      <w:pPr>
        <w:rPr>
          <w:rFonts w:ascii="Calibri" w:hAnsi="Calibri" w:cs="Calibri"/>
          <w:szCs w:val="24"/>
        </w:rPr>
      </w:pPr>
      <w:r w:rsidRPr="00755F09">
        <w:rPr>
          <w:rFonts w:ascii="Calibri" w:hAnsi="Calibri" w:cs="Calibri"/>
          <w:szCs w:val="24"/>
        </w:rPr>
        <w:t>Third, although our study suggests that China may be able to reach the SDG 3 target on NCDs (i.e.</w:t>
      </w:r>
      <w:r>
        <w:rPr>
          <w:rFonts w:ascii="Calibri" w:hAnsi="Calibri" w:cs="Calibri"/>
          <w:szCs w:val="24"/>
        </w:rPr>
        <w:t>,</w:t>
      </w:r>
      <w:r w:rsidRPr="00755F09">
        <w:rPr>
          <w:rFonts w:ascii="Calibri" w:hAnsi="Calibri" w:cs="Calibri"/>
          <w:szCs w:val="24"/>
        </w:rPr>
        <w:t xml:space="preserve"> reduce almost one</w:t>
      </w:r>
      <w:r>
        <w:rPr>
          <w:rFonts w:ascii="Calibri" w:hAnsi="Calibri" w:cs="Calibri"/>
          <w:szCs w:val="24"/>
        </w:rPr>
        <w:t>-</w:t>
      </w:r>
      <w:r w:rsidRPr="00755F09">
        <w:rPr>
          <w:rFonts w:ascii="Calibri" w:hAnsi="Calibri" w:cs="Calibri"/>
          <w:szCs w:val="24"/>
        </w:rPr>
        <w:t>third of premature deaths due to NCDs by 2030), it still faces significant challenges in controlling NCDs. First, premature mortality due to NCDs among men is not predicted to decline significantly by 2030, owing largely to continuing risk factors, such as smoking, drinking, and physical inactivity. Second, there is no sign that the rate of overweight and obesity will decline in China in the near future. Third, there are insufficient prevention and health promotion efforts to address risk factors associated with NCDs, such as reducing air pollution, public smoking bans, reduction in harmful alcohol consumption, control of hypertension, and reducing salt intake</w:t>
      </w:r>
      <w:r>
        <w:rPr>
          <w:rFonts w:ascii="Calibri" w:hAnsi="Calibri" w:cs="Calibri"/>
          <w:szCs w:val="24"/>
        </w:rPr>
        <w:t xml:space="preserve"> [</w:t>
      </w:r>
      <w:r w:rsidRPr="00755F09">
        <w:rPr>
          <w:rFonts w:ascii="Calibri" w:hAnsi="Calibri" w:cs="Calibri"/>
          <w:szCs w:val="24"/>
        </w:rPr>
        <w:fldChar w:fldCharType="begin"/>
      </w:r>
      <w:r w:rsidRPr="00755F09">
        <w:rPr>
          <w:rFonts w:ascii="Calibri" w:hAnsi="Calibri" w:cs="Calibri"/>
          <w:szCs w:val="24"/>
        </w:rPr>
        <w:instrText xml:space="preserve"> REF _Ref523076922 \r  \* MERGEFORMAT </w:instrText>
      </w:r>
      <w:r w:rsidRPr="00755F09">
        <w:rPr>
          <w:rFonts w:ascii="Calibri" w:hAnsi="Calibri" w:cs="Calibri"/>
          <w:szCs w:val="24"/>
        </w:rPr>
        <w:fldChar w:fldCharType="separate"/>
      </w:r>
      <w:r>
        <w:rPr>
          <w:rFonts w:ascii="Calibri" w:hAnsi="Calibri" w:cs="Calibri"/>
          <w:szCs w:val="24"/>
        </w:rPr>
        <w:t>39</w:t>
      </w:r>
      <w:r w:rsidRPr="00755F09">
        <w:rPr>
          <w:rFonts w:ascii="Calibri" w:hAnsi="Calibri" w:cs="Calibri"/>
          <w:szCs w:val="24"/>
        </w:rPr>
        <w:fldChar w:fldCharType="end"/>
      </w:r>
      <w:r w:rsidRPr="00755F09">
        <w:rPr>
          <w:rFonts w:ascii="Calibri" w:hAnsi="Calibri" w:cs="Calibri"/>
          <w:szCs w:val="24"/>
        </w:rPr>
        <w:t xml:space="preserve">]. Fourth, China has a major burden of mental illness. In 2016, there were an estimated 56 million people with depression, 44 million with anxiety, and 16 million with attention deficit/hyperactivity disorder based on the GBD 2016 study results. Despite this huge disease burden, the health system response to NCDs and mental health issues in China has been inadequate. Key informants argued that NCD spending was too heavily weighted toward treatment rather than risk </w:t>
      </w:r>
      <w:r w:rsidRPr="00755F09">
        <w:rPr>
          <w:rFonts w:ascii="Calibri" w:hAnsi="Calibri" w:cs="Calibri"/>
          <w:szCs w:val="24"/>
        </w:rPr>
        <w:lastRenderedPageBreak/>
        <w:t xml:space="preserve">reduction. For mental health problems, the insufficient budget is compounded by stigma, low rates of case notification, diagnosis and treatment </w:t>
      </w:r>
      <w:r>
        <w:rPr>
          <w:rFonts w:ascii="Calibri" w:hAnsi="Calibri" w:cs="Calibri"/>
          <w:szCs w:val="24"/>
        </w:rPr>
        <w:t>(</w:t>
      </w:r>
      <w:r w:rsidRPr="00755F09">
        <w:rPr>
          <w:rFonts w:ascii="Calibri" w:hAnsi="Calibri" w:cs="Calibri"/>
          <w:szCs w:val="24"/>
        </w:rPr>
        <w:t>especially for nonsevere mental disorders</w:t>
      </w:r>
      <w:r>
        <w:rPr>
          <w:rFonts w:ascii="Calibri" w:hAnsi="Calibri" w:cs="Calibri"/>
          <w:szCs w:val="24"/>
        </w:rPr>
        <w:t>)</w:t>
      </w:r>
      <w:r w:rsidRPr="00755F09">
        <w:rPr>
          <w:rFonts w:ascii="Calibri" w:hAnsi="Calibri" w:cs="Calibri"/>
          <w:szCs w:val="24"/>
        </w:rPr>
        <w:t>, and low quality of mental health services. Further</w:t>
      </w:r>
      <w:r>
        <w:rPr>
          <w:rFonts w:ascii="Calibri" w:hAnsi="Calibri" w:cs="Calibri"/>
          <w:szCs w:val="24"/>
        </w:rPr>
        <w:t>more</w:t>
      </w:r>
      <w:r w:rsidRPr="00755F09">
        <w:rPr>
          <w:rFonts w:ascii="Calibri" w:hAnsi="Calibri" w:cs="Calibri"/>
          <w:szCs w:val="24"/>
        </w:rPr>
        <w:t>, the weak capacity of the primary care system is a barrier to effective control of NCDs, including mental illness.</w:t>
      </w:r>
    </w:p>
    <w:p w14:paraId="76F661BD" w14:textId="77777777" w:rsidR="00B656F6" w:rsidRPr="00755F09" w:rsidRDefault="00B656F6" w:rsidP="00B656F6">
      <w:pPr>
        <w:rPr>
          <w:rFonts w:ascii="Calibri" w:hAnsi="Calibri" w:cs="Calibri"/>
          <w:szCs w:val="24"/>
        </w:rPr>
      </w:pPr>
      <w:r w:rsidRPr="00755F09">
        <w:rPr>
          <w:rFonts w:ascii="Calibri" w:hAnsi="Calibri" w:cs="Calibri"/>
          <w:szCs w:val="24"/>
        </w:rPr>
        <w:t>Fourth, China faces many obstacles to expanding access to health services while also providing financial protection. The Chinese government has increased its investment in health significantly in its 12th five-year plan. During 2011</w:t>
      </w:r>
      <w:r>
        <w:rPr>
          <w:rFonts w:ascii="Calibri" w:hAnsi="Calibri" w:cs="Calibri"/>
          <w:szCs w:val="24"/>
        </w:rPr>
        <w:t>–</w:t>
      </w:r>
      <w:r w:rsidRPr="00755F09">
        <w:rPr>
          <w:rFonts w:ascii="Calibri" w:hAnsi="Calibri" w:cs="Calibri"/>
          <w:szCs w:val="24"/>
        </w:rPr>
        <w:t>2016, the average annual increase in the rate of government expenditure on health was 17</w:t>
      </w:r>
      <w:r>
        <w:rPr>
          <w:rFonts w:ascii="Calibri" w:hAnsi="Calibri" w:cs="Calibri"/>
          <w:szCs w:val="24"/>
        </w:rPr>
        <w:t>.</w:t>
      </w:r>
      <w:r w:rsidRPr="00755F09">
        <w:rPr>
          <w:rFonts w:ascii="Calibri" w:hAnsi="Calibri" w:cs="Calibri"/>
          <w:szCs w:val="24"/>
        </w:rPr>
        <w:t>3%</w:t>
      </w:r>
      <w:r>
        <w:rPr>
          <w:rFonts w:ascii="Calibri" w:hAnsi="Calibri" w:cs="Calibri"/>
          <w:szCs w:val="24"/>
        </w:rPr>
        <w:t xml:space="preserve"> [</w:t>
      </w:r>
      <w:r w:rsidRPr="00755F09">
        <w:rPr>
          <w:rFonts w:ascii="Calibri" w:hAnsi="Calibri" w:cs="Calibri"/>
          <w:szCs w:val="24"/>
        </w:rPr>
        <w:fldChar w:fldCharType="begin"/>
      </w:r>
      <w:r w:rsidRPr="00755F09">
        <w:rPr>
          <w:rFonts w:ascii="Calibri" w:hAnsi="Calibri" w:cs="Calibri"/>
          <w:szCs w:val="24"/>
        </w:rPr>
        <w:instrText xml:space="preserve"> REF _Ref522816471 \r  \* MERGEFORMAT </w:instrText>
      </w:r>
      <w:r w:rsidRPr="00755F09">
        <w:rPr>
          <w:rFonts w:ascii="Calibri" w:hAnsi="Calibri" w:cs="Calibri"/>
          <w:szCs w:val="24"/>
        </w:rPr>
        <w:fldChar w:fldCharType="separate"/>
      </w:r>
      <w:r>
        <w:rPr>
          <w:rFonts w:ascii="Calibri" w:hAnsi="Calibri" w:cs="Calibri"/>
          <w:szCs w:val="24"/>
        </w:rPr>
        <w:t>3</w:t>
      </w:r>
      <w:r w:rsidRPr="00755F09">
        <w:rPr>
          <w:rFonts w:ascii="Calibri" w:hAnsi="Calibri" w:cs="Calibri"/>
          <w:szCs w:val="24"/>
        </w:rPr>
        <w:fldChar w:fldCharType="end"/>
      </w:r>
      <w:r w:rsidRPr="00755F09">
        <w:rPr>
          <w:rFonts w:ascii="Calibri" w:hAnsi="Calibri" w:cs="Calibri"/>
          <w:szCs w:val="24"/>
        </w:rPr>
        <w:t xml:space="preserve">], much faster than the economic growth rate. As a result, access to essential health services has improved in recent years. OOP, as a percentage of total health expenditure, </w:t>
      </w:r>
      <w:r>
        <w:rPr>
          <w:rFonts w:ascii="Calibri" w:hAnsi="Calibri" w:cs="Calibri"/>
          <w:szCs w:val="24"/>
        </w:rPr>
        <w:t>has</w:t>
      </w:r>
      <w:r w:rsidRPr="00755F09">
        <w:rPr>
          <w:rFonts w:ascii="Calibri" w:hAnsi="Calibri" w:cs="Calibri"/>
          <w:szCs w:val="24"/>
        </w:rPr>
        <w:t xml:space="preserve"> declined significantly in recent years. Nevertheless, in 2016, THE accounted for 6</w:t>
      </w:r>
      <w:r>
        <w:rPr>
          <w:rFonts w:ascii="Calibri" w:hAnsi="Calibri" w:cs="Calibri"/>
          <w:szCs w:val="24"/>
        </w:rPr>
        <w:t>.</w:t>
      </w:r>
      <w:r w:rsidRPr="00755F09">
        <w:rPr>
          <w:rFonts w:ascii="Calibri" w:hAnsi="Calibri" w:cs="Calibri"/>
          <w:szCs w:val="24"/>
        </w:rPr>
        <w:t>2% of GDP in China, of which 28</w:t>
      </w:r>
      <w:r>
        <w:rPr>
          <w:rFonts w:ascii="Calibri" w:hAnsi="Calibri" w:cs="Calibri"/>
          <w:szCs w:val="24"/>
        </w:rPr>
        <w:t>.</w:t>
      </w:r>
      <w:r w:rsidRPr="00755F09">
        <w:rPr>
          <w:rFonts w:ascii="Calibri" w:hAnsi="Calibri" w:cs="Calibri"/>
          <w:szCs w:val="24"/>
        </w:rPr>
        <w:t>8% was still paid for by OOP costs</w:t>
      </w:r>
      <w:r>
        <w:rPr>
          <w:rFonts w:ascii="Calibri" w:hAnsi="Calibri" w:cs="Calibri"/>
          <w:szCs w:val="24"/>
        </w:rPr>
        <w:t xml:space="preserve"> [</w:t>
      </w:r>
      <w:r w:rsidRPr="00755F09">
        <w:rPr>
          <w:rFonts w:ascii="Calibri" w:hAnsi="Calibri" w:cs="Calibri"/>
          <w:szCs w:val="24"/>
        </w:rPr>
        <w:fldChar w:fldCharType="begin"/>
      </w:r>
      <w:r w:rsidRPr="00755F09">
        <w:rPr>
          <w:rFonts w:ascii="Calibri" w:hAnsi="Calibri" w:cs="Calibri"/>
          <w:szCs w:val="24"/>
        </w:rPr>
        <w:instrText xml:space="preserve"> REF _Ref522816471 \r  \* MERGEFORMAT </w:instrText>
      </w:r>
      <w:r w:rsidRPr="00755F09">
        <w:rPr>
          <w:rFonts w:ascii="Calibri" w:hAnsi="Calibri" w:cs="Calibri"/>
          <w:szCs w:val="24"/>
        </w:rPr>
        <w:fldChar w:fldCharType="separate"/>
      </w:r>
      <w:r>
        <w:rPr>
          <w:rFonts w:ascii="Calibri" w:hAnsi="Calibri" w:cs="Calibri"/>
          <w:szCs w:val="24"/>
        </w:rPr>
        <w:t>3</w:t>
      </w:r>
      <w:r w:rsidRPr="00755F09">
        <w:rPr>
          <w:rFonts w:ascii="Calibri" w:hAnsi="Calibri" w:cs="Calibri"/>
          <w:szCs w:val="24"/>
        </w:rPr>
        <w:fldChar w:fldCharType="end"/>
      </w:r>
      <w:r w:rsidRPr="00755F09">
        <w:rPr>
          <w:rFonts w:ascii="Calibri" w:hAnsi="Calibri" w:cs="Calibri"/>
          <w:szCs w:val="24"/>
        </w:rPr>
        <w:t>]. Healthcare costs are rising rapidly: THE increased from USD 55 billion in 2000 to USD 658 billion in 2015</w:t>
      </w:r>
      <w:r>
        <w:rPr>
          <w:rFonts w:ascii="Calibri" w:hAnsi="Calibri" w:cs="Calibri"/>
          <w:szCs w:val="24"/>
        </w:rPr>
        <w:t xml:space="preserve"> [</w:t>
      </w:r>
      <w:r w:rsidRPr="00755F09">
        <w:rPr>
          <w:rFonts w:ascii="Calibri" w:hAnsi="Calibri" w:cs="Calibri"/>
          <w:szCs w:val="24"/>
        </w:rPr>
        <w:fldChar w:fldCharType="begin"/>
      </w:r>
      <w:r w:rsidRPr="00755F09">
        <w:rPr>
          <w:rFonts w:ascii="Calibri" w:hAnsi="Calibri" w:cs="Calibri"/>
          <w:szCs w:val="24"/>
        </w:rPr>
        <w:instrText xml:space="preserve"> REF _Ref522816471 \r \h  \* MERGEFORMAT </w:instrText>
      </w:r>
      <w:r w:rsidRPr="00755F09">
        <w:rPr>
          <w:rFonts w:ascii="Calibri" w:hAnsi="Calibri" w:cs="Calibri"/>
          <w:szCs w:val="24"/>
        </w:rPr>
      </w:r>
      <w:r w:rsidRPr="00755F09">
        <w:rPr>
          <w:rFonts w:ascii="Calibri" w:hAnsi="Calibri" w:cs="Calibri"/>
          <w:szCs w:val="24"/>
        </w:rPr>
        <w:fldChar w:fldCharType="separate"/>
      </w:r>
      <w:r>
        <w:rPr>
          <w:rFonts w:ascii="Calibri" w:hAnsi="Calibri" w:cs="Calibri"/>
          <w:szCs w:val="24"/>
        </w:rPr>
        <w:t>3</w:t>
      </w:r>
      <w:r w:rsidRPr="00755F09">
        <w:rPr>
          <w:rFonts w:ascii="Calibri" w:hAnsi="Calibri" w:cs="Calibri"/>
          <w:szCs w:val="24"/>
        </w:rPr>
        <w:fldChar w:fldCharType="end"/>
      </w:r>
      <w:r w:rsidRPr="00755F09">
        <w:rPr>
          <w:rFonts w:ascii="Calibri" w:hAnsi="Calibri" w:cs="Calibri"/>
          <w:szCs w:val="24"/>
        </w:rPr>
        <w:t>]. However, about 70% of th</w:t>
      </w:r>
      <w:r>
        <w:rPr>
          <w:rFonts w:ascii="Calibri" w:hAnsi="Calibri" w:cs="Calibri"/>
          <w:szCs w:val="24"/>
        </w:rPr>
        <w:t>is</w:t>
      </w:r>
      <w:r w:rsidRPr="00755F09">
        <w:rPr>
          <w:rFonts w:ascii="Calibri" w:hAnsi="Calibri" w:cs="Calibri"/>
          <w:szCs w:val="24"/>
        </w:rPr>
        <w:t xml:space="preserve"> was spent on treatments</w:t>
      </w:r>
      <w:r>
        <w:rPr>
          <w:rFonts w:ascii="Calibri" w:hAnsi="Calibri" w:cs="Calibri"/>
          <w:szCs w:val="24"/>
        </w:rPr>
        <w:t>,</w:t>
      </w:r>
      <w:r w:rsidRPr="00755F09">
        <w:rPr>
          <w:rFonts w:ascii="Calibri" w:hAnsi="Calibri" w:cs="Calibri"/>
          <w:szCs w:val="24"/>
        </w:rPr>
        <w:t xml:space="preserve"> </w:t>
      </w:r>
      <w:r>
        <w:rPr>
          <w:rFonts w:ascii="Calibri" w:hAnsi="Calibri" w:cs="Calibri"/>
          <w:szCs w:val="24"/>
        </w:rPr>
        <w:t>whereas</w:t>
      </w:r>
      <w:r w:rsidRPr="00755F09">
        <w:rPr>
          <w:rFonts w:ascii="Calibri" w:hAnsi="Calibri" w:cs="Calibri"/>
          <w:szCs w:val="24"/>
        </w:rPr>
        <w:t xml:space="preserve"> only slightly over 5% was invested on public health programs in 2015</w:t>
      </w:r>
      <w:r>
        <w:rPr>
          <w:rFonts w:ascii="Calibri" w:hAnsi="Calibri" w:cs="Calibri"/>
          <w:szCs w:val="24"/>
        </w:rPr>
        <w:t xml:space="preserve"> [</w:t>
      </w:r>
      <w:r w:rsidRPr="00755F09">
        <w:rPr>
          <w:rFonts w:ascii="Calibri" w:hAnsi="Calibri" w:cs="Calibri"/>
          <w:szCs w:val="24"/>
        </w:rPr>
        <w:fldChar w:fldCharType="begin"/>
      </w:r>
      <w:r w:rsidRPr="00755F09">
        <w:rPr>
          <w:rFonts w:ascii="Calibri" w:hAnsi="Calibri" w:cs="Calibri"/>
          <w:szCs w:val="24"/>
        </w:rPr>
        <w:instrText xml:space="preserve"> REF _Ref522816471 \r \h  \* MERGEFORMAT </w:instrText>
      </w:r>
      <w:r w:rsidRPr="00755F09">
        <w:rPr>
          <w:rFonts w:ascii="Calibri" w:hAnsi="Calibri" w:cs="Calibri"/>
          <w:szCs w:val="24"/>
        </w:rPr>
      </w:r>
      <w:r w:rsidRPr="00755F09">
        <w:rPr>
          <w:rFonts w:ascii="Calibri" w:hAnsi="Calibri" w:cs="Calibri"/>
          <w:szCs w:val="24"/>
        </w:rPr>
        <w:fldChar w:fldCharType="separate"/>
      </w:r>
      <w:r>
        <w:rPr>
          <w:rFonts w:ascii="Calibri" w:hAnsi="Calibri" w:cs="Calibri"/>
          <w:szCs w:val="24"/>
        </w:rPr>
        <w:t>3</w:t>
      </w:r>
      <w:r w:rsidRPr="00755F09">
        <w:rPr>
          <w:rFonts w:ascii="Calibri" w:hAnsi="Calibri" w:cs="Calibri"/>
          <w:szCs w:val="24"/>
        </w:rPr>
        <w:fldChar w:fldCharType="end"/>
      </w:r>
      <w:r w:rsidRPr="00755F09">
        <w:rPr>
          <w:rFonts w:ascii="Calibri" w:hAnsi="Calibri" w:cs="Calibri"/>
          <w:szCs w:val="24"/>
        </w:rPr>
        <w:t xml:space="preserve">]. Our study found that effective reimbursement rates by health insurance schemes were between 55% and 35%: the highest rate was offered by the urban employee basic health insurance (UEBHI), and the lowest rate </w:t>
      </w:r>
      <w:r>
        <w:rPr>
          <w:rFonts w:ascii="Calibri" w:hAnsi="Calibri" w:cs="Calibri"/>
          <w:szCs w:val="24"/>
        </w:rPr>
        <w:t xml:space="preserve">was offered </w:t>
      </w:r>
      <w:r w:rsidRPr="00755F09">
        <w:rPr>
          <w:rFonts w:ascii="Calibri" w:hAnsi="Calibri" w:cs="Calibri"/>
          <w:szCs w:val="24"/>
        </w:rPr>
        <w:t>by the new rural cooperative medical scheme (NRCMS). The reimbursement for inpatient service expenses had declined for the UEB</w:t>
      </w:r>
      <w:r>
        <w:rPr>
          <w:rFonts w:ascii="Calibri" w:hAnsi="Calibri" w:cs="Calibri"/>
          <w:szCs w:val="24"/>
        </w:rPr>
        <w:t>H</w:t>
      </w:r>
      <w:r w:rsidRPr="00755F09">
        <w:rPr>
          <w:rFonts w:ascii="Calibri" w:hAnsi="Calibri" w:cs="Calibri"/>
          <w:szCs w:val="24"/>
        </w:rPr>
        <w:t>I and NRCMS from 2013 to 2015. Consequently, the financial burden of healthcare placed on service users, particularly the poor in rural areas, remains very high, and the percentage of households with catastrophic health expenditure in the rural areas has increased for the people at the lowest income quintile</w:t>
      </w:r>
      <w:r>
        <w:rPr>
          <w:rFonts w:ascii="Calibri" w:hAnsi="Calibri" w:cs="Calibri"/>
          <w:szCs w:val="24"/>
        </w:rPr>
        <w:t xml:space="preserve"> [</w:t>
      </w:r>
      <w:r w:rsidRPr="00755F09">
        <w:rPr>
          <w:rFonts w:ascii="Calibri" w:hAnsi="Calibri" w:cs="Calibri"/>
          <w:szCs w:val="24"/>
        </w:rPr>
        <w:fldChar w:fldCharType="begin"/>
      </w:r>
      <w:r w:rsidRPr="00755F09">
        <w:rPr>
          <w:rFonts w:ascii="Calibri" w:hAnsi="Calibri" w:cs="Calibri"/>
          <w:szCs w:val="24"/>
        </w:rPr>
        <w:instrText xml:space="preserve"> REF _Ref18950532 \r  \* MERGEFORMAT </w:instrText>
      </w:r>
      <w:r w:rsidRPr="00755F09">
        <w:rPr>
          <w:rFonts w:ascii="Calibri" w:hAnsi="Calibri" w:cs="Calibri"/>
          <w:szCs w:val="24"/>
        </w:rPr>
        <w:fldChar w:fldCharType="separate"/>
      </w:r>
      <w:r>
        <w:rPr>
          <w:rFonts w:ascii="Calibri" w:hAnsi="Calibri" w:cs="Calibri"/>
          <w:szCs w:val="24"/>
        </w:rPr>
        <w:t>16</w:t>
      </w:r>
      <w:r w:rsidRPr="00755F09">
        <w:rPr>
          <w:rFonts w:ascii="Calibri" w:hAnsi="Calibri" w:cs="Calibri"/>
          <w:szCs w:val="24"/>
        </w:rPr>
        <w:fldChar w:fldCharType="end"/>
      </w:r>
      <w:r w:rsidRPr="00755F09">
        <w:rPr>
          <w:rFonts w:ascii="Calibri" w:hAnsi="Calibri" w:cs="Calibri"/>
          <w:szCs w:val="24"/>
        </w:rPr>
        <w:t>].</w:t>
      </w:r>
    </w:p>
    <w:p w14:paraId="651074BD" w14:textId="77777777" w:rsidR="00B656F6" w:rsidRPr="00755F09" w:rsidRDefault="00B656F6" w:rsidP="00B656F6">
      <w:pPr>
        <w:rPr>
          <w:rFonts w:ascii="Calibri" w:hAnsi="Calibri" w:cs="Calibri"/>
          <w:szCs w:val="24"/>
        </w:rPr>
      </w:pPr>
      <w:r w:rsidRPr="00755F09">
        <w:rPr>
          <w:rFonts w:ascii="Calibri" w:hAnsi="Calibri" w:cs="Calibri"/>
          <w:szCs w:val="24"/>
        </w:rPr>
        <w:t>Fifth, a major challenge China faces is huge regional health disparities: on most indicators, the eastern provinces have much better health status and healthcare than the central and western provinces (except for child overweight, NCD risk factor indicators</w:t>
      </w:r>
      <w:r>
        <w:rPr>
          <w:rFonts w:ascii="Calibri" w:hAnsi="Calibri" w:cs="Calibri"/>
          <w:szCs w:val="24"/>
        </w:rPr>
        <w:t>,</w:t>
      </w:r>
      <w:r w:rsidRPr="00755F09">
        <w:rPr>
          <w:rFonts w:ascii="Calibri" w:hAnsi="Calibri" w:cs="Calibri"/>
          <w:szCs w:val="24"/>
        </w:rPr>
        <w:t xml:space="preserve"> and environmental exposures indicators). Our study estimates that two-thirds of provinces will not have achieved half of 28 health-related SDG indicators by 2030.</w:t>
      </w:r>
    </w:p>
    <w:p w14:paraId="435B51D9" w14:textId="77777777" w:rsidR="00B656F6" w:rsidRPr="00755F09" w:rsidRDefault="00B656F6" w:rsidP="00B656F6">
      <w:pPr>
        <w:rPr>
          <w:rFonts w:ascii="Calibri" w:hAnsi="Calibri" w:cs="Calibri"/>
          <w:szCs w:val="24"/>
        </w:rPr>
      </w:pPr>
      <w:r w:rsidRPr="00755F09">
        <w:rPr>
          <w:rFonts w:ascii="Calibri" w:hAnsi="Calibri" w:cs="Calibri"/>
          <w:szCs w:val="24"/>
        </w:rPr>
        <w:t>A final but grand challenge that China urgently needs to tackle in the upcoming decades is the rapid</w:t>
      </w:r>
      <w:r>
        <w:rPr>
          <w:rFonts w:ascii="Calibri" w:hAnsi="Calibri" w:cs="Calibri"/>
          <w:szCs w:val="24"/>
        </w:rPr>
        <w:t>ly</w:t>
      </w:r>
      <w:r w:rsidRPr="00755F09">
        <w:rPr>
          <w:rFonts w:ascii="Calibri" w:hAnsi="Calibri" w:cs="Calibri"/>
          <w:szCs w:val="24"/>
        </w:rPr>
        <w:t xml:space="preserve"> aging population, which will place additional demands on the health system. China has the largest aging population in the world. In 2017, </w:t>
      </w:r>
      <w:r>
        <w:rPr>
          <w:rFonts w:ascii="Calibri" w:hAnsi="Calibri" w:cs="Calibri"/>
          <w:szCs w:val="24"/>
        </w:rPr>
        <w:t xml:space="preserve">there were </w:t>
      </w:r>
      <w:r w:rsidRPr="00755F09">
        <w:rPr>
          <w:rFonts w:ascii="Calibri" w:hAnsi="Calibri" w:cs="Calibri"/>
          <w:szCs w:val="24"/>
        </w:rPr>
        <w:t>over 228 million people aged over 60 years in China</w:t>
      </w:r>
      <w:r>
        <w:rPr>
          <w:rFonts w:ascii="Calibri" w:hAnsi="Calibri" w:cs="Calibri"/>
          <w:szCs w:val="24"/>
        </w:rPr>
        <w:t>,</w:t>
      </w:r>
      <w:r w:rsidRPr="00755F09">
        <w:rPr>
          <w:rFonts w:ascii="Calibri" w:hAnsi="Calibri" w:cs="Calibri"/>
          <w:szCs w:val="24"/>
        </w:rPr>
        <w:t xml:space="preserve"> and the number is projected to double by 2050</w:t>
      </w:r>
      <w:r>
        <w:rPr>
          <w:rFonts w:ascii="Calibri" w:hAnsi="Calibri" w:cs="Calibri"/>
          <w:szCs w:val="24"/>
        </w:rPr>
        <w:t xml:space="preserve"> [</w:t>
      </w:r>
      <w:r w:rsidRPr="00755F09">
        <w:rPr>
          <w:rFonts w:ascii="Calibri" w:hAnsi="Calibri" w:cs="Calibri"/>
          <w:szCs w:val="24"/>
        </w:rPr>
        <w:fldChar w:fldCharType="begin"/>
      </w:r>
      <w:r w:rsidRPr="00755F09">
        <w:rPr>
          <w:rFonts w:ascii="Calibri" w:hAnsi="Calibri" w:cs="Calibri"/>
          <w:szCs w:val="24"/>
        </w:rPr>
        <w:instrText xml:space="preserve"> REF _Ref18948511 \r  \* MERGEFORMAT </w:instrText>
      </w:r>
      <w:r w:rsidRPr="00755F09">
        <w:rPr>
          <w:rFonts w:ascii="Calibri" w:hAnsi="Calibri" w:cs="Calibri"/>
          <w:szCs w:val="24"/>
        </w:rPr>
        <w:fldChar w:fldCharType="separate"/>
      </w:r>
      <w:r>
        <w:rPr>
          <w:rFonts w:ascii="Calibri" w:hAnsi="Calibri" w:cs="Calibri"/>
          <w:szCs w:val="24"/>
        </w:rPr>
        <w:t>40</w:t>
      </w:r>
      <w:r w:rsidRPr="00755F09">
        <w:rPr>
          <w:rFonts w:ascii="Calibri" w:hAnsi="Calibri" w:cs="Calibri"/>
          <w:szCs w:val="24"/>
        </w:rPr>
        <w:fldChar w:fldCharType="end"/>
      </w:r>
      <w:r w:rsidRPr="00755F09">
        <w:rPr>
          <w:rFonts w:ascii="Calibri" w:hAnsi="Calibri" w:cs="Calibri"/>
          <w:szCs w:val="24"/>
        </w:rPr>
        <w:t>]. The number of those aged 80 years and above is estimated to quadruple over the next 30 years, increasing from 22.6 million in 2013 to 90.4 million in 2050</w:t>
      </w:r>
      <w:r>
        <w:rPr>
          <w:rFonts w:ascii="Calibri" w:hAnsi="Calibri" w:cs="Calibri"/>
          <w:szCs w:val="24"/>
        </w:rPr>
        <w:t xml:space="preserve"> [</w:t>
      </w:r>
      <w:r w:rsidRPr="00755F09">
        <w:rPr>
          <w:rFonts w:ascii="Calibri" w:hAnsi="Calibri" w:cs="Calibri"/>
          <w:szCs w:val="24"/>
        </w:rPr>
        <w:fldChar w:fldCharType="begin"/>
      </w:r>
      <w:r w:rsidRPr="00755F09">
        <w:rPr>
          <w:rFonts w:ascii="Calibri" w:hAnsi="Calibri" w:cs="Calibri"/>
          <w:szCs w:val="24"/>
        </w:rPr>
        <w:instrText xml:space="preserve"> REF _Ref18948550 \r  \* MERGEFORMAT </w:instrText>
      </w:r>
      <w:r w:rsidRPr="00755F09">
        <w:rPr>
          <w:rFonts w:ascii="Calibri" w:hAnsi="Calibri" w:cs="Calibri"/>
          <w:szCs w:val="24"/>
        </w:rPr>
        <w:fldChar w:fldCharType="separate"/>
      </w:r>
      <w:r>
        <w:rPr>
          <w:rFonts w:ascii="Calibri" w:hAnsi="Calibri" w:cs="Calibri"/>
          <w:szCs w:val="24"/>
        </w:rPr>
        <w:t>41</w:t>
      </w:r>
      <w:r w:rsidRPr="00755F09">
        <w:rPr>
          <w:rFonts w:ascii="Calibri" w:hAnsi="Calibri" w:cs="Calibri"/>
          <w:szCs w:val="24"/>
        </w:rPr>
        <w:fldChar w:fldCharType="end"/>
      </w:r>
      <w:r w:rsidRPr="00755F09">
        <w:rPr>
          <w:rFonts w:ascii="Calibri" w:hAnsi="Calibri" w:cs="Calibri"/>
          <w:szCs w:val="24"/>
        </w:rPr>
        <w:t>]. The rural</w:t>
      </w:r>
      <w:r>
        <w:rPr>
          <w:rFonts w:ascii="Calibri" w:hAnsi="Calibri" w:cs="Calibri"/>
          <w:szCs w:val="24"/>
        </w:rPr>
        <w:t>–</w:t>
      </w:r>
      <w:r w:rsidRPr="00755F09">
        <w:rPr>
          <w:rFonts w:ascii="Calibri" w:hAnsi="Calibri" w:cs="Calibri"/>
          <w:szCs w:val="24"/>
        </w:rPr>
        <w:t>urban migration due to urbanization further contributes to rapid aging in rural areas</w:t>
      </w:r>
      <w:r>
        <w:rPr>
          <w:rFonts w:ascii="Calibri" w:hAnsi="Calibri" w:cs="Calibri"/>
          <w:szCs w:val="24"/>
        </w:rPr>
        <w:t xml:space="preserve"> [</w:t>
      </w:r>
      <w:r w:rsidRPr="00755F09">
        <w:rPr>
          <w:rFonts w:ascii="Calibri" w:hAnsi="Calibri" w:cs="Calibri"/>
          <w:szCs w:val="24"/>
        </w:rPr>
        <w:fldChar w:fldCharType="begin"/>
      </w:r>
      <w:r w:rsidRPr="00755F09">
        <w:rPr>
          <w:rFonts w:ascii="Calibri" w:hAnsi="Calibri" w:cs="Calibri"/>
          <w:szCs w:val="24"/>
        </w:rPr>
        <w:instrText xml:space="preserve"> REF _Ref18948787 \r  \* MERGEFORMAT </w:instrText>
      </w:r>
      <w:r w:rsidRPr="00755F09">
        <w:rPr>
          <w:rFonts w:ascii="Calibri" w:hAnsi="Calibri" w:cs="Calibri"/>
          <w:szCs w:val="24"/>
        </w:rPr>
        <w:fldChar w:fldCharType="separate"/>
      </w:r>
      <w:r>
        <w:rPr>
          <w:rFonts w:ascii="Calibri" w:hAnsi="Calibri" w:cs="Calibri"/>
          <w:szCs w:val="24"/>
        </w:rPr>
        <w:t>42</w:t>
      </w:r>
      <w:r w:rsidRPr="00755F09">
        <w:rPr>
          <w:rFonts w:ascii="Calibri" w:hAnsi="Calibri" w:cs="Calibri"/>
          <w:szCs w:val="24"/>
        </w:rPr>
        <w:fldChar w:fldCharType="end"/>
      </w:r>
      <w:r w:rsidRPr="00755F09">
        <w:rPr>
          <w:rFonts w:ascii="Calibri" w:hAnsi="Calibri" w:cs="Calibri"/>
          <w:szCs w:val="24"/>
        </w:rPr>
        <w:t>]. These dramatic changes in population age structure will lead to a rising burden of age-related diseases, geriatric syndromes, and caregiving, which has profound implications for China’s healthcare system</w:t>
      </w:r>
      <w:r>
        <w:rPr>
          <w:rFonts w:ascii="Calibri" w:hAnsi="Calibri" w:cs="Calibri"/>
          <w:szCs w:val="24"/>
        </w:rPr>
        <w:t>, which</w:t>
      </w:r>
      <w:r w:rsidRPr="00755F09">
        <w:rPr>
          <w:rFonts w:ascii="Calibri" w:hAnsi="Calibri" w:cs="Calibri"/>
          <w:szCs w:val="24"/>
        </w:rPr>
        <w:t xml:space="preserve"> is already facing enormous challenges, such as insufficient allocation of resources and inequalities in availability and accessibility to healthcare services</w:t>
      </w:r>
      <w:r>
        <w:rPr>
          <w:rFonts w:ascii="Calibri" w:hAnsi="Calibri" w:cs="Calibri"/>
          <w:szCs w:val="24"/>
        </w:rPr>
        <w:t xml:space="preserve"> [</w:t>
      </w:r>
      <w:r w:rsidRPr="00755F09">
        <w:rPr>
          <w:rFonts w:ascii="Calibri" w:hAnsi="Calibri" w:cs="Calibri"/>
          <w:szCs w:val="24"/>
        </w:rPr>
        <w:fldChar w:fldCharType="begin"/>
      </w:r>
      <w:r w:rsidRPr="00755F09">
        <w:rPr>
          <w:rFonts w:ascii="Calibri" w:hAnsi="Calibri" w:cs="Calibri"/>
          <w:szCs w:val="24"/>
        </w:rPr>
        <w:instrText xml:space="preserve"> REF _Ref18948348 \r  \* MERGEFORMAT </w:instrText>
      </w:r>
      <w:r w:rsidRPr="00755F09">
        <w:rPr>
          <w:rFonts w:ascii="Calibri" w:hAnsi="Calibri" w:cs="Calibri"/>
          <w:szCs w:val="24"/>
        </w:rPr>
        <w:fldChar w:fldCharType="separate"/>
      </w:r>
      <w:r>
        <w:rPr>
          <w:rFonts w:ascii="Calibri" w:hAnsi="Calibri" w:cs="Calibri"/>
          <w:szCs w:val="24"/>
        </w:rPr>
        <w:t>43</w:t>
      </w:r>
      <w:r w:rsidRPr="00755F09">
        <w:rPr>
          <w:rFonts w:ascii="Calibri" w:hAnsi="Calibri" w:cs="Calibri"/>
          <w:szCs w:val="24"/>
        </w:rPr>
        <w:fldChar w:fldCharType="end"/>
      </w:r>
      <w:r w:rsidRPr="00755F09">
        <w:rPr>
          <w:rFonts w:ascii="Calibri" w:hAnsi="Calibri" w:cs="Calibri"/>
          <w:szCs w:val="24"/>
        </w:rPr>
        <w:t>,</w:t>
      </w:r>
      <w:r w:rsidRPr="00755F09">
        <w:rPr>
          <w:rFonts w:ascii="Calibri" w:hAnsi="Calibri" w:cs="Calibri"/>
          <w:szCs w:val="24"/>
        </w:rPr>
        <w:fldChar w:fldCharType="begin"/>
      </w:r>
      <w:r w:rsidRPr="00755F09">
        <w:rPr>
          <w:rFonts w:ascii="Calibri" w:hAnsi="Calibri" w:cs="Calibri"/>
          <w:szCs w:val="24"/>
        </w:rPr>
        <w:instrText xml:space="preserve"> REF _Ref18948353 \r  \* MERGEFORMAT </w:instrText>
      </w:r>
      <w:r w:rsidRPr="00755F09">
        <w:rPr>
          <w:rFonts w:ascii="Calibri" w:hAnsi="Calibri" w:cs="Calibri"/>
          <w:szCs w:val="24"/>
        </w:rPr>
        <w:fldChar w:fldCharType="separate"/>
      </w:r>
      <w:r>
        <w:rPr>
          <w:rFonts w:ascii="Calibri" w:hAnsi="Calibri" w:cs="Calibri"/>
          <w:szCs w:val="24"/>
        </w:rPr>
        <w:t>44</w:t>
      </w:r>
      <w:r w:rsidRPr="00755F09">
        <w:rPr>
          <w:rFonts w:ascii="Calibri" w:hAnsi="Calibri" w:cs="Calibri"/>
          <w:szCs w:val="24"/>
        </w:rPr>
        <w:fldChar w:fldCharType="end"/>
      </w:r>
      <w:r w:rsidRPr="00755F09">
        <w:rPr>
          <w:rFonts w:ascii="Calibri" w:hAnsi="Calibri" w:cs="Calibri"/>
          <w:szCs w:val="24"/>
        </w:rPr>
        <w:t>]. As an emerging policy and public health priority in China, population aging calls for aligning the health system with the needs of the increasing aging population to provide affordable and high-quality health and long-term care services to achieve healthy aging and UHC.</w:t>
      </w:r>
    </w:p>
    <w:p w14:paraId="215FCDD9" w14:textId="77777777" w:rsidR="00B656F6" w:rsidRPr="00566686" w:rsidRDefault="00B656F6" w:rsidP="00B656F6">
      <w:pPr>
        <w:rPr>
          <w:rFonts w:ascii="Calibri" w:hAnsi="Calibri" w:cs="Calibri"/>
          <w:b/>
          <w:bCs/>
          <w:szCs w:val="24"/>
        </w:rPr>
      </w:pPr>
      <w:r w:rsidRPr="00566686">
        <w:rPr>
          <w:rFonts w:ascii="Calibri" w:hAnsi="Calibri" w:cs="Calibri"/>
          <w:b/>
          <w:bCs/>
          <w:szCs w:val="24"/>
        </w:rPr>
        <w:t>Comparisons with other relevant studies</w:t>
      </w:r>
    </w:p>
    <w:p w14:paraId="7368B367" w14:textId="77777777" w:rsidR="00B656F6" w:rsidRPr="00755F09" w:rsidRDefault="00B656F6" w:rsidP="00B656F6">
      <w:pPr>
        <w:rPr>
          <w:rFonts w:ascii="Calibri" w:hAnsi="Calibri" w:cs="Calibri"/>
          <w:szCs w:val="24"/>
        </w:rPr>
      </w:pPr>
      <w:r w:rsidRPr="00755F09">
        <w:rPr>
          <w:rFonts w:ascii="Calibri" w:hAnsi="Calibri" w:cs="Calibri"/>
          <w:szCs w:val="24"/>
        </w:rPr>
        <w:t>The GBD SDG collaborators team is monitoring global progress toward the health-related SDG indicators and has published results based on findings of the GBD 2015</w:t>
      </w:r>
      <w:r>
        <w:rPr>
          <w:rFonts w:ascii="Calibri" w:hAnsi="Calibri" w:cs="Calibri"/>
          <w:szCs w:val="24"/>
        </w:rPr>
        <w:t xml:space="preserve"> [</w:t>
      </w:r>
      <w:r w:rsidRPr="00755F09">
        <w:rPr>
          <w:rFonts w:ascii="Calibri" w:hAnsi="Calibri" w:cs="Calibri"/>
          <w:szCs w:val="24"/>
        </w:rPr>
        <w:fldChar w:fldCharType="begin"/>
      </w:r>
      <w:r w:rsidRPr="00755F09">
        <w:rPr>
          <w:rFonts w:ascii="Calibri" w:hAnsi="Calibri" w:cs="Calibri"/>
          <w:szCs w:val="24"/>
        </w:rPr>
        <w:instrText xml:space="preserve"> REF _Ref533348862 \r \h  \* MERGEFORMAT </w:instrText>
      </w:r>
      <w:r w:rsidRPr="00755F09">
        <w:rPr>
          <w:rFonts w:ascii="Calibri" w:hAnsi="Calibri" w:cs="Calibri"/>
          <w:szCs w:val="24"/>
        </w:rPr>
      </w:r>
      <w:r w:rsidRPr="00755F09">
        <w:rPr>
          <w:rFonts w:ascii="Calibri" w:hAnsi="Calibri" w:cs="Calibri"/>
          <w:szCs w:val="24"/>
        </w:rPr>
        <w:fldChar w:fldCharType="separate"/>
      </w:r>
      <w:r>
        <w:rPr>
          <w:rFonts w:ascii="Calibri" w:hAnsi="Calibri" w:cs="Calibri"/>
          <w:szCs w:val="24"/>
        </w:rPr>
        <w:t>24</w:t>
      </w:r>
      <w:r w:rsidRPr="00755F09">
        <w:rPr>
          <w:rFonts w:ascii="Calibri" w:hAnsi="Calibri" w:cs="Calibri"/>
          <w:szCs w:val="24"/>
        </w:rPr>
        <w:fldChar w:fldCharType="end"/>
      </w:r>
      <w:r w:rsidRPr="00755F09">
        <w:rPr>
          <w:rFonts w:ascii="Calibri" w:hAnsi="Calibri" w:cs="Calibri"/>
          <w:szCs w:val="24"/>
        </w:rPr>
        <w:t>]</w:t>
      </w:r>
      <w:r>
        <w:rPr>
          <w:rFonts w:ascii="Calibri" w:hAnsi="Calibri" w:cs="Calibri"/>
          <w:szCs w:val="24"/>
        </w:rPr>
        <w:t>,</w:t>
      </w:r>
      <w:r w:rsidRPr="00755F09">
        <w:rPr>
          <w:rFonts w:ascii="Calibri" w:hAnsi="Calibri" w:cs="Calibri"/>
          <w:szCs w:val="24"/>
        </w:rPr>
        <w:t xml:space="preserve"> 2016</w:t>
      </w:r>
      <w:r>
        <w:rPr>
          <w:rFonts w:ascii="Calibri" w:hAnsi="Calibri" w:cs="Calibri"/>
          <w:szCs w:val="24"/>
        </w:rPr>
        <w:t xml:space="preserve"> [</w:t>
      </w:r>
      <w:r w:rsidRPr="00755F09">
        <w:rPr>
          <w:rFonts w:ascii="Calibri" w:hAnsi="Calibri" w:cs="Calibri"/>
          <w:szCs w:val="24"/>
        </w:rPr>
        <w:fldChar w:fldCharType="begin"/>
      </w:r>
      <w:r w:rsidRPr="00755F09">
        <w:rPr>
          <w:rFonts w:ascii="Calibri" w:hAnsi="Calibri" w:cs="Calibri"/>
          <w:szCs w:val="24"/>
        </w:rPr>
        <w:instrText xml:space="preserve"> REF _Ref522900281 \r  \* MERGEFORMAT </w:instrText>
      </w:r>
      <w:r w:rsidRPr="00755F09">
        <w:rPr>
          <w:rFonts w:ascii="Calibri" w:hAnsi="Calibri" w:cs="Calibri"/>
          <w:szCs w:val="24"/>
        </w:rPr>
        <w:fldChar w:fldCharType="separate"/>
      </w:r>
      <w:r>
        <w:rPr>
          <w:rFonts w:ascii="Calibri" w:hAnsi="Calibri" w:cs="Calibri"/>
          <w:szCs w:val="24"/>
        </w:rPr>
        <w:t>23</w:t>
      </w:r>
      <w:r w:rsidRPr="00755F09">
        <w:rPr>
          <w:rFonts w:ascii="Calibri" w:hAnsi="Calibri" w:cs="Calibri"/>
          <w:szCs w:val="24"/>
        </w:rPr>
        <w:fldChar w:fldCharType="end"/>
      </w:r>
      <w:r w:rsidRPr="00755F09">
        <w:rPr>
          <w:rFonts w:ascii="Calibri" w:hAnsi="Calibri" w:cs="Calibri"/>
          <w:szCs w:val="24"/>
        </w:rPr>
        <w:t>]</w:t>
      </w:r>
      <w:r>
        <w:rPr>
          <w:rFonts w:ascii="Calibri" w:hAnsi="Calibri" w:cs="Calibri"/>
          <w:szCs w:val="24"/>
        </w:rPr>
        <w:t>,</w:t>
      </w:r>
      <w:r w:rsidRPr="00755F09">
        <w:rPr>
          <w:rFonts w:ascii="Calibri" w:hAnsi="Calibri" w:cs="Calibri"/>
          <w:szCs w:val="24"/>
        </w:rPr>
        <w:t xml:space="preserve"> and 2017 studies</w:t>
      </w:r>
      <w:r>
        <w:rPr>
          <w:rFonts w:ascii="Calibri" w:hAnsi="Calibri" w:cs="Calibri"/>
          <w:szCs w:val="24"/>
        </w:rPr>
        <w:t xml:space="preserve"> [</w:t>
      </w:r>
      <w:r w:rsidRPr="00755F09">
        <w:rPr>
          <w:rFonts w:ascii="Calibri" w:hAnsi="Calibri" w:cs="Calibri"/>
          <w:szCs w:val="24"/>
        </w:rPr>
        <w:fldChar w:fldCharType="begin"/>
      </w:r>
      <w:r w:rsidRPr="00755F09">
        <w:rPr>
          <w:rFonts w:ascii="Calibri" w:hAnsi="Calibri" w:cs="Calibri"/>
          <w:szCs w:val="24"/>
        </w:rPr>
        <w:instrText xml:space="preserve"> REF _Ref522894910 \r  \* MERGEFORMAT </w:instrText>
      </w:r>
      <w:r w:rsidRPr="00755F09">
        <w:rPr>
          <w:rFonts w:ascii="Calibri" w:hAnsi="Calibri" w:cs="Calibri"/>
          <w:szCs w:val="24"/>
        </w:rPr>
        <w:fldChar w:fldCharType="separate"/>
      </w:r>
      <w:r>
        <w:rPr>
          <w:rFonts w:ascii="Calibri" w:hAnsi="Calibri" w:cs="Calibri"/>
          <w:szCs w:val="24"/>
        </w:rPr>
        <w:t>10</w:t>
      </w:r>
      <w:r w:rsidRPr="00755F09">
        <w:rPr>
          <w:rFonts w:ascii="Calibri" w:hAnsi="Calibri" w:cs="Calibri"/>
          <w:szCs w:val="24"/>
        </w:rPr>
        <w:fldChar w:fldCharType="end"/>
      </w:r>
      <w:r w:rsidRPr="00755F09">
        <w:rPr>
          <w:rFonts w:ascii="Calibri" w:hAnsi="Calibri" w:cs="Calibri"/>
          <w:szCs w:val="24"/>
        </w:rPr>
        <w:t xml:space="preserve">]. Over the past </w:t>
      </w:r>
      <w:r>
        <w:rPr>
          <w:rFonts w:ascii="Calibri" w:hAnsi="Calibri" w:cs="Calibri"/>
          <w:szCs w:val="24"/>
        </w:rPr>
        <w:t>3</w:t>
      </w:r>
      <w:r w:rsidRPr="00755F09">
        <w:rPr>
          <w:rFonts w:ascii="Calibri" w:hAnsi="Calibri" w:cs="Calibri"/>
          <w:szCs w:val="24"/>
        </w:rPr>
        <w:t xml:space="preserve"> years, the team has updated the indicators and refined GBD data estimates and its scaling and forecasting methodology. Their recently published study provided subnational and sex disparities analysis</w:t>
      </w:r>
      <w:r>
        <w:rPr>
          <w:rFonts w:ascii="Calibri" w:hAnsi="Calibri" w:cs="Calibri"/>
          <w:szCs w:val="24"/>
        </w:rPr>
        <w:t xml:space="preserve"> [</w:t>
      </w:r>
      <w:r w:rsidRPr="00755F09">
        <w:rPr>
          <w:rFonts w:ascii="Calibri" w:hAnsi="Calibri" w:cs="Calibri"/>
          <w:szCs w:val="24"/>
        </w:rPr>
        <w:fldChar w:fldCharType="begin"/>
      </w:r>
      <w:r w:rsidRPr="00755F09">
        <w:rPr>
          <w:rFonts w:ascii="Calibri" w:hAnsi="Calibri" w:cs="Calibri"/>
          <w:szCs w:val="24"/>
        </w:rPr>
        <w:instrText xml:space="preserve"> REF _Ref533029901 \r \h  \* MERGEFORMAT </w:instrText>
      </w:r>
      <w:r w:rsidRPr="00755F09">
        <w:rPr>
          <w:rFonts w:ascii="Calibri" w:hAnsi="Calibri" w:cs="Calibri"/>
          <w:szCs w:val="24"/>
        </w:rPr>
      </w:r>
      <w:r w:rsidRPr="00755F09">
        <w:rPr>
          <w:rFonts w:ascii="Calibri" w:hAnsi="Calibri" w:cs="Calibri"/>
          <w:szCs w:val="24"/>
        </w:rPr>
        <w:fldChar w:fldCharType="separate"/>
      </w:r>
      <w:r>
        <w:rPr>
          <w:rFonts w:ascii="Calibri" w:hAnsi="Calibri" w:cs="Calibri"/>
          <w:szCs w:val="24"/>
        </w:rPr>
        <w:t>10</w:t>
      </w:r>
      <w:r w:rsidRPr="00755F09">
        <w:rPr>
          <w:rFonts w:ascii="Calibri" w:hAnsi="Calibri" w:cs="Calibri"/>
          <w:szCs w:val="24"/>
        </w:rPr>
        <w:fldChar w:fldCharType="end"/>
      </w:r>
      <w:r w:rsidRPr="00755F09">
        <w:rPr>
          <w:rFonts w:ascii="Calibri" w:hAnsi="Calibri" w:cs="Calibri"/>
          <w:szCs w:val="24"/>
        </w:rPr>
        <w:t xml:space="preserve">]. Through using GBD 2016 data and a similar projection model, we developed </w:t>
      </w:r>
      <w:r>
        <w:rPr>
          <w:rFonts w:ascii="Calibri" w:hAnsi="Calibri" w:cs="Calibri"/>
          <w:szCs w:val="24"/>
        </w:rPr>
        <w:t xml:space="preserve">a </w:t>
      </w:r>
      <w:r w:rsidRPr="00755F09">
        <w:rPr>
          <w:rFonts w:ascii="Calibri" w:hAnsi="Calibri" w:cs="Calibri"/>
          <w:szCs w:val="24"/>
        </w:rPr>
        <w:t>new scaling methodology to set the worst value observed in 1990</w:t>
      </w:r>
      <w:r>
        <w:rPr>
          <w:rFonts w:ascii="Calibri" w:hAnsi="Calibri" w:cs="Calibri"/>
          <w:szCs w:val="24"/>
        </w:rPr>
        <w:t>–</w:t>
      </w:r>
      <w:r w:rsidRPr="00755F09">
        <w:rPr>
          <w:rFonts w:ascii="Calibri" w:hAnsi="Calibri" w:cs="Calibri"/>
          <w:szCs w:val="24"/>
        </w:rPr>
        <w:t>2015 as zero after teasing out outliers and the SDG targets value as 100. The scaled scores imply how far one indicator is from the SDG target in a specific year.</w:t>
      </w:r>
    </w:p>
    <w:p w14:paraId="12B771C1" w14:textId="77777777" w:rsidR="00B656F6" w:rsidRPr="00755F09" w:rsidRDefault="00B656F6" w:rsidP="00B656F6">
      <w:pPr>
        <w:rPr>
          <w:rFonts w:ascii="Calibri" w:hAnsi="Calibri" w:cs="Calibri"/>
          <w:szCs w:val="24"/>
        </w:rPr>
      </w:pPr>
      <w:r w:rsidRPr="00755F09">
        <w:rPr>
          <w:rFonts w:ascii="Calibri" w:hAnsi="Calibri" w:cs="Calibri"/>
          <w:szCs w:val="24"/>
        </w:rPr>
        <w:t>The findings related to SDG target attainment are consistent for most of the indicators between this study and the recent study published by the GBD 2017 SDG collaborators (SDG GBD 2017 study)</w:t>
      </w:r>
      <w:r>
        <w:rPr>
          <w:rFonts w:ascii="Calibri" w:hAnsi="Calibri" w:cs="Calibri"/>
          <w:szCs w:val="24"/>
        </w:rPr>
        <w:t xml:space="preserve"> [</w:t>
      </w:r>
      <w:r w:rsidRPr="00755F09">
        <w:rPr>
          <w:rFonts w:ascii="Calibri" w:hAnsi="Calibri" w:cs="Calibri"/>
          <w:szCs w:val="24"/>
        </w:rPr>
        <w:fldChar w:fldCharType="begin"/>
      </w:r>
      <w:r w:rsidRPr="00755F09">
        <w:rPr>
          <w:rFonts w:ascii="Calibri" w:hAnsi="Calibri" w:cs="Calibri"/>
          <w:szCs w:val="24"/>
        </w:rPr>
        <w:instrText xml:space="preserve"> REF _Ref522894910 \r  \* MERGEFORMAT </w:instrText>
      </w:r>
      <w:r w:rsidRPr="00755F09">
        <w:rPr>
          <w:rFonts w:ascii="Calibri" w:hAnsi="Calibri" w:cs="Calibri"/>
          <w:szCs w:val="24"/>
        </w:rPr>
        <w:fldChar w:fldCharType="separate"/>
      </w:r>
      <w:r>
        <w:rPr>
          <w:rFonts w:ascii="Calibri" w:hAnsi="Calibri" w:cs="Calibri"/>
          <w:szCs w:val="24"/>
        </w:rPr>
        <w:t>10</w:t>
      </w:r>
      <w:r w:rsidRPr="00755F09">
        <w:rPr>
          <w:rFonts w:ascii="Calibri" w:hAnsi="Calibri" w:cs="Calibri"/>
          <w:szCs w:val="24"/>
        </w:rPr>
        <w:fldChar w:fldCharType="end"/>
      </w:r>
      <w:r w:rsidRPr="00755F09">
        <w:rPr>
          <w:rFonts w:ascii="Calibri" w:hAnsi="Calibri" w:cs="Calibri"/>
          <w:szCs w:val="24"/>
        </w:rPr>
        <w:t xml:space="preserve">]. Similar to the global situation, it is almost impossible for China to achieve the targets on child overweight, road injuries mortality, and HIV/AIDS and TB incidence. We also found similar results on regional disparities. Both the SDG GBD 2017 study and the current study found </w:t>
      </w:r>
      <w:r>
        <w:rPr>
          <w:rFonts w:ascii="Calibri" w:hAnsi="Calibri" w:cs="Calibri"/>
          <w:szCs w:val="24"/>
        </w:rPr>
        <w:t xml:space="preserve">that </w:t>
      </w:r>
      <w:r w:rsidRPr="00755F09">
        <w:rPr>
          <w:rFonts w:ascii="Calibri" w:hAnsi="Calibri" w:cs="Calibri"/>
          <w:szCs w:val="24"/>
        </w:rPr>
        <w:t>there are considerable subnational variance in terms of the health-related SDG indicators in China.</w:t>
      </w:r>
    </w:p>
    <w:p w14:paraId="2293ABFE" w14:textId="77777777" w:rsidR="00B656F6" w:rsidRPr="00755F09" w:rsidRDefault="00B656F6" w:rsidP="00B656F6">
      <w:pPr>
        <w:rPr>
          <w:rFonts w:ascii="Calibri" w:hAnsi="Calibri" w:cs="Calibri"/>
          <w:szCs w:val="24"/>
        </w:rPr>
      </w:pPr>
      <w:r w:rsidRPr="00755F09">
        <w:rPr>
          <w:rFonts w:ascii="Calibri" w:hAnsi="Calibri" w:cs="Calibri"/>
          <w:szCs w:val="24"/>
        </w:rPr>
        <w:t xml:space="preserve">Findings related to sex disparities are similar in pattern, though there are differences in </w:t>
      </w:r>
      <w:r>
        <w:rPr>
          <w:rFonts w:ascii="Calibri" w:hAnsi="Calibri" w:cs="Calibri"/>
          <w:szCs w:val="24"/>
        </w:rPr>
        <w:t xml:space="preserve">the </w:t>
      </w:r>
      <w:r w:rsidRPr="00755F09">
        <w:rPr>
          <w:rFonts w:ascii="Calibri" w:hAnsi="Calibri" w:cs="Calibri"/>
          <w:szCs w:val="24"/>
        </w:rPr>
        <w:t>male-to-female ratio of several indicators. Similar to the global situation, men are at higher risk of excess mortality than women</w:t>
      </w:r>
      <w:r>
        <w:rPr>
          <w:rFonts w:ascii="Calibri" w:hAnsi="Calibri" w:cs="Calibri"/>
          <w:szCs w:val="24"/>
        </w:rPr>
        <w:t xml:space="preserve"> and</w:t>
      </w:r>
      <w:r w:rsidRPr="00755F09">
        <w:rPr>
          <w:rFonts w:ascii="Calibri" w:hAnsi="Calibri" w:cs="Calibri"/>
          <w:szCs w:val="24"/>
        </w:rPr>
        <w:t xml:space="preserve"> have higher incidence rates for TB, HIV/AIDS, and hepatitis B and higher rates of premature mortality from NCDs, suicide, and road injuries in China. Men also have significantly higher rates of some </w:t>
      </w:r>
      <w:r w:rsidRPr="00755F09">
        <w:rPr>
          <w:rFonts w:ascii="Calibri" w:hAnsi="Calibri" w:cs="Calibri"/>
          <w:szCs w:val="24"/>
        </w:rPr>
        <w:lastRenderedPageBreak/>
        <w:t>key NCD risk</w:t>
      </w:r>
      <w:r>
        <w:rPr>
          <w:rFonts w:ascii="Calibri" w:hAnsi="Calibri" w:cs="Calibri"/>
          <w:szCs w:val="24"/>
        </w:rPr>
        <w:t xml:space="preserve"> </w:t>
      </w:r>
      <w:r w:rsidRPr="00755F09">
        <w:rPr>
          <w:rFonts w:ascii="Calibri" w:hAnsi="Calibri" w:cs="Calibri"/>
          <w:szCs w:val="24"/>
        </w:rPr>
        <w:t>factors, such as smoking and daily alcohol consumption. This disparity also applies to our future projections. Despite the similar pattern of sex disparities, the male-to-female ratio of several indicators such as smoking prevalence, daily alcohol consumption, and suicide rate have specific features in China. The smoking prevalence and alcohol consumption are around 19 times and 6 times higher</w:t>
      </w:r>
      <w:r>
        <w:rPr>
          <w:rFonts w:ascii="Calibri" w:hAnsi="Calibri" w:cs="Calibri"/>
          <w:szCs w:val="24"/>
        </w:rPr>
        <w:t>,</w:t>
      </w:r>
      <w:r w:rsidRPr="00755F09">
        <w:rPr>
          <w:rFonts w:ascii="Calibri" w:hAnsi="Calibri" w:cs="Calibri"/>
          <w:szCs w:val="24"/>
        </w:rPr>
        <w:t xml:space="preserve"> respectively</w:t>
      </w:r>
      <w:r>
        <w:rPr>
          <w:rFonts w:ascii="Calibri" w:hAnsi="Calibri" w:cs="Calibri"/>
          <w:szCs w:val="24"/>
        </w:rPr>
        <w:t>,</w:t>
      </w:r>
      <w:r w:rsidRPr="00755F09">
        <w:rPr>
          <w:rFonts w:ascii="Calibri" w:hAnsi="Calibri" w:cs="Calibri"/>
          <w:szCs w:val="24"/>
        </w:rPr>
        <w:t xml:space="preserve"> for the Chinese men than women. In contrast, the male suicide rate only started to exceed females slightly in recent years, </w:t>
      </w:r>
      <w:r>
        <w:rPr>
          <w:rFonts w:ascii="Calibri" w:hAnsi="Calibri" w:cs="Calibri"/>
          <w:szCs w:val="24"/>
        </w:rPr>
        <w:t>whereas</w:t>
      </w:r>
      <w:r w:rsidRPr="00755F09">
        <w:rPr>
          <w:rFonts w:ascii="Calibri" w:hAnsi="Calibri" w:cs="Calibri"/>
          <w:szCs w:val="24"/>
        </w:rPr>
        <w:t xml:space="preserve"> in high-income countries</w:t>
      </w:r>
      <w:r>
        <w:rPr>
          <w:rFonts w:ascii="Calibri" w:hAnsi="Calibri" w:cs="Calibri"/>
          <w:szCs w:val="24"/>
        </w:rPr>
        <w:t>,</w:t>
      </w:r>
      <w:r w:rsidRPr="00755F09">
        <w:rPr>
          <w:rFonts w:ascii="Calibri" w:hAnsi="Calibri" w:cs="Calibri"/>
          <w:szCs w:val="24"/>
        </w:rPr>
        <w:t xml:space="preserve"> the ratio is about 3 times higher among men</w:t>
      </w:r>
      <w:r>
        <w:rPr>
          <w:rFonts w:ascii="Calibri" w:hAnsi="Calibri" w:cs="Calibri"/>
          <w:szCs w:val="24"/>
        </w:rPr>
        <w:t xml:space="preserve"> [</w:t>
      </w:r>
      <w:r w:rsidRPr="00755F09">
        <w:rPr>
          <w:rFonts w:ascii="Calibri" w:hAnsi="Calibri" w:cs="Calibri"/>
          <w:szCs w:val="24"/>
        </w:rPr>
        <w:fldChar w:fldCharType="begin"/>
      </w:r>
      <w:r w:rsidRPr="00755F09">
        <w:rPr>
          <w:rFonts w:ascii="Calibri" w:hAnsi="Calibri" w:cs="Calibri"/>
          <w:szCs w:val="24"/>
        </w:rPr>
        <w:instrText xml:space="preserve"> REF _Ref533338480 \r \h  \* MERGEFORMAT </w:instrText>
      </w:r>
      <w:r w:rsidRPr="00755F09">
        <w:rPr>
          <w:rFonts w:ascii="Calibri" w:hAnsi="Calibri" w:cs="Calibri"/>
          <w:szCs w:val="24"/>
        </w:rPr>
      </w:r>
      <w:r w:rsidRPr="00755F09">
        <w:rPr>
          <w:rFonts w:ascii="Calibri" w:hAnsi="Calibri" w:cs="Calibri"/>
          <w:szCs w:val="24"/>
        </w:rPr>
        <w:fldChar w:fldCharType="separate"/>
      </w:r>
      <w:r>
        <w:rPr>
          <w:rFonts w:ascii="Calibri" w:hAnsi="Calibri" w:cs="Calibri"/>
          <w:szCs w:val="24"/>
        </w:rPr>
        <w:t>45</w:t>
      </w:r>
      <w:r w:rsidRPr="00755F09">
        <w:rPr>
          <w:rFonts w:ascii="Calibri" w:hAnsi="Calibri" w:cs="Calibri"/>
          <w:szCs w:val="24"/>
        </w:rPr>
        <w:fldChar w:fldCharType="end"/>
      </w:r>
      <w:r w:rsidRPr="00755F09">
        <w:rPr>
          <w:rFonts w:ascii="Calibri" w:hAnsi="Calibri" w:cs="Calibri"/>
          <w:szCs w:val="24"/>
        </w:rPr>
        <w:t xml:space="preserve">]. Such extreme and divergent differences in male-to-female ratios call for </w:t>
      </w:r>
      <w:r>
        <w:rPr>
          <w:rFonts w:ascii="Calibri" w:hAnsi="Calibri" w:cs="Calibri"/>
          <w:szCs w:val="24"/>
        </w:rPr>
        <w:t xml:space="preserve">a </w:t>
      </w:r>
      <w:r w:rsidRPr="00755F09">
        <w:rPr>
          <w:rFonts w:ascii="Calibri" w:hAnsi="Calibri" w:cs="Calibri"/>
          <w:szCs w:val="24"/>
        </w:rPr>
        <w:t>more nuanced analysis and customized interventions specific to the context of China to target both sexes and address</w:t>
      </w:r>
      <w:r>
        <w:rPr>
          <w:rFonts w:ascii="Calibri" w:hAnsi="Calibri" w:cs="Calibri"/>
          <w:szCs w:val="24"/>
        </w:rPr>
        <w:t xml:space="preserve"> </w:t>
      </w:r>
      <w:r w:rsidRPr="00755F09">
        <w:rPr>
          <w:rFonts w:ascii="Calibri" w:hAnsi="Calibri" w:cs="Calibri"/>
          <w:szCs w:val="24"/>
        </w:rPr>
        <w:t>underlying gender relations.</w:t>
      </w:r>
    </w:p>
    <w:p w14:paraId="1639EF91" w14:textId="77777777" w:rsidR="00B656F6" w:rsidRPr="00755F09" w:rsidRDefault="00B656F6" w:rsidP="00B656F6">
      <w:pPr>
        <w:rPr>
          <w:rFonts w:ascii="Calibri" w:hAnsi="Calibri" w:cs="Calibri"/>
        </w:rPr>
      </w:pPr>
      <w:r w:rsidRPr="00755F09">
        <w:rPr>
          <w:rFonts w:ascii="Calibri" w:hAnsi="Calibri" w:cs="Calibri"/>
        </w:rPr>
        <w:t>The findings on sex disparities add to existing global evidence that inequitable gender relations, which privilege men, are nonetheless often harmful to men’s health in many contexts</w:t>
      </w:r>
      <w:r>
        <w:rPr>
          <w:rFonts w:ascii="Calibri" w:hAnsi="Calibri" w:cs="Calibri"/>
        </w:rPr>
        <w:t xml:space="preserve"> [</w:t>
      </w:r>
      <w:r w:rsidRPr="00755F09">
        <w:rPr>
          <w:rFonts w:ascii="Calibri" w:hAnsi="Calibri" w:cs="Calibri"/>
        </w:rPr>
        <w:fldChar w:fldCharType="begin"/>
      </w:r>
      <w:r w:rsidRPr="00755F09">
        <w:rPr>
          <w:rFonts w:ascii="Calibri" w:hAnsi="Calibri" w:cs="Calibri"/>
        </w:rPr>
        <w:instrText xml:space="preserve"> REF _Ref523079003 \r  \* MERGEFORMAT </w:instrText>
      </w:r>
      <w:r w:rsidRPr="00755F09">
        <w:rPr>
          <w:rFonts w:ascii="Calibri" w:hAnsi="Calibri" w:cs="Calibri"/>
        </w:rPr>
        <w:fldChar w:fldCharType="separate"/>
      </w:r>
      <w:r>
        <w:rPr>
          <w:rFonts w:ascii="Calibri" w:hAnsi="Calibri" w:cs="Calibri"/>
        </w:rPr>
        <w:t>46</w:t>
      </w:r>
      <w:r w:rsidRPr="00755F09">
        <w:rPr>
          <w:rFonts w:ascii="Calibri" w:hAnsi="Calibri" w:cs="Calibri"/>
        </w:rPr>
        <w:fldChar w:fldCharType="end"/>
      </w:r>
      <w:r w:rsidRPr="00755F09">
        <w:rPr>
          <w:rFonts w:ascii="Calibri" w:hAnsi="Calibri" w:cs="Calibri"/>
        </w:rPr>
        <w:t>,</w:t>
      </w:r>
      <w:r w:rsidRPr="00755F09">
        <w:rPr>
          <w:rFonts w:ascii="Calibri" w:hAnsi="Calibri" w:cs="Calibri"/>
        </w:rPr>
        <w:fldChar w:fldCharType="begin"/>
      </w:r>
      <w:r w:rsidRPr="00755F09">
        <w:rPr>
          <w:rFonts w:ascii="Calibri" w:hAnsi="Calibri" w:cs="Calibri"/>
        </w:rPr>
        <w:instrText xml:space="preserve"> REF _Ref523079005 \r  \* MERGEFORMAT </w:instrText>
      </w:r>
      <w:r w:rsidRPr="00755F09">
        <w:rPr>
          <w:rFonts w:ascii="Calibri" w:hAnsi="Calibri" w:cs="Calibri"/>
        </w:rPr>
        <w:fldChar w:fldCharType="separate"/>
      </w:r>
      <w:r>
        <w:rPr>
          <w:rFonts w:ascii="Calibri" w:hAnsi="Calibri" w:cs="Calibri"/>
        </w:rPr>
        <w:t>47</w:t>
      </w:r>
      <w:r w:rsidRPr="00755F09">
        <w:rPr>
          <w:rFonts w:ascii="Calibri" w:hAnsi="Calibri" w:cs="Calibri"/>
        </w:rPr>
        <w:fldChar w:fldCharType="end"/>
      </w:r>
      <w:r w:rsidRPr="00755F09">
        <w:rPr>
          <w:rFonts w:ascii="Calibri" w:hAnsi="Calibri" w:cs="Calibri"/>
        </w:rPr>
        <w:t>,</w:t>
      </w:r>
      <w:r w:rsidRPr="00755F09">
        <w:rPr>
          <w:rFonts w:ascii="Calibri" w:hAnsi="Calibri" w:cs="Calibri"/>
        </w:rPr>
        <w:fldChar w:fldCharType="begin"/>
      </w:r>
      <w:r w:rsidRPr="00755F09">
        <w:rPr>
          <w:rFonts w:ascii="Calibri" w:hAnsi="Calibri" w:cs="Calibri"/>
        </w:rPr>
        <w:instrText xml:space="preserve"> REF _Ref523079006 \r  \* MERGEFORMAT </w:instrText>
      </w:r>
      <w:r w:rsidRPr="00755F09">
        <w:rPr>
          <w:rFonts w:ascii="Calibri" w:hAnsi="Calibri" w:cs="Calibri"/>
        </w:rPr>
        <w:fldChar w:fldCharType="separate"/>
      </w:r>
      <w:r>
        <w:rPr>
          <w:rFonts w:ascii="Calibri" w:hAnsi="Calibri" w:cs="Calibri"/>
        </w:rPr>
        <w:t>48</w:t>
      </w:r>
      <w:r w:rsidRPr="00755F09">
        <w:rPr>
          <w:rFonts w:ascii="Calibri" w:hAnsi="Calibri" w:cs="Calibri"/>
        </w:rPr>
        <w:fldChar w:fldCharType="end"/>
      </w:r>
      <w:r w:rsidRPr="00755F09">
        <w:rPr>
          <w:rFonts w:ascii="Calibri" w:hAnsi="Calibri" w:cs="Calibri"/>
        </w:rPr>
        <w:t>]. These may include social norms of masculinity that encourage high levels of smoking and drinking and potentially discourage help</w:t>
      </w:r>
      <w:r>
        <w:rPr>
          <w:rFonts w:ascii="Calibri" w:hAnsi="Calibri" w:cs="Calibri"/>
        </w:rPr>
        <w:t xml:space="preserve"> </w:t>
      </w:r>
      <w:r w:rsidRPr="00755F09">
        <w:rPr>
          <w:rFonts w:ascii="Calibri" w:hAnsi="Calibri" w:cs="Calibri"/>
        </w:rPr>
        <w:t xml:space="preserve">seeking for mental ill-health, as well as greater occupational exposure to physical and chemical hazards. </w:t>
      </w:r>
      <w:r>
        <w:rPr>
          <w:rFonts w:ascii="Calibri" w:hAnsi="Calibri" w:cs="Calibri"/>
        </w:rPr>
        <w:t>Although</w:t>
      </w:r>
      <w:r w:rsidRPr="00755F09">
        <w:rPr>
          <w:rFonts w:ascii="Calibri" w:hAnsi="Calibri" w:cs="Calibri"/>
        </w:rPr>
        <w:t xml:space="preserve"> higher overweight rates among boys may be in line with well-documented son</w:t>
      </w:r>
      <w:r>
        <w:rPr>
          <w:rFonts w:ascii="Calibri" w:hAnsi="Calibri" w:cs="Calibri"/>
        </w:rPr>
        <w:t xml:space="preserve"> </w:t>
      </w:r>
      <w:r w:rsidRPr="00755F09">
        <w:rPr>
          <w:rFonts w:ascii="Calibri" w:hAnsi="Calibri" w:cs="Calibri"/>
        </w:rPr>
        <w:t>preference in China</w:t>
      </w:r>
      <w:r>
        <w:rPr>
          <w:rFonts w:ascii="Calibri" w:hAnsi="Calibri" w:cs="Calibri"/>
        </w:rPr>
        <w:t>,</w:t>
      </w:r>
      <w:r w:rsidRPr="00755F09">
        <w:rPr>
          <w:rFonts w:ascii="Calibri" w:hAnsi="Calibri" w:cs="Calibri"/>
        </w:rPr>
        <w:t xml:space="preserve"> </w:t>
      </w:r>
      <w:r>
        <w:rPr>
          <w:rFonts w:ascii="Calibri" w:hAnsi="Calibri" w:cs="Calibri"/>
        </w:rPr>
        <w:t>in which</w:t>
      </w:r>
      <w:r w:rsidRPr="00755F09">
        <w:rPr>
          <w:rFonts w:ascii="Calibri" w:hAnsi="Calibri" w:cs="Calibri"/>
        </w:rPr>
        <w:t xml:space="preserve"> more resources will be </w:t>
      </w:r>
      <w:r>
        <w:rPr>
          <w:rFonts w:ascii="Calibri" w:hAnsi="Calibri" w:cs="Calibri"/>
        </w:rPr>
        <w:t>given to</w:t>
      </w:r>
      <w:r w:rsidRPr="00755F09">
        <w:rPr>
          <w:rFonts w:ascii="Calibri" w:hAnsi="Calibri" w:cs="Calibri"/>
        </w:rPr>
        <w:t xml:space="preserve"> boys than girls</w:t>
      </w:r>
      <w:r>
        <w:rPr>
          <w:rFonts w:ascii="Calibri" w:hAnsi="Calibri" w:cs="Calibri"/>
        </w:rPr>
        <w:t xml:space="preserve"> [</w:t>
      </w:r>
      <w:r w:rsidRPr="00755F09">
        <w:rPr>
          <w:rFonts w:ascii="Calibri" w:hAnsi="Calibri" w:cs="Calibri"/>
        </w:rPr>
        <w:fldChar w:fldCharType="begin"/>
      </w:r>
      <w:r w:rsidRPr="00755F09">
        <w:rPr>
          <w:rFonts w:ascii="Calibri" w:hAnsi="Calibri" w:cs="Calibri"/>
        </w:rPr>
        <w:instrText xml:space="preserve"> REF _Ref523079060 \r  \* MERGEFORMAT </w:instrText>
      </w:r>
      <w:r w:rsidRPr="00755F09">
        <w:rPr>
          <w:rFonts w:ascii="Calibri" w:hAnsi="Calibri" w:cs="Calibri"/>
        </w:rPr>
        <w:fldChar w:fldCharType="separate"/>
      </w:r>
      <w:r>
        <w:rPr>
          <w:rFonts w:ascii="Calibri" w:hAnsi="Calibri" w:cs="Calibri"/>
        </w:rPr>
        <w:t>49</w:t>
      </w:r>
      <w:r w:rsidRPr="00755F09">
        <w:rPr>
          <w:rFonts w:ascii="Calibri" w:hAnsi="Calibri" w:cs="Calibri"/>
        </w:rPr>
        <w:fldChar w:fldCharType="end"/>
      </w:r>
      <w:r w:rsidRPr="00755F09">
        <w:rPr>
          <w:rFonts w:ascii="Calibri" w:hAnsi="Calibri" w:cs="Calibri"/>
        </w:rPr>
        <w:t>], as favoring boys in food allocation may contribute toward ill-health in a context of plenty, it is unclear why boys fare worse than girls in terms of stunting and wasting. One possible explanation is that boys have higher energy metabolism than girls as they reach puberty. If boys, especially in rural areas, have poor nutrition during puberty, it is more likely for them to suffer stunting and wasting than girls. Nevertheless, the reasons for this counterintuitive finding require further investigation, as well as more nuanced consideration of intersections with geography, wealth indicators</w:t>
      </w:r>
      <w:r>
        <w:rPr>
          <w:rFonts w:ascii="Calibri" w:hAnsi="Calibri" w:cs="Calibri"/>
        </w:rPr>
        <w:t>,</w:t>
      </w:r>
      <w:r w:rsidRPr="00755F09">
        <w:rPr>
          <w:rFonts w:ascii="Calibri" w:hAnsi="Calibri" w:cs="Calibri"/>
        </w:rPr>
        <w:t xml:space="preserve"> and birth order, </w:t>
      </w:r>
      <w:r>
        <w:rPr>
          <w:rFonts w:ascii="Calibri" w:hAnsi="Calibri" w:cs="Calibri"/>
        </w:rPr>
        <w:t>because</w:t>
      </w:r>
      <w:r w:rsidRPr="00755F09">
        <w:rPr>
          <w:rFonts w:ascii="Calibri" w:hAnsi="Calibri" w:cs="Calibri"/>
        </w:rPr>
        <w:t xml:space="preserve"> recent studies have suggested that girls in non-one</w:t>
      </w:r>
      <w:r>
        <w:rPr>
          <w:rFonts w:ascii="Calibri" w:hAnsi="Calibri" w:cs="Calibri"/>
        </w:rPr>
        <w:t>-</w:t>
      </w:r>
      <w:r w:rsidRPr="00755F09">
        <w:rPr>
          <w:rFonts w:ascii="Calibri" w:hAnsi="Calibri" w:cs="Calibri"/>
        </w:rPr>
        <w:t>child households in rural China face nutritional disadvantage</w:t>
      </w:r>
      <w:r>
        <w:rPr>
          <w:rFonts w:ascii="Calibri" w:hAnsi="Calibri" w:cs="Calibri"/>
        </w:rPr>
        <w:t xml:space="preserve"> [</w:t>
      </w:r>
      <w:r w:rsidRPr="00755F09">
        <w:rPr>
          <w:rFonts w:ascii="Calibri" w:hAnsi="Calibri" w:cs="Calibri"/>
        </w:rPr>
        <w:fldChar w:fldCharType="begin"/>
      </w:r>
      <w:r w:rsidRPr="00755F09">
        <w:rPr>
          <w:rFonts w:ascii="Calibri" w:hAnsi="Calibri" w:cs="Calibri"/>
        </w:rPr>
        <w:instrText xml:space="preserve"> REF _Ref523079103 \r  \* MERGEFORMAT </w:instrText>
      </w:r>
      <w:r w:rsidRPr="00755F09">
        <w:rPr>
          <w:rFonts w:ascii="Calibri" w:hAnsi="Calibri" w:cs="Calibri"/>
        </w:rPr>
        <w:fldChar w:fldCharType="separate"/>
      </w:r>
      <w:r>
        <w:rPr>
          <w:rFonts w:ascii="Calibri" w:hAnsi="Calibri" w:cs="Calibri"/>
        </w:rPr>
        <w:t>50</w:t>
      </w:r>
      <w:r w:rsidRPr="00755F09">
        <w:rPr>
          <w:rFonts w:ascii="Calibri" w:hAnsi="Calibri" w:cs="Calibri"/>
        </w:rPr>
        <w:fldChar w:fldCharType="end"/>
      </w:r>
      <w:r w:rsidRPr="00755F09">
        <w:rPr>
          <w:rFonts w:ascii="Calibri" w:hAnsi="Calibri" w:cs="Calibri"/>
        </w:rPr>
        <w:t>].</w:t>
      </w:r>
    </w:p>
    <w:p w14:paraId="47A83B4F" w14:textId="77777777" w:rsidR="00B656F6" w:rsidRPr="00566686" w:rsidRDefault="00B656F6" w:rsidP="00B656F6">
      <w:pPr>
        <w:outlineLvl w:val="0"/>
        <w:rPr>
          <w:rFonts w:ascii="Calibri" w:hAnsi="Calibri" w:cs="Calibri"/>
          <w:b/>
          <w:bCs/>
          <w:iCs/>
        </w:rPr>
      </w:pPr>
      <w:r w:rsidRPr="00566686">
        <w:rPr>
          <w:rFonts w:ascii="Calibri" w:hAnsi="Calibri" w:cs="Calibri"/>
          <w:b/>
          <w:bCs/>
          <w:iCs/>
        </w:rPr>
        <w:t>Strengths and limitations of the study</w:t>
      </w:r>
    </w:p>
    <w:p w14:paraId="1BF810EE" w14:textId="77777777" w:rsidR="00B656F6" w:rsidRPr="00755F09" w:rsidRDefault="00B656F6" w:rsidP="00B656F6">
      <w:pPr>
        <w:rPr>
          <w:rFonts w:ascii="Calibri" w:hAnsi="Calibri" w:cs="Calibri"/>
        </w:rPr>
      </w:pPr>
      <w:bookmarkStart w:id="5" w:name="OLE_LINK1"/>
      <w:bookmarkStart w:id="6" w:name="OLE_LINK2"/>
      <w:r w:rsidRPr="00755F09">
        <w:rPr>
          <w:rFonts w:ascii="Calibri" w:hAnsi="Calibri" w:cs="Calibri"/>
        </w:rPr>
        <w:t xml:space="preserve">To the best of our knowledge, this is the first study that takes an evidence-based approach to systematically analyze China’s progress toward the health-related SDGs and highlight the specific challenges by health topic. The research team used both the estimates from </w:t>
      </w:r>
      <w:r>
        <w:rPr>
          <w:rFonts w:ascii="Calibri" w:hAnsi="Calibri" w:cs="Calibri"/>
        </w:rPr>
        <w:t xml:space="preserve">the </w:t>
      </w:r>
      <w:r w:rsidRPr="00755F09">
        <w:rPr>
          <w:rFonts w:ascii="Calibri" w:hAnsi="Calibri" w:cs="Calibri"/>
        </w:rPr>
        <w:t>GBD 2016 study and domestic public data sources for quantitative analysis</w:t>
      </w:r>
      <w:r>
        <w:rPr>
          <w:rFonts w:ascii="Calibri" w:hAnsi="Calibri" w:cs="Calibri"/>
        </w:rPr>
        <w:t xml:space="preserve"> and </w:t>
      </w:r>
      <w:r w:rsidRPr="00755F09">
        <w:rPr>
          <w:rFonts w:ascii="Calibri" w:hAnsi="Calibri" w:cs="Calibri"/>
        </w:rPr>
        <w:t xml:space="preserve">conducted key informant interviews and extensive literature and policy reviews to draw a comprehensive health picture of China. </w:t>
      </w:r>
      <w:bookmarkStart w:id="7" w:name="_Hlk18621903"/>
      <w:r w:rsidRPr="00755F09">
        <w:rPr>
          <w:rFonts w:ascii="Calibri" w:hAnsi="Calibri" w:cs="Calibri"/>
        </w:rPr>
        <w:t>One outstanding feature of the study is that the analysis is stratified by sex and region/province whe</w:t>
      </w:r>
      <w:r>
        <w:rPr>
          <w:rFonts w:ascii="Calibri" w:hAnsi="Calibri" w:cs="Calibri"/>
        </w:rPr>
        <w:t>n</w:t>
      </w:r>
      <w:r w:rsidRPr="00755F09">
        <w:rPr>
          <w:rFonts w:ascii="Calibri" w:hAnsi="Calibri" w:cs="Calibri"/>
        </w:rPr>
        <w:t xml:space="preserve">ever possible to illuminate disparities, complementing the SDG GBD 2017 study that touches on subnational analysis for several countries including China, but does not present results by province and sex within China. </w:t>
      </w:r>
      <w:bookmarkEnd w:id="7"/>
      <w:r w:rsidRPr="00755F09">
        <w:rPr>
          <w:rFonts w:ascii="Calibri" w:hAnsi="Calibri" w:cs="Calibri"/>
        </w:rPr>
        <w:t>The presentation of goal attainment in the form of a percentage is novel—it conveys a direct message to policy makers in an accessible way. The methodology used in this paper has the potential to be adapted into a longitudinal tracking system to measure China’s attainment of the health-related SDGs. Further</w:t>
      </w:r>
      <w:r>
        <w:rPr>
          <w:rFonts w:ascii="Calibri" w:hAnsi="Calibri" w:cs="Calibri"/>
        </w:rPr>
        <w:t>more</w:t>
      </w:r>
      <w:r w:rsidRPr="00755F09">
        <w:rPr>
          <w:rFonts w:ascii="Calibri" w:hAnsi="Calibri" w:cs="Calibri"/>
        </w:rPr>
        <w:t>, the results of this study can serve as a strong evidence base for the Chinese government and the international community to (</w:t>
      </w:r>
      <w:r>
        <w:rPr>
          <w:rFonts w:ascii="Calibri" w:hAnsi="Calibri" w:cs="Calibri"/>
        </w:rPr>
        <w:t>1</w:t>
      </w:r>
      <w:r w:rsidRPr="00755F09">
        <w:rPr>
          <w:rFonts w:ascii="Calibri" w:hAnsi="Calibri" w:cs="Calibri"/>
        </w:rPr>
        <w:t>) understand the current situation, (</w:t>
      </w:r>
      <w:r>
        <w:rPr>
          <w:rFonts w:ascii="Calibri" w:hAnsi="Calibri" w:cs="Calibri"/>
        </w:rPr>
        <w:t>2</w:t>
      </w:r>
      <w:r w:rsidRPr="00755F09">
        <w:rPr>
          <w:rFonts w:ascii="Calibri" w:hAnsi="Calibri" w:cs="Calibri"/>
        </w:rPr>
        <w:t>) recognize challenges and gaps toward achieving the health-related SDGs in China, and (</w:t>
      </w:r>
      <w:r>
        <w:rPr>
          <w:rFonts w:ascii="Calibri" w:hAnsi="Calibri" w:cs="Calibri"/>
        </w:rPr>
        <w:t>3</w:t>
      </w:r>
      <w:r w:rsidRPr="00755F09">
        <w:rPr>
          <w:rFonts w:ascii="Calibri" w:hAnsi="Calibri" w:cs="Calibri"/>
        </w:rPr>
        <w:t>) help with effective health policy</w:t>
      </w:r>
      <w:r>
        <w:rPr>
          <w:rFonts w:ascii="Calibri" w:hAnsi="Calibri" w:cs="Calibri"/>
        </w:rPr>
        <w:t xml:space="preserve"> </w:t>
      </w:r>
      <w:r w:rsidRPr="00755F09">
        <w:rPr>
          <w:rFonts w:ascii="Calibri" w:hAnsi="Calibri" w:cs="Calibri"/>
        </w:rPr>
        <w:t>making.</w:t>
      </w:r>
      <w:bookmarkEnd w:id="5"/>
      <w:bookmarkEnd w:id="6"/>
    </w:p>
    <w:p w14:paraId="16AE3C07" w14:textId="77777777" w:rsidR="00B656F6" w:rsidRPr="00755F09" w:rsidRDefault="00B656F6" w:rsidP="00B656F6">
      <w:pPr>
        <w:rPr>
          <w:rFonts w:ascii="Calibri" w:hAnsi="Calibri" w:cs="Calibri"/>
        </w:rPr>
      </w:pPr>
      <w:r w:rsidRPr="00755F09">
        <w:rPr>
          <w:rFonts w:ascii="Calibri" w:hAnsi="Calibri" w:cs="Calibri"/>
        </w:rPr>
        <w:t>Nonetheless, the study has several limitations related to data availability and quality. We cannot obtain valid data to present a comprehensive picture for several important indicators, such as those related to the unmet need for reproductive health services among unmarried women and MDR-TB epidemiology. Domestic data for some indicators is defined differently from the official SDG indicators, such as rates of child stunting, wasting and overweight</w:t>
      </w:r>
      <w:r>
        <w:rPr>
          <w:rFonts w:ascii="Calibri" w:hAnsi="Calibri" w:cs="Calibri"/>
        </w:rPr>
        <w:t>,</w:t>
      </w:r>
      <w:r w:rsidRPr="00755F09">
        <w:rPr>
          <w:rFonts w:ascii="Calibri" w:hAnsi="Calibri" w:cs="Calibri"/>
        </w:rPr>
        <w:t xml:space="preserve"> and infectious diseases incidence, making international comparisons challenging. The quality of both domestic data sources and the GBD 2016 estimates has room for improvement. The limitations of the GBD 2016 estimate are largely due to data gaps, methodological challenges, and/or computational constraints</w:t>
      </w:r>
      <w:r w:rsidRPr="00755F09">
        <w:rPr>
          <w:rFonts w:ascii="Calibri" w:hAnsi="Calibri" w:cs="Calibri"/>
        </w:rPr>
        <w:fldChar w:fldCharType="begin"/>
      </w:r>
      <w:r w:rsidRPr="00755F09">
        <w:rPr>
          <w:rFonts w:ascii="Calibri" w:hAnsi="Calibri" w:cs="Calibri"/>
        </w:rPr>
        <w:instrText xml:space="preserve"> ADDIN ZOTERO_ITEM CSL_CITATION {"citationID":"1WDaNRxk","properties":{"formattedCitation":"(GBD 2016 SDG Collaborators 2017)","plainCitation":"(GBD 2016 SDG Collaborators 2017)","noteIndex":0},"citationItems":[{"id":379,"uris":["http://zotero.org/users/local/f3to1kZH/items/2FG9FWW6"],"uri":["http://zotero.org/users/local/f3to1kZH/items/2FG9FWW6"],"itemData":{"id":379,"type":"article-journal","title":"Measuring progress and projecting attainment on the basis of past trends of the health-related Sustainable Development Goals in 188 countries: an analysis from the Global Burden of Disease Study 2016","container-title":"Lancet (London, England)","page":"1423-1459","volume":"390","issue":"10100","source":"PubMed","abstract":"BACKGROUND: The UN's Sustainable Development Goals (SDGs) are grounded in the global ambition of \"leaving no one behind\". Understanding today's gains and gaps for the health-related SDGs is essential for decision makers as they aim to improve the health of populations. As part of the Global Burden of Diseases, Injuries, and Risk Factors Study 2016 (GBD 2016), we measured 37 of the 50 health-related SDG indicators over the period 1990-2016 for 188 countries, and then on the basis of these past trends, we projected indicators to 2030.\nMETHODS: We used standardised GBD 2016 methods to measure 37 health-related indicators from 1990 to 2016, an increase of four indicators since GBD 2015. We substantially revised the universal health coverage (UHC) measure, which focuses on coverage of essential health services, to also represent personal health-care access and quality for several non-communicable diseases. We transformed each indicator on a scale of 0-100, with 0 as the 2·5th percentile estimated between 1990 and 2030, and 100 as the 97·5th percentile during that time. An index representing all 37 health-related SDG indicators was constructed by taking the geometric mean of scaled indicators by target. On the basis of past trends, we produced projections of indicator values, using a weighted average of the indicator and country-specific annualised rates of change from 1990 to 2016 with weights for each annual rate of change based on out-of-sample validity. 24 of the currently measured health-related SDG indicators have defined SDG targets, against which we assessed attainment.\nFINDINGS: Globally, the median health-related SDG index was 56·7 (IQR 31·9-66·8) in 2016 and country-level performance markedly varied, with Singapore (86·8, 95% uncertainty interval 84·6-88·9), Iceland (86·0, 84·1-87·6), and Sweden (85·6, 81·8-87·8) having the highest levels in 2016 and Afghanistan (10·9, 9·6-11·9), the Central African Republic (11·0, 8·8-13·8), and Somalia (11·3, 9·5-13·1) recording the lowest. Between 2000 and 2016, notable improvements in the UHC index were achieved by several countries, including Cambodia, Rwanda, Equatorial Guinea, Laos, Turkey, and China; however, a number of countries, such as Lesotho and the Central African Republic, but also high-income countries, such as the USA, showed minimal gains. Based on projections of past trends, the median number of SDG targets attained in 2030 was five (IQR 2-8) of the 24 defined targets currently measured. Globally, projected target attainment considerably varied by SDG indicator, ranging from more than 60% of countries projected to reach targets for under-5 mortality, neonatal mortality, maternal mortality ratio, and malaria, to less than 5% of countries projected to achieve targets linked to 11 indicator targets, including those for childhood overweight, tuberculosis, and road injury mortality. For several of the health-related SDGs, meeting defined targets hinges upon substantially faster progress than what most countries have achieved in the past.\nINTERPRETATION: GBD 2016 provides an updated and expanded evidence base on where the world currently stands in terms of the health-related SDGs. Our improved measure of UHC offers a basis to monitor the expansion of health services necessary to meet the SDGs. Based on past rates of progress, many places are facing challenges in meeting defined health-related SDG targets, particularly among countries that are the worst off. In view of the early stages of SDG implementation, however, opportunity remains to take actions to accelerate progress, as shown by the catalytic effects of adopting the Millennium Development Goals after 2000. With the SDGs' broader, bolder development agenda, multisectoral commitments and investments are vital to make the health-related SDGs within reach of all populations.\nFUNDING: Bill &amp; Melinda Gates Foundation.","DOI":"10.1016/S0140-6736(17)32336-X","ISSN":"1474-547X","note":"PMID: 28916366\nPMCID: PMC5603800","shortTitle":"Measuring progress and projecting attainment on the basis of past trends of the health-related Sustainable Development Goals in 188 countries","journalAbbreviation":"Lancet","language":"eng","author":[{"literal":"GBD 2016 SDG Collaborators"}],"issued":{"date-parts":[["2017",9,16]]}}}],"schema":"https://github.com/citation-style-language/schema/raw/master/csl-citation.json"} </w:instrText>
      </w:r>
      <w:r w:rsidRPr="00755F09">
        <w:rPr>
          <w:rFonts w:ascii="Calibri" w:hAnsi="Calibri" w:cs="Calibri"/>
        </w:rPr>
        <w:fldChar w:fldCharType="end"/>
      </w:r>
      <w:r>
        <w:rPr>
          <w:rFonts w:ascii="Calibri" w:hAnsi="Calibri" w:cs="Calibri"/>
        </w:rPr>
        <w:t xml:space="preserve"> [</w:t>
      </w:r>
      <w:r w:rsidRPr="00755F09">
        <w:rPr>
          <w:rFonts w:ascii="Calibri" w:hAnsi="Calibri" w:cs="Calibri"/>
        </w:rPr>
        <w:fldChar w:fldCharType="begin"/>
      </w:r>
      <w:r w:rsidRPr="00755F09">
        <w:rPr>
          <w:rFonts w:ascii="Calibri" w:hAnsi="Calibri" w:cs="Calibri"/>
        </w:rPr>
        <w:instrText xml:space="preserve"> REF _Ref524370097 \r  \* MERGEFORMAT </w:instrText>
      </w:r>
      <w:r w:rsidRPr="00755F09">
        <w:rPr>
          <w:rFonts w:ascii="Calibri" w:hAnsi="Calibri" w:cs="Calibri"/>
        </w:rPr>
        <w:fldChar w:fldCharType="separate"/>
      </w:r>
      <w:r>
        <w:rPr>
          <w:rFonts w:ascii="Calibri" w:hAnsi="Calibri" w:cs="Calibri"/>
        </w:rPr>
        <w:t>51</w:t>
      </w:r>
      <w:r w:rsidRPr="00755F09">
        <w:rPr>
          <w:rFonts w:ascii="Calibri" w:hAnsi="Calibri" w:cs="Calibri"/>
        </w:rPr>
        <w:fldChar w:fldCharType="end"/>
      </w:r>
      <w:r w:rsidRPr="00755F09">
        <w:rPr>
          <w:rFonts w:ascii="Calibri" w:hAnsi="Calibri" w:cs="Calibri"/>
        </w:rPr>
        <w:t>-</w:t>
      </w:r>
      <w:r w:rsidRPr="00755F09">
        <w:rPr>
          <w:rFonts w:ascii="Calibri" w:hAnsi="Calibri" w:cs="Calibri"/>
        </w:rPr>
        <w:fldChar w:fldCharType="begin"/>
      </w:r>
      <w:r w:rsidRPr="00755F09">
        <w:rPr>
          <w:rFonts w:ascii="Calibri" w:hAnsi="Calibri" w:cs="Calibri"/>
        </w:rPr>
        <w:instrText xml:space="preserve"> REF _Ref524370111 \r  \* MERGEFORMAT </w:instrText>
      </w:r>
      <w:r w:rsidRPr="00755F09">
        <w:rPr>
          <w:rFonts w:ascii="Calibri" w:hAnsi="Calibri" w:cs="Calibri"/>
        </w:rPr>
        <w:fldChar w:fldCharType="separate"/>
      </w:r>
      <w:r>
        <w:rPr>
          <w:rFonts w:ascii="Calibri" w:hAnsi="Calibri" w:cs="Calibri"/>
        </w:rPr>
        <w:t>55</w:t>
      </w:r>
      <w:r w:rsidRPr="00755F09">
        <w:rPr>
          <w:rFonts w:ascii="Calibri" w:hAnsi="Calibri" w:cs="Calibri"/>
        </w:rPr>
        <w:fldChar w:fldCharType="end"/>
      </w:r>
      <w:r w:rsidRPr="00755F09">
        <w:rPr>
          <w:rFonts w:ascii="Calibri" w:hAnsi="Calibri" w:cs="Calibri"/>
        </w:rPr>
        <w:t>].</w:t>
      </w:r>
    </w:p>
    <w:p w14:paraId="3541898C" w14:textId="77777777" w:rsidR="00B656F6" w:rsidRPr="00755F09" w:rsidRDefault="00B656F6" w:rsidP="00B656F6">
      <w:pPr>
        <w:rPr>
          <w:rFonts w:ascii="Calibri" w:hAnsi="Calibri" w:cs="Calibri"/>
        </w:rPr>
      </w:pPr>
      <w:r w:rsidRPr="00755F09">
        <w:rPr>
          <w:rFonts w:ascii="Calibri" w:hAnsi="Calibri" w:cs="Calibri"/>
        </w:rPr>
        <w:t xml:space="preserve">Although the current study results are not updated to GBD 2017 study estimates </w:t>
      </w:r>
      <w:r>
        <w:rPr>
          <w:rFonts w:ascii="Calibri" w:hAnsi="Calibri" w:cs="Calibri"/>
        </w:rPr>
        <w:t>because of</w:t>
      </w:r>
      <w:r w:rsidRPr="00755F09">
        <w:rPr>
          <w:rFonts w:ascii="Calibri" w:hAnsi="Calibri" w:cs="Calibri"/>
        </w:rPr>
        <w:t xml:space="preserve"> data availability, we have carefully studied the GBD 2017 methodology and compared the changes in the selected 28 health-related SDG indicators. Methodologically, GBD 2017 added new data input sources and used more refined and sophisticated methods for calibration, and they have modeled covariates and risk factors into the projections to boost data quality. Therefore, the estimates of health-related SDG indicators of GBD 2017 are generally more reliable than those of GBD 2016. In terms of the China-specific estimates used in this study, our comparison shows that the estimates of health-related SDG indicators of the GBD 2017 study at the national level are consistent with those of the GBD 2016 study, except for hepatitis B incidence, suicide mortality</w:t>
      </w:r>
      <w:r>
        <w:rPr>
          <w:rFonts w:ascii="Calibri" w:hAnsi="Calibri" w:cs="Calibri"/>
        </w:rPr>
        <w:t>,</w:t>
      </w:r>
      <w:r w:rsidRPr="00755F09">
        <w:rPr>
          <w:rFonts w:ascii="Calibri" w:hAnsi="Calibri" w:cs="Calibri"/>
        </w:rPr>
        <w:t xml:space="preserve"> and mean PM</w:t>
      </w:r>
      <w:r w:rsidRPr="008F0944">
        <w:rPr>
          <w:rFonts w:ascii="Calibri" w:hAnsi="Calibri" w:cs="Calibri"/>
        </w:rPr>
        <w:t>2.5</w:t>
      </w:r>
      <w:r w:rsidRPr="002C233D">
        <w:rPr>
          <w:rFonts w:ascii="Calibri" w:hAnsi="Calibri" w:cs="Calibri"/>
        </w:rPr>
        <w:t xml:space="preserve"> </w:t>
      </w:r>
      <w:r w:rsidRPr="00755F09">
        <w:rPr>
          <w:rFonts w:ascii="Calibri" w:hAnsi="Calibri" w:cs="Calibri"/>
        </w:rPr>
        <w:t xml:space="preserve">level, </w:t>
      </w:r>
      <w:r>
        <w:rPr>
          <w:rFonts w:ascii="Calibri" w:hAnsi="Calibri" w:cs="Calibri"/>
        </w:rPr>
        <w:t>in which</w:t>
      </w:r>
      <w:r w:rsidRPr="00755F09">
        <w:rPr>
          <w:rFonts w:ascii="Calibri" w:hAnsi="Calibri" w:cs="Calibri"/>
        </w:rPr>
        <w:t xml:space="preserve"> we found significant changes in either data values or trends. For </w:t>
      </w:r>
      <w:r w:rsidRPr="00755F09">
        <w:rPr>
          <w:rFonts w:ascii="Calibri" w:hAnsi="Calibri" w:cs="Calibri"/>
        </w:rPr>
        <w:lastRenderedPageBreak/>
        <w:t xml:space="preserve">example, the estimates of </w:t>
      </w:r>
      <w:r w:rsidRPr="002C233D">
        <w:rPr>
          <w:rFonts w:ascii="Calibri" w:hAnsi="Calibri" w:cs="Calibri"/>
        </w:rPr>
        <w:t>PM</w:t>
      </w:r>
      <w:r w:rsidRPr="008F0944">
        <w:rPr>
          <w:rFonts w:ascii="Calibri" w:hAnsi="Calibri" w:cs="Calibri"/>
        </w:rPr>
        <w:t>2.5</w:t>
      </w:r>
      <w:r w:rsidRPr="00755F09">
        <w:rPr>
          <w:rFonts w:ascii="Calibri" w:hAnsi="Calibri" w:cs="Calibri"/>
        </w:rPr>
        <w:t xml:space="preserve"> in GBD 2017 are now more aligned with the results from the national surveys and surveillances, </w:t>
      </w:r>
      <w:r>
        <w:rPr>
          <w:rFonts w:ascii="Calibri" w:hAnsi="Calibri" w:cs="Calibri"/>
        </w:rPr>
        <w:t>whereas</w:t>
      </w:r>
      <w:r w:rsidRPr="00755F09">
        <w:rPr>
          <w:rFonts w:ascii="Calibri" w:hAnsi="Calibri" w:cs="Calibri"/>
        </w:rPr>
        <w:t xml:space="preserve"> GBD 2016 estimates tend to overestimate, although the magnitude of change is not large. Yet it remains unclear to us which study provides better estimates in terms of</w:t>
      </w:r>
      <w:r>
        <w:rPr>
          <w:rFonts w:ascii="Calibri" w:hAnsi="Calibri" w:cs="Calibri"/>
        </w:rPr>
        <w:t xml:space="preserve"> </w:t>
      </w:r>
      <w:r w:rsidRPr="00755F09">
        <w:rPr>
          <w:rFonts w:ascii="Calibri" w:hAnsi="Calibri" w:cs="Calibri"/>
        </w:rPr>
        <w:t>suicide mortality and hepatitis, which may need further investigation.</w:t>
      </w:r>
    </w:p>
    <w:p w14:paraId="2E4691C2" w14:textId="77777777" w:rsidR="00B656F6" w:rsidRPr="00755F09" w:rsidRDefault="00B656F6" w:rsidP="00B656F6">
      <w:pPr>
        <w:rPr>
          <w:rFonts w:ascii="Calibri" w:hAnsi="Calibri" w:cs="Calibri"/>
        </w:rPr>
      </w:pPr>
      <w:r w:rsidRPr="00755F09">
        <w:rPr>
          <w:rFonts w:ascii="Calibri" w:hAnsi="Calibri" w:cs="Calibri"/>
        </w:rPr>
        <w:t>The exclusion of nine of the GBD indicators from our analysis narrows the assessment of China’s performance on SDGs by focusing on classic and directly health-related indicators. The decision was, however, made by our best judgement based mainly on data availability and quality and potential impact on policy changes. We believe that the excluded nine indicators are an important part of the health-related SDGs and cannot be ignored for a comprehensive performance assessment. Future studies could consider the inclusion of more indicators into the analysis (GBD 2017 included four more new indicators), especially when robust data from domestic sources become available to cross</w:t>
      </w:r>
      <w:r>
        <w:rPr>
          <w:rFonts w:ascii="Calibri" w:hAnsi="Calibri" w:cs="Calibri"/>
        </w:rPr>
        <w:t>-</w:t>
      </w:r>
      <w:r w:rsidRPr="00755F09">
        <w:rPr>
          <w:rFonts w:ascii="Calibri" w:hAnsi="Calibri" w:cs="Calibri"/>
        </w:rPr>
        <w:t>check the data quality from international and national sources. We therefore call for better national surveillance, or undertaking of national surveys, on these indicators</w:t>
      </w:r>
      <w:r>
        <w:rPr>
          <w:rFonts w:ascii="Calibri" w:hAnsi="Calibri" w:cs="Calibri"/>
        </w:rPr>
        <w:t>—</w:t>
      </w:r>
      <w:r w:rsidRPr="00755F09">
        <w:rPr>
          <w:rFonts w:ascii="Calibri" w:hAnsi="Calibri" w:cs="Calibri"/>
        </w:rPr>
        <w:t>for example</w:t>
      </w:r>
      <w:r>
        <w:rPr>
          <w:rFonts w:ascii="Calibri" w:hAnsi="Calibri" w:cs="Calibri"/>
        </w:rPr>
        <w:t>,</w:t>
      </w:r>
      <w:r w:rsidRPr="00755F09">
        <w:rPr>
          <w:rFonts w:ascii="Calibri" w:hAnsi="Calibri" w:cs="Calibri"/>
        </w:rPr>
        <w:t xml:space="preserve"> those related to violence against women and children and occupational risks.</w:t>
      </w:r>
    </w:p>
    <w:p w14:paraId="64528768" w14:textId="77777777" w:rsidR="00B656F6" w:rsidRPr="00755F09" w:rsidRDefault="00B656F6" w:rsidP="00B656F6">
      <w:pPr>
        <w:rPr>
          <w:rFonts w:ascii="Calibri" w:hAnsi="Calibri" w:cs="Calibri"/>
        </w:rPr>
      </w:pPr>
      <w:r w:rsidRPr="00755F09">
        <w:rPr>
          <w:rFonts w:ascii="Calibri" w:hAnsi="Calibri" w:cs="Calibri"/>
        </w:rPr>
        <w:t xml:space="preserve">The projection methodology, though carefully selected through comprehensive comparisons, can only reflect future changes based on historical trajectories. First, it fails to capture other possible changes such as </w:t>
      </w:r>
      <w:r>
        <w:rPr>
          <w:rFonts w:ascii="Calibri" w:hAnsi="Calibri" w:cs="Calibri"/>
        </w:rPr>
        <w:t xml:space="preserve">a </w:t>
      </w:r>
      <w:r w:rsidRPr="00755F09">
        <w:rPr>
          <w:rFonts w:ascii="Calibri" w:hAnsi="Calibri" w:cs="Calibri"/>
        </w:rPr>
        <w:t>stronger political commitment and new and effective technological advances and interventions. Such changes will impact the results; however, it is impossible for us to predict when and how these would happen</w:t>
      </w:r>
      <w:r>
        <w:rPr>
          <w:rFonts w:ascii="Calibri" w:hAnsi="Calibri" w:cs="Calibri"/>
        </w:rPr>
        <w:t>,</w:t>
      </w:r>
      <w:r w:rsidRPr="00755F09">
        <w:rPr>
          <w:rFonts w:ascii="Calibri" w:hAnsi="Calibri" w:cs="Calibri"/>
        </w:rPr>
        <w:t xml:space="preserve"> and so we could not build them into the model. Second, the methodology does not consider the possibility of a ceiling effect. For example, without more effective interventions and new investments, it might be extremely difficult to reduce the NCD mortality and prevalence rate</w:t>
      </w:r>
      <w:r>
        <w:rPr>
          <w:rFonts w:ascii="Calibri" w:hAnsi="Calibri" w:cs="Calibri"/>
        </w:rPr>
        <w:t>s</w:t>
      </w:r>
      <w:r w:rsidRPr="00755F09">
        <w:rPr>
          <w:rFonts w:ascii="Calibri" w:hAnsi="Calibri" w:cs="Calibri"/>
        </w:rPr>
        <w:t xml:space="preserve"> after they have reached a low level. In addition, we did not build in demographic, socioeconomic</w:t>
      </w:r>
      <w:r>
        <w:rPr>
          <w:rFonts w:ascii="Calibri" w:hAnsi="Calibri" w:cs="Calibri"/>
        </w:rPr>
        <w:t>,</w:t>
      </w:r>
      <w:r w:rsidRPr="00755F09">
        <w:rPr>
          <w:rFonts w:ascii="Calibri" w:hAnsi="Calibri" w:cs="Calibri"/>
        </w:rPr>
        <w:t xml:space="preserve"> and other related factors such as population change, life expectancy, GDP, or educational attainment into the model, thus failing to capture the impact of these factors on the burden of disease. However, including such variables into the projection model would require further projection of these variables, involving many assumptions, which may introduce extra biases and uncertainties and undermine the validity of the projection results.</w:t>
      </w:r>
    </w:p>
    <w:p w14:paraId="4D218902" w14:textId="77777777" w:rsidR="00B656F6" w:rsidRPr="00755F09" w:rsidRDefault="00B656F6" w:rsidP="00B656F6">
      <w:pPr>
        <w:rPr>
          <w:rFonts w:ascii="Calibri" w:hAnsi="Calibri" w:cs="Calibri"/>
        </w:rPr>
      </w:pPr>
      <w:r w:rsidRPr="00755F09">
        <w:rPr>
          <w:rFonts w:ascii="Calibri" w:hAnsi="Calibri" w:cs="Calibri"/>
        </w:rPr>
        <w:t xml:space="preserve">We scaled the indicators in a way that captures how far each indicator is from the SDG targets. However, given that some of the health-related SDGs do not have defined targets, we refer to the international targets issued by WHO if there are no undefined targets and make arbitrary though reasonable targets for those with neither SDG nor WHO targets. In addition, as some of the SDG indicators have relative targets, such as a one-third reduction in premature mortality from NCDs (SDG 3.4), the scaled scores can only reflect the relative progress for these indicators; they mask the performance of absolute values. For example, both Beijing and Chongqing are projected to score 100 in 2030, implying </w:t>
      </w:r>
      <w:r>
        <w:rPr>
          <w:rFonts w:ascii="Calibri" w:hAnsi="Calibri" w:cs="Calibri"/>
        </w:rPr>
        <w:t xml:space="preserve">that </w:t>
      </w:r>
      <w:r w:rsidRPr="00755F09">
        <w:rPr>
          <w:rFonts w:ascii="Calibri" w:hAnsi="Calibri" w:cs="Calibri"/>
        </w:rPr>
        <w:t>they can reduce the premature mortality from NCDs by</w:t>
      </w:r>
      <w:r>
        <w:rPr>
          <w:rFonts w:ascii="Calibri" w:hAnsi="Calibri" w:cs="Calibri"/>
        </w:rPr>
        <w:t xml:space="preserve"> one-third</w:t>
      </w:r>
      <w:r w:rsidRPr="00755F09">
        <w:rPr>
          <w:rFonts w:ascii="Calibri" w:hAnsi="Calibri" w:cs="Calibri"/>
        </w:rPr>
        <w:t>, though the absolute rates are projected to be 153</w:t>
      </w:r>
      <w:r>
        <w:rPr>
          <w:rFonts w:ascii="Calibri" w:hAnsi="Calibri" w:cs="Calibri"/>
        </w:rPr>
        <w:t>.</w:t>
      </w:r>
      <w:r w:rsidRPr="00755F09">
        <w:rPr>
          <w:rFonts w:ascii="Calibri" w:hAnsi="Calibri" w:cs="Calibri"/>
        </w:rPr>
        <w:t>1/100,000 and 256</w:t>
      </w:r>
      <w:r>
        <w:rPr>
          <w:rFonts w:ascii="Calibri" w:hAnsi="Calibri" w:cs="Calibri"/>
        </w:rPr>
        <w:t>.</w:t>
      </w:r>
      <w:r w:rsidRPr="00755F09">
        <w:rPr>
          <w:rFonts w:ascii="Calibri" w:hAnsi="Calibri" w:cs="Calibri"/>
        </w:rPr>
        <w:t>8/100,000 in Beijing and Chongqing, respectively, in 2030.</w:t>
      </w:r>
    </w:p>
    <w:p w14:paraId="1A91DE9B" w14:textId="77777777" w:rsidR="00B656F6" w:rsidRPr="00755F09" w:rsidRDefault="00B656F6" w:rsidP="00B656F6">
      <w:pPr>
        <w:rPr>
          <w:rFonts w:ascii="Calibri" w:hAnsi="Calibri" w:cs="Calibri"/>
        </w:rPr>
      </w:pPr>
      <w:r w:rsidRPr="00755F09">
        <w:rPr>
          <w:rFonts w:ascii="Calibri" w:hAnsi="Calibri" w:cs="Calibri"/>
        </w:rPr>
        <w:t>Finally, the specific SDG health-related indicators may also obscure certain challenges and dimensions of health. For example, women typically experience higher rates of NCD morbidity (but not premature mortality) than men</w:t>
      </w:r>
      <w:r>
        <w:rPr>
          <w:rFonts w:ascii="Calibri" w:hAnsi="Calibri" w:cs="Calibri"/>
        </w:rPr>
        <w:t xml:space="preserve"> [</w:t>
      </w:r>
      <w:r w:rsidRPr="00755F09">
        <w:rPr>
          <w:rFonts w:ascii="Calibri" w:hAnsi="Calibri" w:cs="Calibri"/>
        </w:rPr>
        <w:fldChar w:fldCharType="begin"/>
      </w:r>
      <w:r w:rsidRPr="00755F09">
        <w:rPr>
          <w:rFonts w:ascii="Calibri" w:hAnsi="Calibri" w:cs="Calibri"/>
        </w:rPr>
        <w:instrText xml:space="preserve"> REF _Ref523079263 \r  \* MERGEFORMAT </w:instrText>
      </w:r>
      <w:r w:rsidRPr="00755F09">
        <w:rPr>
          <w:rFonts w:ascii="Calibri" w:hAnsi="Calibri" w:cs="Calibri"/>
        </w:rPr>
        <w:fldChar w:fldCharType="separate"/>
      </w:r>
      <w:r>
        <w:rPr>
          <w:rFonts w:ascii="Calibri" w:hAnsi="Calibri" w:cs="Calibri"/>
        </w:rPr>
        <w:t>56</w:t>
      </w:r>
      <w:r w:rsidRPr="00755F09">
        <w:rPr>
          <w:rFonts w:ascii="Calibri" w:hAnsi="Calibri" w:cs="Calibri"/>
        </w:rPr>
        <w:fldChar w:fldCharType="end"/>
      </w:r>
      <w:r w:rsidRPr="00755F09">
        <w:rPr>
          <w:rFonts w:ascii="Calibri" w:hAnsi="Calibri" w:cs="Calibri"/>
        </w:rPr>
        <w:t>], but this disparity is not captured by these indicators because morbidity data are absent. Similarly, suicide mortality is not a good overall proxy for mental health, with sex disparities varying according to different mental health conditions globally. Consequently, the indicators under the thematic topics may not comprehensively reflect the health performance in the domain.</w:t>
      </w:r>
    </w:p>
    <w:p w14:paraId="6915A1B8" w14:textId="77777777" w:rsidR="00B656F6" w:rsidRPr="00566686" w:rsidRDefault="00B656F6" w:rsidP="00B656F6">
      <w:pPr>
        <w:rPr>
          <w:rFonts w:ascii="Calibri" w:hAnsi="Calibri" w:cs="Calibri"/>
          <w:b/>
          <w:bCs/>
          <w:iCs/>
        </w:rPr>
      </w:pPr>
      <w:r w:rsidRPr="00566686">
        <w:rPr>
          <w:rFonts w:ascii="Calibri" w:hAnsi="Calibri" w:cs="Calibri"/>
          <w:b/>
          <w:bCs/>
          <w:iCs/>
        </w:rPr>
        <w:t>Policy implications</w:t>
      </w:r>
    </w:p>
    <w:p w14:paraId="7DE9FFA2" w14:textId="77777777" w:rsidR="00B656F6" w:rsidRPr="00755F09" w:rsidRDefault="00B656F6" w:rsidP="00B656F6">
      <w:pPr>
        <w:rPr>
          <w:rFonts w:ascii="Calibri" w:hAnsi="Calibri" w:cs="Calibri"/>
        </w:rPr>
      </w:pPr>
      <w:r w:rsidRPr="00755F09">
        <w:rPr>
          <w:rFonts w:ascii="Calibri" w:hAnsi="Calibri" w:cs="Calibri"/>
        </w:rPr>
        <w:t>China needs to take concerted actions to overcome challenges and achieve the health-related SDGs. In</w:t>
      </w:r>
      <w:r>
        <w:rPr>
          <w:rFonts w:ascii="Calibri" w:hAnsi="Calibri" w:cs="Calibri"/>
        </w:rPr>
        <w:t xml:space="preserve"> </w:t>
      </w:r>
      <w:r w:rsidRPr="00755F09">
        <w:rPr>
          <w:rFonts w:ascii="Calibri" w:hAnsi="Calibri" w:cs="Calibri"/>
        </w:rPr>
        <w:t xml:space="preserve">those areas </w:t>
      </w:r>
      <w:r>
        <w:rPr>
          <w:rFonts w:ascii="Calibri" w:hAnsi="Calibri" w:cs="Calibri"/>
        </w:rPr>
        <w:t>in which</w:t>
      </w:r>
      <w:r w:rsidRPr="00755F09">
        <w:rPr>
          <w:rFonts w:ascii="Calibri" w:hAnsi="Calibri" w:cs="Calibri"/>
        </w:rPr>
        <w:t xml:space="preserve"> China has already achieved the SDG targets</w:t>
      </w:r>
      <w:r>
        <w:rPr>
          <w:rFonts w:ascii="Calibri" w:hAnsi="Calibri" w:cs="Calibri"/>
        </w:rPr>
        <w:t>—</w:t>
      </w:r>
      <w:r w:rsidRPr="00755F09">
        <w:rPr>
          <w:rFonts w:ascii="Calibri" w:hAnsi="Calibri" w:cs="Calibri"/>
        </w:rPr>
        <w:t>for instance, in maternal and child health and nutrition</w:t>
      </w:r>
      <w:r>
        <w:rPr>
          <w:rFonts w:ascii="Calibri" w:hAnsi="Calibri" w:cs="Calibri"/>
        </w:rPr>
        <w:t>—</w:t>
      </w:r>
      <w:r w:rsidRPr="00755F09">
        <w:rPr>
          <w:rFonts w:ascii="Calibri" w:hAnsi="Calibri" w:cs="Calibri"/>
        </w:rPr>
        <w:t>the government should synthesize the experiences and best practices that can be applied to the provinces that need to catch up. These experiences and best practices could also be disseminated to other low</w:t>
      </w:r>
      <w:r>
        <w:rPr>
          <w:rFonts w:ascii="Calibri" w:hAnsi="Calibri" w:cs="Calibri"/>
        </w:rPr>
        <w:t>-</w:t>
      </w:r>
      <w:r w:rsidRPr="00755F09">
        <w:rPr>
          <w:rFonts w:ascii="Calibri" w:hAnsi="Calibri" w:cs="Calibri"/>
        </w:rPr>
        <w:t xml:space="preserve"> and middle</w:t>
      </w:r>
      <w:r>
        <w:rPr>
          <w:rFonts w:ascii="Calibri" w:hAnsi="Calibri" w:cs="Calibri"/>
        </w:rPr>
        <w:t>-</w:t>
      </w:r>
      <w:r w:rsidRPr="00755F09">
        <w:rPr>
          <w:rFonts w:ascii="Calibri" w:hAnsi="Calibri" w:cs="Calibri"/>
        </w:rPr>
        <w:t>income countries that are developing their national strategies in advancing the health-related SDGs via South</w:t>
      </w:r>
      <w:r>
        <w:rPr>
          <w:rFonts w:ascii="Calibri" w:hAnsi="Calibri" w:cs="Calibri"/>
        </w:rPr>
        <w:t>–</w:t>
      </w:r>
      <w:r w:rsidRPr="00755F09">
        <w:rPr>
          <w:rFonts w:ascii="Calibri" w:hAnsi="Calibri" w:cs="Calibri"/>
        </w:rPr>
        <w:t>South cooperation and the Belt and Road Initiative.</w:t>
      </w:r>
    </w:p>
    <w:p w14:paraId="1500EA5B" w14:textId="77777777" w:rsidR="00B656F6" w:rsidRDefault="00B656F6" w:rsidP="00B656F6">
      <w:pPr>
        <w:rPr>
          <w:rFonts w:ascii="Calibri" w:hAnsi="Calibri" w:cs="Calibri"/>
        </w:rPr>
      </w:pPr>
      <w:r w:rsidRPr="00755F09">
        <w:rPr>
          <w:rFonts w:cs="Calibri"/>
        </w:rPr>
        <w:t xml:space="preserve">The government needs to examine the root causes of the health problems in areas </w:t>
      </w:r>
      <w:r>
        <w:rPr>
          <w:rFonts w:cs="Calibri"/>
        </w:rPr>
        <w:t>in which</w:t>
      </w:r>
      <w:r w:rsidRPr="00755F09">
        <w:rPr>
          <w:rFonts w:cs="Calibri"/>
        </w:rPr>
        <w:t xml:space="preserve"> </w:t>
      </w:r>
      <w:r w:rsidRPr="00755F09">
        <w:rPr>
          <w:rFonts w:cs="Calibri" w:hint="eastAsia"/>
        </w:rPr>
        <w:t>China</w:t>
      </w:r>
      <w:r w:rsidRPr="00755F09">
        <w:rPr>
          <w:rFonts w:cs="Calibri"/>
        </w:rPr>
        <w:t xml:space="preserve"> has formidable challenges in achieving the health-related SDGs by 2030 and develop and implement a feasible action plan under the current socioeconomic context of China. Then</w:t>
      </w:r>
      <w:r>
        <w:rPr>
          <w:rFonts w:cs="Calibri"/>
        </w:rPr>
        <w:t>, the</w:t>
      </w:r>
      <w:r w:rsidRPr="00755F09">
        <w:rPr>
          <w:rFonts w:cs="Calibri"/>
        </w:rPr>
        <w:t xml:space="preserve"> plan should prioritize key policy interventions for </w:t>
      </w:r>
      <w:r>
        <w:rPr>
          <w:rFonts w:cs="Calibri"/>
        </w:rPr>
        <w:t xml:space="preserve">the </w:t>
      </w:r>
      <w:r w:rsidRPr="00755F09">
        <w:rPr>
          <w:rFonts w:cs="Calibri"/>
        </w:rPr>
        <w:t xml:space="preserve">target population and mobilize adequate resources to tackle these health challenges. Our study has identified key areas for action and cost-effective interventions </w:t>
      </w:r>
      <w:r>
        <w:rPr>
          <w:rFonts w:cs="Calibri"/>
        </w:rPr>
        <w:lastRenderedPageBreak/>
        <w:t xml:space="preserve">in the context of China </w:t>
      </w:r>
      <w:r w:rsidRPr="00755F09">
        <w:rPr>
          <w:rFonts w:cs="Calibri"/>
        </w:rPr>
        <w:t xml:space="preserve">based on findings in the </w:t>
      </w:r>
      <w:r w:rsidRPr="008F0944">
        <w:rPr>
          <w:rFonts w:cs="Calibri"/>
          <w:i/>
          <w:iCs/>
        </w:rPr>
        <w:t>Disease Control Priorities</w:t>
      </w:r>
      <w:r w:rsidRPr="008D6BF4">
        <w:rPr>
          <w:rFonts w:cs="Calibri"/>
        </w:rPr>
        <w:t>,</w:t>
      </w:r>
      <w:r w:rsidRPr="008F0944">
        <w:rPr>
          <w:rFonts w:cs="Calibri"/>
          <w:i/>
          <w:iCs/>
        </w:rPr>
        <w:t xml:space="preserve"> 3rd edition</w:t>
      </w:r>
      <w:r w:rsidRPr="00755F09">
        <w:rPr>
          <w:rFonts w:cs="Calibri"/>
        </w:rPr>
        <w:t xml:space="preserve">, as shown in </w:t>
      </w:r>
      <w:r>
        <w:rPr>
          <w:rFonts w:cs="Calibri"/>
        </w:rPr>
        <w:t>Box</w:t>
      </w:r>
      <w:r w:rsidRPr="00755F09">
        <w:rPr>
          <w:rFonts w:cs="Calibri"/>
        </w:rPr>
        <w:t xml:space="preserve"> 2. Given the limited available health resources, it is critically important to identify which populations should be prioritized for which interventions and develop appropriate approaches to reach these targeted populations. For example, reproductive health interventions may be targeted to rural-to-urban migrant women</w:t>
      </w:r>
      <w:r>
        <w:rPr>
          <w:rFonts w:cs="Calibri"/>
        </w:rPr>
        <w:t xml:space="preserve"> and</w:t>
      </w:r>
      <w:r w:rsidRPr="00755F09">
        <w:rPr>
          <w:rFonts w:cs="Calibri"/>
        </w:rPr>
        <w:t xml:space="preserve"> adolescents and students from universities</w:t>
      </w:r>
      <w:r>
        <w:rPr>
          <w:rFonts w:cs="Calibri"/>
        </w:rPr>
        <w:t xml:space="preserve"> and </w:t>
      </w:r>
      <w:r w:rsidRPr="00755F09">
        <w:rPr>
          <w:rFonts w:cs="Calibri"/>
        </w:rPr>
        <w:t>middle and high schools. To better control infectious diseases (e.g.</w:t>
      </w:r>
      <w:r>
        <w:rPr>
          <w:rFonts w:cs="Calibri"/>
        </w:rPr>
        <w:t>,</w:t>
      </w:r>
      <w:r w:rsidRPr="00755F09">
        <w:rPr>
          <w:rFonts w:cs="Calibri"/>
        </w:rPr>
        <w:t xml:space="preserve"> TB and hepatitis), poor and other vulnerable groups should be prioritized. </w:t>
      </w:r>
      <w:r w:rsidRPr="00755F09">
        <w:rPr>
          <w:rFonts w:ascii="Calibri" w:hAnsi="Calibri" w:cs="Calibri"/>
        </w:rPr>
        <w:t xml:space="preserve">In addition, it is important to address common problems by tackling cross-cutting issues in advancing the health-related SDGs. Key strategies include </w:t>
      </w:r>
      <w:r>
        <w:rPr>
          <w:rFonts w:ascii="Calibri" w:hAnsi="Calibri" w:cs="Calibri"/>
        </w:rPr>
        <w:t>(</w:t>
      </w:r>
      <w:r w:rsidRPr="00755F09">
        <w:rPr>
          <w:rFonts w:ascii="Calibri" w:hAnsi="Calibri" w:cs="Calibri"/>
        </w:rPr>
        <w:t xml:space="preserve">1) enhancing the enforcement of the health-related laws and regulations, </w:t>
      </w:r>
      <w:r>
        <w:rPr>
          <w:rFonts w:ascii="Calibri" w:hAnsi="Calibri" w:cs="Calibri"/>
        </w:rPr>
        <w:t>(</w:t>
      </w:r>
      <w:r w:rsidRPr="00755F09">
        <w:rPr>
          <w:rFonts w:ascii="Calibri" w:hAnsi="Calibri" w:cs="Calibri"/>
        </w:rPr>
        <w:t>2) establishing an effective organizational structure of government agencies and defining their responsibilities and functions clearly for</w:t>
      </w:r>
      <w:r>
        <w:rPr>
          <w:rFonts w:ascii="Calibri" w:hAnsi="Calibri" w:cs="Calibri"/>
        </w:rPr>
        <w:t xml:space="preserve"> </w:t>
      </w:r>
      <w:r w:rsidRPr="00755F09">
        <w:rPr>
          <w:rFonts w:ascii="Calibri" w:hAnsi="Calibri" w:cs="Calibri"/>
        </w:rPr>
        <w:t>implementing health</w:t>
      </w:r>
      <w:r>
        <w:rPr>
          <w:rFonts w:ascii="Calibri" w:hAnsi="Calibri" w:cs="Calibri"/>
        </w:rPr>
        <w:t>-</w:t>
      </w:r>
      <w:r w:rsidRPr="00755F09">
        <w:rPr>
          <w:rFonts w:ascii="Calibri" w:hAnsi="Calibri" w:cs="Calibri"/>
        </w:rPr>
        <w:t>related SDG targets under the auspice</w:t>
      </w:r>
      <w:r>
        <w:rPr>
          <w:rFonts w:ascii="Calibri" w:hAnsi="Calibri" w:cs="Calibri"/>
        </w:rPr>
        <w:t>s</w:t>
      </w:r>
      <w:r w:rsidRPr="00755F09">
        <w:rPr>
          <w:rFonts w:ascii="Calibri" w:hAnsi="Calibri" w:cs="Calibri"/>
        </w:rPr>
        <w:t xml:space="preserve"> of the </w:t>
      </w:r>
      <w:r>
        <w:rPr>
          <w:rFonts w:ascii="Calibri" w:hAnsi="Calibri" w:cs="Calibri"/>
        </w:rPr>
        <w:t>S</w:t>
      </w:r>
      <w:r w:rsidRPr="00755F09">
        <w:rPr>
          <w:rFonts w:ascii="Calibri" w:hAnsi="Calibri" w:cs="Calibri"/>
        </w:rPr>
        <w:t xml:space="preserve">tate </w:t>
      </w:r>
      <w:r>
        <w:rPr>
          <w:rFonts w:ascii="Calibri" w:hAnsi="Calibri" w:cs="Calibri"/>
        </w:rPr>
        <w:t>C</w:t>
      </w:r>
      <w:r w:rsidRPr="00755F09">
        <w:rPr>
          <w:rFonts w:ascii="Calibri" w:hAnsi="Calibri" w:cs="Calibri"/>
        </w:rPr>
        <w:t>ouncil</w:t>
      </w:r>
      <w:r>
        <w:rPr>
          <w:rFonts w:ascii="Calibri" w:hAnsi="Calibri" w:cs="Calibri"/>
        </w:rPr>
        <w:t>,</w:t>
      </w:r>
      <w:r w:rsidRPr="00755F09">
        <w:rPr>
          <w:rFonts w:ascii="Calibri" w:hAnsi="Calibri" w:cs="Calibri"/>
        </w:rPr>
        <w:t xml:space="preserve"> and </w:t>
      </w:r>
      <w:r>
        <w:rPr>
          <w:rFonts w:ascii="Calibri" w:hAnsi="Calibri" w:cs="Calibri"/>
        </w:rPr>
        <w:t>(</w:t>
      </w:r>
      <w:r w:rsidRPr="00755F09">
        <w:rPr>
          <w:rFonts w:ascii="Calibri" w:hAnsi="Calibri" w:cs="Calibri"/>
        </w:rPr>
        <w:t>3) strengthening the development of human resources for health, especially for the least developed regions.</w:t>
      </w:r>
    </w:p>
    <w:p w14:paraId="5F2B6C50" w14:textId="77777777" w:rsidR="00B656F6" w:rsidRPr="00566686" w:rsidRDefault="00B656F6" w:rsidP="00B656F6">
      <w:pPr>
        <w:snapToGrid w:val="0"/>
        <w:spacing w:afterLines="50" w:after="120"/>
        <w:rPr>
          <w:rFonts w:cstheme="minorHAnsi"/>
          <w:b/>
          <w:bCs/>
          <w:sz w:val="18"/>
          <w:szCs w:val="18"/>
          <w:highlight w:val="lightGray"/>
          <w:lang w:val="en-GB"/>
        </w:rPr>
      </w:pPr>
      <w:r w:rsidRPr="00566686">
        <w:rPr>
          <w:b/>
          <w:bCs/>
          <w:sz w:val="18"/>
          <w:szCs w:val="18"/>
          <w:highlight w:val="lightGray"/>
        </w:rPr>
        <w:t>Box 2. Key areas for policy change and implementation</w:t>
      </w:r>
    </w:p>
    <w:p w14:paraId="1FE72F4D" w14:textId="77777777" w:rsidR="00B656F6" w:rsidRPr="00566686" w:rsidRDefault="00B656F6" w:rsidP="00B656F6">
      <w:pPr>
        <w:snapToGrid w:val="0"/>
        <w:spacing w:afterLines="50" w:after="120"/>
        <w:rPr>
          <w:rFonts w:cstheme="minorHAnsi"/>
          <w:iCs/>
          <w:sz w:val="18"/>
          <w:szCs w:val="18"/>
          <w:highlight w:val="lightGray"/>
          <w:u w:val="single"/>
          <w:lang w:val="en-GB"/>
        </w:rPr>
      </w:pPr>
      <w:r w:rsidRPr="00566686">
        <w:rPr>
          <w:rFonts w:cstheme="minorHAnsi"/>
          <w:iCs/>
          <w:sz w:val="18"/>
          <w:szCs w:val="18"/>
          <w:highlight w:val="lightGray"/>
          <w:u w:val="single"/>
          <w:lang w:val="en-GB"/>
        </w:rPr>
        <w:t>a. Tackling child overweight and obesity</w:t>
      </w:r>
    </w:p>
    <w:p w14:paraId="030E6894" w14:textId="77777777" w:rsidR="00B656F6" w:rsidRPr="00566686" w:rsidRDefault="00B656F6" w:rsidP="00B656F6">
      <w:pPr>
        <w:snapToGrid w:val="0"/>
        <w:spacing w:afterLines="50" w:after="120"/>
        <w:rPr>
          <w:rFonts w:cstheme="minorHAnsi"/>
          <w:sz w:val="18"/>
          <w:szCs w:val="18"/>
          <w:highlight w:val="lightGray"/>
          <w:lang w:val="en-GB"/>
        </w:rPr>
      </w:pPr>
      <w:r w:rsidRPr="00566686">
        <w:rPr>
          <w:rFonts w:cstheme="minorHAnsi"/>
          <w:sz w:val="18"/>
          <w:szCs w:val="18"/>
          <w:highlight w:val="lightGray"/>
          <w:lang w:val="en-GB"/>
        </w:rPr>
        <w:t>International experience shows that increasing taxes on sugar-sweetened drinks, subsidizing healthy foods/diets, implementing school-based nutrition interventions, and regulating food and drink sale markets would have positive impacts on the reduction of overweight and obesity. Therefore, appropriate strategies, policies, laws</w:t>
      </w:r>
      <w:r>
        <w:rPr>
          <w:rFonts w:cstheme="minorHAnsi"/>
          <w:sz w:val="18"/>
          <w:szCs w:val="18"/>
          <w:highlight w:val="lightGray"/>
          <w:lang w:val="en-GB"/>
        </w:rPr>
        <w:t>,</w:t>
      </w:r>
      <w:r w:rsidRPr="00566686">
        <w:rPr>
          <w:rFonts w:cstheme="minorHAnsi"/>
          <w:sz w:val="18"/>
          <w:szCs w:val="18"/>
          <w:highlight w:val="lightGray"/>
          <w:lang w:val="en-GB"/>
        </w:rPr>
        <w:t xml:space="preserve"> and regulations should be developed and implemented to address this rising problem.</w:t>
      </w:r>
    </w:p>
    <w:p w14:paraId="5ACEB3CE" w14:textId="77777777" w:rsidR="00B656F6" w:rsidRPr="00566686" w:rsidRDefault="00B656F6" w:rsidP="00B656F6">
      <w:pPr>
        <w:snapToGrid w:val="0"/>
        <w:spacing w:afterLines="50" w:after="120"/>
        <w:rPr>
          <w:rFonts w:cstheme="minorHAnsi"/>
          <w:iCs/>
          <w:sz w:val="18"/>
          <w:szCs w:val="18"/>
          <w:highlight w:val="lightGray"/>
          <w:u w:val="single"/>
          <w:lang w:val="en-GB"/>
        </w:rPr>
      </w:pPr>
      <w:r w:rsidRPr="00566686">
        <w:rPr>
          <w:rFonts w:cstheme="minorHAnsi"/>
          <w:iCs/>
          <w:sz w:val="18"/>
          <w:szCs w:val="18"/>
          <w:highlight w:val="lightGray"/>
          <w:u w:val="single"/>
          <w:lang w:val="en-GB"/>
        </w:rPr>
        <w:t>b. Improving breastfeeding</w:t>
      </w:r>
    </w:p>
    <w:p w14:paraId="46D4CEF6" w14:textId="77777777" w:rsidR="00B656F6" w:rsidRPr="00566686" w:rsidRDefault="00B656F6" w:rsidP="00B656F6">
      <w:pPr>
        <w:snapToGrid w:val="0"/>
        <w:spacing w:afterLines="50" w:after="120"/>
        <w:rPr>
          <w:rFonts w:cstheme="minorHAnsi"/>
          <w:sz w:val="18"/>
          <w:szCs w:val="18"/>
          <w:highlight w:val="lightGray"/>
          <w:lang w:val="en-GB"/>
        </w:rPr>
      </w:pPr>
      <w:r w:rsidRPr="00566686">
        <w:rPr>
          <w:rFonts w:cstheme="minorHAnsi"/>
          <w:sz w:val="18"/>
          <w:szCs w:val="18"/>
          <w:highlight w:val="lightGray"/>
          <w:lang w:val="en-GB"/>
        </w:rPr>
        <w:t>Many strategies could be used to increase breastfeeding in China: establishing more baby-friendly hospitals and clinics [</w:t>
      </w:r>
      <w:r w:rsidRPr="00566686">
        <w:rPr>
          <w:rFonts w:cstheme="minorHAnsi"/>
          <w:sz w:val="18"/>
          <w:szCs w:val="18"/>
          <w:highlight w:val="lightGray"/>
          <w:lang w:val="en-GB"/>
        </w:rPr>
        <w:fldChar w:fldCharType="begin"/>
      </w:r>
      <w:r w:rsidRPr="00566686">
        <w:rPr>
          <w:rFonts w:cstheme="minorHAnsi"/>
          <w:sz w:val="18"/>
          <w:szCs w:val="18"/>
          <w:highlight w:val="lightGray"/>
          <w:lang w:val="en-GB"/>
        </w:rPr>
        <w:instrText xml:space="preserve"> REF _Ref19103222 \r  \* MERGEFORMAT </w:instrText>
      </w:r>
      <w:r w:rsidRPr="00566686">
        <w:rPr>
          <w:rFonts w:cstheme="minorHAnsi"/>
          <w:sz w:val="18"/>
          <w:szCs w:val="18"/>
          <w:highlight w:val="lightGray"/>
          <w:lang w:val="en-GB"/>
        </w:rPr>
        <w:fldChar w:fldCharType="separate"/>
      </w:r>
      <w:r w:rsidRPr="00566686">
        <w:rPr>
          <w:rFonts w:cstheme="minorHAnsi"/>
          <w:sz w:val="18"/>
          <w:szCs w:val="18"/>
          <w:highlight w:val="lightGray"/>
          <w:lang w:val="en-GB"/>
        </w:rPr>
        <w:t>57</w:t>
      </w:r>
      <w:r w:rsidRPr="00566686">
        <w:rPr>
          <w:rFonts w:cstheme="minorHAnsi"/>
          <w:sz w:val="18"/>
          <w:szCs w:val="18"/>
          <w:highlight w:val="lightGray"/>
          <w:lang w:val="en-GB"/>
        </w:rPr>
        <w:fldChar w:fldCharType="end"/>
      </w:r>
      <w:r w:rsidRPr="00566686">
        <w:rPr>
          <w:rFonts w:cstheme="minorHAnsi"/>
          <w:sz w:val="18"/>
          <w:szCs w:val="18"/>
          <w:highlight w:val="lightGray"/>
          <w:lang w:val="en-GB"/>
        </w:rPr>
        <w:t>]; expanding health education programs, including peer education/support [</w:t>
      </w:r>
      <w:r w:rsidRPr="00566686">
        <w:rPr>
          <w:rFonts w:cstheme="minorHAnsi"/>
          <w:sz w:val="18"/>
          <w:szCs w:val="18"/>
          <w:highlight w:val="lightGray"/>
          <w:lang w:val="en-GB"/>
        </w:rPr>
        <w:fldChar w:fldCharType="begin"/>
      </w:r>
      <w:r w:rsidRPr="00566686">
        <w:rPr>
          <w:rFonts w:cstheme="minorHAnsi"/>
          <w:sz w:val="18"/>
          <w:szCs w:val="18"/>
          <w:highlight w:val="lightGray"/>
          <w:lang w:val="en-GB"/>
        </w:rPr>
        <w:instrText xml:space="preserve"> REF _Ref19103260 \r  \* MERGEFORMAT </w:instrText>
      </w:r>
      <w:r w:rsidRPr="00566686">
        <w:rPr>
          <w:rFonts w:cstheme="minorHAnsi"/>
          <w:sz w:val="18"/>
          <w:szCs w:val="18"/>
          <w:highlight w:val="lightGray"/>
          <w:lang w:val="en-GB"/>
        </w:rPr>
        <w:fldChar w:fldCharType="separate"/>
      </w:r>
      <w:r w:rsidRPr="00566686">
        <w:rPr>
          <w:rFonts w:cstheme="minorHAnsi"/>
          <w:sz w:val="18"/>
          <w:szCs w:val="18"/>
          <w:highlight w:val="lightGray"/>
          <w:lang w:val="en-GB"/>
        </w:rPr>
        <w:t>58</w:t>
      </w:r>
      <w:r w:rsidRPr="00566686">
        <w:rPr>
          <w:rFonts w:cstheme="minorHAnsi"/>
          <w:sz w:val="18"/>
          <w:szCs w:val="18"/>
          <w:highlight w:val="lightGray"/>
          <w:lang w:val="en-GB"/>
        </w:rPr>
        <w:fldChar w:fldCharType="end"/>
      </w:r>
      <w:r w:rsidRPr="00566686">
        <w:rPr>
          <w:rFonts w:cstheme="minorHAnsi"/>
          <w:sz w:val="18"/>
          <w:szCs w:val="18"/>
          <w:highlight w:val="lightGray"/>
          <w:lang w:val="en-GB"/>
        </w:rPr>
        <w:t>]; targeting not only women of reproductive age but also the public as a whole; and setting up more places friendly for breastfeeding at working units and communities.</w:t>
      </w:r>
    </w:p>
    <w:p w14:paraId="6D149E23" w14:textId="77777777" w:rsidR="00B656F6" w:rsidRPr="00566686" w:rsidRDefault="00B656F6" w:rsidP="00B656F6">
      <w:pPr>
        <w:snapToGrid w:val="0"/>
        <w:spacing w:afterLines="50" w:after="120"/>
        <w:rPr>
          <w:rFonts w:cstheme="minorHAnsi"/>
          <w:iCs/>
          <w:sz w:val="18"/>
          <w:szCs w:val="18"/>
          <w:highlight w:val="lightGray"/>
          <w:lang w:val="en-GB"/>
        </w:rPr>
      </w:pPr>
      <w:r w:rsidRPr="00566686">
        <w:rPr>
          <w:rFonts w:cstheme="minorHAnsi"/>
          <w:iCs/>
          <w:sz w:val="18"/>
          <w:szCs w:val="18"/>
          <w:highlight w:val="lightGray"/>
          <w:u w:val="single"/>
          <w:lang w:val="en-GB"/>
        </w:rPr>
        <w:t>c. Enhancing access to reproductive health services including strengthening sexual education</w:t>
      </w:r>
    </w:p>
    <w:p w14:paraId="4B039EB3" w14:textId="77777777" w:rsidR="00B656F6" w:rsidRPr="00566686" w:rsidRDefault="00B656F6" w:rsidP="00B656F6">
      <w:pPr>
        <w:snapToGrid w:val="0"/>
        <w:spacing w:afterLines="50" w:after="120"/>
        <w:rPr>
          <w:rFonts w:cstheme="minorHAnsi"/>
          <w:sz w:val="18"/>
          <w:szCs w:val="18"/>
          <w:highlight w:val="lightGray"/>
          <w:lang w:val="en-GB"/>
        </w:rPr>
      </w:pPr>
      <w:r w:rsidRPr="00566686">
        <w:rPr>
          <w:rFonts w:cstheme="minorHAnsi"/>
          <w:sz w:val="18"/>
          <w:szCs w:val="18"/>
          <w:highlight w:val="lightGray"/>
          <w:lang w:val="en-GB"/>
        </w:rPr>
        <w:t>Induced abortion has increasingly become a very serious problem, particularly among unmarried women and teenage girls in China. The government needs to improve access to reproductive healthcare, particularly for vulnerable groups, and develop more health education programs via social media, public adverts, or school-based education platform</w:t>
      </w:r>
      <w:r>
        <w:rPr>
          <w:rFonts w:cstheme="minorHAnsi"/>
          <w:sz w:val="18"/>
          <w:szCs w:val="18"/>
          <w:highlight w:val="lightGray"/>
          <w:lang w:val="en-GB"/>
        </w:rPr>
        <w:t>s</w:t>
      </w:r>
      <w:r w:rsidRPr="00566686">
        <w:rPr>
          <w:rFonts w:cstheme="minorHAnsi"/>
          <w:sz w:val="18"/>
          <w:szCs w:val="18"/>
          <w:highlight w:val="lightGray"/>
        </w:rPr>
        <w:t xml:space="preserve"> [</w:t>
      </w:r>
      <w:r w:rsidRPr="00566686">
        <w:rPr>
          <w:rFonts w:cstheme="minorHAnsi"/>
          <w:sz w:val="18"/>
          <w:szCs w:val="18"/>
          <w:highlight w:val="lightGray"/>
        </w:rPr>
        <w:fldChar w:fldCharType="begin"/>
      </w:r>
      <w:r w:rsidRPr="00566686">
        <w:rPr>
          <w:rFonts w:cstheme="minorHAnsi"/>
          <w:sz w:val="18"/>
          <w:szCs w:val="18"/>
          <w:highlight w:val="lightGray"/>
        </w:rPr>
        <w:instrText xml:space="preserve"> REF _Ref19103331 \r  \* MERGEFORMAT </w:instrText>
      </w:r>
      <w:r w:rsidRPr="00566686">
        <w:rPr>
          <w:rFonts w:cstheme="minorHAnsi"/>
          <w:sz w:val="18"/>
          <w:szCs w:val="18"/>
          <w:highlight w:val="lightGray"/>
        </w:rPr>
        <w:fldChar w:fldCharType="separate"/>
      </w:r>
      <w:r w:rsidRPr="00566686">
        <w:rPr>
          <w:rFonts w:cstheme="minorHAnsi"/>
          <w:sz w:val="18"/>
          <w:szCs w:val="18"/>
          <w:highlight w:val="lightGray"/>
        </w:rPr>
        <w:t>59</w:t>
      </w:r>
      <w:r w:rsidRPr="00566686">
        <w:rPr>
          <w:rFonts w:cstheme="minorHAnsi"/>
          <w:sz w:val="18"/>
          <w:szCs w:val="18"/>
          <w:highlight w:val="lightGray"/>
        </w:rPr>
        <w:fldChar w:fldCharType="end"/>
      </w:r>
      <w:r w:rsidRPr="00566686">
        <w:rPr>
          <w:rFonts w:cstheme="minorHAnsi"/>
          <w:sz w:val="18"/>
          <w:szCs w:val="18"/>
          <w:highlight w:val="lightGray"/>
        </w:rPr>
        <w:t>,</w:t>
      </w:r>
      <w:r w:rsidRPr="00566686">
        <w:rPr>
          <w:rFonts w:cstheme="minorHAnsi"/>
          <w:sz w:val="18"/>
          <w:szCs w:val="18"/>
          <w:highlight w:val="lightGray"/>
        </w:rPr>
        <w:fldChar w:fldCharType="begin"/>
      </w:r>
      <w:r w:rsidRPr="00566686">
        <w:rPr>
          <w:rFonts w:cstheme="minorHAnsi"/>
          <w:sz w:val="18"/>
          <w:szCs w:val="18"/>
          <w:highlight w:val="lightGray"/>
        </w:rPr>
        <w:instrText xml:space="preserve"> REF _Ref19103337 \r  \* MERGEFORMAT </w:instrText>
      </w:r>
      <w:r w:rsidRPr="00566686">
        <w:rPr>
          <w:rFonts w:cstheme="minorHAnsi"/>
          <w:sz w:val="18"/>
          <w:szCs w:val="18"/>
          <w:highlight w:val="lightGray"/>
        </w:rPr>
        <w:fldChar w:fldCharType="separate"/>
      </w:r>
      <w:r w:rsidRPr="00566686">
        <w:rPr>
          <w:rFonts w:cstheme="minorHAnsi"/>
          <w:sz w:val="18"/>
          <w:szCs w:val="18"/>
          <w:highlight w:val="lightGray"/>
        </w:rPr>
        <w:t>60</w:t>
      </w:r>
      <w:r w:rsidRPr="00566686">
        <w:rPr>
          <w:rFonts w:cstheme="minorHAnsi"/>
          <w:sz w:val="18"/>
          <w:szCs w:val="18"/>
          <w:highlight w:val="lightGray"/>
        </w:rPr>
        <w:fldChar w:fldCharType="end"/>
      </w:r>
      <w:r w:rsidRPr="00566686">
        <w:rPr>
          <w:rFonts w:cstheme="minorHAnsi"/>
          <w:sz w:val="18"/>
          <w:szCs w:val="18"/>
          <w:highlight w:val="lightGray"/>
        </w:rPr>
        <w:t>,</w:t>
      </w:r>
      <w:r w:rsidRPr="00566686">
        <w:rPr>
          <w:rFonts w:cstheme="minorHAnsi"/>
          <w:sz w:val="18"/>
          <w:szCs w:val="18"/>
          <w:highlight w:val="lightGray"/>
        </w:rPr>
        <w:fldChar w:fldCharType="begin"/>
      </w:r>
      <w:r w:rsidRPr="00566686">
        <w:rPr>
          <w:rFonts w:cstheme="minorHAnsi"/>
          <w:sz w:val="18"/>
          <w:szCs w:val="18"/>
          <w:highlight w:val="lightGray"/>
        </w:rPr>
        <w:instrText xml:space="preserve"> REF _Ref19103341 \r  \* MERGEFORMAT </w:instrText>
      </w:r>
      <w:r w:rsidRPr="00566686">
        <w:rPr>
          <w:rFonts w:cstheme="minorHAnsi"/>
          <w:sz w:val="18"/>
          <w:szCs w:val="18"/>
          <w:highlight w:val="lightGray"/>
        </w:rPr>
        <w:fldChar w:fldCharType="separate"/>
      </w:r>
      <w:r w:rsidRPr="00566686">
        <w:rPr>
          <w:rFonts w:cstheme="minorHAnsi"/>
          <w:sz w:val="18"/>
          <w:szCs w:val="18"/>
          <w:highlight w:val="lightGray"/>
        </w:rPr>
        <w:t>61</w:t>
      </w:r>
      <w:r w:rsidRPr="00566686">
        <w:rPr>
          <w:rFonts w:cstheme="minorHAnsi"/>
          <w:sz w:val="18"/>
          <w:szCs w:val="18"/>
          <w:highlight w:val="lightGray"/>
        </w:rPr>
        <w:fldChar w:fldCharType="end"/>
      </w:r>
      <w:r w:rsidRPr="00566686">
        <w:rPr>
          <w:rFonts w:cstheme="minorHAnsi"/>
          <w:sz w:val="18"/>
          <w:szCs w:val="18"/>
          <w:highlight w:val="lightGray"/>
        </w:rPr>
        <w:t>,</w:t>
      </w:r>
      <w:r w:rsidRPr="00566686">
        <w:rPr>
          <w:rFonts w:cstheme="minorHAnsi"/>
          <w:sz w:val="18"/>
          <w:szCs w:val="18"/>
          <w:highlight w:val="lightGray"/>
        </w:rPr>
        <w:fldChar w:fldCharType="begin"/>
      </w:r>
      <w:r w:rsidRPr="00566686">
        <w:rPr>
          <w:rFonts w:cstheme="minorHAnsi"/>
          <w:sz w:val="18"/>
          <w:szCs w:val="18"/>
          <w:highlight w:val="lightGray"/>
        </w:rPr>
        <w:instrText xml:space="preserve"> REF _Ref19103345 \r  \* MERGEFORMAT </w:instrText>
      </w:r>
      <w:r w:rsidRPr="00566686">
        <w:rPr>
          <w:rFonts w:cstheme="minorHAnsi"/>
          <w:sz w:val="18"/>
          <w:szCs w:val="18"/>
          <w:highlight w:val="lightGray"/>
        </w:rPr>
        <w:fldChar w:fldCharType="separate"/>
      </w:r>
      <w:r w:rsidRPr="00566686">
        <w:rPr>
          <w:rFonts w:cstheme="minorHAnsi"/>
          <w:sz w:val="18"/>
          <w:szCs w:val="18"/>
          <w:highlight w:val="lightGray"/>
        </w:rPr>
        <w:t>62</w:t>
      </w:r>
      <w:r w:rsidRPr="00566686">
        <w:rPr>
          <w:rFonts w:cstheme="minorHAnsi"/>
          <w:sz w:val="18"/>
          <w:szCs w:val="18"/>
          <w:highlight w:val="lightGray"/>
        </w:rPr>
        <w:fldChar w:fldCharType="end"/>
      </w:r>
      <w:r w:rsidRPr="00566686">
        <w:rPr>
          <w:rFonts w:cstheme="minorHAnsi"/>
          <w:sz w:val="18"/>
          <w:szCs w:val="18"/>
          <w:highlight w:val="lightGray"/>
        </w:rPr>
        <w:t>]</w:t>
      </w:r>
      <w:r w:rsidRPr="00566686">
        <w:rPr>
          <w:rFonts w:cstheme="minorHAnsi"/>
          <w:sz w:val="18"/>
          <w:szCs w:val="18"/>
          <w:highlight w:val="lightGray"/>
          <w:lang w:val="en-GB"/>
        </w:rPr>
        <w:t>. Contraceptive services and products should be made more easily available and covered by either the government budget or health insurance to all those who need it (not just married women).</w:t>
      </w:r>
    </w:p>
    <w:p w14:paraId="64EC07C6" w14:textId="77777777" w:rsidR="00B656F6" w:rsidRPr="00566686" w:rsidRDefault="00B656F6" w:rsidP="00B656F6">
      <w:pPr>
        <w:snapToGrid w:val="0"/>
        <w:spacing w:afterLines="50" w:after="120"/>
        <w:rPr>
          <w:rFonts w:cstheme="minorHAnsi"/>
          <w:iCs/>
          <w:sz w:val="18"/>
          <w:szCs w:val="18"/>
          <w:highlight w:val="lightGray"/>
          <w:u w:val="single"/>
          <w:lang w:val="en-GB"/>
        </w:rPr>
      </w:pPr>
      <w:r w:rsidRPr="00566686">
        <w:rPr>
          <w:rFonts w:cstheme="minorHAnsi"/>
          <w:iCs/>
          <w:sz w:val="18"/>
          <w:szCs w:val="18"/>
          <w:highlight w:val="lightGray"/>
          <w:u w:val="single"/>
          <w:lang w:val="en-GB"/>
        </w:rPr>
        <w:t>d. Strengthening care and control of key infectious diseases</w:t>
      </w:r>
    </w:p>
    <w:p w14:paraId="4DF33376" w14:textId="77777777" w:rsidR="00B656F6" w:rsidRPr="00566686" w:rsidRDefault="00B656F6" w:rsidP="00B656F6">
      <w:pPr>
        <w:snapToGrid w:val="0"/>
        <w:spacing w:afterLines="50" w:after="120"/>
        <w:rPr>
          <w:rFonts w:cstheme="minorHAnsi"/>
          <w:sz w:val="18"/>
          <w:szCs w:val="18"/>
          <w:highlight w:val="lightGray"/>
          <w:lang w:val="en-GB"/>
        </w:rPr>
      </w:pPr>
      <w:r w:rsidRPr="00566686">
        <w:rPr>
          <w:rFonts w:cstheme="minorHAnsi"/>
          <w:sz w:val="18"/>
          <w:szCs w:val="18"/>
          <w:highlight w:val="lightGray"/>
          <w:lang w:val="en-GB"/>
        </w:rPr>
        <w:t>China has developed and implemented good policies and taken appropriate actions on HIV/AIDS over the past decades. Nevertheless, China should also develop more proactive policies and actions on tackling TB/MDR-TB and hepatitis B and C</w:t>
      </w:r>
      <w:r>
        <w:rPr>
          <w:rFonts w:cstheme="minorHAnsi"/>
          <w:sz w:val="18"/>
          <w:szCs w:val="18"/>
          <w:highlight w:val="lightGray"/>
          <w:lang w:val="en-GB"/>
        </w:rPr>
        <w:t>—</w:t>
      </w:r>
      <w:r w:rsidRPr="00566686">
        <w:rPr>
          <w:rFonts w:cstheme="minorHAnsi"/>
          <w:sz w:val="18"/>
          <w:szCs w:val="18"/>
          <w:highlight w:val="lightGray"/>
          <w:lang w:val="en-GB"/>
        </w:rPr>
        <w:t>the top three infectious diseases in terms of burden of disease and number of patients. More favorable policies should be developed by health insurance schemes in China to support these patients to seek affordable care, including new diagnostics and drugs, as required [</w:t>
      </w:r>
      <w:r w:rsidRPr="00566686">
        <w:rPr>
          <w:rFonts w:cstheme="minorHAnsi"/>
          <w:sz w:val="18"/>
          <w:szCs w:val="18"/>
          <w:highlight w:val="lightGray"/>
          <w:lang w:val="en-GB"/>
        </w:rPr>
        <w:fldChar w:fldCharType="begin"/>
      </w:r>
      <w:r w:rsidRPr="00566686">
        <w:rPr>
          <w:rFonts w:cstheme="minorHAnsi"/>
          <w:sz w:val="18"/>
          <w:szCs w:val="18"/>
          <w:highlight w:val="lightGray"/>
          <w:lang w:val="en-GB"/>
        </w:rPr>
        <w:instrText xml:space="preserve"> REF _Ref19103381 \r  \* MERGEFORMAT </w:instrText>
      </w:r>
      <w:r w:rsidRPr="00566686">
        <w:rPr>
          <w:rFonts w:cstheme="minorHAnsi"/>
          <w:sz w:val="18"/>
          <w:szCs w:val="18"/>
          <w:highlight w:val="lightGray"/>
          <w:lang w:val="en-GB"/>
        </w:rPr>
        <w:fldChar w:fldCharType="separate"/>
      </w:r>
      <w:r w:rsidRPr="00566686">
        <w:rPr>
          <w:rFonts w:cstheme="minorHAnsi"/>
          <w:sz w:val="18"/>
          <w:szCs w:val="18"/>
          <w:highlight w:val="lightGray"/>
          <w:lang w:val="en-GB"/>
        </w:rPr>
        <w:t>63</w:t>
      </w:r>
      <w:r w:rsidRPr="00566686">
        <w:rPr>
          <w:rFonts w:cstheme="minorHAnsi"/>
          <w:sz w:val="18"/>
          <w:szCs w:val="18"/>
          <w:highlight w:val="lightGray"/>
          <w:lang w:val="en-GB"/>
        </w:rPr>
        <w:fldChar w:fldCharType="end"/>
      </w:r>
      <w:r w:rsidRPr="00566686">
        <w:rPr>
          <w:rFonts w:cstheme="minorHAnsi"/>
          <w:sz w:val="18"/>
          <w:szCs w:val="18"/>
          <w:highlight w:val="lightGray"/>
          <w:lang w:val="en-GB"/>
        </w:rPr>
        <w:t>,</w:t>
      </w:r>
      <w:r w:rsidRPr="00566686">
        <w:rPr>
          <w:rFonts w:cstheme="minorHAnsi"/>
          <w:sz w:val="18"/>
          <w:szCs w:val="18"/>
          <w:highlight w:val="lightGray"/>
          <w:lang w:val="en-GB"/>
        </w:rPr>
        <w:fldChar w:fldCharType="begin"/>
      </w:r>
      <w:r w:rsidRPr="00566686">
        <w:rPr>
          <w:rFonts w:cstheme="minorHAnsi"/>
          <w:sz w:val="18"/>
          <w:szCs w:val="18"/>
          <w:highlight w:val="lightGray"/>
          <w:lang w:val="en-GB"/>
        </w:rPr>
        <w:instrText xml:space="preserve"> REF _Ref19103385 \r  \* MERGEFORMAT </w:instrText>
      </w:r>
      <w:r w:rsidRPr="00566686">
        <w:rPr>
          <w:rFonts w:cstheme="minorHAnsi"/>
          <w:sz w:val="18"/>
          <w:szCs w:val="18"/>
          <w:highlight w:val="lightGray"/>
          <w:lang w:val="en-GB"/>
        </w:rPr>
        <w:fldChar w:fldCharType="separate"/>
      </w:r>
      <w:r w:rsidRPr="00566686">
        <w:rPr>
          <w:rFonts w:cstheme="minorHAnsi"/>
          <w:sz w:val="18"/>
          <w:szCs w:val="18"/>
          <w:highlight w:val="lightGray"/>
          <w:lang w:val="en-GB"/>
        </w:rPr>
        <w:t>64</w:t>
      </w:r>
      <w:r w:rsidRPr="00566686">
        <w:rPr>
          <w:rFonts w:cstheme="minorHAnsi"/>
          <w:sz w:val="18"/>
          <w:szCs w:val="18"/>
          <w:highlight w:val="lightGray"/>
          <w:lang w:val="en-GB"/>
        </w:rPr>
        <w:fldChar w:fldCharType="end"/>
      </w:r>
      <w:r w:rsidRPr="00566686">
        <w:rPr>
          <w:rFonts w:cstheme="minorHAnsi"/>
          <w:sz w:val="18"/>
          <w:szCs w:val="18"/>
          <w:highlight w:val="lightGray"/>
          <w:lang w:val="en-GB"/>
        </w:rPr>
        <w:t>,</w:t>
      </w:r>
      <w:r w:rsidRPr="00566686">
        <w:rPr>
          <w:rFonts w:cstheme="minorHAnsi"/>
          <w:sz w:val="18"/>
          <w:szCs w:val="18"/>
          <w:highlight w:val="lightGray"/>
          <w:lang w:val="en-GB"/>
        </w:rPr>
        <w:fldChar w:fldCharType="begin"/>
      </w:r>
      <w:r w:rsidRPr="00566686">
        <w:rPr>
          <w:rFonts w:cstheme="minorHAnsi"/>
          <w:sz w:val="18"/>
          <w:szCs w:val="18"/>
          <w:highlight w:val="lightGray"/>
          <w:lang w:val="en-GB"/>
        </w:rPr>
        <w:instrText xml:space="preserve"> REF _Ref19103388 \r  \* MERGEFORMAT </w:instrText>
      </w:r>
      <w:r w:rsidRPr="00566686">
        <w:rPr>
          <w:rFonts w:cstheme="minorHAnsi"/>
          <w:sz w:val="18"/>
          <w:szCs w:val="18"/>
          <w:highlight w:val="lightGray"/>
          <w:lang w:val="en-GB"/>
        </w:rPr>
        <w:fldChar w:fldCharType="separate"/>
      </w:r>
      <w:r w:rsidRPr="00566686">
        <w:rPr>
          <w:rFonts w:cstheme="minorHAnsi"/>
          <w:sz w:val="18"/>
          <w:szCs w:val="18"/>
          <w:highlight w:val="lightGray"/>
          <w:lang w:val="en-GB"/>
        </w:rPr>
        <w:t>65</w:t>
      </w:r>
      <w:r w:rsidRPr="00566686">
        <w:rPr>
          <w:rFonts w:cstheme="minorHAnsi"/>
          <w:sz w:val="18"/>
          <w:szCs w:val="18"/>
          <w:highlight w:val="lightGray"/>
          <w:lang w:val="en-GB"/>
        </w:rPr>
        <w:fldChar w:fldCharType="end"/>
      </w:r>
      <w:r w:rsidRPr="00566686">
        <w:rPr>
          <w:rFonts w:cstheme="minorHAnsi"/>
          <w:sz w:val="18"/>
          <w:szCs w:val="18"/>
          <w:highlight w:val="lightGray"/>
          <w:lang w:val="en-GB"/>
        </w:rPr>
        <w:t xml:space="preserve">]. The government budget earmarked for control of these diseases should be increased, and better used, and funding for public health intervention programs should be </w:t>
      </w:r>
      <w:r>
        <w:rPr>
          <w:rFonts w:cstheme="minorHAnsi"/>
          <w:sz w:val="18"/>
          <w:szCs w:val="18"/>
          <w:highlight w:val="lightGray"/>
          <w:lang w:val="en-GB"/>
        </w:rPr>
        <w:t xml:space="preserve">allocated </w:t>
      </w:r>
      <w:r w:rsidRPr="00566686">
        <w:rPr>
          <w:rFonts w:cstheme="minorHAnsi"/>
          <w:sz w:val="18"/>
          <w:szCs w:val="18"/>
          <w:highlight w:val="lightGray"/>
          <w:lang w:val="en-GB"/>
        </w:rPr>
        <w:t>toward these priorities.</w:t>
      </w:r>
    </w:p>
    <w:p w14:paraId="060A0B5D" w14:textId="77777777" w:rsidR="00B656F6" w:rsidRPr="00566686" w:rsidRDefault="00B656F6" w:rsidP="00B656F6">
      <w:pPr>
        <w:snapToGrid w:val="0"/>
        <w:spacing w:afterLines="50" w:after="120"/>
        <w:rPr>
          <w:rFonts w:cstheme="minorHAnsi"/>
          <w:iCs/>
          <w:sz w:val="18"/>
          <w:szCs w:val="18"/>
          <w:highlight w:val="lightGray"/>
          <w:u w:val="single"/>
          <w:lang w:val="en-GB"/>
        </w:rPr>
      </w:pPr>
      <w:r w:rsidRPr="00566686">
        <w:rPr>
          <w:rFonts w:cstheme="minorHAnsi"/>
          <w:iCs/>
          <w:sz w:val="18"/>
          <w:szCs w:val="18"/>
          <w:highlight w:val="lightGray"/>
          <w:u w:val="single"/>
          <w:lang w:val="en-GB"/>
        </w:rPr>
        <w:t>e. Developing and implementing effective preventive interventions for NCDs</w:t>
      </w:r>
    </w:p>
    <w:p w14:paraId="4A62ABED" w14:textId="77777777" w:rsidR="00B656F6" w:rsidRPr="00566686" w:rsidRDefault="00B656F6" w:rsidP="00B656F6">
      <w:pPr>
        <w:snapToGrid w:val="0"/>
        <w:spacing w:afterLines="50" w:after="120"/>
        <w:rPr>
          <w:rFonts w:cstheme="minorHAnsi"/>
          <w:sz w:val="18"/>
          <w:szCs w:val="18"/>
          <w:highlight w:val="lightGray"/>
          <w:lang w:val="en-GB"/>
        </w:rPr>
      </w:pPr>
      <w:r w:rsidRPr="00566686">
        <w:rPr>
          <w:rFonts w:cstheme="minorHAnsi"/>
          <w:sz w:val="18"/>
          <w:szCs w:val="18"/>
          <w:highlight w:val="lightGray"/>
          <w:lang w:val="en-GB"/>
        </w:rPr>
        <w:t>Community-based interventions, particularly targeting key risk factors of NCDs, must be developed and implemented in order to prevent more people from developing NCDs. A set of concerted interventions, including the enforcement of relevant health legislation (e.g.</w:t>
      </w:r>
      <w:r>
        <w:rPr>
          <w:rFonts w:cstheme="minorHAnsi"/>
          <w:sz w:val="18"/>
          <w:szCs w:val="18"/>
          <w:highlight w:val="lightGray"/>
          <w:lang w:val="en-GB"/>
        </w:rPr>
        <w:t>,</w:t>
      </w:r>
      <w:r w:rsidRPr="00566686">
        <w:rPr>
          <w:rFonts w:cstheme="minorHAnsi"/>
          <w:sz w:val="18"/>
          <w:szCs w:val="18"/>
          <w:highlight w:val="lightGray"/>
          <w:lang w:val="en-GB"/>
        </w:rPr>
        <w:t xml:space="preserve"> implementing the Framework Convention on Tobacco Control)</w:t>
      </w:r>
      <w:r>
        <w:rPr>
          <w:rFonts w:cstheme="minorHAnsi"/>
          <w:sz w:val="18"/>
          <w:szCs w:val="18"/>
          <w:highlight w:val="lightGray"/>
          <w:lang w:val="en-GB"/>
        </w:rPr>
        <w:t>;</w:t>
      </w:r>
      <w:r w:rsidRPr="00566686">
        <w:rPr>
          <w:rFonts w:cstheme="minorHAnsi"/>
          <w:sz w:val="18"/>
          <w:szCs w:val="18"/>
          <w:highlight w:val="lightGray"/>
          <w:lang w:val="en-GB"/>
        </w:rPr>
        <w:t xml:space="preserve"> increasing tobacco and alcohol taxes [</w:t>
      </w:r>
      <w:r w:rsidRPr="00566686">
        <w:rPr>
          <w:rFonts w:cstheme="minorHAnsi"/>
          <w:sz w:val="18"/>
          <w:szCs w:val="18"/>
          <w:highlight w:val="lightGray"/>
          <w:lang w:val="en-GB"/>
        </w:rPr>
        <w:fldChar w:fldCharType="begin"/>
      </w:r>
      <w:r w:rsidRPr="00566686">
        <w:rPr>
          <w:rFonts w:cstheme="minorHAnsi"/>
          <w:sz w:val="18"/>
          <w:szCs w:val="18"/>
          <w:highlight w:val="lightGray"/>
          <w:lang w:val="en-GB"/>
        </w:rPr>
        <w:instrText xml:space="preserve"> REF _Ref19103433 \r  \* MERGEFORMAT </w:instrText>
      </w:r>
      <w:r w:rsidRPr="00566686">
        <w:rPr>
          <w:rFonts w:cstheme="minorHAnsi"/>
          <w:sz w:val="18"/>
          <w:szCs w:val="18"/>
          <w:highlight w:val="lightGray"/>
          <w:lang w:val="en-GB"/>
        </w:rPr>
        <w:fldChar w:fldCharType="separate"/>
      </w:r>
      <w:r w:rsidRPr="00566686">
        <w:rPr>
          <w:rFonts w:cstheme="minorHAnsi"/>
          <w:sz w:val="18"/>
          <w:szCs w:val="18"/>
          <w:highlight w:val="lightGray"/>
          <w:lang w:val="en-GB"/>
        </w:rPr>
        <w:t>66</w:t>
      </w:r>
      <w:r w:rsidRPr="00566686">
        <w:rPr>
          <w:rFonts w:cstheme="minorHAnsi"/>
          <w:sz w:val="18"/>
          <w:szCs w:val="18"/>
          <w:highlight w:val="lightGray"/>
          <w:lang w:val="en-GB"/>
        </w:rPr>
        <w:fldChar w:fldCharType="end"/>
      </w:r>
      <w:r w:rsidRPr="00566686">
        <w:rPr>
          <w:rFonts w:cstheme="minorHAnsi"/>
          <w:sz w:val="18"/>
          <w:szCs w:val="18"/>
          <w:highlight w:val="lightGray"/>
          <w:lang w:val="en-GB"/>
        </w:rPr>
        <w:t>,</w:t>
      </w:r>
      <w:r w:rsidRPr="00566686">
        <w:rPr>
          <w:rFonts w:cstheme="minorHAnsi"/>
          <w:sz w:val="18"/>
          <w:szCs w:val="18"/>
          <w:highlight w:val="lightGray"/>
          <w:lang w:val="en-GB"/>
        </w:rPr>
        <w:fldChar w:fldCharType="begin"/>
      </w:r>
      <w:r w:rsidRPr="00566686">
        <w:rPr>
          <w:rFonts w:cstheme="minorHAnsi"/>
          <w:sz w:val="18"/>
          <w:szCs w:val="18"/>
          <w:highlight w:val="lightGray"/>
          <w:lang w:val="en-GB"/>
        </w:rPr>
        <w:instrText xml:space="preserve"> REF _Ref19103440 \r  \* MERGEFORMAT </w:instrText>
      </w:r>
      <w:r w:rsidRPr="00566686">
        <w:rPr>
          <w:rFonts w:cstheme="minorHAnsi"/>
          <w:sz w:val="18"/>
          <w:szCs w:val="18"/>
          <w:highlight w:val="lightGray"/>
          <w:lang w:val="en-GB"/>
        </w:rPr>
        <w:fldChar w:fldCharType="separate"/>
      </w:r>
      <w:r w:rsidRPr="00566686">
        <w:rPr>
          <w:rFonts w:cstheme="minorHAnsi"/>
          <w:sz w:val="18"/>
          <w:szCs w:val="18"/>
          <w:highlight w:val="lightGray"/>
          <w:lang w:val="en-GB"/>
        </w:rPr>
        <w:t>67</w:t>
      </w:r>
      <w:r w:rsidRPr="00566686">
        <w:rPr>
          <w:rFonts w:cstheme="minorHAnsi"/>
          <w:sz w:val="18"/>
          <w:szCs w:val="18"/>
          <w:highlight w:val="lightGray"/>
          <w:lang w:val="en-GB"/>
        </w:rPr>
        <w:fldChar w:fldCharType="end"/>
      </w:r>
      <w:r w:rsidRPr="00566686">
        <w:rPr>
          <w:rFonts w:cstheme="minorHAnsi"/>
          <w:sz w:val="18"/>
          <w:szCs w:val="18"/>
          <w:highlight w:val="lightGray"/>
          <w:lang w:val="en-GB"/>
        </w:rPr>
        <w:t>]</w:t>
      </w:r>
      <w:r>
        <w:rPr>
          <w:rFonts w:cstheme="minorHAnsi"/>
          <w:sz w:val="18"/>
          <w:szCs w:val="18"/>
          <w:highlight w:val="lightGray"/>
          <w:lang w:val="en-GB"/>
        </w:rPr>
        <w:t>;</w:t>
      </w:r>
      <w:r w:rsidRPr="00566686">
        <w:rPr>
          <w:rFonts w:cstheme="minorHAnsi"/>
          <w:sz w:val="18"/>
          <w:szCs w:val="18"/>
          <w:highlight w:val="lightGray"/>
          <w:lang w:val="en-GB"/>
        </w:rPr>
        <w:t xml:space="preserve"> strengthening the control on the packaging and adverti</w:t>
      </w:r>
      <w:r>
        <w:rPr>
          <w:rFonts w:cstheme="minorHAnsi"/>
          <w:sz w:val="18"/>
          <w:szCs w:val="18"/>
          <w:highlight w:val="lightGray"/>
          <w:lang w:val="en-GB"/>
        </w:rPr>
        <w:t>s</w:t>
      </w:r>
      <w:r w:rsidRPr="00566686">
        <w:rPr>
          <w:rFonts w:cstheme="minorHAnsi"/>
          <w:sz w:val="18"/>
          <w:szCs w:val="18"/>
          <w:highlight w:val="lightGray"/>
          <w:lang w:val="en-GB"/>
        </w:rPr>
        <w:t>ing of tobacco products [</w:t>
      </w:r>
      <w:r w:rsidRPr="00566686">
        <w:rPr>
          <w:rFonts w:cstheme="minorHAnsi"/>
          <w:sz w:val="18"/>
          <w:szCs w:val="18"/>
          <w:highlight w:val="lightGray"/>
          <w:lang w:val="en-GB"/>
        </w:rPr>
        <w:fldChar w:fldCharType="begin"/>
      </w:r>
      <w:r w:rsidRPr="00566686">
        <w:rPr>
          <w:rFonts w:cstheme="minorHAnsi"/>
          <w:sz w:val="18"/>
          <w:szCs w:val="18"/>
          <w:highlight w:val="lightGray"/>
          <w:lang w:val="en-GB"/>
        </w:rPr>
        <w:instrText xml:space="preserve"> REF _Ref19103484 \r  \* MERGEFORMAT </w:instrText>
      </w:r>
      <w:r w:rsidRPr="00566686">
        <w:rPr>
          <w:rFonts w:cstheme="minorHAnsi"/>
          <w:sz w:val="18"/>
          <w:szCs w:val="18"/>
          <w:highlight w:val="lightGray"/>
          <w:lang w:val="en-GB"/>
        </w:rPr>
        <w:fldChar w:fldCharType="separate"/>
      </w:r>
      <w:r w:rsidRPr="00566686">
        <w:rPr>
          <w:rFonts w:cstheme="minorHAnsi"/>
          <w:sz w:val="18"/>
          <w:szCs w:val="18"/>
          <w:highlight w:val="lightGray"/>
          <w:lang w:val="en-GB"/>
        </w:rPr>
        <w:t>68</w:t>
      </w:r>
      <w:r w:rsidRPr="00566686">
        <w:rPr>
          <w:rFonts w:cstheme="minorHAnsi"/>
          <w:sz w:val="18"/>
          <w:szCs w:val="18"/>
          <w:highlight w:val="lightGray"/>
          <w:lang w:val="en-GB"/>
        </w:rPr>
        <w:fldChar w:fldCharType="end"/>
      </w:r>
      <w:r w:rsidRPr="00566686">
        <w:rPr>
          <w:rFonts w:cstheme="minorHAnsi"/>
          <w:sz w:val="18"/>
          <w:szCs w:val="18"/>
          <w:highlight w:val="lightGray"/>
          <w:lang w:val="en-GB"/>
        </w:rPr>
        <w:t>,</w:t>
      </w:r>
      <w:r w:rsidRPr="00566686">
        <w:rPr>
          <w:rFonts w:cstheme="minorHAnsi"/>
          <w:sz w:val="18"/>
          <w:szCs w:val="18"/>
          <w:highlight w:val="lightGray"/>
          <w:lang w:val="en-GB"/>
        </w:rPr>
        <w:fldChar w:fldCharType="begin"/>
      </w:r>
      <w:r w:rsidRPr="00566686">
        <w:rPr>
          <w:rFonts w:cstheme="minorHAnsi"/>
          <w:sz w:val="18"/>
          <w:szCs w:val="18"/>
          <w:highlight w:val="lightGray"/>
          <w:lang w:val="en-GB"/>
        </w:rPr>
        <w:instrText xml:space="preserve"> REF _Ref19103489 \r  \* MERGEFORMAT </w:instrText>
      </w:r>
      <w:r w:rsidRPr="00566686">
        <w:rPr>
          <w:rFonts w:cstheme="minorHAnsi"/>
          <w:sz w:val="18"/>
          <w:szCs w:val="18"/>
          <w:highlight w:val="lightGray"/>
          <w:lang w:val="en-GB"/>
        </w:rPr>
        <w:fldChar w:fldCharType="separate"/>
      </w:r>
      <w:r w:rsidRPr="00566686">
        <w:rPr>
          <w:rFonts w:cstheme="minorHAnsi"/>
          <w:sz w:val="18"/>
          <w:szCs w:val="18"/>
          <w:highlight w:val="lightGray"/>
          <w:lang w:val="en-GB"/>
        </w:rPr>
        <w:t>69</w:t>
      </w:r>
      <w:r w:rsidRPr="00566686">
        <w:rPr>
          <w:rFonts w:cstheme="minorHAnsi"/>
          <w:sz w:val="18"/>
          <w:szCs w:val="18"/>
          <w:highlight w:val="lightGray"/>
          <w:lang w:val="en-GB"/>
        </w:rPr>
        <w:fldChar w:fldCharType="end"/>
      </w:r>
      <w:r w:rsidRPr="00566686">
        <w:rPr>
          <w:rFonts w:cstheme="minorHAnsi"/>
          <w:sz w:val="18"/>
          <w:szCs w:val="18"/>
          <w:highlight w:val="lightGray"/>
          <w:lang w:val="en-GB"/>
        </w:rPr>
        <w:t>,</w:t>
      </w:r>
      <w:r w:rsidRPr="00566686">
        <w:rPr>
          <w:rFonts w:cstheme="minorHAnsi"/>
          <w:sz w:val="18"/>
          <w:szCs w:val="18"/>
          <w:highlight w:val="lightGray"/>
          <w:lang w:val="en-GB"/>
        </w:rPr>
        <w:fldChar w:fldCharType="begin"/>
      </w:r>
      <w:r w:rsidRPr="00566686">
        <w:rPr>
          <w:rFonts w:cstheme="minorHAnsi"/>
          <w:sz w:val="18"/>
          <w:szCs w:val="18"/>
          <w:highlight w:val="lightGray"/>
          <w:lang w:val="en-GB"/>
        </w:rPr>
        <w:instrText xml:space="preserve"> REF _Ref19103494 \r  \* MERGEFORMAT </w:instrText>
      </w:r>
      <w:r w:rsidRPr="00566686">
        <w:rPr>
          <w:rFonts w:cstheme="minorHAnsi"/>
          <w:sz w:val="18"/>
          <w:szCs w:val="18"/>
          <w:highlight w:val="lightGray"/>
          <w:lang w:val="en-GB"/>
        </w:rPr>
        <w:fldChar w:fldCharType="separate"/>
      </w:r>
      <w:r w:rsidRPr="00566686">
        <w:rPr>
          <w:rFonts w:cstheme="minorHAnsi"/>
          <w:sz w:val="18"/>
          <w:szCs w:val="18"/>
          <w:highlight w:val="lightGray"/>
          <w:lang w:val="en-GB"/>
        </w:rPr>
        <w:t>70</w:t>
      </w:r>
      <w:r w:rsidRPr="00566686">
        <w:rPr>
          <w:rFonts w:cstheme="minorHAnsi"/>
          <w:sz w:val="18"/>
          <w:szCs w:val="18"/>
          <w:highlight w:val="lightGray"/>
          <w:lang w:val="en-GB"/>
        </w:rPr>
        <w:fldChar w:fldCharType="end"/>
      </w:r>
      <w:r w:rsidRPr="00566686">
        <w:rPr>
          <w:rFonts w:cstheme="minorHAnsi"/>
          <w:sz w:val="18"/>
          <w:szCs w:val="18"/>
          <w:highlight w:val="lightGray"/>
          <w:lang w:val="en-GB"/>
        </w:rPr>
        <w:t>]</w:t>
      </w:r>
      <w:r>
        <w:rPr>
          <w:rFonts w:cstheme="minorHAnsi"/>
          <w:sz w:val="18"/>
          <w:szCs w:val="18"/>
          <w:highlight w:val="lightGray"/>
          <w:lang w:val="en-GB"/>
        </w:rPr>
        <w:t>;</w:t>
      </w:r>
      <w:r w:rsidRPr="00566686">
        <w:rPr>
          <w:rFonts w:cstheme="minorHAnsi"/>
          <w:sz w:val="18"/>
          <w:szCs w:val="18"/>
          <w:highlight w:val="lightGray"/>
          <w:lang w:val="en-GB"/>
        </w:rPr>
        <w:t xml:space="preserve"> ban on public smoking [</w:t>
      </w:r>
      <w:r w:rsidRPr="00566686">
        <w:rPr>
          <w:rFonts w:cstheme="minorHAnsi"/>
          <w:sz w:val="18"/>
          <w:szCs w:val="18"/>
          <w:highlight w:val="lightGray"/>
          <w:lang w:val="en-GB"/>
        </w:rPr>
        <w:fldChar w:fldCharType="begin"/>
      </w:r>
      <w:r w:rsidRPr="00566686">
        <w:rPr>
          <w:rFonts w:cstheme="minorHAnsi"/>
          <w:sz w:val="18"/>
          <w:szCs w:val="18"/>
          <w:highlight w:val="lightGray"/>
          <w:lang w:val="en-GB"/>
        </w:rPr>
        <w:instrText xml:space="preserve"> REF _Ref19103541 \r  \* MERGEFORMAT </w:instrText>
      </w:r>
      <w:r w:rsidRPr="00566686">
        <w:rPr>
          <w:rFonts w:cstheme="minorHAnsi"/>
          <w:sz w:val="18"/>
          <w:szCs w:val="18"/>
          <w:highlight w:val="lightGray"/>
          <w:lang w:val="en-GB"/>
        </w:rPr>
        <w:fldChar w:fldCharType="separate"/>
      </w:r>
      <w:r w:rsidRPr="00566686">
        <w:rPr>
          <w:rFonts w:cstheme="minorHAnsi"/>
          <w:sz w:val="18"/>
          <w:szCs w:val="18"/>
          <w:highlight w:val="lightGray"/>
          <w:lang w:val="en-GB"/>
        </w:rPr>
        <w:t>71</w:t>
      </w:r>
      <w:r w:rsidRPr="00566686">
        <w:rPr>
          <w:rFonts w:cstheme="minorHAnsi"/>
          <w:sz w:val="18"/>
          <w:szCs w:val="18"/>
          <w:highlight w:val="lightGray"/>
          <w:lang w:val="en-GB"/>
        </w:rPr>
        <w:fldChar w:fldCharType="end"/>
      </w:r>
      <w:r w:rsidRPr="00566686">
        <w:rPr>
          <w:rFonts w:cstheme="minorHAnsi"/>
          <w:sz w:val="18"/>
          <w:szCs w:val="18"/>
          <w:highlight w:val="lightGray"/>
          <w:lang w:val="en-GB"/>
        </w:rPr>
        <w:t>,</w:t>
      </w:r>
      <w:r w:rsidRPr="00566686">
        <w:rPr>
          <w:rFonts w:cstheme="minorHAnsi"/>
          <w:sz w:val="18"/>
          <w:szCs w:val="18"/>
          <w:highlight w:val="lightGray"/>
          <w:lang w:val="en-GB"/>
        </w:rPr>
        <w:fldChar w:fldCharType="begin"/>
      </w:r>
      <w:r w:rsidRPr="00566686">
        <w:rPr>
          <w:rFonts w:cstheme="minorHAnsi"/>
          <w:sz w:val="18"/>
          <w:szCs w:val="18"/>
          <w:highlight w:val="lightGray"/>
          <w:lang w:val="en-GB"/>
        </w:rPr>
        <w:instrText xml:space="preserve"> REF _Ref19103545 \r  \* MERGEFORMAT </w:instrText>
      </w:r>
      <w:r w:rsidRPr="00566686">
        <w:rPr>
          <w:rFonts w:cstheme="minorHAnsi"/>
          <w:sz w:val="18"/>
          <w:szCs w:val="18"/>
          <w:highlight w:val="lightGray"/>
          <w:lang w:val="en-GB"/>
        </w:rPr>
        <w:fldChar w:fldCharType="separate"/>
      </w:r>
      <w:r w:rsidRPr="00566686">
        <w:rPr>
          <w:rFonts w:cstheme="minorHAnsi"/>
          <w:sz w:val="18"/>
          <w:szCs w:val="18"/>
          <w:highlight w:val="lightGray"/>
          <w:lang w:val="en-GB"/>
        </w:rPr>
        <w:t>72</w:t>
      </w:r>
      <w:r w:rsidRPr="00566686">
        <w:rPr>
          <w:rFonts w:cstheme="minorHAnsi"/>
          <w:sz w:val="18"/>
          <w:szCs w:val="18"/>
          <w:highlight w:val="lightGray"/>
          <w:lang w:val="en-GB"/>
        </w:rPr>
        <w:fldChar w:fldCharType="end"/>
      </w:r>
      <w:r w:rsidRPr="00566686">
        <w:rPr>
          <w:rFonts w:cstheme="minorHAnsi"/>
          <w:sz w:val="18"/>
          <w:szCs w:val="18"/>
          <w:highlight w:val="lightGray"/>
          <w:lang w:val="en-GB"/>
        </w:rPr>
        <w:t>]</w:t>
      </w:r>
      <w:r>
        <w:rPr>
          <w:rFonts w:cstheme="minorHAnsi"/>
          <w:sz w:val="18"/>
          <w:szCs w:val="18"/>
          <w:highlight w:val="lightGray"/>
          <w:lang w:val="en-GB"/>
        </w:rPr>
        <w:t>;</w:t>
      </w:r>
      <w:r w:rsidRPr="00566686">
        <w:rPr>
          <w:rFonts w:cstheme="minorHAnsi"/>
          <w:sz w:val="18"/>
          <w:szCs w:val="18"/>
          <w:highlight w:val="lightGray"/>
          <w:lang w:val="en-GB"/>
        </w:rPr>
        <w:t xml:space="preserve"> adopting social media to promote healthy lifestyles including reducing the intake of salt, cooking oil</w:t>
      </w:r>
      <w:r>
        <w:rPr>
          <w:rFonts w:cstheme="minorHAnsi"/>
          <w:sz w:val="18"/>
          <w:szCs w:val="18"/>
          <w:highlight w:val="lightGray"/>
          <w:lang w:val="en-GB"/>
        </w:rPr>
        <w:t>,</w:t>
      </w:r>
      <w:r w:rsidRPr="00566686">
        <w:rPr>
          <w:rFonts w:cstheme="minorHAnsi"/>
          <w:sz w:val="18"/>
          <w:szCs w:val="18"/>
          <w:highlight w:val="lightGray"/>
          <w:lang w:val="en-GB"/>
        </w:rPr>
        <w:t xml:space="preserve"> and sugar</w:t>
      </w:r>
      <w:r>
        <w:rPr>
          <w:rFonts w:cstheme="minorHAnsi"/>
          <w:sz w:val="18"/>
          <w:szCs w:val="18"/>
          <w:highlight w:val="lightGray"/>
          <w:lang w:val="en-GB"/>
        </w:rPr>
        <w:t>;</w:t>
      </w:r>
      <w:r w:rsidRPr="00566686">
        <w:rPr>
          <w:rFonts w:cstheme="minorHAnsi"/>
          <w:sz w:val="18"/>
          <w:szCs w:val="18"/>
          <w:highlight w:val="lightGray"/>
          <w:lang w:val="en-GB"/>
        </w:rPr>
        <w:t xml:space="preserve"> increasing physical exercise</w:t>
      </w:r>
      <w:r>
        <w:rPr>
          <w:rFonts w:cstheme="minorHAnsi"/>
          <w:sz w:val="18"/>
          <w:szCs w:val="18"/>
          <w:highlight w:val="lightGray"/>
          <w:lang w:val="en-GB"/>
        </w:rPr>
        <w:t>;</w:t>
      </w:r>
      <w:r w:rsidRPr="00566686">
        <w:rPr>
          <w:rFonts w:cstheme="minorHAnsi"/>
          <w:sz w:val="18"/>
          <w:szCs w:val="18"/>
          <w:highlight w:val="lightGray"/>
          <w:lang w:val="en-GB"/>
        </w:rPr>
        <w:t xml:space="preserve"> and improving air quality, must be developed under the auspice</w:t>
      </w:r>
      <w:r>
        <w:rPr>
          <w:rFonts w:cstheme="minorHAnsi"/>
          <w:sz w:val="18"/>
          <w:szCs w:val="18"/>
          <w:highlight w:val="lightGray"/>
          <w:lang w:val="en-GB"/>
        </w:rPr>
        <w:t>s</w:t>
      </w:r>
      <w:r w:rsidRPr="00566686">
        <w:rPr>
          <w:rFonts w:cstheme="minorHAnsi"/>
          <w:sz w:val="18"/>
          <w:szCs w:val="18"/>
          <w:highlight w:val="lightGray"/>
          <w:lang w:val="en-GB"/>
        </w:rPr>
        <w:t xml:space="preserve"> of the national health commission, in collaboration with other relevant ministries, and with the support of local governments at different levels [</w:t>
      </w:r>
      <w:r w:rsidRPr="00566686">
        <w:rPr>
          <w:rFonts w:cstheme="minorHAnsi"/>
          <w:sz w:val="18"/>
          <w:szCs w:val="18"/>
          <w:highlight w:val="lightGray"/>
          <w:lang w:val="en-GB"/>
        </w:rPr>
        <w:fldChar w:fldCharType="begin"/>
      </w:r>
      <w:r w:rsidRPr="00566686">
        <w:rPr>
          <w:rFonts w:cstheme="minorHAnsi"/>
          <w:sz w:val="18"/>
          <w:szCs w:val="18"/>
          <w:highlight w:val="lightGray"/>
          <w:lang w:val="en-GB"/>
        </w:rPr>
        <w:instrText xml:space="preserve"> REF _Ref19103969 \r  \* MERGEFORMAT </w:instrText>
      </w:r>
      <w:r w:rsidRPr="00566686">
        <w:rPr>
          <w:rFonts w:cstheme="minorHAnsi"/>
          <w:sz w:val="18"/>
          <w:szCs w:val="18"/>
          <w:highlight w:val="lightGray"/>
          <w:lang w:val="en-GB"/>
        </w:rPr>
        <w:fldChar w:fldCharType="separate"/>
      </w:r>
      <w:r w:rsidRPr="00566686">
        <w:rPr>
          <w:rFonts w:cstheme="minorHAnsi"/>
          <w:sz w:val="18"/>
          <w:szCs w:val="18"/>
          <w:highlight w:val="lightGray"/>
          <w:lang w:val="en-GB"/>
        </w:rPr>
        <w:t>73</w:t>
      </w:r>
      <w:r w:rsidRPr="00566686">
        <w:rPr>
          <w:rFonts w:cstheme="minorHAnsi"/>
          <w:sz w:val="18"/>
          <w:szCs w:val="18"/>
          <w:highlight w:val="lightGray"/>
          <w:lang w:val="en-GB"/>
        </w:rPr>
        <w:fldChar w:fldCharType="end"/>
      </w:r>
      <w:r w:rsidRPr="00566686">
        <w:rPr>
          <w:rFonts w:cstheme="minorHAnsi"/>
          <w:sz w:val="18"/>
          <w:szCs w:val="18"/>
          <w:highlight w:val="lightGray"/>
          <w:lang w:val="en-GB"/>
        </w:rPr>
        <w:t>].</w:t>
      </w:r>
    </w:p>
    <w:p w14:paraId="466A8554" w14:textId="77777777" w:rsidR="00B656F6" w:rsidRPr="00566686" w:rsidRDefault="00B656F6" w:rsidP="00B656F6">
      <w:pPr>
        <w:snapToGrid w:val="0"/>
        <w:spacing w:afterLines="50" w:after="120"/>
        <w:rPr>
          <w:rFonts w:cstheme="minorHAnsi"/>
          <w:iCs/>
          <w:sz w:val="18"/>
          <w:szCs w:val="18"/>
          <w:highlight w:val="lightGray"/>
          <w:u w:val="single"/>
          <w:lang w:val="en-GB"/>
        </w:rPr>
      </w:pPr>
      <w:r w:rsidRPr="00566686">
        <w:rPr>
          <w:rFonts w:cstheme="minorHAnsi"/>
          <w:iCs/>
          <w:sz w:val="18"/>
          <w:szCs w:val="18"/>
          <w:highlight w:val="lightGray"/>
          <w:u w:val="single"/>
          <w:lang w:val="en-GB"/>
        </w:rPr>
        <w:t>f. Developing adequate systems to address the rise in mental health challenges</w:t>
      </w:r>
    </w:p>
    <w:p w14:paraId="7F89C65F" w14:textId="77777777" w:rsidR="00B656F6" w:rsidRPr="00566686" w:rsidRDefault="00B656F6" w:rsidP="00B656F6">
      <w:pPr>
        <w:snapToGrid w:val="0"/>
        <w:spacing w:afterLines="50" w:after="120"/>
        <w:rPr>
          <w:rFonts w:cstheme="minorHAnsi"/>
          <w:sz w:val="18"/>
          <w:szCs w:val="18"/>
          <w:highlight w:val="lightGray"/>
          <w:lang w:val="en-GB"/>
        </w:rPr>
      </w:pPr>
      <w:r w:rsidRPr="00566686">
        <w:rPr>
          <w:rFonts w:cstheme="minorHAnsi"/>
          <w:sz w:val="18"/>
          <w:szCs w:val="18"/>
          <w:highlight w:val="lightGray"/>
          <w:lang w:val="en-GB"/>
        </w:rPr>
        <w:t xml:space="preserve">China has a significant number of people who require mental health care, especially people with depression and anxiety. However, it has not yet established a system within the health sector to address the needs of, and demands for, mental </w:t>
      </w:r>
      <w:r w:rsidRPr="00566686">
        <w:rPr>
          <w:rFonts w:cstheme="minorHAnsi"/>
          <w:sz w:val="18"/>
          <w:szCs w:val="18"/>
          <w:highlight w:val="lightGray"/>
          <w:lang w:val="en-GB"/>
        </w:rPr>
        <w:lastRenderedPageBreak/>
        <w:t>health care. Prioritized actions might be the development of school-based life skills tra</w:t>
      </w:r>
      <w:r>
        <w:rPr>
          <w:rFonts w:cstheme="minorHAnsi"/>
          <w:sz w:val="18"/>
          <w:szCs w:val="18"/>
          <w:highlight w:val="lightGray"/>
          <w:lang w:val="en-GB"/>
        </w:rPr>
        <w:t>i</w:t>
      </w:r>
      <w:r w:rsidRPr="00566686">
        <w:rPr>
          <w:rFonts w:cstheme="minorHAnsi"/>
          <w:sz w:val="18"/>
          <w:szCs w:val="18"/>
          <w:highlight w:val="lightGray"/>
          <w:lang w:val="en-GB"/>
        </w:rPr>
        <w:t>ning for young people [</w:t>
      </w:r>
      <w:r w:rsidRPr="00566686">
        <w:rPr>
          <w:rFonts w:cstheme="minorHAnsi"/>
          <w:sz w:val="18"/>
          <w:szCs w:val="18"/>
          <w:highlight w:val="lightGray"/>
          <w:lang w:val="en-GB"/>
        </w:rPr>
        <w:fldChar w:fldCharType="begin"/>
      </w:r>
      <w:r w:rsidRPr="00566686">
        <w:rPr>
          <w:rFonts w:cstheme="minorHAnsi"/>
          <w:sz w:val="18"/>
          <w:szCs w:val="18"/>
          <w:highlight w:val="lightGray"/>
          <w:lang w:val="en-GB"/>
        </w:rPr>
        <w:instrText xml:space="preserve"> REF _Ref19104061 \r  \* MERGEFORMAT </w:instrText>
      </w:r>
      <w:r w:rsidRPr="00566686">
        <w:rPr>
          <w:rFonts w:cstheme="minorHAnsi"/>
          <w:sz w:val="18"/>
          <w:szCs w:val="18"/>
          <w:highlight w:val="lightGray"/>
          <w:lang w:val="en-GB"/>
        </w:rPr>
        <w:fldChar w:fldCharType="separate"/>
      </w:r>
      <w:r w:rsidRPr="00566686">
        <w:rPr>
          <w:rFonts w:cstheme="minorHAnsi"/>
          <w:sz w:val="18"/>
          <w:szCs w:val="18"/>
          <w:highlight w:val="lightGray"/>
          <w:lang w:val="en-GB"/>
        </w:rPr>
        <w:t>74</w:t>
      </w:r>
      <w:r w:rsidRPr="00566686">
        <w:rPr>
          <w:rFonts w:cstheme="minorHAnsi"/>
          <w:sz w:val="18"/>
          <w:szCs w:val="18"/>
          <w:highlight w:val="lightGray"/>
          <w:lang w:val="en-GB"/>
        </w:rPr>
        <w:fldChar w:fldCharType="end"/>
      </w:r>
      <w:r w:rsidRPr="00566686">
        <w:rPr>
          <w:rFonts w:cstheme="minorHAnsi"/>
          <w:sz w:val="18"/>
          <w:szCs w:val="18"/>
          <w:highlight w:val="lightGray"/>
          <w:lang w:val="en-GB"/>
        </w:rPr>
        <w:t>,</w:t>
      </w:r>
      <w:r w:rsidRPr="00566686">
        <w:rPr>
          <w:rFonts w:cstheme="minorHAnsi"/>
          <w:sz w:val="18"/>
          <w:szCs w:val="18"/>
          <w:highlight w:val="lightGray"/>
          <w:lang w:val="en-GB"/>
        </w:rPr>
        <w:fldChar w:fldCharType="begin"/>
      </w:r>
      <w:r w:rsidRPr="00566686">
        <w:rPr>
          <w:rFonts w:cstheme="minorHAnsi"/>
          <w:sz w:val="18"/>
          <w:szCs w:val="18"/>
          <w:highlight w:val="lightGray"/>
          <w:lang w:val="en-GB"/>
        </w:rPr>
        <w:instrText xml:space="preserve"> REF _Ref19104062 \r  \* MERGEFORMAT </w:instrText>
      </w:r>
      <w:r w:rsidRPr="00566686">
        <w:rPr>
          <w:rFonts w:cstheme="minorHAnsi"/>
          <w:sz w:val="18"/>
          <w:szCs w:val="18"/>
          <w:highlight w:val="lightGray"/>
          <w:lang w:val="en-GB"/>
        </w:rPr>
        <w:fldChar w:fldCharType="separate"/>
      </w:r>
      <w:r w:rsidRPr="00566686">
        <w:rPr>
          <w:rFonts w:cstheme="minorHAnsi"/>
          <w:sz w:val="18"/>
          <w:szCs w:val="18"/>
          <w:highlight w:val="lightGray"/>
          <w:lang w:val="en-GB"/>
        </w:rPr>
        <w:t>75</w:t>
      </w:r>
      <w:r w:rsidRPr="00566686">
        <w:rPr>
          <w:rFonts w:cstheme="minorHAnsi"/>
          <w:sz w:val="18"/>
          <w:szCs w:val="18"/>
          <w:highlight w:val="lightGray"/>
          <w:lang w:val="en-GB"/>
        </w:rPr>
        <w:fldChar w:fldCharType="end"/>
      </w:r>
      <w:r w:rsidRPr="00566686">
        <w:rPr>
          <w:rFonts w:cstheme="minorHAnsi"/>
          <w:sz w:val="18"/>
          <w:szCs w:val="18"/>
          <w:highlight w:val="lightGray"/>
          <w:lang w:val="en-GB"/>
        </w:rPr>
        <w:t>,</w:t>
      </w:r>
      <w:r w:rsidRPr="00566686">
        <w:rPr>
          <w:rFonts w:cstheme="minorHAnsi"/>
          <w:sz w:val="18"/>
          <w:szCs w:val="18"/>
          <w:highlight w:val="lightGray"/>
          <w:lang w:val="en-GB"/>
        </w:rPr>
        <w:fldChar w:fldCharType="begin"/>
      </w:r>
      <w:r w:rsidRPr="00566686">
        <w:rPr>
          <w:rFonts w:cstheme="minorHAnsi"/>
          <w:sz w:val="18"/>
          <w:szCs w:val="18"/>
          <w:highlight w:val="lightGray"/>
          <w:lang w:val="en-GB"/>
        </w:rPr>
        <w:instrText xml:space="preserve"> REF _Ref19104063 \r  \* MERGEFORMAT </w:instrText>
      </w:r>
      <w:r w:rsidRPr="00566686">
        <w:rPr>
          <w:rFonts w:cstheme="minorHAnsi"/>
          <w:sz w:val="18"/>
          <w:szCs w:val="18"/>
          <w:highlight w:val="lightGray"/>
          <w:lang w:val="en-GB"/>
        </w:rPr>
        <w:fldChar w:fldCharType="separate"/>
      </w:r>
      <w:r w:rsidRPr="00566686">
        <w:rPr>
          <w:rFonts w:cstheme="minorHAnsi"/>
          <w:sz w:val="18"/>
          <w:szCs w:val="18"/>
          <w:highlight w:val="lightGray"/>
          <w:lang w:val="en-GB"/>
        </w:rPr>
        <w:t>76</w:t>
      </w:r>
      <w:r w:rsidRPr="00566686">
        <w:rPr>
          <w:rFonts w:cstheme="minorHAnsi"/>
          <w:sz w:val="18"/>
          <w:szCs w:val="18"/>
          <w:highlight w:val="lightGray"/>
          <w:lang w:val="en-GB"/>
        </w:rPr>
        <w:fldChar w:fldCharType="end"/>
      </w:r>
      <w:r w:rsidRPr="00566686">
        <w:rPr>
          <w:rFonts w:cstheme="minorHAnsi"/>
          <w:sz w:val="18"/>
          <w:szCs w:val="18"/>
          <w:highlight w:val="lightGray"/>
          <w:lang w:val="en-GB"/>
        </w:rPr>
        <w:t>,</w:t>
      </w:r>
      <w:r w:rsidRPr="00566686">
        <w:rPr>
          <w:rFonts w:cstheme="minorHAnsi"/>
          <w:sz w:val="18"/>
          <w:szCs w:val="18"/>
          <w:highlight w:val="lightGray"/>
          <w:lang w:val="en-GB"/>
        </w:rPr>
        <w:fldChar w:fldCharType="begin"/>
      </w:r>
      <w:r w:rsidRPr="00566686">
        <w:rPr>
          <w:rFonts w:cstheme="minorHAnsi"/>
          <w:sz w:val="18"/>
          <w:szCs w:val="18"/>
          <w:highlight w:val="lightGray"/>
          <w:lang w:val="en-GB"/>
        </w:rPr>
        <w:instrText xml:space="preserve"> REF _Ref19104065 \r  \* MERGEFORMAT </w:instrText>
      </w:r>
      <w:r w:rsidRPr="00566686">
        <w:rPr>
          <w:rFonts w:cstheme="minorHAnsi"/>
          <w:sz w:val="18"/>
          <w:szCs w:val="18"/>
          <w:highlight w:val="lightGray"/>
          <w:lang w:val="en-GB"/>
        </w:rPr>
        <w:fldChar w:fldCharType="separate"/>
      </w:r>
      <w:r w:rsidRPr="00566686">
        <w:rPr>
          <w:rFonts w:cstheme="minorHAnsi"/>
          <w:sz w:val="18"/>
          <w:szCs w:val="18"/>
          <w:highlight w:val="lightGray"/>
          <w:lang w:val="en-GB"/>
        </w:rPr>
        <w:t>77</w:t>
      </w:r>
      <w:r w:rsidRPr="00566686">
        <w:rPr>
          <w:rFonts w:cstheme="minorHAnsi"/>
          <w:sz w:val="18"/>
          <w:szCs w:val="18"/>
          <w:highlight w:val="lightGray"/>
          <w:lang w:val="en-GB"/>
        </w:rPr>
        <w:fldChar w:fldCharType="end"/>
      </w:r>
      <w:r w:rsidRPr="00566686">
        <w:rPr>
          <w:rFonts w:cstheme="minorHAnsi"/>
          <w:sz w:val="18"/>
          <w:szCs w:val="18"/>
          <w:highlight w:val="lightGray"/>
          <w:lang w:val="en-GB"/>
        </w:rPr>
        <w:t>], and community-based mental care including treatment of depression and other common mental illnesses [</w:t>
      </w:r>
      <w:r w:rsidRPr="00566686">
        <w:rPr>
          <w:rFonts w:cstheme="minorHAnsi"/>
          <w:sz w:val="18"/>
          <w:szCs w:val="18"/>
          <w:highlight w:val="lightGray"/>
          <w:lang w:val="en-GB"/>
        </w:rPr>
        <w:fldChar w:fldCharType="begin"/>
      </w:r>
      <w:r w:rsidRPr="00566686">
        <w:rPr>
          <w:rFonts w:cstheme="minorHAnsi"/>
          <w:sz w:val="18"/>
          <w:szCs w:val="18"/>
          <w:highlight w:val="lightGray"/>
          <w:lang w:val="en-GB"/>
        </w:rPr>
        <w:instrText xml:space="preserve"> REF _Ref19104063 \r  \* MERGEFORMAT </w:instrText>
      </w:r>
      <w:r w:rsidRPr="00566686">
        <w:rPr>
          <w:rFonts w:cstheme="minorHAnsi"/>
          <w:sz w:val="18"/>
          <w:szCs w:val="18"/>
          <w:highlight w:val="lightGray"/>
          <w:lang w:val="en-GB"/>
        </w:rPr>
        <w:fldChar w:fldCharType="separate"/>
      </w:r>
      <w:r w:rsidRPr="00566686">
        <w:rPr>
          <w:rFonts w:cstheme="minorHAnsi"/>
          <w:sz w:val="18"/>
          <w:szCs w:val="18"/>
          <w:highlight w:val="lightGray"/>
          <w:lang w:val="en-GB"/>
        </w:rPr>
        <w:t>76</w:t>
      </w:r>
      <w:r w:rsidRPr="00566686">
        <w:rPr>
          <w:rFonts w:cstheme="minorHAnsi"/>
          <w:sz w:val="18"/>
          <w:szCs w:val="18"/>
          <w:highlight w:val="lightGray"/>
          <w:lang w:val="en-GB"/>
        </w:rPr>
        <w:fldChar w:fldCharType="end"/>
      </w:r>
      <w:r w:rsidRPr="00566686">
        <w:rPr>
          <w:rFonts w:cstheme="minorHAnsi"/>
          <w:sz w:val="18"/>
          <w:szCs w:val="18"/>
          <w:highlight w:val="lightGray"/>
          <w:lang w:val="en-GB"/>
        </w:rPr>
        <w:t>].</w:t>
      </w:r>
    </w:p>
    <w:p w14:paraId="638C2910" w14:textId="77777777" w:rsidR="00B656F6" w:rsidRPr="00566686" w:rsidRDefault="00B656F6" w:rsidP="00B656F6">
      <w:pPr>
        <w:snapToGrid w:val="0"/>
        <w:spacing w:afterLines="50" w:after="120"/>
        <w:rPr>
          <w:rFonts w:cstheme="minorHAnsi"/>
          <w:iCs/>
          <w:sz w:val="18"/>
          <w:szCs w:val="18"/>
          <w:highlight w:val="lightGray"/>
          <w:u w:val="single"/>
          <w:lang w:val="en-GB"/>
        </w:rPr>
      </w:pPr>
      <w:r w:rsidRPr="00566686">
        <w:rPr>
          <w:rFonts w:cstheme="minorHAnsi"/>
          <w:iCs/>
          <w:sz w:val="18"/>
          <w:szCs w:val="18"/>
          <w:highlight w:val="lightGray"/>
          <w:u w:val="single"/>
          <w:lang w:val="en-GB"/>
        </w:rPr>
        <w:t>g. Adapting effective interventions to reduce road injuries</w:t>
      </w:r>
    </w:p>
    <w:p w14:paraId="13104313" w14:textId="77777777" w:rsidR="00B656F6" w:rsidRPr="00755F09" w:rsidRDefault="00B656F6" w:rsidP="00B656F6">
      <w:pPr>
        <w:snapToGrid w:val="0"/>
        <w:spacing w:afterLines="50" w:after="120"/>
        <w:rPr>
          <w:rFonts w:cstheme="minorHAnsi"/>
          <w:sz w:val="18"/>
          <w:szCs w:val="18"/>
          <w:lang w:val="en-GB"/>
        </w:rPr>
      </w:pPr>
      <w:r w:rsidRPr="00566686">
        <w:rPr>
          <w:rFonts w:cstheme="minorHAnsi"/>
          <w:sz w:val="18"/>
          <w:szCs w:val="18"/>
          <w:highlight w:val="lightGray"/>
          <w:lang w:val="en-GB"/>
        </w:rPr>
        <w:t>Safety belt</w:t>
      </w:r>
      <w:r>
        <w:rPr>
          <w:rFonts w:cstheme="minorHAnsi"/>
          <w:sz w:val="18"/>
          <w:szCs w:val="18"/>
          <w:highlight w:val="lightGray"/>
          <w:lang w:val="en-GB"/>
        </w:rPr>
        <w:t>s</w:t>
      </w:r>
      <w:r w:rsidRPr="00566686">
        <w:rPr>
          <w:rFonts w:cstheme="minorHAnsi"/>
          <w:sz w:val="18"/>
          <w:szCs w:val="18"/>
          <w:highlight w:val="lightGray"/>
          <w:lang w:val="en-GB"/>
        </w:rPr>
        <w:t xml:space="preserve"> [</w:t>
      </w:r>
      <w:r w:rsidRPr="00566686">
        <w:rPr>
          <w:rFonts w:cstheme="minorHAnsi"/>
          <w:sz w:val="18"/>
          <w:szCs w:val="18"/>
          <w:highlight w:val="lightGray"/>
          <w:lang w:val="en-GB"/>
        </w:rPr>
        <w:fldChar w:fldCharType="begin"/>
      </w:r>
      <w:r w:rsidRPr="00566686">
        <w:rPr>
          <w:rFonts w:cstheme="minorHAnsi"/>
          <w:sz w:val="18"/>
          <w:szCs w:val="18"/>
          <w:highlight w:val="lightGray"/>
          <w:lang w:val="en-GB"/>
        </w:rPr>
        <w:instrText xml:space="preserve"> REF _Ref19104134 \r  \* MERGEFORMAT </w:instrText>
      </w:r>
      <w:r w:rsidRPr="00566686">
        <w:rPr>
          <w:rFonts w:cstheme="minorHAnsi"/>
          <w:sz w:val="18"/>
          <w:szCs w:val="18"/>
          <w:highlight w:val="lightGray"/>
          <w:lang w:val="en-GB"/>
        </w:rPr>
        <w:fldChar w:fldCharType="separate"/>
      </w:r>
      <w:r w:rsidRPr="00566686">
        <w:rPr>
          <w:rFonts w:cstheme="minorHAnsi"/>
          <w:sz w:val="18"/>
          <w:szCs w:val="18"/>
          <w:highlight w:val="lightGray"/>
          <w:lang w:val="en-GB"/>
        </w:rPr>
        <w:t>78</w:t>
      </w:r>
      <w:r w:rsidRPr="00566686">
        <w:rPr>
          <w:rFonts w:cstheme="minorHAnsi"/>
          <w:sz w:val="18"/>
          <w:szCs w:val="18"/>
          <w:highlight w:val="lightGray"/>
          <w:lang w:val="en-GB"/>
        </w:rPr>
        <w:fldChar w:fldCharType="end"/>
      </w:r>
      <w:r w:rsidRPr="00566686">
        <w:rPr>
          <w:rFonts w:cstheme="minorHAnsi"/>
          <w:sz w:val="18"/>
          <w:szCs w:val="18"/>
          <w:highlight w:val="lightGray"/>
          <w:lang w:val="en-GB"/>
        </w:rPr>
        <w:t>], safety seat</w:t>
      </w:r>
      <w:r>
        <w:rPr>
          <w:rFonts w:cstheme="minorHAnsi"/>
          <w:sz w:val="18"/>
          <w:szCs w:val="18"/>
          <w:highlight w:val="lightGray"/>
          <w:lang w:val="en-GB"/>
        </w:rPr>
        <w:t>s</w:t>
      </w:r>
      <w:r w:rsidRPr="00566686">
        <w:rPr>
          <w:rFonts w:cstheme="minorHAnsi"/>
          <w:sz w:val="18"/>
          <w:szCs w:val="18"/>
          <w:highlight w:val="lightGray"/>
          <w:lang w:val="en-GB"/>
        </w:rPr>
        <w:t xml:space="preserve"> for children [</w:t>
      </w:r>
      <w:r w:rsidRPr="00566686">
        <w:rPr>
          <w:rFonts w:cstheme="minorHAnsi"/>
          <w:sz w:val="18"/>
          <w:szCs w:val="18"/>
          <w:highlight w:val="lightGray"/>
          <w:lang w:val="en-GB"/>
        </w:rPr>
        <w:fldChar w:fldCharType="begin"/>
      </w:r>
      <w:r w:rsidRPr="00566686">
        <w:rPr>
          <w:rFonts w:cstheme="minorHAnsi"/>
          <w:sz w:val="18"/>
          <w:szCs w:val="18"/>
          <w:highlight w:val="lightGray"/>
          <w:lang w:val="en-GB"/>
        </w:rPr>
        <w:instrText xml:space="preserve"> REF _Ref19104144 \r  \* MERGEFORMAT </w:instrText>
      </w:r>
      <w:r w:rsidRPr="00566686">
        <w:rPr>
          <w:rFonts w:cstheme="minorHAnsi"/>
          <w:sz w:val="18"/>
          <w:szCs w:val="18"/>
          <w:highlight w:val="lightGray"/>
          <w:lang w:val="en-GB"/>
        </w:rPr>
        <w:fldChar w:fldCharType="separate"/>
      </w:r>
      <w:r w:rsidRPr="00566686">
        <w:rPr>
          <w:rFonts w:cstheme="minorHAnsi"/>
          <w:sz w:val="18"/>
          <w:szCs w:val="18"/>
          <w:highlight w:val="lightGray"/>
          <w:lang w:val="en-GB"/>
        </w:rPr>
        <w:t>79</w:t>
      </w:r>
      <w:r w:rsidRPr="00566686">
        <w:rPr>
          <w:rFonts w:cstheme="minorHAnsi"/>
          <w:sz w:val="18"/>
          <w:szCs w:val="18"/>
          <w:highlight w:val="lightGray"/>
          <w:lang w:val="en-GB"/>
        </w:rPr>
        <w:fldChar w:fldCharType="end"/>
      </w:r>
      <w:r w:rsidRPr="00566686">
        <w:rPr>
          <w:rFonts w:cstheme="minorHAnsi"/>
          <w:sz w:val="18"/>
          <w:szCs w:val="18"/>
          <w:highlight w:val="lightGray"/>
          <w:lang w:val="en-GB"/>
        </w:rPr>
        <w:t>], and helmet</w:t>
      </w:r>
      <w:r>
        <w:rPr>
          <w:rFonts w:cstheme="minorHAnsi"/>
          <w:sz w:val="18"/>
          <w:szCs w:val="18"/>
          <w:highlight w:val="lightGray"/>
          <w:lang w:val="en-GB"/>
        </w:rPr>
        <w:t>s</w:t>
      </w:r>
      <w:r w:rsidRPr="00566686">
        <w:rPr>
          <w:rFonts w:cstheme="minorHAnsi"/>
          <w:sz w:val="18"/>
          <w:szCs w:val="18"/>
          <w:highlight w:val="lightGray"/>
          <w:lang w:val="en-GB"/>
        </w:rPr>
        <w:t xml:space="preserve"> [</w:t>
      </w:r>
      <w:r w:rsidRPr="00566686">
        <w:rPr>
          <w:rFonts w:cstheme="minorHAnsi"/>
          <w:sz w:val="18"/>
          <w:szCs w:val="18"/>
          <w:highlight w:val="lightGray"/>
          <w:lang w:val="en-GB"/>
        </w:rPr>
        <w:fldChar w:fldCharType="begin"/>
      </w:r>
      <w:r w:rsidRPr="00566686">
        <w:rPr>
          <w:rFonts w:cstheme="minorHAnsi"/>
          <w:sz w:val="18"/>
          <w:szCs w:val="18"/>
          <w:highlight w:val="lightGray"/>
          <w:lang w:val="en-GB"/>
        </w:rPr>
        <w:instrText xml:space="preserve"> REF _Ref19104154 \r  \* MERGEFORMAT </w:instrText>
      </w:r>
      <w:r w:rsidRPr="00566686">
        <w:rPr>
          <w:rFonts w:cstheme="minorHAnsi"/>
          <w:sz w:val="18"/>
          <w:szCs w:val="18"/>
          <w:highlight w:val="lightGray"/>
          <w:lang w:val="en-GB"/>
        </w:rPr>
        <w:fldChar w:fldCharType="separate"/>
      </w:r>
      <w:r w:rsidRPr="00566686">
        <w:rPr>
          <w:rFonts w:cstheme="minorHAnsi"/>
          <w:sz w:val="18"/>
          <w:szCs w:val="18"/>
          <w:highlight w:val="lightGray"/>
          <w:lang w:val="en-GB"/>
        </w:rPr>
        <w:t>80</w:t>
      </w:r>
      <w:r w:rsidRPr="00566686">
        <w:rPr>
          <w:rFonts w:cstheme="minorHAnsi"/>
          <w:sz w:val="18"/>
          <w:szCs w:val="18"/>
          <w:highlight w:val="lightGray"/>
          <w:lang w:val="en-GB"/>
        </w:rPr>
        <w:fldChar w:fldCharType="end"/>
      </w:r>
      <w:r w:rsidRPr="00566686">
        <w:rPr>
          <w:rFonts w:cstheme="minorHAnsi"/>
          <w:sz w:val="18"/>
          <w:szCs w:val="18"/>
          <w:highlight w:val="lightGray"/>
          <w:lang w:val="en-GB"/>
        </w:rPr>
        <w:t>] are very cost-effective ways to reduce road injuries. Laws, regulations</w:t>
      </w:r>
      <w:r>
        <w:rPr>
          <w:rFonts w:cstheme="minorHAnsi"/>
          <w:sz w:val="18"/>
          <w:szCs w:val="18"/>
          <w:highlight w:val="lightGray"/>
          <w:lang w:val="en-GB"/>
        </w:rPr>
        <w:t>,</w:t>
      </w:r>
      <w:r w:rsidRPr="00566686">
        <w:rPr>
          <w:rFonts w:cstheme="minorHAnsi"/>
          <w:sz w:val="18"/>
          <w:szCs w:val="18"/>
          <w:highlight w:val="lightGray"/>
          <w:lang w:val="en-GB"/>
        </w:rPr>
        <w:t xml:space="preserve"> and public education should be enforced and implemented at the same time to increase the awareness of the public.</w:t>
      </w:r>
    </w:p>
    <w:p w14:paraId="71E9F7D5" w14:textId="77777777" w:rsidR="00B656F6" w:rsidRDefault="00B656F6" w:rsidP="00B656F6">
      <w:pPr>
        <w:rPr>
          <w:rFonts w:ascii="Calibri" w:hAnsi="Calibri" w:cs="Calibri"/>
        </w:rPr>
      </w:pPr>
    </w:p>
    <w:p w14:paraId="37D58E9B" w14:textId="77777777" w:rsidR="00B656F6" w:rsidRPr="00983E4E" w:rsidRDefault="00B656F6" w:rsidP="00B656F6">
      <w:pPr>
        <w:rPr>
          <w:rFonts w:ascii="Calibri" w:hAnsi="Calibri" w:cs="Calibri"/>
        </w:rPr>
      </w:pPr>
    </w:p>
    <w:p w14:paraId="16CC9D43" w14:textId="77777777" w:rsidR="00B656F6" w:rsidRPr="00755F09" w:rsidRDefault="00B656F6" w:rsidP="00B656F6">
      <w:pPr>
        <w:rPr>
          <w:rFonts w:ascii="Calibri" w:hAnsi="Calibri" w:cs="Calibri"/>
        </w:rPr>
      </w:pPr>
      <w:r w:rsidRPr="00755F09">
        <w:rPr>
          <w:rFonts w:ascii="Calibri" w:hAnsi="Calibri" w:cs="Calibri"/>
        </w:rPr>
        <w:t>The improvement of the Chinese people’s health status lies not only in health sector development but also in the overall sustainable development of socioeconomic and other sectors. China needs to imbed health into all the national and provincial policies, increase</w:t>
      </w:r>
      <w:r>
        <w:rPr>
          <w:rFonts w:ascii="Calibri" w:hAnsi="Calibri" w:cs="Calibri"/>
        </w:rPr>
        <w:t xml:space="preserve"> </w:t>
      </w:r>
      <w:r w:rsidRPr="00755F09">
        <w:rPr>
          <w:rFonts w:ascii="Calibri" w:hAnsi="Calibri" w:cs="Calibri"/>
        </w:rPr>
        <w:t>health investments</w:t>
      </w:r>
      <w:r>
        <w:rPr>
          <w:rFonts w:ascii="Calibri" w:hAnsi="Calibri" w:cs="Calibri"/>
        </w:rPr>
        <w:t>,</w:t>
      </w:r>
      <w:r w:rsidRPr="00755F09">
        <w:rPr>
          <w:rFonts w:ascii="Calibri" w:hAnsi="Calibri" w:cs="Calibri"/>
        </w:rPr>
        <w:t xml:space="preserve"> and improve financing mechanisms to provide better financial</w:t>
      </w:r>
      <w:r>
        <w:rPr>
          <w:rFonts w:ascii="Calibri" w:hAnsi="Calibri" w:cs="Calibri"/>
        </w:rPr>
        <w:t xml:space="preserve"> </w:t>
      </w:r>
      <w:r w:rsidRPr="00755F09">
        <w:rPr>
          <w:rFonts w:ascii="Calibri" w:hAnsi="Calibri" w:cs="Calibri"/>
        </w:rPr>
        <w:t>protection for those seeking essential healthcare.</w:t>
      </w:r>
    </w:p>
    <w:p w14:paraId="42B9DBB9" w14:textId="77777777" w:rsidR="00B656F6" w:rsidRPr="00566686" w:rsidRDefault="00B656F6" w:rsidP="00B656F6">
      <w:pPr>
        <w:rPr>
          <w:rFonts w:ascii="Calibri" w:hAnsi="Calibri" w:cs="Calibri"/>
          <w:b/>
          <w:bCs/>
          <w:iCs/>
        </w:rPr>
      </w:pPr>
      <w:r w:rsidRPr="00566686">
        <w:rPr>
          <w:rFonts w:ascii="Calibri" w:hAnsi="Calibri" w:cs="Calibri"/>
          <w:b/>
          <w:bCs/>
          <w:iCs/>
        </w:rPr>
        <w:t>Conclusions</w:t>
      </w:r>
    </w:p>
    <w:p w14:paraId="6F2F0D83" w14:textId="77777777" w:rsidR="00B656F6" w:rsidRPr="00755F09" w:rsidRDefault="00B656F6" w:rsidP="00B656F6">
      <w:pPr>
        <w:rPr>
          <w:rFonts w:ascii="Calibri" w:hAnsi="Calibri" w:cs="Calibri"/>
        </w:rPr>
      </w:pPr>
      <w:r w:rsidRPr="00755F09">
        <w:rPr>
          <w:rFonts w:ascii="Calibri" w:hAnsi="Calibri" w:cs="Calibri"/>
        </w:rPr>
        <w:t>The patterns of mortality and health risk factors shown by our study reflect a rapid health transition in China away from primarily infectious disease burden and toward NCDs and risk factors associated with industrialized societies, although challenges in tackling hepatitis and TB/MDR-TB remain for specific segments of the Chinese population. Addressing these issues will require a paradigm shift that reorients the Chinese public health system toward health promotion and prevention efforts to reduce key risk factors and to strengthen the detection and management of NCDs, particularly in their early stages</w:t>
      </w:r>
      <w:r>
        <w:rPr>
          <w:rFonts w:ascii="Calibri" w:hAnsi="Calibri" w:cs="Calibri"/>
        </w:rPr>
        <w:t xml:space="preserve"> [</w:t>
      </w:r>
      <w:r w:rsidRPr="00755F09">
        <w:rPr>
          <w:rFonts w:ascii="Calibri" w:hAnsi="Calibri" w:cs="Calibri"/>
        </w:rPr>
        <w:fldChar w:fldCharType="begin"/>
      </w:r>
      <w:r w:rsidRPr="00755F09">
        <w:rPr>
          <w:rFonts w:ascii="Calibri" w:hAnsi="Calibri" w:cs="Calibri"/>
        </w:rPr>
        <w:instrText xml:space="preserve"> REF _Ref523079301 \r  \* MERGEFORMAT </w:instrText>
      </w:r>
      <w:r w:rsidRPr="00755F09">
        <w:rPr>
          <w:rFonts w:ascii="Calibri" w:hAnsi="Calibri" w:cs="Calibri"/>
        </w:rPr>
        <w:fldChar w:fldCharType="separate"/>
      </w:r>
      <w:r>
        <w:rPr>
          <w:rFonts w:ascii="Calibri" w:hAnsi="Calibri" w:cs="Calibri"/>
        </w:rPr>
        <w:t>81</w:t>
      </w:r>
      <w:r w:rsidRPr="00755F09">
        <w:rPr>
          <w:rFonts w:ascii="Calibri" w:hAnsi="Calibri" w:cs="Calibri"/>
        </w:rPr>
        <w:fldChar w:fldCharType="end"/>
      </w:r>
      <w:r w:rsidRPr="00755F09">
        <w:rPr>
          <w:rFonts w:ascii="Calibri" w:hAnsi="Calibri" w:cs="Calibri"/>
        </w:rPr>
        <w:t>]. There is also a clear need to focus on policies, systems</w:t>
      </w:r>
      <w:r>
        <w:rPr>
          <w:rFonts w:ascii="Calibri" w:hAnsi="Calibri" w:cs="Calibri"/>
        </w:rPr>
        <w:t>,</w:t>
      </w:r>
      <w:r w:rsidRPr="00755F09">
        <w:rPr>
          <w:rFonts w:ascii="Calibri" w:hAnsi="Calibri" w:cs="Calibri"/>
        </w:rPr>
        <w:t xml:space="preserve"> and environmental changes for population-level impact. As experienced in high-income market economies, addressing the structural drivers of illness and poor health will be key, including promotion and pricing of tobacco, alcohol</w:t>
      </w:r>
      <w:r>
        <w:rPr>
          <w:rFonts w:ascii="Calibri" w:hAnsi="Calibri" w:cs="Calibri"/>
        </w:rPr>
        <w:t>,</w:t>
      </w:r>
      <w:r w:rsidRPr="00755F09">
        <w:rPr>
          <w:rFonts w:ascii="Calibri" w:hAnsi="Calibri" w:cs="Calibri"/>
        </w:rPr>
        <w:t xml:space="preserve"> and unhealthy foods</w:t>
      </w:r>
      <w:r>
        <w:rPr>
          <w:rFonts w:ascii="Calibri" w:hAnsi="Calibri" w:cs="Calibri"/>
        </w:rPr>
        <w:t>;</w:t>
      </w:r>
      <w:r w:rsidRPr="00755F09">
        <w:rPr>
          <w:rFonts w:ascii="Calibri" w:hAnsi="Calibri" w:cs="Calibri"/>
        </w:rPr>
        <w:t xml:space="preserve"> air pollution</w:t>
      </w:r>
      <w:r>
        <w:rPr>
          <w:rFonts w:ascii="Calibri" w:hAnsi="Calibri" w:cs="Calibri"/>
        </w:rPr>
        <w:t>;</w:t>
      </w:r>
      <w:r w:rsidRPr="00755F09">
        <w:rPr>
          <w:rFonts w:ascii="Calibri" w:hAnsi="Calibri" w:cs="Calibri"/>
        </w:rPr>
        <w:t xml:space="preserve"> and the structures of urban living and sedentary jobs (limited physical activity opportunities and leisure/family time). Intensified intersectoral collaboration will be needed to address these drivers</w:t>
      </w:r>
      <w:r>
        <w:rPr>
          <w:rFonts w:ascii="Calibri" w:hAnsi="Calibri" w:cs="Calibri"/>
        </w:rPr>
        <w:t xml:space="preserve"> [</w:t>
      </w:r>
      <w:r w:rsidRPr="00755F09">
        <w:rPr>
          <w:rFonts w:ascii="Calibri" w:hAnsi="Calibri" w:cs="Calibri"/>
        </w:rPr>
        <w:fldChar w:fldCharType="begin"/>
      </w:r>
      <w:r w:rsidRPr="00755F09">
        <w:rPr>
          <w:rFonts w:ascii="Calibri" w:hAnsi="Calibri" w:cs="Calibri"/>
        </w:rPr>
        <w:instrText xml:space="preserve"> REF _Ref523079362 \r  \* MERGEFORMAT </w:instrText>
      </w:r>
      <w:r w:rsidRPr="00755F09">
        <w:rPr>
          <w:rFonts w:ascii="Calibri" w:hAnsi="Calibri" w:cs="Calibri"/>
        </w:rPr>
        <w:fldChar w:fldCharType="separate"/>
      </w:r>
      <w:r>
        <w:rPr>
          <w:rFonts w:ascii="Calibri" w:hAnsi="Calibri" w:cs="Calibri"/>
        </w:rPr>
        <w:t>82</w:t>
      </w:r>
      <w:r w:rsidRPr="00755F09">
        <w:rPr>
          <w:rFonts w:ascii="Calibri" w:hAnsi="Calibri" w:cs="Calibri"/>
        </w:rPr>
        <w:fldChar w:fldCharType="end"/>
      </w:r>
      <w:r w:rsidRPr="00755F09">
        <w:rPr>
          <w:rFonts w:ascii="Calibri" w:hAnsi="Calibri" w:cs="Calibri"/>
        </w:rPr>
        <w:t>]. Increasing demands for NCD care, especially in the rapid</w:t>
      </w:r>
      <w:r>
        <w:rPr>
          <w:rFonts w:ascii="Calibri" w:hAnsi="Calibri" w:cs="Calibri"/>
        </w:rPr>
        <w:t>ly</w:t>
      </w:r>
      <w:r w:rsidRPr="00755F09">
        <w:rPr>
          <w:rFonts w:ascii="Calibri" w:hAnsi="Calibri" w:cs="Calibri"/>
        </w:rPr>
        <w:t xml:space="preserve"> aging period, will pose an additional challenge for effective UHC if equitable and sustainable financing mechanisms are not improved in the near future, including cost</w:t>
      </w:r>
      <w:r>
        <w:rPr>
          <w:rFonts w:ascii="Calibri" w:hAnsi="Calibri" w:cs="Calibri"/>
        </w:rPr>
        <w:t xml:space="preserve"> </w:t>
      </w:r>
      <w:r w:rsidRPr="00755F09">
        <w:rPr>
          <w:rFonts w:ascii="Calibri" w:hAnsi="Calibri" w:cs="Calibri"/>
        </w:rPr>
        <w:t>containment for clinical services. Further investments in public transport, clean energy</w:t>
      </w:r>
      <w:r>
        <w:rPr>
          <w:rFonts w:ascii="Calibri" w:hAnsi="Calibri" w:cs="Calibri"/>
        </w:rPr>
        <w:t>,</w:t>
      </w:r>
      <w:r w:rsidRPr="00755F09">
        <w:rPr>
          <w:rFonts w:ascii="Calibri" w:hAnsi="Calibri" w:cs="Calibri"/>
        </w:rPr>
        <w:t xml:space="preserve"> and public sports/leisure facilities will be also critically important in achieving health-related SDGs in China. Finally, explicit attention to redressing intracountry and gender disparities disguised by aggregate national progress will be needed to ensure that no</w:t>
      </w:r>
      <w:r>
        <w:rPr>
          <w:rFonts w:ascii="Calibri" w:hAnsi="Calibri" w:cs="Calibri"/>
        </w:rPr>
        <w:t xml:space="preserve"> </w:t>
      </w:r>
      <w:r w:rsidRPr="00755F09">
        <w:rPr>
          <w:rFonts w:ascii="Calibri" w:hAnsi="Calibri" w:cs="Calibri"/>
        </w:rPr>
        <w:t>one is left behind and that meeting the SDGs is meaningful for all of China’s citizens.</w:t>
      </w:r>
    </w:p>
    <w:p w14:paraId="7B265B77" w14:textId="77777777" w:rsidR="00B656F6" w:rsidRPr="00755F09" w:rsidRDefault="00B656F6" w:rsidP="00B656F6">
      <w:pPr>
        <w:rPr>
          <w:rFonts w:ascii="Calibri" w:hAnsi="Calibri" w:cs="Calibri"/>
        </w:rPr>
      </w:pPr>
    </w:p>
    <w:p w14:paraId="098FCE42" w14:textId="77777777" w:rsidR="00B656F6" w:rsidRPr="00566686" w:rsidRDefault="00B656F6" w:rsidP="00B656F6">
      <w:pPr>
        <w:shd w:val="clear" w:color="auto" w:fill="FFFFFF"/>
        <w:rPr>
          <w:rFonts w:ascii="Calibri" w:eastAsia="宋体" w:hAnsi="Calibri" w:cs="Calibri"/>
          <w:color w:val="000000"/>
          <w:sz w:val="28"/>
          <w:szCs w:val="28"/>
        </w:rPr>
      </w:pPr>
      <w:r w:rsidRPr="00566686">
        <w:rPr>
          <w:rFonts w:ascii="Calibri" w:eastAsia="宋体" w:hAnsi="Calibri" w:cs="Calibri"/>
          <w:b/>
          <w:bCs/>
          <w:color w:val="000000"/>
          <w:sz w:val="28"/>
          <w:szCs w:val="28"/>
        </w:rPr>
        <w:t>Acknowledgments</w:t>
      </w:r>
    </w:p>
    <w:p w14:paraId="6CE86E59" w14:textId="77777777" w:rsidR="00B656F6" w:rsidRPr="00755F09" w:rsidRDefault="00B656F6" w:rsidP="00B656F6">
      <w:pPr>
        <w:shd w:val="clear" w:color="auto" w:fill="FFFFFF"/>
        <w:rPr>
          <w:rFonts w:ascii="Calibri" w:eastAsia="宋体" w:hAnsi="Calibri" w:cs="Calibri"/>
          <w:color w:val="000000"/>
        </w:rPr>
      </w:pPr>
    </w:p>
    <w:p w14:paraId="2BDE4B43" w14:textId="77777777" w:rsidR="00B656F6" w:rsidRDefault="00B656F6" w:rsidP="00B656F6">
      <w:pPr>
        <w:rPr>
          <w:rFonts w:ascii="Calibri" w:hAnsi="Calibri" w:cs="Calibri"/>
        </w:rPr>
      </w:pPr>
      <w:bookmarkStart w:id="8" w:name="_Hlk22412620"/>
      <w:r w:rsidRPr="00755F09">
        <w:rPr>
          <w:rFonts w:ascii="Calibri" w:hAnsi="Calibri" w:cs="Calibri"/>
        </w:rPr>
        <w:t>We are grateful for the support from all collaborating universities</w:t>
      </w:r>
      <w:r>
        <w:rPr>
          <w:rFonts w:ascii="Calibri" w:hAnsi="Calibri" w:cs="Calibri"/>
        </w:rPr>
        <w:t xml:space="preserve">, </w:t>
      </w:r>
      <w:r w:rsidRPr="00755F09">
        <w:rPr>
          <w:rFonts w:ascii="Calibri" w:hAnsi="Calibri" w:cs="Calibri"/>
        </w:rPr>
        <w:t xml:space="preserve">the students from these universities who made great contributions to this study, </w:t>
      </w:r>
      <w:r>
        <w:rPr>
          <w:rFonts w:ascii="Calibri" w:hAnsi="Calibri" w:cs="Calibri"/>
        </w:rPr>
        <w:t xml:space="preserve">and </w:t>
      </w:r>
      <w:r w:rsidRPr="00755F09">
        <w:rPr>
          <w:rFonts w:ascii="Calibri" w:hAnsi="Calibri" w:cs="Calibri"/>
        </w:rPr>
        <w:t xml:space="preserve">governmental departments and agencies. We are also very grateful to the support given from Professor Chris Murray, Director of </w:t>
      </w:r>
      <w:r>
        <w:rPr>
          <w:rFonts w:ascii="Calibri" w:hAnsi="Calibri" w:cs="Calibri"/>
        </w:rPr>
        <w:t xml:space="preserve">the </w:t>
      </w:r>
      <w:r w:rsidRPr="00755F09">
        <w:rPr>
          <w:rFonts w:ascii="Calibri" w:hAnsi="Calibri" w:cs="Calibri"/>
        </w:rPr>
        <w:t xml:space="preserve">Institute of Health Metrics and Evaluation at the University of Washington, Professor Xu Qian from </w:t>
      </w:r>
      <w:r>
        <w:rPr>
          <w:rFonts w:ascii="Calibri" w:hAnsi="Calibri" w:cs="Calibri"/>
        </w:rPr>
        <w:t xml:space="preserve">the </w:t>
      </w:r>
      <w:r w:rsidRPr="00755F09">
        <w:rPr>
          <w:rFonts w:ascii="Calibri" w:hAnsi="Calibri" w:cs="Calibri"/>
        </w:rPr>
        <w:t xml:space="preserve">School of Public Health of Fudan University, and Mr. Jun Gao from </w:t>
      </w:r>
      <w:r>
        <w:rPr>
          <w:rFonts w:ascii="Calibri" w:hAnsi="Calibri" w:cs="Calibri"/>
        </w:rPr>
        <w:t xml:space="preserve">the </w:t>
      </w:r>
      <w:r w:rsidRPr="00755F09">
        <w:rPr>
          <w:rFonts w:ascii="Calibri" w:hAnsi="Calibri" w:cs="Calibri"/>
        </w:rPr>
        <w:t>Regional Office for the Western Pacific of WHO.</w:t>
      </w:r>
    </w:p>
    <w:p w14:paraId="09FA17CB" w14:textId="77777777" w:rsidR="00B656F6" w:rsidRDefault="00B656F6" w:rsidP="00B656F6">
      <w:pPr>
        <w:rPr>
          <w:rFonts w:ascii="Calibri" w:hAnsi="Calibri" w:cs="Calibri"/>
        </w:rPr>
      </w:pPr>
      <w:r w:rsidRPr="00755F09">
        <w:rPr>
          <w:rFonts w:ascii="Calibri" w:hAnsi="Calibri" w:cs="Calibri"/>
        </w:rPr>
        <w:t>The work reported in this publication is part of the research Achieving Health SDGs in China: Developing Evidence-based Policy Options for Action</w:t>
      </w:r>
      <w:r>
        <w:rPr>
          <w:rFonts w:ascii="Calibri" w:hAnsi="Calibri" w:cs="Calibri"/>
        </w:rPr>
        <w:t>,</w:t>
      </w:r>
      <w:r w:rsidRPr="00755F09">
        <w:rPr>
          <w:rFonts w:ascii="Calibri" w:hAnsi="Calibri" w:cs="Calibri"/>
        </w:rPr>
        <w:t> supported by the Bill &amp; Melinda Gates Foundation. The content in this paper is solely the responsibility of the authors and does not represent any view of the funder.</w:t>
      </w:r>
    </w:p>
    <w:p w14:paraId="5A6F810A" w14:textId="77777777" w:rsidR="00B656F6" w:rsidRPr="00755F09" w:rsidRDefault="00B656F6" w:rsidP="00B656F6">
      <w:pPr>
        <w:rPr>
          <w:rFonts w:ascii="Calibri" w:hAnsi="Calibri" w:cs="Calibri"/>
        </w:rPr>
      </w:pPr>
    </w:p>
    <w:bookmarkEnd w:id="8"/>
    <w:p w14:paraId="02B6429D" w14:textId="77777777" w:rsidR="00B656F6" w:rsidRPr="00566686" w:rsidRDefault="00B656F6" w:rsidP="00B656F6">
      <w:pPr>
        <w:outlineLvl w:val="0"/>
        <w:rPr>
          <w:rFonts w:ascii="Calibri" w:hAnsi="Calibri" w:cs="Calibri"/>
          <w:b/>
          <w:sz w:val="28"/>
          <w:szCs w:val="28"/>
        </w:rPr>
      </w:pPr>
      <w:r w:rsidRPr="00B441EF">
        <w:rPr>
          <w:rFonts w:ascii="Calibri" w:hAnsi="Calibri" w:cs="Calibri"/>
          <w:b/>
          <w:sz w:val="28"/>
          <w:szCs w:val="28"/>
        </w:rPr>
        <w:t>References</w:t>
      </w:r>
      <w:bookmarkStart w:id="9" w:name="_Ref522815650"/>
      <w:bookmarkStart w:id="10" w:name="_Ref523063319"/>
    </w:p>
    <w:p w14:paraId="25263CAE" w14:textId="77777777" w:rsidR="00B656F6" w:rsidRPr="00755F09" w:rsidRDefault="00B656F6" w:rsidP="00B656F6">
      <w:pPr>
        <w:pStyle w:val="af"/>
        <w:numPr>
          <w:ilvl w:val="0"/>
          <w:numId w:val="10"/>
        </w:numPr>
        <w:rPr>
          <w:rFonts w:cs="Calibri"/>
        </w:rPr>
      </w:pPr>
      <w:bookmarkStart w:id="11" w:name="_Ref533202192"/>
      <w:r w:rsidRPr="00755F09">
        <w:rPr>
          <w:rFonts w:cs="Calibri"/>
        </w:rPr>
        <w:t>Ministry of Foreign Affairs, United Nations Systems in China. Report on China's Implementation of the Millennium Development Goals (2000-2015) [Internet].</w:t>
      </w:r>
      <w:bookmarkEnd w:id="9"/>
      <w:bookmarkEnd w:id="10"/>
      <w:bookmarkEnd w:id="11"/>
      <w:r w:rsidRPr="00755F09">
        <w:rPr>
          <w:rFonts w:cs="Calibri"/>
        </w:rPr>
        <w:t xml:space="preserve"> </w:t>
      </w:r>
      <w:r>
        <w:rPr>
          <w:rFonts w:cs="Calibri"/>
        </w:rPr>
        <w:t xml:space="preserve">United Nations System in China, Beijing; 2015 </w:t>
      </w:r>
      <w:r w:rsidRPr="00755F09">
        <w:rPr>
          <w:rFonts w:cs="Calibri"/>
        </w:rPr>
        <w:t>[</w:t>
      </w:r>
      <w:r>
        <w:rPr>
          <w:rFonts w:cs="Calibri"/>
        </w:rPr>
        <w:t>cited</w:t>
      </w:r>
      <w:r w:rsidRPr="00755F09">
        <w:rPr>
          <w:rFonts w:cs="Calibri"/>
        </w:rPr>
        <w:t xml:space="preserve"> 2018 Dec 23]</w:t>
      </w:r>
      <w:r>
        <w:rPr>
          <w:rFonts w:cs="Calibri"/>
        </w:rPr>
        <w:t xml:space="preserve">. </w:t>
      </w:r>
      <w:r w:rsidRPr="00755F09">
        <w:rPr>
          <w:rFonts w:cs="Calibri"/>
        </w:rPr>
        <w:t xml:space="preserve">Available from: </w:t>
      </w:r>
      <w:hyperlink r:id="rId9" w:history="1">
        <w:r w:rsidRPr="00755F09">
          <w:rPr>
            <w:rStyle w:val="af1"/>
            <w:rFonts w:cs="Calibri"/>
          </w:rPr>
          <w:t>http://www.cn.undp.org/content/china/en/home/library/mdg/mdgs-report-2015-.html</w:t>
        </w:r>
      </w:hyperlink>
      <w:r>
        <w:rPr>
          <w:rFonts w:cs="Calibri"/>
        </w:rPr>
        <w:t>.</w:t>
      </w:r>
    </w:p>
    <w:p w14:paraId="46F2A92B" w14:textId="77777777" w:rsidR="00B656F6" w:rsidRPr="00983E4E" w:rsidRDefault="00B656F6" w:rsidP="00B656F6">
      <w:pPr>
        <w:pStyle w:val="af"/>
        <w:numPr>
          <w:ilvl w:val="0"/>
          <w:numId w:val="10"/>
        </w:numPr>
        <w:rPr>
          <w:rFonts w:cs="Calibri"/>
        </w:rPr>
      </w:pPr>
      <w:r>
        <w:rPr>
          <w:rFonts w:ascii="Arial" w:hAnsi="Arial" w:cs="Arial"/>
          <w:color w:val="222222"/>
          <w:sz w:val="20"/>
          <w:szCs w:val="20"/>
          <w:shd w:val="clear" w:color="auto" w:fill="FFFFFF"/>
        </w:rPr>
        <w:t xml:space="preserve">World Health Organization. World Health Statistics 2015. Geneva: World Health Organization; 2015. [cited 2018 Dec 23], Available from: </w:t>
      </w:r>
      <w:hyperlink r:id="rId10" w:history="1">
        <w:r>
          <w:rPr>
            <w:rStyle w:val="af1"/>
          </w:rPr>
          <w:t>https://www.who.int/gho/publications/world_health_statistics/2015/en/</w:t>
        </w:r>
      </w:hyperlink>
    </w:p>
    <w:p w14:paraId="6650ABD0" w14:textId="77777777" w:rsidR="00B656F6" w:rsidRPr="00983E4E" w:rsidRDefault="00B656F6" w:rsidP="00B656F6">
      <w:pPr>
        <w:pStyle w:val="af"/>
        <w:numPr>
          <w:ilvl w:val="0"/>
          <w:numId w:val="10"/>
        </w:numPr>
        <w:rPr>
          <w:rFonts w:cs="Calibri"/>
        </w:rPr>
      </w:pPr>
      <w:bookmarkStart w:id="12" w:name="_Ref522816471"/>
      <w:bookmarkStart w:id="13" w:name="_Ref18950178"/>
      <w:r w:rsidRPr="00983E4E">
        <w:rPr>
          <w:rFonts w:cs="Calibri"/>
        </w:rPr>
        <w:lastRenderedPageBreak/>
        <w:t>National Health and Family Planning Commission. China Health and Family Planning Statistical Yearbook 2017.</w:t>
      </w:r>
      <w:bookmarkEnd w:id="12"/>
      <w:r w:rsidRPr="00983E4E">
        <w:rPr>
          <w:rFonts w:cs="Calibri"/>
        </w:rPr>
        <w:t xml:space="preserve"> Beijing: Peking Union Medical College Press; 2017.</w:t>
      </w:r>
      <w:bookmarkEnd w:id="13"/>
    </w:p>
    <w:p w14:paraId="3FDC388F" w14:textId="77777777" w:rsidR="00B656F6" w:rsidRPr="00755F09" w:rsidRDefault="00B656F6" w:rsidP="00B656F6">
      <w:pPr>
        <w:pStyle w:val="af"/>
        <w:numPr>
          <w:ilvl w:val="0"/>
          <w:numId w:val="10"/>
        </w:numPr>
        <w:rPr>
          <w:rFonts w:asciiTheme="minorHAnsi" w:hAnsiTheme="minorHAnsi" w:cstheme="minorHAnsi"/>
        </w:rPr>
      </w:pPr>
      <w:bookmarkStart w:id="14" w:name="_Ref522893866"/>
      <w:r w:rsidRPr="00983E4E">
        <w:rPr>
          <w:rFonts w:cs="Calibri"/>
        </w:rPr>
        <w:t>Nilsson M, G</w:t>
      </w:r>
      <w:r w:rsidRPr="00983E4E">
        <w:rPr>
          <w:rFonts w:asciiTheme="minorHAnsi" w:hAnsiTheme="minorHAnsi" w:cstheme="minorHAnsi"/>
        </w:rPr>
        <w:t>riggs D, Visbeck M. Map the interactions between sustainable</w:t>
      </w:r>
      <w:r w:rsidRPr="00755F09">
        <w:rPr>
          <w:rFonts w:asciiTheme="minorHAnsi" w:hAnsiTheme="minorHAnsi" w:cstheme="minorHAnsi"/>
        </w:rPr>
        <w:t xml:space="preserve"> development goals: Mans Nilsson, Dave Griggs and Martin Visbeck present a simple way of rating relationships between the targets to highlight priorities for integrated policy. Nature. 2016 Jun 16;534(7607):320-3.</w:t>
      </w:r>
      <w:bookmarkEnd w:id="14"/>
    </w:p>
    <w:p w14:paraId="7E72924C" w14:textId="77777777" w:rsidR="00B656F6" w:rsidRPr="00755F09" w:rsidRDefault="00B656F6" w:rsidP="00B656F6">
      <w:pPr>
        <w:pStyle w:val="af"/>
        <w:numPr>
          <w:ilvl w:val="0"/>
          <w:numId w:val="10"/>
        </w:numPr>
        <w:rPr>
          <w:rFonts w:asciiTheme="minorHAnsi" w:hAnsiTheme="minorHAnsi" w:cstheme="minorHAnsi"/>
        </w:rPr>
      </w:pPr>
      <w:bookmarkStart w:id="15" w:name="_Ref522893869"/>
      <w:r w:rsidRPr="00755F09">
        <w:rPr>
          <w:rFonts w:asciiTheme="minorHAnsi" w:hAnsiTheme="minorHAnsi" w:cstheme="minorHAnsi"/>
        </w:rPr>
        <w:t>International Council for Science, International Social Science Council. Review of targets for the sustainable development goals: the science perspective. Paris, France: International Council for Science</w:t>
      </w:r>
      <w:r>
        <w:rPr>
          <w:rFonts w:asciiTheme="minorHAnsi" w:hAnsiTheme="minorHAnsi" w:cstheme="minorHAnsi"/>
        </w:rPr>
        <w:t>;</w:t>
      </w:r>
      <w:r w:rsidRPr="00755F09">
        <w:rPr>
          <w:rFonts w:asciiTheme="minorHAnsi" w:hAnsiTheme="minorHAnsi" w:cstheme="minorHAnsi"/>
        </w:rPr>
        <w:t xml:space="preserve"> 2015</w:t>
      </w:r>
      <w:r>
        <w:rPr>
          <w:rFonts w:asciiTheme="minorHAnsi" w:hAnsiTheme="minorHAnsi" w:cstheme="minorHAnsi"/>
        </w:rPr>
        <w:t xml:space="preserve"> </w:t>
      </w:r>
      <w:r w:rsidRPr="00755F09">
        <w:rPr>
          <w:rFonts w:asciiTheme="minorHAnsi" w:hAnsiTheme="minorHAnsi" w:cstheme="minorHAnsi"/>
        </w:rPr>
        <w:t>[</w:t>
      </w:r>
      <w:r>
        <w:rPr>
          <w:rFonts w:asciiTheme="minorHAnsi" w:hAnsiTheme="minorHAnsi" w:cstheme="minorHAnsi"/>
        </w:rPr>
        <w:t>cited</w:t>
      </w:r>
      <w:r w:rsidRPr="00755F09">
        <w:rPr>
          <w:rFonts w:asciiTheme="minorHAnsi" w:hAnsiTheme="minorHAnsi" w:cstheme="minorHAnsi"/>
        </w:rPr>
        <w:t xml:space="preserve"> 2018 Dec 23].</w:t>
      </w:r>
      <w:bookmarkEnd w:id="15"/>
      <w:r w:rsidRPr="00755F09">
        <w:rPr>
          <w:rFonts w:asciiTheme="minorHAnsi" w:hAnsiTheme="minorHAnsi" w:cstheme="minorHAnsi"/>
        </w:rPr>
        <w:t xml:space="preserve"> Available from: http://staging.icsu.org/publications/review-of-targets-for-the-sustainable-development-goals-the-science-perspective-2015</w:t>
      </w:r>
      <w:r>
        <w:rPr>
          <w:rFonts w:asciiTheme="minorHAnsi" w:hAnsiTheme="minorHAnsi" w:cstheme="minorHAnsi"/>
        </w:rPr>
        <w:t>.</w:t>
      </w:r>
    </w:p>
    <w:p w14:paraId="0C637156" w14:textId="77777777" w:rsidR="00B656F6" w:rsidRPr="00755F09" w:rsidRDefault="00B656F6" w:rsidP="00B656F6">
      <w:pPr>
        <w:pStyle w:val="af"/>
        <w:numPr>
          <w:ilvl w:val="0"/>
          <w:numId w:val="10"/>
        </w:numPr>
        <w:rPr>
          <w:rFonts w:asciiTheme="minorHAnsi" w:hAnsiTheme="minorHAnsi" w:cstheme="minorHAnsi"/>
        </w:rPr>
      </w:pPr>
      <w:bookmarkStart w:id="16" w:name="_Ref522894051"/>
      <w:r w:rsidRPr="00755F09">
        <w:rPr>
          <w:rFonts w:asciiTheme="minorHAnsi" w:hAnsiTheme="minorHAnsi" w:cstheme="minorHAnsi"/>
        </w:rPr>
        <w:t>United Nations Economic and Social Council. Report of the inter-agency and expert group on sustainable development goal indicators. New York: United Nations; 2016</w:t>
      </w:r>
      <w:r>
        <w:rPr>
          <w:rFonts w:asciiTheme="minorHAnsi" w:hAnsiTheme="minorHAnsi" w:cstheme="minorHAnsi"/>
        </w:rPr>
        <w:t xml:space="preserve"> </w:t>
      </w:r>
      <w:r w:rsidRPr="00755F09">
        <w:rPr>
          <w:rFonts w:asciiTheme="minorHAnsi" w:hAnsiTheme="minorHAnsi" w:cstheme="minorHAnsi"/>
        </w:rPr>
        <w:t>[</w:t>
      </w:r>
      <w:r>
        <w:rPr>
          <w:rFonts w:asciiTheme="minorHAnsi" w:hAnsiTheme="minorHAnsi" w:cstheme="minorHAnsi"/>
        </w:rPr>
        <w:t>cited</w:t>
      </w:r>
      <w:r w:rsidRPr="00755F09">
        <w:rPr>
          <w:rFonts w:asciiTheme="minorHAnsi" w:hAnsiTheme="minorHAnsi" w:cstheme="minorHAnsi"/>
        </w:rPr>
        <w:t xml:space="preserve"> 2018 Dec 23].</w:t>
      </w:r>
      <w:bookmarkEnd w:id="16"/>
      <w:r w:rsidRPr="00755F09">
        <w:rPr>
          <w:rFonts w:asciiTheme="minorHAnsi" w:hAnsiTheme="minorHAnsi" w:cstheme="minorHAnsi"/>
        </w:rPr>
        <w:t xml:space="preserve"> Available from: </w:t>
      </w:r>
      <w:r w:rsidRPr="008D1F7F">
        <w:rPr>
          <w:rFonts w:asciiTheme="minorHAnsi" w:hAnsiTheme="minorHAnsi" w:cstheme="minorHAnsi"/>
        </w:rPr>
        <w:t>http://ggim.un.org/knowledgebase/KnowledgebaseArticle51479.aspx</w:t>
      </w:r>
    </w:p>
    <w:p w14:paraId="5DFFB04E" w14:textId="77777777" w:rsidR="00B656F6" w:rsidRPr="00755F09" w:rsidRDefault="00B656F6" w:rsidP="00B656F6">
      <w:pPr>
        <w:pStyle w:val="af"/>
        <w:numPr>
          <w:ilvl w:val="0"/>
          <w:numId w:val="10"/>
        </w:numPr>
        <w:rPr>
          <w:rFonts w:asciiTheme="minorHAnsi" w:hAnsiTheme="minorHAnsi" w:cstheme="minorHAnsi"/>
        </w:rPr>
      </w:pPr>
      <w:bookmarkStart w:id="17" w:name="_Ref522894459"/>
      <w:r w:rsidRPr="00755F09">
        <w:rPr>
          <w:rFonts w:asciiTheme="minorHAnsi" w:hAnsiTheme="minorHAnsi" w:cstheme="minorHAnsi"/>
        </w:rPr>
        <w:t>World Health Organization. World Health Statistics 2018: Monitoring Health for the Sustainable Development Goals (SDGs). Geneva: World Health Organization; 2018</w:t>
      </w:r>
      <w:r>
        <w:rPr>
          <w:rFonts w:asciiTheme="minorHAnsi" w:hAnsiTheme="minorHAnsi" w:cstheme="minorHAnsi"/>
        </w:rPr>
        <w:t xml:space="preserve"> </w:t>
      </w:r>
      <w:r w:rsidRPr="00755F09">
        <w:rPr>
          <w:rFonts w:asciiTheme="minorHAnsi" w:hAnsiTheme="minorHAnsi" w:cstheme="minorHAnsi"/>
        </w:rPr>
        <w:t>[</w:t>
      </w:r>
      <w:r>
        <w:rPr>
          <w:rFonts w:asciiTheme="minorHAnsi" w:hAnsiTheme="minorHAnsi" w:cstheme="minorHAnsi"/>
        </w:rPr>
        <w:t>cited</w:t>
      </w:r>
      <w:r w:rsidRPr="00755F09">
        <w:rPr>
          <w:rFonts w:asciiTheme="minorHAnsi" w:hAnsiTheme="minorHAnsi" w:cstheme="minorHAnsi"/>
        </w:rPr>
        <w:t xml:space="preserve"> 2018 Dec 23].</w:t>
      </w:r>
      <w:bookmarkEnd w:id="17"/>
      <w:r w:rsidRPr="00755F09">
        <w:rPr>
          <w:rFonts w:asciiTheme="minorHAnsi" w:hAnsiTheme="minorHAnsi" w:cstheme="minorHAnsi"/>
        </w:rPr>
        <w:t xml:space="preserve"> Available from: </w:t>
      </w:r>
      <w:hyperlink r:id="rId11" w:history="1">
        <w:r w:rsidRPr="00755F09">
          <w:rPr>
            <w:rStyle w:val="af1"/>
            <w:rFonts w:asciiTheme="minorHAnsi" w:hAnsiTheme="minorHAnsi" w:cstheme="minorHAnsi"/>
          </w:rPr>
          <w:t>https://www.who.int/gho/publications/world_health_statistics/2018/en/</w:t>
        </w:r>
      </w:hyperlink>
      <w:r>
        <w:rPr>
          <w:rFonts w:asciiTheme="minorHAnsi" w:hAnsiTheme="minorHAnsi" w:cstheme="minorHAnsi"/>
        </w:rPr>
        <w:t>.</w:t>
      </w:r>
    </w:p>
    <w:p w14:paraId="351B85CA" w14:textId="77777777" w:rsidR="00B656F6" w:rsidRPr="00755F09" w:rsidRDefault="00B656F6" w:rsidP="00B656F6">
      <w:pPr>
        <w:pStyle w:val="af"/>
        <w:numPr>
          <w:ilvl w:val="0"/>
          <w:numId w:val="10"/>
        </w:numPr>
        <w:rPr>
          <w:rFonts w:asciiTheme="minorHAnsi" w:hAnsiTheme="minorHAnsi" w:cstheme="minorHAnsi"/>
        </w:rPr>
      </w:pPr>
      <w:bookmarkStart w:id="18" w:name="_Ref522894642"/>
      <w:r w:rsidRPr="00755F09">
        <w:rPr>
          <w:rFonts w:asciiTheme="minorHAnsi" w:hAnsiTheme="minorHAnsi" w:cstheme="minorHAnsi"/>
        </w:rPr>
        <w:t>The World Bank Group. Atlas of sustainable development goals 2018: From world development indicators. Washington</w:t>
      </w:r>
      <w:r>
        <w:rPr>
          <w:rFonts w:asciiTheme="minorHAnsi" w:hAnsiTheme="minorHAnsi" w:cstheme="minorHAnsi"/>
        </w:rPr>
        <w:t>,</w:t>
      </w:r>
      <w:r w:rsidRPr="00755F09">
        <w:rPr>
          <w:rFonts w:asciiTheme="minorHAnsi" w:hAnsiTheme="minorHAnsi" w:cstheme="minorHAnsi"/>
        </w:rPr>
        <w:t xml:space="preserve"> DC: World Bank</w:t>
      </w:r>
      <w:r>
        <w:rPr>
          <w:rFonts w:asciiTheme="minorHAnsi" w:hAnsiTheme="minorHAnsi" w:cstheme="minorHAnsi"/>
        </w:rPr>
        <w:t>;</w:t>
      </w:r>
      <w:r w:rsidRPr="00755F09">
        <w:rPr>
          <w:rFonts w:asciiTheme="minorHAnsi" w:hAnsiTheme="minorHAnsi" w:cstheme="minorHAnsi"/>
        </w:rPr>
        <w:t xml:space="preserve"> 2018</w:t>
      </w:r>
      <w:r>
        <w:rPr>
          <w:rFonts w:asciiTheme="minorHAnsi" w:hAnsiTheme="minorHAnsi" w:cstheme="minorHAnsi"/>
        </w:rPr>
        <w:t xml:space="preserve"> </w:t>
      </w:r>
      <w:r w:rsidRPr="00755F09">
        <w:rPr>
          <w:rFonts w:asciiTheme="minorHAnsi" w:hAnsiTheme="minorHAnsi" w:cstheme="minorHAnsi"/>
        </w:rPr>
        <w:t>[</w:t>
      </w:r>
      <w:r>
        <w:rPr>
          <w:rFonts w:asciiTheme="minorHAnsi" w:hAnsiTheme="minorHAnsi" w:cstheme="minorHAnsi"/>
        </w:rPr>
        <w:t>cited</w:t>
      </w:r>
      <w:r w:rsidRPr="00755F09">
        <w:rPr>
          <w:rFonts w:asciiTheme="minorHAnsi" w:hAnsiTheme="minorHAnsi" w:cstheme="minorHAnsi"/>
        </w:rPr>
        <w:t xml:space="preserve"> 2018 Dec 23].</w:t>
      </w:r>
      <w:bookmarkEnd w:id="18"/>
      <w:r w:rsidRPr="00755F09">
        <w:rPr>
          <w:rFonts w:asciiTheme="minorHAnsi" w:hAnsiTheme="minorHAnsi" w:cstheme="minorHAnsi"/>
        </w:rPr>
        <w:t xml:space="preserve"> Available from: </w:t>
      </w:r>
      <w:hyperlink r:id="rId12" w:history="1">
        <w:r w:rsidRPr="00755F09">
          <w:rPr>
            <w:rStyle w:val="af1"/>
            <w:rFonts w:asciiTheme="minorHAnsi" w:hAnsiTheme="minorHAnsi" w:cstheme="minorHAnsi"/>
          </w:rPr>
          <w:t>https://openknowledge.worldbank.org/handle/10986/29788</w:t>
        </w:r>
      </w:hyperlink>
      <w:r>
        <w:rPr>
          <w:rFonts w:asciiTheme="minorHAnsi" w:hAnsiTheme="minorHAnsi" w:cstheme="minorHAnsi"/>
        </w:rPr>
        <w:t>.</w:t>
      </w:r>
    </w:p>
    <w:p w14:paraId="7BE86DF8" w14:textId="77777777" w:rsidR="00B656F6" w:rsidRPr="00755F09" w:rsidRDefault="00B656F6" w:rsidP="00B656F6">
      <w:pPr>
        <w:pStyle w:val="af"/>
        <w:numPr>
          <w:ilvl w:val="0"/>
          <w:numId w:val="10"/>
        </w:numPr>
        <w:rPr>
          <w:rFonts w:asciiTheme="minorHAnsi" w:hAnsiTheme="minorHAnsi" w:cstheme="minorHAnsi"/>
        </w:rPr>
      </w:pPr>
      <w:bookmarkStart w:id="19" w:name="_Ref522894810"/>
      <w:r w:rsidRPr="00755F09">
        <w:rPr>
          <w:rFonts w:asciiTheme="minorHAnsi" w:hAnsiTheme="minorHAnsi" w:cstheme="minorHAnsi"/>
        </w:rPr>
        <w:t>Sachs J, Schmidt-Traub G, Kroll C, Durand-Delacre D, Teksoz K. SDG Index and Dashboards Report 2017. Global Responsibilities. International Spillovers in Achieving the Goals. Gütersloh and New York</w:t>
      </w:r>
      <w:r>
        <w:rPr>
          <w:rFonts w:asciiTheme="minorHAnsi" w:hAnsiTheme="minorHAnsi" w:cstheme="minorHAnsi"/>
        </w:rPr>
        <w:t>:</w:t>
      </w:r>
      <w:r w:rsidRPr="00755F09">
        <w:rPr>
          <w:rFonts w:asciiTheme="minorHAnsi" w:hAnsiTheme="minorHAnsi" w:cstheme="minorHAnsi"/>
        </w:rPr>
        <w:t xml:space="preserve"> Bertelsmann Stiftung and Sustainable Development Solutions Network,; 2017.</w:t>
      </w:r>
      <w:bookmarkEnd w:id="19"/>
    </w:p>
    <w:p w14:paraId="1ECFD043" w14:textId="77777777" w:rsidR="00B656F6" w:rsidRPr="00755F09" w:rsidRDefault="00B656F6" w:rsidP="00B656F6">
      <w:pPr>
        <w:pStyle w:val="af"/>
        <w:numPr>
          <w:ilvl w:val="0"/>
          <w:numId w:val="10"/>
        </w:numPr>
        <w:rPr>
          <w:rFonts w:asciiTheme="minorHAnsi" w:hAnsiTheme="minorHAnsi" w:cstheme="minorHAnsi"/>
        </w:rPr>
      </w:pPr>
      <w:bookmarkStart w:id="20" w:name="_Ref533029901"/>
      <w:bookmarkStart w:id="21" w:name="_Ref522894910"/>
      <w:r w:rsidRPr="00755F09">
        <w:rPr>
          <w:rFonts w:asciiTheme="minorHAnsi" w:hAnsiTheme="minorHAnsi" w:cstheme="minorHAnsi"/>
        </w:rPr>
        <w:t>Lozano R, Fullman N, Abate D, Abay SM, Abbafati C, Abbasi N, et al. Measuring progress from 1990 to 2017 and projecting attainment to 2030 of the health-related Sustainable Development Goals for 195 countries and territories: a systematic analysis for the Global Burden of Disease Study 2017. Lancet. 2018 Nov 10;392(10159):2091-138.</w:t>
      </w:r>
      <w:bookmarkEnd w:id="20"/>
    </w:p>
    <w:p w14:paraId="257555E9" w14:textId="77777777" w:rsidR="00B656F6" w:rsidRPr="00755F09" w:rsidRDefault="00B656F6" w:rsidP="00B656F6">
      <w:pPr>
        <w:pStyle w:val="af"/>
        <w:numPr>
          <w:ilvl w:val="0"/>
          <w:numId w:val="10"/>
        </w:numPr>
        <w:rPr>
          <w:rFonts w:asciiTheme="minorHAnsi" w:hAnsiTheme="minorHAnsi" w:cstheme="minorHAnsi"/>
        </w:rPr>
      </w:pPr>
      <w:bookmarkStart w:id="22" w:name="_Ref524420188"/>
      <w:bookmarkEnd w:id="21"/>
      <w:r w:rsidRPr="00755F09">
        <w:rPr>
          <w:rFonts w:asciiTheme="minorHAnsi" w:hAnsiTheme="minorHAnsi" w:cstheme="minorHAnsi"/>
        </w:rPr>
        <w:t xml:space="preserve">Western Pacific Region, World Health Organization. Up to 10 million people in China could die from chronic hepatitis by 2030 – Urgent action needed to bring an end to the ‘silent epidemic’. </w:t>
      </w:r>
      <w:r>
        <w:rPr>
          <w:rFonts w:asciiTheme="minorHAnsi" w:hAnsiTheme="minorHAnsi" w:cstheme="minorHAnsi"/>
        </w:rPr>
        <w:t xml:space="preserve">Geneva: World Health Organization; 2016 </w:t>
      </w:r>
      <w:r w:rsidRPr="00755F09">
        <w:rPr>
          <w:rFonts w:asciiTheme="minorHAnsi" w:hAnsiTheme="minorHAnsi" w:cstheme="minorHAnsi"/>
        </w:rPr>
        <w:t>[</w:t>
      </w:r>
      <w:r>
        <w:rPr>
          <w:rFonts w:asciiTheme="minorHAnsi" w:hAnsiTheme="minorHAnsi" w:cstheme="minorHAnsi"/>
        </w:rPr>
        <w:t>cited</w:t>
      </w:r>
      <w:r w:rsidRPr="00755F09">
        <w:rPr>
          <w:rFonts w:asciiTheme="minorHAnsi" w:hAnsiTheme="minorHAnsi" w:cstheme="minorHAnsi"/>
        </w:rPr>
        <w:t xml:space="preserve"> 2018 Dec 23]</w:t>
      </w:r>
      <w:r>
        <w:rPr>
          <w:rFonts w:asciiTheme="minorHAnsi" w:hAnsiTheme="minorHAnsi" w:cstheme="minorHAnsi"/>
        </w:rPr>
        <w:t xml:space="preserve">. </w:t>
      </w:r>
      <w:r w:rsidRPr="00755F09">
        <w:rPr>
          <w:rFonts w:asciiTheme="minorHAnsi" w:hAnsiTheme="minorHAnsi" w:cstheme="minorHAnsi"/>
        </w:rPr>
        <w:t xml:space="preserve">Available from: </w:t>
      </w:r>
      <w:hyperlink r:id="rId13" w:history="1">
        <w:r w:rsidRPr="00755F09">
          <w:rPr>
            <w:rStyle w:val="af1"/>
            <w:rFonts w:asciiTheme="minorHAnsi" w:hAnsiTheme="minorHAnsi" w:cstheme="minorHAnsi"/>
          </w:rPr>
          <w:t>http://www.wpro.who.int/china/mediacentre/releases/2016/20160727-china-world-hepatitis-day/en/</w:t>
        </w:r>
      </w:hyperlink>
      <w:bookmarkEnd w:id="22"/>
      <w:r>
        <w:rPr>
          <w:rFonts w:asciiTheme="minorHAnsi" w:hAnsiTheme="minorHAnsi" w:cstheme="minorHAnsi"/>
        </w:rPr>
        <w:t>.</w:t>
      </w:r>
    </w:p>
    <w:p w14:paraId="216D8EA2" w14:textId="77777777" w:rsidR="00B656F6" w:rsidRPr="00755F09" w:rsidRDefault="00B656F6" w:rsidP="00B656F6">
      <w:pPr>
        <w:pStyle w:val="af"/>
        <w:numPr>
          <w:ilvl w:val="0"/>
          <w:numId w:val="10"/>
        </w:numPr>
        <w:rPr>
          <w:rFonts w:asciiTheme="minorHAnsi" w:hAnsiTheme="minorHAnsi" w:cstheme="minorHAnsi"/>
        </w:rPr>
      </w:pPr>
      <w:bookmarkStart w:id="23" w:name="_Ref522895716"/>
      <w:r w:rsidRPr="00755F09">
        <w:rPr>
          <w:rFonts w:asciiTheme="minorHAnsi" w:hAnsiTheme="minorHAnsi" w:cstheme="minorHAnsi"/>
        </w:rPr>
        <w:t xml:space="preserve">World Health Organization. Tobacco in China. </w:t>
      </w:r>
      <w:r>
        <w:rPr>
          <w:rFonts w:asciiTheme="minorHAnsi" w:hAnsiTheme="minorHAnsi" w:cstheme="minorHAnsi"/>
        </w:rPr>
        <w:t xml:space="preserve">Geneva: World Health Organization; </w:t>
      </w:r>
      <w:r w:rsidRPr="00755F09">
        <w:rPr>
          <w:rFonts w:asciiTheme="minorHAnsi" w:hAnsiTheme="minorHAnsi" w:cstheme="minorHAnsi"/>
        </w:rPr>
        <w:t>[</w:t>
      </w:r>
      <w:r>
        <w:rPr>
          <w:rFonts w:asciiTheme="minorHAnsi" w:hAnsiTheme="minorHAnsi" w:cstheme="minorHAnsi"/>
        </w:rPr>
        <w:t>cited</w:t>
      </w:r>
      <w:r w:rsidRPr="00755F09">
        <w:rPr>
          <w:rFonts w:asciiTheme="minorHAnsi" w:hAnsiTheme="minorHAnsi" w:cstheme="minorHAnsi"/>
        </w:rPr>
        <w:t xml:space="preserve"> 2018 Dec 23]</w:t>
      </w:r>
      <w:r>
        <w:rPr>
          <w:rFonts w:asciiTheme="minorHAnsi" w:hAnsiTheme="minorHAnsi" w:cstheme="minorHAnsi"/>
        </w:rPr>
        <w:t xml:space="preserve">. </w:t>
      </w:r>
      <w:r w:rsidRPr="00755F09">
        <w:rPr>
          <w:rFonts w:asciiTheme="minorHAnsi" w:hAnsiTheme="minorHAnsi" w:cstheme="minorHAnsi"/>
        </w:rPr>
        <w:t xml:space="preserve">Available from: </w:t>
      </w:r>
      <w:hyperlink r:id="rId14" w:history="1">
        <w:r w:rsidRPr="00755F09">
          <w:rPr>
            <w:rFonts w:asciiTheme="minorHAnsi" w:hAnsiTheme="minorHAnsi" w:cstheme="minorHAnsi"/>
          </w:rPr>
          <w:t>http://www.wpro.who.int/china/mediacentre/factsheets/tobacco/en/</w:t>
        </w:r>
      </w:hyperlink>
      <w:bookmarkEnd w:id="23"/>
      <w:r>
        <w:rPr>
          <w:rFonts w:asciiTheme="minorHAnsi" w:hAnsiTheme="minorHAnsi" w:cstheme="minorHAnsi"/>
        </w:rPr>
        <w:t>.</w:t>
      </w:r>
    </w:p>
    <w:p w14:paraId="03059F2B" w14:textId="77777777" w:rsidR="00B656F6" w:rsidRPr="00755F09" w:rsidRDefault="00B656F6" w:rsidP="00B656F6">
      <w:pPr>
        <w:pStyle w:val="af"/>
        <w:numPr>
          <w:ilvl w:val="0"/>
          <w:numId w:val="10"/>
        </w:numPr>
        <w:rPr>
          <w:rFonts w:asciiTheme="minorHAnsi" w:hAnsiTheme="minorHAnsi" w:cstheme="minorHAnsi"/>
        </w:rPr>
      </w:pPr>
      <w:bookmarkStart w:id="24" w:name="_Ref522900148"/>
      <w:r w:rsidRPr="00755F09">
        <w:rPr>
          <w:rFonts w:asciiTheme="minorHAnsi" w:hAnsiTheme="minorHAnsi" w:cstheme="minorHAnsi"/>
        </w:rPr>
        <w:t xml:space="preserve">Institute for Health Metrics and Evaluation. Global Burden of Air Pollution. </w:t>
      </w:r>
      <w:r>
        <w:rPr>
          <w:rFonts w:asciiTheme="minorHAnsi" w:hAnsiTheme="minorHAnsi" w:cstheme="minorHAnsi"/>
        </w:rPr>
        <w:t xml:space="preserve">Seattle, WA: </w:t>
      </w:r>
      <w:r w:rsidRPr="00755F09">
        <w:rPr>
          <w:rFonts w:asciiTheme="minorHAnsi" w:hAnsiTheme="minorHAnsi" w:cstheme="minorHAnsi"/>
        </w:rPr>
        <w:t>Institute for Health Metrics and Evaluation</w:t>
      </w:r>
      <w:r>
        <w:rPr>
          <w:rFonts w:asciiTheme="minorHAnsi" w:hAnsiTheme="minorHAnsi" w:cstheme="minorHAnsi"/>
        </w:rPr>
        <w:t xml:space="preserve">; 2016 </w:t>
      </w:r>
      <w:r w:rsidRPr="00755F09">
        <w:rPr>
          <w:rFonts w:asciiTheme="minorHAnsi" w:hAnsiTheme="minorHAnsi" w:cstheme="minorHAnsi"/>
        </w:rPr>
        <w:t>[</w:t>
      </w:r>
      <w:r>
        <w:rPr>
          <w:rFonts w:asciiTheme="minorHAnsi" w:hAnsiTheme="minorHAnsi" w:cstheme="minorHAnsi"/>
        </w:rPr>
        <w:t>cited</w:t>
      </w:r>
      <w:r w:rsidRPr="00755F09">
        <w:rPr>
          <w:rFonts w:asciiTheme="minorHAnsi" w:hAnsiTheme="minorHAnsi" w:cstheme="minorHAnsi"/>
        </w:rPr>
        <w:t xml:space="preserve"> 2018 Dec 23]</w:t>
      </w:r>
      <w:r>
        <w:rPr>
          <w:rFonts w:asciiTheme="minorHAnsi" w:hAnsiTheme="minorHAnsi" w:cstheme="minorHAnsi"/>
        </w:rPr>
        <w:t xml:space="preserve">. </w:t>
      </w:r>
      <w:r w:rsidRPr="00755F09">
        <w:rPr>
          <w:rFonts w:asciiTheme="minorHAnsi" w:hAnsiTheme="minorHAnsi" w:cstheme="minorHAnsi"/>
        </w:rPr>
        <w:t xml:space="preserve">Available from: </w:t>
      </w:r>
      <w:hyperlink r:id="rId15" w:history="1">
        <w:r w:rsidRPr="00755F09">
          <w:rPr>
            <w:rStyle w:val="af1"/>
            <w:rFonts w:asciiTheme="minorHAnsi" w:hAnsiTheme="minorHAnsi" w:cstheme="minorHAnsi"/>
          </w:rPr>
          <w:t>http://www.healthdata.org/infographic/global-burden-air-pollution</w:t>
        </w:r>
      </w:hyperlink>
      <w:bookmarkStart w:id="25" w:name="_Ref522900164"/>
      <w:bookmarkEnd w:id="24"/>
      <w:r>
        <w:rPr>
          <w:rFonts w:asciiTheme="minorHAnsi" w:hAnsiTheme="minorHAnsi" w:cstheme="minorHAnsi"/>
        </w:rPr>
        <w:t>.</w:t>
      </w:r>
    </w:p>
    <w:p w14:paraId="09B7DE96" w14:textId="77777777" w:rsidR="00B656F6" w:rsidRPr="00755F09" w:rsidRDefault="00B656F6" w:rsidP="00B656F6">
      <w:pPr>
        <w:pStyle w:val="af"/>
        <w:numPr>
          <w:ilvl w:val="0"/>
          <w:numId w:val="10"/>
        </w:numPr>
        <w:rPr>
          <w:rFonts w:asciiTheme="minorHAnsi" w:hAnsiTheme="minorHAnsi" w:cstheme="minorHAnsi"/>
        </w:rPr>
      </w:pPr>
      <w:bookmarkStart w:id="26" w:name="_Ref18950151"/>
      <w:bookmarkStart w:id="27" w:name="_Hlk19106177"/>
      <w:r w:rsidRPr="00755F09">
        <w:rPr>
          <w:rFonts w:asciiTheme="minorHAnsi" w:hAnsiTheme="minorHAnsi" w:cstheme="minorHAnsi"/>
        </w:rPr>
        <w:t xml:space="preserve">World Bank Group, World Health Organization, Ministry of Finance, PRC, National Health and Family Planning Commission, PRC and Ministry of Human Resources and Social Security, PRC. Deepening Health Reform in China: building high-quality and value-based service delivery. </w:t>
      </w:r>
      <w:r>
        <w:rPr>
          <w:rFonts w:asciiTheme="minorHAnsi" w:hAnsiTheme="minorHAnsi" w:cstheme="minorHAnsi"/>
        </w:rPr>
        <w:t xml:space="preserve">Washington, DC: World Bank Group; 2016. </w:t>
      </w:r>
      <w:r w:rsidRPr="00755F09">
        <w:rPr>
          <w:rFonts w:asciiTheme="minorHAnsi" w:hAnsiTheme="minorHAnsi" w:cstheme="minorHAnsi"/>
        </w:rPr>
        <w:t>[</w:t>
      </w:r>
      <w:r>
        <w:rPr>
          <w:rFonts w:asciiTheme="minorHAnsi" w:hAnsiTheme="minorHAnsi" w:cstheme="minorHAnsi"/>
        </w:rPr>
        <w:t>cited</w:t>
      </w:r>
      <w:r w:rsidRPr="00755F09">
        <w:rPr>
          <w:rFonts w:asciiTheme="minorHAnsi" w:hAnsiTheme="minorHAnsi" w:cstheme="minorHAnsi"/>
        </w:rPr>
        <w:t xml:space="preserve"> 2018 Dec 23]. Available from: </w:t>
      </w:r>
      <w:hyperlink r:id="rId16" w:history="1">
        <w:r w:rsidRPr="00755F09">
          <w:rPr>
            <w:rStyle w:val="af1"/>
          </w:rPr>
          <w:t>https://openknowledge.worldbank.org/handle/10986/24720</w:t>
        </w:r>
      </w:hyperlink>
      <w:bookmarkEnd w:id="26"/>
      <w:r>
        <w:rPr>
          <w:rStyle w:val="af1"/>
        </w:rPr>
        <w:t>.</w:t>
      </w:r>
    </w:p>
    <w:p w14:paraId="6DE2C92E" w14:textId="77777777" w:rsidR="00B656F6" w:rsidRPr="006E13D1" w:rsidRDefault="00B656F6" w:rsidP="00B656F6">
      <w:pPr>
        <w:pStyle w:val="af"/>
        <w:numPr>
          <w:ilvl w:val="0"/>
          <w:numId w:val="10"/>
        </w:numPr>
        <w:rPr>
          <w:rFonts w:asciiTheme="minorHAnsi" w:hAnsiTheme="minorHAnsi" w:cstheme="minorHAnsi"/>
        </w:rPr>
      </w:pPr>
      <w:bookmarkStart w:id="28" w:name="_Ref18918803"/>
      <w:bookmarkEnd w:id="27"/>
      <w:r w:rsidRPr="00755F09">
        <w:rPr>
          <w:rFonts w:asciiTheme="minorHAnsi" w:hAnsiTheme="minorHAnsi" w:cstheme="minorHAnsi"/>
        </w:rPr>
        <w:lastRenderedPageBreak/>
        <w:t xml:space="preserve">State Council of the People's Republic of China [Internet]. “Healthy China 2030” Planning Outline. 2016 Oct [cited 2018 Dec 23]. Chinese. Available from: </w:t>
      </w:r>
      <w:hyperlink r:id="rId17" w:history="1">
        <w:r w:rsidRPr="00755F09">
          <w:rPr>
            <w:rStyle w:val="af1"/>
            <w:rFonts w:asciiTheme="minorHAnsi" w:hAnsiTheme="minorHAnsi" w:cstheme="minorHAnsi"/>
          </w:rPr>
          <w:t>http://www.gov.cn/zhengce/2016-10/25/content_5124174.htm</w:t>
        </w:r>
      </w:hyperlink>
      <w:bookmarkEnd w:id="28"/>
      <w:r>
        <w:rPr>
          <w:rStyle w:val="af1"/>
          <w:rFonts w:asciiTheme="minorHAnsi" w:hAnsiTheme="minorHAnsi" w:cstheme="minorHAnsi"/>
        </w:rPr>
        <w:t>.</w:t>
      </w:r>
    </w:p>
    <w:p w14:paraId="304CCC62" w14:textId="77777777" w:rsidR="00B656F6" w:rsidRPr="00755F09" w:rsidRDefault="00B656F6" w:rsidP="00B656F6">
      <w:pPr>
        <w:pStyle w:val="af"/>
        <w:numPr>
          <w:ilvl w:val="0"/>
          <w:numId w:val="10"/>
        </w:numPr>
        <w:rPr>
          <w:rFonts w:asciiTheme="minorHAnsi" w:hAnsiTheme="minorHAnsi" w:cstheme="minorHAnsi"/>
        </w:rPr>
      </w:pPr>
      <w:bookmarkStart w:id="29" w:name="_Ref18950532"/>
      <w:bookmarkStart w:id="30" w:name="_Hlk19109826"/>
      <w:r w:rsidRPr="00755F09">
        <w:rPr>
          <w:rFonts w:asciiTheme="minorHAnsi" w:hAnsiTheme="minorHAnsi" w:cstheme="minorHAnsi"/>
        </w:rPr>
        <w:t xml:space="preserve">Development Research Center, the State Council of China. </w:t>
      </w:r>
      <w:bookmarkStart w:id="31" w:name="_Hlk21893584"/>
      <w:r w:rsidRPr="00755F09">
        <w:rPr>
          <w:rFonts w:asciiTheme="minorHAnsi" w:hAnsiTheme="minorHAnsi" w:cstheme="minorHAnsi"/>
        </w:rPr>
        <w:t>China livelihood survey 2016. Beijing: China Development Press</w:t>
      </w:r>
      <w:r>
        <w:rPr>
          <w:rFonts w:asciiTheme="minorHAnsi" w:hAnsiTheme="minorHAnsi" w:cstheme="minorHAnsi"/>
        </w:rPr>
        <w:t>;</w:t>
      </w:r>
      <w:r w:rsidRPr="00755F09">
        <w:rPr>
          <w:rFonts w:asciiTheme="minorHAnsi" w:hAnsiTheme="minorHAnsi" w:cstheme="minorHAnsi"/>
        </w:rPr>
        <w:t xml:space="preserve"> 2016</w:t>
      </w:r>
      <w:bookmarkEnd w:id="29"/>
      <w:r>
        <w:rPr>
          <w:rFonts w:asciiTheme="minorHAnsi" w:hAnsiTheme="minorHAnsi" w:cstheme="minorHAnsi"/>
        </w:rPr>
        <w:t>.</w:t>
      </w:r>
    </w:p>
    <w:p w14:paraId="0D499EB3" w14:textId="77777777" w:rsidR="00B656F6" w:rsidRPr="00983E4E" w:rsidRDefault="00B656F6" w:rsidP="00B656F6">
      <w:pPr>
        <w:pStyle w:val="af"/>
        <w:numPr>
          <w:ilvl w:val="0"/>
          <w:numId w:val="10"/>
        </w:numPr>
        <w:rPr>
          <w:rStyle w:val="af1"/>
        </w:rPr>
      </w:pPr>
      <w:bookmarkStart w:id="32" w:name="_Ref18950554"/>
      <w:bookmarkEnd w:id="30"/>
      <w:bookmarkEnd w:id="31"/>
      <w:r w:rsidRPr="00755F09">
        <w:t xml:space="preserve">National Health and Family Planning Commission. </w:t>
      </w:r>
      <w:bookmarkStart w:id="33" w:name="_Hlk21893628"/>
      <w:r w:rsidRPr="00755F09">
        <w:t>2015 China AIDS Response Progress Report</w:t>
      </w:r>
      <w:bookmarkEnd w:id="33"/>
      <w:r w:rsidRPr="00755F09">
        <w:t xml:space="preserve">. </w:t>
      </w:r>
      <w:r>
        <w:t xml:space="preserve">Beijing: National Health and Family Planning Commission of the People’s Republic of China; 2015. </w:t>
      </w:r>
      <w:r w:rsidRPr="00755F09">
        <w:rPr>
          <w:rFonts w:asciiTheme="minorHAnsi" w:hAnsiTheme="minorHAnsi" w:cstheme="minorHAnsi"/>
        </w:rPr>
        <w:t>[</w:t>
      </w:r>
      <w:r>
        <w:rPr>
          <w:rFonts w:asciiTheme="minorHAnsi" w:hAnsiTheme="minorHAnsi" w:cstheme="minorHAnsi"/>
        </w:rPr>
        <w:t>cited</w:t>
      </w:r>
      <w:r w:rsidRPr="00755F09">
        <w:rPr>
          <w:rFonts w:asciiTheme="minorHAnsi" w:hAnsiTheme="minorHAnsi" w:cstheme="minorHAnsi"/>
        </w:rPr>
        <w:t xml:space="preserve"> 2018 Dec 23]. </w:t>
      </w:r>
      <w:r w:rsidRPr="00755F09">
        <w:t>Available from</w:t>
      </w:r>
      <w:r>
        <w:t>:</w:t>
      </w:r>
      <w:r w:rsidRPr="00755F09">
        <w:t xml:space="preserve"> </w:t>
      </w:r>
      <w:bookmarkStart w:id="34" w:name="_Hlk21893639"/>
      <w:r>
        <w:fldChar w:fldCharType="begin"/>
      </w:r>
      <w:r>
        <w:instrText xml:space="preserve"> HYPERLINK "https://www.unaids.org/sites/default/files/country/documents/CHN_narrative_report_2015.pdf" </w:instrText>
      </w:r>
      <w:r>
        <w:fldChar w:fldCharType="separate"/>
      </w:r>
      <w:r w:rsidRPr="00755F09">
        <w:rPr>
          <w:rStyle w:val="af1"/>
        </w:rPr>
        <w:t>https://www.unaids.org/sites/default/files/country/documents/CHN_narrative_report_2015.pdf</w:t>
      </w:r>
      <w:r>
        <w:rPr>
          <w:rStyle w:val="af1"/>
        </w:rPr>
        <w:fldChar w:fldCharType="end"/>
      </w:r>
      <w:bookmarkEnd w:id="32"/>
      <w:bookmarkEnd w:id="34"/>
      <w:r>
        <w:rPr>
          <w:rStyle w:val="af1"/>
        </w:rPr>
        <w:t>.</w:t>
      </w:r>
    </w:p>
    <w:p w14:paraId="5C59FD5C" w14:textId="77777777" w:rsidR="00B656F6" w:rsidRPr="00755F09" w:rsidRDefault="00B656F6" w:rsidP="00B656F6">
      <w:pPr>
        <w:pStyle w:val="af"/>
        <w:numPr>
          <w:ilvl w:val="0"/>
          <w:numId w:val="10"/>
        </w:numPr>
        <w:rPr>
          <w:rFonts w:asciiTheme="minorHAnsi" w:hAnsiTheme="minorHAnsi" w:cstheme="minorHAnsi"/>
        </w:rPr>
      </w:pPr>
      <w:bookmarkStart w:id="35" w:name="_Ref522903753"/>
      <w:bookmarkStart w:id="36" w:name="_Ref18950325"/>
      <w:r w:rsidRPr="00755F09">
        <w:rPr>
          <w:rFonts w:asciiTheme="minorHAnsi" w:hAnsiTheme="minorHAnsi" w:cstheme="minorHAnsi"/>
        </w:rPr>
        <w:t xml:space="preserve">National Health and Family Planning Commission. </w:t>
      </w:r>
      <w:bookmarkStart w:id="37" w:name="_Hlk21893652"/>
      <w:r w:rsidRPr="00755F09">
        <w:rPr>
          <w:rFonts w:asciiTheme="minorHAnsi" w:hAnsiTheme="minorHAnsi" w:cstheme="minorHAnsi"/>
        </w:rPr>
        <w:t>China residents’ nutrition and chronic diseases report 2015. Beijing: People’s Medical Publishing House; 2016</w:t>
      </w:r>
      <w:bookmarkEnd w:id="35"/>
      <w:r w:rsidRPr="00755F09">
        <w:rPr>
          <w:rFonts w:asciiTheme="minorHAnsi" w:hAnsiTheme="minorHAnsi" w:cstheme="minorHAnsi"/>
        </w:rPr>
        <w:t>.</w:t>
      </w:r>
      <w:bookmarkEnd w:id="36"/>
      <w:bookmarkEnd w:id="37"/>
    </w:p>
    <w:p w14:paraId="0359A571" w14:textId="77777777" w:rsidR="00B656F6" w:rsidRDefault="00B656F6" w:rsidP="00B656F6">
      <w:pPr>
        <w:pStyle w:val="af"/>
        <w:numPr>
          <w:ilvl w:val="0"/>
          <w:numId w:val="10"/>
        </w:numPr>
        <w:rPr>
          <w:rFonts w:asciiTheme="minorHAnsi" w:hAnsiTheme="minorHAnsi" w:cstheme="minorHAnsi"/>
        </w:rPr>
      </w:pPr>
      <w:bookmarkStart w:id="38" w:name="_Ref533341837"/>
      <w:bookmarkStart w:id="39" w:name="_Ref18950359"/>
      <w:bookmarkStart w:id="40" w:name="_Ref522907035"/>
      <w:bookmarkStart w:id="41" w:name="OLE_LINK3"/>
      <w:bookmarkStart w:id="42" w:name="OLE_LINK4"/>
      <w:r w:rsidRPr="00755F09">
        <w:rPr>
          <w:rFonts w:asciiTheme="minorHAnsi" w:hAnsiTheme="minorHAnsi" w:cstheme="minorHAnsi"/>
        </w:rPr>
        <w:t xml:space="preserve">National Health and Family Planning Commission Center for Health Statistics and Information. </w:t>
      </w:r>
      <w:bookmarkStart w:id="43" w:name="_Hlk21893689"/>
      <w:r w:rsidRPr="00755F09">
        <w:rPr>
          <w:rFonts w:asciiTheme="minorHAnsi" w:hAnsiTheme="minorHAnsi" w:cstheme="minorHAnsi"/>
        </w:rPr>
        <w:t xml:space="preserve">An Analysis Report of National </w:t>
      </w:r>
      <w:bookmarkStart w:id="44" w:name="_GoBack"/>
      <w:bookmarkEnd w:id="44"/>
      <w:r w:rsidRPr="00755F09">
        <w:rPr>
          <w:rFonts w:asciiTheme="minorHAnsi" w:hAnsiTheme="minorHAnsi" w:cstheme="minorHAnsi"/>
        </w:rPr>
        <w:t xml:space="preserve">Health Services Survey in China, 2013. </w:t>
      </w:r>
      <w:r>
        <w:rPr>
          <w:rFonts w:asciiTheme="minorHAnsi" w:hAnsiTheme="minorHAnsi" w:cstheme="minorHAnsi"/>
        </w:rPr>
        <w:t xml:space="preserve">Beijing: </w:t>
      </w:r>
      <w:r w:rsidRPr="00755F09">
        <w:rPr>
          <w:rFonts w:asciiTheme="minorHAnsi" w:hAnsiTheme="minorHAnsi" w:cstheme="minorHAnsi"/>
        </w:rPr>
        <w:t>Center for Health Statistics and Information, NHFPC; 2015</w:t>
      </w:r>
      <w:r>
        <w:rPr>
          <w:rFonts w:asciiTheme="minorHAnsi" w:hAnsiTheme="minorHAnsi" w:cstheme="minorHAnsi"/>
        </w:rPr>
        <w:t xml:space="preserve"> </w:t>
      </w:r>
      <w:r w:rsidRPr="00755F09">
        <w:rPr>
          <w:rFonts w:asciiTheme="minorHAnsi" w:hAnsiTheme="minorHAnsi" w:cstheme="minorHAnsi"/>
        </w:rPr>
        <w:t>[</w:t>
      </w:r>
      <w:r>
        <w:rPr>
          <w:rFonts w:asciiTheme="minorHAnsi" w:hAnsiTheme="minorHAnsi" w:cstheme="minorHAnsi"/>
        </w:rPr>
        <w:t>cited</w:t>
      </w:r>
      <w:r w:rsidRPr="00755F09">
        <w:rPr>
          <w:rFonts w:asciiTheme="minorHAnsi" w:hAnsiTheme="minorHAnsi" w:cstheme="minorHAnsi"/>
        </w:rPr>
        <w:t xml:space="preserve"> 2018 Dec 23]. </w:t>
      </w:r>
      <w:r>
        <w:rPr>
          <w:rFonts w:asciiTheme="minorHAnsi" w:hAnsiTheme="minorHAnsi" w:cstheme="minorHAnsi"/>
        </w:rPr>
        <w:t xml:space="preserve">Chinese. </w:t>
      </w:r>
      <w:r w:rsidRPr="00755F09">
        <w:rPr>
          <w:rFonts w:asciiTheme="minorHAnsi" w:hAnsiTheme="minorHAnsi" w:cstheme="minorHAnsi"/>
        </w:rPr>
        <w:t xml:space="preserve">Available from: </w:t>
      </w:r>
      <w:bookmarkEnd w:id="38"/>
      <w:bookmarkEnd w:id="39"/>
      <w:bookmarkEnd w:id="40"/>
      <w:bookmarkEnd w:id="41"/>
      <w:bookmarkEnd w:id="42"/>
      <w:bookmarkEnd w:id="43"/>
      <w:r w:rsidRPr="006D6953">
        <w:rPr>
          <w:rFonts w:asciiTheme="minorHAnsi" w:hAnsiTheme="minorHAnsi" w:cstheme="minorHAnsi"/>
        </w:rPr>
        <w:t>http://www.nhc.gov.cn/mohwsbwstjxxzx/s8211/201610/9f109ff40e9346fca76dd82cecf419ce.shtml</w:t>
      </w:r>
    </w:p>
    <w:p w14:paraId="212C8C8F" w14:textId="77777777" w:rsidR="00B656F6" w:rsidRPr="00755F09" w:rsidRDefault="00B656F6" w:rsidP="00B656F6">
      <w:pPr>
        <w:pStyle w:val="af"/>
        <w:numPr>
          <w:ilvl w:val="0"/>
          <w:numId w:val="10"/>
        </w:numPr>
        <w:rPr>
          <w:rFonts w:asciiTheme="minorHAnsi" w:hAnsiTheme="minorHAnsi" w:cstheme="minorHAnsi"/>
        </w:rPr>
      </w:pPr>
      <w:bookmarkStart w:id="45" w:name="_Ref533346362"/>
      <w:r w:rsidRPr="00755F09">
        <w:rPr>
          <w:rFonts w:asciiTheme="minorHAnsi" w:hAnsiTheme="minorHAnsi" w:cstheme="minorHAnsi"/>
        </w:rPr>
        <w:t xml:space="preserve">National Health and Family Planning Commission Center for Health Statistics and Information, National Center for Chronic and Noncommunicable Disease Control and Prevention. </w:t>
      </w:r>
      <w:bookmarkStart w:id="46" w:name="_Hlk21893734"/>
      <w:r w:rsidRPr="00755F09">
        <w:rPr>
          <w:rFonts w:asciiTheme="minorHAnsi" w:hAnsiTheme="minorHAnsi" w:cstheme="minorHAnsi"/>
        </w:rPr>
        <w:t>China Cause of Death Surveillance Dataset 2016. Beijing: China Science and Technology Press; 2017.</w:t>
      </w:r>
      <w:bookmarkEnd w:id="45"/>
    </w:p>
    <w:p w14:paraId="45191FBE" w14:textId="77777777" w:rsidR="00B656F6" w:rsidRDefault="00B656F6" w:rsidP="00B656F6">
      <w:pPr>
        <w:pStyle w:val="af"/>
        <w:numPr>
          <w:ilvl w:val="0"/>
          <w:numId w:val="10"/>
        </w:numPr>
        <w:rPr>
          <w:rFonts w:asciiTheme="minorHAnsi" w:hAnsiTheme="minorHAnsi" w:cstheme="minorHAnsi"/>
        </w:rPr>
      </w:pPr>
      <w:bookmarkStart w:id="47" w:name="_Ref522907984"/>
      <w:bookmarkEnd w:id="46"/>
      <w:r w:rsidRPr="00755F09">
        <w:rPr>
          <w:rFonts w:asciiTheme="minorHAnsi" w:hAnsiTheme="minorHAnsi" w:cstheme="minorHAnsi"/>
        </w:rPr>
        <w:t xml:space="preserve">Wang L, Wang L, Zhou M. </w:t>
      </w:r>
      <w:bookmarkStart w:id="48" w:name="_Hlk21893758"/>
      <w:r w:rsidRPr="00755F09">
        <w:rPr>
          <w:rFonts w:asciiTheme="minorHAnsi" w:hAnsiTheme="minorHAnsi" w:cstheme="minorHAnsi"/>
        </w:rPr>
        <w:t>Report on chronic disease risk factor surveillance in China (2013). Beijing: Military Medical Science Press; 2016.</w:t>
      </w:r>
      <w:bookmarkEnd w:id="47"/>
      <w:bookmarkEnd w:id="48"/>
    </w:p>
    <w:p w14:paraId="6FE39509" w14:textId="77777777" w:rsidR="00B656F6" w:rsidRPr="00983E4E" w:rsidRDefault="00B656F6" w:rsidP="00B656F6">
      <w:pPr>
        <w:pStyle w:val="af"/>
        <w:numPr>
          <w:ilvl w:val="0"/>
          <w:numId w:val="10"/>
        </w:numPr>
        <w:rPr>
          <w:rFonts w:asciiTheme="minorHAnsi" w:hAnsiTheme="minorHAnsi" w:cstheme="minorHAnsi"/>
        </w:rPr>
      </w:pPr>
      <w:bookmarkStart w:id="49" w:name="_Ref524372004"/>
      <w:r w:rsidRPr="00755F09">
        <w:rPr>
          <w:rFonts w:asciiTheme="minorHAnsi" w:hAnsiTheme="minorHAnsi" w:cstheme="minorHAnsi"/>
        </w:rPr>
        <w:t xml:space="preserve">Ministry of Ecology and Environment of the People’s Republic of China. </w:t>
      </w:r>
      <w:bookmarkStart w:id="50" w:name="_Hlk21893781"/>
      <w:r w:rsidRPr="00755F09">
        <w:rPr>
          <w:rFonts w:asciiTheme="minorHAnsi" w:hAnsiTheme="minorHAnsi" w:cstheme="minorHAnsi"/>
        </w:rPr>
        <w:t xml:space="preserve">Report on the State of the Ecology and Environment in China 2017. </w:t>
      </w:r>
      <w:r>
        <w:rPr>
          <w:rFonts w:asciiTheme="minorHAnsi" w:hAnsiTheme="minorHAnsi" w:cstheme="minorHAnsi"/>
        </w:rPr>
        <w:t xml:space="preserve">Beijing: </w:t>
      </w:r>
      <w:r w:rsidRPr="00755F09">
        <w:rPr>
          <w:rFonts w:asciiTheme="minorHAnsi" w:hAnsiTheme="minorHAnsi" w:cstheme="minorHAnsi"/>
        </w:rPr>
        <w:t>Ministry of Ecology and Environment of the People’s Republic of China</w:t>
      </w:r>
      <w:r>
        <w:rPr>
          <w:rFonts w:asciiTheme="minorHAnsi" w:hAnsiTheme="minorHAnsi" w:cstheme="minorHAnsi"/>
        </w:rPr>
        <w:t>;</w:t>
      </w:r>
      <w:r w:rsidRPr="00755F09">
        <w:rPr>
          <w:rFonts w:asciiTheme="minorHAnsi" w:hAnsiTheme="minorHAnsi" w:cstheme="minorHAnsi"/>
        </w:rPr>
        <w:t xml:space="preserve"> </w:t>
      </w:r>
      <w:r>
        <w:rPr>
          <w:rFonts w:asciiTheme="minorHAnsi" w:hAnsiTheme="minorHAnsi" w:cstheme="minorHAnsi"/>
        </w:rPr>
        <w:t xml:space="preserve">2018 </w:t>
      </w:r>
      <w:r w:rsidRPr="00755F09">
        <w:rPr>
          <w:rFonts w:asciiTheme="minorHAnsi" w:hAnsiTheme="minorHAnsi" w:cstheme="minorHAnsi"/>
        </w:rPr>
        <w:t>[</w:t>
      </w:r>
      <w:r>
        <w:rPr>
          <w:rFonts w:asciiTheme="minorHAnsi" w:hAnsiTheme="minorHAnsi" w:cstheme="minorHAnsi"/>
        </w:rPr>
        <w:t>cited</w:t>
      </w:r>
      <w:r w:rsidRPr="00755F09">
        <w:rPr>
          <w:rFonts w:asciiTheme="minorHAnsi" w:hAnsiTheme="minorHAnsi" w:cstheme="minorHAnsi"/>
        </w:rPr>
        <w:t xml:space="preserve"> 2018 Dec 20].</w:t>
      </w:r>
      <w:r>
        <w:rPr>
          <w:rFonts w:asciiTheme="minorHAnsi" w:hAnsiTheme="minorHAnsi" w:cstheme="minorHAnsi"/>
        </w:rPr>
        <w:t xml:space="preserve"> </w:t>
      </w:r>
      <w:r w:rsidRPr="00755F09">
        <w:rPr>
          <w:rFonts w:asciiTheme="minorHAnsi" w:hAnsiTheme="minorHAnsi" w:cstheme="minorHAnsi"/>
        </w:rPr>
        <w:t xml:space="preserve">Available from: </w:t>
      </w:r>
      <w:bookmarkEnd w:id="49"/>
      <w:bookmarkEnd w:id="50"/>
      <w:r w:rsidRPr="00F45DE6">
        <w:rPr>
          <w:rFonts w:asciiTheme="minorHAnsi" w:hAnsiTheme="minorHAnsi" w:cstheme="minorHAnsi"/>
        </w:rPr>
        <w:t>http://english.mee.gov.cn/Resources/Reports/soe/SOEE2017/201808/P020180801597738742758.pdf</w:t>
      </w:r>
    </w:p>
    <w:p w14:paraId="08D97262" w14:textId="77777777" w:rsidR="00B656F6" w:rsidRPr="00755F09" w:rsidRDefault="00B656F6" w:rsidP="00B656F6">
      <w:pPr>
        <w:pStyle w:val="af"/>
        <w:numPr>
          <w:ilvl w:val="0"/>
          <w:numId w:val="10"/>
        </w:numPr>
        <w:rPr>
          <w:rFonts w:asciiTheme="minorHAnsi" w:hAnsiTheme="minorHAnsi" w:cstheme="minorHAnsi"/>
        </w:rPr>
      </w:pPr>
      <w:bookmarkStart w:id="51" w:name="_Ref522900281"/>
      <w:bookmarkEnd w:id="25"/>
      <w:r w:rsidRPr="00755F09">
        <w:rPr>
          <w:rFonts w:asciiTheme="minorHAnsi" w:hAnsiTheme="minorHAnsi" w:cstheme="minorHAnsi"/>
        </w:rPr>
        <w:t xml:space="preserve">Fullman N, Barber RM, Abajobir AA, Abate KH, Abbafati C, Abbas KM, </w:t>
      </w:r>
      <w:r w:rsidRPr="00755F09">
        <w:rPr>
          <w:rFonts w:asciiTheme="minorHAnsi" w:hAnsiTheme="minorHAnsi" w:cstheme="minorHAnsi"/>
          <w:lang w:val="it-IT"/>
        </w:rPr>
        <w:t>et al</w:t>
      </w:r>
      <w:r w:rsidRPr="00755F09">
        <w:rPr>
          <w:rFonts w:asciiTheme="minorHAnsi" w:hAnsiTheme="minorHAnsi" w:cstheme="minorHAnsi"/>
        </w:rPr>
        <w:t>. Measuring progress and projecting attainment on the basis of past trends of the health-related Sustainable Development Goals in 188 countries: an analysis from the Global Burden of Disease Study 2016. Lancet. 2017 Sep 16;390(10100):1423-59.</w:t>
      </w:r>
      <w:bookmarkEnd w:id="51"/>
    </w:p>
    <w:p w14:paraId="1905D3AC" w14:textId="77777777" w:rsidR="00B656F6" w:rsidRPr="006E13D1" w:rsidRDefault="00B656F6" w:rsidP="00B656F6">
      <w:pPr>
        <w:pStyle w:val="af"/>
        <w:numPr>
          <w:ilvl w:val="0"/>
          <w:numId w:val="10"/>
        </w:numPr>
        <w:rPr>
          <w:rFonts w:asciiTheme="minorHAnsi" w:hAnsiTheme="minorHAnsi" w:cstheme="minorHAnsi"/>
        </w:rPr>
      </w:pPr>
      <w:bookmarkStart w:id="52" w:name="_Ref533348862"/>
      <w:r w:rsidRPr="00755F09">
        <w:rPr>
          <w:rFonts w:asciiTheme="minorHAnsi" w:hAnsiTheme="minorHAnsi" w:cstheme="minorHAnsi"/>
        </w:rPr>
        <w:t xml:space="preserve">Lim SS, Allen K, Bhutta ZA, Dandona L, Forouzanfar MH, Fullman N, </w:t>
      </w:r>
      <w:r w:rsidRPr="00755F09">
        <w:rPr>
          <w:rFonts w:asciiTheme="minorHAnsi" w:hAnsiTheme="minorHAnsi" w:cstheme="minorHAnsi"/>
          <w:lang w:val="it-IT"/>
        </w:rPr>
        <w:t>et al</w:t>
      </w:r>
      <w:r w:rsidRPr="00755F09">
        <w:rPr>
          <w:rFonts w:asciiTheme="minorHAnsi" w:hAnsiTheme="minorHAnsi" w:cstheme="minorHAnsi"/>
        </w:rPr>
        <w:t>. Measuring the health-related Sustainable Development Goals in 188 countries: a baseline analysis from the Global Burden of Disease Study 2015. Lancet. 2016 Oct 8;388(10053):1813-50.</w:t>
      </w:r>
      <w:r w:rsidRPr="00755F09">
        <w:rPr>
          <w:rFonts w:asciiTheme="minorHAnsi" w:hAnsiTheme="minorHAnsi" w:cstheme="minorHAnsi"/>
        </w:rPr>
        <w:fldChar w:fldCharType="begin"/>
      </w:r>
      <w:r w:rsidRPr="00755F09">
        <w:rPr>
          <w:rFonts w:asciiTheme="minorHAnsi" w:hAnsiTheme="minorHAnsi" w:cstheme="minorHAnsi"/>
        </w:rPr>
        <w:instrText xml:space="preserve"> REF _Ref522900281 \r  \* MERGEFORMAT </w:instrText>
      </w:r>
      <w:r w:rsidRPr="00755F09">
        <w:rPr>
          <w:rFonts w:asciiTheme="minorHAnsi" w:hAnsiTheme="minorHAnsi" w:cstheme="minorHAnsi"/>
        </w:rPr>
        <w:fldChar w:fldCharType="separate"/>
      </w:r>
      <w:r>
        <w:rPr>
          <w:rFonts w:asciiTheme="minorHAnsi" w:hAnsiTheme="minorHAnsi" w:cstheme="minorHAnsi"/>
        </w:rPr>
        <w:t>23</w:t>
      </w:r>
      <w:r w:rsidRPr="00755F09">
        <w:rPr>
          <w:rFonts w:asciiTheme="minorHAnsi" w:hAnsiTheme="minorHAnsi" w:cstheme="minorHAnsi"/>
        </w:rPr>
        <w:fldChar w:fldCharType="end"/>
      </w:r>
      <w:r w:rsidRPr="00755F09">
        <w:rPr>
          <w:rFonts w:asciiTheme="minorHAnsi" w:hAnsiTheme="minorHAnsi" w:cstheme="minorHAnsi"/>
        </w:rPr>
        <w:fldChar w:fldCharType="begin"/>
      </w:r>
      <w:r w:rsidRPr="00755F09">
        <w:rPr>
          <w:rFonts w:asciiTheme="minorHAnsi" w:hAnsiTheme="minorHAnsi" w:cstheme="minorHAnsi"/>
        </w:rPr>
        <w:instrText xml:space="preserve"> REF _Ref522894910 \r  \* MERGEFORMAT </w:instrText>
      </w:r>
      <w:r w:rsidRPr="00755F09">
        <w:rPr>
          <w:rFonts w:asciiTheme="minorHAnsi" w:hAnsiTheme="minorHAnsi" w:cstheme="minorHAnsi"/>
        </w:rPr>
        <w:fldChar w:fldCharType="separate"/>
      </w:r>
      <w:r>
        <w:rPr>
          <w:rFonts w:asciiTheme="minorHAnsi" w:hAnsiTheme="minorHAnsi" w:cstheme="minorHAnsi"/>
        </w:rPr>
        <w:t>10</w:t>
      </w:r>
      <w:r w:rsidRPr="00755F09">
        <w:rPr>
          <w:rFonts w:asciiTheme="minorHAnsi" w:hAnsiTheme="minorHAnsi" w:cstheme="minorHAnsi"/>
        </w:rPr>
        <w:fldChar w:fldCharType="end"/>
      </w:r>
      <w:bookmarkEnd w:id="52"/>
      <w:r>
        <w:rPr>
          <w:rFonts w:asciiTheme="minorHAnsi" w:hAnsiTheme="minorHAnsi" w:cstheme="minorHAnsi"/>
        </w:rPr>
        <w:t>.</w:t>
      </w:r>
    </w:p>
    <w:p w14:paraId="0F963E8F" w14:textId="77777777" w:rsidR="00B656F6" w:rsidRPr="00755F09" w:rsidRDefault="00B656F6" w:rsidP="00B656F6">
      <w:pPr>
        <w:pStyle w:val="af"/>
        <w:numPr>
          <w:ilvl w:val="0"/>
          <w:numId w:val="10"/>
        </w:numPr>
        <w:rPr>
          <w:rFonts w:asciiTheme="minorHAnsi" w:hAnsiTheme="minorHAnsi" w:cstheme="minorHAnsi"/>
        </w:rPr>
      </w:pPr>
      <w:bookmarkStart w:id="53" w:name="_Ref18919817"/>
      <w:r w:rsidRPr="00755F09">
        <w:rPr>
          <w:rFonts w:asciiTheme="minorHAnsi" w:hAnsiTheme="minorHAnsi" w:cstheme="minorHAnsi"/>
        </w:rPr>
        <w:t>United Nations [Internet]. Transforming our world: the 2030 agenda for sustainable development</w:t>
      </w:r>
      <w:r>
        <w:rPr>
          <w:rFonts w:asciiTheme="minorHAnsi" w:hAnsiTheme="minorHAnsi" w:cstheme="minorHAnsi"/>
        </w:rPr>
        <w:t>. New York: United Nations</w:t>
      </w:r>
      <w:r w:rsidRPr="00755F09">
        <w:rPr>
          <w:rFonts w:asciiTheme="minorHAnsi" w:hAnsiTheme="minorHAnsi" w:cstheme="minorHAnsi"/>
        </w:rPr>
        <w:t>; 2015 [cited 2018 Dec 20]. Available from: https://sustainabledevelopment.un.org/post2015/transformingourworld/publication</w:t>
      </w:r>
      <w:bookmarkEnd w:id="53"/>
      <w:r>
        <w:rPr>
          <w:rFonts w:asciiTheme="minorHAnsi" w:hAnsiTheme="minorHAnsi" w:cstheme="minorHAnsi"/>
        </w:rPr>
        <w:t>.</w:t>
      </w:r>
    </w:p>
    <w:p w14:paraId="11EABBF5" w14:textId="77777777" w:rsidR="00B656F6" w:rsidRPr="00755F09" w:rsidRDefault="00B656F6" w:rsidP="00B656F6">
      <w:pPr>
        <w:pStyle w:val="af"/>
        <w:numPr>
          <w:ilvl w:val="0"/>
          <w:numId w:val="10"/>
        </w:numPr>
        <w:rPr>
          <w:rFonts w:asciiTheme="minorHAnsi" w:hAnsiTheme="minorHAnsi" w:cstheme="minorHAnsi"/>
        </w:rPr>
      </w:pPr>
      <w:bookmarkStart w:id="54" w:name="_Ref522907036"/>
      <w:r w:rsidRPr="00755F09">
        <w:rPr>
          <w:rFonts w:asciiTheme="minorHAnsi" w:hAnsiTheme="minorHAnsi" w:cstheme="minorHAnsi"/>
        </w:rPr>
        <w:t>Guo H, Zhang L, Pang L, Hu C, Zheng X. Confusion about providing sexual and reproductive health service for unmarried youth migrants: voice from suppliers and demanders. J Fam Plann Reprod Health Care. 2015;34(1):13-8.</w:t>
      </w:r>
      <w:bookmarkEnd w:id="54"/>
    </w:p>
    <w:p w14:paraId="75396ED5" w14:textId="77777777" w:rsidR="00B656F6" w:rsidRPr="00755F09" w:rsidRDefault="00B656F6" w:rsidP="00B656F6">
      <w:pPr>
        <w:pStyle w:val="af"/>
        <w:numPr>
          <w:ilvl w:val="0"/>
          <w:numId w:val="10"/>
        </w:numPr>
        <w:rPr>
          <w:rFonts w:asciiTheme="minorHAnsi" w:hAnsiTheme="minorHAnsi" w:cstheme="minorHAnsi"/>
        </w:rPr>
      </w:pPr>
      <w:bookmarkStart w:id="55" w:name="_Ref522908413"/>
      <w:r w:rsidRPr="00755F09">
        <w:rPr>
          <w:rFonts w:asciiTheme="minorHAnsi" w:hAnsiTheme="minorHAnsi" w:cstheme="minorHAnsi"/>
        </w:rPr>
        <w:t>Yang Y, Nan Y, Tu M, et al. Major finding of 2015 China adults tobacco survey. Chinese Journal of Health Management. 2016</w:t>
      </w:r>
      <w:r>
        <w:rPr>
          <w:rFonts w:asciiTheme="minorHAnsi" w:hAnsiTheme="minorHAnsi" w:cstheme="minorHAnsi"/>
        </w:rPr>
        <w:t>;</w:t>
      </w:r>
      <w:r w:rsidRPr="00755F09">
        <w:rPr>
          <w:rFonts w:asciiTheme="minorHAnsi" w:hAnsiTheme="minorHAnsi" w:cstheme="minorHAnsi"/>
        </w:rPr>
        <w:t>10(2). Available</w:t>
      </w:r>
      <w:r w:rsidRPr="00755F09">
        <w:rPr>
          <w:rFonts w:asciiTheme="minorHAnsi" w:hAnsiTheme="minorHAnsi" w:cstheme="minorHAnsi"/>
          <w:lang w:val="en-GB"/>
        </w:rPr>
        <w:t xml:space="preserve"> from: </w:t>
      </w:r>
      <w:hyperlink r:id="rId18" w:history="1">
        <w:r w:rsidRPr="00755F09">
          <w:rPr>
            <w:rStyle w:val="af1"/>
            <w:rFonts w:asciiTheme="minorHAnsi" w:hAnsiTheme="minorHAnsi" w:cstheme="minorHAnsi"/>
            <w:lang w:val="en-GB"/>
          </w:rPr>
          <w:t>http://zhjkglxzz.yiigle.com/CN115624201602/890850.htm</w:t>
        </w:r>
      </w:hyperlink>
      <w:r>
        <w:rPr>
          <w:rFonts w:asciiTheme="minorHAnsi" w:hAnsiTheme="minorHAnsi" w:cstheme="minorHAnsi"/>
          <w:lang w:val="en-GB"/>
        </w:rPr>
        <w:t>.</w:t>
      </w:r>
    </w:p>
    <w:p w14:paraId="375DD080" w14:textId="77777777" w:rsidR="00B656F6" w:rsidRPr="00755F09" w:rsidRDefault="00B656F6" w:rsidP="00B656F6">
      <w:pPr>
        <w:pStyle w:val="af"/>
        <w:numPr>
          <w:ilvl w:val="0"/>
          <w:numId w:val="10"/>
        </w:numPr>
        <w:rPr>
          <w:rFonts w:asciiTheme="minorHAnsi" w:hAnsiTheme="minorHAnsi" w:cstheme="minorHAnsi"/>
        </w:rPr>
      </w:pPr>
      <w:bookmarkStart w:id="56" w:name="_Ref533346620"/>
      <w:bookmarkEnd w:id="55"/>
      <w:r w:rsidRPr="00755F09">
        <w:rPr>
          <w:rFonts w:asciiTheme="minorHAnsi" w:hAnsiTheme="minorHAnsi" w:cstheme="minorHAnsi"/>
        </w:rPr>
        <w:t>Yang J, Siri JG, Remais JV, et al. The Tsinghua–Lancet Commission on Healthy Cities in China: unlocking the power of cities for a healthy China. Lancet</w:t>
      </w:r>
      <w:r>
        <w:rPr>
          <w:rFonts w:asciiTheme="minorHAnsi" w:hAnsiTheme="minorHAnsi" w:cstheme="minorHAnsi"/>
        </w:rPr>
        <w:t>.</w:t>
      </w:r>
      <w:r w:rsidRPr="00755F09">
        <w:rPr>
          <w:rFonts w:asciiTheme="minorHAnsi" w:hAnsiTheme="minorHAnsi" w:cstheme="minorHAnsi"/>
        </w:rPr>
        <w:t xml:space="preserve"> 2018;391:2140–84.</w:t>
      </w:r>
      <w:bookmarkEnd w:id="56"/>
    </w:p>
    <w:p w14:paraId="2514805D" w14:textId="77777777" w:rsidR="00B656F6" w:rsidRPr="00755F09" w:rsidRDefault="00B656F6" w:rsidP="00B656F6">
      <w:pPr>
        <w:pStyle w:val="af"/>
        <w:numPr>
          <w:ilvl w:val="0"/>
          <w:numId w:val="10"/>
        </w:numPr>
        <w:rPr>
          <w:rFonts w:asciiTheme="minorHAnsi" w:hAnsiTheme="minorHAnsi" w:cstheme="minorHAnsi"/>
        </w:rPr>
      </w:pPr>
      <w:bookmarkStart w:id="57" w:name="_Ref523080110"/>
      <w:r w:rsidRPr="00755F09">
        <w:rPr>
          <w:rFonts w:asciiTheme="minorHAnsi" w:hAnsiTheme="minorHAnsi" w:cstheme="minorHAnsi"/>
          <w:color w:val="222222"/>
          <w:shd w:val="clear" w:color="auto" w:fill="FFFFFF"/>
        </w:rPr>
        <w:lastRenderedPageBreak/>
        <w:t xml:space="preserve">World Health Organization. Combating hepatitis B and C to reach elimination by 2030: advocacy brief. </w:t>
      </w:r>
      <w:r>
        <w:rPr>
          <w:rFonts w:asciiTheme="minorHAnsi" w:hAnsiTheme="minorHAnsi" w:cstheme="minorHAnsi"/>
          <w:color w:val="222222"/>
          <w:shd w:val="clear" w:color="auto" w:fill="FFFFFF"/>
        </w:rPr>
        <w:t xml:space="preserve">Geneva: </w:t>
      </w:r>
      <w:r w:rsidRPr="00755F09">
        <w:rPr>
          <w:rFonts w:asciiTheme="minorHAnsi" w:hAnsiTheme="minorHAnsi" w:cstheme="minorHAnsi"/>
          <w:color w:val="222222"/>
          <w:shd w:val="clear" w:color="auto" w:fill="FFFFFF"/>
        </w:rPr>
        <w:t>World Health Organization; 2016</w:t>
      </w:r>
      <w:r>
        <w:rPr>
          <w:rFonts w:asciiTheme="minorHAnsi" w:hAnsiTheme="minorHAnsi" w:cstheme="minorHAnsi"/>
          <w:color w:val="222222"/>
          <w:shd w:val="clear" w:color="auto" w:fill="FFFFFF"/>
        </w:rPr>
        <w:t xml:space="preserve"> </w:t>
      </w:r>
      <w:r w:rsidRPr="00755F09">
        <w:rPr>
          <w:rFonts w:asciiTheme="minorHAnsi" w:hAnsiTheme="minorHAnsi" w:cstheme="minorHAnsi"/>
        </w:rPr>
        <w:t>[</w:t>
      </w:r>
      <w:r>
        <w:rPr>
          <w:rFonts w:asciiTheme="minorHAnsi" w:hAnsiTheme="minorHAnsi" w:cstheme="minorHAnsi"/>
        </w:rPr>
        <w:t>cited</w:t>
      </w:r>
      <w:r w:rsidRPr="00755F09">
        <w:rPr>
          <w:rFonts w:asciiTheme="minorHAnsi" w:hAnsiTheme="minorHAnsi" w:cstheme="minorHAnsi"/>
        </w:rPr>
        <w:t xml:space="preserve"> 2018 Dec 20]</w:t>
      </w:r>
      <w:r w:rsidRPr="00755F09">
        <w:rPr>
          <w:rFonts w:asciiTheme="minorHAnsi" w:hAnsiTheme="minorHAnsi" w:cstheme="minorHAnsi"/>
          <w:color w:val="222222"/>
          <w:shd w:val="clear" w:color="auto" w:fill="FFFFFF"/>
        </w:rPr>
        <w:t>.</w:t>
      </w:r>
      <w:bookmarkEnd w:id="57"/>
      <w:r w:rsidRPr="00755F09">
        <w:rPr>
          <w:rFonts w:asciiTheme="minorHAnsi" w:hAnsiTheme="minorHAnsi" w:cstheme="minorHAnsi"/>
          <w:color w:val="222222"/>
          <w:shd w:val="clear" w:color="auto" w:fill="FFFFFF"/>
        </w:rPr>
        <w:t xml:space="preserve"> Available from: </w:t>
      </w:r>
      <w:hyperlink r:id="rId19" w:history="1">
        <w:r w:rsidRPr="00755F09">
          <w:rPr>
            <w:rStyle w:val="af1"/>
            <w:rFonts w:asciiTheme="minorHAnsi" w:hAnsiTheme="minorHAnsi" w:cstheme="minorHAnsi"/>
            <w:shd w:val="clear" w:color="auto" w:fill="FFFFFF"/>
          </w:rPr>
          <w:t>https://www.who.int/hepatitis/publications/hep-elimination-by-2030-brief/en/</w:t>
        </w:r>
      </w:hyperlink>
      <w:r>
        <w:rPr>
          <w:rFonts w:asciiTheme="minorHAnsi" w:hAnsiTheme="minorHAnsi" w:cstheme="minorHAnsi"/>
          <w:color w:val="222222"/>
          <w:shd w:val="clear" w:color="auto" w:fill="FFFFFF"/>
        </w:rPr>
        <w:t>.</w:t>
      </w:r>
    </w:p>
    <w:p w14:paraId="1E8D3CAA" w14:textId="77777777" w:rsidR="00B656F6" w:rsidRPr="00755F09" w:rsidRDefault="00B656F6" w:rsidP="00B656F6">
      <w:pPr>
        <w:pStyle w:val="af"/>
        <w:numPr>
          <w:ilvl w:val="0"/>
          <w:numId w:val="10"/>
        </w:numPr>
        <w:rPr>
          <w:rFonts w:asciiTheme="minorHAnsi" w:hAnsiTheme="minorHAnsi" w:cstheme="minorHAnsi"/>
        </w:rPr>
      </w:pPr>
      <w:bookmarkStart w:id="58" w:name="_Ref523071399"/>
      <w:r w:rsidRPr="00755F09">
        <w:rPr>
          <w:rFonts w:asciiTheme="minorHAnsi" w:hAnsiTheme="minorHAnsi" w:cstheme="minorHAnsi"/>
        </w:rPr>
        <w:t>Chen S, Li J, Wang D, Fung H, Wong LY, Zhao L. The hepatitis B epidemic in China should receive more attention. Lancet. 2018 Apr 21;391(10130):1572.</w:t>
      </w:r>
      <w:bookmarkEnd w:id="58"/>
    </w:p>
    <w:p w14:paraId="2B5D072C" w14:textId="77777777" w:rsidR="00B656F6" w:rsidRPr="00755F09" w:rsidRDefault="00B656F6" w:rsidP="00B656F6">
      <w:pPr>
        <w:pStyle w:val="af"/>
        <w:numPr>
          <w:ilvl w:val="0"/>
          <w:numId w:val="10"/>
        </w:numPr>
        <w:rPr>
          <w:rFonts w:asciiTheme="minorHAnsi" w:hAnsiTheme="minorHAnsi" w:cstheme="minorHAnsi"/>
        </w:rPr>
      </w:pPr>
      <w:r w:rsidRPr="00755F09">
        <w:rPr>
          <w:rFonts w:asciiTheme="minorHAnsi" w:hAnsiTheme="minorHAnsi" w:cstheme="minorHAnsi"/>
          <w:color w:val="222222"/>
          <w:shd w:val="clear" w:color="auto" w:fill="FFFFFF"/>
        </w:rPr>
        <w:t>Zou L, Zhang W, Ruan S. Modeling the transmission dynamics and control of hepatitis B virus in China. J Theor Bio. 2010 Jan 21;262(2):330-8.</w:t>
      </w:r>
    </w:p>
    <w:p w14:paraId="2AE8EC6A" w14:textId="77777777" w:rsidR="00B656F6" w:rsidRPr="00755F09" w:rsidRDefault="00B656F6" w:rsidP="00B656F6">
      <w:pPr>
        <w:pStyle w:val="af"/>
        <w:numPr>
          <w:ilvl w:val="0"/>
          <w:numId w:val="10"/>
        </w:numPr>
        <w:rPr>
          <w:rFonts w:asciiTheme="minorHAnsi" w:hAnsiTheme="minorHAnsi" w:cstheme="minorHAnsi"/>
        </w:rPr>
      </w:pPr>
      <w:r w:rsidRPr="00755F09">
        <w:rPr>
          <w:rFonts w:asciiTheme="minorHAnsi" w:hAnsiTheme="minorHAnsi" w:cstheme="minorHAnsi"/>
          <w:color w:val="222222"/>
          <w:shd w:val="clear" w:color="auto" w:fill="FFFFFF"/>
        </w:rPr>
        <w:t>Zhang H, Chao J, Zhu L, Song L, Li X, Liu P. Direct economic burden and influencing factors in patients with hepatitis B virus related diseases in Jiangsu, China. Asia-Pac J Public He. 2015 Mar;27(2</w:t>
      </w:r>
      <w:r>
        <w:rPr>
          <w:rFonts w:asciiTheme="minorHAnsi" w:hAnsiTheme="minorHAnsi" w:cstheme="minorHAnsi"/>
          <w:color w:val="222222"/>
          <w:shd w:val="clear" w:color="auto" w:fill="FFFFFF"/>
        </w:rPr>
        <w:t xml:space="preserve"> S</w:t>
      </w:r>
      <w:r w:rsidRPr="00755F09">
        <w:rPr>
          <w:rFonts w:asciiTheme="minorHAnsi" w:hAnsiTheme="minorHAnsi" w:cstheme="minorHAnsi"/>
          <w:color w:val="222222"/>
          <w:shd w:val="clear" w:color="auto" w:fill="FFFFFF"/>
        </w:rPr>
        <w:t>uppl):41S-8S.</w:t>
      </w:r>
    </w:p>
    <w:p w14:paraId="44C278A6" w14:textId="77777777" w:rsidR="00B656F6" w:rsidRPr="00755F09" w:rsidRDefault="00B656F6" w:rsidP="00B656F6">
      <w:pPr>
        <w:pStyle w:val="af"/>
        <w:numPr>
          <w:ilvl w:val="0"/>
          <w:numId w:val="10"/>
        </w:numPr>
        <w:rPr>
          <w:rFonts w:asciiTheme="minorHAnsi" w:hAnsiTheme="minorHAnsi" w:cstheme="minorHAnsi"/>
        </w:rPr>
      </w:pPr>
      <w:bookmarkStart w:id="59" w:name="_Ref524373597"/>
      <w:r w:rsidRPr="00755F09">
        <w:rPr>
          <w:rFonts w:asciiTheme="minorHAnsi" w:hAnsiTheme="minorHAnsi" w:cstheme="minorHAnsi"/>
          <w:color w:val="222222"/>
          <w:shd w:val="clear" w:color="auto" w:fill="FFFFFF"/>
        </w:rPr>
        <w:t>Ren JJ, Liu Y, Ren W, Qiu Y, Wang B, Chen P,</w:t>
      </w:r>
      <w:r w:rsidRPr="00755F09">
        <w:rPr>
          <w:rFonts w:asciiTheme="minorHAnsi" w:hAnsiTheme="minorHAnsi" w:cstheme="minorHAnsi"/>
          <w:color w:val="222222"/>
          <w:shd w:val="clear" w:color="auto" w:fill="FFFFFF"/>
          <w:lang w:val="fr-FR"/>
        </w:rPr>
        <w:t xml:space="preserve"> et al</w:t>
      </w:r>
      <w:r w:rsidRPr="00755F09">
        <w:rPr>
          <w:rFonts w:asciiTheme="minorHAnsi" w:hAnsiTheme="minorHAnsi" w:cstheme="minorHAnsi"/>
          <w:color w:val="222222"/>
          <w:shd w:val="clear" w:color="auto" w:fill="FFFFFF"/>
        </w:rPr>
        <w:t>. Role of general practitioners in prevention and treatment of hepatitis B in China. Hbpd Int. 2014 Oct 1;13(5):495-500.</w:t>
      </w:r>
      <w:bookmarkEnd w:id="59"/>
    </w:p>
    <w:p w14:paraId="739B3F7C" w14:textId="77777777" w:rsidR="00B656F6" w:rsidRPr="00755F09" w:rsidRDefault="00B656F6" w:rsidP="00B656F6">
      <w:pPr>
        <w:pStyle w:val="af"/>
        <w:numPr>
          <w:ilvl w:val="0"/>
          <w:numId w:val="10"/>
        </w:numPr>
        <w:rPr>
          <w:rFonts w:asciiTheme="minorHAnsi" w:hAnsiTheme="minorHAnsi" w:cstheme="minorHAnsi"/>
        </w:rPr>
      </w:pPr>
      <w:bookmarkStart w:id="60" w:name="_Ref523071653"/>
      <w:r w:rsidRPr="00755F09">
        <w:rPr>
          <w:rFonts w:asciiTheme="minorHAnsi" w:hAnsiTheme="minorHAnsi" w:cstheme="minorHAnsi"/>
        </w:rPr>
        <w:t>Fattovich G, Stroffolini T, Zagni I, Donato F. Hepatocellular carcinoma in cirrhosis: incidence and risk factors. Gastroenterology. 2004 Nov 1;127(5):S35-50.</w:t>
      </w:r>
      <w:bookmarkEnd w:id="60"/>
    </w:p>
    <w:p w14:paraId="25DF6751" w14:textId="77777777" w:rsidR="00B656F6" w:rsidRPr="00755F09" w:rsidRDefault="00B656F6" w:rsidP="00B656F6">
      <w:pPr>
        <w:pStyle w:val="af"/>
        <w:numPr>
          <w:ilvl w:val="0"/>
          <w:numId w:val="10"/>
        </w:numPr>
        <w:rPr>
          <w:rFonts w:asciiTheme="minorHAnsi" w:hAnsiTheme="minorHAnsi" w:cstheme="minorHAnsi"/>
        </w:rPr>
      </w:pPr>
      <w:bookmarkStart w:id="61" w:name="_Ref523071655"/>
      <w:r w:rsidRPr="00755F09">
        <w:rPr>
          <w:rFonts w:asciiTheme="minorHAnsi" w:hAnsiTheme="minorHAnsi" w:cstheme="minorHAnsi"/>
        </w:rPr>
        <w:t>Ringehan M, McKeating JA, Protzer U. Viral hepatitis and liver cancer. Phil. Trans. R. Soc. B. 2017 Oct 19;372(1732):20160274.</w:t>
      </w:r>
      <w:bookmarkEnd w:id="61"/>
    </w:p>
    <w:p w14:paraId="068B5E3A" w14:textId="77777777" w:rsidR="00B656F6" w:rsidRPr="00755F09" w:rsidRDefault="00B656F6" w:rsidP="00B656F6">
      <w:pPr>
        <w:pStyle w:val="af"/>
        <w:numPr>
          <w:ilvl w:val="0"/>
          <w:numId w:val="10"/>
        </w:numPr>
        <w:rPr>
          <w:rFonts w:asciiTheme="minorHAnsi" w:hAnsiTheme="minorHAnsi" w:cstheme="minorHAnsi"/>
        </w:rPr>
      </w:pPr>
      <w:bookmarkStart w:id="62" w:name="_Ref523071771"/>
      <w:r w:rsidRPr="00755F09">
        <w:rPr>
          <w:rFonts w:asciiTheme="minorHAnsi" w:hAnsiTheme="minorHAnsi" w:cstheme="minorHAnsi"/>
        </w:rPr>
        <w:t>World Health Organization. Global tuberculosis report 2017. Geneva: World Health Organization; 2017</w:t>
      </w:r>
      <w:r>
        <w:rPr>
          <w:rFonts w:asciiTheme="minorHAnsi" w:hAnsiTheme="minorHAnsi" w:cstheme="minorHAnsi"/>
        </w:rPr>
        <w:t xml:space="preserve"> </w:t>
      </w:r>
      <w:r w:rsidRPr="00755F09">
        <w:rPr>
          <w:rFonts w:asciiTheme="minorHAnsi" w:hAnsiTheme="minorHAnsi" w:cstheme="minorHAnsi"/>
        </w:rPr>
        <w:t>[</w:t>
      </w:r>
      <w:r>
        <w:rPr>
          <w:rFonts w:asciiTheme="minorHAnsi" w:hAnsiTheme="minorHAnsi" w:cstheme="minorHAnsi"/>
        </w:rPr>
        <w:t>cited</w:t>
      </w:r>
      <w:r w:rsidRPr="00755F09">
        <w:rPr>
          <w:rFonts w:asciiTheme="minorHAnsi" w:hAnsiTheme="minorHAnsi" w:cstheme="minorHAnsi"/>
        </w:rPr>
        <w:t xml:space="preserve"> 2018 Dec 23].</w:t>
      </w:r>
      <w:bookmarkEnd w:id="62"/>
      <w:r w:rsidRPr="00755F09">
        <w:rPr>
          <w:rFonts w:asciiTheme="minorHAnsi" w:hAnsiTheme="minorHAnsi" w:cstheme="minorHAnsi"/>
        </w:rPr>
        <w:t xml:space="preserve"> Available from: </w:t>
      </w:r>
      <w:hyperlink r:id="rId20" w:history="1">
        <w:r w:rsidRPr="00755F09">
          <w:rPr>
            <w:rStyle w:val="af1"/>
            <w:rFonts w:asciiTheme="minorHAnsi" w:hAnsiTheme="minorHAnsi" w:cstheme="minorHAnsi"/>
          </w:rPr>
          <w:t>http://apps.who.int/iris/handle/10665/259366?locale-attribute=fr&amp;</w:t>
        </w:r>
      </w:hyperlink>
    </w:p>
    <w:p w14:paraId="2BAA9BB5" w14:textId="77777777" w:rsidR="00B656F6" w:rsidRPr="00755F09" w:rsidRDefault="00B656F6" w:rsidP="00B656F6">
      <w:pPr>
        <w:pStyle w:val="af"/>
        <w:numPr>
          <w:ilvl w:val="0"/>
          <w:numId w:val="10"/>
        </w:numPr>
        <w:rPr>
          <w:rFonts w:asciiTheme="minorHAnsi" w:hAnsiTheme="minorHAnsi" w:cstheme="minorHAnsi"/>
        </w:rPr>
      </w:pPr>
      <w:bookmarkStart w:id="63" w:name="_Ref523074215"/>
      <w:r w:rsidRPr="00755F09">
        <w:rPr>
          <w:rFonts w:asciiTheme="minorHAnsi" w:hAnsiTheme="minorHAnsi" w:cstheme="minorHAnsi"/>
        </w:rPr>
        <w:t xml:space="preserve">Wang L, Li R, Xu C, Zhang H, Ruan Y, Chen M, et al. The Global Fund in China: Multidrug-resistant tuberculosis nationwide programmatic scale-up and challenges to transition to full country ownership. PloS </w:t>
      </w:r>
      <w:r>
        <w:rPr>
          <w:rFonts w:asciiTheme="minorHAnsi" w:hAnsiTheme="minorHAnsi" w:cstheme="minorHAnsi"/>
        </w:rPr>
        <w:t>ONE</w:t>
      </w:r>
      <w:r w:rsidRPr="00755F09">
        <w:rPr>
          <w:rFonts w:asciiTheme="minorHAnsi" w:hAnsiTheme="minorHAnsi" w:cstheme="minorHAnsi"/>
        </w:rPr>
        <w:t>. 2017 Jun 19;12(6):e0177536.</w:t>
      </w:r>
      <w:bookmarkEnd w:id="63"/>
    </w:p>
    <w:p w14:paraId="4B2430EA" w14:textId="77777777" w:rsidR="00B656F6" w:rsidRPr="00755F09" w:rsidRDefault="00B656F6" w:rsidP="00B656F6">
      <w:pPr>
        <w:pStyle w:val="af"/>
        <w:numPr>
          <w:ilvl w:val="0"/>
          <w:numId w:val="10"/>
        </w:numPr>
        <w:rPr>
          <w:rFonts w:asciiTheme="minorHAnsi" w:hAnsiTheme="minorHAnsi" w:cstheme="minorHAnsi"/>
        </w:rPr>
      </w:pPr>
      <w:bookmarkStart w:id="64" w:name="_Ref523074317"/>
      <w:r w:rsidRPr="00755F09">
        <w:rPr>
          <w:rFonts w:asciiTheme="minorHAnsi" w:hAnsiTheme="minorHAnsi" w:cstheme="minorHAnsi"/>
        </w:rPr>
        <w:t>Long Q, Qu Y, Lucas H. Drug-resistant tuberculosis control in China: progress and challenges. Infect Dis Poverty. 2016 Dec;5(1):9.</w:t>
      </w:r>
      <w:bookmarkEnd w:id="64"/>
    </w:p>
    <w:p w14:paraId="467569C2" w14:textId="77777777" w:rsidR="00B656F6" w:rsidRPr="00755F09" w:rsidRDefault="00B656F6" w:rsidP="00B656F6">
      <w:pPr>
        <w:pStyle w:val="af"/>
        <w:numPr>
          <w:ilvl w:val="0"/>
          <w:numId w:val="10"/>
        </w:numPr>
        <w:rPr>
          <w:rFonts w:asciiTheme="minorHAnsi" w:hAnsiTheme="minorHAnsi" w:cstheme="minorHAnsi"/>
        </w:rPr>
      </w:pPr>
      <w:bookmarkStart w:id="65" w:name="_Ref523076922"/>
      <w:r w:rsidRPr="00755F09">
        <w:rPr>
          <w:rFonts w:asciiTheme="minorHAnsi" w:hAnsiTheme="minorHAnsi" w:cstheme="minorHAnsi"/>
        </w:rPr>
        <w:t>Tang S, Ehiri J, Long Q. China’s biggest, most neglected health challenge: non-communicable diseases. Infect Dis Poverty. 2013 Apr;2(1):7.</w:t>
      </w:r>
      <w:bookmarkEnd w:id="65"/>
    </w:p>
    <w:p w14:paraId="21670EC5" w14:textId="77777777" w:rsidR="00B656F6" w:rsidRPr="00755F09" w:rsidRDefault="00B656F6" w:rsidP="00B656F6">
      <w:pPr>
        <w:pStyle w:val="af"/>
        <w:numPr>
          <w:ilvl w:val="0"/>
          <w:numId w:val="10"/>
        </w:numPr>
        <w:rPr>
          <w:rFonts w:asciiTheme="minorHAnsi" w:hAnsiTheme="minorHAnsi" w:cstheme="minorHAnsi"/>
        </w:rPr>
      </w:pPr>
      <w:bookmarkStart w:id="66" w:name="_Ref18948511"/>
      <w:r w:rsidRPr="00755F09">
        <w:t xml:space="preserve">United Nations, Department of Economic and Social Affairs, Population Division (2017). World Population Ageing 2017 - Highlights (ST/ESA/SER.A/397). </w:t>
      </w:r>
      <w:r>
        <w:t xml:space="preserve">New York: United Nations; 2017./ </w:t>
      </w:r>
      <w:r w:rsidRPr="00755F09">
        <w:t xml:space="preserve">Available from </w:t>
      </w:r>
      <w:hyperlink r:id="rId21" w:history="1">
        <w:r w:rsidRPr="00755F09">
          <w:rPr>
            <w:rStyle w:val="af1"/>
          </w:rPr>
          <w:t>https://www.un.org/en/development/desa/population/publications/pdf/ageing/WPA2017_Highlights.pdf</w:t>
        </w:r>
      </w:hyperlink>
      <w:bookmarkEnd w:id="66"/>
      <w:r>
        <w:rPr>
          <w:rStyle w:val="af1"/>
        </w:rPr>
        <w:t>.</w:t>
      </w:r>
    </w:p>
    <w:p w14:paraId="09AE6680" w14:textId="77777777" w:rsidR="00B656F6" w:rsidRPr="00755F09" w:rsidRDefault="00B656F6" w:rsidP="00B656F6">
      <w:pPr>
        <w:pStyle w:val="af"/>
        <w:numPr>
          <w:ilvl w:val="0"/>
          <w:numId w:val="10"/>
        </w:numPr>
        <w:rPr>
          <w:rFonts w:asciiTheme="minorHAnsi" w:hAnsiTheme="minorHAnsi" w:cstheme="minorHAnsi"/>
        </w:rPr>
      </w:pPr>
      <w:bookmarkStart w:id="67" w:name="_Ref18948550"/>
      <w:r w:rsidRPr="00755F09">
        <w:rPr>
          <w:rFonts w:asciiTheme="minorHAnsi" w:hAnsiTheme="minorHAnsi" w:cstheme="minorHAnsi"/>
        </w:rPr>
        <w:t>United Nations, Department of Economic and Social Affairs, Population Division. World Population Prospects: The 2015 Revision, Key Findings and Advance Tables. New York: United Nations; 2015.</w:t>
      </w:r>
      <w:bookmarkEnd w:id="67"/>
    </w:p>
    <w:p w14:paraId="029EE231" w14:textId="77777777" w:rsidR="00B656F6" w:rsidRPr="00755F09" w:rsidRDefault="00B656F6" w:rsidP="00B656F6">
      <w:pPr>
        <w:pStyle w:val="af"/>
        <w:numPr>
          <w:ilvl w:val="0"/>
          <w:numId w:val="10"/>
        </w:numPr>
        <w:rPr>
          <w:rFonts w:asciiTheme="minorHAnsi" w:hAnsiTheme="minorHAnsi" w:cstheme="minorHAnsi"/>
        </w:rPr>
      </w:pPr>
      <w:bookmarkStart w:id="68" w:name="_Ref18948787"/>
      <w:r w:rsidRPr="00755F09">
        <w:t xml:space="preserve">World Health Organization. China country assessment report on ageing and health. </w:t>
      </w:r>
      <w:r>
        <w:t xml:space="preserve">Geneva: World Health Organization; 2015. </w:t>
      </w:r>
      <w:r w:rsidRPr="00755F09">
        <w:rPr>
          <w:rFonts w:asciiTheme="minorHAnsi" w:hAnsiTheme="minorHAnsi" w:cstheme="minorHAnsi"/>
        </w:rPr>
        <w:t>[</w:t>
      </w:r>
      <w:r>
        <w:rPr>
          <w:rFonts w:asciiTheme="minorHAnsi" w:hAnsiTheme="minorHAnsi" w:cstheme="minorHAnsi"/>
        </w:rPr>
        <w:t>cited</w:t>
      </w:r>
      <w:r w:rsidRPr="00755F09">
        <w:rPr>
          <w:rFonts w:asciiTheme="minorHAnsi" w:hAnsiTheme="minorHAnsi" w:cstheme="minorHAnsi"/>
        </w:rPr>
        <w:t xml:space="preserve"> 2018 Dec 23]. </w:t>
      </w:r>
      <w:r w:rsidRPr="00755F09">
        <w:t>Available from</w:t>
      </w:r>
      <w:r>
        <w:t>:</w:t>
      </w:r>
      <w:r w:rsidRPr="00755F09">
        <w:t xml:space="preserve"> https://www.who.int/ageing/publications/china-country-assessment/en/</w:t>
      </w:r>
      <w:bookmarkEnd w:id="68"/>
      <w:r>
        <w:t>.</w:t>
      </w:r>
    </w:p>
    <w:p w14:paraId="2458334A" w14:textId="77777777" w:rsidR="00B656F6" w:rsidRPr="00755F09" w:rsidRDefault="00B656F6" w:rsidP="00B656F6">
      <w:pPr>
        <w:pStyle w:val="af"/>
        <w:numPr>
          <w:ilvl w:val="0"/>
          <w:numId w:val="10"/>
        </w:numPr>
      </w:pPr>
      <w:bookmarkStart w:id="69" w:name="_Ref18948348"/>
      <w:r w:rsidRPr="00755F09">
        <w:t>Hu S, Tang S, Liu Y, Zhao Y, Escobar ML, de Ferranti D. Reform of how health care is paid for in China: challenges and opportunities. Lancet. 2008;372:1846–1853. doi:10.1016/S0140-6736(08)61368-9</w:t>
      </w:r>
      <w:bookmarkEnd w:id="69"/>
      <w:r>
        <w:t>.</w:t>
      </w:r>
    </w:p>
    <w:p w14:paraId="66B46E48" w14:textId="77777777" w:rsidR="00B656F6" w:rsidRDefault="00B656F6" w:rsidP="00B656F6">
      <w:pPr>
        <w:pStyle w:val="af"/>
        <w:numPr>
          <w:ilvl w:val="0"/>
          <w:numId w:val="10"/>
        </w:numPr>
      </w:pPr>
      <w:bookmarkStart w:id="70" w:name="_Ref18948353"/>
      <w:r w:rsidRPr="00755F09">
        <w:t>Tang S, Meng Q, Chen L, Bekedam H, Evans T, Whitehead M. Tackling the challenges to health equity in China. Lancet. 2008;372:1493–1501.</w:t>
      </w:r>
      <w:r w:rsidRPr="00755F09">
        <w:rPr>
          <w:rFonts w:ascii="MS Gothic" w:eastAsia="MS Gothic" w:hAnsi="MS Gothic" w:cs="MS Gothic" w:hint="eastAsia"/>
        </w:rPr>
        <w:t> </w:t>
      </w:r>
      <w:r w:rsidRPr="00755F09">
        <w:t>doi:10.1016/S0140-6736(08)61364-1</w:t>
      </w:r>
      <w:bookmarkEnd w:id="70"/>
      <w:r>
        <w:t>.</w:t>
      </w:r>
    </w:p>
    <w:p w14:paraId="32F7AD2E" w14:textId="77777777" w:rsidR="00B656F6" w:rsidRPr="00755F09" w:rsidRDefault="00B656F6" w:rsidP="00B656F6">
      <w:pPr>
        <w:pStyle w:val="af"/>
        <w:numPr>
          <w:ilvl w:val="0"/>
          <w:numId w:val="10"/>
        </w:numPr>
      </w:pPr>
      <w:bookmarkStart w:id="71" w:name="_Ref533338480"/>
      <w:r w:rsidRPr="00755F09">
        <w:t>Värnik P. Suicide in the world. Int J Environ Res Public Health. 2012;9(3):760–771. doi:10.3390/ijerph9030760</w:t>
      </w:r>
      <w:bookmarkEnd w:id="71"/>
      <w:r>
        <w:t>.</w:t>
      </w:r>
    </w:p>
    <w:p w14:paraId="62BB7C33" w14:textId="77777777" w:rsidR="00B656F6" w:rsidRPr="00755F09" w:rsidRDefault="00B656F6" w:rsidP="00B656F6">
      <w:pPr>
        <w:pStyle w:val="af"/>
        <w:numPr>
          <w:ilvl w:val="0"/>
          <w:numId w:val="10"/>
        </w:numPr>
      </w:pPr>
      <w:bookmarkStart w:id="72" w:name="_Ref523079003"/>
      <w:r w:rsidRPr="00755F09">
        <w:t>Hawkes S, Buse K. Gender and global health: evidence, policy, and inconvenient truths. Lancet. 2013 May 18;381(9879):1783-7.</w:t>
      </w:r>
      <w:bookmarkEnd w:id="72"/>
    </w:p>
    <w:p w14:paraId="4D989D19" w14:textId="77777777" w:rsidR="00B656F6" w:rsidRPr="00755F09" w:rsidRDefault="00B656F6" w:rsidP="00B656F6">
      <w:pPr>
        <w:pStyle w:val="af"/>
        <w:numPr>
          <w:ilvl w:val="0"/>
          <w:numId w:val="10"/>
        </w:numPr>
      </w:pPr>
      <w:bookmarkStart w:id="73" w:name="_Ref523079005"/>
      <w:r w:rsidRPr="00755F09">
        <w:lastRenderedPageBreak/>
        <w:t xml:space="preserve">D </w:t>
      </w:r>
      <w:bookmarkStart w:id="74" w:name="_Hlk19108392"/>
      <w:r w:rsidRPr="00755F09">
        <w:t>Baker P, Dworkin SL, Tong S, Banks I, Shand T, Yamey G. The men's health gap: men must be included in the global health equity agenda. Bull World Health Organ. 2014;92(8):618–620. doi:10.2471/BLT.13.132795</w:t>
      </w:r>
      <w:bookmarkEnd w:id="73"/>
      <w:bookmarkEnd w:id="74"/>
      <w:r>
        <w:t>.</w:t>
      </w:r>
    </w:p>
    <w:p w14:paraId="72CFA97C" w14:textId="77777777" w:rsidR="00B656F6" w:rsidRPr="00755F09" w:rsidRDefault="00B656F6" w:rsidP="00B656F6">
      <w:pPr>
        <w:pStyle w:val="af"/>
        <w:numPr>
          <w:ilvl w:val="0"/>
          <w:numId w:val="10"/>
        </w:numPr>
      </w:pPr>
      <w:bookmarkStart w:id="75" w:name="_Ref523079006"/>
      <w:r w:rsidRPr="00755F09">
        <w:t>Courtenay WH. Constructions of masculinity and their influence on men's well-being: a theory of gender and health. Soc Sci Med. 2000 May 16;50(10):1385-401.</w:t>
      </w:r>
      <w:bookmarkEnd w:id="75"/>
    </w:p>
    <w:p w14:paraId="23A5FF59" w14:textId="77777777" w:rsidR="00B656F6" w:rsidRPr="00755F09" w:rsidRDefault="00B656F6" w:rsidP="00B656F6">
      <w:pPr>
        <w:pStyle w:val="af"/>
        <w:numPr>
          <w:ilvl w:val="0"/>
          <w:numId w:val="10"/>
        </w:numPr>
      </w:pPr>
      <w:bookmarkStart w:id="76" w:name="_Ref523079060"/>
      <w:r w:rsidRPr="00755F09">
        <w:t>Arnold F, Zhaoxiang L. Sex preference, fertility, and family planning in China. Popul Dev Rev. 1986 Jun 1:221-46.</w:t>
      </w:r>
      <w:bookmarkEnd w:id="76"/>
    </w:p>
    <w:p w14:paraId="3241B234" w14:textId="77777777" w:rsidR="00B656F6" w:rsidRPr="00755F09" w:rsidRDefault="00B656F6" w:rsidP="00B656F6">
      <w:pPr>
        <w:pStyle w:val="af"/>
        <w:numPr>
          <w:ilvl w:val="0"/>
          <w:numId w:val="10"/>
        </w:numPr>
      </w:pPr>
      <w:bookmarkStart w:id="77" w:name="_Ref523079103"/>
      <w:r w:rsidRPr="00755F09">
        <w:t>Ren W, Rammohan A, Wu Y. Is there a gender gap in child nutritional outcomes in rural China? China Econ Rev. 2014 Dec 1;31:145-55.</w:t>
      </w:r>
      <w:bookmarkEnd w:id="77"/>
    </w:p>
    <w:p w14:paraId="1D5E4990" w14:textId="77777777" w:rsidR="00B656F6" w:rsidRPr="00755F09" w:rsidRDefault="00B656F6" w:rsidP="00B656F6">
      <w:pPr>
        <w:pStyle w:val="af"/>
        <w:numPr>
          <w:ilvl w:val="0"/>
          <w:numId w:val="10"/>
        </w:numPr>
      </w:pPr>
      <w:bookmarkStart w:id="78" w:name="_Ref524370097"/>
      <w:r w:rsidRPr="00755F09">
        <w:t>GBD 2016 Mortality Collaborators. Global, regional, and national under-5 mortality, adult mortality, age-specific mortality, and life expectancy, 1970–2016: a systematic analysis for the Global Burden of Disease Study 2016. Lancet</w:t>
      </w:r>
      <w:r>
        <w:t>.</w:t>
      </w:r>
      <w:r w:rsidRPr="00755F09">
        <w:t xml:space="preserve"> 2017;390:1084–150.</w:t>
      </w:r>
      <w:bookmarkEnd w:id="78"/>
    </w:p>
    <w:p w14:paraId="4538D687" w14:textId="77777777" w:rsidR="00B656F6" w:rsidRPr="00755F09" w:rsidRDefault="00B656F6" w:rsidP="00B656F6">
      <w:pPr>
        <w:pStyle w:val="af"/>
        <w:numPr>
          <w:ilvl w:val="0"/>
          <w:numId w:val="10"/>
        </w:numPr>
      </w:pPr>
      <w:r w:rsidRPr="00755F09">
        <w:t>GBD 2016 Cause of Death Collaborators. Global, regional, and national age-sex specific mortality for 264 causes of death, 1980–2016: a systematic analysis for the Global Burden of Disease Study 2016. Lancet</w:t>
      </w:r>
      <w:r>
        <w:t>.</w:t>
      </w:r>
      <w:r w:rsidRPr="00755F09">
        <w:t xml:space="preserve"> 2017;390:1151–210.</w:t>
      </w:r>
    </w:p>
    <w:p w14:paraId="308AE23E" w14:textId="77777777" w:rsidR="00B656F6" w:rsidRPr="00755F09" w:rsidRDefault="00B656F6" w:rsidP="00B656F6">
      <w:pPr>
        <w:pStyle w:val="af"/>
        <w:numPr>
          <w:ilvl w:val="0"/>
          <w:numId w:val="10"/>
        </w:numPr>
      </w:pPr>
      <w:r w:rsidRPr="00755F09">
        <w:t>GBD 2016 Disease and Injury Incidence and Prevalence Collaborators. Global, regional, and national incidence, prevalence, and years lived with disability for 328 diseases and injuries for 195 countries, 1990–2016: a systematic analysis for the Global Burden of Disease Study 2016. Lancet</w:t>
      </w:r>
      <w:r>
        <w:t>.</w:t>
      </w:r>
      <w:r w:rsidRPr="00755F09">
        <w:t xml:space="preserve"> 2017;390:1211–59.</w:t>
      </w:r>
    </w:p>
    <w:p w14:paraId="5B163F43" w14:textId="77777777" w:rsidR="00B656F6" w:rsidRPr="00755F09" w:rsidRDefault="00B656F6" w:rsidP="00B656F6">
      <w:pPr>
        <w:pStyle w:val="af"/>
        <w:numPr>
          <w:ilvl w:val="0"/>
          <w:numId w:val="10"/>
        </w:numPr>
      </w:pPr>
      <w:r w:rsidRPr="00755F09">
        <w:t>GBD 2016 DALYs and HALE Collaborators. Global, regional, and national disability-adjusted life-years (DALYs) for 333 diseases and injuries and healthy life expectancy (HALE) for 195 countries and territories, 1990–2016: a systematic analysis for the Global Burden of Disease Study 2016. Lancet</w:t>
      </w:r>
      <w:r>
        <w:t>.</w:t>
      </w:r>
      <w:r w:rsidRPr="00755F09">
        <w:t xml:space="preserve"> 2017;390:1260–342.</w:t>
      </w:r>
    </w:p>
    <w:p w14:paraId="7F85C5E7" w14:textId="77777777" w:rsidR="00B656F6" w:rsidRPr="00755F09" w:rsidRDefault="00B656F6" w:rsidP="00B656F6">
      <w:pPr>
        <w:pStyle w:val="af"/>
        <w:numPr>
          <w:ilvl w:val="0"/>
          <w:numId w:val="10"/>
        </w:numPr>
      </w:pPr>
      <w:bookmarkStart w:id="79" w:name="_Ref524370111"/>
      <w:r w:rsidRPr="00755F09">
        <w:t>GBD 2016 Risk Factor Collaborators. Global, regional, and national comparative risk assessment of 84 behavioural, environmental and occupational, and metabolic risks or clusters of risks, 1990–2016: a systematic analysis for the Global Burden of Disease Study 2016. Lancet</w:t>
      </w:r>
      <w:r>
        <w:t>.</w:t>
      </w:r>
      <w:r w:rsidRPr="00755F09">
        <w:t xml:space="preserve"> 2017;390:1343–420.</w:t>
      </w:r>
      <w:bookmarkEnd w:id="79"/>
    </w:p>
    <w:p w14:paraId="4A062395" w14:textId="77777777" w:rsidR="00B656F6" w:rsidRPr="00755F09" w:rsidRDefault="00B656F6" w:rsidP="00B656F6">
      <w:pPr>
        <w:pStyle w:val="af"/>
        <w:numPr>
          <w:ilvl w:val="0"/>
          <w:numId w:val="10"/>
        </w:numPr>
      </w:pPr>
      <w:bookmarkStart w:id="80" w:name="_Ref523079263"/>
      <w:r w:rsidRPr="00755F09">
        <w:t>Östlin P, George A, Sen G. Gender, health, and equity: the intersections. In: Evans T, Whitehead M, editors. Challenging inequities in health: from ethics to action. New York: Oxford University Press; 2001.</w:t>
      </w:r>
      <w:r>
        <w:t xml:space="preserve"> </w:t>
      </w:r>
      <w:r w:rsidRPr="00755F09">
        <w:t>p. May 31:174-89.</w:t>
      </w:r>
      <w:bookmarkEnd w:id="80"/>
    </w:p>
    <w:p w14:paraId="688FDDEC" w14:textId="77777777" w:rsidR="00B656F6" w:rsidRPr="00755F09" w:rsidRDefault="00B656F6" w:rsidP="00B656F6">
      <w:pPr>
        <w:pStyle w:val="af"/>
        <w:numPr>
          <w:ilvl w:val="0"/>
          <w:numId w:val="10"/>
        </w:numPr>
      </w:pPr>
      <w:bookmarkStart w:id="81" w:name="_Ref19103222"/>
      <w:r w:rsidRPr="00755F09">
        <w:rPr>
          <w:rFonts w:hint="eastAsia"/>
        </w:rPr>
        <w:t>W</w:t>
      </w:r>
      <w:r w:rsidRPr="00755F09">
        <w:t>orld Health Organization.</w:t>
      </w:r>
      <w:r w:rsidRPr="00755F09">
        <w:rPr>
          <w:rFonts w:hint="eastAsia"/>
        </w:rPr>
        <w:t xml:space="preserve"> </w:t>
      </w:r>
      <w:r w:rsidRPr="00755F09">
        <w:t>Baby-friendly hospitals boost breastfeeding in New Zealand</w:t>
      </w:r>
      <w:r w:rsidRPr="00755F09">
        <w:rPr>
          <w:rFonts w:hint="eastAsia"/>
        </w:rPr>
        <w:t>.</w:t>
      </w:r>
      <w:r w:rsidRPr="00755F09">
        <w:t xml:space="preserve"> </w:t>
      </w:r>
      <w:r>
        <w:t xml:space="preserve">Geneva: World Health Organization; 2014. </w:t>
      </w:r>
      <w:r w:rsidRPr="00755F09">
        <w:t xml:space="preserve">Available from: </w:t>
      </w:r>
      <w:r w:rsidRPr="00755F09">
        <w:rPr>
          <w:rFonts w:hint="eastAsia"/>
        </w:rPr>
        <w:t>http://www.who.int/features/2014/new-zealand-breastfeeding/</w:t>
      </w:r>
      <w:r w:rsidRPr="00755F09">
        <w:t>en</w:t>
      </w:r>
      <w:r w:rsidRPr="00755F09">
        <w:rPr>
          <w:rFonts w:hint="eastAsia"/>
        </w:rPr>
        <w:t>/</w:t>
      </w:r>
      <w:bookmarkEnd w:id="81"/>
      <w:r>
        <w:t>.</w:t>
      </w:r>
    </w:p>
    <w:p w14:paraId="72419BEB" w14:textId="77777777" w:rsidR="00B656F6" w:rsidRPr="00755F09" w:rsidRDefault="00B656F6" w:rsidP="00B656F6">
      <w:pPr>
        <w:pStyle w:val="af"/>
        <w:numPr>
          <w:ilvl w:val="0"/>
          <w:numId w:val="10"/>
        </w:numPr>
      </w:pPr>
      <w:bookmarkStart w:id="82" w:name="_Ref19103260"/>
      <w:r w:rsidRPr="00755F09">
        <w:t>Chapman DJ, Morel K, Anderson AK, et al. Review: breastfeeding peer counseling: from efficacy through scale-up. J Hum Lact</w:t>
      </w:r>
      <w:r>
        <w:t>.</w:t>
      </w:r>
      <w:r w:rsidRPr="00755F09">
        <w:t xml:space="preserve"> 2010</w:t>
      </w:r>
      <w:r>
        <w:t>;</w:t>
      </w:r>
      <w:r w:rsidRPr="00755F09">
        <w:t>26(3):314-326.</w:t>
      </w:r>
      <w:bookmarkEnd w:id="82"/>
    </w:p>
    <w:p w14:paraId="5A0789DE" w14:textId="77777777" w:rsidR="00B656F6" w:rsidRPr="00755F09" w:rsidRDefault="00B656F6" w:rsidP="00B656F6">
      <w:pPr>
        <w:pStyle w:val="af"/>
        <w:numPr>
          <w:ilvl w:val="0"/>
          <w:numId w:val="10"/>
        </w:numPr>
      </w:pPr>
      <w:bookmarkStart w:id="83" w:name="_Ref19103331"/>
      <w:r w:rsidRPr="00755F09">
        <w:t>Bhuiya I, Rob U, Chowdhury AH, Rahman L, Haque N, Adamchak SE, et al. Improving adolescent reproductive health in Bangladesh.</w:t>
      </w:r>
      <w:bookmarkEnd w:id="83"/>
      <w:r>
        <w:t xml:space="preserve"> </w:t>
      </w:r>
      <w:r w:rsidRPr="006D6953">
        <w:t>Dhaka: Population Council.</w:t>
      </w:r>
      <w:r w:rsidRPr="00755F09">
        <w:t xml:space="preserve"> </w:t>
      </w:r>
      <w:r w:rsidRPr="00755F09">
        <w:rPr>
          <w:rFonts w:asciiTheme="minorHAnsi" w:hAnsiTheme="minorHAnsi" w:cstheme="minorHAnsi"/>
        </w:rPr>
        <w:t>[</w:t>
      </w:r>
      <w:r>
        <w:rPr>
          <w:rFonts w:asciiTheme="minorHAnsi" w:hAnsiTheme="minorHAnsi" w:cstheme="minorHAnsi"/>
        </w:rPr>
        <w:t>cited</w:t>
      </w:r>
      <w:r w:rsidRPr="00755F09">
        <w:rPr>
          <w:rFonts w:asciiTheme="minorHAnsi" w:hAnsiTheme="minorHAnsi" w:cstheme="minorHAnsi"/>
        </w:rPr>
        <w:t xml:space="preserve"> 2018 Dec 23]. </w:t>
      </w:r>
      <w:r w:rsidRPr="00755F09">
        <w:t>Available from: https://knowledgecommons.popcouncil.org/departments_sbsr-rh/367/</w:t>
      </w:r>
      <w:r>
        <w:t>.</w:t>
      </w:r>
    </w:p>
    <w:p w14:paraId="6E410175" w14:textId="77777777" w:rsidR="00B656F6" w:rsidRPr="00755F09" w:rsidRDefault="00B656F6" w:rsidP="00B656F6">
      <w:pPr>
        <w:pStyle w:val="af"/>
        <w:numPr>
          <w:ilvl w:val="0"/>
          <w:numId w:val="10"/>
        </w:numPr>
      </w:pPr>
      <w:bookmarkStart w:id="84" w:name="_Ref19103337"/>
      <w:r w:rsidRPr="00755F09">
        <w:t xml:space="preserve">Gurman T, Underwood C. </w:t>
      </w:r>
      <w:r>
        <w:t>U</w:t>
      </w:r>
      <w:r w:rsidRPr="00755F09">
        <w:t>sing media to address adolescent health: lessons learned abroad. In: Brown J, ed</w:t>
      </w:r>
      <w:r>
        <w:t>itor</w:t>
      </w:r>
      <w:r w:rsidRPr="00755F09">
        <w:t>. managing the media monsters: national campaign to prevent teen and unplanned pregnancy. Washington, DC: The National Campaign; 2008.</w:t>
      </w:r>
      <w:bookmarkEnd w:id="84"/>
    </w:p>
    <w:p w14:paraId="4EE1D05A" w14:textId="77777777" w:rsidR="00B656F6" w:rsidRPr="00755F09" w:rsidRDefault="00B656F6" w:rsidP="00B656F6">
      <w:pPr>
        <w:pStyle w:val="af"/>
        <w:numPr>
          <w:ilvl w:val="0"/>
          <w:numId w:val="10"/>
        </w:numPr>
      </w:pPr>
      <w:bookmarkStart w:id="85" w:name="_Ref19103341"/>
      <w:r w:rsidRPr="00755F09">
        <w:t>Chong A, Gonzalez-Navarro M, Karlan D, Valdivia M. Effectiveness and spillovers of online sex education: Evidence from a randomized evaluation in Colombian public schools. NBER Working Paper Series. 2013 Feb 1:18776.</w:t>
      </w:r>
      <w:bookmarkEnd w:id="85"/>
    </w:p>
    <w:p w14:paraId="4802E76F" w14:textId="77777777" w:rsidR="00B656F6" w:rsidRPr="00755F09" w:rsidRDefault="00B656F6" w:rsidP="00B656F6">
      <w:pPr>
        <w:pStyle w:val="af"/>
        <w:numPr>
          <w:ilvl w:val="0"/>
          <w:numId w:val="10"/>
        </w:numPr>
      </w:pPr>
      <w:bookmarkStart w:id="86" w:name="_Ref19103345"/>
      <w:r w:rsidRPr="00755F09">
        <w:t>Black RE, Laxminarayan R, Temmerman M, Walker N. Reproductive maternal newborn and child health. Disease control priorities. Volume 2.</w:t>
      </w:r>
      <w:bookmarkEnd w:id="86"/>
      <w:r>
        <w:t xml:space="preserve"> Washington, DC:</w:t>
      </w:r>
      <w:r w:rsidRPr="00A3548C">
        <w:t xml:space="preserve"> The World Bank</w:t>
      </w:r>
      <w:r>
        <w:t xml:space="preserve">. 2016. </w:t>
      </w:r>
      <w:r w:rsidRPr="00755F09">
        <w:rPr>
          <w:rFonts w:asciiTheme="minorHAnsi" w:hAnsiTheme="minorHAnsi" w:cstheme="minorHAnsi"/>
        </w:rPr>
        <w:t>[</w:t>
      </w:r>
      <w:r>
        <w:rPr>
          <w:rFonts w:asciiTheme="minorHAnsi" w:hAnsiTheme="minorHAnsi" w:cstheme="minorHAnsi"/>
        </w:rPr>
        <w:t>cited</w:t>
      </w:r>
      <w:r w:rsidRPr="00755F09">
        <w:rPr>
          <w:rFonts w:asciiTheme="minorHAnsi" w:hAnsiTheme="minorHAnsi" w:cstheme="minorHAnsi"/>
        </w:rPr>
        <w:t xml:space="preserve"> 2018 Dec 23].</w:t>
      </w:r>
      <w:r>
        <w:rPr>
          <w:rFonts w:asciiTheme="minorHAnsi" w:hAnsiTheme="minorHAnsi" w:cstheme="minorHAnsi"/>
        </w:rPr>
        <w:t xml:space="preserve"> Available from: </w:t>
      </w:r>
      <w:r w:rsidRPr="00A3548C">
        <w:rPr>
          <w:rFonts w:asciiTheme="minorHAnsi" w:hAnsiTheme="minorHAnsi" w:cstheme="minorHAnsi"/>
        </w:rPr>
        <w:t>http://dcp-3.org/rmnch</w:t>
      </w:r>
    </w:p>
    <w:p w14:paraId="327565E4" w14:textId="77777777" w:rsidR="00B656F6" w:rsidRPr="006E13D1" w:rsidRDefault="00B656F6" w:rsidP="00B656F6">
      <w:pPr>
        <w:pStyle w:val="af"/>
        <w:numPr>
          <w:ilvl w:val="0"/>
          <w:numId w:val="10"/>
        </w:numPr>
      </w:pPr>
      <w:bookmarkStart w:id="87" w:name="_Ref19103381"/>
      <w:r w:rsidRPr="00755F09">
        <w:rPr>
          <w:rFonts w:hint="eastAsia"/>
        </w:rPr>
        <w:t>He T, Lopez</w:t>
      </w:r>
      <w:r>
        <w:rPr>
          <w:rFonts w:hint="eastAsia"/>
        </w:rPr>
        <w:t>-</w:t>
      </w:r>
      <w:r w:rsidRPr="00755F09">
        <w:rPr>
          <w:rFonts w:hint="eastAsia"/>
        </w:rPr>
        <w:t>Olivo MA, Hur C, Chhatwal J. Systematic review: cost</w:t>
      </w:r>
      <w:r>
        <w:rPr>
          <w:rFonts w:hint="eastAsia"/>
        </w:rPr>
        <w:t>-</w:t>
      </w:r>
      <w:r w:rsidRPr="00755F09">
        <w:rPr>
          <w:rFonts w:hint="eastAsia"/>
        </w:rPr>
        <w:t>effectiveness of direct</w:t>
      </w:r>
      <w:r>
        <w:rPr>
          <w:rFonts w:hint="eastAsia"/>
        </w:rPr>
        <w:t>-</w:t>
      </w:r>
      <w:r w:rsidRPr="00755F09">
        <w:rPr>
          <w:rFonts w:hint="eastAsia"/>
        </w:rPr>
        <w:t>acting antivirals for treatment of hepatitis C genotypes 2</w:t>
      </w:r>
      <w:r>
        <w:rPr>
          <w:rFonts w:hint="eastAsia"/>
        </w:rPr>
        <w:t>-</w:t>
      </w:r>
      <w:r w:rsidRPr="00755F09">
        <w:rPr>
          <w:rFonts w:hint="eastAsia"/>
        </w:rPr>
        <w:t xml:space="preserve">6. </w:t>
      </w:r>
      <w:r w:rsidRPr="00755F09">
        <w:t>Aliment Pharmacol Ther</w:t>
      </w:r>
      <w:r w:rsidRPr="00755F09">
        <w:rPr>
          <w:rFonts w:hint="eastAsia"/>
        </w:rPr>
        <w:t>. 2017 Oct;46(8):711-21.</w:t>
      </w:r>
      <w:bookmarkEnd w:id="87"/>
    </w:p>
    <w:p w14:paraId="5CD2AA20" w14:textId="77777777" w:rsidR="00B656F6" w:rsidRPr="006E13D1" w:rsidRDefault="00B656F6" w:rsidP="00B656F6">
      <w:pPr>
        <w:pStyle w:val="af"/>
        <w:numPr>
          <w:ilvl w:val="0"/>
          <w:numId w:val="10"/>
        </w:numPr>
      </w:pPr>
      <w:bookmarkStart w:id="88" w:name="_Ref19103385"/>
      <w:r w:rsidRPr="00755F09">
        <w:lastRenderedPageBreak/>
        <w:t>World Health Organization. The silent epidemic of chronic hepatitis B and C in China: investing in treatment saves money and saves lives. Beijing</w:t>
      </w:r>
      <w:r>
        <w:t>:</w:t>
      </w:r>
      <w:r w:rsidRPr="00755F09">
        <w:t xml:space="preserve"> World Health Organization</w:t>
      </w:r>
      <w:r>
        <w:t>;</w:t>
      </w:r>
      <w:r w:rsidRPr="00755F09">
        <w:t xml:space="preserve"> 2016.</w:t>
      </w:r>
      <w:bookmarkEnd w:id="88"/>
    </w:p>
    <w:p w14:paraId="18D586B6" w14:textId="77777777" w:rsidR="00B656F6" w:rsidRPr="00755F09" w:rsidRDefault="00B656F6" w:rsidP="00B656F6">
      <w:pPr>
        <w:pStyle w:val="af"/>
        <w:numPr>
          <w:ilvl w:val="0"/>
          <w:numId w:val="10"/>
        </w:numPr>
      </w:pPr>
      <w:bookmarkStart w:id="89" w:name="_Ref19103388"/>
      <w:r w:rsidRPr="00755F09">
        <w:t xml:space="preserve">Vassall A, van Kampen S, Sohn H, Michael JS, John KR, den Boon S, et al. Rapid diagnosis of tuberculosis with the Xpert MTB/RIF assay in high burden countries: a cost-effectiveness analysis. PLoS </w:t>
      </w:r>
      <w:r>
        <w:t>Med</w:t>
      </w:r>
      <w:r w:rsidRPr="00755F09">
        <w:t>. 2011 Nov 8;8(11):e1001120.</w:t>
      </w:r>
      <w:bookmarkEnd w:id="89"/>
    </w:p>
    <w:p w14:paraId="529DBBF9" w14:textId="77777777" w:rsidR="00B656F6" w:rsidRPr="00755F09" w:rsidRDefault="00B656F6" w:rsidP="00B656F6">
      <w:pPr>
        <w:pStyle w:val="af"/>
        <w:numPr>
          <w:ilvl w:val="0"/>
          <w:numId w:val="10"/>
        </w:numPr>
      </w:pPr>
      <w:bookmarkStart w:id="90" w:name="_Ref19103433"/>
      <w:r w:rsidRPr="00755F09">
        <w:t>Ruger JP, Lazar CM. Economic evaluation of pharmaco-and behavioral therapies for smoking cessation: a critical and systematic review of empirical research. Annu Rev Public Health. 2012 Apr 21;33:279-305</w:t>
      </w:r>
      <w:bookmarkEnd w:id="90"/>
      <w:r w:rsidRPr="00755F09">
        <w:t>.</w:t>
      </w:r>
    </w:p>
    <w:p w14:paraId="084120B8" w14:textId="77777777" w:rsidR="00B656F6" w:rsidRPr="00755F09" w:rsidRDefault="00B656F6" w:rsidP="00B656F6">
      <w:pPr>
        <w:pStyle w:val="af"/>
        <w:numPr>
          <w:ilvl w:val="0"/>
          <w:numId w:val="10"/>
        </w:numPr>
      </w:pPr>
      <w:bookmarkStart w:id="91" w:name="_Ref19103440"/>
      <w:r w:rsidRPr="00755F09">
        <w:t>Tian G, Liu F. Is the demand for alcoholic beverages in developing countries sensitive to price? Evidence from China. Int J Environ Res Public Health. 2011 Jun;8(6):2124-31.</w:t>
      </w:r>
      <w:bookmarkEnd w:id="91"/>
    </w:p>
    <w:p w14:paraId="4590DD7A" w14:textId="77777777" w:rsidR="00B656F6" w:rsidRPr="00755F09" w:rsidRDefault="00B656F6" w:rsidP="00B656F6">
      <w:pPr>
        <w:pStyle w:val="af"/>
        <w:numPr>
          <w:ilvl w:val="0"/>
          <w:numId w:val="10"/>
        </w:numPr>
      </w:pPr>
      <w:bookmarkStart w:id="92" w:name="_Ref19103484"/>
      <w:r w:rsidRPr="00755F09">
        <w:t>Wakefield MA, Hayes L, Durkin S, Borland R. Introduction effects of the Australian plain packaging policy on adult smokers: a cross-sectional study. BMJ open. 2013 Jul 1;3(7):e003175.</w:t>
      </w:r>
      <w:bookmarkEnd w:id="92"/>
    </w:p>
    <w:p w14:paraId="618D78B8" w14:textId="77777777" w:rsidR="00B656F6" w:rsidRPr="00755F09" w:rsidRDefault="00B656F6" w:rsidP="00B656F6">
      <w:pPr>
        <w:pStyle w:val="af"/>
        <w:numPr>
          <w:ilvl w:val="0"/>
          <w:numId w:val="10"/>
        </w:numPr>
      </w:pPr>
      <w:bookmarkStart w:id="93" w:name="_Ref19103489"/>
      <w:r w:rsidRPr="00755F09">
        <w:t>Hammond D. " Plain packaging" regulations for tobacco products: the impact of standardizing the color and design of cigarette packs. salud pública de méxico. 2010;52:S226-32.</w:t>
      </w:r>
      <w:bookmarkEnd w:id="93"/>
    </w:p>
    <w:p w14:paraId="0B5D1E29" w14:textId="77777777" w:rsidR="00B656F6" w:rsidRPr="00755F09" w:rsidRDefault="00B656F6" w:rsidP="00B656F6">
      <w:pPr>
        <w:pStyle w:val="af"/>
        <w:numPr>
          <w:ilvl w:val="0"/>
          <w:numId w:val="10"/>
        </w:numPr>
      </w:pPr>
      <w:bookmarkStart w:id="94" w:name="_Ref19103494"/>
      <w:r w:rsidRPr="00755F09">
        <w:t>Blecher E. The impact of tobacco advertising bans on consumption in developing countries. J Health Econ. 2008 Jul 1;27(4):930-42.</w:t>
      </w:r>
      <w:bookmarkEnd w:id="94"/>
    </w:p>
    <w:p w14:paraId="0E5AD347" w14:textId="77777777" w:rsidR="00B656F6" w:rsidRPr="006E13D1" w:rsidRDefault="00B656F6" w:rsidP="00B656F6">
      <w:pPr>
        <w:pStyle w:val="af"/>
        <w:numPr>
          <w:ilvl w:val="0"/>
          <w:numId w:val="10"/>
        </w:numPr>
      </w:pPr>
      <w:bookmarkStart w:id="95" w:name="_Ref19103541"/>
      <w:r w:rsidRPr="006E13D1">
        <w:t>International Agency for Research on Cancer. Evaluating the Effectiveness of Smoke-Free Policies: IARC Handbooks of Cancer Prevention in Tobacco Control. Lyon: IARC</w:t>
      </w:r>
      <w:r>
        <w:t>;</w:t>
      </w:r>
      <w:r w:rsidRPr="006E13D1">
        <w:t xml:space="preserve"> 2009.</w:t>
      </w:r>
      <w:bookmarkEnd w:id="95"/>
    </w:p>
    <w:p w14:paraId="4D68101A" w14:textId="77777777" w:rsidR="00B656F6" w:rsidRPr="006E13D1" w:rsidRDefault="00B656F6" w:rsidP="00B656F6">
      <w:pPr>
        <w:pStyle w:val="af"/>
        <w:numPr>
          <w:ilvl w:val="0"/>
          <w:numId w:val="10"/>
        </w:numPr>
      </w:pPr>
      <w:bookmarkStart w:id="96" w:name="_Ref19103545"/>
      <w:r w:rsidRPr="00755F09">
        <w:t>Jha P, Mony P, Moore JA, Zatonski W. Avoidance of worldwide vascular deaths and total deaths from smoking. Evidence-based Cardiology</w:t>
      </w:r>
      <w:r>
        <w:t>.</w:t>
      </w:r>
      <w:r w:rsidRPr="00755F09">
        <w:t xml:space="preserve"> 3rd ed. </w:t>
      </w:r>
      <w:r w:rsidRPr="00A3548C">
        <w:t>Chichester: Blackwell Publishing Ltd</w:t>
      </w:r>
      <w:r w:rsidRPr="00755F09">
        <w:t>. 2010 May 21</w:t>
      </w:r>
      <w:r>
        <w:t xml:space="preserve">. p. </w:t>
      </w:r>
      <w:r w:rsidRPr="00755F09">
        <w:t>111-24.</w:t>
      </w:r>
      <w:bookmarkEnd w:id="96"/>
    </w:p>
    <w:p w14:paraId="2C3E8FF6" w14:textId="77777777" w:rsidR="00B656F6" w:rsidRPr="006E13D1" w:rsidRDefault="00B656F6" w:rsidP="00B656F6">
      <w:pPr>
        <w:pStyle w:val="af"/>
        <w:numPr>
          <w:ilvl w:val="0"/>
          <w:numId w:val="10"/>
        </w:numPr>
      </w:pPr>
      <w:bookmarkStart w:id="97" w:name="_Ref19103969"/>
      <w:r w:rsidRPr="00755F09">
        <w:rPr>
          <w:rFonts w:hint="eastAsia"/>
        </w:rPr>
        <w:t>Bala MM, Strzeszynski L, Topor</w:t>
      </w:r>
      <w:r>
        <w:rPr>
          <w:rFonts w:hint="eastAsia"/>
        </w:rPr>
        <w:t>-</w:t>
      </w:r>
      <w:r w:rsidRPr="00755F09">
        <w:rPr>
          <w:rFonts w:hint="eastAsia"/>
        </w:rPr>
        <w:t xml:space="preserve">Madry R. Mass media interventions for smoking cessation in adults. </w:t>
      </w:r>
      <w:r w:rsidRPr="00755F09">
        <w:t>Cochrane Database Syst Rev</w:t>
      </w:r>
      <w:r w:rsidRPr="00755F09">
        <w:rPr>
          <w:rFonts w:hint="eastAsia"/>
        </w:rPr>
        <w:t>. 2017(11).</w:t>
      </w:r>
      <w:bookmarkEnd w:id="97"/>
    </w:p>
    <w:p w14:paraId="77259406" w14:textId="77777777" w:rsidR="00B656F6" w:rsidRPr="00755F09" w:rsidRDefault="00B656F6" w:rsidP="00B656F6">
      <w:pPr>
        <w:pStyle w:val="af"/>
        <w:numPr>
          <w:ilvl w:val="0"/>
          <w:numId w:val="10"/>
        </w:numPr>
      </w:pPr>
      <w:bookmarkStart w:id="98" w:name="_Ref19104061"/>
      <w:r w:rsidRPr="00755F09">
        <w:t>Tennant R, Goens C, Barlow J, Day C, Stewart-Brown S. A systematic review of reviews of interventions to promote mental health and prevent mental health problems in children and young people. J Public Ment Health. 2007 Mar 1;6(1):25-32.</w:t>
      </w:r>
      <w:bookmarkEnd w:id="98"/>
    </w:p>
    <w:p w14:paraId="77ACAB34" w14:textId="77777777" w:rsidR="00B656F6" w:rsidRPr="00755F09" w:rsidRDefault="00B656F6" w:rsidP="00B656F6">
      <w:pPr>
        <w:pStyle w:val="af"/>
        <w:numPr>
          <w:ilvl w:val="0"/>
          <w:numId w:val="10"/>
        </w:numPr>
      </w:pPr>
      <w:bookmarkStart w:id="99" w:name="_Ref19104062"/>
      <w:r w:rsidRPr="00755F09">
        <w:t>Weare K, Nind M. Mental health promotion and problem prevention in schools: what does the evidence say? Health Promot Int. 2011 Dec 1;26(</w:t>
      </w:r>
      <w:r>
        <w:t>S</w:t>
      </w:r>
      <w:r w:rsidRPr="00755F09">
        <w:t>uppl</w:t>
      </w:r>
      <w:r>
        <w:t xml:space="preserve"> </w:t>
      </w:r>
      <w:r w:rsidRPr="00755F09">
        <w:t>1):i29-69.</w:t>
      </w:r>
      <w:bookmarkEnd w:id="99"/>
    </w:p>
    <w:p w14:paraId="3630E200" w14:textId="77777777" w:rsidR="00B656F6" w:rsidRPr="00755F09" w:rsidRDefault="00B656F6" w:rsidP="00B656F6">
      <w:pPr>
        <w:pStyle w:val="af"/>
        <w:numPr>
          <w:ilvl w:val="0"/>
          <w:numId w:val="10"/>
        </w:numPr>
      </w:pPr>
      <w:bookmarkStart w:id="100" w:name="_Ref19104063"/>
      <w:r w:rsidRPr="00755F09">
        <w:t>Knapp M, Beecham J, McDaid D, Matosevic T, Smith M. The economic consequences of deinstitutionalisation of mental health services: lessons from a systematic review of European experience. Health Soc Care Community. 2011 Mar;19(2):113-25.</w:t>
      </w:r>
      <w:bookmarkEnd w:id="100"/>
    </w:p>
    <w:p w14:paraId="0C5AFA70" w14:textId="77777777" w:rsidR="00B656F6" w:rsidRPr="00755F09" w:rsidRDefault="00B656F6" w:rsidP="00B656F6">
      <w:pPr>
        <w:pStyle w:val="af"/>
        <w:numPr>
          <w:ilvl w:val="0"/>
          <w:numId w:val="10"/>
        </w:numPr>
      </w:pPr>
      <w:bookmarkStart w:id="101" w:name="_Ref19104065"/>
      <w:r w:rsidRPr="00755F09">
        <w:t>Mccabe C. A systematic review of cost-effectiveness analyses of whole school interventions to promote children’s mental health. Leeds: Leeds Institute of Health Sciences</w:t>
      </w:r>
      <w:r>
        <w:t>;</w:t>
      </w:r>
      <w:r w:rsidRPr="00755F09">
        <w:t xml:space="preserve"> 2007.</w:t>
      </w:r>
      <w:bookmarkEnd w:id="101"/>
    </w:p>
    <w:p w14:paraId="19464566" w14:textId="77777777" w:rsidR="00B656F6" w:rsidRPr="006E13D1" w:rsidRDefault="00B656F6" w:rsidP="00B656F6">
      <w:pPr>
        <w:pStyle w:val="af"/>
        <w:numPr>
          <w:ilvl w:val="0"/>
          <w:numId w:val="10"/>
        </w:numPr>
      </w:pPr>
      <w:bookmarkStart w:id="102" w:name="_Ref19104134"/>
      <w:r w:rsidRPr="00755F09">
        <w:t>Zhu M, Cummings P, Chu H, Cook LJ. Association of rear seat safety belt use with death in a traffic crash: a matched cohort study. Inj Prev. 2007 Jun 1;13(3):183-5.</w:t>
      </w:r>
      <w:bookmarkEnd w:id="102"/>
    </w:p>
    <w:p w14:paraId="37E12210" w14:textId="77777777" w:rsidR="00B656F6" w:rsidRPr="006E13D1" w:rsidRDefault="00B656F6" w:rsidP="00B656F6">
      <w:pPr>
        <w:pStyle w:val="af"/>
        <w:numPr>
          <w:ilvl w:val="0"/>
          <w:numId w:val="10"/>
        </w:numPr>
      </w:pPr>
      <w:bookmarkStart w:id="103" w:name="_Ref19104144"/>
      <w:r w:rsidRPr="00755F09">
        <w:t>Zaza S, Sleet DA, Thompson RS, Sosin DM, Bolen JC, Task Force on Community Preventive Services. Reviews of evidence regarding interventions to increase use of child safety seats. Am J Prev Med. 2001 Nov 1;21(4):31-47.</w:t>
      </w:r>
      <w:bookmarkEnd w:id="103"/>
    </w:p>
    <w:p w14:paraId="52E488A4" w14:textId="77777777" w:rsidR="00B656F6" w:rsidRDefault="00B656F6" w:rsidP="00B656F6">
      <w:pPr>
        <w:pStyle w:val="af"/>
        <w:numPr>
          <w:ilvl w:val="0"/>
          <w:numId w:val="10"/>
        </w:numPr>
      </w:pPr>
      <w:bookmarkStart w:id="104" w:name="_Ref19104154"/>
      <w:r w:rsidRPr="00755F09">
        <w:t>Liu BC, Ivers R, Norton R, Boufous S, Blows S, Lo SK. Helmets for preventing injury in motorcycle riders. Cochrane Database Syst Rev. 2008(1).</w:t>
      </w:r>
      <w:bookmarkEnd w:id="104"/>
    </w:p>
    <w:p w14:paraId="245AEAB3" w14:textId="77777777" w:rsidR="00B656F6" w:rsidRPr="00755F09" w:rsidRDefault="00B656F6" w:rsidP="00B656F6">
      <w:pPr>
        <w:pStyle w:val="af"/>
        <w:numPr>
          <w:ilvl w:val="0"/>
          <w:numId w:val="10"/>
        </w:numPr>
      </w:pPr>
      <w:bookmarkStart w:id="105" w:name="_Ref523079301"/>
      <w:r w:rsidRPr="00755F09">
        <w:t>Atun R, Jaffar S, Nishtar S, Knaul FM, Barreto ML, Nyirenda M, Banatvala N, et al. Improving responsiveness of health systems to non-communicable diseases. Lancet. 2013 Feb 23;381(9867):690-7.</w:t>
      </w:r>
      <w:bookmarkEnd w:id="105"/>
    </w:p>
    <w:p w14:paraId="4EEA96D0" w14:textId="77777777" w:rsidR="00B656F6" w:rsidRDefault="00B656F6" w:rsidP="00B656F6">
      <w:pPr>
        <w:pStyle w:val="af"/>
        <w:numPr>
          <w:ilvl w:val="0"/>
          <w:numId w:val="10"/>
        </w:numPr>
      </w:pPr>
      <w:bookmarkStart w:id="106" w:name="_Ref523079362"/>
      <w:r w:rsidRPr="00755F09">
        <w:t>Buse K, Hawkes S. Health in the sustainable development goals: ready for a paradigm shift? Globalization health. 2015 Dec;11(1):13.</w:t>
      </w:r>
      <w:bookmarkEnd w:id="106"/>
      <w:r w:rsidRPr="00755F09">
        <w:t xml:space="preserve"> </w:t>
      </w:r>
      <w:r w:rsidRPr="00755F09">
        <w:rPr>
          <w:rFonts w:asciiTheme="minorHAnsi" w:hAnsiTheme="minorHAnsi" w:cstheme="minorHAnsi"/>
        </w:rPr>
        <w:t>[</w:t>
      </w:r>
      <w:r>
        <w:rPr>
          <w:rFonts w:asciiTheme="minorHAnsi" w:hAnsiTheme="minorHAnsi" w:cstheme="minorHAnsi"/>
        </w:rPr>
        <w:t>cited</w:t>
      </w:r>
      <w:r w:rsidRPr="00755F09">
        <w:rPr>
          <w:rFonts w:asciiTheme="minorHAnsi" w:hAnsiTheme="minorHAnsi" w:cstheme="minorHAnsi"/>
        </w:rPr>
        <w:t xml:space="preserve"> 2018 Dec 23]. </w:t>
      </w:r>
      <w:r w:rsidRPr="00755F09">
        <w:t xml:space="preserve">Available from: </w:t>
      </w:r>
      <w:hyperlink r:id="rId22" w:history="1">
        <w:r w:rsidRPr="00755F09">
          <w:t>https://globalizationandhealth.biomedcentral.com/articles/10.1186/s12992-015-0098-8</w:t>
        </w:r>
      </w:hyperlink>
      <w:r>
        <w:t>.</w:t>
      </w:r>
    </w:p>
    <w:p w14:paraId="18A895D6" w14:textId="77777777" w:rsidR="00B656F6" w:rsidRDefault="00B656F6" w:rsidP="00B656F6"/>
    <w:p w14:paraId="1688F847" w14:textId="77777777" w:rsidR="00B656F6" w:rsidRPr="00566686" w:rsidRDefault="00B656F6" w:rsidP="00B656F6">
      <w:pPr>
        <w:rPr>
          <w:b/>
          <w:bCs/>
          <w:sz w:val="28"/>
          <w:szCs w:val="28"/>
        </w:rPr>
      </w:pPr>
      <w:r w:rsidRPr="00566686">
        <w:rPr>
          <w:b/>
          <w:bCs/>
          <w:sz w:val="28"/>
          <w:szCs w:val="28"/>
        </w:rPr>
        <w:t>Supporting information</w:t>
      </w:r>
    </w:p>
    <w:p w14:paraId="1FA984DA" w14:textId="77777777" w:rsidR="00B656F6" w:rsidRDefault="00B656F6" w:rsidP="00B656F6">
      <w:bookmarkStart w:id="107" w:name="_Hlk22412698"/>
      <w:r w:rsidRPr="00566686">
        <w:rPr>
          <w:b/>
          <w:bCs/>
        </w:rPr>
        <w:t>S1 Appendix.</w:t>
      </w:r>
      <w:r>
        <w:t xml:space="preserve"> D</w:t>
      </w:r>
      <w:r w:rsidRPr="00CB522B">
        <w:t>etailed methods used for the study</w:t>
      </w:r>
      <w:r>
        <w:t>.</w:t>
      </w:r>
    </w:p>
    <w:p w14:paraId="455A567E" w14:textId="77777777" w:rsidR="00B656F6" w:rsidRDefault="00B656F6" w:rsidP="00B656F6">
      <w:r w:rsidRPr="00566686">
        <w:rPr>
          <w:b/>
          <w:bCs/>
        </w:rPr>
        <w:t>S2 Appendix.</w:t>
      </w:r>
      <w:r>
        <w:t xml:space="preserve"> Interview guidelines.</w:t>
      </w:r>
      <w:bookmarkEnd w:id="107"/>
    </w:p>
    <w:p w14:paraId="35B4FB90" w14:textId="77777777" w:rsidR="00B656F6" w:rsidRDefault="00B656F6" w:rsidP="00B656F6">
      <w:r w:rsidRPr="00566686">
        <w:rPr>
          <w:b/>
          <w:bCs/>
        </w:rPr>
        <w:t>S3 Appendix.</w:t>
      </w:r>
      <w:r>
        <w:t xml:space="preserve"> Informed consent form.</w:t>
      </w:r>
    </w:p>
    <w:p w14:paraId="7B238A57" w14:textId="77777777" w:rsidR="00B656F6" w:rsidRDefault="00B656F6" w:rsidP="00B656F6">
      <w:r w:rsidRPr="00566686">
        <w:rPr>
          <w:b/>
          <w:bCs/>
        </w:rPr>
        <w:lastRenderedPageBreak/>
        <w:t>S1 STROBE Checklist.</w:t>
      </w:r>
      <w:r>
        <w:t xml:space="preserve"> </w:t>
      </w:r>
      <w:r w:rsidRPr="00482571">
        <w:t>STROBE, Strengthening the Reporting of Observational Studies in Epidemiology.</w:t>
      </w:r>
    </w:p>
    <w:p w14:paraId="1D7F334E" w14:textId="77777777" w:rsidR="00B656F6" w:rsidRPr="00AF0BD7" w:rsidRDefault="00B656F6" w:rsidP="00B656F6"/>
    <w:p w14:paraId="1EC0199E" w14:textId="77777777" w:rsidR="00797154" w:rsidRDefault="00797154"/>
    <w:sectPr w:rsidR="00797154" w:rsidSect="00983E4E">
      <w:pgSz w:w="11906" w:h="16838" w:code="9"/>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19C23" w14:textId="77777777" w:rsidR="00BC298A" w:rsidRDefault="00BC298A" w:rsidP="00B656F6">
      <w:r>
        <w:separator/>
      </w:r>
    </w:p>
  </w:endnote>
  <w:endnote w:type="continuationSeparator" w:id="0">
    <w:p w14:paraId="6FDB98D7" w14:textId="77777777" w:rsidR="00BC298A" w:rsidRDefault="00BC298A" w:rsidP="00B6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icrosoft YaHei U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2956523"/>
      <w:docPartObj>
        <w:docPartGallery w:val="Page Numbers (Bottom of Page)"/>
        <w:docPartUnique/>
      </w:docPartObj>
    </w:sdtPr>
    <w:sdtEndPr>
      <w:rPr>
        <w:noProof/>
      </w:rPr>
    </w:sdtEndPr>
    <w:sdtContent>
      <w:p w14:paraId="33DFE904" w14:textId="77777777" w:rsidR="00B656F6" w:rsidRDefault="00B656F6">
        <w:pPr>
          <w:pStyle w:val="a5"/>
          <w:jc w:val="center"/>
        </w:pPr>
        <w:r>
          <w:fldChar w:fldCharType="begin"/>
        </w:r>
        <w:r>
          <w:instrText xml:space="preserve"> PAGE   \* MERGEFORMAT </w:instrText>
        </w:r>
        <w:r>
          <w:fldChar w:fldCharType="separate"/>
        </w:r>
        <w:r>
          <w:rPr>
            <w:noProof/>
          </w:rPr>
          <w:t>25</w:t>
        </w:r>
        <w:r>
          <w:rPr>
            <w:noProof/>
          </w:rPr>
          <w:fldChar w:fldCharType="end"/>
        </w:r>
      </w:p>
    </w:sdtContent>
  </w:sdt>
  <w:p w14:paraId="2FFB0257" w14:textId="77777777" w:rsidR="00B656F6" w:rsidRDefault="00B656F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12573" w14:textId="77777777" w:rsidR="00BC298A" w:rsidRDefault="00BC298A" w:rsidP="00B656F6">
      <w:r>
        <w:separator/>
      </w:r>
    </w:p>
  </w:footnote>
  <w:footnote w:type="continuationSeparator" w:id="0">
    <w:p w14:paraId="6C2B77AC" w14:textId="77777777" w:rsidR="00BC298A" w:rsidRDefault="00BC298A" w:rsidP="00B656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A3854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56244"/>
    <w:multiLevelType w:val="hybridMultilevel"/>
    <w:tmpl w:val="6D90CB2A"/>
    <w:lvl w:ilvl="0" w:tplc="835AA632">
      <w:start w:val="1"/>
      <w:numFmt w:val="decimal"/>
      <w:lvlText w:val="%1."/>
      <w:lvlJc w:val="left"/>
      <w:pPr>
        <w:ind w:left="720" w:hanging="360"/>
      </w:pPr>
      <w:rPr>
        <w:rFonts w:ascii="MS Mincho" w:eastAsia="MS Mincho" w:hAnsi="MS Mincho" w:cs="MS Mincho" w:hint="eastAsia"/>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47648"/>
    <w:multiLevelType w:val="hybridMultilevel"/>
    <w:tmpl w:val="0024B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831B9"/>
    <w:multiLevelType w:val="hybridMultilevel"/>
    <w:tmpl w:val="CE5AD6FE"/>
    <w:lvl w:ilvl="0" w:tplc="04090001">
      <w:start w:val="1"/>
      <w:numFmt w:val="bullet"/>
      <w:lvlText w:val=""/>
      <w:lvlJc w:val="left"/>
      <w:pPr>
        <w:ind w:left="300" w:hanging="360"/>
      </w:pPr>
      <w:rPr>
        <w:rFonts w:ascii="Symbol" w:hAnsi="Symbol" w:hint="default"/>
      </w:rPr>
    </w:lvl>
    <w:lvl w:ilvl="1" w:tplc="04090003" w:tentative="1">
      <w:start w:val="1"/>
      <w:numFmt w:val="bullet"/>
      <w:lvlText w:val="o"/>
      <w:lvlJc w:val="left"/>
      <w:pPr>
        <w:ind w:left="1020" w:hanging="360"/>
      </w:pPr>
      <w:rPr>
        <w:rFonts w:ascii="Courier New" w:hAnsi="Courier New" w:cs="Courier New" w:hint="default"/>
      </w:rPr>
    </w:lvl>
    <w:lvl w:ilvl="2" w:tplc="04090005" w:tentative="1">
      <w:start w:val="1"/>
      <w:numFmt w:val="bullet"/>
      <w:lvlText w:val=""/>
      <w:lvlJc w:val="left"/>
      <w:pPr>
        <w:ind w:left="1740" w:hanging="360"/>
      </w:pPr>
      <w:rPr>
        <w:rFonts w:ascii="Wingdings" w:hAnsi="Wingdings" w:hint="default"/>
      </w:rPr>
    </w:lvl>
    <w:lvl w:ilvl="3" w:tplc="04090001" w:tentative="1">
      <w:start w:val="1"/>
      <w:numFmt w:val="bullet"/>
      <w:lvlText w:val=""/>
      <w:lvlJc w:val="left"/>
      <w:pPr>
        <w:ind w:left="2460" w:hanging="360"/>
      </w:pPr>
      <w:rPr>
        <w:rFonts w:ascii="Symbol" w:hAnsi="Symbol" w:hint="default"/>
      </w:rPr>
    </w:lvl>
    <w:lvl w:ilvl="4" w:tplc="04090003" w:tentative="1">
      <w:start w:val="1"/>
      <w:numFmt w:val="bullet"/>
      <w:lvlText w:val="o"/>
      <w:lvlJc w:val="left"/>
      <w:pPr>
        <w:ind w:left="3180" w:hanging="360"/>
      </w:pPr>
      <w:rPr>
        <w:rFonts w:ascii="Courier New" w:hAnsi="Courier New" w:cs="Courier New" w:hint="default"/>
      </w:rPr>
    </w:lvl>
    <w:lvl w:ilvl="5" w:tplc="04090005" w:tentative="1">
      <w:start w:val="1"/>
      <w:numFmt w:val="bullet"/>
      <w:lvlText w:val=""/>
      <w:lvlJc w:val="left"/>
      <w:pPr>
        <w:ind w:left="3900" w:hanging="360"/>
      </w:pPr>
      <w:rPr>
        <w:rFonts w:ascii="Wingdings" w:hAnsi="Wingdings" w:hint="default"/>
      </w:rPr>
    </w:lvl>
    <w:lvl w:ilvl="6" w:tplc="04090001" w:tentative="1">
      <w:start w:val="1"/>
      <w:numFmt w:val="bullet"/>
      <w:lvlText w:val=""/>
      <w:lvlJc w:val="left"/>
      <w:pPr>
        <w:ind w:left="4620" w:hanging="360"/>
      </w:pPr>
      <w:rPr>
        <w:rFonts w:ascii="Symbol" w:hAnsi="Symbol" w:hint="default"/>
      </w:rPr>
    </w:lvl>
    <w:lvl w:ilvl="7" w:tplc="04090003" w:tentative="1">
      <w:start w:val="1"/>
      <w:numFmt w:val="bullet"/>
      <w:lvlText w:val="o"/>
      <w:lvlJc w:val="left"/>
      <w:pPr>
        <w:ind w:left="5340" w:hanging="360"/>
      </w:pPr>
      <w:rPr>
        <w:rFonts w:ascii="Courier New" w:hAnsi="Courier New" w:cs="Courier New" w:hint="default"/>
      </w:rPr>
    </w:lvl>
    <w:lvl w:ilvl="8" w:tplc="04090005" w:tentative="1">
      <w:start w:val="1"/>
      <w:numFmt w:val="bullet"/>
      <w:lvlText w:val=""/>
      <w:lvlJc w:val="left"/>
      <w:pPr>
        <w:ind w:left="6060" w:hanging="360"/>
      </w:pPr>
      <w:rPr>
        <w:rFonts w:ascii="Wingdings" w:hAnsi="Wingdings" w:hint="default"/>
      </w:rPr>
    </w:lvl>
  </w:abstractNum>
  <w:abstractNum w:abstractNumId="4" w15:restartNumberingAfterBreak="0">
    <w:nsid w:val="09D142B2"/>
    <w:multiLevelType w:val="hybridMultilevel"/>
    <w:tmpl w:val="C5A84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0676DA"/>
    <w:multiLevelType w:val="hybridMultilevel"/>
    <w:tmpl w:val="D7F0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51648C"/>
    <w:multiLevelType w:val="hybridMultilevel"/>
    <w:tmpl w:val="44B09B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A61AB2"/>
    <w:multiLevelType w:val="hybridMultilevel"/>
    <w:tmpl w:val="A5041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EF4484"/>
    <w:multiLevelType w:val="hybridMultilevel"/>
    <w:tmpl w:val="2E98FD9E"/>
    <w:lvl w:ilvl="0" w:tplc="DB24962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D461DC0"/>
    <w:multiLevelType w:val="hybridMultilevel"/>
    <w:tmpl w:val="B162744A"/>
    <w:lvl w:ilvl="0" w:tplc="6C6612E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5C1466"/>
    <w:multiLevelType w:val="hybridMultilevel"/>
    <w:tmpl w:val="ED2A062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E42004B"/>
    <w:multiLevelType w:val="hybridMultilevel"/>
    <w:tmpl w:val="C526E6DC"/>
    <w:lvl w:ilvl="0" w:tplc="00A4FDC2">
      <w:start w:val="1"/>
      <w:numFmt w:val="decimal"/>
      <w:lvlText w:val="%1."/>
      <w:lvlJc w:val="left"/>
      <w:pPr>
        <w:ind w:left="720" w:hanging="360"/>
      </w:pPr>
      <w:rPr>
        <w:rFonts w:ascii="MS Mincho" w:eastAsia="MS Mincho" w:hAnsi="MS Mincho" w:cs="MS Mincho" w:hint="eastAsia"/>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426477"/>
    <w:multiLevelType w:val="hybridMultilevel"/>
    <w:tmpl w:val="D16A5DD8"/>
    <w:lvl w:ilvl="0" w:tplc="EEB0A03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200430"/>
    <w:multiLevelType w:val="hybridMultilevel"/>
    <w:tmpl w:val="6DA49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9B0322"/>
    <w:multiLevelType w:val="hybridMultilevel"/>
    <w:tmpl w:val="8E306D72"/>
    <w:lvl w:ilvl="0" w:tplc="04090001">
      <w:start w:val="1"/>
      <w:numFmt w:val="bullet"/>
      <w:lvlText w:val=""/>
      <w:lvlJc w:val="left"/>
      <w:pPr>
        <w:ind w:left="300" w:hanging="360"/>
      </w:pPr>
      <w:rPr>
        <w:rFonts w:ascii="Symbol" w:hAnsi="Symbol" w:hint="default"/>
      </w:rPr>
    </w:lvl>
    <w:lvl w:ilvl="1" w:tplc="04090003" w:tentative="1">
      <w:start w:val="1"/>
      <w:numFmt w:val="bullet"/>
      <w:lvlText w:val="o"/>
      <w:lvlJc w:val="left"/>
      <w:pPr>
        <w:ind w:left="1020" w:hanging="360"/>
      </w:pPr>
      <w:rPr>
        <w:rFonts w:ascii="Courier New" w:hAnsi="Courier New" w:cs="Courier New" w:hint="default"/>
      </w:rPr>
    </w:lvl>
    <w:lvl w:ilvl="2" w:tplc="04090005" w:tentative="1">
      <w:start w:val="1"/>
      <w:numFmt w:val="bullet"/>
      <w:lvlText w:val=""/>
      <w:lvlJc w:val="left"/>
      <w:pPr>
        <w:ind w:left="1740" w:hanging="360"/>
      </w:pPr>
      <w:rPr>
        <w:rFonts w:ascii="Wingdings" w:hAnsi="Wingdings" w:hint="default"/>
      </w:rPr>
    </w:lvl>
    <w:lvl w:ilvl="3" w:tplc="04090001" w:tentative="1">
      <w:start w:val="1"/>
      <w:numFmt w:val="bullet"/>
      <w:lvlText w:val=""/>
      <w:lvlJc w:val="left"/>
      <w:pPr>
        <w:ind w:left="2460" w:hanging="360"/>
      </w:pPr>
      <w:rPr>
        <w:rFonts w:ascii="Symbol" w:hAnsi="Symbol" w:hint="default"/>
      </w:rPr>
    </w:lvl>
    <w:lvl w:ilvl="4" w:tplc="04090003" w:tentative="1">
      <w:start w:val="1"/>
      <w:numFmt w:val="bullet"/>
      <w:lvlText w:val="o"/>
      <w:lvlJc w:val="left"/>
      <w:pPr>
        <w:ind w:left="3180" w:hanging="360"/>
      </w:pPr>
      <w:rPr>
        <w:rFonts w:ascii="Courier New" w:hAnsi="Courier New" w:cs="Courier New" w:hint="default"/>
      </w:rPr>
    </w:lvl>
    <w:lvl w:ilvl="5" w:tplc="04090005" w:tentative="1">
      <w:start w:val="1"/>
      <w:numFmt w:val="bullet"/>
      <w:lvlText w:val=""/>
      <w:lvlJc w:val="left"/>
      <w:pPr>
        <w:ind w:left="3900" w:hanging="360"/>
      </w:pPr>
      <w:rPr>
        <w:rFonts w:ascii="Wingdings" w:hAnsi="Wingdings" w:hint="default"/>
      </w:rPr>
    </w:lvl>
    <w:lvl w:ilvl="6" w:tplc="04090001" w:tentative="1">
      <w:start w:val="1"/>
      <w:numFmt w:val="bullet"/>
      <w:lvlText w:val=""/>
      <w:lvlJc w:val="left"/>
      <w:pPr>
        <w:ind w:left="4620" w:hanging="360"/>
      </w:pPr>
      <w:rPr>
        <w:rFonts w:ascii="Symbol" w:hAnsi="Symbol" w:hint="default"/>
      </w:rPr>
    </w:lvl>
    <w:lvl w:ilvl="7" w:tplc="04090003" w:tentative="1">
      <w:start w:val="1"/>
      <w:numFmt w:val="bullet"/>
      <w:lvlText w:val="o"/>
      <w:lvlJc w:val="left"/>
      <w:pPr>
        <w:ind w:left="5340" w:hanging="360"/>
      </w:pPr>
      <w:rPr>
        <w:rFonts w:ascii="Courier New" w:hAnsi="Courier New" w:cs="Courier New" w:hint="default"/>
      </w:rPr>
    </w:lvl>
    <w:lvl w:ilvl="8" w:tplc="04090005" w:tentative="1">
      <w:start w:val="1"/>
      <w:numFmt w:val="bullet"/>
      <w:lvlText w:val=""/>
      <w:lvlJc w:val="left"/>
      <w:pPr>
        <w:ind w:left="6060" w:hanging="360"/>
      </w:pPr>
      <w:rPr>
        <w:rFonts w:ascii="Wingdings" w:hAnsi="Wingdings" w:hint="default"/>
      </w:rPr>
    </w:lvl>
  </w:abstractNum>
  <w:abstractNum w:abstractNumId="15" w15:restartNumberingAfterBreak="0">
    <w:nsid w:val="74D72FEC"/>
    <w:multiLevelType w:val="hybridMultilevel"/>
    <w:tmpl w:val="594E7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F03FCE"/>
    <w:multiLevelType w:val="hybridMultilevel"/>
    <w:tmpl w:val="F1A628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B3A2703"/>
    <w:multiLevelType w:val="hybridMultilevel"/>
    <w:tmpl w:val="9618A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4606D8"/>
    <w:multiLevelType w:val="hybridMultilevel"/>
    <w:tmpl w:val="B69C3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6"/>
  </w:num>
  <w:num w:numId="4">
    <w:abstractNumId w:val="4"/>
  </w:num>
  <w:num w:numId="5">
    <w:abstractNumId w:val="1"/>
  </w:num>
  <w:num w:numId="6">
    <w:abstractNumId w:val="11"/>
  </w:num>
  <w:num w:numId="7">
    <w:abstractNumId w:val="13"/>
  </w:num>
  <w:num w:numId="8">
    <w:abstractNumId w:val="7"/>
  </w:num>
  <w:num w:numId="9">
    <w:abstractNumId w:val="18"/>
  </w:num>
  <w:num w:numId="10">
    <w:abstractNumId w:val="8"/>
  </w:num>
  <w:num w:numId="11">
    <w:abstractNumId w:val="0"/>
  </w:num>
  <w:num w:numId="12">
    <w:abstractNumId w:val="6"/>
  </w:num>
  <w:num w:numId="13">
    <w:abstractNumId w:val="9"/>
  </w:num>
  <w:num w:numId="14">
    <w:abstractNumId w:val="15"/>
  </w:num>
  <w:num w:numId="15">
    <w:abstractNumId w:val="5"/>
  </w:num>
  <w:num w:numId="16">
    <w:abstractNumId w:val="2"/>
  </w:num>
  <w:num w:numId="17">
    <w:abstractNumId w:val="12"/>
  </w:num>
  <w:num w:numId="18">
    <w:abstractNumId w:val="1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F93"/>
    <w:rsid w:val="00797154"/>
    <w:rsid w:val="00A27F93"/>
    <w:rsid w:val="00B656F6"/>
    <w:rsid w:val="00BC29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E640386-BFA1-411D-AEFB-972A6A4C8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B656F6"/>
    <w:pPr>
      <w:keepNext/>
      <w:keepLines/>
      <w:widowControl/>
      <w:spacing w:before="40" w:line="259" w:lineRule="auto"/>
      <w:jc w:val="left"/>
      <w:outlineLvl w:val="1"/>
    </w:pPr>
    <w:rPr>
      <w:rFonts w:asciiTheme="majorHAnsi" w:eastAsiaTheme="majorEastAsia" w:hAnsiTheme="majorHAnsi" w:cstheme="majorBidi"/>
      <w:color w:val="2F5496" w:themeColor="accent1" w:themeShade="BF"/>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56F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656F6"/>
    <w:rPr>
      <w:sz w:val="18"/>
      <w:szCs w:val="18"/>
    </w:rPr>
  </w:style>
  <w:style w:type="paragraph" w:styleId="a5">
    <w:name w:val="footer"/>
    <w:basedOn w:val="a"/>
    <w:link w:val="a6"/>
    <w:uiPriority w:val="99"/>
    <w:unhideWhenUsed/>
    <w:rsid w:val="00B656F6"/>
    <w:pPr>
      <w:tabs>
        <w:tab w:val="center" w:pos="4153"/>
        <w:tab w:val="right" w:pos="8306"/>
      </w:tabs>
      <w:snapToGrid w:val="0"/>
      <w:jc w:val="left"/>
    </w:pPr>
    <w:rPr>
      <w:sz w:val="18"/>
      <w:szCs w:val="18"/>
    </w:rPr>
  </w:style>
  <w:style w:type="character" w:customStyle="1" w:styleId="a6">
    <w:name w:val="页脚 字符"/>
    <w:basedOn w:val="a0"/>
    <w:link w:val="a5"/>
    <w:uiPriority w:val="99"/>
    <w:rsid w:val="00B656F6"/>
    <w:rPr>
      <w:sz w:val="18"/>
      <w:szCs w:val="18"/>
    </w:rPr>
  </w:style>
  <w:style w:type="character" w:customStyle="1" w:styleId="20">
    <w:name w:val="标题 2 字符"/>
    <w:basedOn w:val="a0"/>
    <w:link w:val="2"/>
    <w:uiPriority w:val="9"/>
    <w:rsid w:val="00B656F6"/>
    <w:rPr>
      <w:rFonts w:asciiTheme="majorHAnsi" w:eastAsiaTheme="majorEastAsia" w:hAnsiTheme="majorHAnsi" w:cstheme="majorBidi"/>
      <w:color w:val="2F5496" w:themeColor="accent1" w:themeShade="BF"/>
      <w:kern w:val="0"/>
      <w:sz w:val="26"/>
      <w:szCs w:val="26"/>
    </w:rPr>
  </w:style>
  <w:style w:type="character" w:styleId="a7">
    <w:name w:val="annotation reference"/>
    <w:basedOn w:val="a0"/>
    <w:uiPriority w:val="99"/>
    <w:semiHidden/>
    <w:unhideWhenUsed/>
    <w:rsid w:val="00B656F6"/>
    <w:rPr>
      <w:sz w:val="16"/>
      <w:szCs w:val="16"/>
    </w:rPr>
  </w:style>
  <w:style w:type="paragraph" w:styleId="a8">
    <w:name w:val="annotation text"/>
    <w:basedOn w:val="a"/>
    <w:link w:val="a9"/>
    <w:uiPriority w:val="99"/>
    <w:unhideWhenUsed/>
    <w:rsid w:val="00B656F6"/>
    <w:pPr>
      <w:widowControl/>
      <w:spacing w:after="160"/>
      <w:jc w:val="left"/>
    </w:pPr>
    <w:rPr>
      <w:kern w:val="0"/>
      <w:sz w:val="20"/>
      <w:szCs w:val="20"/>
    </w:rPr>
  </w:style>
  <w:style w:type="character" w:customStyle="1" w:styleId="a9">
    <w:name w:val="批注文字 字符"/>
    <w:basedOn w:val="a0"/>
    <w:link w:val="a8"/>
    <w:uiPriority w:val="99"/>
    <w:qFormat/>
    <w:rsid w:val="00B656F6"/>
    <w:rPr>
      <w:kern w:val="0"/>
      <w:sz w:val="20"/>
      <w:szCs w:val="20"/>
    </w:rPr>
  </w:style>
  <w:style w:type="paragraph" w:styleId="aa">
    <w:name w:val="annotation subject"/>
    <w:basedOn w:val="a8"/>
    <w:next w:val="a8"/>
    <w:link w:val="ab"/>
    <w:uiPriority w:val="99"/>
    <w:semiHidden/>
    <w:unhideWhenUsed/>
    <w:rsid w:val="00B656F6"/>
    <w:rPr>
      <w:b/>
      <w:bCs/>
    </w:rPr>
  </w:style>
  <w:style w:type="character" w:customStyle="1" w:styleId="ab">
    <w:name w:val="批注主题 字符"/>
    <w:basedOn w:val="a9"/>
    <w:link w:val="aa"/>
    <w:uiPriority w:val="99"/>
    <w:semiHidden/>
    <w:rsid w:val="00B656F6"/>
    <w:rPr>
      <w:b/>
      <w:bCs/>
      <w:kern w:val="0"/>
      <w:sz w:val="20"/>
      <w:szCs w:val="20"/>
    </w:rPr>
  </w:style>
  <w:style w:type="paragraph" w:styleId="ac">
    <w:name w:val="Balloon Text"/>
    <w:basedOn w:val="a"/>
    <w:link w:val="ad"/>
    <w:uiPriority w:val="99"/>
    <w:semiHidden/>
    <w:unhideWhenUsed/>
    <w:rsid w:val="00B656F6"/>
    <w:pPr>
      <w:widowControl/>
      <w:jc w:val="left"/>
    </w:pPr>
    <w:rPr>
      <w:rFonts w:ascii="Segoe UI" w:hAnsi="Segoe UI" w:cs="Segoe UI"/>
      <w:kern w:val="0"/>
      <w:sz w:val="18"/>
      <w:szCs w:val="18"/>
    </w:rPr>
  </w:style>
  <w:style w:type="character" w:customStyle="1" w:styleId="ad">
    <w:name w:val="批注框文本 字符"/>
    <w:basedOn w:val="a0"/>
    <w:link w:val="ac"/>
    <w:uiPriority w:val="99"/>
    <w:semiHidden/>
    <w:rsid w:val="00B656F6"/>
    <w:rPr>
      <w:rFonts w:ascii="Segoe UI" w:hAnsi="Segoe UI" w:cs="Segoe UI"/>
      <w:kern w:val="0"/>
      <w:sz w:val="18"/>
      <w:szCs w:val="18"/>
    </w:rPr>
  </w:style>
  <w:style w:type="paragraph" w:styleId="ae">
    <w:name w:val="Normal (Web)"/>
    <w:basedOn w:val="a"/>
    <w:uiPriority w:val="99"/>
    <w:semiHidden/>
    <w:unhideWhenUsed/>
    <w:rsid w:val="00B656F6"/>
    <w:pPr>
      <w:widowControl/>
      <w:spacing w:before="100" w:beforeAutospacing="1" w:after="100" w:afterAutospacing="1"/>
      <w:jc w:val="left"/>
    </w:pPr>
    <w:rPr>
      <w:rFonts w:ascii="Times New Roman" w:eastAsia="Times New Roman" w:hAnsi="Times New Roman" w:cs="Times New Roman"/>
      <w:kern w:val="0"/>
      <w:sz w:val="24"/>
      <w:szCs w:val="24"/>
    </w:rPr>
  </w:style>
  <w:style w:type="paragraph" w:styleId="af">
    <w:name w:val="List Paragraph"/>
    <w:basedOn w:val="a"/>
    <w:uiPriority w:val="34"/>
    <w:qFormat/>
    <w:rsid w:val="00B656F6"/>
    <w:pPr>
      <w:widowControl/>
      <w:ind w:left="720"/>
      <w:jc w:val="left"/>
    </w:pPr>
    <w:rPr>
      <w:rFonts w:ascii="Calibri" w:eastAsia="宋体" w:hAnsi="Calibri" w:cs="宋体"/>
      <w:kern w:val="0"/>
      <w:sz w:val="22"/>
    </w:rPr>
  </w:style>
  <w:style w:type="table" w:styleId="af0">
    <w:name w:val="Table Grid"/>
    <w:basedOn w:val="a1"/>
    <w:uiPriority w:val="39"/>
    <w:rsid w:val="00B656F6"/>
    <w:rPr>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rsid w:val="00B656F6"/>
    <w:rPr>
      <w:color w:val="0563C1"/>
      <w:u w:val="single"/>
    </w:rPr>
  </w:style>
  <w:style w:type="character" w:styleId="af2">
    <w:name w:val="FollowedHyperlink"/>
    <w:basedOn w:val="a0"/>
    <w:uiPriority w:val="99"/>
    <w:semiHidden/>
    <w:unhideWhenUsed/>
    <w:rsid w:val="00B656F6"/>
    <w:rPr>
      <w:color w:val="954F72"/>
      <w:u w:val="single"/>
    </w:rPr>
  </w:style>
  <w:style w:type="paragraph" w:customStyle="1" w:styleId="xl64">
    <w:name w:val="xl64"/>
    <w:basedOn w:val="a"/>
    <w:rsid w:val="00B656F6"/>
    <w:pPr>
      <w:widowControl/>
      <w:spacing w:before="100" w:beforeAutospacing="1" w:after="100" w:afterAutospacing="1"/>
      <w:jc w:val="left"/>
      <w:textAlignment w:val="center"/>
    </w:pPr>
    <w:rPr>
      <w:rFonts w:ascii="Times New Roman" w:eastAsia="Times New Roman" w:hAnsi="Times New Roman" w:cs="Times New Roman"/>
      <w:kern w:val="0"/>
      <w:sz w:val="24"/>
      <w:szCs w:val="24"/>
    </w:rPr>
  </w:style>
  <w:style w:type="paragraph" w:customStyle="1" w:styleId="xl65">
    <w:name w:val="xl65"/>
    <w:basedOn w:val="a"/>
    <w:rsid w:val="00B656F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kern w:val="0"/>
      <w:sz w:val="24"/>
      <w:szCs w:val="24"/>
    </w:rPr>
  </w:style>
  <w:style w:type="paragraph" w:customStyle="1" w:styleId="xl66">
    <w:name w:val="xl66"/>
    <w:basedOn w:val="a"/>
    <w:rsid w:val="00B656F6"/>
    <w:pPr>
      <w:widowControl/>
      <w:shd w:val="clear" w:color="000000" w:fill="9999FF"/>
      <w:spacing w:before="100" w:beforeAutospacing="1" w:after="100" w:afterAutospacing="1"/>
      <w:jc w:val="left"/>
      <w:textAlignment w:val="center"/>
    </w:pPr>
    <w:rPr>
      <w:rFonts w:ascii="Times New Roman" w:eastAsia="Times New Roman" w:hAnsi="Times New Roman" w:cs="Times New Roman"/>
      <w:kern w:val="0"/>
      <w:sz w:val="24"/>
      <w:szCs w:val="24"/>
    </w:rPr>
  </w:style>
  <w:style w:type="paragraph" w:customStyle="1" w:styleId="xl67">
    <w:name w:val="xl67"/>
    <w:basedOn w:val="a"/>
    <w:rsid w:val="00B656F6"/>
    <w:pPr>
      <w:widowControl/>
      <w:shd w:val="clear" w:color="000000" w:fill="F8CBAD"/>
      <w:spacing w:before="100" w:beforeAutospacing="1" w:after="100" w:afterAutospacing="1"/>
      <w:jc w:val="left"/>
      <w:textAlignment w:val="center"/>
    </w:pPr>
    <w:rPr>
      <w:rFonts w:ascii="Times New Roman" w:eastAsia="Times New Roman" w:hAnsi="Times New Roman" w:cs="Times New Roman"/>
      <w:kern w:val="0"/>
      <w:sz w:val="24"/>
      <w:szCs w:val="24"/>
    </w:rPr>
  </w:style>
  <w:style w:type="paragraph" w:customStyle="1" w:styleId="xl68">
    <w:name w:val="xl68"/>
    <w:basedOn w:val="a"/>
    <w:rsid w:val="00B656F6"/>
    <w:pPr>
      <w:widowControl/>
      <w:shd w:val="clear" w:color="000000" w:fill="FFD966"/>
      <w:spacing w:before="100" w:beforeAutospacing="1" w:after="100" w:afterAutospacing="1"/>
      <w:jc w:val="left"/>
      <w:textAlignment w:val="center"/>
    </w:pPr>
    <w:rPr>
      <w:rFonts w:ascii="Times New Roman" w:eastAsia="Times New Roman" w:hAnsi="Times New Roman" w:cs="Times New Roman"/>
      <w:kern w:val="0"/>
      <w:sz w:val="24"/>
      <w:szCs w:val="24"/>
    </w:rPr>
  </w:style>
  <w:style w:type="paragraph" w:customStyle="1" w:styleId="xl69">
    <w:name w:val="xl69"/>
    <w:basedOn w:val="a"/>
    <w:rsid w:val="00B656F6"/>
    <w:pPr>
      <w:widowControl/>
      <w:shd w:val="clear" w:color="000000" w:fill="FF6699"/>
      <w:spacing w:before="100" w:beforeAutospacing="1" w:after="100" w:afterAutospacing="1"/>
      <w:jc w:val="left"/>
      <w:textAlignment w:val="center"/>
    </w:pPr>
    <w:rPr>
      <w:rFonts w:ascii="Times New Roman" w:eastAsia="Times New Roman" w:hAnsi="Times New Roman" w:cs="Times New Roman"/>
      <w:kern w:val="0"/>
      <w:sz w:val="24"/>
      <w:szCs w:val="24"/>
    </w:rPr>
  </w:style>
  <w:style w:type="paragraph" w:customStyle="1" w:styleId="xl70">
    <w:name w:val="xl70"/>
    <w:basedOn w:val="a"/>
    <w:rsid w:val="00B656F6"/>
    <w:pPr>
      <w:widowControl/>
      <w:shd w:val="clear" w:color="000000" w:fill="A9D08E"/>
      <w:spacing w:before="100" w:beforeAutospacing="1" w:after="100" w:afterAutospacing="1"/>
      <w:jc w:val="left"/>
      <w:textAlignment w:val="center"/>
    </w:pPr>
    <w:rPr>
      <w:rFonts w:ascii="Times New Roman" w:eastAsia="Times New Roman" w:hAnsi="Times New Roman" w:cs="Times New Roman"/>
      <w:kern w:val="0"/>
      <w:sz w:val="24"/>
      <w:szCs w:val="24"/>
    </w:rPr>
  </w:style>
  <w:style w:type="paragraph" w:customStyle="1" w:styleId="xl71">
    <w:name w:val="xl71"/>
    <w:basedOn w:val="a"/>
    <w:rsid w:val="00B656F6"/>
    <w:pPr>
      <w:widowControl/>
      <w:shd w:val="clear" w:color="000000" w:fill="00B0F0"/>
      <w:spacing w:before="100" w:beforeAutospacing="1" w:after="100" w:afterAutospacing="1"/>
      <w:jc w:val="left"/>
      <w:textAlignment w:val="center"/>
    </w:pPr>
    <w:rPr>
      <w:rFonts w:ascii="Times New Roman" w:eastAsia="Times New Roman" w:hAnsi="Times New Roman" w:cs="Times New Roman"/>
      <w:kern w:val="0"/>
      <w:sz w:val="24"/>
      <w:szCs w:val="24"/>
    </w:rPr>
  </w:style>
  <w:style w:type="paragraph" w:customStyle="1" w:styleId="xl72">
    <w:name w:val="xl72"/>
    <w:basedOn w:val="a"/>
    <w:rsid w:val="00B656F6"/>
    <w:pPr>
      <w:widowControl/>
      <w:shd w:val="clear" w:color="000000" w:fill="CC3300"/>
      <w:spacing w:before="100" w:beforeAutospacing="1" w:after="100" w:afterAutospacing="1"/>
      <w:jc w:val="left"/>
      <w:textAlignment w:val="center"/>
    </w:pPr>
    <w:rPr>
      <w:rFonts w:ascii="Times New Roman" w:eastAsia="Times New Roman" w:hAnsi="Times New Roman" w:cs="Times New Roman"/>
      <w:kern w:val="0"/>
      <w:sz w:val="24"/>
      <w:szCs w:val="24"/>
    </w:rPr>
  </w:style>
  <w:style w:type="paragraph" w:customStyle="1" w:styleId="xl73">
    <w:name w:val="xl73"/>
    <w:basedOn w:val="a"/>
    <w:rsid w:val="00B656F6"/>
    <w:pPr>
      <w:widowControl/>
      <w:pBdr>
        <w:top w:val="single" w:sz="4" w:space="0" w:color="auto"/>
        <w:left w:val="single" w:sz="4" w:space="0" w:color="auto"/>
        <w:bottom w:val="single" w:sz="4" w:space="0" w:color="auto"/>
        <w:right w:val="single" w:sz="4" w:space="0" w:color="auto"/>
      </w:pBdr>
      <w:shd w:val="clear" w:color="000000" w:fill="9999FF"/>
      <w:spacing w:before="100" w:beforeAutospacing="1" w:after="100" w:afterAutospacing="1"/>
      <w:jc w:val="left"/>
      <w:textAlignment w:val="center"/>
    </w:pPr>
    <w:rPr>
      <w:rFonts w:ascii="Times New Roman" w:eastAsia="Times New Roman" w:hAnsi="Times New Roman" w:cs="Times New Roman"/>
      <w:kern w:val="0"/>
      <w:sz w:val="24"/>
      <w:szCs w:val="24"/>
    </w:rPr>
  </w:style>
  <w:style w:type="paragraph" w:customStyle="1" w:styleId="xl74">
    <w:name w:val="xl74"/>
    <w:basedOn w:val="a"/>
    <w:rsid w:val="00B656F6"/>
    <w:pPr>
      <w:widowControl/>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jc w:val="left"/>
      <w:textAlignment w:val="center"/>
    </w:pPr>
    <w:rPr>
      <w:rFonts w:ascii="Times New Roman" w:eastAsia="Times New Roman" w:hAnsi="Times New Roman" w:cs="Times New Roman"/>
      <w:kern w:val="0"/>
      <w:sz w:val="24"/>
      <w:szCs w:val="24"/>
    </w:rPr>
  </w:style>
  <w:style w:type="paragraph" w:customStyle="1" w:styleId="xl75">
    <w:name w:val="xl75"/>
    <w:basedOn w:val="a"/>
    <w:rsid w:val="00B656F6"/>
    <w:pPr>
      <w:widowControl/>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left"/>
      <w:textAlignment w:val="center"/>
    </w:pPr>
    <w:rPr>
      <w:rFonts w:ascii="Times New Roman" w:eastAsia="Times New Roman" w:hAnsi="Times New Roman" w:cs="Times New Roman"/>
      <w:kern w:val="0"/>
      <w:sz w:val="24"/>
      <w:szCs w:val="24"/>
    </w:rPr>
  </w:style>
  <w:style w:type="paragraph" w:customStyle="1" w:styleId="xl76">
    <w:name w:val="xl76"/>
    <w:basedOn w:val="a"/>
    <w:rsid w:val="00B656F6"/>
    <w:pPr>
      <w:widowControl/>
      <w:pBdr>
        <w:top w:val="single" w:sz="4" w:space="0" w:color="auto"/>
        <w:left w:val="single" w:sz="4" w:space="0" w:color="auto"/>
        <w:bottom w:val="single" w:sz="4" w:space="0" w:color="auto"/>
        <w:right w:val="single" w:sz="4" w:space="0" w:color="auto"/>
      </w:pBdr>
      <w:shd w:val="clear" w:color="000000" w:fill="FF6699"/>
      <w:spacing w:before="100" w:beforeAutospacing="1" w:after="100" w:afterAutospacing="1"/>
      <w:jc w:val="left"/>
      <w:textAlignment w:val="center"/>
    </w:pPr>
    <w:rPr>
      <w:rFonts w:ascii="Times New Roman" w:eastAsia="Times New Roman" w:hAnsi="Times New Roman" w:cs="Times New Roman"/>
      <w:kern w:val="0"/>
      <w:sz w:val="24"/>
      <w:szCs w:val="24"/>
    </w:rPr>
  </w:style>
  <w:style w:type="paragraph" w:customStyle="1" w:styleId="xl77">
    <w:name w:val="xl77"/>
    <w:basedOn w:val="a"/>
    <w:rsid w:val="00B656F6"/>
    <w:pPr>
      <w:widowControl/>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left"/>
      <w:textAlignment w:val="center"/>
    </w:pPr>
    <w:rPr>
      <w:rFonts w:ascii="Times New Roman" w:eastAsia="Times New Roman" w:hAnsi="Times New Roman" w:cs="Times New Roman"/>
      <w:kern w:val="0"/>
      <w:sz w:val="24"/>
      <w:szCs w:val="24"/>
    </w:rPr>
  </w:style>
  <w:style w:type="paragraph" w:customStyle="1" w:styleId="xl78">
    <w:name w:val="xl78"/>
    <w:basedOn w:val="a"/>
    <w:rsid w:val="00B656F6"/>
    <w:pPr>
      <w:widowControl/>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left"/>
      <w:textAlignment w:val="center"/>
    </w:pPr>
    <w:rPr>
      <w:rFonts w:ascii="Times New Roman" w:eastAsia="Times New Roman" w:hAnsi="Times New Roman" w:cs="Times New Roman"/>
      <w:kern w:val="0"/>
      <w:sz w:val="24"/>
      <w:szCs w:val="24"/>
    </w:rPr>
  </w:style>
  <w:style w:type="paragraph" w:customStyle="1" w:styleId="xl79">
    <w:name w:val="xl79"/>
    <w:basedOn w:val="a"/>
    <w:rsid w:val="00B656F6"/>
    <w:pPr>
      <w:widowControl/>
      <w:pBdr>
        <w:top w:val="single" w:sz="4" w:space="0" w:color="auto"/>
        <w:left w:val="single" w:sz="4" w:space="0" w:color="auto"/>
        <w:bottom w:val="single" w:sz="4" w:space="0" w:color="auto"/>
        <w:right w:val="single" w:sz="4" w:space="0" w:color="auto"/>
      </w:pBdr>
      <w:shd w:val="clear" w:color="000000" w:fill="CC3300"/>
      <w:spacing w:before="100" w:beforeAutospacing="1" w:after="100" w:afterAutospacing="1"/>
      <w:jc w:val="left"/>
      <w:textAlignment w:val="center"/>
    </w:pPr>
    <w:rPr>
      <w:rFonts w:ascii="Times New Roman" w:eastAsia="Times New Roman" w:hAnsi="Times New Roman" w:cs="Times New Roman"/>
      <w:kern w:val="0"/>
      <w:sz w:val="24"/>
      <w:szCs w:val="24"/>
    </w:rPr>
  </w:style>
  <w:style w:type="paragraph" w:customStyle="1" w:styleId="xl80">
    <w:name w:val="xl80"/>
    <w:basedOn w:val="a"/>
    <w:rsid w:val="00B656F6"/>
    <w:pPr>
      <w:widowControl/>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left"/>
      <w:textAlignment w:val="center"/>
    </w:pPr>
    <w:rPr>
      <w:rFonts w:ascii="Times New Roman" w:eastAsia="Times New Roman" w:hAnsi="Times New Roman" w:cs="Times New Roman"/>
      <w:kern w:val="0"/>
      <w:sz w:val="24"/>
      <w:szCs w:val="24"/>
    </w:rPr>
  </w:style>
  <w:style w:type="paragraph" w:customStyle="1" w:styleId="xl81">
    <w:name w:val="xl81"/>
    <w:basedOn w:val="a"/>
    <w:rsid w:val="00B656F6"/>
    <w:pPr>
      <w:widowControl/>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left"/>
      <w:textAlignment w:val="center"/>
    </w:pPr>
    <w:rPr>
      <w:rFonts w:ascii="Times New Roman" w:eastAsia="Times New Roman" w:hAnsi="Times New Roman" w:cs="Times New Roman"/>
      <w:kern w:val="0"/>
      <w:sz w:val="24"/>
      <w:szCs w:val="24"/>
    </w:rPr>
  </w:style>
  <w:style w:type="paragraph" w:customStyle="1" w:styleId="xl82">
    <w:name w:val="xl82"/>
    <w:basedOn w:val="a"/>
    <w:rsid w:val="00B656F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kern w:val="0"/>
      <w:sz w:val="24"/>
      <w:szCs w:val="24"/>
    </w:rPr>
  </w:style>
  <w:style w:type="character" w:styleId="af3">
    <w:name w:val="Emphasis"/>
    <w:basedOn w:val="a0"/>
    <w:uiPriority w:val="20"/>
    <w:qFormat/>
    <w:rsid w:val="00B656F6"/>
    <w:rPr>
      <w:i/>
      <w:iCs/>
    </w:rPr>
  </w:style>
  <w:style w:type="paragraph" w:styleId="af4">
    <w:name w:val="Revision"/>
    <w:hidden/>
    <w:uiPriority w:val="99"/>
    <w:semiHidden/>
    <w:rsid w:val="00B656F6"/>
    <w:rPr>
      <w:kern w:val="0"/>
      <w:sz w:val="22"/>
    </w:rPr>
  </w:style>
  <w:style w:type="paragraph" w:styleId="af5">
    <w:name w:val="footnote text"/>
    <w:basedOn w:val="a"/>
    <w:link w:val="af6"/>
    <w:uiPriority w:val="99"/>
    <w:semiHidden/>
    <w:unhideWhenUsed/>
    <w:rsid w:val="00B656F6"/>
    <w:pPr>
      <w:widowControl/>
      <w:snapToGrid w:val="0"/>
      <w:spacing w:after="160" w:line="259" w:lineRule="auto"/>
      <w:jc w:val="left"/>
    </w:pPr>
    <w:rPr>
      <w:kern w:val="0"/>
      <w:sz w:val="18"/>
      <w:szCs w:val="18"/>
    </w:rPr>
  </w:style>
  <w:style w:type="character" w:customStyle="1" w:styleId="af6">
    <w:name w:val="脚注文本 字符"/>
    <w:basedOn w:val="a0"/>
    <w:link w:val="af5"/>
    <w:uiPriority w:val="99"/>
    <w:semiHidden/>
    <w:rsid w:val="00B656F6"/>
    <w:rPr>
      <w:kern w:val="0"/>
      <w:sz w:val="18"/>
      <w:szCs w:val="18"/>
    </w:rPr>
  </w:style>
  <w:style w:type="character" w:styleId="af7">
    <w:name w:val="footnote reference"/>
    <w:basedOn w:val="a0"/>
    <w:uiPriority w:val="99"/>
    <w:semiHidden/>
    <w:unhideWhenUsed/>
    <w:rsid w:val="00B656F6"/>
    <w:rPr>
      <w:vertAlign w:val="superscript"/>
    </w:rPr>
  </w:style>
  <w:style w:type="paragraph" w:styleId="af8">
    <w:name w:val="Bibliography"/>
    <w:basedOn w:val="a"/>
    <w:next w:val="a"/>
    <w:uiPriority w:val="37"/>
    <w:unhideWhenUsed/>
    <w:rsid w:val="00B656F6"/>
    <w:pPr>
      <w:widowControl/>
      <w:spacing w:after="160" w:line="259" w:lineRule="auto"/>
      <w:jc w:val="left"/>
    </w:pPr>
    <w:rPr>
      <w:kern w:val="0"/>
      <w:sz w:val="22"/>
    </w:rPr>
  </w:style>
  <w:style w:type="paragraph" w:styleId="af9">
    <w:name w:val="Document Map"/>
    <w:basedOn w:val="a"/>
    <w:link w:val="afa"/>
    <w:uiPriority w:val="99"/>
    <w:semiHidden/>
    <w:unhideWhenUsed/>
    <w:rsid w:val="00B656F6"/>
    <w:pPr>
      <w:widowControl/>
      <w:jc w:val="left"/>
    </w:pPr>
    <w:rPr>
      <w:rFonts w:ascii="Times New Roman" w:hAnsi="Times New Roman" w:cs="Times New Roman"/>
      <w:kern w:val="0"/>
      <w:sz w:val="24"/>
      <w:szCs w:val="24"/>
    </w:rPr>
  </w:style>
  <w:style w:type="character" w:customStyle="1" w:styleId="afa">
    <w:name w:val="文档结构图 字符"/>
    <w:basedOn w:val="a0"/>
    <w:link w:val="af9"/>
    <w:uiPriority w:val="99"/>
    <w:semiHidden/>
    <w:rsid w:val="00B656F6"/>
    <w:rPr>
      <w:rFonts w:ascii="Times New Roman" w:hAnsi="Times New Roman" w:cs="Times New Roman"/>
      <w:kern w:val="0"/>
      <w:sz w:val="24"/>
      <w:szCs w:val="24"/>
    </w:rPr>
  </w:style>
  <w:style w:type="character" w:customStyle="1" w:styleId="st">
    <w:name w:val="st"/>
    <w:basedOn w:val="a0"/>
    <w:rsid w:val="00B656F6"/>
  </w:style>
  <w:style w:type="character" w:customStyle="1" w:styleId="apple-converted-space">
    <w:name w:val="apple-converted-space"/>
    <w:basedOn w:val="a0"/>
    <w:rsid w:val="00B656F6"/>
  </w:style>
  <w:style w:type="character" w:styleId="afb">
    <w:name w:val="line number"/>
    <w:basedOn w:val="a0"/>
    <w:uiPriority w:val="99"/>
    <w:semiHidden/>
    <w:unhideWhenUsed/>
    <w:rsid w:val="00B656F6"/>
  </w:style>
  <w:style w:type="character" w:customStyle="1" w:styleId="background-color00ff00">
    <w:name w:val="background-color:#00ff00"/>
    <w:basedOn w:val="a0"/>
    <w:rsid w:val="00B656F6"/>
  </w:style>
  <w:style w:type="character" w:customStyle="1" w:styleId="color000000">
    <w:name w:val="color:#000000"/>
    <w:basedOn w:val="a0"/>
    <w:rsid w:val="00B656F6"/>
  </w:style>
  <w:style w:type="character" w:customStyle="1" w:styleId="background-colorffff00">
    <w:name w:val="background-color:#ffff00"/>
    <w:basedOn w:val="a0"/>
    <w:rsid w:val="00B656F6"/>
  </w:style>
  <w:style w:type="character" w:customStyle="1" w:styleId="background-colorffffff">
    <w:name w:val="background-color:#ffffff"/>
    <w:basedOn w:val="a0"/>
    <w:rsid w:val="00B656F6"/>
  </w:style>
  <w:style w:type="character" w:customStyle="1" w:styleId="font-familyarial">
    <w:name w:val="font-family:arial"/>
    <w:basedOn w:val="a0"/>
    <w:rsid w:val="00B656F6"/>
  </w:style>
  <w:style w:type="character" w:customStyle="1" w:styleId="author-p-144115211863248821">
    <w:name w:val="author-p-144115211863248821"/>
    <w:basedOn w:val="a0"/>
    <w:rsid w:val="00B656F6"/>
  </w:style>
  <w:style w:type="character" w:customStyle="1" w:styleId="UnresolvedMention1">
    <w:name w:val="Unresolved Mention1"/>
    <w:basedOn w:val="a0"/>
    <w:uiPriority w:val="99"/>
    <w:semiHidden/>
    <w:unhideWhenUsed/>
    <w:rsid w:val="00B656F6"/>
    <w:rPr>
      <w:color w:val="605E5C"/>
      <w:shd w:val="clear" w:color="auto" w:fill="E1DFDD"/>
    </w:rPr>
  </w:style>
  <w:style w:type="paragraph" w:styleId="afc">
    <w:name w:val="Plain Text"/>
    <w:basedOn w:val="a"/>
    <w:link w:val="afd"/>
    <w:uiPriority w:val="99"/>
    <w:unhideWhenUsed/>
    <w:rsid w:val="00B656F6"/>
    <w:pPr>
      <w:widowControl/>
      <w:jc w:val="left"/>
    </w:pPr>
    <w:rPr>
      <w:rFonts w:ascii="Calibri" w:hAnsi="Calibri"/>
      <w:kern w:val="0"/>
      <w:sz w:val="22"/>
      <w:szCs w:val="21"/>
    </w:rPr>
  </w:style>
  <w:style w:type="character" w:customStyle="1" w:styleId="afd">
    <w:name w:val="纯文本 字符"/>
    <w:basedOn w:val="a0"/>
    <w:link w:val="afc"/>
    <w:uiPriority w:val="99"/>
    <w:rsid w:val="00B656F6"/>
    <w:rPr>
      <w:rFonts w:ascii="Calibri" w:hAnsi="Calibri"/>
      <w:kern w:val="0"/>
      <w:sz w:val="22"/>
      <w:szCs w:val="21"/>
    </w:rPr>
  </w:style>
  <w:style w:type="character" w:styleId="afe">
    <w:name w:val="Unresolved Mention"/>
    <w:basedOn w:val="a0"/>
    <w:uiPriority w:val="99"/>
    <w:semiHidden/>
    <w:unhideWhenUsed/>
    <w:rsid w:val="00B656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wpro.who.int/china/mediacentre/releases/2016/20160727-china-world-hepatitis-day/en/" TargetMode="External"/><Relationship Id="rId18" Type="http://schemas.openxmlformats.org/officeDocument/2006/relationships/hyperlink" Target="http://zhjkglxzz.yiigle.com/CN115624201602/890850.htm" TargetMode="External"/><Relationship Id="rId3" Type="http://schemas.openxmlformats.org/officeDocument/2006/relationships/settings" Target="settings.xml"/><Relationship Id="rId21" Type="http://schemas.openxmlformats.org/officeDocument/2006/relationships/hyperlink" Target="https://www.un.org/en/development/desa/population/publications/pdf/ageing/WPA2017_Highlights.pdf" TargetMode="External"/><Relationship Id="rId7" Type="http://schemas.openxmlformats.org/officeDocument/2006/relationships/hyperlink" Target="mailto:shenglan.tang@duke.edu" TargetMode="External"/><Relationship Id="rId12" Type="http://schemas.openxmlformats.org/officeDocument/2006/relationships/hyperlink" Target="https://openknowledge.worldbank.org/handle/10986/29788" TargetMode="External"/><Relationship Id="rId17" Type="http://schemas.openxmlformats.org/officeDocument/2006/relationships/hyperlink" Target="http://www.gov.cn/zhengce/2016-10/25/content_5124174.htm" TargetMode="External"/><Relationship Id="rId2" Type="http://schemas.openxmlformats.org/officeDocument/2006/relationships/styles" Target="styles.xml"/><Relationship Id="rId16" Type="http://schemas.openxmlformats.org/officeDocument/2006/relationships/hyperlink" Target="https://openknowledge.worldbank.org/handle/10986/24720" TargetMode="External"/><Relationship Id="rId20" Type="http://schemas.openxmlformats.org/officeDocument/2006/relationships/hyperlink" Target="http://apps.who.int/iris/handle/10665/259366?locale-attribute=fr&am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ho.int/gho/publications/world_health_statistics/2018/e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healthdata.org/infographic/global-burden-air-pollution" TargetMode="External"/><Relationship Id="rId23" Type="http://schemas.openxmlformats.org/officeDocument/2006/relationships/fontTable" Target="fontTable.xml"/><Relationship Id="rId10" Type="http://schemas.openxmlformats.org/officeDocument/2006/relationships/hyperlink" Target="https://www.who.int/gho/publications/world_health_statistics/2015/en/" TargetMode="External"/><Relationship Id="rId19" Type="http://schemas.openxmlformats.org/officeDocument/2006/relationships/hyperlink" Target="https://www.who.int/hepatitis/publications/hep-elimination-by-2030-brief/en/" TargetMode="External"/><Relationship Id="rId4" Type="http://schemas.openxmlformats.org/officeDocument/2006/relationships/webSettings" Target="webSettings.xml"/><Relationship Id="rId9" Type="http://schemas.openxmlformats.org/officeDocument/2006/relationships/hyperlink" Target="http://www.cn.undp.org/content/china/en/home/library/mdg/mdgs-report-2015-.html" TargetMode="External"/><Relationship Id="rId14" Type="http://schemas.openxmlformats.org/officeDocument/2006/relationships/hyperlink" Target="http://www.wpro.who.int/china/mediacentre/factsheets/tobacco/en/" TargetMode="External"/><Relationship Id="rId22" Type="http://schemas.openxmlformats.org/officeDocument/2006/relationships/hyperlink" Target="https://globalizationandhealth.biomedcentral.com/articles/10.1186/s12992-015-0098-8"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32</Pages>
  <Words>18726</Words>
  <Characters>106742</Characters>
  <Application>Microsoft Office Word</Application>
  <DocSecurity>0</DocSecurity>
  <Lines>889</Lines>
  <Paragraphs>250</Paragraphs>
  <ScaleCrop>false</ScaleCrop>
  <Company/>
  <LinksUpToDate>false</LinksUpToDate>
  <CharactersWithSpaces>125218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Guo Lei</dc:creator>
  <cp:keywords/>
  <dc:description/>
  <cp:lastModifiedBy>Guo Lei</cp:lastModifiedBy>
  <cp:revision>2</cp:revision>
  <dcterms:created xsi:type="dcterms:W3CDTF">2019-12-18T13:49:00Z</dcterms:created>
  <dcterms:modified xsi:type="dcterms:W3CDTF">2019-12-18T13:53:00Z</dcterms:modified>
</cp:coreProperties>
</file>