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8FF1" w14:textId="77777777" w:rsidR="001D08AA" w:rsidRPr="00D84107" w:rsidRDefault="00B01A2D" w:rsidP="008F1189">
      <w:pPr>
        <w:spacing w:after="0" w:line="240" w:lineRule="auto"/>
        <w:contextualSpacing/>
        <w:jc w:val="both"/>
        <w:rPr>
          <w:rFonts w:ascii="Calibri" w:hAnsi="Calibri"/>
          <w:b/>
          <w:sz w:val="24"/>
          <w:szCs w:val="24"/>
        </w:rPr>
      </w:pPr>
      <w:bookmarkStart w:id="0" w:name="_Hlk513627310"/>
      <w:bookmarkStart w:id="1" w:name="_GoBack"/>
      <w:bookmarkEnd w:id="1"/>
      <w:r w:rsidRPr="00D84107">
        <w:rPr>
          <w:rFonts w:ascii="Calibri" w:hAnsi="Calibri"/>
          <w:b/>
          <w:sz w:val="24"/>
          <w:szCs w:val="24"/>
        </w:rPr>
        <w:t>Title</w:t>
      </w:r>
    </w:p>
    <w:p w14:paraId="22D9F225" w14:textId="35BA7E5A" w:rsidR="00B01A2D" w:rsidRPr="008D3E47" w:rsidRDefault="00B01A2D" w:rsidP="008F1189">
      <w:pPr>
        <w:spacing w:after="0" w:line="240" w:lineRule="auto"/>
        <w:contextualSpacing/>
        <w:jc w:val="both"/>
        <w:rPr>
          <w:rFonts w:ascii="Calibri" w:hAnsi="Calibri"/>
          <w:b/>
          <w:sz w:val="28"/>
          <w:szCs w:val="28"/>
        </w:rPr>
      </w:pPr>
      <w:r w:rsidRPr="008C7163">
        <w:rPr>
          <w:rFonts w:ascii="Calibri" w:hAnsi="Calibri"/>
          <w:b/>
          <w:sz w:val="28"/>
          <w:szCs w:val="28"/>
        </w:rPr>
        <w:t>Efficiency</w:t>
      </w:r>
      <w:r>
        <w:rPr>
          <w:rFonts w:ascii="Calibri" w:hAnsi="Calibri"/>
          <w:b/>
          <w:sz w:val="28"/>
          <w:szCs w:val="28"/>
        </w:rPr>
        <w:t xml:space="preserve"> Evaluation </w:t>
      </w:r>
      <w:r w:rsidRPr="008C7163">
        <w:rPr>
          <w:rFonts w:ascii="Calibri" w:hAnsi="Calibri"/>
          <w:b/>
          <w:sz w:val="28"/>
          <w:szCs w:val="28"/>
        </w:rPr>
        <w:t>of Public Hospitals in Saudi Arabia</w:t>
      </w:r>
      <w:r>
        <w:rPr>
          <w:rFonts w:ascii="Calibri" w:hAnsi="Calibri"/>
          <w:b/>
          <w:sz w:val="28"/>
          <w:szCs w:val="28"/>
        </w:rPr>
        <w:t xml:space="preserve">: An Application of </w:t>
      </w:r>
      <w:r w:rsidRPr="008C7163">
        <w:rPr>
          <w:rFonts w:ascii="Calibri" w:hAnsi="Calibri"/>
          <w:b/>
          <w:sz w:val="28"/>
          <w:szCs w:val="28"/>
        </w:rPr>
        <w:t>Data Envelopment Analysis</w:t>
      </w:r>
    </w:p>
    <w:p w14:paraId="519DD605" w14:textId="77777777" w:rsidR="00A87C6A" w:rsidRDefault="00A87C6A" w:rsidP="008F1189">
      <w:pPr>
        <w:spacing w:after="0" w:line="240" w:lineRule="auto"/>
        <w:jc w:val="both"/>
        <w:rPr>
          <w:rFonts w:eastAsia="MS Mincho" w:cs="Times New Roman"/>
          <w:b/>
          <w:sz w:val="24"/>
          <w:szCs w:val="24"/>
          <w:lang w:val="en-US"/>
        </w:rPr>
      </w:pPr>
    </w:p>
    <w:p w14:paraId="1E2B3DF9" w14:textId="4C1E6703" w:rsidR="00B01A2D" w:rsidRPr="00655CF1" w:rsidRDefault="00B01A2D" w:rsidP="008F1189">
      <w:pPr>
        <w:spacing w:after="0" w:line="240" w:lineRule="auto"/>
        <w:jc w:val="both"/>
        <w:rPr>
          <w:rFonts w:eastAsia="MS Mincho" w:cs="Times New Roman"/>
          <w:sz w:val="24"/>
          <w:szCs w:val="24"/>
          <w:lang w:val="en-US"/>
        </w:rPr>
      </w:pPr>
      <w:r w:rsidRPr="00170A48">
        <w:rPr>
          <w:rFonts w:eastAsia="MS Mincho" w:cs="Times New Roman"/>
          <w:b/>
          <w:sz w:val="24"/>
          <w:szCs w:val="24"/>
          <w:lang w:val="en-US"/>
        </w:rPr>
        <w:t>Authors</w:t>
      </w:r>
      <w:r w:rsidRPr="00170A48">
        <w:rPr>
          <w:rFonts w:eastAsia="MS Mincho" w:cs="Times New Roman"/>
          <w:sz w:val="24"/>
          <w:szCs w:val="24"/>
          <w:lang w:val="en-US"/>
        </w:rPr>
        <w:t>:</w:t>
      </w:r>
      <w:r>
        <w:rPr>
          <w:rFonts w:eastAsia="MS Mincho" w:cs="Times New Roman"/>
          <w:sz w:val="24"/>
          <w:szCs w:val="24"/>
          <w:lang w:val="en-US"/>
        </w:rPr>
        <w:t xml:space="preserve"> Ahmed </w:t>
      </w:r>
      <w:r w:rsidR="00CB3088">
        <w:rPr>
          <w:rFonts w:eastAsia="MS Mincho" w:cs="Times New Roman"/>
          <w:sz w:val="24"/>
          <w:szCs w:val="24"/>
          <w:lang w:val="en-US"/>
        </w:rPr>
        <w:t xml:space="preserve">D </w:t>
      </w:r>
      <w:r>
        <w:rPr>
          <w:rFonts w:eastAsia="MS Mincho" w:cs="Times New Roman"/>
          <w:sz w:val="24"/>
          <w:szCs w:val="24"/>
          <w:lang w:val="en-US"/>
        </w:rPr>
        <w:t>Alatawi</w:t>
      </w:r>
      <w:r w:rsidRPr="00655CF1">
        <w:rPr>
          <w:rFonts w:eastAsia="MS Mincho" w:cs="Times New Roman"/>
          <w:sz w:val="24"/>
          <w:szCs w:val="24"/>
          <w:vertAlign w:val="superscript"/>
          <w:lang w:val="en-US"/>
        </w:rPr>
        <w:t>*</w:t>
      </w:r>
      <w:r>
        <w:rPr>
          <w:rFonts w:eastAsia="MS Mincho" w:cs="Times New Roman"/>
          <w:sz w:val="24"/>
          <w:szCs w:val="24"/>
          <w:vertAlign w:val="superscript"/>
          <w:lang w:val="en-US"/>
        </w:rPr>
        <w:t>,</w:t>
      </w:r>
      <w:r w:rsidR="0033741A">
        <w:rPr>
          <w:rFonts w:eastAsia="MS Mincho" w:cs="Times New Roman"/>
          <w:sz w:val="24"/>
          <w:szCs w:val="24"/>
          <w:vertAlign w:val="superscript"/>
          <w:lang w:val="en-US"/>
        </w:rPr>
        <w:t xml:space="preserve"> </w:t>
      </w:r>
      <w:proofErr w:type="spellStart"/>
      <w:proofErr w:type="gramStart"/>
      <w:r>
        <w:rPr>
          <w:rFonts w:eastAsia="MS Mincho" w:cs="Times New Roman"/>
          <w:sz w:val="24"/>
          <w:szCs w:val="24"/>
          <w:vertAlign w:val="superscript"/>
          <w:lang w:val="en-US"/>
        </w:rPr>
        <w:t>a</w:t>
      </w:r>
      <w:r w:rsidR="006842DA">
        <w:rPr>
          <w:rFonts w:eastAsia="MS Mincho" w:cs="Times New Roman"/>
          <w:sz w:val="24"/>
          <w:szCs w:val="24"/>
          <w:vertAlign w:val="superscript"/>
          <w:lang w:val="en-US"/>
        </w:rPr>
        <w:t>,b</w:t>
      </w:r>
      <w:proofErr w:type="spellEnd"/>
      <w:proofErr w:type="gramEnd"/>
      <w:r w:rsidRPr="00655CF1">
        <w:rPr>
          <w:rFonts w:eastAsia="MS Mincho" w:cs="Times New Roman"/>
          <w:sz w:val="24"/>
          <w:szCs w:val="24"/>
          <w:lang w:val="en-US"/>
        </w:rPr>
        <w:t xml:space="preserve">, Louis </w:t>
      </w:r>
      <w:r w:rsidR="00CB3088">
        <w:rPr>
          <w:rFonts w:eastAsia="MS Mincho" w:cs="Times New Roman"/>
          <w:sz w:val="24"/>
          <w:szCs w:val="24"/>
          <w:lang w:val="en-US"/>
        </w:rPr>
        <w:t xml:space="preserve">W </w:t>
      </w:r>
      <w:r w:rsidRPr="00655CF1">
        <w:rPr>
          <w:rFonts w:eastAsia="MS Mincho" w:cs="Times New Roman"/>
          <w:sz w:val="24"/>
          <w:szCs w:val="24"/>
          <w:lang w:val="en-US"/>
        </w:rPr>
        <w:t>Niessen</w:t>
      </w:r>
      <w:r w:rsidR="0033741A">
        <w:rPr>
          <w:rFonts w:eastAsia="MS Mincho" w:cs="Times New Roman"/>
          <w:sz w:val="24"/>
          <w:szCs w:val="24"/>
          <w:lang w:val="en-US"/>
        </w:rPr>
        <w:t xml:space="preserve"> </w:t>
      </w:r>
      <w:proofErr w:type="spellStart"/>
      <w:r w:rsidR="00175E2B">
        <w:rPr>
          <w:rFonts w:eastAsia="MS Mincho" w:cs="Times New Roman"/>
          <w:sz w:val="24"/>
          <w:szCs w:val="24"/>
          <w:vertAlign w:val="superscript"/>
          <w:lang w:val="en-US"/>
        </w:rPr>
        <w:t>c</w:t>
      </w:r>
      <w:r w:rsidRPr="00655CF1">
        <w:rPr>
          <w:rFonts w:eastAsia="MS Mincho" w:cs="Times New Roman"/>
          <w:sz w:val="24"/>
          <w:szCs w:val="24"/>
          <w:vertAlign w:val="superscript"/>
          <w:lang w:val="en-US"/>
        </w:rPr>
        <w:t>,</w:t>
      </w:r>
      <w:r w:rsidR="00175E2B">
        <w:rPr>
          <w:rFonts w:eastAsia="MS Mincho" w:cs="Times New Roman"/>
          <w:sz w:val="24"/>
          <w:szCs w:val="24"/>
          <w:vertAlign w:val="superscript"/>
          <w:lang w:val="en-US"/>
        </w:rPr>
        <w:t>d</w:t>
      </w:r>
      <w:proofErr w:type="spellEnd"/>
      <w:r w:rsidRPr="00655CF1">
        <w:rPr>
          <w:rFonts w:eastAsia="MS Mincho" w:cs="Times New Roman"/>
          <w:sz w:val="24"/>
          <w:szCs w:val="24"/>
          <w:lang w:val="en-US"/>
        </w:rPr>
        <w:t>,</w:t>
      </w:r>
      <w:r w:rsidRPr="00655CF1">
        <w:rPr>
          <w:rFonts w:eastAsia="MS Mincho" w:cs="Times New Roman"/>
          <w:sz w:val="24"/>
          <w:szCs w:val="24"/>
          <w:vertAlign w:val="superscript"/>
          <w:lang w:val="en-US"/>
        </w:rPr>
        <w:t xml:space="preserve"> </w:t>
      </w:r>
      <w:r w:rsidRPr="00655CF1">
        <w:rPr>
          <w:rFonts w:eastAsia="MS Mincho" w:cs="Times New Roman"/>
          <w:sz w:val="24"/>
          <w:szCs w:val="24"/>
          <w:lang w:val="en-US"/>
        </w:rPr>
        <w:t xml:space="preserve">Jahangir </w:t>
      </w:r>
      <w:r w:rsidR="005E2EE0">
        <w:rPr>
          <w:rFonts w:eastAsia="MS Mincho" w:cs="Times New Roman"/>
          <w:sz w:val="24"/>
          <w:szCs w:val="24"/>
          <w:lang w:val="en-US"/>
        </w:rPr>
        <w:t xml:space="preserve">A. M. </w:t>
      </w:r>
      <w:r w:rsidRPr="00655CF1">
        <w:rPr>
          <w:rFonts w:eastAsia="MS Mincho" w:cs="Times New Roman"/>
          <w:sz w:val="24"/>
          <w:szCs w:val="24"/>
          <w:lang w:val="en-US"/>
        </w:rPr>
        <w:t>Khan</w:t>
      </w:r>
      <w:r w:rsidR="0033741A">
        <w:rPr>
          <w:rFonts w:eastAsia="MS Mincho" w:cs="Times New Roman"/>
          <w:sz w:val="24"/>
          <w:szCs w:val="24"/>
          <w:lang w:val="en-US"/>
        </w:rPr>
        <w:t xml:space="preserve"> </w:t>
      </w:r>
      <w:proofErr w:type="spellStart"/>
      <w:r w:rsidR="00175E2B">
        <w:rPr>
          <w:rFonts w:eastAsia="MS Mincho" w:cs="Times New Roman"/>
          <w:sz w:val="24"/>
          <w:szCs w:val="24"/>
          <w:vertAlign w:val="superscript"/>
          <w:lang w:val="en-US"/>
        </w:rPr>
        <w:t>c</w:t>
      </w:r>
      <w:r w:rsidRPr="00655CF1">
        <w:rPr>
          <w:rFonts w:eastAsia="MS Mincho" w:cs="Times New Roman"/>
          <w:sz w:val="24"/>
          <w:szCs w:val="24"/>
          <w:vertAlign w:val="superscript"/>
          <w:lang w:val="en-US"/>
        </w:rPr>
        <w:t>,</w:t>
      </w:r>
      <w:r w:rsidR="00175E2B">
        <w:rPr>
          <w:rFonts w:eastAsia="MS Mincho" w:cs="Times New Roman"/>
          <w:sz w:val="24"/>
          <w:szCs w:val="24"/>
          <w:vertAlign w:val="superscript"/>
          <w:lang w:val="en-US"/>
        </w:rPr>
        <w:t>e</w:t>
      </w:r>
      <w:proofErr w:type="spellEnd"/>
    </w:p>
    <w:p w14:paraId="7BF54CB3" w14:textId="77777777" w:rsidR="00B01A2D" w:rsidRPr="00655CF1" w:rsidRDefault="00B01A2D" w:rsidP="008F1189">
      <w:pPr>
        <w:spacing w:after="0" w:line="240" w:lineRule="auto"/>
        <w:jc w:val="both"/>
        <w:rPr>
          <w:rFonts w:eastAsia="MS Mincho" w:cs="Times New Roman"/>
          <w:sz w:val="24"/>
          <w:szCs w:val="24"/>
          <w:lang w:val="en-US"/>
        </w:rPr>
      </w:pPr>
    </w:p>
    <w:p w14:paraId="38B3645C" w14:textId="77777777" w:rsidR="006842DA" w:rsidRDefault="00B01A2D" w:rsidP="008F1189">
      <w:pPr>
        <w:spacing w:after="0" w:line="240" w:lineRule="auto"/>
        <w:jc w:val="both"/>
        <w:rPr>
          <w:rFonts w:eastAsia="MS Mincho" w:cs="Times New Roman"/>
          <w:b/>
          <w:sz w:val="24"/>
          <w:szCs w:val="24"/>
          <w:lang w:val="en-US"/>
        </w:rPr>
      </w:pPr>
      <w:r w:rsidRPr="00170A48">
        <w:rPr>
          <w:rFonts w:eastAsia="MS Mincho" w:cs="Times New Roman"/>
          <w:b/>
          <w:sz w:val="24"/>
          <w:szCs w:val="24"/>
          <w:lang w:val="en-US"/>
        </w:rPr>
        <w:t>Affiliation</w:t>
      </w:r>
      <w:r>
        <w:rPr>
          <w:rFonts w:eastAsia="MS Mincho" w:cs="Times New Roman"/>
          <w:b/>
          <w:sz w:val="24"/>
          <w:szCs w:val="24"/>
          <w:lang w:val="en-US"/>
        </w:rPr>
        <w:t>s</w:t>
      </w:r>
      <w:r w:rsidRPr="00170A48">
        <w:rPr>
          <w:rFonts w:eastAsia="MS Mincho" w:cs="Times New Roman"/>
          <w:b/>
          <w:sz w:val="24"/>
          <w:szCs w:val="24"/>
          <w:lang w:val="en-US"/>
        </w:rPr>
        <w:t>:</w:t>
      </w:r>
      <w:r>
        <w:rPr>
          <w:rFonts w:eastAsia="MS Mincho" w:cs="Times New Roman"/>
          <w:b/>
          <w:sz w:val="24"/>
          <w:szCs w:val="24"/>
          <w:lang w:val="en-US"/>
        </w:rPr>
        <w:t xml:space="preserve"> </w:t>
      </w:r>
    </w:p>
    <w:p w14:paraId="2BDE0C7F" w14:textId="6AB816E2" w:rsidR="001D3E3B" w:rsidRDefault="00B01A2D" w:rsidP="008F1189">
      <w:pPr>
        <w:spacing w:after="0" w:line="240" w:lineRule="auto"/>
        <w:ind w:left="142" w:hanging="142"/>
        <w:jc w:val="both"/>
        <w:rPr>
          <w:rFonts w:eastAsia="MS Mincho" w:cs="Times New Roman"/>
          <w:sz w:val="24"/>
          <w:szCs w:val="24"/>
          <w:lang w:val="en-US"/>
        </w:rPr>
      </w:pPr>
      <w:r w:rsidRPr="00655CF1">
        <w:rPr>
          <w:rFonts w:eastAsia="MS Mincho" w:cs="Times New Roman"/>
          <w:sz w:val="24"/>
          <w:szCs w:val="24"/>
          <w:vertAlign w:val="superscript"/>
          <w:lang w:val="en-US"/>
        </w:rPr>
        <w:t>a</w:t>
      </w:r>
      <w:r w:rsidRPr="00655CF1">
        <w:rPr>
          <w:rFonts w:eastAsia="MS Mincho" w:cs="Times New Roman"/>
          <w:sz w:val="24"/>
          <w:szCs w:val="24"/>
          <w:lang w:val="en-US"/>
        </w:rPr>
        <w:t xml:space="preserve"> </w:t>
      </w:r>
      <w:bookmarkStart w:id="2" w:name="_Hlk513488000"/>
      <w:r w:rsidRPr="00655CF1">
        <w:rPr>
          <w:rFonts w:eastAsia="MS Mincho" w:cs="Times New Roman"/>
          <w:sz w:val="24"/>
          <w:szCs w:val="24"/>
          <w:lang w:val="en-US"/>
        </w:rPr>
        <w:t xml:space="preserve">Liverpool School of Tropical Medicine, </w:t>
      </w:r>
      <w:r w:rsidR="001D3E3B">
        <w:rPr>
          <w:rFonts w:eastAsia="MS Mincho" w:cs="Times New Roman"/>
          <w:sz w:val="24"/>
          <w:szCs w:val="24"/>
          <w:lang w:val="en-US"/>
        </w:rPr>
        <w:t>D</w:t>
      </w:r>
      <w:r w:rsidRPr="00655CF1">
        <w:rPr>
          <w:rFonts w:eastAsia="MS Mincho" w:cs="Times New Roman"/>
          <w:sz w:val="24"/>
          <w:szCs w:val="24"/>
          <w:lang w:val="en-US"/>
        </w:rPr>
        <w:t xml:space="preserve">epartment of </w:t>
      </w:r>
      <w:r w:rsidR="001D3E3B">
        <w:rPr>
          <w:rFonts w:eastAsia="MS Mincho" w:cs="Times New Roman"/>
          <w:sz w:val="24"/>
          <w:szCs w:val="24"/>
          <w:lang w:val="en-US"/>
        </w:rPr>
        <w:t>C</w:t>
      </w:r>
      <w:r w:rsidRPr="00655CF1">
        <w:rPr>
          <w:rFonts w:eastAsia="MS Mincho" w:cs="Times New Roman"/>
          <w:sz w:val="24"/>
          <w:szCs w:val="24"/>
          <w:lang w:val="en-US"/>
        </w:rPr>
        <w:t xml:space="preserve">linical </w:t>
      </w:r>
      <w:bookmarkStart w:id="3" w:name="_Hlk513487701"/>
      <w:r w:rsidR="001D3E3B">
        <w:rPr>
          <w:rFonts w:eastAsia="MS Mincho" w:cs="Times New Roman"/>
          <w:sz w:val="24"/>
          <w:szCs w:val="24"/>
          <w:lang w:val="en-US"/>
        </w:rPr>
        <w:t>S</w:t>
      </w:r>
      <w:r w:rsidRPr="00655CF1">
        <w:rPr>
          <w:rFonts w:eastAsia="MS Mincho" w:cs="Times New Roman"/>
          <w:sz w:val="24"/>
          <w:szCs w:val="24"/>
          <w:lang w:val="en-US"/>
        </w:rPr>
        <w:t>ciences,</w:t>
      </w:r>
      <w:r>
        <w:rPr>
          <w:rFonts w:eastAsia="MS Mincho" w:cs="Times New Roman"/>
          <w:sz w:val="24"/>
          <w:szCs w:val="24"/>
          <w:lang w:val="en-US"/>
        </w:rPr>
        <w:t xml:space="preserve"> </w:t>
      </w:r>
      <w:r w:rsidRPr="00655CF1">
        <w:rPr>
          <w:rFonts w:eastAsia="MS Mincho" w:cs="Times New Roman"/>
          <w:sz w:val="24"/>
          <w:szCs w:val="24"/>
          <w:lang w:val="en-US"/>
        </w:rPr>
        <w:t>Liverpool, United Kingdom</w:t>
      </w:r>
      <w:bookmarkEnd w:id="3"/>
      <w:r w:rsidRPr="00655CF1">
        <w:rPr>
          <w:rFonts w:eastAsia="MS Mincho" w:cs="Times New Roman"/>
          <w:sz w:val="24"/>
          <w:szCs w:val="24"/>
          <w:lang w:val="en-US"/>
        </w:rPr>
        <w:t>.</w:t>
      </w:r>
    </w:p>
    <w:p w14:paraId="37C173B2" w14:textId="02FB2EF4" w:rsidR="00C265CB" w:rsidRDefault="00C265CB" w:rsidP="008F1189">
      <w:pPr>
        <w:spacing w:after="0" w:line="240" w:lineRule="auto"/>
        <w:ind w:left="142" w:hanging="142"/>
        <w:jc w:val="both"/>
        <w:rPr>
          <w:rFonts w:eastAsia="MS Mincho" w:cs="Times New Roman"/>
          <w:bCs/>
          <w:sz w:val="24"/>
          <w:szCs w:val="24"/>
          <w:lang w:val="en-US"/>
        </w:rPr>
      </w:pPr>
      <w:proofErr w:type="gramStart"/>
      <w:r w:rsidRPr="00584E5A">
        <w:rPr>
          <w:rFonts w:eastAsia="MS Mincho" w:cs="Times New Roman"/>
          <w:bCs/>
          <w:sz w:val="24"/>
          <w:szCs w:val="24"/>
          <w:vertAlign w:val="superscript"/>
          <w:lang w:val="en-US"/>
        </w:rPr>
        <w:t>b</w:t>
      </w:r>
      <w:r w:rsidR="0033741A">
        <w:rPr>
          <w:rFonts w:eastAsia="MS Mincho" w:cs="Times New Roman"/>
          <w:bCs/>
          <w:sz w:val="24"/>
          <w:szCs w:val="24"/>
          <w:vertAlign w:val="superscript"/>
          <w:lang w:val="en-US"/>
        </w:rPr>
        <w:t xml:space="preserve"> </w:t>
      </w:r>
      <w:r w:rsidRPr="00584E5A">
        <w:rPr>
          <w:rFonts w:eastAsia="MS Mincho" w:cs="Times New Roman"/>
          <w:bCs/>
          <w:sz w:val="24"/>
          <w:szCs w:val="24"/>
          <w:vertAlign w:val="superscript"/>
          <w:lang w:val="en-US"/>
        </w:rPr>
        <w:t xml:space="preserve"> </w:t>
      </w:r>
      <w:r w:rsidRPr="00584E5A">
        <w:rPr>
          <w:rFonts w:eastAsia="MS Mincho" w:cs="Times New Roman"/>
          <w:bCs/>
          <w:sz w:val="24"/>
          <w:szCs w:val="24"/>
          <w:lang w:val="en-US"/>
        </w:rPr>
        <w:t>University</w:t>
      </w:r>
      <w:proofErr w:type="gramEnd"/>
      <w:r w:rsidRPr="00584E5A">
        <w:rPr>
          <w:rFonts w:eastAsia="MS Mincho" w:cs="Times New Roman"/>
          <w:bCs/>
          <w:sz w:val="24"/>
          <w:szCs w:val="24"/>
          <w:lang w:val="en-US"/>
        </w:rPr>
        <w:t xml:space="preserve"> of Al-</w:t>
      </w:r>
      <w:proofErr w:type="spellStart"/>
      <w:r w:rsidRPr="00584E5A">
        <w:rPr>
          <w:rFonts w:eastAsia="MS Mincho" w:cs="Times New Roman"/>
          <w:bCs/>
          <w:sz w:val="24"/>
          <w:szCs w:val="24"/>
          <w:lang w:val="en-US"/>
        </w:rPr>
        <w:t>Jouf</w:t>
      </w:r>
      <w:proofErr w:type="spellEnd"/>
      <w:r w:rsidRPr="00584E5A">
        <w:rPr>
          <w:rFonts w:eastAsia="MS Mincho" w:cs="Times New Roman"/>
          <w:bCs/>
          <w:sz w:val="24"/>
          <w:szCs w:val="24"/>
          <w:lang w:val="en-US"/>
        </w:rPr>
        <w:t>,</w:t>
      </w:r>
      <w:r w:rsidRPr="00584E5A">
        <w:rPr>
          <w:rFonts w:eastAsia="MS Mincho" w:cs="Times New Roman"/>
          <w:bCs/>
          <w:sz w:val="24"/>
          <w:szCs w:val="24"/>
          <w:vertAlign w:val="superscript"/>
          <w:lang w:val="en-US"/>
        </w:rPr>
        <w:t xml:space="preserve"> </w:t>
      </w:r>
      <w:r w:rsidRPr="00584E5A">
        <w:rPr>
          <w:rFonts w:eastAsia="MS Mincho" w:cs="Times New Roman"/>
          <w:bCs/>
          <w:sz w:val="24"/>
          <w:szCs w:val="24"/>
          <w:lang w:val="en-US"/>
        </w:rPr>
        <w:t>Pharmacy College</w:t>
      </w:r>
      <w:r>
        <w:rPr>
          <w:rFonts w:eastAsia="MS Mincho" w:cs="Times New Roman"/>
          <w:bCs/>
          <w:sz w:val="24"/>
          <w:szCs w:val="24"/>
          <w:lang w:val="en-US"/>
        </w:rPr>
        <w:t>,</w:t>
      </w:r>
      <w:r w:rsidRPr="00584E5A">
        <w:rPr>
          <w:rFonts w:eastAsia="MS Mincho" w:cs="Times New Roman"/>
          <w:bCs/>
          <w:sz w:val="24"/>
          <w:szCs w:val="24"/>
          <w:lang w:val="en-US"/>
        </w:rPr>
        <w:t xml:space="preserve"> Department of Clinical Pharmacy, </w:t>
      </w:r>
      <w:proofErr w:type="spellStart"/>
      <w:r w:rsidRPr="00584E5A">
        <w:rPr>
          <w:rFonts w:eastAsia="MS Mincho" w:cs="Times New Roman"/>
          <w:bCs/>
          <w:sz w:val="24"/>
          <w:szCs w:val="24"/>
          <w:lang w:val="en-US"/>
        </w:rPr>
        <w:t>Skaka</w:t>
      </w:r>
      <w:proofErr w:type="spellEnd"/>
      <w:r w:rsidRPr="00584E5A">
        <w:rPr>
          <w:rFonts w:eastAsia="MS Mincho" w:cs="Times New Roman"/>
          <w:bCs/>
          <w:sz w:val="24"/>
          <w:szCs w:val="24"/>
          <w:lang w:val="en-US"/>
        </w:rPr>
        <w:t>, Saudi Arabia.</w:t>
      </w:r>
    </w:p>
    <w:p w14:paraId="0171A952" w14:textId="76781A29" w:rsidR="00B01A2D" w:rsidRPr="00655CF1" w:rsidRDefault="00175E2B" w:rsidP="008F1189">
      <w:pPr>
        <w:spacing w:after="0" w:line="240" w:lineRule="auto"/>
        <w:ind w:left="142" w:hanging="142"/>
        <w:jc w:val="both"/>
        <w:rPr>
          <w:rFonts w:eastAsia="MS Mincho" w:cs="Times New Roman"/>
          <w:sz w:val="24"/>
          <w:szCs w:val="24"/>
          <w:lang w:val="en-US"/>
        </w:rPr>
      </w:pPr>
      <w:proofErr w:type="gramStart"/>
      <w:r>
        <w:rPr>
          <w:rFonts w:eastAsia="MS Mincho" w:cs="Times New Roman"/>
          <w:bCs/>
          <w:sz w:val="24"/>
          <w:szCs w:val="24"/>
          <w:vertAlign w:val="superscript"/>
          <w:lang w:val="en-US"/>
        </w:rPr>
        <w:t xml:space="preserve">c </w:t>
      </w:r>
      <w:r w:rsidR="00584E5A" w:rsidRPr="00584E5A">
        <w:rPr>
          <w:rFonts w:eastAsia="MS Mincho" w:cs="Times New Roman"/>
          <w:bCs/>
          <w:sz w:val="24"/>
          <w:szCs w:val="24"/>
          <w:vertAlign w:val="superscript"/>
          <w:lang w:val="en-US"/>
        </w:rPr>
        <w:t xml:space="preserve"> </w:t>
      </w:r>
      <w:r w:rsidR="001D3E3B" w:rsidRPr="00655CF1">
        <w:rPr>
          <w:rFonts w:eastAsia="MS Mincho" w:cs="Times New Roman"/>
          <w:sz w:val="24"/>
          <w:szCs w:val="24"/>
          <w:lang w:val="en-US"/>
        </w:rPr>
        <w:t>Liverpool</w:t>
      </w:r>
      <w:proofErr w:type="gramEnd"/>
      <w:r w:rsidR="001D3E3B" w:rsidRPr="00655CF1">
        <w:rPr>
          <w:rFonts w:eastAsia="MS Mincho" w:cs="Times New Roman"/>
          <w:sz w:val="24"/>
          <w:szCs w:val="24"/>
          <w:lang w:val="en-US"/>
        </w:rPr>
        <w:t xml:space="preserve"> School of Tropical Medicine, </w:t>
      </w:r>
      <w:r w:rsidR="001D3E3B">
        <w:rPr>
          <w:rFonts w:eastAsia="MS Mincho" w:cs="Times New Roman"/>
          <w:sz w:val="24"/>
          <w:szCs w:val="24"/>
          <w:lang w:val="en-US"/>
        </w:rPr>
        <w:t>D</w:t>
      </w:r>
      <w:r w:rsidR="001D3E3B" w:rsidRPr="00655CF1">
        <w:rPr>
          <w:rFonts w:eastAsia="MS Mincho" w:cs="Times New Roman"/>
          <w:sz w:val="24"/>
          <w:szCs w:val="24"/>
          <w:lang w:val="en-US"/>
        </w:rPr>
        <w:t xml:space="preserve">epartment of </w:t>
      </w:r>
      <w:r w:rsidR="001D3E3B">
        <w:rPr>
          <w:rFonts w:eastAsia="MS Mincho" w:cs="Times New Roman"/>
          <w:sz w:val="24"/>
          <w:szCs w:val="24"/>
          <w:lang w:val="en-US"/>
        </w:rPr>
        <w:t>International Public Health</w:t>
      </w:r>
      <w:r w:rsidR="001D3E3B" w:rsidRPr="00655CF1">
        <w:rPr>
          <w:rFonts w:eastAsia="MS Mincho" w:cs="Times New Roman"/>
          <w:sz w:val="24"/>
          <w:szCs w:val="24"/>
          <w:lang w:val="en-US"/>
        </w:rPr>
        <w:t>,</w:t>
      </w:r>
      <w:r w:rsidR="001D3E3B">
        <w:rPr>
          <w:rFonts w:eastAsia="MS Mincho" w:cs="Times New Roman"/>
          <w:sz w:val="24"/>
          <w:szCs w:val="24"/>
          <w:lang w:val="en-US"/>
        </w:rPr>
        <w:t xml:space="preserve"> </w:t>
      </w:r>
      <w:r w:rsidR="001D3E3B" w:rsidRPr="00655CF1">
        <w:rPr>
          <w:rFonts w:eastAsia="MS Mincho" w:cs="Times New Roman"/>
          <w:sz w:val="24"/>
          <w:szCs w:val="24"/>
          <w:lang w:val="en-US"/>
        </w:rPr>
        <w:t>Liverpool, United Kingdom.</w:t>
      </w:r>
      <w:r w:rsidR="00B01A2D" w:rsidRPr="00655CF1">
        <w:rPr>
          <w:rFonts w:eastAsia="MS Mincho" w:cs="Times New Roman"/>
          <w:sz w:val="24"/>
          <w:szCs w:val="24"/>
          <w:lang w:val="en-US"/>
        </w:rPr>
        <w:t xml:space="preserve"> </w:t>
      </w:r>
      <w:bookmarkStart w:id="4" w:name="_Hlk513487818"/>
    </w:p>
    <w:bookmarkEnd w:id="4"/>
    <w:p w14:paraId="007969FD" w14:textId="7944F76A" w:rsidR="00B01A2D" w:rsidRPr="00655CF1" w:rsidRDefault="00175E2B" w:rsidP="008F1189">
      <w:pPr>
        <w:spacing w:after="0" w:line="240" w:lineRule="auto"/>
        <w:ind w:left="142" w:hanging="142"/>
        <w:jc w:val="both"/>
        <w:rPr>
          <w:rFonts w:eastAsia="MS Mincho" w:cs="Times New Roman"/>
          <w:sz w:val="24"/>
          <w:szCs w:val="24"/>
          <w:lang w:val="en-US"/>
        </w:rPr>
      </w:pPr>
      <w:proofErr w:type="gramStart"/>
      <w:r>
        <w:rPr>
          <w:rFonts w:eastAsia="MS Mincho" w:cs="Times New Roman"/>
          <w:sz w:val="24"/>
          <w:szCs w:val="24"/>
          <w:vertAlign w:val="superscript"/>
          <w:lang w:val="en-US"/>
        </w:rPr>
        <w:t>d</w:t>
      </w:r>
      <w:r w:rsidR="0033741A">
        <w:rPr>
          <w:rFonts w:eastAsia="MS Mincho" w:cs="Times New Roman"/>
          <w:sz w:val="24"/>
          <w:szCs w:val="24"/>
          <w:vertAlign w:val="superscript"/>
          <w:lang w:val="en-US"/>
        </w:rPr>
        <w:t xml:space="preserve"> </w:t>
      </w:r>
      <w:r w:rsidR="00B01A2D" w:rsidRPr="00655CF1">
        <w:rPr>
          <w:rFonts w:eastAsia="MS Mincho" w:cs="Times New Roman"/>
          <w:sz w:val="24"/>
          <w:szCs w:val="24"/>
          <w:lang w:val="en-US"/>
        </w:rPr>
        <w:t xml:space="preserve"> University</w:t>
      </w:r>
      <w:proofErr w:type="gramEnd"/>
      <w:r w:rsidR="00B01A2D" w:rsidRPr="00655CF1">
        <w:rPr>
          <w:rFonts w:eastAsia="MS Mincho" w:cs="Times New Roman"/>
          <w:sz w:val="24"/>
          <w:szCs w:val="24"/>
          <w:lang w:val="en-US"/>
        </w:rPr>
        <w:t xml:space="preserve"> of Warwick, Division of Health Sciences, </w:t>
      </w:r>
      <w:r w:rsidR="00B01A2D">
        <w:rPr>
          <w:rFonts w:eastAsia="MS Mincho" w:cs="Times New Roman"/>
          <w:sz w:val="24"/>
          <w:szCs w:val="24"/>
          <w:lang w:val="en-US"/>
        </w:rPr>
        <w:t xml:space="preserve">Coventry, </w:t>
      </w:r>
      <w:r w:rsidR="00B01A2D" w:rsidRPr="00655CF1">
        <w:rPr>
          <w:rFonts w:eastAsia="MS Mincho" w:cs="Times New Roman"/>
          <w:sz w:val="24"/>
          <w:szCs w:val="24"/>
          <w:lang w:val="en-US"/>
        </w:rPr>
        <w:t>United Kingdom.</w:t>
      </w:r>
    </w:p>
    <w:bookmarkEnd w:id="2"/>
    <w:p w14:paraId="37AE735E" w14:textId="624C404B" w:rsidR="00474C59" w:rsidRPr="00474C59" w:rsidRDefault="00175E2B" w:rsidP="008F1189">
      <w:pPr>
        <w:spacing w:after="0" w:line="240" w:lineRule="auto"/>
        <w:ind w:left="142" w:hanging="142"/>
        <w:jc w:val="both"/>
        <w:rPr>
          <w:rFonts w:eastAsia="MS Mincho" w:cs="Times New Roman"/>
          <w:sz w:val="24"/>
          <w:szCs w:val="24"/>
          <w:lang w:val="en-US"/>
        </w:rPr>
      </w:pPr>
      <w:proofErr w:type="gramStart"/>
      <w:r>
        <w:rPr>
          <w:rFonts w:eastAsia="MS Mincho" w:cs="Times New Roman"/>
          <w:sz w:val="24"/>
          <w:szCs w:val="24"/>
          <w:vertAlign w:val="superscript"/>
          <w:lang w:val="en-US"/>
        </w:rPr>
        <w:t xml:space="preserve">e  </w:t>
      </w:r>
      <w:r w:rsidR="00474C59">
        <w:rPr>
          <w:rFonts w:eastAsia="MS Mincho" w:cs="Times New Roman"/>
          <w:sz w:val="24"/>
          <w:szCs w:val="24"/>
          <w:lang w:val="en-US"/>
        </w:rPr>
        <w:t>Karolinska</w:t>
      </w:r>
      <w:proofErr w:type="gramEnd"/>
      <w:r w:rsidR="00474C59">
        <w:rPr>
          <w:rFonts w:eastAsia="MS Mincho" w:cs="Times New Roman"/>
          <w:sz w:val="24"/>
          <w:szCs w:val="24"/>
          <w:lang w:val="en-US"/>
        </w:rPr>
        <w:t xml:space="preserve"> </w:t>
      </w:r>
      <w:r w:rsidR="00584E5A">
        <w:rPr>
          <w:rFonts w:eastAsia="MS Mincho" w:cs="Times New Roman"/>
          <w:sz w:val="24"/>
          <w:szCs w:val="24"/>
          <w:lang w:val="en-US"/>
        </w:rPr>
        <w:t>Institute</w:t>
      </w:r>
      <w:r w:rsidR="00474C59">
        <w:rPr>
          <w:rFonts w:eastAsia="MS Mincho" w:cs="Times New Roman"/>
          <w:sz w:val="24"/>
          <w:szCs w:val="24"/>
          <w:lang w:val="en-US"/>
        </w:rPr>
        <w:t>, Department of Learning, Informatics, Management and Ethics, Stockholm, Sweden.</w:t>
      </w:r>
    </w:p>
    <w:p w14:paraId="4E4F077C" w14:textId="77777777" w:rsidR="001D3E3B" w:rsidRPr="00655CF1" w:rsidRDefault="001D3E3B" w:rsidP="008F1189">
      <w:pPr>
        <w:spacing w:after="0" w:line="240" w:lineRule="auto"/>
        <w:jc w:val="both"/>
        <w:rPr>
          <w:rFonts w:eastAsia="MS Mincho" w:cs="Times New Roman"/>
          <w:sz w:val="24"/>
          <w:szCs w:val="24"/>
          <w:lang w:val="en-US"/>
        </w:rPr>
      </w:pPr>
    </w:p>
    <w:p w14:paraId="6AF50113" w14:textId="7480A3C1" w:rsidR="00B01A2D" w:rsidRPr="00D84107" w:rsidRDefault="00B01A2D" w:rsidP="008F1189">
      <w:pPr>
        <w:pStyle w:val="ListParagraph"/>
        <w:numPr>
          <w:ilvl w:val="0"/>
          <w:numId w:val="9"/>
        </w:numPr>
        <w:spacing w:after="0" w:line="276" w:lineRule="auto"/>
        <w:ind w:left="284" w:hanging="284"/>
        <w:jc w:val="both"/>
        <w:rPr>
          <w:rFonts w:eastAsia="MS Mincho" w:cs="Times New Roman"/>
          <w:sz w:val="24"/>
          <w:szCs w:val="24"/>
          <w:lang w:val="en-US"/>
        </w:rPr>
      </w:pPr>
      <w:r w:rsidRPr="00D84107">
        <w:rPr>
          <w:rFonts w:eastAsia="MS Mincho" w:cs="Times New Roman"/>
          <w:b/>
          <w:sz w:val="24"/>
          <w:szCs w:val="24"/>
          <w:lang w:val="en-US"/>
        </w:rPr>
        <w:t>Ahmed Alatawi</w:t>
      </w:r>
      <w:r w:rsidRPr="00D84107">
        <w:rPr>
          <w:rFonts w:eastAsia="MS Mincho" w:cs="Times New Roman"/>
          <w:sz w:val="24"/>
          <w:szCs w:val="24"/>
          <w:lang w:val="en-US"/>
        </w:rPr>
        <w:t xml:space="preserve">*, MSc, Pharm.D. </w:t>
      </w:r>
      <w:r w:rsidRPr="00D84107">
        <w:rPr>
          <w:rFonts w:eastAsia="MS Mincho" w:cs="Times New Roman"/>
          <w:b/>
          <w:sz w:val="24"/>
          <w:szCs w:val="24"/>
          <w:lang w:val="en-US"/>
        </w:rPr>
        <w:t>(Corresponding author)</w:t>
      </w:r>
    </w:p>
    <w:p w14:paraId="543718F5" w14:textId="77777777" w:rsidR="00B01A2D" w:rsidRPr="00E40B61" w:rsidRDefault="00B01A2D" w:rsidP="008F1189">
      <w:pPr>
        <w:spacing w:after="0" w:line="276" w:lineRule="auto"/>
        <w:ind w:left="284"/>
        <w:jc w:val="both"/>
        <w:rPr>
          <w:rFonts w:eastAsia="MS Mincho" w:cs="Times New Roman"/>
          <w:sz w:val="24"/>
          <w:szCs w:val="24"/>
          <w:lang w:val="en-US"/>
        </w:rPr>
      </w:pPr>
      <w:r>
        <w:rPr>
          <w:rFonts w:eastAsia="MS Mincho" w:cs="Times New Roman"/>
          <w:sz w:val="24"/>
          <w:szCs w:val="24"/>
          <w:lang w:val="en-US"/>
        </w:rPr>
        <w:t>PhD Candidate</w:t>
      </w:r>
      <w:r w:rsidRPr="00E40B61">
        <w:rPr>
          <w:rFonts w:eastAsia="MS Mincho" w:cs="Times New Roman"/>
          <w:sz w:val="24"/>
          <w:szCs w:val="24"/>
          <w:lang w:val="en-US"/>
        </w:rPr>
        <w:t xml:space="preserve"> - Health Economist</w:t>
      </w:r>
    </w:p>
    <w:p w14:paraId="60C54DF0" w14:textId="77777777" w:rsidR="00B01A2D" w:rsidRPr="00693088" w:rsidRDefault="00B01A2D" w:rsidP="008F1189">
      <w:pPr>
        <w:spacing w:after="0" w:line="276" w:lineRule="auto"/>
        <w:ind w:left="284"/>
        <w:jc w:val="both"/>
        <w:rPr>
          <w:rFonts w:eastAsia="MS Mincho" w:cs="Times New Roman"/>
          <w:sz w:val="24"/>
          <w:szCs w:val="24"/>
          <w:lang w:val="en-US"/>
        </w:rPr>
      </w:pPr>
      <w:bookmarkStart w:id="5" w:name="_Hlk513581068"/>
      <w:r w:rsidRPr="00693088">
        <w:rPr>
          <w:rFonts w:eastAsia="MS Mincho" w:cs="Times New Roman"/>
          <w:sz w:val="24"/>
          <w:szCs w:val="24"/>
          <w:lang w:val="en-US"/>
        </w:rPr>
        <w:t xml:space="preserve">Health </w:t>
      </w:r>
      <w:r>
        <w:rPr>
          <w:rFonts w:eastAsia="MS Mincho" w:cs="Times New Roman"/>
          <w:sz w:val="24"/>
          <w:szCs w:val="24"/>
          <w:lang w:val="en-US"/>
        </w:rPr>
        <w:t>Economics Group, Department of Clinical S</w:t>
      </w:r>
      <w:r w:rsidRPr="00693088">
        <w:rPr>
          <w:rFonts w:eastAsia="MS Mincho" w:cs="Times New Roman"/>
          <w:sz w:val="24"/>
          <w:szCs w:val="24"/>
          <w:lang w:val="en-US"/>
        </w:rPr>
        <w:t xml:space="preserve">ciences, </w:t>
      </w:r>
      <w:r>
        <w:rPr>
          <w:rFonts w:eastAsia="MS Mincho" w:cs="Times New Roman"/>
          <w:sz w:val="24"/>
          <w:szCs w:val="24"/>
          <w:lang w:val="en-US"/>
        </w:rPr>
        <w:t xml:space="preserve">Room 1966-215, </w:t>
      </w:r>
      <w:r w:rsidRPr="00693088">
        <w:rPr>
          <w:rFonts w:eastAsia="MS Mincho" w:cs="Times New Roman"/>
          <w:sz w:val="24"/>
          <w:szCs w:val="24"/>
          <w:lang w:val="en-US"/>
        </w:rPr>
        <w:t>Liverpool Sch</w:t>
      </w:r>
      <w:r>
        <w:rPr>
          <w:rFonts w:eastAsia="MS Mincho" w:cs="Times New Roman"/>
          <w:sz w:val="24"/>
          <w:szCs w:val="24"/>
          <w:lang w:val="en-US"/>
        </w:rPr>
        <w:t>ool of Tropical Medicine, LSTM</w:t>
      </w:r>
      <w:r w:rsidRPr="00164398">
        <w:rPr>
          <w:rFonts w:eastAsia="MS Mincho" w:cs="Times New Roman"/>
          <w:sz w:val="24"/>
          <w:szCs w:val="24"/>
          <w:lang w:val="en-US"/>
        </w:rPr>
        <w:t xml:space="preserve">, </w:t>
      </w:r>
      <w:r w:rsidRPr="00E40B61">
        <w:rPr>
          <w:rFonts w:eastAsia="MS Mincho" w:cs="Times New Roman"/>
          <w:sz w:val="24"/>
          <w:szCs w:val="24"/>
          <w:lang w:val="en-US"/>
        </w:rPr>
        <w:t>Pembr</w:t>
      </w:r>
      <w:r>
        <w:rPr>
          <w:rFonts w:eastAsia="MS Mincho" w:cs="Times New Roman"/>
          <w:sz w:val="24"/>
          <w:szCs w:val="24"/>
          <w:lang w:val="en-US"/>
        </w:rPr>
        <w:t>oke Place, Liverpool, L3 5QA, United Kingdom.</w:t>
      </w:r>
    </w:p>
    <w:bookmarkEnd w:id="5"/>
    <w:p w14:paraId="0C4BCF5A" w14:textId="77777777" w:rsidR="00B01A2D" w:rsidRDefault="00B01A2D" w:rsidP="008F1189">
      <w:pPr>
        <w:spacing w:after="0" w:line="276" w:lineRule="auto"/>
        <w:ind w:left="284"/>
        <w:jc w:val="both"/>
        <w:rPr>
          <w:rFonts w:eastAsia="MS Mincho" w:cs="Times New Roman"/>
          <w:sz w:val="24"/>
          <w:szCs w:val="24"/>
          <w:lang w:val="en-US"/>
        </w:rPr>
      </w:pPr>
      <w:r w:rsidRPr="00170A48">
        <w:rPr>
          <w:rFonts w:eastAsia="MS Mincho" w:cs="Times New Roman"/>
          <w:sz w:val="24"/>
          <w:szCs w:val="24"/>
          <w:lang w:val="en-US"/>
        </w:rPr>
        <w:t>Mobile: +4407491496786</w:t>
      </w:r>
    </w:p>
    <w:p w14:paraId="535E5708" w14:textId="77777777" w:rsidR="00B01A2D" w:rsidRDefault="00B01A2D" w:rsidP="008F1189">
      <w:pPr>
        <w:spacing w:after="0" w:line="276" w:lineRule="auto"/>
        <w:ind w:left="284"/>
        <w:jc w:val="both"/>
        <w:rPr>
          <w:rFonts w:eastAsia="MS Mincho" w:cs="Times New Roman"/>
          <w:sz w:val="24"/>
          <w:szCs w:val="24"/>
          <w:lang w:val="en-US"/>
        </w:rPr>
      </w:pPr>
      <w:r w:rsidRPr="00170A48">
        <w:rPr>
          <w:rFonts w:eastAsia="MS Mincho" w:cs="Times New Roman"/>
          <w:sz w:val="24"/>
          <w:szCs w:val="24"/>
          <w:lang w:val="en-US"/>
        </w:rPr>
        <w:t>Fax: +44(0)151 705 3370</w:t>
      </w:r>
    </w:p>
    <w:p w14:paraId="653DB59B" w14:textId="77777777" w:rsidR="00B01A2D" w:rsidRDefault="00B01A2D" w:rsidP="008F1189">
      <w:pPr>
        <w:spacing w:after="0" w:line="276" w:lineRule="auto"/>
        <w:ind w:left="284"/>
        <w:jc w:val="both"/>
        <w:rPr>
          <w:rFonts w:eastAsia="MS Mincho" w:cs="Times New Roman"/>
          <w:sz w:val="24"/>
          <w:szCs w:val="24"/>
          <w:lang w:val="en-US"/>
        </w:rPr>
      </w:pPr>
      <w:r w:rsidRPr="00693088">
        <w:rPr>
          <w:rFonts w:eastAsia="MS Mincho" w:cs="Times New Roman"/>
          <w:sz w:val="24"/>
          <w:szCs w:val="24"/>
          <w:lang w:val="en-US"/>
        </w:rPr>
        <w:t xml:space="preserve">Email: </w:t>
      </w:r>
      <w:hyperlink r:id="rId8" w:history="1">
        <w:r w:rsidRPr="00CB75A8">
          <w:rPr>
            <w:rStyle w:val="Hyperlink"/>
            <w:rFonts w:eastAsia="MS Mincho" w:cs="Times New Roman"/>
            <w:sz w:val="24"/>
            <w:szCs w:val="24"/>
            <w:lang w:val="en-US"/>
          </w:rPr>
          <w:t>Ahmed.alatawi@lstmed.ac.uk</w:t>
        </w:r>
      </w:hyperlink>
    </w:p>
    <w:p w14:paraId="1C295FD1" w14:textId="5529638F" w:rsidR="00B01A2D" w:rsidRPr="00B01A2D" w:rsidRDefault="00B01A2D" w:rsidP="008F1189">
      <w:pPr>
        <w:spacing w:after="0" w:line="276" w:lineRule="auto"/>
        <w:jc w:val="both"/>
        <w:rPr>
          <w:rFonts w:eastAsia="MS Mincho" w:cs="Times New Roman"/>
          <w:color w:val="0563C1" w:themeColor="hyperlink"/>
          <w:sz w:val="24"/>
          <w:szCs w:val="24"/>
          <w:u w:val="single"/>
          <w:lang w:val="en-US"/>
        </w:rPr>
      </w:pPr>
      <w:r w:rsidRPr="00693088">
        <w:rPr>
          <w:rFonts w:eastAsia="MS Mincho" w:cs="Times New Roman"/>
          <w:sz w:val="24"/>
          <w:szCs w:val="24"/>
          <w:lang w:val="en-US"/>
        </w:rPr>
        <w:t xml:space="preserve">           </w:t>
      </w:r>
    </w:p>
    <w:p w14:paraId="33845384" w14:textId="77777777" w:rsidR="00B01A2D" w:rsidRPr="00D84107" w:rsidRDefault="00B01A2D" w:rsidP="008F1189">
      <w:pPr>
        <w:pStyle w:val="ListParagraph"/>
        <w:numPr>
          <w:ilvl w:val="0"/>
          <w:numId w:val="9"/>
        </w:numPr>
        <w:spacing w:after="0" w:line="276" w:lineRule="auto"/>
        <w:ind w:left="284" w:hanging="284"/>
        <w:jc w:val="both"/>
        <w:rPr>
          <w:rFonts w:eastAsia="MS Mincho" w:cs="Times New Roman"/>
          <w:b/>
          <w:sz w:val="24"/>
          <w:szCs w:val="24"/>
          <w:lang w:val="en-US"/>
        </w:rPr>
      </w:pPr>
      <w:r w:rsidRPr="00D84107">
        <w:rPr>
          <w:rFonts w:eastAsia="MS Mincho" w:cs="Times New Roman"/>
          <w:b/>
          <w:sz w:val="24"/>
          <w:szCs w:val="24"/>
          <w:lang w:val="en-US"/>
        </w:rPr>
        <w:t>Louis Niessen, Professor</w:t>
      </w:r>
    </w:p>
    <w:p w14:paraId="7684ABCB" w14:textId="77777777" w:rsidR="00B01A2D" w:rsidRDefault="00B01A2D" w:rsidP="008F1189">
      <w:pPr>
        <w:spacing w:after="0" w:line="276" w:lineRule="auto"/>
        <w:ind w:left="284"/>
        <w:jc w:val="both"/>
        <w:rPr>
          <w:rFonts w:eastAsia="MS Mincho" w:cs="Times New Roman"/>
          <w:sz w:val="24"/>
          <w:szCs w:val="24"/>
          <w:lang w:val="en-US"/>
        </w:rPr>
      </w:pPr>
      <w:r>
        <w:rPr>
          <w:rFonts w:eastAsia="MS Mincho" w:cs="Times New Roman"/>
          <w:sz w:val="24"/>
          <w:szCs w:val="24"/>
          <w:lang w:val="en-US"/>
        </w:rPr>
        <w:t>Chair of Health Economics.</w:t>
      </w:r>
    </w:p>
    <w:p w14:paraId="5ABF7777" w14:textId="77777777" w:rsidR="00B01A2D" w:rsidRDefault="00B01A2D" w:rsidP="008F1189">
      <w:pPr>
        <w:spacing w:after="0" w:line="276" w:lineRule="auto"/>
        <w:ind w:left="284"/>
        <w:jc w:val="both"/>
        <w:rPr>
          <w:rFonts w:eastAsia="MS Mincho" w:cs="Times New Roman"/>
          <w:sz w:val="24"/>
          <w:szCs w:val="24"/>
          <w:lang w:val="en-US"/>
        </w:rPr>
      </w:pPr>
      <w:r w:rsidRPr="00B768FD">
        <w:rPr>
          <w:rFonts w:eastAsia="MS Mincho" w:cs="Times New Roman"/>
          <w:sz w:val="24"/>
          <w:szCs w:val="24"/>
          <w:lang w:val="en-US"/>
        </w:rPr>
        <w:t xml:space="preserve">Health Economics Group, Department of </w:t>
      </w:r>
      <w:r>
        <w:rPr>
          <w:rFonts w:eastAsia="MS Mincho" w:cs="Times New Roman"/>
          <w:sz w:val="24"/>
          <w:szCs w:val="24"/>
          <w:lang w:val="en-US"/>
        </w:rPr>
        <w:t>Clinical Sciences, Room 1966-206</w:t>
      </w:r>
      <w:r w:rsidRPr="00B768FD">
        <w:rPr>
          <w:rFonts w:eastAsia="MS Mincho" w:cs="Times New Roman"/>
          <w:sz w:val="24"/>
          <w:szCs w:val="24"/>
          <w:lang w:val="en-US"/>
        </w:rPr>
        <w:t>, Liverpool School of Tropical Medicine, LSTM, Pembroke Place, Liverpool, L3 5QA, United Kingdom.</w:t>
      </w:r>
    </w:p>
    <w:p w14:paraId="6A9A60F6" w14:textId="7EFCF515" w:rsidR="00B01A2D" w:rsidRPr="00D84107" w:rsidRDefault="00B01A2D" w:rsidP="008F1189">
      <w:pPr>
        <w:spacing w:after="0" w:line="276" w:lineRule="auto"/>
        <w:ind w:left="284"/>
        <w:jc w:val="both"/>
      </w:pPr>
      <w:r>
        <w:rPr>
          <w:rFonts w:eastAsia="MS Mincho" w:cs="Times New Roman"/>
          <w:sz w:val="24"/>
          <w:szCs w:val="24"/>
          <w:lang w:val="en-US"/>
        </w:rPr>
        <w:t>Tel:</w:t>
      </w:r>
      <w:r w:rsidRPr="00D84107">
        <w:rPr>
          <w:rFonts w:eastAsia="MS Mincho" w:cs="Times New Roman"/>
          <w:sz w:val="24"/>
          <w:szCs w:val="24"/>
          <w:lang w:val="en-US"/>
        </w:rPr>
        <w:t xml:space="preserve"> </w:t>
      </w:r>
      <w:r w:rsidRPr="00E7321A">
        <w:rPr>
          <w:rFonts w:eastAsia="MS Mincho" w:cs="Times New Roman"/>
          <w:sz w:val="24"/>
          <w:szCs w:val="24"/>
          <w:lang w:val="en-US"/>
        </w:rPr>
        <w:t>+44 (0)151 705 3779</w:t>
      </w:r>
      <w:r w:rsidR="008D3E47">
        <w:rPr>
          <w:rFonts w:eastAsia="MS Mincho" w:cs="Times New Roman"/>
          <w:sz w:val="24"/>
          <w:szCs w:val="24"/>
          <w:lang w:val="en-US"/>
        </w:rPr>
        <w:t>.</w:t>
      </w:r>
      <w:r>
        <w:rPr>
          <w:rFonts w:eastAsia="MS Mincho" w:cs="Times New Roman"/>
          <w:sz w:val="24"/>
          <w:szCs w:val="24"/>
          <w:lang w:val="en-US"/>
        </w:rPr>
        <w:t xml:space="preserve"> </w:t>
      </w:r>
      <w:r w:rsidRPr="00693088">
        <w:rPr>
          <w:rFonts w:eastAsia="MS Mincho" w:cs="Times New Roman"/>
          <w:sz w:val="24"/>
          <w:szCs w:val="24"/>
          <w:lang w:val="en-US"/>
        </w:rPr>
        <w:t xml:space="preserve">Email: </w:t>
      </w:r>
      <w:hyperlink r:id="rId9" w:history="1">
        <w:r w:rsidRPr="00D84107">
          <w:t>louis.niessen@lstmed.ac.uk</w:t>
        </w:r>
      </w:hyperlink>
    </w:p>
    <w:p w14:paraId="69A680A8" w14:textId="77777777" w:rsidR="008D3E47" w:rsidRDefault="008D3E47" w:rsidP="008F1189">
      <w:pPr>
        <w:spacing w:after="0" w:line="276" w:lineRule="auto"/>
        <w:jc w:val="both"/>
        <w:rPr>
          <w:rFonts w:eastAsia="MS Mincho" w:cs="Times New Roman"/>
          <w:sz w:val="24"/>
          <w:szCs w:val="24"/>
          <w:lang w:val="en-US"/>
        </w:rPr>
      </w:pPr>
    </w:p>
    <w:p w14:paraId="3F86BFAB" w14:textId="5546A26B" w:rsidR="00B01A2D" w:rsidRPr="00D84107" w:rsidRDefault="00B01A2D" w:rsidP="008F1189">
      <w:pPr>
        <w:pStyle w:val="ListParagraph"/>
        <w:numPr>
          <w:ilvl w:val="0"/>
          <w:numId w:val="9"/>
        </w:numPr>
        <w:spacing w:after="0" w:line="276" w:lineRule="auto"/>
        <w:ind w:left="284" w:hanging="284"/>
        <w:jc w:val="both"/>
        <w:rPr>
          <w:rFonts w:eastAsia="MS Mincho" w:cs="Times New Roman"/>
          <w:b/>
          <w:sz w:val="24"/>
          <w:szCs w:val="24"/>
          <w:lang w:val="en-US"/>
        </w:rPr>
      </w:pPr>
      <w:r w:rsidRPr="00D84107">
        <w:rPr>
          <w:rFonts w:eastAsia="MS Mincho" w:cs="Times New Roman"/>
          <w:b/>
          <w:sz w:val="24"/>
          <w:szCs w:val="24"/>
          <w:lang w:val="en-US"/>
        </w:rPr>
        <w:t>Jahangir</w:t>
      </w:r>
      <w:r w:rsidR="00474C59" w:rsidRPr="00D84107">
        <w:rPr>
          <w:rFonts w:eastAsia="MS Mincho" w:cs="Times New Roman"/>
          <w:b/>
          <w:sz w:val="24"/>
          <w:szCs w:val="24"/>
          <w:lang w:val="en-US"/>
        </w:rPr>
        <w:t xml:space="preserve"> A. M.</w:t>
      </w:r>
      <w:r w:rsidRPr="00D84107">
        <w:rPr>
          <w:rFonts w:eastAsia="MS Mincho" w:cs="Times New Roman"/>
          <w:b/>
          <w:sz w:val="24"/>
          <w:szCs w:val="24"/>
          <w:lang w:val="en-US"/>
        </w:rPr>
        <w:t xml:space="preserve"> Khan, PhD</w:t>
      </w:r>
    </w:p>
    <w:p w14:paraId="2F73D817" w14:textId="77777777" w:rsidR="00B01A2D" w:rsidRPr="00E7321A" w:rsidRDefault="00B01A2D" w:rsidP="008F1189">
      <w:pPr>
        <w:spacing w:after="0" w:line="276" w:lineRule="auto"/>
        <w:ind w:left="284"/>
        <w:jc w:val="both"/>
        <w:rPr>
          <w:rFonts w:eastAsia="MS Mincho" w:cs="Times New Roman"/>
          <w:sz w:val="24"/>
          <w:szCs w:val="24"/>
          <w:lang w:val="en-US"/>
        </w:rPr>
      </w:pPr>
      <w:r w:rsidRPr="00E7321A">
        <w:rPr>
          <w:rFonts w:eastAsia="MS Mincho" w:cs="Times New Roman"/>
          <w:sz w:val="24"/>
          <w:szCs w:val="24"/>
          <w:lang w:val="en-US"/>
        </w:rPr>
        <w:t>Senior Lecturer in Health Economics</w:t>
      </w:r>
    </w:p>
    <w:p w14:paraId="0A35C373" w14:textId="6F71520F" w:rsidR="00B01A2D" w:rsidRDefault="00B01A2D" w:rsidP="008F1189">
      <w:pPr>
        <w:spacing w:after="0" w:line="276" w:lineRule="auto"/>
        <w:ind w:left="284"/>
        <w:jc w:val="both"/>
        <w:rPr>
          <w:rFonts w:eastAsia="MS Mincho" w:cs="Times New Roman"/>
          <w:sz w:val="24"/>
          <w:szCs w:val="24"/>
          <w:lang w:val="en-US"/>
        </w:rPr>
      </w:pPr>
      <w:r w:rsidRPr="00B768FD">
        <w:rPr>
          <w:rFonts w:eastAsia="MS Mincho" w:cs="Times New Roman"/>
          <w:sz w:val="24"/>
          <w:szCs w:val="24"/>
          <w:lang w:val="en-US"/>
        </w:rPr>
        <w:t xml:space="preserve">Health Economics Group, Department of </w:t>
      </w:r>
      <w:r w:rsidR="001D3E3B">
        <w:rPr>
          <w:rFonts w:eastAsia="MS Mincho" w:cs="Times New Roman"/>
          <w:sz w:val="24"/>
          <w:szCs w:val="24"/>
          <w:lang w:val="en-US"/>
        </w:rPr>
        <w:t>International Public Health</w:t>
      </w:r>
      <w:r>
        <w:rPr>
          <w:rFonts w:eastAsia="MS Mincho" w:cs="Times New Roman"/>
          <w:sz w:val="24"/>
          <w:szCs w:val="24"/>
          <w:lang w:val="en-US"/>
        </w:rPr>
        <w:t>, Room 1966-215</w:t>
      </w:r>
      <w:r w:rsidRPr="00B768FD">
        <w:rPr>
          <w:rFonts w:eastAsia="MS Mincho" w:cs="Times New Roman"/>
          <w:sz w:val="24"/>
          <w:szCs w:val="24"/>
          <w:lang w:val="en-US"/>
        </w:rPr>
        <w:t>, Liverpool School of Tropical Medicine, LSTM, Pembroke Place, Liverpool, L3 5QA, United Kingdom.</w:t>
      </w:r>
    </w:p>
    <w:p w14:paraId="18725F3A" w14:textId="3294A261" w:rsidR="00B01A2D" w:rsidRDefault="00B01A2D" w:rsidP="008F1189">
      <w:pPr>
        <w:spacing w:after="0" w:line="276" w:lineRule="auto"/>
        <w:ind w:left="284"/>
        <w:jc w:val="both"/>
        <w:rPr>
          <w:rFonts w:eastAsia="MS Mincho" w:cs="Times New Roman"/>
          <w:sz w:val="24"/>
          <w:szCs w:val="24"/>
          <w:lang w:val="en-US"/>
        </w:rPr>
      </w:pPr>
      <w:r>
        <w:rPr>
          <w:rFonts w:eastAsia="MS Mincho" w:cs="Times New Roman"/>
          <w:sz w:val="24"/>
          <w:szCs w:val="24"/>
          <w:lang w:val="en-US"/>
        </w:rPr>
        <w:t xml:space="preserve">Tel: </w:t>
      </w:r>
      <w:r w:rsidRPr="00E7321A">
        <w:rPr>
          <w:rFonts w:eastAsia="MS Mincho" w:cs="Times New Roman"/>
          <w:sz w:val="24"/>
          <w:szCs w:val="24"/>
          <w:lang w:val="en-US"/>
        </w:rPr>
        <w:t>+44 (0)151 702 9345</w:t>
      </w:r>
      <w:r w:rsidR="008D3E47">
        <w:rPr>
          <w:rFonts w:eastAsia="MS Mincho" w:cs="Times New Roman"/>
          <w:sz w:val="24"/>
          <w:szCs w:val="24"/>
          <w:lang w:val="en-US"/>
        </w:rPr>
        <w:t xml:space="preserve">. </w:t>
      </w:r>
      <w:r w:rsidRPr="00693088">
        <w:rPr>
          <w:rFonts w:eastAsia="MS Mincho" w:cs="Times New Roman"/>
          <w:sz w:val="24"/>
          <w:szCs w:val="24"/>
          <w:lang w:val="en-US"/>
        </w:rPr>
        <w:t xml:space="preserve">Email: </w:t>
      </w:r>
      <w:hyperlink r:id="rId10" w:history="1">
        <w:r w:rsidRPr="00693088">
          <w:rPr>
            <w:rStyle w:val="Hyperlink"/>
            <w:rFonts w:eastAsia="MS Mincho" w:cs="Times New Roman"/>
            <w:sz w:val="24"/>
            <w:szCs w:val="24"/>
            <w:lang w:val="en-US"/>
          </w:rPr>
          <w:t>jahangir.khan@lstmed.ac.uk</w:t>
        </w:r>
      </w:hyperlink>
    </w:p>
    <w:bookmarkEnd w:id="0"/>
    <w:p w14:paraId="76BBFE8C" w14:textId="77777777" w:rsidR="00B01A2D" w:rsidRDefault="00B01A2D" w:rsidP="008F1189">
      <w:pPr>
        <w:spacing w:after="0" w:line="276" w:lineRule="auto"/>
        <w:jc w:val="both"/>
        <w:rPr>
          <w:rFonts w:eastAsia="MS Mincho" w:cs="Times New Roman"/>
          <w:sz w:val="24"/>
          <w:szCs w:val="24"/>
          <w:lang w:val="en-US"/>
        </w:rPr>
      </w:pPr>
    </w:p>
    <w:p w14:paraId="25212FD5" w14:textId="5EF50950" w:rsidR="00B01A2D" w:rsidRDefault="00B01A2D" w:rsidP="008F1189">
      <w:pPr>
        <w:spacing w:after="0" w:line="276" w:lineRule="auto"/>
        <w:jc w:val="both"/>
        <w:rPr>
          <w:rFonts w:eastAsia="MS Mincho" w:cs="Times New Roman"/>
          <w:sz w:val="24"/>
          <w:szCs w:val="24"/>
          <w:lang w:val="en-US"/>
        </w:rPr>
      </w:pPr>
      <w:r w:rsidRPr="0058682B">
        <w:rPr>
          <w:rFonts w:eastAsia="MS Mincho" w:cs="Times New Roman"/>
          <w:b/>
          <w:sz w:val="24"/>
          <w:szCs w:val="24"/>
          <w:lang w:val="en-US"/>
        </w:rPr>
        <w:t>Word count:</w:t>
      </w:r>
      <w:r w:rsidRPr="0058682B">
        <w:rPr>
          <w:rFonts w:eastAsia="MS Mincho" w:cs="Times New Roman"/>
          <w:sz w:val="24"/>
          <w:szCs w:val="24"/>
          <w:lang w:val="en-US"/>
        </w:rPr>
        <w:t xml:space="preserve"> </w:t>
      </w:r>
      <w:r>
        <w:rPr>
          <w:rFonts w:eastAsia="MS Mincho" w:cs="Times New Roman"/>
          <w:sz w:val="24"/>
          <w:szCs w:val="24"/>
          <w:lang w:val="en-US"/>
        </w:rPr>
        <w:t>5,</w:t>
      </w:r>
      <w:r w:rsidR="00464DF2">
        <w:rPr>
          <w:rFonts w:eastAsia="MS Mincho" w:cs="Times New Roman"/>
          <w:sz w:val="24"/>
          <w:szCs w:val="24"/>
          <w:lang w:val="en-US"/>
        </w:rPr>
        <w:t>6</w:t>
      </w:r>
      <w:r w:rsidR="00DB4EA4">
        <w:rPr>
          <w:rFonts w:eastAsia="MS Mincho" w:cs="Times New Roman"/>
          <w:sz w:val="24"/>
          <w:szCs w:val="24"/>
          <w:lang w:val="en-US"/>
        </w:rPr>
        <w:t>6</w:t>
      </w:r>
      <w:r w:rsidR="00464DF2">
        <w:rPr>
          <w:rFonts w:eastAsia="MS Mincho" w:cs="Times New Roman"/>
          <w:sz w:val="24"/>
          <w:szCs w:val="24"/>
          <w:lang w:val="en-US"/>
        </w:rPr>
        <w:t>4</w:t>
      </w:r>
    </w:p>
    <w:p w14:paraId="0534B24F" w14:textId="77777777" w:rsidR="00B01A2D" w:rsidRDefault="00B01A2D" w:rsidP="008F1189">
      <w:pPr>
        <w:spacing w:after="0" w:line="276" w:lineRule="auto"/>
        <w:jc w:val="both"/>
        <w:rPr>
          <w:rFonts w:eastAsia="MS Mincho" w:cs="Times New Roman"/>
          <w:sz w:val="24"/>
          <w:szCs w:val="24"/>
          <w:lang w:val="en-US"/>
        </w:rPr>
      </w:pPr>
      <w:r w:rsidRPr="0058682B">
        <w:rPr>
          <w:rFonts w:eastAsia="MS Mincho" w:cs="Times New Roman"/>
          <w:b/>
          <w:sz w:val="24"/>
          <w:szCs w:val="24"/>
          <w:lang w:val="en-US"/>
        </w:rPr>
        <w:t>Keywords:</w:t>
      </w:r>
      <w:r w:rsidRPr="0058682B">
        <w:rPr>
          <w:rFonts w:eastAsia="MS Mincho" w:cs="Times New Roman"/>
          <w:sz w:val="24"/>
          <w:szCs w:val="24"/>
          <w:lang w:val="en-US"/>
        </w:rPr>
        <w:t xml:space="preserve"> Technical efficiency, Data envelopment analysis, Saudi Arabia, Public hospitals, General hospitals efficiency.</w:t>
      </w:r>
    </w:p>
    <w:p w14:paraId="203F128D" w14:textId="2983FA83" w:rsidR="006B48A6" w:rsidRPr="00E050F6" w:rsidRDefault="005548AD" w:rsidP="008F1189">
      <w:pPr>
        <w:pStyle w:val="Heading1"/>
        <w:jc w:val="both"/>
        <w:rPr>
          <w:rFonts w:asciiTheme="minorHAnsi" w:hAnsiTheme="minorHAnsi"/>
        </w:rPr>
      </w:pPr>
      <w:r w:rsidRPr="003D17EB">
        <w:lastRenderedPageBreak/>
        <w:t>Abstract</w:t>
      </w:r>
    </w:p>
    <w:p w14:paraId="2F6C42C9" w14:textId="65D4A73A" w:rsidR="00B14934" w:rsidRPr="00B14934" w:rsidRDefault="005548AD" w:rsidP="008F1189">
      <w:pPr>
        <w:spacing w:line="360" w:lineRule="auto"/>
        <w:jc w:val="both"/>
        <w:rPr>
          <w:b/>
          <w:bCs/>
          <w:sz w:val="24"/>
          <w:szCs w:val="24"/>
        </w:rPr>
      </w:pPr>
      <w:bookmarkStart w:id="6" w:name="_Hlk15919625"/>
      <w:r w:rsidRPr="00B14934">
        <w:rPr>
          <w:rFonts w:ascii="Calibri" w:hAnsi="Calibri"/>
          <w:b/>
          <w:bCs/>
          <w:sz w:val="24"/>
          <w:szCs w:val="24"/>
        </w:rPr>
        <w:t>Objective</w:t>
      </w:r>
      <w:r w:rsidR="007637A7">
        <w:rPr>
          <w:rFonts w:ascii="Calibri" w:hAnsi="Calibri"/>
          <w:b/>
          <w:bCs/>
          <w:sz w:val="24"/>
          <w:szCs w:val="24"/>
        </w:rPr>
        <w:t>:</w:t>
      </w:r>
      <w:r w:rsidRPr="00B14934">
        <w:rPr>
          <w:rFonts w:ascii="Calibri" w:hAnsi="Calibri"/>
          <w:sz w:val="24"/>
          <w:szCs w:val="24"/>
        </w:rPr>
        <w:t xml:space="preserve"> </w:t>
      </w:r>
      <w:bookmarkStart w:id="7" w:name="_Hlk15918026"/>
      <w:r w:rsidR="00307EE5">
        <w:rPr>
          <w:rFonts w:ascii="Calibri" w:hAnsi="Calibri"/>
          <w:sz w:val="24"/>
          <w:szCs w:val="24"/>
        </w:rPr>
        <w:t>In this study</w:t>
      </w:r>
      <w:r w:rsidR="0033741A">
        <w:rPr>
          <w:rFonts w:ascii="Calibri" w:hAnsi="Calibri"/>
          <w:sz w:val="24"/>
          <w:szCs w:val="24"/>
        </w:rPr>
        <w:t>,</w:t>
      </w:r>
      <w:r w:rsidR="00307EE5">
        <w:rPr>
          <w:rFonts w:ascii="Calibri" w:hAnsi="Calibri"/>
          <w:sz w:val="24"/>
          <w:szCs w:val="24"/>
        </w:rPr>
        <w:t xml:space="preserve"> </w:t>
      </w:r>
      <w:r w:rsidR="00C8793F">
        <w:rPr>
          <w:rFonts w:ascii="Calibri" w:hAnsi="Calibri"/>
          <w:sz w:val="24"/>
          <w:szCs w:val="24"/>
        </w:rPr>
        <w:t xml:space="preserve">we </w:t>
      </w:r>
      <w:r w:rsidR="00307EE5">
        <w:rPr>
          <w:rFonts w:ascii="Calibri" w:hAnsi="Calibri"/>
          <w:sz w:val="24"/>
          <w:szCs w:val="24"/>
        </w:rPr>
        <w:t xml:space="preserve">assess the performance of public hospitals in Saudi Arabia. We </w:t>
      </w:r>
      <w:r w:rsidR="0098098B">
        <w:rPr>
          <w:rFonts w:ascii="Calibri" w:hAnsi="Calibri"/>
          <w:sz w:val="24"/>
          <w:szCs w:val="24"/>
        </w:rPr>
        <w:t xml:space="preserve">detect </w:t>
      </w:r>
      <w:r w:rsidR="00307EE5">
        <w:rPr>
          <w:rFonts w:ascii="Calibri" w:hAnsi="Calibri"/>
          <w:sz w:val="24"/>
          <w:szCs w:val="24"/>
        </w:rPr>
        <w:t xml:space="preserve">the sources of inefficiency </w:t>
      </w:r>
      <w:r w:rsidR="004D3072">
        <w:rPr>
          <w:rFonts w:ascii="Calibri" w:hAnsi="Calibri"/>
          <w:sz w:val="24"/>
          <w:szCs w:val="24"/>
        </w:rPr>
        <w:t>and estimate</w:t>
      </w:r>
      <w:r w:rsidR="00307EE5">
        <w:rPr>
          <w:rFonts w:ascii="Calibri" w:hAnsi="Calibri"/>
          <w:sz w:val="24"/>
          <w:szCs w:val="24"/>
        </w:rPr>
        <w:t xml:space="preserve"> the optimal levels of the resources that </w:t>
      </w:r>
      <w:bookmarkStart w:id="8" w:name="_Hlk15921354"/>
      <w:r w:rsidR="00307EE5">
        <w:rPr>
          <w:rFonts w:ascii="Calibri" w:hAnsi="Calibri"/>
          <w:sz w:val="24"/>
          <w:szCs w:val="24"/>
        </w:rPr>
        <w:t xml:space="preserve">provide </w:t>
      </w:r>
      <w:bookmarkStart w:id="9" w:name="_Hlk15981079"/>
      <w:r w:rsidR="00307EE5">
        <w:rPr>
          <w:rFonts w:ascii="Calibri" w:hAnsi="Calibri"/>
          <w:sz w:val="24"/>
          <w:szCs w:val="24"/>
        </w:rPr>
        <w:t>the current level of health services</w:t>
      </w:r>
      <w:bookmarkEnd w:id="8"/>
      <w:bookmarkEnd w:id="9"/>
      <w:r w:rsidR="00307EE5">
        <w:rPr>
          <w:rFonts w:ascii="Calibri" w:hAnsi="Calibri"/>
          <w:sz w:val="24"/>
          <w:szCs w:val="24"/>
        </w:rPr>
        <w:t>.</w:t>
      </w:r>
      <w:r w:rsidR="007F78CF" w:rsidRPr="007F78CF">
        <w:rPr>
          <w:rFonts w:ascii="Calibri" w:hAnsi="Calibri"/>
          <w:sz w:val="24"/>
          <w:szCs w:val="24"/>
        </w:rPr>
        <w:t xml:space="preserve"> </w:t>
      </w:r>
      <w:r w:rsidR="007F78CF">
        <w:rPr>
          <w:rFonts w:ascii="Calibri" w:hAnsi="Calibri"/>
          <w:sz w:val="24"/>
          <w:szCs w:val="24"/>
        </w:rPr>
        <w:t>We</w:t>
      </w:r>
      <w:r w:rsidR="007F78CF" w:rsidRPr="007F78CF">
        <w:rPr>
          <w:rFonts w:ascii="Calibri" w:hAnsi="Calibri"/>
          <w:sz w:val="24"/>
          <w:szCs w:val="24"/>
        </w:rPr>
        <w:t xml:space="preserve"> enrich our analysis by employing location</w:t>
      </w:r>
      <w:r w:rsidR="00866EB4">
        <w:rPr>
          <w:rFonts w:ascii="Calibri" w:hAnsi="Calibri"/>
          <w:sz w:val="24"/>
          <w:szCs w:val="24"/>
        </w:rPr>
        <w:t>s</w:t>
      </w:r>
      <w:r w:rsidR="007F78CF" w:rsidRPr="007F78CF">
        <w:rPr>
          <w:rFonts w:ascii="Calibri" w:hAnsi="Calibri"/>
          <w:sz w:val="24"/>
          <w:szCs w:val="24"/>
        </w:rPr>
        <w:t xml:space="preserve"> and capacit</w:t>
      </w:r>
      <w:r w:rsidR="00866EB4">
        <w:rPr>
          <w:rFonts w:ascii="Calibri" w:hAnsi="Calibri"/>
          <w:sz w:val="24"/>
          <w:szCs w:val="24"/>
        </w:rPr>
        <w:t>ies</w:t>
      </w:r>
      <w:r w:rsidR="007F78CF" w:rsidRPr="007F78CF">
        <w:rPr>
          <w:rFonts w:ascii="Calibri" w:hAnsi="Calibri"/>
          <w:sz w:val="24"/>
          <w:szCs w:val="24"/>
        </w:rPr>
        <w:t xml:space="preserve"> of the hospitals.</w:t>
      </w:r>
    </w:p>
    <w:bookmarkEnd w:id="7"/>
    <w:p w14:paraId="674ADB41" w14:textId="214D2142" w:rsidR="00B14934" w:rsidRPr="007902A0" w:rsidRDefault="000F2F9C" w:rsidP="008F1189">
      <w:pPr>
        <w:spacing w:line="360" w:lineRule="auto"/>
        <w:jc w:val="both"/>
        <w:rPr>
          <w:sz w:val="24"/>
          <w:szCs w:val="24"/>
        </w:rPr>
      </w:pPr>
      <w:r>
        <w:rPr>
          <w:b/>
          <w:bCs/>
          <w:sz w:val="24"/>
          <w:szCs w:val="24"/>
        </w:rPr>
        <w:t>Design</w:t>
      </w:r>
      <w:r w:rsidR="007637A7">
        <w:rPr>
          <w:b/>
          <w:bCs/>
          <w:sz w:val="24"/>
          <w:szCs w:val="24"/>
        </w:rPr>
        <w:t>:</w:t>
      </w:r>
      <w:r w:rsidR="005548AD" w:rsidRPr="00B14934">
        <w:rPr>
          <w:b/>
          <w:bCs/>
          <w:sz w:val="24"/>
          <w:szCs w:val="24"/>
        </w:rPr>
        <w:t xml:space="preserve"> </w:t>
      </w:r>
      <w:r w:rsidR="00307EE5" w:rsidRPr="00EA327F">
        <w:rPr>
          <w:bCs/>
          <w:sz w:val="24"/>
          <w:szCs w:val="24"/>
        </w:rPr>
        <w:t xml:space="preserve">We employ </w:t>
      </w:r>
      <w:r w:rsidR="009E2FC7">
        <w:rPr>
          <w:bCs/>
          <w:sz w:val="24"/>
          <w:szCs w:val="24"/>
        </w:rPr>
        <w:t xml:space="preserve">the </w:t>
      </w:r>
      <w:r w:rsidR="00307EE5" w:rsidRPr="00EA327F">
        <w:rPr>
          <w:bCs/>
          <w:sz w:val="24"/>
          <w:szCs w:val="24"/>
        </w:rPr>
        <w:t xml:space="preserve">Data Envelopment Analysis </w:t>
      </w:r>
      <w:r w:rsidR="00307EE5" w:rsidRPr="00EA327F">
        <w:rPr>
          <w:sz w:val="24"/>
          <w:szCs w:val="24"/>
        </w:rPr>
        <w:t>(DEA)</w:t>
      </w:r>
      <w:r w:rsidR="00307EE5">
        <w:rPr>
          <w:b/>
          <w:bCs/>
          <w:sz w:val="24"/>
          <w:szCs w:val="24"/>
        </w:rPr>
        <w:t xml:space="preserve"> </w:t>
      </w:r>
      <w:r w:rsidR="005548AD" w:rsidRPr="00B14934">
        <w:rPr>
          <w:sz w:val="24"/>
          <w:szCs w:val="24"/>
        </w:rPr>
        <w:t xml:space="preserve">to </w:t>
      </w:r>
      <w:r w:rsidR="00307EE5">
        <w:rPr>
          <w:sz w:val="24"/>
          <w:szCs w:val="24"/>
        </w:rPr>
        <w:t xml:space="preserve">measure the </w:t>
      </w:r>
      <w:r w:rsidR="00EA327F">
        <w:rPr>
          <w:sz w:val="24"/>
          <w:szCs w:val="24"/>
        </w:rPr>
        <w:t>technical efficiency of 91 public hospitals</w:t>
      </w:r>
      <w:r w:rsidR="007902A0">
        <w:rPr>
          <w:sz w:val="24"/>
          <w:szCs w:val="24"/>
        </w:rPr>
        <w:t>. W</w:t>
      </w:r>
      <w:r w:rsidR="00F74FD1">
        <w:rPr>
          <w:sz w:val="24"/>
          <w:szCs w:val="24"/>
        </w:rPr>
        <w:t xml:space="preserve">e apply </w:t>
      </w:r>
      <w:r w:rsidR="004D3072">
        <w:rPr>
          <w:sz w:val="24"/>
          <w:szCs w:val="24"/>
        </w:rPr>
        <w:t xml:space="preserve">the input-oriented CCR and </w:t>
      </w:r>
      <w:r w:rsidR="00B319FB">
        <w:rPr>
          <w:sz w:val="24"/>
          <w:szCs w:val="24"/>
        </w:rPr>
        <w:t xml:space="preserve">BCC </w:t>
      </w:r>
      <w:r w:rsidR="00F74FD1">
        <w:rPr>
          <w:sz w:val="24"/>
          <w:szCs w:val="24"/>
        </w:rPr>
        <w:t>model</w:t>
      </w:r>
      <w:r w:rsidR="004D3072">
        <w:rPr>
          <w:sz w:val="24"/>
          <w:szCs w:val="24"/>
        </w:rPr>
        <w:t>s</w:t>
      </w:r>
      <w:r w:rsidR="00F74FD1">
        <w:rPr>
          <w:sz w:val="24"/>
          <w:szCs w:val="24"/>
        </w:rPr>
        <w:t xml:space="preserve"> </w:t>
      </w:r>
      <w:r w:rsidR="009A1AD0" w:rsidRPr="00F74FD1">
        <w:rPr>
          <w:sz w:val="24"/>
          <w:szCs w:val="24"/>
        </w:rPr>
        <w:t xml:space="preserve">under </w:t>
      </w:r>
      <w:r w:rsidR="004D3072">
        <w:rPr>
          <w:sz w:val="24"/>
          <w:szCs w:val="24"/>
        </w:rPr>
        <w:t xml:space="preserve">constant and </w:t>
      </w:r>
      <w:r w:rsidR="009A1AD0" w:rsidRPr="00F74FD1">
        <w:rPr>
          <w:sz w:val="24"/>
          <w:szCs w:val="24"/>
        </w:rPr>
        <w:t>variable returns-to-scale (</w:t>
      </w:r>
      <w:r w:rsidR="004D3072">
        <w:rPr>
          <w:sz w:val="24"/>
          <w:szCs w:val="24"/>
        </w:rPr>
        <w:t xml:space="preserve">CRS and </w:t>
      </w:r>
      <w:r w:rsidR="009A1AD0" w:rsidRPr="00F74FD1">
        <w:rPr>
          <w:sz w:val="24"/>
          <w:szCs w:val="24"/>
        </w:rPr>
        <w:t>VRS)</w:t>
      </w:r>
      <w:r w:rsidR="009A1AD0">
        <w:rPr>
          <w:sz w:val="24"/>
          <w:szCs w:val="24"/>
        </w:rPr>
        <w:t xml:space="preserve">. </w:t>
      </w:r>
      <w:r w:rsidR="006A3F9F">
        <w:rPr>
          <w:sz w:val="24"/>
          <w:szCs w:val="24"/>
        </w:rPr>
        <w:t>T</w:t>
      </w:r>
      <w:r w:rsidR="009A1AD0">
        <w:rPr>
          <w:sz w:val="24"/>
          <w:szCs w:val="24"/>
        </w:rPr>
        <w:t>he assessment include</w:t>
      </w:r>
      <w:r w:rsidR="006A3F9F">
        <w:rPr>
          <w:sz w:val="24"/>
          <w:szCs w:val="24"/>
        </w:rPr>
        <w:t>s</w:t>
      </w:r>
      <w:r w:rsidR="009A1AD0">
        <w:rPr>
          <w:sz w:val="24"/>
          <w:szCs w:val="24"/>
        </w:rPr>
        <w:t xml:space="preserve"> </w:t>
      </w:r>
      <w:r w:rsidR="005548AD" w:rsidRPr="00B14934">
        <w:rPr>
          <w:sz w:val="24"/>
          <w:szCs w:val="24"/>
        </w:rPr>
        <w:t>four inputs</w:t>
      </w:r>
      <w:r w:rsidR="00534677">
        <w:rPr>
          <w:sz w:val="24"/>
          <w:szCs w:val="24"/>
        </w:rPr>
        <w:t xml:space="preserve"> </w:t>
      </w:r>
      <w:r w:rsidR="005548AD" w:rsidRPr="00B14934">
        <w:rPr>
          <w:sz w:val="24"/>
          <w:szCs w:val="24"/>
        </w:rPr>
        <w:t>and six output variables</w:t>
      </w:r>
      <w:r w:rsidR="00866EB4">
        <w:rPr>
          <w:sz w:val="24"/>
          <w:szCs w:val="24"/>
        </w:rPr>
        <w:t xml:space="preserve"> </w:t>
      </w:r>
      <w:r w:rsidR="009A1AD0">
        <w:rPr>
          <w:sz w:val="24"/>
          <w:szCs w:val="24"/>
        </w:rPr>
        <w:t>taken</w:t>
      </w:r>
      <w:r w:rsidR="005548AD" w:rsidRPr="00B14934">
        <w:rPr>
          <w:sz w:val="24"/>
          <w:szCs w:val="24"/>
        </w:rPr>
        <w:t xml:space="preserve"> </w:t>
      </w:r>
      <w:r w:rsidR="000A3448">
        <w:rPr>
          <w:sz w:val="24"/>
          <w:szCs w:val="24"/>
        </w:rPr>
        <w:t>from</w:t>
      </w:r>
      <w:r w:rsidR="005548AD" w:rsidRPr="00B14934">
        <w:rPr>
          <w:sz w:val="24"/>
          <w:szCs w:val="24"/>
        </w:rPr>
        <w:t xml:space="preserve"> </w:t>
      </w:r>
      <w:r w:rsidR="0033741A">
        <w:rPr>
          <w:sz w:val="24"/>
          <w:szCs w:val="24"/>
        </w:rPr>
        <w:t xml:space="preserve">the </w:t>
      </w:r>
      <w:r w:rsidR="009E2FC7">
        <w:rPr>
          <w:sz w:val="24"/>
          <w:szCs w:val="24"/>
        </w:rPr>
        <w:t>M</w:t>
      </w:r>
      <w:r w:rsidR="00621E8A">
        <w:rPr>
          <w:sz w:val="24"/>
          <w:szCs w:val="24"/>
        </w:rPr>
        <w:t xml:space="preserve">inistry of </w:t>
      </w:r>
      <w:r w:rsidR="009E2FC7">
        <w:rPr>
          <w:sz w:val="24"/>
          <w:szCs w:val="24"/>
        </w:rPr>
        <w:t>H</w:t>
      </w:r>
      <w:r w:rsidR="00621E8A">
        <w:rPr>
          <w:sz w:val="24"/>
          <w:szCs w:val="24"/>
        </w:rPr>
        <w:t>ealth</w:t>
      </w:r>
      <w:r w:rsidR="005548AD" w:rsidRPr="00B14934">
        <w:rPr>
          <w:sz w:val="24"/>
          <w:szCs w:val="24"/>
        </w:rPr>
        <w:t xml:space="preserve"> databases </w:t>
      </w:r>
      <w:r w:rsidR="00621E8A">
        <w:rPr>
          <w:sz w:val="24"/>
          <w:szCs w:val="24"/>
        </w:rPr>
        <w:t xml:space="preserve">for </w:t>
      </w:r>
      <w:r w:rsidR="005548AD" w:rsidRPr="00B14934">
        <w:rPr>
          <w:sz w:val="24"/>
          <w:szCs w:val="24"/>
        </w:rPr>
        <w:t xml:space="preserve">2017. </w:t>
      </w:r>
      <w:r w:rsidR="000427F8">
        <w:rPr>
          <w:sz w:val="24"/>
          <w:szCs w:val="24"/>
        </w:rPr>
        <w:t>We conduct</w:t>
      </w:r>
      <w:r w:rsidR="006766C7">
        <w:rPr>
          <w:sz w:val="24"/>
          <w:szCs w:val="24"/>
        </w:rPr>
        <w:t>ed</w:t>
      </w:r>
      <w:r w:rsidR="000427F8">
        <w:rPr>
          <w:sz w:val="24"/>
          <w:szCs w:val="24"/>
        </w:rPr>
        <w:t xml:space="preserve"> the assessment via </w:t>
      </w:r>
      <w:r w:rsidR="005548AD" w:rsidRPr="00B14934">
        <w:rPr>
          <w:rFonts w:ascii="Calibri" w:hAnsi="Calibri"/>
          <w:sz w:val="24"/>
          <w:szCs w:val="24"/>
        </w:rPr>
        <w:t>PIM-DEA 3.2 software.</w:t>
      </w:r>
    </w:p>
    <w:p w14:paraId="28DA6FF1" w14:textId="1F8842FB" w:rsidR="000F2F9C" w:rsidRPr="00B14934" w:rsidRDefault="000F2F9C" w:rsidP="008F1189">
      <w:pPr>
        <w:spacing w:line="360" w:lineRule="auto"/>
        <w:jc w:val="both"/>
        <w:rPr>
          <w:b/>
          <w:bCs/>
          <w:sz w:val="24"/>
          <w:szCs w:val="24"/>
        </w:rPr>
      </w:pPr>
      <w:r w:rsidRPr="007316F8">
        <w:rPr>
          <w:rFonts w:ascii="Calibri" w:hAnsi="Calibri"/>
          <w:b/>
          <w:sz w:val="24"/>
          <w:szCs w:val="24"/>
        </w:rPr>
        <w:t>Setting</w:t>
      </w:r>
      <w:r w:rsidR="007637A7">
        <w:rPr>
          <w:rFonts w:ascii="Calibri" w:hAnsi="Calibri"/>
          <w:b/>
          <w:sz w:val="24"/>
          <w:szCs w:val="24"/>
        </w:rPr>
        <w:t>:</w:t>
      </w:r>
      <w:r>
        <w:rPr>
          <w:rFonts w:ascii="Calibri" w:hAnsi="Calibri"/>
          <w:sz w:val="24"/>
          <w:szCs w:val="24"/>
        </w:rPr>
        <w:t xml:space="preserve"> Ministry of health-affiliated hospitals in the Kingdom of Saudi</w:t>
      </w:r>
      <w:r w:rsidR="00866EB4">
        <w:rPr>
          <w:rFonts w:ascii="Calibri" w:hAnsi="Calibri"/>
          <w:sz w:val="24"/>
          <w:szCs w:val="24"/>
        </w:rPr>
        <w:t xml:space="preserve"> </w:t>
      </w:r>
      <w:r>
        <w:rPr>
          <w:rFonts w:ascii="Calibri" w:hAnsi="Calibri"/>
          <w:sz w:val="24"/>
          <w:szCs w:val="24"/>
        </w:rPr>
        <w:t>Arabia (KSA).</w:t>
      </w:r>
    </w:p>
    <w:p w14:paraId="403E551D" w14:textId="2701932E" w:rsidR="00584CA0" w:rsidRPr="00E050F6" w:rsidRDefault="005548AD" w:rsidP="008F1189">
      <w:pPr>
        <w:spacing w:line="360" w:lineRule="auto"/>
        <w:jc w:val="both"/>
        <w:rPr>
          <w:rFonts w:ascii="Calibri" w:hAnsi="Calibri"/>
          <w:sz w:val="24"/>
          <w:szCs w:val="24"/>
        </w:rPr>
      </w:pPr>
      <w:r w:rsidRPr="00B14934">
        <w:rPr>
          <w:b/>
          <w:bCs/>
          <w:sz w:val="24"/>
          <w:szCs w:val="24"/>
        </w:rPr>
        <w:t>Results</w:t>
      </w:r>
      <w:r w:rsidR="007637A7">
        <w:rPr>
          <w:b/>
          <w:bCs/>
          <w:sz w:val="24"/>
          <w:szCs w:val="24"/>
        </w:rPr>
        <w:t>:</w:t>
      </w:r>
      <w:r w:rsidRPr="00B14934">
        <w:rPr>
          <w:sz w:val="24"/>
          <w:szCs w:val="24"/>
        </w:rPr>
        <w:t xml:space="preserve"> </w:t>
      </w:r>
      <w:r w:rsidR="00621E8A">
        <w:rPr>
          <w:rFonts w:ascii="Calibri" w:hAnsi="Calibri"/>
          <w:sz w:val="24"/>
          <w:szCs w:val="24"/>
        </w:rPr>
        <w:t xml:space="preserve">Findings </w:t>
      </w:r>
      <w:r w:rsidR="00584CA0">
        <w:rPr>
          <w:rFonts w:ascii="Calibri" w:hAnsi="Calibri"/>
          <w:sz w:val="24"/>
          <w:szCs w:val="24"/>
        </w:rPr>
        <w:t>identified</w:t>
      </w:r>
      <w:r w:rsidRPr="00B14934">
        <w:rPr>
          <w:rFonts w:ascii="Calibri" w:hAnsi="Calibri"/>
          <w:sz w:val="24"/>
          <w:szCs w:val="24"/>
        </w:rPr>
        <w:t xml:space="preserve"> 75.8% (69 of 91) of public hospitals </w:t>
      </w:r>
      <w:r w:rsidR="00584CA0">
        <w:rPr>
          <w:rFonts w:ascii="Calibri" w:hAnsi="Calibri"/>
          <w:sz w:val="24"/>
          <w:szCs w:val="24"/>
        </w:rPr>
        <w:t>as</w:t>
      </w:r>
      <w:r w:rsidRPr="00B14934">
        <w:rPr>
          <w:rFonts w:ascii="Calibri" w:hAnsi="Calibri"/>
          <w:sz w:val="24"/>
          <w:szCs w:val="24"/>
        </w:rPr>
        <w:t xml:space="preserve"> technically inefficient. The </w:t>
      </w:r>
      <w:r w:rsidR="00621E8A">
        <w:rPr>
          <w:rFonts w:ascii="Calibri" w:hAnsi="Calibri"/>
          <w:sz w:val="24"/>
          <w:szCs w:val="24"/>
        </w:rPr>
        <w:t>average</w:t>
      </w:r>
      <w:r w:rsidRPr="00B14934">
        <w:rPr>
          <w:rFonts w:ascii="Calibri" w:hAnsi="Calibri"/>
          <w:sz w:val="24"/>
          <w:szCs w:val="24"/>
        </w:rPr>
        <w:t xml:space="preserve"> efficiency</w:t>
      </w:r>
      <w:r w:rsidR="00866EB4">
        <w:rPr>
          <w:rFonts w:ascii="Calibri" w:hAnsi="Calibri"/>
          <w:sz w:val="24"/>
          <w:szCs w:val="24"/>
        </w:rPr>
        <w:t>-</w:t>
      </w:r>
      <w:r w:rsidRPr="00B14934">
        <w:rPr>
          <w:rFonts w:ascii="Calibri" w:hAnsi="Calibri"/>
          <w:sz w:val="24"/>
          <w:szCs w:val="24"/>
        </w:rPr>
        <w:t>score was 0.76</w:t>
      </w:r>
      <w:r w:rsidR="005E5A88">
        <w:rPr>
          <w:sz w:val="24"/>
          <w:szCs w:val="24"/>
        </w:rPr>
        <w:t>,</w:t>
      </w:r>
      <w:r w:rsidR="000A3448">
        <w:rPr>
          <w:rFonts w:ascii="Calibri" w:hAnsi="Calibri"/>
          <w:sz w:val="24"/>
          <w:szCs w:val="24"/>
        </w:rPr>
        <w:t xml:space="preserve"> </w:t>
      </w:r>
      <w:r w:rsidR="00584CA0">
        <w:rPr>
          <w:rFonts w:ascii="Calibri" w:hAnsi="Calibri"/>
          <w:sz w:val="24"/>
          <w:szCs w:val="24"/>
        </w:rPr>
        <w:t xml:space="preserve">indicating </w:t>
      </w:r>
      <w:r w:rsidR="00621E8A">
        <w:rPr>
          <w:rFonts w:ascii="Calibri" w:hAnsi="Calibri"/>
          <w:sz w:val="24"/>
          <w:szCs w:val="24"/>
        </w:rPr>
        <w:t xml:space="preserve">that </w:t>
      </w:r>
      <w:r w:rsidRPr="00B14934">
        <w:rPr>
          <w:rFonts w:ascii="Calibri" w:hAnsi="Calibri"/>
          <w:sz w:val="24"/>
          <w:szCs w:val="24"/>
        </w:rPr>
        <w:t xml:space="preserve">hospitals could </w:t>
      </w:r>
      <w:r w:rsidR="00621E8A">
        <w:rPr>
          <w:rFonts w:ascii="Calibri" w:hAnsi="Calibri"/>
          <w:sz w:val="24"/>
          <w:szCs w:val="24"/>
        </w:rPr>
        <w:t xml:space="preserve">have </w:t>
      </w:r>
      <w:r w:rsidRPr="00B14934">
        <w:rPr>
          <w:rFonts w:ascii="Calibri" w:hAnsi="Calibri"/>
          <w:sz w:val="24"/>
          <w:szCs w:val="24"/>
        </w:rPr>
        <w:t>reduce</w:t>
      </w:r>
      <w:r w:rsidR="00621E8A">
        <w:rPr>
          <w:rFonts w:ascii="Calibri" w:hAnsi="Calibri"/>
          <w:sz w:val="24"/>
          <w:szCs w:val="24"/>
        </w:rPr>
        <w:t>d</w:t>
      </w:r>
      <w:r w:rsidRPr="00B14934">
        <w:rPr>
          <w:rFonts w:ascii="Calibri" w:hAnsi="Calibri"/>
          <w:sz w:val="24"/>
          <w:szCs w:val="24"/>
        </w:rPr>
        <w:t xml:space="preserve"> </w:t>
      </w:r>
      <w:r w:rsidR="0029074E">
        <w:rPr>
          <w:rFonts w:ascii="Calibri" w:hAnsi="Calibri"/>
          <w:sz w:val="24"/>
          <w:szCs w:val="24"/>
        </w:rPr>
        <w:t xml:space="preserve">their inputs </w:t>
      </w:r>
      <w:r w:rsidRPr="00B14934">
        <w:rPr>
          <w:rFonts w:ascii="Calibri" w:hAnsi="Calibri"/>
          <w:sz w:val="24"/>
          <w:szCs w:val="24"/>
        </w:rPr>
        <w:t xml:space="preserve">by 24% without </w:t>
      </w:r>
      <w:r w:rsidR="0033741A">
        <w:rPr>
          <w:rFonts w:ascii="Calibri" w:hAnsi="Calibri"/>
          <w:sz w:val="24"/>
          <w:szCs w:val="24"/>
        </w:rPr>
        <w:t xml:space="preserve">a </w:t>
      </w:r>
      <w:r w:rsidRPr="00B14934">
        <w:rPr>
          <w:rFonts w:ascii="Calibri" w:hAnsi="Calibri"/>
          <w:sz w:val="24"/>
          <w:szCs w:val="24"/>
        </w:rPr>
        <w:t xml:space="preserve">reduction </w:t>
      </w:r>
      <w:r w:rsidR="00621E8A">
        <w:rPr>
          <w:rFonts w:ascii="Calibri" w:hAnsi="Calibri"/>
          <w:sz w:val="24"/>
          <w:szCs w:val="24"/>
        </w:rPr>
        <w:t>in</w:t>
      </w:r>
      <w:r w:rsidR="0029074E">
        <w:rPr>
          <w:rFonts w:ascii="Calibri" w:hAnsi="Calibri"/>
          <w:sz w:val="24"/>
          <w:szCs w:val="24"/>
        </w:rPr>
        <w:t xml:space="preserve"> health</w:t>
      </w:r>
      <w:r w:rsidR="003F2005">
        <w:rPr>
          <w:rFonts w:ascii="Calibri" w:hAnsi="Calibri"/>
          <w:sz w:val="24"/>
          <w:szCs w:val="24"/>
        </w:rPr>
        <w:t>-</w:t>
      </w:r>
      <w:r w:rsidRPr="00B14934">
        <w:rPr>
          <w:rFonts w:ascii="Calibri" w:hAnsi="Calibri"/>
          <w:sz w:val="24"/>
          <w:szCs w:val="24"/>
        </w:rPr>
        <w:t xml:space="preserve">service provision. </w:t>
      </w:r>
      <w:r w:rsidR="00621E8A">
        <w:rPr>
          <w:rFonts w:ascii="Calibri" w:hAnsi="Calibri"/>
          <w:sz w:val="24"/>
          <w:szCs w:val="24"/>
        </w:rPr>
        <w:t>S</w:t>
      </w:r>
      <w:r w:rsidRPr="00B14934">
        <w:rPr>
          <w:rFonts w:ascii="Calibri" w:hAnsi="Calibri"/>
          <w:sz w:val="24"/>
          <w:szCs w:val="24"/>
        </w:rPr>
        <w:t>mall hospitals</w:t>
      </w:r>
      <w:r w:rsidR="00621E8A">
        <w:rPr>
          <w:rFonts w:ascii="Calibri" w:hAnsi="Calibri"/>
          <w:sz w:val="24"/>
          <w:szCs w:val="24"/>
        </w:rPr>
        <w:t>,</w:t>
      </w:r>
      <w:r w:rsidR="001779BB">
        <w:rPr>
          <w:rFonts w:ascii="Calibri" w:hAnsi="Calibri"/>
          <w:sz w:val="24"/>
          <w:szCs w:val="24"/>
        </w:rPr>
        <w:t xml:space="preserve"> </w:t>
      </w:r>
      <w:r w:rsidR="00866EB4">
        <w:rPr>
          <w:rFonts w:ascii="Calibri" w:hAnsi="Calibri"/>
          <w:sz w:val="24"/>
          <w:szCs w:val="24"/>
        </w:rPr>
        <w:t>(</w:t>
      </w:r>
      <w:r w:rsidR="000A3448">
        <w:rPr>
          <w:rFonts w:ascii="Calibri" w:hAnsi="Calibri"/>
          <w:sz w:val="24"/>
          <w:szCs w:val="24"/>
        </w:rPr>
        <w:t>efficiency</w:t>
      </w:r>
      <w:r w:rsidR="00866EB4">
        <w:rPr>
          <w:rFonts w:ascii="Calibri" w:hAnsi="Calibri"/>
          <w:sz w:val="24"/>
          <w:szCs w:val="24"/>
        </w:rPr>
        <w:t>-</w:t>
      </w:r>
      <w:r w:rsidR="000A3448">
        <w:rPr>
          <w:rFonts w:ascii="Calibri" w:hAnsi="Calibri"/>
          <w:sz w:val="24"/>
          <w:szCs w:val="24"/>
        </w:rPr>
        <w:t xml:space="preserve">score </w:t>
      </w:r>
      <w:r w:rsidRPr="00B14934">
        <w:rPr>
          <w:rFonts w:eastAsia="Times New Roman" w:cs="Times New Roman"/>
          <w:color w:val="000000"/>
          <w:sz w:val="24"/>
          <w:szCs w:val="24"/>
          <w:lang w:eastAsia="en-GB"/>
        </w:rPr>
        <w:t>0.79</w:t>
      </w:r>
      <w:r w:rsidR="00866EB4">
        <w:rPr>
          <w:rFonts w:eastAsia="Times New Roman" w:cs="Times New Roman"/>
          <w:color w:val="000000"/>
          <w:sz w:val="24"/>
          <w:szCs w:val="24"/>
          <w:lang w:eastAsia="en-GB"/>
        </w:rPr>
        <w:t>)</w:t>
      </w:r>
      <w:r w:rsidR="005E5A88">
        <w:rPr>
          <w:rFonts w:eastAsia="Times New Roman" w:cs="Times New Roman"/>
          <w:color w:val="000000"/>
          <w:sz w:val="24"/>
          <w:szCs w:val="24"/>
          <w:lang w:eastAsia="en-GB"/>
        </w:rPr>
        <w:t>,</w:t>
      </w:r>
      <w:r w:rsidR="007902A0">
        <w:rPr>
          <w:rFonts w:eastAsia="Times New Roman" w:cs="Times New Roman"/>
          <w:color w:val="000000"/>
          <w:sz w:val="24"/>
          <w:szCs w:val="24"/>
          <w:lang w:eastAsia="en-GB"/>
        </w:rPr>
        <w:t xml:space="preserve"> </w:t>
      </w:r>
      <w:r w:rsidRPr="00B14934">
        <w:rPr>
          <w:rFonts w:ascii="Calibri" w:hAnsi="Calibri"/>
          <w:sz w:val="24"/>
          <w:szCs w:val="24"/>
        </w:rPr>
        <w:t>were more efficient than medium</w:t>
      </w:r>
      <w:r w:rsidR="00621E8A">
        <w:rPr>
          <w:rFonts w:ascii="Calibri" w:hAnsi="Calibri"/>
          <w:sz w:val="24"/>
          <w:szCs w:val="24"/>
        </w:rPr>
        <w:t>-sized</w:t>
      </w:r>
      <w:r w:rsidRPr="00B14934">
        <w:rPr>
          <w:rFonts w:ascii="Calibri" w:hAnsi="Calibri"/>
          <w:sz w:val="24"/>
          <w:szCs w:val="24"/>
        </w:rPr>
        <w:t xml:space="preserve"> and large hospitals</w:t>
      </w:r>
      <w:r w:rsidR="000A3448">
        <w:rPr>
          <w:rFonts w:ascii="Calibri" w:hAnsi="Calibri"/>
          <w:sz w:val="24"/>
          <w:szCs w:val="24"/>
        </w:rPr>
        <w:t xml:space="preserve">. </w:t>
      </w:r>
      <w:r w:rsidR="00584CA0">
        <w:rPr>
          <w:rFonts w:ascii="Calibri" w:hAnsi="Calibri"/>
          <w:sz w:val="24"/>
          <w:szCs w:val="24"/>
        </w:rPr>
        <w:t>H</w:t>
      </w:r>
      <w:r w:rsidRPr="00B14934">
        <w:rPr>
          <w:rFonts w:ascii="Calibri" w:hAnsi="Calibri"/>
          <w:sz w:val="24"/>
          <w:szCs w:val="24"/>
        </w:rPr>
        <w:t xml:space="preserve">ospitals </w:t>
      </w:r>
      <w:r w:rsidR="00621E8A">
        <w:rPr>
          <w:rFonts w:ascii="Calibri" w:hAnsi="Calibri"/>
          <w:sz w:val="24"/>
          <w:szCs w:val="24"/>
        </w:rPr>
        <w:t xml:space="preserve">in </w:t>
      </w:r>
      <w:r w:rsidR="00584E5A">
        <w:rPr>
          <w:rFonts w:ascii="Calibri" w:hAnsi="Calibri"/>
          <w:sz w:val="24"/>
          <w:szCs w:val="24"/>
        </w:rPr>
        <w:t xml:space="preserve">the </w:t>
      </w:r>
      <w:r w:rsidR="00621E8A">
        <w:rPr>
          <w:rFonts w:ascii="Calibri" w:hAnsi="Calibri"/>
          <w:sz w:val="24"/>
          <w:szCs w:val="24"/>
        </w:rPr>
        <w:t>central</w:t>
      </w:r>
      <w:r w:rsidR="003F2005">
        <w:rPr>
          <w:rFonts w:ascii="Calibri" w:hAnsi="Calibri"/>
          <w:sz w:val="24"/>
          <w:szCs w:val="24"/>
        </w:rPr>
        <w:t>-</w:t>
      </w:r>
      <w:r w:rsidR="00584E5A">
        <w:rPr>
          <w:rFonts w:ascii="Calibri" w:hAnsi="Calibri"/>
          <w:sz w:val="24"/>
          <w:szCs w:val="24"/>
        </w:rPr>
        <w:t xml:space="preserve">region </w:t>
      </w:r>
      <w:r w:rsidRPr="00B14934">
        <w:rPr>
          <w:rFonts w:ascii="Calibri" w:hAnsi="Calibri"/>
          <w:sz w:val="24"/>
          <w:szCs w:val="24"/>
        </w:rPr>
        <w:t xml:space="preserve">were more efficient </w:t>
      </w:r>
      <w:r w:rsidR="00584E5A">
        <w:rPr>
          <w:rFonts w:ascii="Calibri" w:hAnsi="Calibri"/>
          <w:sz w:val="24"/>
          <w:szCs w:val="24"/>
        </w:rPr>
        <w:t>(</w:t>
      </w:r>
      <w:r w:rsidR="00866EB4">
        <w:rPr>
          <w:rFonts w:ascii="Calibri" w:hAnsi="Calibri"/>
          <w:sz w:val="24"/>
          <w:szCs w:val="24"/>
        </w:rPr>
        <w:t>efficiency-score</w:t>
      </w:r>
      <w:r w:rsidR="00584E5A">
        <w:rPr>
          <w:rFonts w:ascii="Calibri" w:hAnsi="Calibri"/>
          <w:sz w:val="24"/>
          <w:szCs w:val="24"/>
        </w:rPr>
        <w:t xml:space="preserve"> </w:t>
      </w:r>
      <w:r w:rsidR="00584E5A" w:rsidRPr="00B14934">
        <w:rPr>
          <w:rFonts w:ascii="Calibri" w:hAnsi="Calibri"/>
          <w:sz w:val="24"/>
          <w:szCs w:val="24"/>
        </w:rPr>
        <w:t>0.83</w:t>
      </w:r>
      <w:r w:rsidR="00584E5A">
        <w:rPr>
          <w:rFonts w:ascii="Calibri" w:hAnsi="Calibri"/>
          <w:sz w:val="24"/>
          <w:szCs w:val="24"/>
        </w:rPr>
        <w:t>)</w:t>
      </w:r>
      <w:r w:rsidR="00584E5A" w:rsidRPr="00B14934">
        <w:rPr>
          <w:rFonts w:ascii="Calibri" w:hAnsi="Calibri"/>
          <w:sz w:val="24"/>
          <w:szCs w:val="24"/>
        </w:rPr>
        <w:t xml:space="preserve"> </w:t>
      </w:r>
      <w:r w:rsidRPr="00B14934">
        <w:rPr>
          <w:rFonts w:ascii="Calibri" w:hAnsi="Calibri"/>
          <w:sz w:val="24"/>
          <w:szCs w:val="24"/>
        </w:rPr>
        <w:t>than those located in other geographic</w:t>
      </w:r>
      <w:r w:rsidR="00866EB4">
        <w:rPr>
          <w:rFonts w:ascii="Calibri" w:hAnsi="Calibri"/>
          <w:sz w:val="24"/>
          <w:szCs w:val="24"/>
        </w:rPr>
        <w:t>-</w:t>
      </w:r>
      <w:r w:rsidRPr="00B14934">
        <w:rPr>
          <w:rFonts w:ascii="Calibri" w:hAnsi="Calibri"/>
          <w:sz w:val="24"/>
          <w:szCs w:val="24"/>
        </w:rPr>
        <w:t>locations</w:t>
      </w:r>
      <w:r w:rsidR="00584E5A">
        <w:rPr>
          <w:rFonts w:ascii="Calibri" w:hAnsi="Calibri"/>
          <w:sz w:val="24"/>
          <w:szCs w:val="24"/>
        </w:rPr>
        <w:t>.</w:t>
      </w:r>
      <w:r w:rsidRPr="00B14934">
        <w:rPr>
          <w:rFonts w:ascii="Calibri" w:hAnsi="Calibri"/>
          <w:sz w:val="24"/>
          <w:szCs w:val="24"/>
        </w:rPr>
        <w:t xml:space="preserve"> More than half of </w:t>
      </w:r>
      <w:r w:rsidR="004D3072">
        <w:rPr>
          <w:rFonts w:ascii="Calibri" w:hAnsi="Calibri"/>
          <w:sz w:val="24"/>
          <w:szCs w:val="24"/>
        </w:rPr>
        <w:t>the</w:t>
      </w:r>
      <w:r w:rsidR="004D3072" w:rsidRPr="00B14934">
        <w:rPr>
          <w:rFonts w:ascii="Calibri" w:hAnsi="Calibri"/>
          <w:sz w:val="24"/>
          <w:szCs w:val="24"/>
        </w:rPr>
        <w:t xml:space="preserve"> </w:t>
      </w:r>
      <w:r w:rsidRPr="00B14934">
        <w:rPr>
          <w:rFonts w:ascii="Calibri" w:hAnsi="Calibri"/>
          <w:sz w:val="24"/>
          <w:szCs w:val="24"/>
        </w:rPr>
        <w:t xml:space="preserve">hospitals (62.6%) were operating </w:t>
      </w:r>
      <w:r w:rsidR="003652FF">
        <w:rPr>
          <w:rFonts w:ascii="Calibri" w:hAnsi="Calibri"/>
          <w:sz w:val="24"/>
          <w:szCs w:val="24"/>
        </w:rPr>
        <w:t xml:space="preserve">sub-optimally in terms of </w:t>
      </w:r>
      <w:r w:rsidR="0072199B">
        <w:rPr>
          <w:rFonts w:ascii="Calibri" w:hAnsi="Calibri"/>
          <w:sz w:val="24"/>
          <w:szCs w:val="24"/>
        </w:rPr>
        <w:t xml:space="preserve">the </w:t>
      </w:r>
      <w:r w:rsidR="003652FF">
        <w:rPr>
          <w:rFonts w:ascii="Calibri" w:hAnsi="Calibri"/>
          <w:sz w:val="24"/>
          <w:szCs w:val="24"/>
        </w:rPr>
        <w:t>scale</w:t>
      </w:r>
      <w:r w:rsidR="003F2005">
        <w:rPr>
          <w:rFonts w:ascii="Calibri" w:hAnsi="Calibri"/>
          <w:sz w:val="24"/>
          <w:szCs w:val="24"/>
        </w:rPr>
        <w:t>-</w:t>
      </w:r>
      <w:r w:rsidR="0072199B">
        <w:rPr>
          <w:rFonts w:ascii="Calibri" w:hAnsi="Calibri"/>
          <w:sz w:val="24"/>
          <w:szCs w:val="24"/>
        </w:rPr>
        <w:t>efficiency</w:t>
      </w:r>
      <w:r w:rsidR="00584E5A">
        <w:rPr>
          <w:rFonts w:ascii="Calibri" w:hAnsi="Calibri"/>
          <w:sz w:val="24"/>
          <w:szCs w:val="24"/>
        </w:rPr>
        <w:t xml:space="preserve">, </w:t>
      </w:r>
      <w:r w:rsidR="00584E5A" w:rsidRPr="00A05373">
        <w:rPr>
          <w:rFonts w:ascii="Calibri" w:hAnsi="Calibri"/>
          <w:sz w:val="24"/>
          <w:szCs w:val="24"/>
        </w:rPr>
        <w:t xml:space="preserve">implying that to improve efficiency, they need to </w:t>
      </w:r>
      <w:r w:rsidR="00584E5A">
        <w:rPr>
          <w:rFonts w:ascii="Calibri" w:hAnsi="Calibri"/>
          <w:sz w:val="24"/>
          <w:szCs w:val="24"/>
        </w:rPr>
        <w:t xml:space="preserve">alter </w:t>
      </w:r>
      <w:r w:rsidR="00584E5A" w:rsidRPr="00A05373">
        <w:rPr>
          <w:rFonts w:ascii="Calibri" w:hAnsi="Calibri"/>
          <w:sz w:val="24"/>
          <w:szCs w:val="24"/>
        </w:rPr>
        <w:t>their production capacity</w:t>
      </w:r>
      <w:r w:rsidRPr="00B14934">
        <w:rPr>
          <w:rFonts w:ascii="Calibri" w:hAnsi="Calibri"/>
          <w:sz w:val="24"/>
          <w:szCs w:val="24"/>
        </w:rPr>
        <w:t xml:space="preserve">. </w:t>
      </w:r>
      <w:r w:rsidR="00584E5A">
        <w:rPr>
          <w:rFonts w:ascii="Calibri" w:hAnsi="Calibri"/>
          <w:sz w:val="24"/>
          <w:szCs w:val="24"/>
        </w:rPr>
        <w:t>Performance</w:t>
      </w:r>
      <w:r w:rsidRPr="00B14934">
        <w:rPr>
          <w:rFonts w:ascii="Calibri" w:hAnsi="Calibri"/>
          <w:sz w:val="24"/>
          <w:szCs w:val="24"/>
        </w:rPr>
        <w:t xml:space="preserve"> analysis identified </w:t>
      </w:r>
      <w:r w:rsidR="009E2FC7">
        <w:rPr>
          <w:rFonts w:ascii="Calibri" w:hAnsi="Calibri"/>
          <w:sz w:val="24"/>
          <w:szCs w:val="24"/>
        </w:rPr>
        <w:t xml:space="preserve">the </w:t>
      </w:r>
      <w:r w:rsidR="000A3448">
        <w:rPr>
          <w:rFonts w:ascii="Calibri" w:hAnsi="Calibri"/>
          <w:sz w:val="24"/>
          <w:szCs w:val="24"/>
        </w:rPr>
        <w:t xml:space="preserve">overuse of </w:t>
      </w:r>
      <w:r w:rsidR="00682268" w:rsidRPr="00B14934">
        <w:rPr>
          <w:rFonts w:ascii="Calibri" w:hAnsi="Calibri"/>
          <w:sz w:val="24"/>
          <w:szCs w:val="24"/>
        </w:rPr>
        <w:t>physician</w:t>
      </w:r>
      <w:r w:rsidR="00682268">
        <w:rPr>
          <w:rFonts w:ascii="Calibri" w:hAnsi="Calibri"/>
          <w:sz w:val="24"/>
          <w:szCs w:val="24"/>
        </w:rPr>
        <w:t>’s</w:t>
      </w:r>
      <w:r w:rsidR="003A0133">
        <w:rPr>
          <w:rFonts w:ascii="Calibri" w:hAnsi="Calibri"/>
          <w:sz w:val="24"/>
          <w:szCs w:val="24"/>
        </w:rPr>
        <w:t xml:space="preserve"> </w:t>
      </w:r>
      <w:r w:rsidR="007A4CC8">
        <w:rPr>
          <w:rFonts w:ascii="Calibri" w:hAnsi="Calibri"/>
          <w:sz w:val="24"/>
          <w:szCs w:val="24"/>
        </w:rPr>
        <w:t>numbers</w:t>
      </w:r>
      <w:r w:rsidRPr="00B14934">
        <w:rPr>
          <w:rFonts w:ascii="Calibri" w:hAnsi="Calibri"/>
          <w:sz w:val="24"/>
          <w:szCs w:val="24"/>
        </w:rPr>
        <w:t xml:space="preserve"> and shortage of </w:t>
      </w:r>
      <w:r w:rsidR="00584E5A">
        <w:rPr>
          <w:rFonts w:ascii="Calibri" w:hAnsi="Calibri"/>
          <w:sz w:val="24"/>
          <w:szCs w:val="24"/>
        </w:rPr>
        <w:t>health</w:t>
      </w:r>
      <w:r w:rsidR="00866EB4">
        <w:rPr>
          <w:rFonts w:ascii="Calibri" w:hAnsi="Calibri"/>
          <w:sz w:val="24"/>
          <w:szCs w:val="24"/>
        </w:rPr>
        <w:t>-</w:t>
      </w:r>
      <w:r w:rsidRPr="00B14934">
        <w:rPr>
          <w:rFonts w:ascii="Calibri" w:hAnsi="Calibri"/>
          <w:sz w:val="24"/>
          <w:szCs w:val="24"/>
        </w:rPr>
        <w:t>services</w:t>
      </w:r>
      <w:r w:rsidR="00584E5A">
        <w:rPr>
          <w:rFonts w:ascii="Calibri" w:hAnsi="Calibri"/>
          <w:sz w:val="24"/>
          <w:szCs w:val="24"/>
        </w:rPr>
        <w:t xml:space="preserve"> production</w:t>
      </w:r>
      <w:r w:rsidR="000A3448">
        <w:rPr>
          <w:rFonts w:ascii="Calibri" w:hAnsi="Calibri"/>
          <w:sz w:val="24"/>
          <w:szCs w:val="24"/>
        </w:rPr>
        <w:t xml:space="preserve">, </w:t>
      </w:r>
      <w:r w:rsidR="00584CA0">
        <w:rPr>
          <w:rFonts w:ascii="Calibri" w:hAnsi="Calibri"/>
          <w:sz w:val="24"/>
          <w:szCs w:val="24"/>
        </w:rPr>
        <w:t xml:space="preserve">as </w:t>
      </w:r>
      <w:r w:rsidRPr="00B14934">
        <w:rPr>
          <w:rFonts w:ascii="Calibri" w:hAnsi="Calibri"/>
          <w:sz w:val="24"/>
          <w:szCs w:val="24"/>
        </w:rPr>
        <w:t xml:space="preserve">major causes of inefficiency. </w:t>
      </w:r>
    </w:p>
    <w:p w14:paraId="5531C364" w14:textId="02781A04" w:rsidR="00175E2B" w:rsidRDefault="005548AD" w:rsidP="008F1189">
      <w:pPr>
        <w:spacing w:line="360" w:lineRule="auto"/>
        <w:jc w:val="both"/>
        <w:rPr>
          <w:rFonts w:ascii="Calibri" w:hAnsi="Calibri"/>
          <w:b/>
          <w:sz w:val="24"/>
          <w:szCs w:val="24"/>
        </w:rPr>
      </w:pPr>
      <w:r w:rsidRPr="00B14934">
        <w:rPr>
          <w:b/>
          <w:bCs/>
          <w:sz w:val="24"/>
          <w:szCs w:val="24"/>
        </w:rPr>
        <w:t>Conclusion</w:t>
      </w:r>
      <w:r w:rsidR="007637A7">
        <w:rPr>
          <w:b/>
          <w:bCs/>
          <w:sz w:val="24"/>
          <w:szCs w:val="24"/>
        </w:rPr>
        <w:t>:</w:t>
      </w:r>
      <w:r w:rsidRPr="00B14934">
        <w:rPr>
          <w:sz w:val="24"/>
          <w:szCs w:val="24"/>
        </w:rPr>
        <w:t xml:space="preserve"> </w:t>
      </w:r>
      <w:r w:rsidR="000A3448">
        <w:rPr>
          <w:sz w:val="24"/>
          <w:szCs w:val="24"/>
        </w:rPr>
        <w:t>M</w:t>
      </w:r>
      <w:r w:rsidR="003652FF">
        <w:rPr>
          <w:sz w:val="24"/>
          <w:szCs w:val="24"/>
        </w:rPr>
        <w:t>ost</w:t>
      </w:r>
      <w:r w:rsidR="000A3448">
        <w:rPr>
          <w:sz w:val="24"/>
          <w:szCs w:val="24"/>
        </w:rPr>
        <w:t xml:space="preserve"> hospitals </w:t>
      </w:r>
      <w:r w:rsidR="003652FF">
        <w:rPr>
          <w:sz w:val="24"/>
          <w:szCs w:val="24"/>
        </w:rPr>
        <w:t>were</w:t>
      </w:r>
      <w:r w:rsidR="000A3448">
        <w:rPr>
          <w:sz w:val="24"/>
          <w:szCs w:val="24"/>
        </w:rPr>
        <w:t xml:space="preserve"> technically inefficient and operating </w:t>
      </w:r>
      <w:r w:rsidR="003652FF">
        <w:rPr>
          <w:sz w:val="24"/>
          <w:szCs w:val="24"/>
        </w:rPr>
        <w:t>at sub-optimal scale</w:t>
      </w:r>
      <w:r w:rsidR="007A4CC8">
        <w:rPr>
          <w:sz w:val="24"/>
          <w:szCs w:val="24"/>
        </w:rPr>
        <w:t xml:space="preserve"> size</w:t>
      </w:r>
      <w:r w:rsidR="00E355A9">
        <w:rPr>
          <w:sz w:val="24"/>
          <w:szCs w:val="24"/>
        </w:rPr>
        <w:t xml:space="preserve"> and </w:t>
      </w:r>
      <w:r w:rsidR="00584E5A">
        <w:rPr>
          <w:sz w:val="24"/>
          <w:szCs w:val="24"/>
        </w:rPr>
        <w:t>indicate</w:t>
      </w:r>
      <w:r w:rsidR="00E355A9">
        <w:rPr>
          <w:sz w:val="24"/>
          <w:szCs w:val="24"/>
        </w:rPr>
        <w:t xml:space="preserve"> that many hospitals may improve their performance </w:t>
      </w:r>
      <w:r w:rsidR="00584E5A">
        <w:rPr>
          <w:sz w:val="24"/>
          <w:szCs w:val="24"/>
        </w:rPr>
        <w:t>through</w:t>
      </w:r>
      <w:r w:rsidR="00E355A9">
        <w:rPr>
          <w:sz w:val="24"/>
          <w:szCs w:val="24"/>
        </w:rPr>
        <w:t xml:space="preserve"> efficient utilization of health resources to provide</w:t>
      </w:r>
      <w:r w:rsidR="00E355A9" w:rsidRPr="00E355A9">
        <w:rPr>
          <w:rFonts w:ascii="Calibri" w:hAnsi="Calibri"/>
          <w:sz w:val="24"/>
          <w:szCs w:val="24"/>
        </w:rPr>
        <w:t xml:space="preserve"> </w:t>
      </w:r>
      <w:r w:rsidR="00E355A9" w:rsidRPr="00E355A9">
        <w:rPr>
          <w:sz w:val="24"/>
          <w:szCs w:val="24"/>
        </w:rPr>
        <w:t>the current level of health services</w:t>
      </w:r>
      <w:r w:rsidR="000A3448">
        <w:rPr>
          <w:sz w:val="24"/>
          <w:szCs w:val="24"/>
        </w:rPr>
        <w:t xml:space="preserve">. </w:t>
      </w:r>
      <w:r w:rsidR="00B90F51" w:rsidRPr="00B90F51">
        <w:rPr>
          <w:rFonts w:ascii="Calibri" w:hAnsi="Calibri"/>
          <w:sz w:val="24"/>
          <w:szCs w:val="24"/>
        </w:rPr>
        <w:t xml:space="preserve">Changes </w:t>
      </w:r>
      <w:r w:rsidR="006A3F9F">
        <w:rPr>
          <w:rFonts w:ascii="Calibri" w:hAnsi="Calibri"/>
          <w:sz w:val="24"/>
          <w:szCs w:val="24"/>
        </w:rPr>
        <w:t>in</w:t>
      </w:r>
      <w:r w:rsidR="00B90F51" w:rsidRPr="00B90F51">
        <w:rPr>
          <w:rFonts w:ascii="Calibri" w:hAnsi="Calibri"/>
          <w:sz w:val="24"/>
          <w:szCs w:val="24"/>
        </w:rPr>
        <w:t xml:space="preserve"> the production capacity are required</w:t>
      </w:r>
      <w:r w:rsidR="00E355A9" w:rsidRPr="00E355A9">
        <w:t xml:space="preserve"> </w:t>
      </w:r>
      <w:r w:rsidR="00E355A9" w:rsidRPr="00E355A9">
        <w:rPr>
          <w:rFonts w:ascii="Calibri" w:hAnsi="Calibri"/>
          <w:sz w:val="24"/>
          <w:szCs w:val="24"/>
        </w:rPr>
        <w:t xml:space="preserve">to facilitate optimal use of medical capacity. </w:t>
      </w:r>
      <w:r w:rsidR="00E355A9">
        <w:rPr>
          <w:rFonts w:ascii="Calibri" w:hAnsi="Calibri"/>
          <w:sz w:val="24"/>
          <w:szCs w:val="24"/>
        </w:rPr>
        <w:t>The inefficient hospitals could benefit from these findings to benchmarking their system</w:t>
      </w:r>
      <w:r w:rsidR="009322E1">
        <w:rPr>
          <w:rFonts w:ascii="Calibri" w:hAnsi="Calibri"/>
          <w:sz w:val="24"/>
          <w:szCs w:val="24"/>
        </w:rPr>
        <w:t xml:space="preserve"> and performance </w:t>
      </w:r>
      <w:proofErr w:type="gramStart"/>
      <w:r w:rsidR="009322E1">
        <w:rPr>
          <w:rFonts w:ascii="Calibri" w:hAnsi="Calibri"/>
          <w:sz w:val="24"/>
          <w:szCs w:val="24"/>
        </w:rPr>
        <w:t>in light of</w:t>
      </w:r>
      <w:proofErr w:type="gramEnd"/>
      <w:r w:rsidR="009322E1">
        <w:rPr>
          <w:rFonts w:ascii="Calibri" w:hAnsi="Calibri"/>
          <w:sz w:val="24"/>
          <w:szCs w:val="24"/>
        </w:rPr>
        <w:t xml:space="preserve"> the efficient hospital within their capacity </w:t>
      </w:r>
      <w:r w:rsidR="00866EB4">
        <w:rPr>
          <w:rFonts w:ascii="Calibri" w:hAnsi="Calibri"/>
          <w:sz w:val="24"/>
          <w:szCs w:val="24"/>
        </w:rPr>
        <w:t>and</w:t>
      </w:r>
      <w:r w:rsidR="009322E1">
        <w:rPr>
          <w:rFonts w:ascii="Calibri" w:hAnsi="Calibri"/>
          <w:sz w:val="24"/>
          <w:szCs w:val="24"/>
        </w:rPr>
        <w:t xml:space="preserve"> geographic location</w:t>
      </w:r>
      <w:bookmarkStart w:id="10" w:name="_Hlk15981203"/>
      <w:r w:rsidR="00584E5A">
        <w:rPr>
          <w:rFonts w:ascii="Calibri" w:hAnsi="Calibri"/>
          <w:sz w:val="24"/>
          <w:szCs w:val="24"/>
        </w:rPr>
        <w:t>.</w:t>
      </w:r>
      <w:r w:rsidR="00345659">
        <w:rPr>
          <w:rFonts w:ascii="Calibri" w:hAnsi="Calibri"/>
          <w:sz w:val="24"/>
          <w:szCs w:val="24"/>
        </w:rPr>
        <w:t xml:space="preserve"> </w:t>
      </w:r>
      <w:bookmarkEnd w:id="6"/>
      <w:bookmarkEnd w:id="10"/>
    </w:p>
    <w:p w14:paraId="686C0A6F" w14:textId="2FDD3B1E" w:rsidR="008E46D7" w:rsidRPr="008E46D7" w:rsidRDefault="008E46D7" w:rsidP="008F1189">
      <w:pPr>
        <w:spacing w:line="360" w:lineRule="auto"/>
        <w:jc w:val="both"/>
        <w:rPr>
          <w:rFonts w:ascii="Calibri" w:hAnsi="Calibri"/>
          <w:b/>
          <w:sz w:val="24"/>
          <w:szCs w:val="24"/>
        </w:rPr>
      </w:pPr>
      <w:r w:rsidRPr="008E46D7">
        <w:rPr>
          <w:rFonts w:ascii="Calibri" w:hAnsi="Calibri"/>
          <w:b/>
          <w:sz w:val="24"/>
          <w:szCs w:val="24"/>
        </w:rPr>
        <w:t>Strengths and limitations of this study</w:t>
      </w:r>
      <w:r w:rsidR="007637A7">
        <w:rPr>
          <w:rFonts w:ascii="Calibri" w:hAnsi="Calibri"/>
          <w:b/>
          <w:sz w:val="24"/>
          <w:szCs w:val="24"/>
        </w:rPr>
        <w:t>:</w:t>
      </w:r>
    </w:p>
    <w:p w14:paraId="5C57D0FA" w14:textId="06A87714" w:rsidR="00DD0E93" w:rsidRPr="00D84107" w:rsidRDefault="00DD0E93" w:rsidP="008F1189">
      <w:pPr>
        <w:pStyle w:val="ListParagraph"/>
        <w:numPr>
          <w:ilvl w:val="0"/>
          <w:numId w:val="15"/>
        </w:numPr>
        <w:spacing w:line="360" w:lineRule="auto"/>
        <w:ind w:left="284"/>
        <w:jc w:val="both"/>
        <w:rPr>
          <w:rFonts w:ascii="Calibri" w:hAnsi="Calibri"/>
          <w:sz w:val="24"/>
          <w:szCs w:val="24"/>
        </w:rPr>
      </w:pPr>
      <w:r w:rsidRPr="00D84107">
        <w:rPr>
          <w:rFonts w:ascii="Calibri" w:hAnsi="Calibri"/>
          <w:sz w:val="24"/>
          <w:szCs w:val="24"/>
        </w:rPr>
        <w:lastRenderedPageBreak/>
        <w:t xml:space="preserve">The study challenged to find data on economic values, </w:t>
      </w:r>
      <w:r w:rsidR="009E2FC7">
        <w:rPr>
          <w:rFonts w:ascii="Calibri" w:hAnsi="Calibri"/>
          <w:sz w:val="24"/>
          <w:szCs w:val="24"/>
        </w:rPr>
        <w:t xml:space="preserve">the </w:t>
      </w:r>
      <w:r w:rsidRPr="00D84107">
        <w:rPr>
          <w:rFonts w:ascii="Calibri" w:hAnsi="Calibri"/>
          <w:sz w:val="24"/>
          <w:szCs w:val="24"/>
        </w:rPr>
        <w:t xml:space="preserve">severity of cases and </w:t>
      </w:r>
      <w:r w:rsidR="009E2FC7">
        <w:rPr>
          <w:rFonts w:ascii="Calibri" w:hAnsi="Calibri"/>
          <w:sz w:val="24"/>
          <w:szCs w:val="24"/>
        </w:rPr>
        <w:t xml:space="preserve">the </w:t>
      </w:r>
      <w:r w:rsidRPr="00D84107">
        <w:rPr>
          <w:rFonts w:ascii="Calibri" w:hAnsi="Calibri"/>
          <w:sz w:val="24"/>
          <w:szCs w:val="24"/>
        </w:rPr>
        <w:t xml:space="preserve">quality of services. We expanded the selection of the variables to cover a broad range of health services and resources </w:t>
      </w:r>
      <w:r>
        <w:rPr>
          <w:rFonts w:ascii="Calibri" w:hAnsi="Calibri"/>
          <w:sz w:val="24"/>
          <w:szCs w:val="24"/>
        </w:rPr>
        <w:t>in</w:t>
      </w:r>
      <w:r w:rsidRPr="00D84107">
        <w:rPr>
          <w:rFonts w:ascii="Calibri" w:hAnsi="Calibri"/>
          <w:sz w:val="24"/>
          <w:szCs w:val="24"/>
        </w:rPr>
        <w:t xml:space="preserve"> the hospitals.</w:t>
      </w:r>
    </w:p>
    <w:p w14:paraId="0F6934C3" w14:textId="02598774" w:rsidR="008E46D7" w:rsidRPr="00D84107" w:rsidRDefault="008E46D7" w:rsidP="008F1189">
      <w:pPr>
        <w:pStyle w:val="ListParagraph"/>
        <w:numPr>
          <w:ilvl w:val="0"/>
          <w:numId w:val="15"/>
        </w:numPr>
        <w:spacing w:line="360" w:lineRule="auto"/>
        <w:ind w:left="284"/>
        <w:jc w:val="both"/>
        <w:rPr>
          <w:rFonts w:ascii="Calibri" w:hAnsi="Calibri"/>
          <w:sz w:val="24"/>
          <w:szCs w:val="24"/>
        </w:rPr>
      </w:pPr>
      <w:r w:rsidRPr="00D84107">
        <w:rPr>
          <w:rFonts w:ascii="Calibri" w:hAnsi="Calibri"/>
          <w:sz w:val="24"/>
          <w:szCs w:val="24"/>
        </w:rPr>
        <w:t xml:space="preserve">The hospital mortality rate was included in output variables as </w:t>
      </w:r>
      <w:r w:rsidR="00DD0E93" w:rsidRPr="00D84107">
        <w:rPr>
          <w:rFonts w:ascii="Calibri" w:hAnsi="Calibri"/>
          <w:sz w:val="24"/>
          <w:szCs w:val="24"/>
        </w:rPr>
        <w:t xml:space="preserve">a proxy </w:t>
      </w:r>
      <w:r w:rsidRPr="00D84107">
        <w:rPr>
          <w:rFonts w:ascii="Calibri" w:hAnsi="Calibri"/>
          <w:sz w:val="24"/>
          <w:szCs w:val="24"/>
        </w:rPr>
        <w:t>of the service quality</w:t>
      </w:r>
      <w:r w:rsidR="00DD0E93" w:rsidRPr="00D84107">
        <w:rPr>
          <w:rFonts w:ascii="Calibri" w:hAnsi="Calibri"/>
          <w:sz w:val="24"/>
          <w:szCs w:val="24"/>
        </w:rPr>
        <w:t xml:space="preserve"> </w:t>
      </w:r>
      <w:r w:rsidRPr="00D84107">
        <w:rPr>
          <w:rFonts w:ascii="Calibri" w:hAnsi="Calibri"/>
          <w:sz w:val="24"/>
          <w:szCs w:val="24"/>
        </w:rPr>
        <w:t>in the studied hospitals.</w:t>
      </w:r>
    </w:p>
    <w:p w14:paraId="543A0F78" w14:textId="548AB7CF" w:rsidR="00DD0E93" w:rsidRPr="00D84107" w:rsidRDefault="00DD0E93" w:rsidP="008F1189">
      <w:pPr>
        <w:pStyle w:val="ListParagraph"/>
        <w:numPr>
          <w:ilvl w:val="0"/>
          <w:numId w:val="15"/>
        </w:numPr>
        <w:spacing w:line="360" w:lineRule="auto"/>
        <w:ind w:left="284"/>
        <w:jc w:val="both"/>
        <w:rPr>
          <w:rFonts w:ascii="Calibri" w:hAnsi="Calibri"/>
          <w:sz w:val="24"/>
          <w:szCs w:val="24"/>
        </w:rPr>
      </w:pPr>
      <w:r w:rsidRPr="00D84107">
        <w:rPr>
          <w:rFonts w:ascii="Calibri" w:hAnsi="Calibri"/>
          <w:sz w:val="24"/>
          <w:szCs w:val="24"/>
        </w:rPr>
        <w:t>We did not apply output-oriented DEA models</w:t>
      </w:r>
      <w:r w:rsidR="0033741A">
        <w:rPr>
          <w:rFonts w:ascii="Calibri" w:hAnsi="Calibri"/>
          <w:sz w:val="24"/>
          <w:szCs w:val="24"/>
        </w:rPr>
        <w:t>;</w:t>
      </w:r>
      <w:r w:rsidR="0033741A" w:rsidRPr="00D84107">
        <w:rPr>
          <w:rFonts w:ascii="Calibri" w:hAnsi="Calibri"/>
          <w:sz w:val="24"/>
          <w:szCs w:val="24"/>
        </w:rPr>
        <w:t xml:space="preserve"> </w:t>
      </w:r>
      <w:r w:rsidRPr="00D84107">
        <w:rPr>
          <w:rFonts w:ascii="Calibri" w:hAnsi="Calibri"/>
          <w:sz w:val="24"/>
          <w:szCs w:val="24"/>
        </w:rPr>
        <w:t>alternatively, we adopted input-orientation</w:t>
      </w:r>
      <w:r w:rsidR="00175E2B">
        <w:rPr>
          <w:rFonts w:ascii="Calibri" w:hAnsi="Calibri"/>
          <w:sz w:val="24"/>
          <w:szCs w:val="24"/>
        </w:rPr>
        <w:t>,</w:t>
      </w:r>
      <w:r w:rsidRPr="00D84107">
        <w:rPr>
          <w:rFonts w:ascii="Calibri" w:hAnsi="Calibri"/>
          <w:sz w:val="24"/>
          <w:szCs w:val="24"/>
        </w:rPr>
        <w:t xml:space="preserve"> </w:t>
      </w:r>
      <w:r w:rsidR="00175E2B">
        <w:rPr>
          <w:rFonts w:ascii="Calibri" w:hAnsi="Calibri"/>
          <w:sz w:val="24"/>
          <w:szCs w:val="24"/>
        </w:rPr>
        <w:t>s</w:t>
      </w:r>
      <w:r w:rsidR="00175E2B" w:rsidRPr="00D84107">
        <w:rPr>
          <w:rFonts w:ascii="Calibri" w:hAnsi="Calibri"/>
          <w:sz w:val="24"/>
          <w:szCs w:val="24"/>
        </w:rPr>
        <w:t>ince</w:t>
      </w:r>
      <w:r w:rsidRPr="00D84107">
        <w:rPr>
          <w:rFonts w:ascii="Calibri" w:hAnsi="Calibri"/>
          <w:sz w:val="24"/>
          <w:szCs w:val="24"/>
        </w:rPr>
        <w:t xml:space="preserve"> we </w:t>
      </w:r>
      <w:r>
        <w:rPr>
          <w:rFonts w:ascii="Calibri" w:hAnsi="Calibri"/>
          <w:sz w:val="24"/>
          <w:szCs w:val="24"/>
        </w:rPr>
        <w:t xml:space="preserve">aimed to </w:t>
      </w:r>
      <w:r w:rsidRPr="00D84107">
        <w:rPr>
          <w:rFonts w:ascii="Calibri" w:hAnsi="Calibri"/>
          <w:sz w:val="24"/>
          <w:szCs w:val="24"/>
        </w:rPr>
        <w:t xml:space="preserve">estimate the optimum levels of the resources without deteriorating the health services. </w:t>
      </w:r>
    </w:p>
    <w:p w14:paraId="229A6D63" w14:textId="68BA6E6B" w:rsidR="00DD0E93" w:rsidRPr="00D84107" w:rsidRDefault="00DD0E93" w:rsidP="008F1189">
      <w:pPr>
        <w:pStyle w:val="ListParagraph"/>
        <w:numPr>
          <w:ilvl w:val="0"/>
          <w:numId w:val="15"/>
        </w:numPr>
        <w:spacing w:line="360" w:lineRule="auto"/>
        <w:ind w:left="284"/>
        <w:jc w:val="both"/>
        <w:rPr>
          <w:rFonts w:ascii="Calibri" w:hAnsi="Calibri"/>
          <w:sz w:val="24"/>
          <w:szCs w:val="24"/>
        </w:rPr>
      </w:pPr>
      <w:r w:rsidRPr="00D84107">
        <w:rPr>
          <w:rFonts w:ascii="Calibri" w:hAnsi="Calibri"/>
          <w:sz w:val="24"/>
          <w:szCs w:val="24"/>
        </w:rPr>
        <w:t>Further estimation of the optimal levels of resources</w:t>
      </w:r>
      <w:r w:rsidRPr="00DD0E93">
        <w:rPr>
          <w:rFonts w:ascii="Calibri" w:hAnsi="Calibri"/>
          <w:sz w:val="24"/>
          <w:szCs w:val="24"/>
        </w:rPr>
        <w:t xml:space="preserve"> is required</w:t>
      </w:r>
      <w:r w:rsidRPr="00D84107">
        <w:rPr>
          <w:rFonts w:ascii="Calibri" w:hAnsi="Calibri"/>
          <w:sz w:val="24"/>
          <w:szCs w:val="24"/>
        </w:rPr>
        <w:t xml:space="preserve"> to examine the allocation of these resources among the hospitals</w:t>
      </w:r>
      <w:r>
        <w:rPr>
          <w:rFonts w:ascii="Calibri" w:hAnsi="Calibri"/>
          <w:sz w:val="24"/>
          <w:szCs w:val="24"/>
        </w:rPr>
        <w:t>.</w:t>
      </w:r>
    </w:p>
    <w:p w14:paraId="50611E10" w14:textId="532AF721" w:rsidR="00DD0E93" w:rsidRPr="00DD0E93" w:rsidRDefault="008E46D7" w:rsidP="008F1189">
      <w:pPr>
        <w:pStyle w:val="ListParagraph"/>
        <w:numPr>
          <w:ilvl w:val="0"/>
          <w:numId w:val="15"/>
        </w:numPr>
        <w:spacing w:line="360" w:lineRule="auto"/>
        <w:ind w:left="284"/>
        <w:jc w:val="both"/>
      </w:pPr>
      <w:r w:rsidRPr="00D84107">
        <w:rPr>
          <w:rFonts w:ascii="Calibri" w:hAnsi="Calibri"/>
          <w:sz w:val="24"/>
          <w:szCs w:val="24"/>
        </w:rPr>
        <w:t xml:space="preserve">This is the first </w:t>
      </w:r>
      <w:r w:rsidR="00A5161D" w:rsidRPr="00D84107">
        <w:rPr>
          <w:rFonts w:ascii="Calibri" w:hAnsi="Calibri"/>
          <w:sz w:val="24"/>
          <w:szCs w:val="24"/>
        </w:rPr>
        <w:t>performance assessment of public hospitals</w:t>
      </w:r>
      <w:r w:rsidRPr="00D84107">
        <w:rPr>
          <w:rFonts w:ascii="Calibri" w:hAnsi="Calibri"/>
          <w:sz w:val="24"/>
          <w:szCs w:val="24"/>
        </w:rPr>
        <w:t xml:space="preserve"> in Saudi Arabia</w:t>
      </w:r>
      <w:r w:rsidR="00A5161D" w:rsidRPr="00D84107">
        <w:rPr>
          <w:rFonts w:ascii="Calibri" w:hAnsi="Calibri"/>
          <w:sz w:val="24"/>
          <w:szCs w:val="24"/>
        </w:rPr>
        <w:t xml:space="preserve"> that uses real data obtained directly from official databases of the Ministry of Health</w:t>
      </w:r>
      <w:r w:rsidR="00DD0E93" w:rsidRPr="00D84107">
        <w:rPr>
          <w:rFonts w:ascii="Calibri" w:hAnsi="Calibri"/>
          <w:sz w:val="24"/>
          <w:szCs w:val="24"/>
        </w:rPr>
        <w:t>.</w:t>
      </w:r>
    </w:p>
    <w:p w14:paraId="54CD2A06" w14:textId="5939D3AB" w:rsidR="002B39B3" w:rsidRPr="00E050F6" w:rsidRDefault="00284BCD" w:rsidP="008F1189">
      <w:pPr>
        <w:pStyle w:val="Heading1"/>
        <w:jc w:val="both"/>
        <w:rPr>
          <w:sz w:val="28"/>
          <w:szCs w:val="28"/>
        </w:rPr>
      </w:pPr>
      <w:r w:rsidRPr="00E050F6">
        <w:rPr>
          <w:sz w:val="28"/>
          <w:szCs w:val="28"/>
        </w:rPr>
        <w:t>Introduction</w:t>
      </w:r>
    </w:p>
    <w:p w14:paraId="4B99EF9B" w14:textId="73B2B681" w:rsidR="00ED6583" w:rsidRDefault="00584CA0" w:rsidP="008F1189">
      <w:pPr>
        <w:spacing w:line="360" w:lineRule="auto"/>
        <w:jc w:val="both"/>
        <w:rPr>
          <w:rFonts w:ascii="Calibri" w:hAnsi="Calibri"/>
          <w:sz w:val="24"/>
          <w:szCs w:val="24"/>
        </w:rPr>
      </w:pPr>
      <w:r>
        <w:rPr>
          <w:rFonts w:ascii="Calibri" w:hAnsi="Calibri"/>
          <w:sz w:val="24"/>
          <w:szCs w:val="24"/>
        </w:rPr>
        <w:t>I</w:t>
      </w:r>
      <w:r w:rsidR="00516FF6" w:rsidRPr="00864281">
        <w:rPr>
          <w:rFonts w:ascii="Calibri" w:hAnsi="Calibri"/>
          <w:sz w:val="24"/>
          <w:szCs w:val="24"/>
        </w:rPr>
        <w:t>ncreasing</w:t>
      </w:r>
      <w:r w:rsidR="001A3622">
        <w:rPr>
          <w:rFonts w:ascii="Calibri" w:hAnsi="Calibri"/>
          <w:sz w:val="24"/>
          <w:szCs w:val="24"/>
        </w:rPr>
        <w:t xml:space="preserve"> </w:t>
      </w:r>
      <w:r w:rsidR="00265725" w:rsidRPr="00864281">
        <w:rPr>
          <w:rFonts w:ascii="Calibri" w:hAnsi="Calibri"/>
          <w:sz w:val="24"/>
          <w:szCs w:val="24"/>
        </w:rPr>
        <w:t>demand for healthcare and</w:t>
      </w:r>
      <w:r w:rsidR="005548AD" w:rsidRPr="00864281">
        <w:rPr>
          <w:rFonts w:ascii="Calibri" w:hAnsi="Calibri"/>
          <w:sz w:val="24"/>
          <w:szCs w:val="24"/>
        </w:rPr>
        <w:t xml:space="preserve"> </w:t>
      </w:r>
      <w:r w:rsidR="0097407E">
        <w:rPr>
          <w:rFonts w:ascii="Calibri" w:hAnsi="Calibri"/>
          <w:sz w:val="24"/>
          <w:szCs w:val="24"/>
        </w:rPr>
        <w:t xml:space="preserve">the expenditure required to provide </w:t>
      </w:r>
      <w:r w:rsidR="002B39B3" w:rsidRPr="00864281">
        <w:rPr>
          <w:rFonts w:ascii="Calibri" w:hAnsi="Calibri"/>
          <w:sz w:val="24"/>
          <w:szCs w:val="24"/>
        </w:rPr>
        <w:t>efficient, equitable and effective healthcare system</w:t>
      </w:r>
      <w:r w:rsidR="0097407E">
        <w:rPr>
          <w:rFonts w:ascii="Calibri" w:hAnsi="Calibri"/>
          <w:sz w:val="24"/>
          <w:szCs w:val="24"/>
        </w:rPr>
        <w:t>s, are global concerns.</w:t>
      </w:r>
      <w:r w:rsidR="001A3622">
        <w:rPr>
          <w:rFonts w:ascii="Calibri" w:hAnsi="Calibri"/>
          <w:sz w:val="24"/>
          <w:szCs w:val="24"/>
        </w:rPr>
        <w:t xml:space="preserve"> </w:t>
      </w:r>
      <w:r w:rsidR="0097407E">
        <w:rPr>
          <w:rFonts w:ascii="Calibri" w:hAnsi="Calibri"/>
          <w:sz w:val="24"/>
          <w:szCs w:val="24"/>
        </w:rPr>
        <w:t>T</w:t>
      </w:r>
      <w:r w:rsidR="008217F8">
        <w:rPr>
          <w:rFonts w:ascii="Calibri" w:hAnsi="Calibri"/>
          <w:sz w:val="24"/>
          <w:szCs w:val="24"/>
        </w:rPr>
        <w:t>he K</w:t>
      </w:r>
      <w:r w:rsidR="00485ED1" w:rsidRPr="00864281">
        <w:rPr>
          <w:rFonts w:ascii="Calibri" w:hAnsi="Calibri"/>
          <w:sz w:val="24"/>
          <w:szCs w:val="24"/>
        </w:rPr>
        <w:t>ingdom of Saudi Arabia (</w:t>
      </w:r>
      <w:r w:rsidR="0097407E">
        <w:rPr>
          <w:rFonts w:ascii="Calibri" w:hAnsi="Calibri"/>
          <w:sz w:val="24"/>
          <w:szCs w:val="24"/>
        </w:rPr>
        <w:t>K</w:t>
      </w:r>
      <w:r w:rsidR="00485ED1" w:rsidRPr="00864281">
        <w:rPr>
          <w:rFonts w:ascii="Calibri" w:hAnsi="Calibri"/>
          <w:sz w:val="24"/>
          <w:szCs w:val="24"/>
        </w:rPr>
        <w:t>SA)</w:t>
      </w:r>
      <w:r w:rsidR="002B39B3" w:rsidRPr="00864281">
        <w:rPr>
          <w:rFonts w:ascii="Calibri" w:hAnsi="Calibri"/>
          <w:sz w:val="24"/>
          <w:szCs w:val="24"/>
        </w:rPr>
        <w:t xml:space="preserve"> ha</w:t>
      </w:r>
      <w:r w:rsidR="00485ED1" w:rsidRPr="00864281">
        <w:rPr>
          <w:rFonts w:ascii="Calibri" w:hAnsi="Calibri"/>
          <w:sz w:val="24"/>
          <w:szCs w:val="24"/>
        </w:rPr>
        <w:t>s</w:t>
      </w:r>
      <w:r w:rsidR="002B39B3" w:rsidRPr="00864281">
        <w:rPr>
          <w:rFonts w:ascii="Calibri" w:hAnsi="Calibri"/>
          <w:sz w:val="24"/>
          <w:szCs w:val="24"/>
        </w:rPr>
        <w:t xml:space="preserve"> experienc</w:t>
      </w:r>
      <w:r w:rsidR="0097407E">
        <w:rPr>
          <w:rFonts w:ascii="Calibri" w:hAnsi="Calibri"/>
          <w:sz w:val="24"/>
          <w:szCs w:val="24"/>
        </w:rPr>
        <w:t>ed these recently, alongside</w:t>
      </w:r>
      <w:r w:rsidR="002B39B3" w:rsidRPr="00864281">
        <w:rPr>
          <w:rFonts w:ascii="Calibri" w:hAnsi="Calibri"/>
          <w:sz w:val="24"/>
          <w:szCs w:val="24"/>
        </w:rPr>
        <w:t xml:space="preserve"> substantial population growth</w:t>
      </w:r>
      <w:r>
        <w:rPr>
          <w:rFonts w:ascii="Calibri" w:hAnsi="Calibri"/>
          <w:sz w:val="24"/>
          <w:szCs w:val="24"/>
        </w:rPr>
        <w:t>,</w:t>
      </w:r>
      <w:r w:rsidR="002B39B3" w:rsidRPr="00864281">
        <w:rPr>
          <w:rFonts w:ascii="Calibri" w:hAnsi="Calibri"/>
          <w:sz w:val="24"/>
          <w:szCs w:val="24"/>
        </w:rPr>
        <w:t xml:space="preserve"> </w:t>
      </w:r>
      <w:r>
        <w:rPr>
          <w:rFonts w:ascii="Calibri" w:hAnsi="Calibri"/>
          <w:sz w:val="24"/>
          <w:szCs w:val="24"/>
        </w:rPr>
        <w:t xml:space="preserve">increased </w:t>
      </w:r>
      <w:r w:rsidR="002B39B3" w:rsidRPr="00864281">
        <w:rPr>
          <w:rFonts w:ascii="Calibri" w:hAnsi="Calibri"/>
          <w:sz w:val="24"/>
          <w:szCs w:val="24"/>
        </w:rPr>
        <w:t xml:space="preserve">life expectancy </w:t>
      </w:r>
      <w:r w:rsidR="0070306E" w:rsidRPr="00864281">
        <w:rPr>
          <w:rFonts w:ascii="Calibri" w:hAnsi="Calibri"/>
          <w:sz w:val="24"/>
          <w:szCs w:val="24"/>
        </w:rPr>
        <w:t>and</w:t>
      </w:r>
      <w:r w:rsidR="0097407E">
        <w:rPr>
          <w:rFonts w:ascii="Calibri" w:hAnsi="Calibri"/>
          <w:sz w:val="24"/>
          <w:szCs w:val="24"/>
        </w:rPr>
        <w:t xml:space="preserve"> the proliferation of</w:t>
      </w:r>
      <w:r>
        <w:rPr>
          <w:rFonts w:ascii="Calibri" w:hAnsi="Calibri"/>
          <w:sz w:val="24"/>
          <w:szCs w:val="24"/>
        </w:rPr>
        <w:t xml:space="preserve"> </w:t>
      </w:r>
      <w:r w:rsidR="0070306E" w:rsidRPr="00864281">
        <w:rPr>
          <w:rFonts w:ascii="Calibri" w:hAnsi="Calibri"/>
          <w:sz w:val="24"/>
          <w:szCs w:val="24"/>
        </w:rPr>
        <w:t>lifestyle</w:t>
      </w:r>
      <w:r w:rsidR="0097407E">
        <w:rPr>
          <w:rFonts w:ascii="Calibri" w:hAnsi="Calibri"/>
          <w:sz w:val="24"/>
          <w:szCs w:val="24"/>
        </w:rPr>
        <w:t>-related</w:t>
      </w:r>
      <w:r w:rsidR="0070306E" w:rsidRPr="00864281">
        <w:rPr>
          <w:rFonts w:ascii="Calibri" w:hAnsi="Calibri"/>
          <w:sz w:val="24"/>
          <w:szCs w:val="24"/>
        </w:rPr>
        <w:t xml:space="preserve"> disease</w:t>
      </w:r>
      <w:r w:rsidR="0097407E">
        <w:rPr>
          <w:rFonts w:ascii="Calibri" w:hAnsi="Calibri"/>
          <w:sz w:val="24"/>
          <w:szCs w:val="24"/>
        </w:rPr>
        <w:t>. These have</w:t>
      </w:r>
      <w:r w:rsidR="002B39B3" w:rsidRPr="00864281">
        <w:rPr>
          <w:rFonts w:ascii="Calibri" w:hAnsi="Calibri"/>
          <w:sz w:val="24"/>
          <w:szCs w:val="24"/>
        </w:rPr>
        <w:t xml:space="preserve"> increased </w:t>
      </w:r>
      <w:r w:rsidR="00FF12CC" w:rsidRPr="00864281">
        <w:rPr>
          <w:rFonts w:ascii="Calibri" w:hAnsi="Calibri"/>
          <w:sz w:val="24"/>
          <w:szCs w:val="24"/>
        </w:rPr>
        <w:t xml:space="preserve">the </w:t>
      </w:r>
      <w:r w:rsidR="002B39B3" w:rsidRPr="00864281">
        <w:rPr>
          <w:rFonts w:ascii="Calibri" w:hAnsi="Calibri"/>
          <w:sz w:val="24"/>
          <w:szCs w:val="24"/>
        </w:rPr>
        <w:t>demand for health services</w:t>
      </w:r>
      <w:r w:rsidR="008217F8">
        <w:rPr>
          <w:rFonts w:ascii="Calibri" w:hAnsi="Calibri"/>
          <w:sz w:val="24"/>
          <w:szCs w:val="24"/>
        </w:rPr>
        <w:t xml:space="preserve"> </w:t>
      </w:r>
      <w:r w:rsidR="0097407E">
        <w:rPr>
          <w:rFonts w:ascii="Calibri" w:hAnsi="Calibri"/>
          <w:sz w:val="24"/>
          <w:szCs w:val="24"/>
        </w:rPr>
        <w:t xml:space="preserve">at a time of </w:t>
      </w:r>
      <w:r w:rsidR="0033741A">
        <w:rPr>
          <w:rFonts w:ascii="Calibri" w:hAnsi="Calibri"/>
          <w:sz w:val="24"/>
          <w:szCs w:val="24"/>
        </w:rPr>
        <w:t xml:space="preserve">the </w:t>
      </w:r>
      <w:r w:rsidR="0097407E">
        <w:rPr>
          <w:rFonts w:ascii="Calibri" w:hAnsi="Calibri"/>
          <w:sz w:val="24"/>
          <w:szCs w:val="24"/>
        </w:rPr>
        <w:t>scant resource</w:t>
      </w:r>
      <w:r w:rsidR="002B39B3" w:rsidRPr="00864281">
        <w:rPr>
          <w:rFonts w:ascii="Calibri" w:hAnsi="Calibri"/>
          <w:sz w:val="24"/>
          <w:szCs w:val="24"/>
        </w:rPr>
        <w:t>.</w:t>
      </w:r>
      <w:r w:rsidR="0004657A" w:rsidRPr="00E050F6">
        <w:rPr>
          <w:rFonts w:ascii="Calibri" w:hAnsi="Calibri"/>
          <w:sz w:val="24"/>
          <w:szCs w:val="24"/>
          <w:vertAlign w:val="superscript"/>
        </w:rPr>
        <w:t>1,2,3</w:t>
      </w:r>
      <w:r w:rsidR="002B39B3" w:rsidRPr="00864281">
        <w:rPr>
          <w:rFonts w:ascii="Calibri" w:hAnsi="Calibri"/>
          <w:sz w:val="24"/>
          <w:szCs w:val="24"/>
        </w:rPr>
        <w:t xml:space="preserve"> </w:t>
      </w:r>
    </w:p>
    <w:p w14:paraId="77A4659C" w14:textId="35C8CEA7" w:rsidR="00ED6583" w:rsidRPr="00951B19" w:rsidRDefault="00584CA0" w:rsidP="008F1189">
      <w:pPr>
        <w:spacing w:line="360" w:lineRule="auto"/>
        <w:jc w:val="both"/>
        <w:rPr>
          <w:rFonts w:ascii="Calibri" w:hAnsi="Calibri"/>
          <w:i/>
          <w:sz w:val="24"/>
          <w:szCs w:val="24"/>
        </w:rPr>
      </w:pPr>
      <w:r>
        <w:rPr>
          <w:rFonts w:ascii="Calibri" w:hAnsi="Calibri"/>
          <w:sz w:val="24"/>
          <w:szCs w:val="24"/>
        </w:rPr>
        <w:t>D</w:t>
      </w:r>
      <w:r w:rsidR="00575F0D">
        <w:rPr>
          <w:rFonts w:ascii="Calibri" w:hAnsi="Calibri"/>
          <w:sz w:val="24"/>
          <w:szCs w:val="24"/>
        </w:rPr>
        <w:t>uring 2015</w:t>
      </w:r>
      <w:r w:rsidR="005548AD" w:rsidRPr="00864281">
        <w:rPr>
          <w:rFonts w:ascii="Calibri" w:hAnsi="Calibri"/>
          <w:sz w:val="24"/>
          <w:szCs w:val="24"/>
        </w:rPr>
        <w:t xml:space="preserve">, </w:t>
      </w:r>
      <w:r>
        <w:rPr>
          <w:rFonts w:ascii="Calibri" w:hAnsi="Calibri"/>
          <w:sz w:val="24"/>
          <w:szCs w:val="24"/>
        </w:rPr>
        <w:t xml:space="preserve">KSA </w:t>
      </w:r>
      <w:r w:rsidR="005548AD" w:rsidRPr="00864281">
        <w:rPr>
          <w:rFonts w:ascii="Calibri" w:hAnsi="Calibri"/>
          <w:sz w:val="24"/>
          <w:szCs w:val="24"/>
        </w:rPr>
        <w:t xml:space="preserve">government </w:t>
      </w:r>
      <w:r w:rsidR="00212BDA" w:rsidRPr="00864281">
        <w:rPr>
          <w:rFonts w:ascii="Calibri" w:hAnsi="Calibri"/>
          <w:sz w:val="24"/>
          <w:szCs w:val="24"/>
        </w:rPr>
        <w:t>spending</w:t>
      </w:r>
      <w:r w:rsidR="005548AD" w:rsidRPr="00864281">
        <w:rPr>
          <w:rFonts w:ascii="Calibri" w:hAnsi="Calibri"/>
          <w:sz w:val="24"/>
          <w:szCs w:val="24"/>
        </w:rPr>
        <w:t xml:space="preserve"> on </w:t>
      </w:r>
      <w:r w:rsidR="00212BDA" w:rsidRPr="00864281">
        <w:rPr>
          <w:rFonts w:ascii="Calibri" w:hAnsi="Calibri"/>
          <w:sz w:val="24"/>
          <w:szCs w:val="24"/>
        </w:rPr>
        <w:t>health was</w:t>
      </w:r>
      <w:r w:rsidR="005548AD" w:rsidRPr="00864281">
        <w:rPr>
          <w:rFonts w:ascii="Calibri" w:hAnsi="Calibri"/>
          <w:sz w:val="24"/>
          <w:szCs w:val="24"/>
        </w:rPr>
        <w:t xml:space="preserve"> 7</w:t>
      </w:r>
      <w:r w:rsidR="00212BDA" w:rsidRPr="00864281">
        <w:rPr>
          <w:rFonts w:ascii="Calibri" w:hAnsi="Calibri"/>
          <w:sz w:val="24"/>
          <w:szCs w:val="24"/>
        </w:rPr>
        <w:t>1.3</w:t>
      </w:r>
      <w:r w:rsidR="005548AD" w:rsidRPr="00864281">
        <w:rPr>
          <w:rFonts w:ascii="Calibri" w:hAnsi="Calibri"/>
          <w:sz w:val="24"/>
          <w:szCs w:val="24"/>
        </w:rPr>
        <w:t>%</w:t>
      </w:r>
      <w:r w:rsidR="00212BDA" w:rsidRPr="00864281">
        <w:rPr>
          <w:rFonts w:ascii="Calibri" w:hAnsi="Calibri"/>
          <w:sz w:val="24"/>
          <w:szCs w:val="24"/>
        </w:rPr>
        <w:t xml:space="preserve"> of </w:t>
      </w:r>
      <w:r w:rsidR="00575F0D">
        <w:rPr>
          <w:rFonts w:ascii="Calibri" w:hAnsi="Calibri"/>
          <w:sz w:val="24"/>
          <w:szCs w:val="24"/>
        </w:rPr>
        <w:t xml:space="preserve">the country’s </w:t>
      </w:r>
      <w:r w:rsidR="00212BDA" w:rsidRPr="00864281">
        <w:rPr>
          <w:rFonts w:ascii="Calibri" w:hAnsi="Calibri"/>
          <w:sz w:val="24"/>
          <w:szCs w:val="24"/>
        </w:rPr>
        <w:t>total health expenditure</w:t>
      </w:r>
      <w:r w:rsidR="00575F0D">
        <w:rPr>
          <w:rFonts w:ascii="Calibri" w:hAnsi="Calibri"/>
          <w:sz w:val="24"/>
          <w:szCs w:val="24"/>
        </w:rPr>
        <w:t>, which</w:t>
      </w:r>
      <w:r w:rsidR="00212BDA" w:rsidRPr="00864281">
        <w:rPr>
          <w:rFonts w:ascii="Calibri" w:hAnsi="Calibri"/>
          <w:sz w:val="24"/>
          <w:szCs w:val="24"/>
        </w:rPr>
        <w:t xml:space="preserve"> </w:t>
      </w:r>
      <w:r w:rsidR="005548AD" w:rsidRPr="00864281">
        <w:rPr>
          <w:rFonts w:ascii="Calibri" w:hAnsi="Calibri"/>
          <w:sz w:val="24"/>
          <w:szCs w:val="24"/>
        </w:rPr>
        <w:t>correspond</w:t>
      </w:r>
      <w:r w:rsidR="00127228">
        <w:rPr>
          <w:rFonts w:ascii="Calibri" w:hAnsi="Calibri"/>
          <w:sz w:val="24"/>
          <w:szCs w:val="24"/>
        </w:rPr>
        <w:t>s</w:t>
      </w:r>
      <w:r w:rsidR="005548AD" w:rsidRPr="00864281">
        <w:rPr>
          <w:rFonts w:ascii="Calibri" w:hAnsi="Calibri"/>
          <w:sz w:val="24"/>
          <w:szCs w:val="24"/>
        </w:rPr>
        <w:t xml:space="preserve"> to</w:t>
      </w:r>
      <w:r w:rsidR="00E41B49" w:rsidRPr="00864281">
        <w:rPr>
          <w:rFonts w:ascii="Calibri" w:hAnsi="Calibri"/>
          <w:sz w:val="24"/>
          <w:szCs w:val="24"/>
        </w:rPr>
        <w:t xml:space="preserve"> </w:t>
      </w:r>
      <w:r w:rsidR="003268BB">
        <w:rPr>
          <w:rFonts w:ascii="Calibri" w:hAnsi="Calibri"/>
          <w:sz w:val="24"/>
          <w:szCs w:val="24"/>
        </w:rPr>
        <w:t>4.1</w:t>
      </w:r>
      <w:r w:rsidR="00BC45D0">
        <w:rPr>
          <w:rFonts w:ascii="Calibri" w:hAnsi="Calibri"/>
          <w:sz w:val="24"/>
          <w:szCs w:val="24"/>
        </w:rPr>
        <w:t>%</w:t>
      </w:r>
      <w:r w:rsidR="005548AD" w:rsidRPr="00864281">
        <w:rPr>
          <w:rFonts w:ascii="Calibri" w:hAnsi="Calibri"/>
          <w:sz w:val="24"/>
          <w:szCs w:val="24"/>
        </w:rPr>
        <w:t xml:space="preserve"> of GDP </w:t>
      </w:r>
      <w:r w:rsidR="00575F0D">
        <w:rPr>
          <w:rFonts w:ascii="Calibri" w:hAnsi="Calibri"/>
          <w:sz w:val="24"/>
          <w:szCs w:val="24"/>
        </w:rPr>
        <w:t>for that year</w:t>
      </w:r>
      <w:r w:rsidR="005548AD" w:rsidRPr="00864281">
        <w:rPr>
          <w:rFonts w:ascii="Calibri" w:hAnsi="Calibri"/>
          <w:sz w:val="24"/>
          <w:szCs w:val="24"/>
        </w:rPr>
        <w:t>.</w:t>
      </w:r>
      <w:r w:rsidR="00DC0B44">
        <w:rPr>
          <w:rFonts w:ascii="Calibri" w:hAnsi="Calibri"/>
          <w:sz w:val="24"/>
          <w:szCs w:val="24"/>
          <w:vertAlign w:val="superscript"/>
        </w:rPr>
        <w:t>4</w:t>
      </w:r>
      <w:r w:rsidR="005548AD" w:rsidRPr="00864281">
        <w:rPr>
          <w:rFonts w:ascii="Calibri" w:hAnsi="Calibri"/>
          <w:sz w:val="24"/>
          <w:szCs w:val="24"/>
        </w:rPr>
        <w:t xml:space="preserve"> </w:t>
      </w:r>
      <w:r w:rsidR="00575F0D">
        <w:rPr>
          <w:rFonts w:ascii="Calibri" w:hAnsi="Calibri"/>
          <w:sz w:val="24"/>
          <w:szCs w:val="24"/>
        </w:rPr>
        <w:t>H</w:t>
      </w:r>
      <w:r w:rsidR="00864281" w:rsidRPr="00864281">
        <w:rPr>
          <w:rFonts w:ascii="Calibri" w:hAnsi="Calibri"/>
          <w:sz w:val="24"/>
          <w:szCs w:val="24"/>
        </w:rPr>
        <w:t xml:space="preserve">ealthcare expenditure in </w:t>
      </w:r>
      <w:r w:rsidR="00575F0D">
        <w:rPr>
          <w:rFonts w:ascii="Calibri" w:hAnsi="Calibri"/>
          <w:sz w:val="24"/>
          <w:szCs w:val="24"/>
        </w:rPr>
        <w:t>K</w:t>
      </w:r>
      <w:r w:rsidR="00864281" w:rsidRPr="00864281">
        <w:rPr>
          <w:rFonts w:ascii="Calibri" w:hAnsi="Calibri"/>
          <w:sz w:val="24"/>
          <w:szCs w:val="24"/>
        </w:rPr>
        <w:t>SA increased by 24.7% between 2013 and 2017</w:t>
      </w:r>
      <w:r w:rsidR="004D3056">
        <w:rPr>
          <w:rFonts w:ascii="Calibri" w:hAnsi="Calibri"/>
          <w:sz w:val="24"/>
          <w:szCs w:val="24"/>
        </w:rPr>
        <w:t xml:space="preserve"> </w:t>
      </w:r>
      <w:r w:rsidR="004D3056" w:rsidRPr="00A05373">
        <w:rPr>
          <w:rFonts w:ascii="Calibri" w:hAnsi="Calibri"/>
          <w:sz w:val="24"/>
          <w:szCs w:val="24"/>
        </w:rPr>
        <w:t>(</w:t>
      </w:r>
      <w:r w:rsidR="004D3056">
        <w:rPr>
          <w:rFonts w:ascii="Calibri" w:hAnsi="Calibri"/>
          <w:sz w:val="24"/>
          <w:szCs w:val="24"/>
        </w:rPr>
        <w:t>T</w:t>
      </w:r>
      <w:r w:rsidR="004D3056" w:rsidRPr="00A05373">
        <w:rPr>
          <w:rFonts w:ascii="Calibri" w:hAnsi="Calibri"/>
          <w:sz w:val="24"/>
          <w:szCs w:val="24"/>
        </w:rPr>
        <w:t xml:space="preserve">able </w:t>
      </w:r>
      <w:r w:rsidR="004D3056">
        <w:rPr>
          <w:rFonts w:ascii="Calibri" w:hAnsi="Calibri"/>
          <w:sz w:val="24"/>
          <w:szCs w:val="24"/>
        </w:rPr>
        <w:t>1</w:t>
      </w:r>
      <w:r w:rsidR="004D3056" w:rsidRPr="00A05373">
        <w:rPr>
          <w:rFonts w:ascii="Calibri" w:hAnsi="Calibri"/>
          <w:sz w:val="24"/>
          <w:szCs w:val="24"/>
        </w:rPr>
        <w:t>)</w:t>
      </w:r>
      <w:r w:rsidR="00864281" w:rsidRPr="00864281">
        <w:rPr>
          <w:rFonts w:ascii="Calibri" w:hAnsi="Calibri"/>
          <w:sz w:val="24"/>
          <w:szCs w:val="24"/>
        </w:rPr>
        <w:t>.</w:t>
      </w:r>
      <w:r w:rsidR="00EE442A" w:rsidRPr="00E050F6">
        <w:rPr>
          <w:rFonts w:ascii="Calibri" w:hAnsi="Calibri"/>
          <w:sz w:val="24"/>
          <w:szCs w:val="24"/>
          <w:vertAlign w:val="superscript"/>
        </w:rPr>
        <w:t>1,2,</w:t>
      </w:r>
      <w:r w:rsidR="00DC0B44">
        <w:rPr>
          <w:rFonts w:ascii="Calibri" w:hAnsi="Calibri"/>
          <w:sz w:val="24"/>
          <w:szCs w:val="24"/>
          <w:vertAlign w:val="superscript"/>
        </w:rPr>
        <w:t>5</w:t>
      </w:r>
      <w:r w:rsidR="005548AD" w:rsidRPr="00864281">
        <w:rPr>
          <w:rFonts w:ascii="Calibri" w:hAnsi="Calibri"/>
          <w:sz w:val="24"/>
          <w:szCs w:val="24"/>
        </w:rPr>
        <w:t xml:space="preserve"> While public spending on health</w:t>
      </w:r>
      <w:r w:rsidR="002A55DC">
        <w:rPr>
          <w:rFonts w:ascii="Calibri" w:hAnsi="Calibri"/>
          <w:sz w:val="24"/>
          <w:szCs w:val="24"/>
        </w:rPr>
        <w:t xml:space="preserve"> in </w:t>
      </w:r>
      <w:r>
        <w:rPr>
          <w:rFonts w:ascii="Calibri" w:hAnsi="Calibri"/>
          <w:sz w:val="24"/>
          <w:szCs w:val="24"/>
        </w:rPr>
        <w:t>K</w:t>
      </w:r>
      <w:r w:rsidR="002A55DC">
        <w:rPr>
          <w:rFonts w:ascii="Calibri" w:hAnsi="Calibri"/>
          <w:sz w:val="24"/>
          <w:szCs w:val="24"/>
        </w:rPr>
        <w:t>SA</w:t>
      </w:r>
      <w:r w:rsidR="005548AD" w:rsidRPr="00864281">
        <w:rPr>
          <w:rFonts w:ascii="Calibri" w:hAnsi="Calibri"/>
          <w:sz w:val="24"/>
          <w:szCs w:val="24"/>
        </w:rPr>
        <w:t xml:space="preserve"> is remarkably high</w:t>
      </w:r>
      <w:r w:rsidR="002A55DC">
        <w:rPr>
          <w:rFonts w:ascii="Calibri" w:hAnsi="Calibri"/>
          <w:sz w:val="24"/>
          <w:szCs w:val="24"/>
        </w:rPr>
        <w:t xml:space="preserve"> </w:t>
      </w:r>
      <w:r w:rsidR="003A0133">
        <w:rPr>
          <w:rFonts w:ascii="Calibri" w:hAnsi="Calibri"/>
          <w:sz w:val="24"/>
          <w:szCs w:val="24"/>
        </w:rPr>
        <w:t>in comparison to</w:t>
      </w:r>
      <w:r w:rsidR="00C55D0D">
        <w:rPr>
          <w:rFonts w:ascii="Calibri" w:hAnsi="Calibri"/>
          <w:sz w:val="24"/>
          <w:szCs w:val="24"/>
        </w:rPr>
        <w:t xml:space="preserve"> </w:t>
      </w:r>
      <w:r w:rsidR="002A55DC">
        <w:rPr>
          <w:rFonts w:ascii="Calibri" w:hAnsi="Calibri"/>
          <w:sz w:val="24"/>
          <w:szCs w:val="24"/>
        </w:rPr>
        <w:t xml:space="preserve">many </w:t>
      </w:r>
      <w:bookmarkStart w:id="11" w:name="_Hlk7870195"/>
      <w:r w:rsidR="002A55DC">
        <w:rPr>
          <w:rFonts w:ascii="Calibri" w:hAnsi="Calibri"/>
          <w:sz w:val="24"/>
          <w:szCs w:val="24"/>
        </w:rPr>
        <w:t xml:space="preserve">high-income countries </w:t>
      </w:r>
      <w:bookmarkEnd w:id="11"/>
      <w:r w:rsidR="002A55DC">
        <w:rPr>
          <w:rFonts w:ascii="Calibri" w:hAnsi="Calibri"/>
          <w:sz w:val="24"/>
          <w:szCs w:val="24"/>
        </w:rPr>
        <w:t xml:space="preserve">(71.3% </w:t>
      </w:r>
      <w:r w:rsidR="003A0133">
        <w:rPr>
          <w:rFonts w:ascii="Calibri" w:hAnsi="Calibri"/>
          <w:sz w:val="24"/>
          <w:szCs w:val="24"/>
        </w:rPr>
        <w:t xml:space="preserve">for KSA </w:t>
      </w:r>
      <w:r w:rsidR="002A55DC">
        <w:rPr>
          <w:rFonts w:ascii="Calibri" w:hAnsi="Calibri"/>
          <w:sz w:val="24"/>
          <w:szCs w:val="24"/>
        </w:rPr>
        <w:t xml:space="preserve">versus </w:t>
      </w:r>
      <w:r w:rsidR="008C0CC3" w:rsidRPr="003E47E1">
        <w:rPr>
          <w:rFonts w:ascii="Calibri" w:hAnsi="Calibri"/>
          <w:sz w:val="24"/>
          <w:szCs w:val="24"/>
        </w:rPr>
        <w:t>61.2</w:t>
      </w:r>
      <w:r w:rsidR="002A55DC" w:rsidRPr="003E47E1">
        <w:rPr>
          <w:rFonts w:ascii="Calibri" w:hAnsi="Calibri"/>
          <w:sz w:val="24"/>
          <w:szCs w:val="24"/>
        </w:rPr>
        <w:t>%</w:t>
      </w:r>
      <w:r w:rsidR="003A0133">
        <w:rPr>
          <w:rFonts w:ascii="Calibri" w:hAnsi="Calibri"/>
          <w:sz w:val="24"/>
          <w:szCs w:val="24"/>
        </w:rPr>
        <w:t xml:space="preserve"> for </w:t>
      </w:r>
      <w:r w:rsidR="00C55D0D" w:rsidRPr="00C55D0D">
        <w:rPr>
          <w:rFonts w:ascii="Calibri" w:hAnsi="Calibri"/>
          <w:sz w:val="24"/>
          <w:szCs w:val="24"/>
        </w:rPr>
        <w:t>high-income countries</w:t>
      </w:r>
      <w:r w:rsidR="002A55DC">
        <w:rPr>
          <w:rFonts w:ascii="Calibri" w:hAnsi="Calibri"/>
          <w:sz w:val="24"/>
          <w:szCs w:val="24"/>
        </w:rPr>
        <w:t>)</w:t>
      </w:r>
      <w:r w:rsidR="005548AD" w:rsidRPr="00864281">
        <w:rPr>
          <w:rFonts w:ascii="Calibri" w:hAnsi="Calibri"/>
          <w:sz w:val="24"/>
          <w:szCs w:val="24"/>
        </w:rPr>
        <w:t>,</w:t>
      </w:r>
      <w:r w:rsidR="002A55DC">
        <w:rPr>
          <w:rFonts w:ascii="Calibri" w:hAnsi="Calibri"/>
          <w:sz w:val="24"/>
          <w:szCs w:val="24"/>
        </w:rPr>
        <w:t xml:space="preserve"> the number of hospital beds is considerably lower</w:t>
      </w:r>
      <w:r>
        <w:rPr>
          <w:rFonts w:ascii="Calibri" w:hAnsi="Calibri"/>
          <w:sz w:val="24"/>
          <w:szCs w:val="24"/>
        </w:rPr>
        <w:t>.</w:t>
      </w:r>
      <w:r w:rsidR="00054CD2" w:rsidRPr="00054CD2">
        <w:rPr>
          <w:rFonts w:ascii="Calibri" w:hAnsi="Calibri"/>
          <w:sz w:val="24"/>
          <w:szCs w:val="24"/>
          <w:vertAlign w:val="superscript"/>
        </w:rPr>
        <w:t xml:space="preserve"> </w:t>
      </w:r>
      <w:r w:rsidR="00054CD2" w:rsidRPr="004D3056">
        <w:rPr>
          <w:rFonts w:ascii="Calibri" w:hAnsi="Calibri"/>
          <w:sz w:val="24"/>
          <w:szCs w:val="24"/>
          <w:vertAlign w:val="superscript"/>
        </w:rPr>
        <w:t>3,</w:t>
      </w:r>
      <w:r w:rsidR="00DC0B44">
        <w:rPr>
          <w:rFonts w:ascii="Calibri" w:hAnsi="Calibri"/>
          <w:sz w:val="24"/>
          <w:szCs w:val="24"/>
          <w:vertAlign w:val="superscript"/>
        </w:rPr>
        <w:t>4</w:t>
      </w:r>
      <w:r w:rsidR="002A55DC">
        <w:rPr>
          <w:rFonts w:ascii="Calibri" w:hAnsi="Calibri"/>
          <w:sz w:val="24"/>
          <w:szCs w:val="24"/>
        </w:rPr>
        <w:t xml:space="preserve"> </w:t>
      </w:r>
      <w:r w:rsidR="003868C3">
        <w:rPr>
          <w:rFonts w:ascii="Calibri" w:hAnsi="Calibri"/>
          <w:sz w:val="24"/>
          <w:szCs w:val="24"/>
        </w:rPr>
        <w:t xml:space="preserve">In other words, the cost of each hospital-bed in the KSA is remarkably higher than those in other high-income countries. </w:t>
      </w:r>
    </w:p>
    <w:p w14:paraId="3FC6B2DF" w14:textId="31EB8A44" w:rsidR="009A7A95" w:rsidRPr="00E050F6" w:rsidRDefault="006D08CF" w:rsidP="008F1189">
      <w:pPr>
        <w:spacing w:line="360" w:lineRule="auto"/>
        <w:jc w:val="both"/>
        <w:rPr>
          <w:rFonts w:ascii="Calibri" w:hAnsi="Calibri"/>
          <w:sz w:val="28"/>
          <w:szCs w:val="28"/>
        </w:rPr>
      </w:pPr>
      <w:r w:rsidRPr="009873DA">
        <w:rPr>
          <w:rFonts w:ascii="Calibri" w:hAnsi="Calibri"/>
          <w:sz w:val="24"/>
          <w:szCs w:val="24"/>
        </w:rPr>
        <w:t xml:space="preserve">Although </w:t>
      </w:r>
      <w:r w:rsidR="005D2F79">
        <w:rPr>
          <w:rFonts w:ascii="Calibri" w:hAnsi="Calibri"/>
          <w:sz w:val="24"/>
          <w:szCs w:val="24"/>
        </w:rPr>
        <w:t xml:space="preserve">much has been done </w:t>
      </w:r>
      <w:r w:rsidR="00575F0D">
        <w:rPr>
          <w:rFonts w:ascii="Calibri" w:hAnsi="Calibri"/>
          <w:sz w:val="24"/>
          <w:szCs w:val="24"/>
        </w:rPr>
        <w:t>to promote the</w:t>
      </w:r>
      <w:r w:rsidR="00F03B81">
        <w:rPr>
          <w:rFonts w:ascii="Calibri" w:hAnsi="Calibri"/>
          <w:sz w:val="24"/>
          <w:szCs w:val="24"/>
        </w:rPr>
        <w:t xml:space="preserve"> efficient use of resources, </w:t>
      </w:r>
      <w:r w:rsidR="00BA3900">
        <w:rPr>
          <w:rFonts w:ascii="Calibri" w:hAnsi="Calibri"/>
          <w:sz w:val="24"/>
          <w:szCs w:val="24"/>
        </w:rPr>
        <w:t>th</w:t>
      </w:r>
      <w:r w:rsidR="005D2F79">
        <w:rPr>
          <w:rFonts w:ascii="Calibri" w:hAnsi="Calibri"/>
          <w:sz w:val="24"/>
          <w:szCs w:val="24"/>
        </w:rPr>
        <w:t>is has</w:t>
      </w:r>
      <w:r w:rsidR="00BA3900">
        <w:rPr>
          <w:rFonts w:ascii="Calibri" w:hAnsi="Calibri"/>
          <w:sz w:val="24"/>
          <w:szCs w:val="24"/>
        </w:rPr>
        <w:t xml:space="preserve"> proven</w:t>
      </w:r>
      <w:r w:rsidR="00F03B81">
        <w:rPr>
          <w:rFonts w:ascii="Calibri" w:hAnsi="Calibri"/>
          <w:sz w:val="24"/>
          <w:szCs w:val="24"/>
        </w:rPr>
        <w:t xml:space="preserve"> insufficient </w:t>
      </w:r>
      <w:r w:rsidRPr="009873DA">
        <w:rPr>
          <w:rFonts w:ascii="Calibri" w:hAnsi="Calibri"/>
          <w:sz w:val="24"/>
          <w:szCs w:val="24"/>
        </w:rPr>
        <w:t xml:space="preserve">to </w:t>
      </w:r>
      <w:r w:rsidR="00F03B81">
        <w:rPr>
          <w:rFonts w:ascii="Calibri" w:hAnsi="Calibri"/>
          <w:sz w:val="24"/>
          <w:szCs w:val="24"/>
        </w:rPr>
        <w:t>meet the</w:t>
      </w:r>
      <w:r w:rsidRPr="009873DA">
        <w:rPr>
          <w:rFonts w:ascii="Calibri" w:hAnsi="Calibri"/>
          <w:sz w:val="24"/>
          <w:szCs w:val="24"/>
        </w:rPr>
        <w:t xml:space="preserve"> rising </w:t>
      </w:r>
      <w:r w:rsidR="006A57AE">
        <w:rPr>
          <w:rFonts w:ascii="Calibri" w:hAnsi="Calibri"/>
          <w:sz w:val="24"/>
          <w:szCs w:val="24"/>
        </w:rPr>
        <w:t xml:space="preserve">health expenditure and </w:t>
      </w:r>
      <w:r w:rsidRPr="009873DA">
        <w:rPr>
          <w:rFonts w:ascii="Calibri" w:hAnsi="Calibri"/>
          <w:sz w:val="24"/>
          <w:szCs w:val="24"/>
        </w:rPr>
        <w:t>demand</w:t>
      </w:r>
      <w:r w:rsidR="00F03B81">
        <w:rPr>
          <w:rFonts w:ascii="Calibri" w:hAnsi="Calibri"/>
          <w:sz w:val="24"/>
          <w:szCs w:val="24"/>
        </w:rPr>
        <w:t xml:space="preserve"> for healthcare</w:t>
      </w:r>
      <w:r w:rsidRPr="009873DA">
        <w:rPr>
          <w:rFonts w:ascii="Calibri" w:hAnsi="Calibri"/>
          <w:sz w:val="24"/>
          <w:szCs w:val="24"/>
        </w:rPr>
        <w:t xml:space="preserve"> in </w:t>
      </w:r>
      <w:r w:rsidR="00BA3900">
        <w:rPr>
          <w:rFonts w:ascii="Calibri" w:hAnsi="Calibri"/>
          <w:sz w:val="24"/>
          <w:szCs w:val="24"/>
        </w:rPr>
        <w:t>K</w:t>
      </w:r>
      <w:r w:rsidRPr="009873DA">
        <w:rPr>
          <w:rFonts w:ascii="Calibri" w:hAnsi="Calibri"/>
          <w:sz w:val="24"/>
          <w:szCs w:val="24"/>
        </w:rPr>
        <w:t>S</w:t>
      </w:r>
      <w:r w:rsidR="002F235F" w:rsidRPr="009873DA">
        <w:rPr>
          <w:rFonts w:ascii="Calibri" w:hAnsi="Calibri"/>
          <w:sz w:val="24"/>
          <w:szCs w:val="24"/>
        </w:rPr>
        <w:t>A</w:t>
      </w:r>
      <w:r w:rsidRPr="009873DA">
        <w:rPr>
          <w:rFonts w:ascii="Calibri" w:hAnsi="Calibri"/>
          <w:sz w:val="24"/>
          <w:szCs w:val="24"/>
        </w:rPr>
        <w:t>.</w:t>
      </w:r>
      <w:r w:rsidR="00DC0B44">
        <w:rPr>
          <w:rFonts w:ascii="Calibri" w:hAnsi="Calibri"/>
          <w:sz w:val="24"/>
          <w:szCs w:val="24"/>
          <w:vertAlign w:val="superscript"/>
        </w:rPr>
        <w:t>6,7</w:t>
      </w:r>
      <w:r w:rsidR="00C313C8">
        <w:rPr>
          <w:rFonts w:ascii="Calibri" w:hAnsi="Calibri"/>
          <w:sz w:val="24"/>
          <w:szCs w:val="24"/>
        </w:rPr>
        <w:t xml:space="preserve"> </w:t>
      </w:r>
      <w:r w:rsidR="005D2F79">
        <w:rPr>
          <w:rFonts w:ascii="Calibri" w:hAnsi="Calibri"/>
          <w:sz w:val="24"/>
          <w:szCs w:val="24"/>
        </w:rPr>
        <w:t>P</w:t>
      </w:r>
      <w:r w:rsidR="00BA3900">
        <w:rPr>
          <w:rFonts w:ascii="Calibri" w:hAnsi="Calibri"/>
          <w:sz w:val="24"/>
          <w:szCs w:val="24"/>
        </w:rPr>
        <w:t xml:space="preserve">roviders </w:t>
      </w:r>
      <w:r w:rsidR="005D2F79">
        <w:rPr>
          <w:rFonts w:ascii="Calibri" w:hAnsi="Calibri"/>
          <w:sz w:val="24"/>
          <w:szCs w:val="24"/>
        </w:rPr>
        <w:t xml:space="preserve">seem to </w:t>
      </w:r>
      <w:r w:rsidR="00BA3900">
        <w:rPr>
          <w:rFonts w:ascii="Calibri" w:hAnsi="Calibri"/>
          <w:sz w:val="24"/>
          <w:szCs w:val="24"/>
        </w:rPr>
        <w:t>find it</w:t>
      </w:r>
      <w:r w:rsidR="006168F6">
        <w:rPr>
          <w:rFonts w:ascii="Calibri" w:hAnsi="Calibri"/>
          <w:sz w:val="24"/>
          <w:szCs w:val="24"/>
        </w:rPr>
        <w:t xml:space="preserve"> </w:t>
      </w:r>
      <w:r w:rsidR="005D2F79">
        <w:rPr>
          <w:rFonts w:ascii="Calibri" w:hAnsi="Calibri"/>
          <w:sz w:val="24"/>
          <w:szCs w:val="24"/>
        </w:rPr>
        <w:t>very</w:t>
      </w:r>
      <w:r w:rsidR="006168F6">
        <w:rPr>
          <w:rFonts w:ascii="Calibri" w:hAnsi="Calibri"/>
          <w:sz w:val="24"/>
          <w:szCs w:val="24"/>
        </w:rPr>
        <w:t xml:space="preserve"> challeng</w:t>
      </w:r>
      <w:r w:rsidR="005D2F79">
        <w:rPr>
          <w:rFonts w:ascii="Calibri" w:hAnsi="Calibri"/>
          <w:sz w:val="24"/>
          <w:szCs w:val="24"/>
        </w:rPr>
        <w:t>ing</w:t>
      </w:r>
      <w:r w:rsidR="006168F6">
        <w:rPr>
          <w:rFonts w:ascii="Calibri" w:hAnsi="Calibri"/>
          <w:sz w:val="24"/>
          <w:szCs w:val="24"/>
        </w:rPr>
        <w:t xml:space="preserve"> to </w:t>
      </w:r>
      <w:r w:rsidR="00BA3900">
        <w:rPr>
          <w:rFonts w:ascii="Calibri" w:hAnsi="Calibri"/>
          <w:sz w:val="24"/>
          <w:szCs w:val="24"/>
        </w:rPr>
        <w:t>deliver adequate provision</w:t>
      </w:r>
      <w:r w:rsidR="005D2F79">
        <w:rPr>
          <w:rFonts w:ascii="Calibri" w:hAnsi="Calibri"/>
          <w:sz w:val="24"/>
          <w:szCs w:val="24"/>
        </w:rPr>
        <w:t xml:space="preserve"> using current resources</w:t>
      </w:r>
      <w:r w:rsidRPr="009873DA">
        <w:rPr>
          <w:rFonts w:ascii="Calibri" w:hAnsi="Calibri"/>
          <w:sz w:val="24"/>
          <w:szCs w:val="24"/>
        </w:rPr>
        <w:t>.</w:t>
      </w:r>
      <w:r w:rsidR="00DC0B44">
        <w:rPr>
          <w:rFonts w:ascii="Calibri" w:hAnsi="Calibri"/>
          <w:sz w:val="24"/>
          <w:szCs w:val="24"/>
          <w:vertAlign w:val="superscript"/>
        </w:rPr>
        <w:t>8</w:t>
      </w:r>
      <w:r>
        <w:rPr>
          <w:rFonts w:ascii="Calibri" w:hAnsi="Calibri"/>
          <w:sz w:val="28"/>
          <w:szCs w:val="28"/>
        </w:rPr>
        <w:t xml:space="preserve"> </w:t>
      </w:r>
      <w:r w:rsidR="00BA3900">
        <w:rPr>
          <w:rFonts w:ascii="Calibri" w:hAnsi="Calibri"/>
          <w:sz w:val="24"/>
          <w:szCs w:val="24"/>
        </w:rPr>
        <w:t>There seems to be an</w:t>
      </w:r>
      <w:r w:rsidR="005548AD" w:rsidRPr="00FC601A">
        <w:rPr>
          <w:rFonts w:ascii="Calibri" w:hAnsi="Calibri"/>
          <w:sz w:val="24"/>
          <w:szCs w:val="24"/>
        </w:rPr>
        <w:t xml:space="preserve"> imbalance between health service availability</w:t>
      </w:r>
      <w:r w:rsidR="0033741A">
        <w:rPr>
          <w:rFonts w:ascii="Calibri" w:hAnsi="Calibri"/>
          <w:sz w:val="24"/>
          <w:szCs w:val="24"/>
        </w:rPr>
        <w:t>,</w:t>
      </w:r>
      <w:r w:rsidR="005548AD" w:rsidRPr="00FC601A">
        <w:rPr>
          <w:rFonts w:ascii="Calibri" w:hAnsi="Calibri"/>
          <w:sz w:val="24"/>
          <w:szCs w:val="24"/>
        </w:rPr>
        <w:t xml:space="preserve"> and health spending, </w:t>
      </w:r>
      <w:r w:rsidR="00BA3900">
        <w:rPr>
          <w:rFonts w:ascii="Calibri" w:hAnsi="Calibri"/>
          <w:sz w:val="24"/>
          <w:szCs w:val="24"/>
        </w:rPr>
        <w:t xml:space="preserve">so </w:t>
      </w:r>
      <w:r w:rsidR="005548AD" w:rsidRPr="00FC601A">
        <w:rPr>
          <w:rFonts w:ascii="Calibri" w:hAnsi="Calibri"/>
          <w:sz w:val="24"/>
          <w:szCs w:val="24"/>
        </w:rPr>
        <w:t>better u</w:t>
      </w:r>
      <w:r w:rsidR="00BA3900">
        <w:rPr>
          <w:rFonts w:ascii="Calibri" w:hAnsi="Calibri"/>
          <w:sz w:val="24"/>
          <w:szCs w:val="24"/>
        </w:rPr>
        <w:t>se</w:t>
      </w:r>
      <w:r w:rsidR="005548AD" w:rsidRPr="00FC601A">
        <w:rPr>
          <w:rFonts w:ascii="Calibri" w:hAnsi="Calibri"/>
          <w:sz w:val="24"/>
          <w:szCs w:val="24"/>
        </w:rPr>
        <w:t xml:space="preserve"> of resources is necessary </w:t>
      </w:r>
      <w:r w:rsidR="00BA3900">
        <w:rPr>
          <w:rFonts w:ascii="Calibri" w:hAnsi="Calibri"/>
          <w:sz w:val="24"/>
          <w:szCs w:val="24"/>
        </w:rPr>
        <w:t xml:space="preserve">if KSA is to have an efficient and appropriate </w:t>
      </w:r>
      <w:r w:rsidR="005548AD" w:rsidRPr="00FC601A">
        <w:rPr>
          <w:rFonts w:ascii="Calibri" w:hAnsi="Calibri"/>
          <w:sz w:val="24"/>
          <w:szCs w:val="24"/>
        </w:rPr>
        <w:lastRenderedPageBreak/>
        <w:t>health system.</w:t>
      </w:r>
      <w:r w:rsidR="00DC0B44">
        <w:rPr>
          <w:rFonts w:ascii="Calibri" w:hAnsi="Calibri"/>
          <w:sz w:val="24"/>
          <w:szCs w:val="24"/>
          <w:vertAlign w:val="superscript"/>
        </w:rPr>
        <w:t>7</w:t>
      </w:r>
      <w:r w:rsidR="00FC601A">
        <w:rPr>
          <w:rFonts w:ascii="Calibri" w:hAnsi="Calibri"/>
          <w:sz w:val="24"/>
          <w:szCs w:val="24"/>
        </w:rPr>
        <w:t xml:space="preserve"> </w:t>
      </w:r>
      <w:r w:rsidR="00C313C8">
        <w:rPr>
          <w:rFonts w:ascii="Calibri" w:hAnsi="Calibri"/>
          <w:sz w:val="24"/>
          <w:szCs w:val="24"/>
        </w:rPr>
        <w:t>It is thus important to investigate how existing resources can be used more efficiently for meeting the demand for healthcare in the country.</w:t>
      </w:r>
    </w:p>
    <w:p w14:paraId="6EBF269C" w14:textId="32579B49" w:rsidR="00ED6583" w:rsidRDefault="00BA3900" w:rsidP="008F1189">
      <w:pPr>
        <w:spacing w:line="360" w:lineRule="auto"/>
        <w:jc w:val="both"/>
        <w:rPr>
          <w:rFonts w:ascii="Calibri" w:hAnsi="Calibri"/>
          <w:sz w:val="24"/>
          <w:szCs w:val="24"/>
        </w:rPr>
      </w:pPr>
      <w:r w:rsidRPr="00AF51DC">
        <w:rPr>
          <w:rFonts w:ascii="Calibri" w:hAnsi="Calibri"/>
          <w:sz w:val="24"/>
          <w:szCs w:val="24"/>
        </w:rPr>
        <w:t>G</w:t>
      </w:r>
      <w:r w:rsidR="005548AD" w:rsidRPr="00892C90">
        <w:rPr>
          <w:rFonts w:ascii="Calibri" w:hAnsi="Calibri"/>
          <w:sz w:val="24"/>
          <w:szCs w:val="24"/>
        </w:rPr>
        <w:t>overnments worldwide</w:t>
      </w:r>
      <w:r w:rsidRPr="00892C90">
        <w:rPr>
          <w:rFonts w:ascii="Calibri" w:hAnsi="Calibri"/>
          <w:sz w:val="24"/>
          <w:szCs w:val="24"/>
        </w:rPr>
        <w:t xml:space="preserve"> </w:t>
      </w:r>
      <w:r w:rsidR="0095010E" w:rsidRPr="00892C90">
        <w:rPr>
          <w:rFonts w:ascii="Calibri" w:hAnsi="Calibri"/>
          <w:sz w:val="24"/>
          <w:szCs w:val="24"/>
        </w:rPr>
        <w:t>conduct performance assessment</w:t>
      </w:r>
      <w:r w:rsidR="00AF51DC" w:rsidRPr="00892C90">
        <w:rPr>
          <w:rFonts w:ascii="Calibri" w:hAnsi="Calibri"/>
          <w:sz w:val="24"/>
          <w:szCs w:val="24"/>
        </w:rPr>
        <w:t>s</w:t>
      </w:r>
      <w:r w:rsidR="005548AD" w:rsidRPr="00892C90">
        <w:rPr>
          <w:rFonts w:ascii="Calibri" w:hAnsi="Calibri"/>
          <w:sz w:val="24"/>
          <w:szCs w:val="24"/>
        </w:rPr>
        <w:t xml:space="preserve"> of their health sectors</w:t>
      </w:r>
      <w:r w:rsidRPr="00892C90">
        <w:rPr>
          <w:rFonts w:ascii="Calibri" w:hAnsi="Calibri"/>
          <w:sz w:val="24"/>
          <w:szCs w:val="24"/>
        </w:rPr>
        <w:t>,</w:t>
      </w:r>
      <w:r w:rsidR="005548AD" w:rsidRPr="00892C90">
        <w:rPr>
          <w:rFonts w:ascii="Calibri" w:hAnsi="Calibri"/>
          <w:sz w:val="24"/>
          <w:szCs w:val="24"/>
        </w:rPr>
        <w:t xml:space="preserve"> to ensure that public f</w:t>
      </w:r>
      <w:r w:rsidR="002F1BE9" w:rsidRPr="00892C90">
        <w:rPr>
          <w:rFonts w:ascii="Calibri" w:hAnsi="Calibri"/>
          <w:sz w:val="24"/>
          <w:szCs w:val="24"/>
        </w:rPr>
        <w:t>und</w:t>
      </w:r>
      <w:r w:rsidRPr="00892C90">
        <w:rPr>
          <w:rFonts w:ascii="Calibri" w:hAnsi="Calibri"/>
          <w:sz w:val="24"/>
          <w:szCs w:val="24"/>
        </w:rPr>
        <w:t>s</w:t>
      </w:r>
      <w:r w:rsidR="005548AD" w:rsidRPr="00892C90">
        <w:rPr>
          <w:rFonts w:ascii="Calibri" w:hAnsi="Calibri"/>
          <w:sz w:val="24"/>
          <w:szCs w:val="24"/>
        </w:rPr>
        <w:t xml:space="preserve"> </w:t>
      </w:r>
      <w:r w:rsidRPr="00892C90">
        <w:rPr>
          <w:rFonts w:ascii="Calibri" w:hAnsi="Calibri"/>
          <w:sz w:val="24"/>
          <w:szCs w:val="24"/>
        </w:rPr>
        <w:t>are</w:t>
      </w:r>
      <w:r w:rsidR="005548AD" w:rsidRPr="00892C90">
        <w:rPr>
          <w:rFonts w:ascii="Calibri" w:hAnsi="Calibri"/>
          <w:sz w:val="24"/>
          <w:szCs w:val="24"/>
        </w:rPr>
        <w:t xml:space="preserve"> effectively utilized.</w:t>
      </w:r>
      <w:r w:rsidR="00DC0B44" w:rsidRPr="00892C90">
        <w:rPr>
          <w:rFonts w:ascii="Calibri" w:hAnsi="Calibri"/>
          <w:sz w:val="24"/>
          <w:szCs w:val="24"/>
          <w:vertAlign w:val="superscript"/>
        </w:rPr>
        <w:t>9</w:t>
      </w:r>
      <w:r w:rsidR="005548AD" w:rsidRPr="00892C90">
        <w:rPr>
          <w:rFonts w:ascii="Calibri" w:hAnsi="Calibri"/>
          <w:sz w:val="24"/>
          <w:szCs w:val="24"/>
        </w:rPr>
        <w:t xml:space="preserve"> </w:t>
      </w:r>
      <w:r w:rsidR="0095010E" w:rsidRPr="004D3072">
        <w:rPr>
          <w:rFonts w:ascii="Calibri" w:hAnsi="Calibri"/>
          <w:sz w:val="24"/>
          <w:szCs w:val="24"/>
        </w:rPr>
        <w:t>Eff</w:t>
      </w:r>
      <w:r w:rsidR="0095010E" w:rsidRPr="00AF51DC">
        <w:rPr>
          <w:rFonts w:ascii="Calibri" w:hAnsi="Calibri"/>
          <w:sz w:val="24"/>
          <w:szCs w:val="24"/>
        </w:rPr>
        <w:t xml:space="preserve">iciency evaluation is carried out under different concepts, such as </w:t>
      </w:r>
      <w:r w:rsidR="005548AD" w:rsidRPr="00AF51DC">
        <w:rPr>
          <w:rFonts w:ascii="Calibri" w:hAnsi="Calibri"/>
          <w:sz w:val="24"/>
          <w:szCs w:val="24"/>
        </w:rPr>
        <w:t>technical, allocative, cost and overall efficiency</w:t>
      </w:r>
      <w:r w:rsidR="008C0CC3" w:rsidRPr="00AF51DC">
        <w:rPr>
          <w:rFonts w:ascii="Calibri" w:hAnsi="Calibri"/>
          <w:sz w:val="24"/>
          <w:szCs w:val="24"/>
        </w:rPr>
        <w:t>.</w:t>
      </w:r>
      <w:r w:rsidR="00DC0B44" w:rsidRPr="00AF51DC">
        <w:rPr>
          <w:rFonts w:ascii="Calibri" w:hAnsi="Calibri"/>
          <w:sz w:val="24"/>
          <w:szCs w:val="24"/>
          <w:vertAlign w:val="superscript"/>
        </w:rPr>
        <w:t>9</w:t>
      </w:r>
      <w:r w:rsidR="0095010E" w:rsidRPr="00AF51DC">
        <w:rPr>
          <w:rFonts w:ascii="Calibri" w:hAnsi="Calibri"/>
          <w:sz w:val="24"/>
          <w:szCs w:val="24"/>
        </w:rPr>
        <w:t xml:space="preserve"> </w:t>
      </w:r>
      <w:r w:rsidRPr="00AF51DC">
        <w:rPr>
          <w:rFonts w:ascii="Calibri" w:hAnsi="Calibri"/>
          <w:sz w:val="24"/>
          <w:szCs w:val="24"/>
        </w:rPr>
        <w:t>Of</w:t>
      </w:r>
      <w:r w:rsidR="005548AD" w:rsidRPr="00AF51DC">
        <w:rPr>
          <w:rFonts w:ascii="Calibri" w:hAnsi="Calibri"/>
          <w:sz w:val="24"/>
          <w:szCs w:val="24"/>
        </w:rPr>
        <w:t xml:space="preserve"> these, the technical efficiency approach is most commonly used</w:t>
      </w:r>
      <w:r w:rsidR="00324F4C" w:rsidRPr="00AF51DC">
        <w:rPr>
          <w:rFonts w:ascii="Calibri" w:hAnsi="Calibri"/>
          <w:sz w:val="24"/>
          <w:szCs w:val="24"/>
        </w:rPr>
        <w:t>. This</w:t>
      </w:r>
      <w:r w:rsidR="005548AD" w:rsidRPr="00AF51DC">
        <w:rPr>
          <w:rFonts w:ascii="Calibri" w:hAnsi="Calibri"/>
          <w:sz w:val="24"/>
          <w:szCs w:val="24"/>
        </w:rPr>
        <w:t xml:space="preserve"> is based on Farrell</w:t>
      </w:r>
      <w:r w:rsidRPr="00AF51DC">
        <w:rPr>
          <w:rFonts w:ascii="Calibri" w:hAnsi="Calibri"/>
          <w:sz w:val="24"/>
          <w:szCs w:val="24"/>
        </w:rPr>
        <w:t>’s</w:t>
      </w:r>
      <w:r w:rsidR="005548AD" w:rsidRPr="00AF51DC">
        <w:rPr>
          <w:rFonts w:ascii="Calibri" w:hAnsi="Calibri"/>
          <w:sz w:val="24"/>
          <w:szCs w:val="24"/>
        </w:rPr>
        <w:t xml:space="preserve"> theory</w:t>
      </w:r>
      <w:r w:rsidR="008C0CC3" w:rsidRPr="00AF51DC">
        <w:rPr>
          <w:rFonts w:ascii="Calibri" w:hAnsi="Calibri"/>
          <w:sz w:val="24"/>
          <w:szCs w:val="24"/>
        </w:rPr>
        <w:t xml:space="preserve"> </w:t>
      </w:r>
      <w:r w:rsidRPr="00AF51DC">
        <w:rPr>
          <w:rFonts w:ascii="Calibri" w:hAnsi="Calibri"/>
          <w:sz w:val="24"/>
          <w:szCs w:val="24"/>
        </w:rPr>
        <w:t>of</w:t>
      </w:r>
      <w:r w:rsidR="008C0CC3" w:rsidRPr="00AF51DC">
        <w:rPr>
          <w:rFonts w:ascii="Calibri" w:hAnsi="Calibri"/>
          <w:sz w:val="24"/>
          <w:szCs w:val="24"/>
        </w:rPr>
        <w:t xml:space="preserve"> 1957</w:t>
      </w:r>
      <w:r w:rsidR="00324F4C" w:rsidRPr="00991627">
        <w:rPr>
          <w:sz w:val="24"/>
          <w:szCs w:val="24"/>
        </w:rPr>
        <w:t>, which</w:t>
      </w:r>
      <w:r w:rsidR="00092E43" w:rsidRPr="00991627">
        <w:rPr>
          <w:sz w:val="24"/>
          <w:szCs w:val="24"/>
        </w:rPr>
        <w:t xml:space="preserve"> introduced a measure of technical efficiency based on </w:t>
      </w:r>
      <w:r w:rsidR="0033741A">
        <w:rPr>
          <w:sz w:val="24"/>
          <w:szCs w:val="24"/>
        </w:rPr>
        <w:t xml:space="preserve">a </w:t>
      </w:r>
      <w:r w:rsidR="00092E43" w:rsidRPr="00991627">
        <w:rPr>
          <w:sz w:val="24"/>
          <w:szCs w:val="24"/>
        </w:rPr>
        <w:t>compari</w:t>
      </w:r>
      <w:r w:rsidRPr="00991627">
        <w:rPr>
          <w:sz w:val="24"/>
          <w:szCs w:val="24"/>
        </w:rPr>
        <w:t>son of</w:t>
      </w:r>
      <w:r w:rsidR="00092E43" w:rsidRPr="00991627">
        <w:rPr>
          <w:sz w:val="24"/>
          <w:szCs w:val="24"/>
        </w:rPr>
        <w:t xml:space="preserve"> the inputs and outputs</w:t>
      </w:r>
      <w:r w:rsidR="003D682F" w:rsidRPr="00991627">
        <w:rPr>
          <w:sz w:val="24"/>
          <w:szCs w:val="24"/>
        </w:rPr>
        <w:t xml:space="preserve"> </w:t>
      </w:r>
      <w:r w:rsidR="00034095" w:rsidRPr="00991627">
        <w:rPr>
          <w:sz w:val="24"/>
          <w:szCs w:val="24"/>
        </w:rPr>
        <w:t>of set</w:t>
      </w:r>
      <w:r w:rsidR="003D682F" w:rsidRPr="00991627">
        <w:rPr>
          <w:sz w:val="24"/>
          <w:szCs w:val="24"/>
        </w:rPr>
        <w:t xml:space="preserve"> </w:t>
      </w:r>
      <w:r w:rsidR="00034095" w:rsidRPr="00991627">
        <w:rPr>
          <w:sz w:val="24"/>
          <w:szCs w:val="24"/>
        </w:rPr>
        <w:t xml:space="preserve">entities, called </w:t>
      </w:r>
      <w:r w:rsidR="0033741A" w:rsidRPr="00991627">
        <w:rPr>
          <w:sz w:val="24"/>
          <w:szCs w:val="24"/>
        </w:rPr>
        <w:t>decision</w:t>
      </w:r>
      <w:r w:rsidR="0033741A">
        <w:rPr>
          <w:sz w:val="24"/>
          <w:szCs w:val="24"/>
        </w:rPr>
        <w:t>-</w:t>
      </w:r>
      <w:r w:rsidR="00034095" w:rsidRPr="00991627">
        <w:rPr>
          <w:sz w:val="24"/>
          <w:szCs w:val="24"/>
        </w:rPr>
        <w:t>making units (DMUs)</w:t>
      </w:r>
      <w:r w:rsidR="003D682F" w:rsidRPr="00991627">
        <w:rPr>
          <w:sz w:val="24"/>
          <w:szCs w:val="24"/>
        </w:rPr>
        <w:t>.</w:t>
      </w:r>
      <w:r w:rsidR="00DC0B44">
        <w:rPr>
          <w:sz w:val="23"/>
          <w:szCs w:val="23"/>
          <w:vertAlign w:val="superscript"/>
        </w:rPr>
        <w:t>10</w:t>
      </w:r>
    </w:p>
    <w:p w14:paraId="58E3C759" w14:textId="122BE493" w:rsidR="0073512A" w:rsidRDefault="00BA3900" w:rsidP="008F1189">
      <w:pPr>
        <w:spacing w:line="360" w:lineRule="auto"/>
        <w:jc w:val="both"/>
        <w:rPr>
          <w:rFonts w:ascii="Calibri" w:hAnsi="Calibri"/>
          <w:sz w:val="24"/>
          <w:szCs w:val="24"/>
        </w:rPr>
      </w:pPr>
      <w:r>
        <w:rPr>
          <w:rFonts w:ascii="Calibri" w:hAnsi="Calibri"/>
          <w:sz w:val="24"/>
          <w:szCs w:val="24"/>
        </w:rPr>
        <w:t>H</w:t>
      </w:r>
      <w:r w:rsidR="005548AD" w:rsidRPr="009A7A95">
        <w:rPr>
          <w:rFonts w:ascii="Calibri" w:hAnsi="Calibri"/>
          <w:sz w:val="24"/>
          <w:szCs w:val="24"/>
        </w:rPr>
        <w:t xml:space="preserve">ospital efficiency is crucial </w:t>
      </w:r>
      <w:r>
        <w:rPr>
          <w:rFonts w:ascii="Calibri" w:hAnsi="Calibri"/>
          <w:sz w:val="24"/>
          <w:szCs w:val="24"/>
        </w:rPr>
        <w:t>to</w:t>
      </w:r>
      <w:r w:rsidR="005548AD" w:rsidRPr="009A7A95">
        <w:rPr>
          <w:rFonts w:ascii="Calibri" w:hAnsi="Calibri"/>
          <w:sz w:val="24"/>
          <w:szCs w:val="24"/>
        </w:rPr>
        <w:t xml:space="preserve"> the efficiency of the health system</w:t>
      </w:r>
      <w:r>
        <w:rPr>
          <w:rFonts w:ascii="Calibri" w:hAnsi="Calibri"/>
          <w:sz w:val="24"/>
          <w:szCs w:val="24"/>
        </w:rPr>
        <w:t xml:space="preserve"> generally</w:t>
      </w:r>
      <w:r w:rsidR="005548AD" w:rsidRPr="009A7A95">
        <w:rPr>
          <w:rFonts w:ascii="Calibri" w:hAnsi="Calibri"/>
          <w:sz w:val="24"/>
          <w:szCs w:val="24"/>
        </w:rPr>
        <w:t xml:space="preserve">, as </w:t>
      </w:r>
      <w:r>
        <w:rPr>
          <w:rFonts w:ascii="Calibri" w:hAnsi="Calibri"/>
          <w:sz w:val="24"/>
          <w:szCs w:val="24"/>
        </w:rPr>
        <w:t>hospitals are</w:t>
      </w:r>
      <w:r w:rsidR="002F1BE9">
        <w:rPr>
          <w:rFonts w:ascii="Calibri" w:hAnsi="Calibri"/>
          <w:sz w:val="24"/>
          <w:szCs w:val="24"/>
        </w:rPr>
        <w:t xml:space="preserve"> </w:t>
      </w:r>
      <w:r w:rsidR="00324F4C">
        <w:rPr>
          <w:rFonts w:ascii="Calibri" w:hAnsi="Calibri"/>
          <w:sz w:val="24"/>
          <w:szCs w:val="24"/>
        </w:rPr>
        <w:t>key</w:t>
      </w:r>
      <w:r w:rsidR="005548AD" w:rsidRPr="009A7A95">
        <w:rPr>
          <w:rFonts w:ascii="Calibri" w:hAnsi="Calibri"/>
          <w:sz w:val="24"/>
          <w:szCs w:val="24"/>
        </w:rPr>
        <w:t xml:space="preserve"> consumer</w:t>
      </w:r>
      <w:r w:rsidR="00324F4C">
        <w:rPr>
          <w:rFonts w:ascii="Calibri" w:hAnsi="Calibri"/>
          <w:sz w:val="24"/>
          <w:szCs w:val="24"/>
        </w:rPr>
        <w:t>s</w:t>
      </w:r>
      <w:r w:rsidR="005548AD" w:rsidRPr="009A7A95">
        <w:rPr>
          <w:rFonts w:ascii="Calibri" w:hAnsi="Calibri"/>
          <w:sz w:val="24"/>
          <w:szCs w:val="24"/>
        </w:rPr>
        <w:t xml:space="preserve"> of health resources.</w:t>
      </w:r>
      <w:r w:rsidR="00DC0B44">
        <w:rPr>
          <w:rFonts w:ascii="Calibri" w:hAnsi="Calibri"/>
          <w:sz w:val="24"/>
          <w:szCs w:val="24"/>
          <w:vertAlign w:val="superscript"/>
        </w:rPr>
        <w:t>11,12</w:t>
      </w:r>
      <w:r w:rsidR="005548AD" w:rsidRPr="009A7A95">
        <w:rPr>
          <w:rFonts w:ascii="Calibri" w:hAnsi="Calibri"/>
          <w:sz w:val="24"/>
          <w:szCs w:val="24"/>
        </w:rPr>
        <w:t xml:space="preserve"> </w:t>
      </w:r>
      <w:r w:rsidR="00127228" w:rsidRPr="009A7A95">
        <w:rPr>
          <w:rFonts w:ascii="Calibri" w:hAnsi="Calibri"/>
          <w:sz w:val="24"/>
          <w:szCs w:val="24"/>
        </w:rPr>
        <w:t xml:space="preserve">Hanson </w:t>
      </w:r>
      <w:r w:rsidR="00F819FD">
        <w:rPr>
          <w:rFonts w:ascii="Calibri" w:hAnsi="Calibri"/>
          <w:sz w:val="24"/>
          <w:szCs w:val="24"/>
        </w:rPr>
        <w:t>et al</w:t>
      </w:r>
      <w:r w:rsidR="00622DEC">
        <w:rPr>
          <w:rFonts w:ascii="Calibri" w:hAnsi="Calibri"/>
          <w:sz w:val="24"/>
          <w:szCs w:val="24"/>
        </w:rPr>
        <w:t>.</w:t>
      </w:r>
      <w:r w:rsidR="00AB4E25">
        <w:rPr>
          <w:rFonts w:ascii="Calibri" w:hAnsi="Calibri"/>
          <w:sz w:val="24"/>
          <w:szCs w:val="24"/>
        </w:rPr>
        <w:t xml:space="preserve"> </w:t>
      </w:r>
      <w:r w:rsidR="00F819FD">
        <w:rPr>
          <w:rFonts w:ascii="Calibri" w:hAnsi="Calibri"/>
          <w:sz w:val="24"/>
          <w:szCs w:val="24"/>
        </w:rPr>
        <w:t>(</w:t>
      </w:r>
      <w:r w:rsidR="00AB4E25">
        <w:rPr>
          <w:rFonts w:ascii="Calibri" w:hAnsi="Calibri"/>
          <w:sz w:val="24"/>
          <w:szCs w:val="24"/>
        </w:rPr>
        <w:t>2002</w:t>
      </w:r>
      <w:r w:rsidR="00F819FD">
        <w:rPr>
          <w:rFonts w:ascii="Calibri" w:hAnsi="Calibri"/>
          <w:sz w:val="24"/>
          <w:szCs w:val="24"/>
        </w:rPr>
        <w:t>)</w:t>
      </w:r>
      <w:r w:rsidR="005548AD" w:rsidRPr="009A7A95">
        <w:rPr>
          <w:rFonts w:ascii="Calibri" w:hAnsi="Calibri"/>
          <w:sz w:val="24"/>
          <w:szCs w:val="24"/>
        </w:rPr>
        <w:t xml:space="preserve"> </w:t>
      </w:r>
      <w:r w:rsidR="002F1BE9">
        <w:rPr>
          <w:rFonts w:ascii="Calibri" w:hAnsi="Calibri"/>
          <w:sz w:val="24"/>
          <w:szCs w:val="24"/>
        </w:rPr>
        <w:t>found</w:t>
      </w:r>
      <w:r w:rsidR="002F1BE9" w:rsidRPr="009A7A95">
        <w:rPr>
          <w:rFonts w:ascii="Calibri" w:hAnsi="Calibri"/>
          <w:sz w:val="24"/>
          <w:szCs w:val="24"/>
        </w:rPr>
        <w:t xml:space="preserve"> </w:t>
      </w:r>
      <w:r w:rsidR="005548AD" w:rsidRPr="009A7A95">
        <w:rPr>
          <w:rFonts w:ascii="Calibri" w:hAnsi="Calibri"/>
          <w:sz w:val="24"/>
          <w:szCs w:val="24"/>
        </w:rPr>
        <w:t>that public hospitals consume a</w:t>
      </w:r>
      <w:r>
        <w:rPr>
          <w:rFonts w:ascii="Calibri" w:hAnsi="Calibri"/>
          <w:sz w:val="24"/>
          <w:szCs w:val="24"/>
        </w:rPr>
        <w:t>round 40%</w:t>
      </w:r>
      <w:r w:rsidR="005548AD" w:rsidRPr="009A7A95">
        <w:rPr>
          <w:rFonts w:ascii="Calibri" w:hAnsi="Calibri"/>
          <w:sz w:val="24"/>
          <w:szCs w:val="24"/>
        </w:rPr>
        <w:t xml:space="preserve"> of the total health budget in many sub-Saharan African count</w:t>
      </w:r>
      <w:r w:rsidR="004A3E9E">
        <w:rPr>
          <w:rFonts w:ascii="Calibri" w:hAnsi="Calibri"/>
          <w:sz w:val="24"/>
          <w:szCs w:val="24"/>
        </w:rPr>
        <w:t>ries</w:t>
      </w:r>
      <w:r w:rsidR="005548AD" w:rsidRPr="009A7A95">
        <w:rPr>
          <w:rFonts w:ascii="Calibri" w:hAnsi="Calibri"/>
          <w:sz w:val="24"/>
          <w:szCs w:val="24"/>
        </w:rPr>
        <w:t>.</w:t>
      </w:r>
      <w:r w:rsidR="00DC0B44">
        <w:rPr>
          <w:rFonts w:ascii="Calibri" w:hAnsi="Calibri"/>
          <w:sz w:val="24"/>
          <w:szCs w:val="24"/>
          <w:vertAlign w:val="superscript"/>
        </w:rPr>
        <w:t>11</w:t>
      </w:r>
      <w:r w:rsidR="005548AD" w:rsidRPr="009A7A95">
        <w:rPr>
          <w:rFonts w:ascii="Calibri" w:hAnsi="Calibri"/>
          <w:sz w:val="24"/>
          <w:szCs w:val="24"/>
        </w:rPr>
        <w:t xml:space="preserve"> </w:t>
      </w:r>
      <w:r>
        <w:rPr>
          <w:rFonts w:ascii="Calibri" w:hAnsi="Calibri"/>
          <w:sz w:val="24"/>
          <w:szCs w:val="24"/>
        </w:rPr>
        <w:t>P</w:t>
      </w:r>
      <w:r w:rsidR="005548AD" w:rsidRPr="009A7A95">
        <w:rPr>
          <w:rFonts w:ascii="Calibri" w:hAnsi="Calibri"/>
          <w:sz w:val="24"/>
          <w:szCs w:val="24"/>
        </w:rPr>
        <w:t>ublic hospitals</w:t>
      </w:r>
      <w:r w:rsidR="002F1BE9">
        <w:rPr>
          <w:rFonts w:ascii="Calibri" w:hAnsi="Calibri"/>
          <w:sz w:val="24"/>
          <w:szCs w:val="24"/>
        </w:rPr>
        <w:t xml:space="preserve"> used almost </w:t>
      </w:r>
      <w:r w:rsidR="005548AD" w:rsidRPr="009A7A95">
        <w:rPr>
          <w:rFonts w:ascii="Calibri" w:hAnsi="Calibri"/>
          <w:sz w:val="24"/>
          <w:szCs w:val="24"/>
        </w:rPr>
        <w:t xml:space="preserve">44% of </w:t>
      </w:r>
      <w:r w:rsidR="00886413">
        <w:rPr>
          <w:rFonts w:ascii="Calibri" w:hAnsi="Calibri"/>
          <w:sz w:val="24"/>
          <w:szCs w:val="24"/>
        </w:rPr>
        <w:t xml:space="preserve">the </w:t>
      </w:r>
      <w:r w:rsidR="008D55C2">
        <w:rPr>
          <w:rFonts w:ascii="Calibri" w:hAnsi="Calibri"/>
          <w:sz w:val="24"/>
          <w:szCs w:val="24"/>
        </w:rPr>
        <w:t>health</w:t>
      </w:r>
      <w:r w:rsidR="002F1BE9">
        <w:rPr>
          <w:rFonts w:ascii="Calibri" w:hAnsi="Calibri"/>
          <w:sz w:val="24"/>
          <w:szCs w:val="24"/>
        </w:rPr>
        <w:t xml:space="preserve"> spending </w:t>
      </w:r>
      <w:r w:rsidR="005548AD" w:rsidRPr="009A7A95">
        <w:rPr>
          <w:rFonts w:ascii="Calibri" w:hAnsi="Calibri"/>
          <w:sz w:val="24"/>
          <w:szCs w:val="24"/>
        </w:rPr>
        <w:t>in the United Kingdom in 2012/13.</w:t>
      </w:r>
      <w:r w:rsidR="00DC0B44">
        <w:rPr>
          <w:rFonts w:ascii="Calibri" w:hAnsi="Calibri"/>
          <w:sz w:val="24"/>
          <w:szCs w:val="24"/>
          <w:vertAlign w:val="superscript"/>
        </w:rPr>
        <w:t>13</w:t>
      </w:r>
      <w:r w:rsidR="00443821">
        <w:rPr>
          <w:rFonts w:ascii="Calibri" w:hAnsi="Calibri"/>
          <w:sz w:val="24"/>
          <w:szCs w:val="24"/>
        </w:rPr>
        <w:t xml:space="preserve"> </w:t>
      </w:r>
    </w:p>
    <w:p w14:paraId="4F0FD149" w14:textId="1D74376B" w:rsidR="00ED6583" w:rsidRDefault="00443821" w:rsidP="008F1189">
      <w:pPr>
        <w:spacing w:line="360" w:lineRule="auto"/>
        <w:jc w:val="both"/>
        <w:rPr>
          <w:rFonts w:ascii="Calibri" w:hAnsi="Calibri"/>
          <w:sz w:val="24"/>
          <w:szCs w:val="24"/>
        </w:rPr>
      </w:pPr>
      <w:r w:rsidRPr="00443821">
        <w:rPr>
          <w:rFonts w:ascii="Calibri" w:hAnsi="Calibri"/>
          <w:sz w:val="24"/>
          <w:szCs w:val="24"/>
        </w:rPr>
        <w:t xml:space="preserve">In general, there is a scarcity of studies and empirical works on the </w:t>
      </w:r>
      <w:r w:rsidR="0095010E">
        <w:rPr>
          <w:rFonts w:ascii="Calibri" w:hAnsi="Calibri"/>
          <w:sz w:val="24"/>
          <w:szCs w:val="24"/>
        </w:rPr>
        <w:t>performance assessment</w:t>
      </w:r>
      <w:r w:rsidR="0095010E" w:rsidRPr="00443821">
        <w:rPr>
          <w:rFonts w:ascii="Calibri" w:hAnsi="Calibri"/>
          <w:sz w:val="24"/>
          <w:szCs w:val="24"/>
        </w:rPr>
        <w:t xml:space="preserve"> </w:t>
      </w:r>
      <w:r w:rsidRPr="00443821">
        <w:rPr>
          <w:rFonts w:ascii="Calibri" w:hAnsi="Calibri"/>
          <w:sz w:val="24"/>
          <w:szCs w:val="24"/>
        </w:rPr>
        <w:t>of public hospitals</w:t>
      </w:r>
      <w:r w:rsidR="008D55C2">
        <w:rPr>
          <w:rFonts w:ascii="Calibri" w:hAnsi="Calibri"/>
          <w:sz w:val="24"/>
          <w:szCs w:val="24"/>
        </w:rPr>
        <w:t>,</w:t>
      </w:r>
      <w:r w:rsidRPr="00443821">
        <w:rPr>
          <w:rFonts w:ascii="Calibri" w:hAnsi="Calibri"/>
          <w:sz w:val="24"/>
          <w:szCs w:val="24"/>
        </w:rPr>
        <w:t xml:space="preserve"> and </w:t>
      </w:r>
      <w:r w:rsidR="008D55C2">
        <w:rPr>
          <w:rFonts w:ascii="Calibri" w:hAnsi="Calibri"/>
          <w:sz w:val="24"/>
          <w:szCs w:val="24"/>
        </w:rPr>
        <w:t>th</w:t>
      </w:r>
      <w:r w:rsidR="00892C90">
        <w:rPr>
          <w:rFonts w:ascii="Calibri" w:hAnsi="Calibri"/>
          <w:sz w:val="24"/>
          <w:szCs w:val="24"/>
        </w:rPr>
        <w:t>is</w:t>
      </w:r>
      <w:r w:rsidRPr="00443821">
        <w:rPr>
          <w:rFonts w:ascii="Calibri" w:hAnsi="Calibri"/>
          <w:sz w:val="24"/>
          <w:szCs w:val="24"/>
        </w:rPr>
        <w:t xml:space="preserve"> rarity </w:t>
      </w:r>
      <w:r w:rsidR="008D55C2">
        <w:rPr>
          <w:rFonts w:ascii="Calibri" w:hAnsi="Calibri"/>
          <w:sz w:val="24"/>
          <w:szCs w:val="24"/>
        </w:rPr>
        <w:t>is particularly acute</w:t>
      </w:r>
      <w:r w:rsidRPr="00443821">
        <w:rPr>
          <w:rFonts w:ascii="Calibri" w:hAnsi="Calibri"/>
          <w:sz w:val="24"/>
          <w:szCs w:val="24"/>
        </w:rPr>
        <w:t xml:space="preserve"> in</w:t>
      </w:r>
      <w:r w:rsidR="00324F4C">
        <w:rPr>
          <w:rFonts w:ascii="Calibri" w:hAnsi="Calibri"/>
          <w:sz w:val="24"/>
          <w:szCs w:val="24"/>
        </w:rPr>
        <w:t xml:space="preserve"> the context of</w:t>
      </w:r>
      <w:r w:rsidRPr="00443821">
        <w:rPr>
          <w:rFonts w:ascii="Calibri" w:hAnsi="Calibri"/>
          <w:sz w:val="24"/>
          <w:szCs w:val="24"/>
        </w:rPr>
        <w:t xml:space="preserve"> </w:t>
      </w:r>
      <w:r w:rsidR="008D55C2">
        <w:rPr>
          <w:rFonts w:ascii="Calibri" w:hAnsi="Calibri"/>
          <w:sz w:val="24"/>
          <w:szCs w:val="24"/>
        </w:rPr>
        <w:t>K</w:t>
      </w:r>
      <w:r w:rsidRPr="00443821">
        <w:rPr>
          <w:rFonts w:ascii="Calibri" w:hAnsi="Calibri"/>
          <w:sz w:val="24"/>
          <w:szCs w:val="24"/>
        </w:rPr>
        <w:t>SA</w:t>
      </w:r>
      <w:r w:rsidR="008C0CC3">
        <w:rPr>
          <w:rFonts w:ascii="Calibri" w:hAnsi="Calibri"/>
          <w:sz w:val="24"/>
          <w:szCs w:val="24"/>
        </w:rPr>
        <w:t>.</w:t>
      </w:r>
      <w:r w:rsidR="00DC0B44">
        <w:rPr>
          <w:rFonts w:ascii="Calibri" w:hAnsi="Calibri"/>
          <w:sz w:val="24"/>
          <w:szCs w:val="24"/>
          <w:vertAlign w:val="superscript"/>
        </w:rPr>
        <w:t>14</w:t>
      </w:r>
      <w:r w:rsidR="007D2D52">
        <w:rPr>
          <w:rFonts w:ascii="Calibri" w:hAnsi="Calibri"/>
          <w:sz w:val="24"/>
          <w:szCs w:val="24"/>
        </w:rPr>
        <w:t xml:space="preserve"> S</w:t>
      </w:r>
      <w:r>
        <w:rPr>
          <w:rFonts w:ascii="Calibri" w:hAnsi="Calibri"/>
          <w:sz w:val="24"/>
          <w:szCs w:val="24"/>
        </w:rPr>
        <w:t xml:space="preserve">ystematic </w:t>
      </w:r>
      <w:r w:rsidRPr="00443821">
        <w:rPr>
          <w:rFonts w:ascii="Calibri" w:hAnsi="Calibri"/>
          <w:sz w:val="24"/>
          <w:szCs w:val="24"/>
        </w:rPr>
        <w:t xml:space="preserve">review </w:t>
      </w:r>
      <w:r>
        <w:rPr>
          <w:rFonts w:ascii="Calibri" w:hAnsi="Calibri"/>
          <w:sz w:val="24"/>
          <w:szCs w:val="24"/>
        </w:rPr>
        <w:t xml:space="preserve">of </w:t>
      </w:r>
      <w:r w:rsidRPr="00443821">
        <w:rPr>
          <w:rFonts w:ascii="Calibri" w:hAnsi="Calibri"/>
          <w:sz w:val="24"/>
          <w:szCs w:val="24"/>
        </w:rPr>
        <w:t xml:space="preserve">public hospital efficiency studies in </w:t>
      </w:r>
      <w:r w:rsidR="008D55C2">
        <w:rPr>
          <w:rFonts w:ascii="Calibri" w:hAnsi="Calibri"/>
          <w:sz w:val="24"/>
          <w:szCs w:val="24"/>
        </w:rPr>
        <w:t xml:space="preserve">the </w:t>
      </w:r>
      <w:r>
        <w:rPr>
          <w:rFonts w:ascii="Calibri" w:hAnsi="Calibri"/>
          <w:sz w:val="24"/>
          <w:szCs w:val="24"/>
        </w:rPr>
        <w:t xml:space="preserve">Gulf </w:t>
      </w:r>
      <w:r w:rsidRPr="00443821">
        <w:rPr>
          <w:rFonts w:ascii="Calibri" w:hAnsi="Calibri"/>
          <w:sz w:val="24"/>
          <w:szCs w:val="24"/>
        </w:rPr>
        <w:t xml:space="preserve">region and </w:t>
      </w:r>
      <w:r w:rsidR="007D2D52">
        <w:rPr>
          <w:rFonts w:ascii="Calibri" w:hAnsi="Calibri"/>
          <w:sz w:val="24"/>
          <w:szCs w:val="24"/>
        </w:rPr>
        <w:t xml:space="preserve">similar </w:t>
      </w:r>
      <w:r w:rsidRPr="00443821">
        <w:rPr>
          <w:rFonts w:ascii="Calibri" w:hAnsi="Calibri"/>
          <w:sz w:val="24"/>
          <w:szCs w:val="24"/>
        </w:rPr>
        <w:t xml:space="preserve">countries </w:t>
      </w:r>
      <w:r w:rsidR="007D2D52">
        <w:rPr>
          <w:rFonts w:ascii="Calibri" w:hAnsi="Calibri"/>
          <w:sz w:val="24"/>
          <w:szCs w:val="24"/>
        </w:rPr>
        <w:t>has</w:t>
      </w:r>
      <w:r>
        <w:rPr>
          <w:rFonts w:ascii="Calibri" w:hAnsi="Calibri"/>
          <w:sz w:val="24"/>
          <w:szCs w:val="24"/>
        </w:rPr>
        <w:t xml:space="preserve"> </w:t>
      </w:r>
      <w:r w:rsidR="00B44A25">
        <w:rPr>
          <w:rFonts w:ascii="Calibri" w:hAnsi="Calibri"/>
          <w:sz w:val="24"/>
          <w:szCs w:val="24"/>
        </w:rPr>
        <w:t>show</w:t>
      </w:r>
      <w:r>
        <w:rPr>
          <w:rFonts w:ascii="Calibri" w:hAnsi="Calibri"/>
          <w:sz w:val="24"/>
          <w:szCs w:val="24"/>
        </w:rPr>
        <w:t xml:space="preserve">n </w:t>
      </w:r>
      <w:r w:rsidR="007D2D52">
        <w:rPr>
          <w:rFonts w:ascii="Calibri" w:hAnsi="Calibri"/>
          <w:sz w:val="24"/>
          <w:szCs w:val="24"/>
        </w:rPr>
        <w:t xml:space="preserve">the </w:t>
      </w:r>
      <w:r w:rsidR="00B44A25">
        <w:rPr>
          <w:rFonts w:ascii="Calibri" w:hAnsi="Calibri"/>
          <w:sz w:val="24"/>
          <w:szCs w:val="24"/>
        </w:rPr>
        <w:t xml:space="preserve">number of studies </w:t>
      </w:r>
      <w:r w:rsidR="007D2D52">
        <w:rPr>
          <w:rFonts w:ascii="Calibri" w:hAnsi="Calibri"/>
          <w:sz w:val="24"/>
          <w:szCs w:val="24"/>
        </w:rPr>
        <w:t>to be</w:t>
      </w:r>
      <w:r w:rsidR="00B44A25">
        <w:rPr>
          <w:rFonts w:ascii="Calibri" w:hAnsi="Calibri"/>
          <w:sz w:val="24"/>
          <w:szCs w:val="24"/>
        </w:rPr>
        <w:t xml:space="preserve"> limited, </w:t>
      </w:r>
      <w:r w:rsidR="00B44A25" w:rsidRPr="00B44A25">
        <w:rPr>
          <w:rFonts w:ascii="Calibri" w:hAnsi="Calibri"/>
          <w:sz w:val="24"/>
          <w:szCs w:val="24"/>
        </w:rPr>
        <w:t xml:space="preserve">as efficiency analysis is a </w:t>
      </w:r>
      <w:r w:rsidR="007D2D52">
        <w:rPr>
          <w:rFonts w:ascii="Calibri" w:hAnsi="Calibri"/>
          <w:sz w:val="24"/>
          <w:szCs w:val="24"/>
        </w:rPr>
        <w:t>novel</w:t>
      </w:r>
      <w:r w:rsidR="00B44A25" w:rsidRPr="00B44A25">
        <w:rPr>
          <w:rFonts w:ascii="Calibri" w:hAnsi="Calibri"/>
          <w:sz w:val="24"/>
          <w:szCs w:val="24"/>
        </w:rPr>
        <w:t xml:space="preserve"> approach</w:t>
      </w:r>
      <w:r w:rsidR="007D2D52">
        <w:rPr>
          <w:rFonts w:ascii="Calibri" w:hAnsi="Calibri"/>
          <w:sz w:val="24"/>
          <w:szCs w:val="24"/>
        </w:rPr>
        <w:t xml:space="preserve"> to</w:t>
      </w:r>
      <w:r w:rsidR="00B44A25" w:rsidRPr="00B44A25">
        <w:rPr>
          <w:rFonts w:ascii="Calibri" w:hAnsi="Calibri"/>
          <w:sz w:val="24"/>
          <w:szCs w:val="24"/>
        </w:rPr>
        <w:t xml:space="preserve"> research in </w:t>
      </w:r>
      <w:r w:rsidR="007D2D52">
        <w:rPr>
          <w:rFonts w:ascii="Calibri" w:hAnsi="Calibri"/>
          <w:sz w:val="24"/>
          <w:szCs w:val="24"/>
        </w:rPr>
        <w:t xml:space="preserve">the </w:t>
      </w:r>
      <w:r w:rsidR="00B44A25" w:rsidRPr="00B44A25">
        <w:rPr>
          <w:rFonts w:ascii="Calibri" w:hAnsi="Calibri"/>
          <w:sz w:val="24"/>
          <w:szCs w:val="24"/>
        </w:rPr>
        <w:t>Gulf</w:t>
      </w:r>
      <w:r w:rsidR="007D2D52">
        <w:rPr>
          <w:rFonts w:ascii="Calibri" w:hAnsi="Calibri"/>
          <w:sz w:val="24"/>
          <w:szCs w:val="24"/>
        </w:rPr>
        <w:t>,</w:t>
      </w:r>
      <w:r w:rsidR="00B44A25">
        <w:rPr>
          <w:rFonts w:ascii="Calibri" w:hAnsi="Calibri"/>
          <w:sz w:val="24"/>
          <w:szCs w:val="24"/>
        </w:rPr>
        <w:t xml:space="preserve"> including </w:t>
      </w:r>
      <w:r w:rsidR="00324F4C">
        <w:rPr>
          <w:rFonts w:ascii="Calibri" w:hAnsi="Calibri"/>
          <w:sz w:val="24"/>
          <w:szCs w:val="24"/>
        </w:rPr>
        <w:t>KSA</w:t>
      </w:r>
      <w:r w:rsidR="00B44A25">
        <w:rPr>
          <w:rFonts w:ascii="Calibri" w:hAnsi="Calibri"/>
          <w:sz w:val="24"/>
          <w:szCs w:val="24"/>
        </w:rPr>
        <w:t>.</w:t>
      </w:r>
      <w:r w:rsidR="00DC0B44">
        <w:rPr>
          <w:rFonts w:ascii="Calibri" w:hAnsi="Calibri"/>
          <w:sz w:val="24"/>
          <w:szCs w:val="24"/>
          <w:vertAlign w:val="superscript"/>
        </w:rPr>
        <w:t>14</w:t>
      </w:r>
      <w:r w:rsidR="00B44A25">
        <w:rPr>
          <w:rFonts w:ascii="Calibri" w:hAnsi="Calibri"/>
          <w:sz w:val="24"/>
          <w:szCs w:val="24"/>
        </w:rPr>
        <w:t xml:space="preserve"> </w:t>
      </w:r>
      <w:r w:rsidR="0073512A">
        <w:rPr>
          <w:rFonts w:ascii="Calibri" w:hAnsi="Calibri"/>
          <w:sz w:val="24"/>
          <w:szCs w:val="24"/>
        </w:rPr>
        <w:t xml:space="preserve">The review found only two studies based in KSA context; a </w:t>
      </w:r>
      <w:r w:rsidR="0073512A" w:rsidRPr="0073512A">
        <w:rPr>
          <w:rFonts w:ascii="Calibri" w:hAnsi="Calibri"/>
          <w:sz w:val="24"/>
          <w:szCs w:val="24"/>
        </w:rPr>
        <w:t xml:space="preserve">study by </w:t>
      </w:r>
      <w:proofErr w:type="spellStart"/>
      <w:r w:rsidR="0073512A" w:rsidRPr="0073512A">
        <w:rPr>
          <w:rFonts w:ascii="Calibri" w:hAnsi="Calibri"/>
          <w:sz w:val="24"/>
          <w:szCs w:val="24"/>
        </w:rPr>
        <w:t>Helal</w:t>
      </w:r>
      <w:proofErr w:type="spellEnd"/>
      <w:r w:rsidR="0073512A" w:rsidRPr="0073512A">
        <w:rPr>
          <w:rFonts w:ascii="Calibri" w:hAnsi="Calibri"/>
          <w:sz w:val="24"/>
          <w:szCs w:val="24"/>
        </w:rPr>
        <w:t xml:space="preserve"> and </w:t>
      </w:r>
      <w:proofErr w:type="spellStart"/>
      <w:r w:rsidR="0073512A" w:rsidRPr="0073512A">
        <w:rPr>
          <w:rFonts w:ascii="Calibri" w:hAnsi="Calibri"/>
          <w:sz w:val="24"/>
          <w:szCs w:val="24"/>
        </w:rPr>
        <w:t>Elimam</w:t>
      </w:r>
      <w:proofErr w:type="spellEnd"/>
      <w:r w:rsidR="0073512A">
        <w:rPr>
          <w:rFonts w:ascii="Calibri" w:hAnsi="Calibri"/>
          <w:sz w:val="24"/>
          <w:szCs w:val="24"/>
        </w:rPr>
        <w:t xml:space="preserve"> in 2017 </w:t>
      </w:r>
      <w:r w:rsidR="00DC0B44">
        <w:rPr>
          <w:rFonts w:ascii="Calibri" w:hAnsi="Calibri"/>
          <w:sz w:val="24"/>
          <w:szCs w:val="24"/>
          <w:vertAlign w:val="superscript"/>
        </w:rPr>
        <w:t>15</w:t>
      </w:r>
      <w:r w:rsidR="0073512A" w:rsidRPr="0073512A">
        <w:rPr>
          <w:rFonts w:ascii="Calibri" w:hAnsi="Calibri"/>
          <w:sz w:val="24"/>
          <w:szCs w:val="24"/>
        </w:rPr>
        <w:t xml:space="preserve">, which assessed the efficiency of health services at districts level in KSA. </w:t>
      </w:r>
      <w:r w:rsidR="0073512A">
        <w:rPr>
          <w:rFonts w:ascii="Calibri" w:hAnsi="Calibri"/>
          <w:sz w:val="24"/>
          <w:szCs w:val="24"/>
        </w:rPr>
        <w:t>Another</w:t>
      </w:r>
      <w:r w:rsidR="0073512A" w:rsidRPr="0073512A">
        <w:rPr>
          <w:rFonts w:ascii="Calibri" w:hAnsi="Calibri"/>
          <w:sz w:val="24"/>
          <w:szCs w:val="24"/>
        </w:rPr>
        <w:t xml:space="preserve"> efficiency analysis </w:t>
      </w:r>
      <w:r w:rsidR="0073512A">
        <w:rPr>
          <w:rFonts w:ascii="Calibri" w:hAnsi="Calibri"/>
          <w:sz w:val="24"/>
          <w:szCs w:val="24"/>
        </w:rPr>
        <w:t xml:space="preserve">conducted in 2013 </w:t>
      </w:r>
      <w:r w:rsidR="0073512A" w:rsidRPr="0073512A">
        <w:rPr>
          <w:rFonts w:ascii="Calibri" w:hAnsi="Calibri"/>
          <w:sz w:val="24"/>
          <w:szCs w:val="24"/>
        </w:rPr>
        <w:t xml:space="preserve">of 20 public hospitals, under private sector management, </w:t>
      </w:r>
      <w:r w:rsidR="00603DF8">
        <w:rPr>
          <w:rFonts w:ascii="Calibri" w:hAnsi="Calibri"/>
          <w:sz w:val="24"/>
          <w:szCs w:val="24"/>
        </w:rPr>
        <w:t xml:space="preserve">which </w:t>
      </w:r>
      <w:r w:rsidR="0073512A" w:rsidRPr="0073512A">
        <w:rPr>
          <w:rFonts w:ascii="Calibri" w:hAnsi="Calibri"/>
          <w:sz w:val="24"/>
          <w:szCs w:val="24"/>
        </w:rPr>
        <w:t>found that 60% of the study sample had not achieved the efficient score.</w:t>
      </w:r>
      <w:r w:rsidR="00DC0B44">
        <w:rPr>
          <w:rFonts w:ascii="Calibri" w:hAnsi="Calibri"/>
          <w:sz w:val="24"/>
          <w:szCs w:val="24"/>
          <w:vertAlign w:val="superscript"/>
        </w:rPr>
        <w:t>16</w:t>
      </w:r>
    </w:p>
    <w:p w14:paraId="211D3F92" w14:textId="0D4EFA26" w:rsidR="00603DF8" w:rsidRPr="00603DF8" w:rsidRDefault="00603DF8" w:rsidP="008F1189">
      <w:pPr>
        <w:spacing w:line="360" w:lineRule="auto"/>
        <w:jc w:val="both"/>
        <w:rPr>
          <w:rFonts w:ascii="Calibri" w:hAnsi="Calibri"/>
          <w:sz w:val="24"/>
          <w:szCs w:val="24"/>
        </w:rPr>
      </w:pPr>
      <w:r w:rsidRPr="00603DF8">
        <w:rPr>
          <w:rFonts w:ascii="Calibri" w:hAnsi="Calibri"/>
          <w:sz w:val="24"/>
          <w:szCs w:val="24"/>
        </w:rPr>
        <w:t>Hospital efficiency has hitherto been measured mainly by frontier analysis methods, either through non-parametric data envelopment analysis (DEA) or as parametric stochastic frontier analysis (SFA).</w:t>
      </w:r>
      <w:r w:rsidR="00DC0B44">
        <w:rPr>
          <w:rFonts w:ascii="Calibri" w:hAnsi="Calibri"/>
          <w:sz w:val="24"/>
          <w:szCs w:val="24"/>
          <w:vertAlign w:val="superscript"/>
        </w:rPr>
        <w:t>9</w:t>
      </w:r>
      <w:r w:rsidRPr="00603DF8">
        <w:rPr>
          <w:rFonts w:ascii="Calibri" w:hAnsi="Calibri"/>
          <w:sz w:val="24"/>
          <w:szCs w:val="24"/>
        </w:rPr>
        <w:t xml:space="preserve"> These methods compare hospital performance with an estimated efficient frontier comprising the best-performing hospitals.</w:t>
      </w:r>
      <w:r w:rsidR="00DC0B44">
        <w:rPr>
          <w:rFonts w:ascii="Calibri" w:hAnsi="Calibri"/>
          <w:sz w:val="24"/>
          <w:szCs w:val="24"/>
          <w:vertAlign w:val="superscript"/>
        </w:rPr>
        <w:t>17,18</w:t>
      </w:r>
      <w:r w:rsidRPr="00603DF8">
        <w:rPr>
          <w:rFonts w:ascii="Calibri" w:hAnsi="Calibri"/>
          <w:sz w:val="24"/>
          <w:szCs w:val="24"/>
        </w:rPr>
        <w:t xml:space="preserve"> </w:t>
      </w:r>
    </w:p>
    <w:p w14:paraId="01F7E7E9" w14:textId="505AD97A" w:rsidR="008E2E0D" w:rsidRDefault="00603DF8" w:rsidP="008F1189">
      <w:pPr>
        <w:spacing w:line="360" w:lineRule="auto"/>
        <w:jc w:val="both"/>
        <w:rPr>
          <w:rFonts w:ascii="Calibri" w:hAnsi="Calibri"/>
          <w:sz w:val="24"/>
          <w:szCs w:val="24"/>
        </w:rPr>
      </w:pPr>
      <w:r w:rsidRPr="00603DF8">
        <w:rPr>
          <w:rFonts w:ascii="Calibri" w:hAnsi="Calibri"/>
          <w:sz w:val="24"/>
          <w:szCs w:val="24"/>
        </w:rPr>
        <w:t>Data envelopment analysis has for many years been the most commonly</w:t>
      </w:r>
      <w:r w:rsidR="0033741A">
        <w:rPr>
          <w:rFonts w:ascii="Calibri" w:hAnsi="Calibri"/>
          <w:sz w:val="24"/>
          <w:szCs w:val="24"/>
        </w:rPr>
        <w:t xml:space="preserve"> </w:t>
      </w:r>
      <w:r w:rsidRPr="00603DF8">
        <w:rPr>
          <w:rFonts w:ascii="Calibri" w:hAnsi="Calibri"/>
          <w:sz w:val="24"/>
          <w:szCs w:val="24"/>
        </w:rPr>
        <w:t xml:space="preserve">used technique for measuring </w:t>
      </w:r>
      <w:r>
        <w:rPr>
          <w:rFonts w:ascii="Calibri" w:hAnsi="Calibri"/>
          <w:sz w:val="24"/>
          <w:szCs w:val="24"/>
        </w:rPr>
        <w:t xml:space="preserve">the </w:t>
      </w:r>
      <w:r w:rsidRPr="00603DF8">
        <w:rPr>
          <w:rFonts w:ascii="Calibri" w:hAnsi="Calibri"/>
          <w:sz w:val="24"/>
          <w:szCs w:val="24"/>
        </w:rPr>
        <w:t>relative efficiency in healthcare .</w:t>
      </w:r>
      <w:r w:rsidR="00DC0B44">
        <w:rPr>
          <w:rFonts w:ascii="Calibri" w:hAnsi="Calibri"/>
          <w:sz w:val="24"/>
          <w:szCs w:val="24"/>
          <w:vertAlign w:val="superscript"/>
        </w:rPr>
        <w:t>12,19</w:t>
      </w:r>
      <w:r w:rsidRPr="00603DF8">
        <w:rPr>
          <w:rFonts w:ascii="Calibri" w:hAnsi="Calibri"/>
          <w:sz w:val="24"/>
          <w:szCs w:val="24"/>
        </w:rPr>
        <w:t xml:space="preserve"> </w:t>
      </w:r>
      <w:bookmarkStart w:id="12" w:name="_Hlk15816307"/>
      <w:r w:rsidRPr="00603DF8">
        <w:rPr>
          <w:rFonts w:ascii="Calibri" w:hAnsi="Calibri"/>
          <w:sz w:val="24"/>
          <w:szCs w:val="24"/>
        </w:rPr>
        <w:t xml:space="preserve">Systematic reviews of efficiency studies have often </w:t>
      </w:r>
      <w:r w:rsidR="00892C90">
        <w:rPr>
          <w:rFonts w:ascii="Calibri" w:hAnsi="Calibri"/>
          <w:sz w:val="24"/>
          <w:szCs w:val="24"/>
        </w:rPr>
        <w:t>identified</w:t>
      </w:r>
      <w:r w:rsidR="00892C90" w:rsidRPr="00603DF8">
        <w:rPr>
          <w:rFonts w:ascii="Calibri" w:hAnsi="Calibri"/>
          <w:sz w:val="24"/>
          <w:szCs w:val="24"/>
        </w:rPr>
        <w:t xml:space="preserve"> </w:t>
      </w:r>
      <w:r w:rsidR="008E2E0D">
        <w:rPr>
          <w:rFonts w:ascii="Calibri" w:hAnsi="Calibri"/>
          <w:sz w:val="24"/>
          <w:szCs w:val="24"/>
        </w:rPr>
        <w:t xml:space="preserve">that </w:t>
      </w:r>
      <w:r w:rsidRPr="00603DF8">
        <w:rPr>
          <w:rFonts w:ascii="Calibri" w:hAnsi="Calibri"/>
          <w:sz w:val="24"/>
          <w:szCs w:val="24"/>
        </w:rPr>
        <w:t>DEA to be the predominant method of public hospital efficiency assessments among studies reviewed.</w:t>
      </w:r>
      <w:r w:rsidR="00DC0B44">
        <w:rPr>
          <w:rFonts w:ascii="Calibri" w:hAnsi="Calibri"/>
          <w:sz w:val="24"/>
          <w:szCs w:val="24"/>
          <w:vertAlign w:val="superscript"/>
        </w:rPr>
        <w:t>12,14,19</w:t>
      </w:r>
      <w:r w:rsidRPr="00603DF8">
        <w:rPr>
          <w:rFonts w:ascii="Calibri" w:hAnsi="Calibri"/>
          <w:sz w:val="24"/>
          <w:szCs w:val="24"/>
        </w:rPr>
        <w:t xml:space="preserve"> </w:t>
      </w:r>
      <w:bookmarkEnd w:id="12"/>
      <w:r w:rsidRPr="00603DF8">
        <w:rPr>
          <w:rFonts w:ascii="Calibri" w:hAnsi="Calibri"/>
          <w:sz w:val="24"/>
          <w:szCs w:val="24"/>
        </w:rPr>
        <w:t xml:space="preserve">Hollingworth et al. (2003, 2008) </w:t>
      </w:r>
      <w:r w:rsidR="00192CA4">
        <w:rPr>
          <w:rFonts w:ascii="Calibri" w:hAnsi="Calibri"/>
          <w:sz w:val="24"/>
          <w:szCs w:val="24"/>
        </w:rPr>
        <w:t xml:space="preserve">conducted systematic reviews of efficiency analysis </w:t>
      </w:r>
      <w:r w:rsidR="006B5447">
        <w:rPr>
          <w:rFonts w:ascii="Calibri" w:hAnsi="Calibri"/>
          <w:sz w:val="24"/>
          <w:szCs w:val="24"/>
        </w:rPr>
        <w:t xml:space="preserve">internationally and </w:t>
      </w:r>
      <w:r w:rsidR="008E2E0D">
        <w:rPr>
          <w:rFonts w:ascii="Calibri" w:hAnsi="Calibri"/>
          <w:sz w:val="24"/>
          <w:szCs w:val="24"/>
        </w:rPr>
        <w:t>noticed</w:t>
      </w:r>
      <w:r w:rsidRPr="00603DF8">
        <w:rPr>
          <w:rFonts w:ascii="Calibri" w:hAnsi="Calibri"/>
          <w:sz w:val="24"/>
          <w:szCs w:val="24"/>
        </w:rPr>
        <w:t xml:space="preserve"> that DEA was used in </w:t>
      </w:r>
      <w:r w:rsidRPr="00603DF8">
        <w:rPr>
          <w:rFonts w:ascii="Calibri" w:hAnsi="Calibri"/>
          <w:sz w:val="24"/>
          <w:szCs w:val="24"/>
        </w:rPr>
        <w:lastRenderedPageBreak/>
        <w:t xml:space="preserve">around half of </w:t>
      </w:r>
      <w:r w:rsidR="009E2FC7">
        <w:rPr>
          <w:rFonts w:ascii="Calibri" w:hAnsi="Calibri"/>
          <w:sz w:val="24"/>
          <w:szCs w:val="24"/>
        </w:rPr>
        <w:t xml:space="preserve">the </w:t>
      </w:r>
      <w:r w:rsidRPr="00603DF8">
        <w:rPr>
          <w:rFonts w:ascii="Calibri" w:hAnsi="Calibri"/>
          <w:sz w:val="24"/>
          <w:szCs w:val="24"/>
        </w:rPr>
        <w:t xml:space="preserve">studies, a further fifth used DEA in with some form of secondary regressions. </w:t>
      </w:r>
      <w:r w:rsidR="00DC0B44">
        <w:rPr>
          <w:rFonts w:ascii="Calibri" w:hAnsi="Calibri"/>
          <w:sz w:val="24"/>
          <w:szCs w:val="24"/>
          <w:vertAlign w:val="superscript"/>
        </w:rPr>
        <w:t>12,19</w:t>
      </w:r>
      <w:r w:rsidRPr="00603DF8">
        <w:rPr>
          <w:rFonts w:ascii="Calibri" w:hAnsi="Calibri"/>
          <w:sz w:val="24"/>
          <w:szCs w:val="24"/>
        </w:rPr>
        <w:t xml:space="preserve"> Another review</w:t>
      </w:r>
      <w:r w:rsidR="00DC0B44">
        <w:rPr>
          <w:rFonts w:ascii="Calibri" w:hAnsi="Calibri"/>
          <w:sz w:val="24"/>
          <w:szCs w:val="24"/>
          <w:vertAlign w:val="superscript"/>
        </w:rPr>
        <w:t>18</w:t>
      </w:r>
      <w:r w:rsidRPr="00603DF8">
        <w:rPr>
          <w:rFonts w:ascii="Calibri" w:hAnsi="Calibri"/>
          <w:sz w:val="24"/>
          <w:szCs w:val="24"/>
        </w:rPr>
        <w:t>, of efficiency in Iranian hospitals, found DEA was applied in all reviewed studies; three of those studies also used SFA to estimate efficiency scores. A systematic review of health system efficiency studies in OECD countries</w:t>
      </w:r>
      <w:r w:rsidR="00DC0B44">
        <w:rPr>
          <w:rFonts w:ascii="Calibri" w:hAnsi="Calibri"/>
          <w:sz w:val="24"/>
          <w:szCs w:val="24"/>
          <w:vertAlign w:val="superscript"/>
        </w:rPr>
        <w:t>20</w:t>
      </w:r>
      <w:r w:rsidRPr="00603DF8">
        <w:rPr>
          <w:rFonts w:ascii="Calibri" w:hAnsi="Calibri"/>
          <w:sz w:val="24"/>
          <w:szCs w:val="24"/>
        </w:rPr>
        <w:t xml:space="preserve"> found </w:t>
      </w:r>
      <w:r w:rsidR="00892C90">
        <w:rPr>
          <w:rFonts w:ascii="Calibri" w:hAnsi="Calibri"/>
          <w:sz w:val="24"/>
          <w:szCs w:val="24"/>
        </w:rPr>
        <w:t xml:space="preserve">that </w:t>
      </w:r>
      <w:r w:rsidRPr="00603DF8">
        <w:rPr>
          <w:rFonts w:ascii="Calibri" w:hAnsi="Calibri"/>
          <w:sz w:val="24"/>
          <w:szCs w:val="24"/>
        </w:rPr>
        <w:t xml:space="preserve">DEA </w:t>
      </w:r>
      <w:r w:rsidR="00892C90">
        <w:rPr>
          <w:rFonts w:ascii="Calibri" w:hAnsi="Calibri"/>
          <w:sz w:val="24"/>
          <w:szCs w:val="24"/>
        </w:rPr>
        <w:t xml:space="preserve">was </w:t>
      </w:r>
      <w:r w:rsidRPr="00603DF8">
        <w:rPr>
          <w:rFonts w:ascii="Calibri" w:hAnsi="Calibri"/>
          <w:sz w:val="24"/>
          <w:szCs w:val="24"/>
        </w:rPr>
        <w:t xml:space="preserve">applied in 64% of </w:t>
      </w:r>
      <w:r w:rsidR="00892C90">
        <w:rPr>
          <w:rFonts w:ascii="Calibri" w:hAnsi="Calibri"/>
          <w:sz w:val="24"/>
          <w:szCs w:val="24"/>
        </w:rPr>
        <w:t>them</w:t>
      </w:r>
      <w:r w:rsidRPr="00603DF8">
        <w:rPr>
          <w:rFonts w:ascii="Calibri" w:hAnsi="Calibri"/>
          <w:sz w:val="24"/>
          <w:szCs w:val="24"/>
        </w:rPr>
        <w:t xml:space="preserve">. </w:t>
      </w:r>
    </w:p>
    <w:p w14:paraId="72B05BB9" w14:textId="0A0E2926" w:rsidR="00B76986" w:rsidRPr="00991627" w:rsidRDefault="0095010E" w:rsidP="008F1189">
      <w:pPr>
        <w:spacing w:line="360" w:lineRule="auto"/>
        <w:jc w:val="both"/>
        <w:rPr>
          <w:rFonts w:ascii="Calibri" w:hAnsi="Calibri"/>
          <w:sz w:val="24"/>
          <w:szCs w:val="24"/>
        </w:rPr>
      </w:pPr>
      <w:r w:rsidRPr="00991627">
        <w:rPr>
          <w:rFonts w:ascii="Calibri" w:hAnsi="Calibri"/>
          <w:sz w:val="24"/>
          <w:szCs w:val="24"/>
        </w:rPr>
        <w:t>In this study</w:t>
      </w:r>
      <w:r w:rsidR="0033741A">
        <w:rPr>
          <w:rFonts w:ascii="Calibri" w:hAnsi="Calibri"/>
          <w:sz w:val="24"/>
          <w:szCs w:val="24"/>
        </w:rPr>
        <w:t>,</w:t>
      </w:r>
      <w:r w:rsidRPr="00991627">
        <w:rPr>
          <w:rFonts w:ascii="Calibri" w:hAnsi="Calibri"/>
          <w:sz w:val="24"/>
          <w:szCs w:val="24"/>
        </w:rPr>
        <w:t xml:space="preserve"> we conduct a performance assessment </w:t>
      </w:r>
      <w:r w:rsidR="00443821" w:rsidRPr="00991627">
        <w:rPr>
          <w:rFonts w:ascii="Calibri" w:hAnsi="Calibri"/>
          <w:sz w:val="24"/>
          <w:szCs w:val="24"/>
        </w:rPr>
        <w:t xml:space="preserve">of </w:t>
      </w:r>
      <w:r w:rsidRPr="00991627">
        <w:rPr>
          <w:rFonts w:ascii="Calibri" w:hAnsi="Calibri"/>
          <w:sz w:val="24"/>
          <w:szCs w:val="24"/>
        </w:rPr>
        <w:t xml:space="preserve">the </w:t>
      </w:r>
      <w:r w:rsidR="007D2D52" w:rsidRPr="00991627">
        <w:rPr>
          <w:rFonts w:ascii="Calibri" w:hAnsi="Calibri"/>
          <w:sz w:val="24"/>
          <w:szCs w:val="24"/>
        </w:rPr>
        <w:t xml:space="preserve">MOH-administered </w:t>
      </w:r>
      <w:r w:rsidR="00443821" w:rsidRPr="00991627">
        <w:rPr>
          <w:rFonts w:ascii="Calibri" w:hAnsi="Calibri"/>
          <w:sz w:val="24"/>
          <w:szCs w:val="24"/>
        </w:rPr>
        <w:t xml:space="preserve">general hospitals in </w:t>
      </w:r>
      <w:r w:rsidR="00324F4C" w:rsidRPr="00991627">
        <w:rPr>
          <w:rFonts w:ascii="Calibri" w:hAnsi="Calibri"/>
          <w:sz w:val="24"/>
          <w:szCs w:val="24"/>
        </w:rPr>
        <w:t>KSA</w:t>
      </w:r>
      <w:r w:rsidR="00443821" w:rsidRPr="00991627">
        <w:rPr>
          <w:rFonts w:ascii="Calibri" w:hAnsi="Calibri"/>
          <w:sz w:val="24"/>
          <w:szCs w:val="24"/>
        </w:rPr>
        <w:t xml:space="preserve">. </w:t>
      </w:r>
      <w:bookmarkStart w:id="13" w:name="_Hlk2691056"/>
      <w:r w:rsidRPr="00991627">
        <w:rPr>
          <w:rFonts w:ascii="Calibri" w:hAnsi="Calibri"/>
          <w:sz w:val="24"/>
          <w:szCs w:val="24"/>
        </w:rPr>
        <w:t xml:space="preserve">We </w:t>
      </w:r>
      <w:r w:rsidR="005548AD" w:rsidRPr="00991627">
        <w:rPr>
          <w:rFonts w:ascii="Calibri" w:hAnsi="Calibri"/>
          <w:sz w:val="24"/>
          <w:szCs w:val="24"/>
        </w:rPr>
        <w:t xml:space="preserve">measure the </w:t>
      </w:r>
      <w:r w:rsidR="003625AA" w:rsidRPr="00991627">
        <w:rPr>
          <w:rFonts w:ascii="Calibri" w:hAnsi="Calibri"/>
          <w:sz w:val="24"/>
          <w:szCs w:val="24"/>
        </w:rPr>
        <w:t xml:space="preserve">technical </w:t>
      </w:r>
      <w:r w:rsidR="00443821" w:rsidRPr="00991627">
        <w:rPr>
          <w:rFonts w:ascii="Calibri" w:hAnsi="Calibri"/>
          <w:sz w:val="24"/>
          <w:szCs w:val="24"/>
        </w:rPr>
        <w:t>efficiency</w:t>
      </w:r>
      <w:r w:rsidR="005548AD" w:rsidRPr="00991627">
        <w:rPr>
          <w:rFonts w:ascii="Calibri" w:hAnsi="Calibri"/>
          <w:sz w:val="24"/>
          <w:szCs w:val="24"/>
        </w:rPr>
        <w:t xml:space="preserve"> of </w:t>
      </w:r>
      <w:r w:rsidRPr="00991627">
        <w:rPr>
          <w:rFonts w:ascii="Calibri" w:hAnsi="Calibri"/>
          <w:sz w:val="24"/>
          <w:szCs w:val="24"/>
        </w:rPr>
        <w:t xml:space="preserve">public </w:t>
      </w:r>
      <w:r w:rsidR="005548AD" w:rsidRPr="00991627">
        <w:rPr>
          <w:rFonts w:ascii="Calibri" w:hAnsi="Calibri"/>
          <w:sz w:val="24"/>
          <w:szCs w:val="24"/>
        </w:rPr>
        <w:t xml:space="preserve">hospitals </w:t>
      </w:r>
      <w:bookmarkEnd w:id="13"/>
      <w:r w:rsidR="00554E1A" w:rsidRPr="00991627">
        <w:rPr>
          <w:rFonts w:ascii="Calibri" w:hAnsi="Calibri"/>
          <w:sz w:val="24"/>
          <w:szCs w:val="24"/>
        </w:rPr>
        <w:t xml:space="preserve">and identify the </w:t>
      </w:r>
      <w:r w:rsidR="00A90C96" w:rsidRPr="00991627">
        <w:rPr>
          <w:rFonts w:ascii="Calibri" w:hAnsi="Calibri"/>
          <w:sz w:val="24"/>
          <w:szCs w:val="24"/>
        </w:rPr>
        <w:t xml:space="preserve">sources </w:t>
      </w:r>
      <w:r w:rsidR="00554E1A" w:rsidRPr="00991627">
        <w:rPr>
          <w:rFonts w:ascii="Calibri" w:hAnsi="Calibri"/>
          <w:sz w:val="24"/>
          <w:szCs w:val="24"/>
        </w:rPr>
        <w:t>of inefficienc</w:t>
      </w:r>
      <w:r w:rsidR="00324F4C" w:rsidRPr="00991627">
        <w:rPr>
          <w:rFonts w:ascii="Calibri" w:hAnsi="Calibri"/>
          <w:sz w:val="24"/>
          <w:szCs w:val="24"/>
        </w:rPr>
        <w:t>y</w:t>
      </w:r>
      <w:r w:rsidR="00A90C96" w:rsidRPr="00991627">
        <w:rPr>
          <w:rFonts w:ascii="Calibri" w:hAnsi="Calibri"/>
          <w:sz w:val="24"/>
          <w:szCs w:val="24"/>
        </w:rPr>
        <w:t xml:space="preserve"> </w:t>
      </w:r>
      <w:r w:rsidR="00185D27" w:rsidRPr="00991627">
        <w:rPr>
          <w:rFonts w:ascii="Calibri" w:hAnsi="Calibri"/>
          <w:sz w:val="24"/>
          <w:szCs w:val="24"/>
        </w:rPr>
        <w:t>and estimate the optimal levels of the resources.</w:t>
      </w:r>
      <w:r w:rsidR="003625AA" w:rsidRPr="00991627">
        <w:rPr>
          <w:rFonts w:ascii="Calibri" w:hAnsi="Calibri"/>
          <w:sz w:val="24"/>
          <w:szCs w:val="24"/>
        </w:rPr>
        <w:t xml:space="preserve"> </w:t>
      </w:r>
      <w:r w:rsidR="00185D27" w:rsidRPr="00991627">
        <w:rPr>
          <w:rFonts w:ascii="Calibri" w:hAnsi="Calibri"/>
          <w:sz w:val="24"/>
          <w:szCs w:val="24"/>
        </w:rPr>
        <w:t>We also provide subscriptions for improvements so as the inefficient hospitals to be rendered efficient</w:t>
      </w:r>
      <w:bookmarkStart w:id="14" w:name="_Hlk15919916"/>
      <w:r w:rsidR="00185D27" w:rsidRPr="00991627">
        <w:rPr>
          <w:rFonts w:ascii="Calibri" w:hAnsi="Calibri"/>
          <w:sz w:val="24"/>
          <w:szCs w:val="24"/>
        </w:rPr>
        <w:t>. A</w:t>
      </w:r>
      <w:r w:rsidR="00A90C96" w:rsidRPr="00991627">
        <w:rPr>
          <w:rFonts w:ascii="Calibri" w:hAnsi="Calibri"/>
          <w:sz w:val="24"/>
          <w:szCs w:val="24"/>
        </w:rPr>
        <w:t xml:space="preserve">t a post optimality phase, we enrich our analysis by employing information about the geographical location and the </w:t>
      </w:r>
      <w:r w:rsidR="000300C5" w:rsidRPr="00991627">
        <w:rPr>
          <w:rFonts w:ascii="Calibri" w:hAnsi="Calibri"/>
          <w:sz w:val="24"/>
          <w:szCs w:val="24"/>
        </w:rPr>
        <w:t>capacity (number of beds)</w:t>
      </w:r>
      <w:r w:rsidR="00A90C96" w:rsidRPr="00991627">
        <w:rPr>
          <w:rFonts w:ascii="Calibri" w:hAnsi="Calibri"/>
          <w:sz w:val="24"/>
          <w:szCs w:val="24"/>
        </w:rPr>
        <w:t xml:space="preserve"> of the hospitals.</w:t>
      </w:r>
      <w:r w:rsidR="00B76986" w:rsidRPr="00991627">
        <w:rPr>
          <w:rFonts w:ascii="Calibri" w:hAnsi="Calibri"/>
          <w:sz w:val="24"/>
          <w:szCs w:val="24"/>
        </w:rPr>
        <w:t xml:space="preserve"> </w:t>
      </w:r>
      <w:bookmarkEnd w:id="14"/>
      <w:r w:rsidR="00185D27" w:rsidRPr="00991627">
        <w:rPr>
          <w:rFonts w:ascii="Calibri" w:hAnsi="Calibri"/>
          <w:sz w:val="24"/>
          <w:szCs w:val="24"/>
        </w:rPr>
        <w:t xml:space="preserve">Thus, this performance assessment </w:t>
      </w:r>
      <w:r w:rsidR="006A2902" w:rsidRPr="00991627">
        <w:rPr>
          <w:rFonts w:ascii="Calibri" w:hAnsi="Calibri"/>
          <w:sz w:val="24"/>
          <w:szCs w:val="24"/>
        </w:rPr>
        <w:t xml:space="preserve">provides </w:t>
      </w:r>
      <w:r w:rsidR="00185D27" w:rsidRPr="00991627">
        <w:rPr>
          <w:rFonts w:ascii="Calibri" w:hAnsi="Calibri"/>
          <w:sz w:val="24"/>
          <w:szCs w:val="24"/>
        </w:rPr>
        <w:t xml:space="preserve">useful </w:t>
      </w:r>
      <w:r w:rsidR="006A2902" w:rsidRPr="00991627">
        <w:rPr>
          <w:rFonts w:ascii="Calibri" w:hAnsi="Calibri"/>
          <w:sz w:val="24"/>
          <w:szCs w:val="24"/>
        </w:rPr>
        <w:t xml:space="preserve">information </w:t>
      </w:r>
      <w:r w:rsidR="00443821" w:rsidRPr="00991627">
        <w:rPr>
          <w:rFonts w:ascii="Calibri" w:hAnsi="Calibri"/>
          <w:sz w:val="24"/>
          <w:szCs w:val="24"/>
        </w:rPr>
        <w:t xml:space="preserve">to </w:t>
      </w:r>
      <w:r w:rsidR="00185D27" w:rsidRPr="00991627">
        <w:rPr>
          <w:rFonts w:ascii="Calibri" w:hAnsi="Calibri"/>
          <w:sz w:val="24"/>
          <w:szCs w:val="24"/>
        </w:rPr>
        <w:t xml:space="preserve">the </w:t>
      </w:r>
      <w:r w:rsidR="00443821" w:rsidRPr="00991627">
        <w:rPr>
          <w:rFonts w:ascii="Calibri" w:hAnsi="Calibri"/>
          <w:sz w:val="24"/>
          <w:szCs w:val="24"/>
        </w:rPr>
        <w:t>decision</w:t>
      </w:r>
      <w:r w:rsidR="006A2902" w:rsidRPr="00991627">
        <w:rPr>
          <w:rFonts w:ascii="Calibri" w:hAnsi="Calibri"/>
          <w:sz w:val="24"/>
          <w:szCs w:val="24"/>
        </w:rPr>
        <w:t>-</w:t>
      </w:r>
      <w:r w:rsidR="00443821" w:rsidRPr="00991627">
        <w:rPr>
          <w:rFonts w:ascii="Calibri" w:hAnsi="Calibri"/>
          <w:sz w:val="24"/>
          <w:szCs w:val="24"/>
        </w:rPr>
        <w:t>makers</w:t>
      </w:r>
      <w:r w:rsidR="00185D27" w:rsidRPr="00991627">
        <w:rPr>
          <w:rFonts w:ascii="Calibri" w:hAnsi="Calibri"/>
          <w:sz w:val="24"/>
          <w:szCs w:val="24"/>
        </w:rPr>
        <w:t>, which can be employed for policy reforms</w:t>
      </w:r>
      <w:r w:rsidR="00B76986" w:rsidRPr="00991627">
        <w:rPr>
          <w:rFonts w:ascii="Calibri" w:hAnsi="Calibri"/>
          <w:sz w:val="24"/>
          <w:szCs w:val="24"/>
        </w:rPr>
        <w:t>, to optimise the use of health resources in public hospitals and consequently improve the efficiency of healthcare systems.</w:t>
      </w:r>
    </w:p>
    <w:p w14:paraId="68E8A071" w14:textId="77777777" w:rsidR="00E8681B" w:rsidRPr="004D3056" w:rsidRDefault="00E8681B" w:rsidP="008F1189">
      <w:pPr>
        <w:pStyle w:val="Heading2"/>
        <w:jc w:val="both"/>
      </w:pPr>
      <w:r w:rsidRPr="00C313C8">
        <w:t>P</w:t>
      </w:r>
      <w:r w:rsidRPr="004D3056">
        <w:t>ublic health system in KSA</w:t>
      </w:r>
    </w:p>
    <w:p w14:paraId="3F60012B" w14:textId="270E5983" w:rsidR="00E8681B" w:rsidRDefault="00E8681B" w:rsidP="008F1189">
      <w:pPr>
        <w:spacing w:line="360" w:lineRule="auto"/>
        <w:jc w:val="both"/>
        <w:rPr>
          <w:rFonts w:ascii="Calibri" w:hAnsi="Calibri"/>
          <w:sz w:val="24"/>
          <w:szCs w:val="24"/>
        </w:rPr>
      </w:pPr>
      <w:r>
        <w:rPr>
          <w:rFonts w:ascii="Calibri" w:hAnsi="Calibri"/>
          <w:sz w:val="24"/>
          <w:szCs w:val="24"/>
        </w:rPr>
        <w:t>Under article 31 of the national constitution, t</w:t>
      </w:r>
      <w:r w:rsidRPr="0077631D">
        <w:rPr>
          <w:rFonts w:ascii="Calibri" w:hAnsi="Calibri"/>
          <w:sz w:val="24"/>
          <w:szCs w:val="24"/>
        </w:rPr>
        <w:t xml:space="preserve">he </w:t>
      </w:r>
      <w:r>
        <w:rPr>
          <w:rFonts w:ascii="Calibri" w:hAnsi="Calibri"/>
          <w:sz w:val="24"/>
          <w:szCs w:val="24"/>
        </w:rPr>
        <w:t xml:space="preserve">KSA </w:t>
      </w:r>
      <w:r w:rsidRPr="0077631D">
        <w:rPr>
          <w:rFonts w:ascii="Calibri" w:hAnsi="Calibri"/>
          <w:sz w:val="24"/>
          <w:szCs w:val="24"/>
        </w:rPr>
        <w:t xml:space="preserve">government </w:t>
      </w:r>
      <w:r>
        <w:rPr>
          <w:rFonts w:ascii="Calibri" w:hAnsi="Calibri"/>
          <w:sz w:val="24"/>
          <w:szCs w:val="24"/>
        </w:rPr>
        <w:t>guarantees</w:t>
      </w:r>
      <w:r w:rsidRPr="0077631D">
        <w:rPr>
          <w:rFonts w:ascii="Calibri" w:hAnsi="Calibri"/>
          <w:sz w:val="24"/>
          <w:szCs w:val="24"/>
        </w:rPr>
        <w:t xml:space="preserve"> free medical care to all citize</w:t>
      </w:r>
      <w:r>
        <w:rPr>
          <w:rFonts w:ascii="Calibri" w:hAnsi="Calibri"/>
          <w:sz w:val="24"/>
          <w:szCs w:val="24"/>
        </w:rPr>
        <w:t>ns.</w:t>
      </w:r>
      <w:r w:rsidR="00DC0B44">
        <w:rPr>
          <w:rFonts w:ascii="Calibri" w:hAnsi="Calibri"/>
          <w:sz w:val="24"/>
          <w:szCs w:val="24"/>
          <w:vertAlign w:val="superscript"/>
        </w:rPr>
        <w:t>8</w:t>
      </w:r>
      <w:r w:rsidRPr="0077631D">
        <w:rPr>
          <w:rFonts w:ascii="Calibri" w:hAnsi="Calibri"/>
          <w:sz w:val="24"/>
          <w:szCs w:val="24"/>
        </w:rPr>
        <w:t xml:space="preserve"> </w:t>
      </w:r>
      <w:r>
        <w:rPr>
          <w:rFonts w:ascii="Calibri" w:hAnsi="Calibri"/>
          <w:sz w:val="24"/>
          <w:szCs w:val="24"/>
        </w:rPr>
        <w:t>The government finances</w:t>
      </w:r>
      <w:r w:rsidRPr="0077631D">
        <w:rPr>
          <w:rFonts w:ascii="Calibri" w:hAnsi="Calibri"/>
          <w:sz w:val="24"/>
          <w:szCs w:val="24"/>
        </w:rPr>
        <w:t xml:space="preserve"> the public sector</w:t>
      </w:r>
      <w:r>
        <w:rPr>
          <w:rFonts w:ascii="Calibri" w:hAnsi="Calibri"/>
          <w:sz w:val="24"/>
          <w:szCs w:val="24"/>
        </w:rPr>
        <w:t xml:space="preserve"> annually, largely from revenue derived from </w:t>
      </w:r>
      <w:r w:rsidRPr="0077631D">
        <w:rPr>
          <w:rFonts w:ascii="Calibri" w:hAnsi="Calibri"/>
          <w:sz w:val="24"/>
          <w:szCs w:val="24"/>
        </w:rPr>
        <w:t>oil and gas</w:t>
      </w:r>
      <w:r>
        <w:rPr>
          <w:rFonts w:ascii="Calibri" w:hAnsi="Calibri"/>
          <w:sz w:val="24"/>
          <w:szCs w:val="24"/>
        </w:rPr>
        <w:t xml:space="preserve"> production.</w:t>
      </w:r>
      <w:r w:rsidR="00DC0B44">
        <w:rPr>
          <w:rFonts w:ascii="Calibri" w:hAnsi="Calibri"/>
          <w:sz w:val="24"/>
          <w:szCs w:val="24"/>
          <w:vertAlign w:val="superscript"/>
        </w:rPr>
        <w:t>21</w:t>
      </w:r>
      <w:r w:rsidRPr="0077631D">
        <w:rPr>
          <w:rFonts w:ascii="Calibri" w:hAnsi="Calibri"/>
          <w:sz w:val="24"/>
          <w:szCs w:val="24"/>
        </w:rPr>
        <w:t xml:space="preserve"> T</w:t>
      </w:r>
      <w:r>
        <w:rPr>
          <w:rFonts w:ascii="Calibri" w:hAnsi="Calibri"/>
          <w:sz w:val="24"/>
          <w:szCs w:val="24"/>
        </w:rPr>
        <w:t>able 1 shows the proportion of national budget allocated to</w:t>
      </w:r>
      <w:r w:rsidRPr="0077631D">
        <w:rPr>
          <w:rFonts w:ascii="Calibri" w:hAnsi="Calibri"/>
          <w:sz w:val="24"/>
          <w:szCs w:val="24"/>
        </w:rPr>
        <w:t xml:space="preserve"> </w:t>
      </w:r>
      <w:r>
        <w:rPr>
          <w:rFonts w:ascii="Calibri" w:hAnsi="Calibri"/>
          <w:sz w:val="24"/>
          <w:szCs w:val="24"/>
        </w:rPr>
        <w:t xml:space="preserve">the KSA’s </w:t>
      </w:r>
      <w:r w:rsidR="009E2FC7">
        <w:rPr>
          <w:rFonts w:ascii="Calibri" w:hAnsi="Calibri"/>
          <w:sz w:val="24"/>
          <w:szCs w:val="24"/>
        </w:rPr>
        <w:t>M</w:t>
      </w:r>
      <w:r>
        <w:rPr>
          <w:rFonts w:ascii="Calibri" w:hAnsi="Calibri"/>
          <w:sz w:val="24"/>
          <w:szCs w:val="24"/>
        </w:rPr>
        <w:t xml:space="preserve">inistry of </w:t>
      </w:r>
      <w:r w:rsidR="009E2FC7">
        <w:rPr>
          <w:rFonts w:ascii="Calibri" w:hAnsi="Calibri"/>
          <w:sz w:val="24"/>
          <w:szCs w:val="24"/>
        </w:rPr>
        <w:t>H</w:t>
      </w:r>
      <w:r>
        <w:rPr>
          <w:rFonts w:ascii="Calibri" w:hAnsi="Calibri"/>
          <w:sz w:val="24"/>
          <w:szCs w:val="24"/>
        </w:rPr>
        <w:t>ealth (</w:t>
      </w:r>
      <w:r w:rsidRPr="0077631D">
        <w:rPr>
          <w:rFonts w:ascii="Calibri" w:hAnsi="Calibri"/>
          <w:sz w:val="24"/>
          <w:szCs w:val="24"/>
        </w:rPr>
        <w:t>MOH</w:t>
      </w:r>
      <w:r>
        <w:rPr>
          <w:rFonts w:ascii="Calibri" w:hAnsi="Calibri"/>
          <w:sz w:val="24"/>
          <w:szCs w:val="24"/>
        </w:rPr>
        <w:t>).</w:t>
      </w:r>
      <w:r w:rsidR="00DC0B44">
        <w:rPr>
          <w:rFonts w:ascii="Calibri" w:hAnsi="Calibri"/>
          <w:sz w:val="24"/>
          <w:szCs w:val="24"/>
          <w:vertAlign w:val="superscript"/>
        </w:rPr>
        <w:t>5</w:t>
      </w:r>
      <w:r w:rsidRPr="0077631D">
        <w:rPr>
          <w:rFonts w:ascii="Calibri" w:hAnsi="Calibri"/>
          <w:sz w:val="24"/>
          <w:szCs w:val="24"/>
        </w:rPr>
        <w:t xml:space="preserve"> </w:t>
      </w:r>
      <w:r w:rsidRPr="00B95CE3">
        <w:rPr>
          <w:rFonts w:ascii="Calibri" w:hAnsi="Calibri"/>
          <w:sz w:val="24"/>
          <w:szCs w:val="24"/>
        </w:rPr>
        <w:t>Thus, the available resources should be utilized optimally.</w:t>
      </w:r>
    </w:p>
    <w:p w14:paraId="61199A99" w14:textId="71305D1D" w:rsidR="00E8681B" w:rsidRPr="0077631D" w:rsidRDefault="00E8681B" w:rsidP="008F1189">
      <w:pPr>
        <w:spacing w:line="360" w:lineRule="auto"/>
        <w:jc w:val="both"/>
        <w:rPr>
          <w:rFonts w:ascii="Calibri" w:hAnsi="Calibri"/>
          <w:sz w:val="24"/>
          <w:szCs w:val="24"/>
        </w:rPr>
      </w:pPr>
      <w:r>
        <w:rPr>
          <w:rFonts w:ascii="Calibri" w:hAnsi="Calibri"/>
          <w:sz w:val="24"/>
          <w:szCs w:val="24"/>
        </w:rPr>
        <w:t>The</w:t>
      </w:r>
      <w:r w:rsidRPr="0077631D">
        <w:rPr>
          <w:rFonts w:ascii="Calibri" w:hAnsi="Calibri"/>
          <w:sz w:val="24"/>
          <w:szCs w:val="24"/>
        </w:rPr>
        <w:t xml:space="preserve"> MOH is the primary provider of healthcare services in </w:t>
      </w:r>
      <w:r>
        <w:rPr>
          <w:rFonts w:ascii="Calibri" w:hAnsi="Calibri"/>
          <w:sz w:val="24"/>
          <w:szCs w:val="24"/>
        </w:rPr>
        <w:t>K</w:t>
      </w:r>
      <w:r w:rsidRPr="0077631D">
        <w:rPr>
          <w:rFonts w:ascii="Calibri" w:hAnsi="Calibri"/>
          <w:sz w:val="24"/>
          <w:szCs w:val="24"/>
        </w:rPr>
        <w:t>SA</w:t>
      </w:r>
      <w:r>
        <w:rPr>
          <w:rFonts w:ascii="Calibri" w:hAnsi="Calibri"/>
          <w:sz w:val="24"/>
          <w:szCs w:val="24"/>
        </w:rPr>
        <w:t>,</w:t>
      </w:r>
      <w:r w:rsidRPr="0077631D">
        <w:rPr>
          <w:rFonts w:ascii="Calibri" w:hAnsi="Calibri"/>
          <w:sz w:val="24"/>
          <w:szCs w:val="24"/>
        </w:rPr>
        <w:t xml:space="preserve"> </w:t>
      </w:r>
      <w:r>
        <w:rPr>
          <w:rFonts w:ascii="Calibri" w:hAnsi="Calibri"/>
          <w:sz w:val="24"/>
          <w:szCs w:val="24"/>
        </w:rPr>
        <w:t xml:space="preserve">administering </w:t>
      </w:r>
      <w:r w:rsidRPr="0077631D">
        <w:rPr>
          <w:rFonts w:ascii="Calibri" w:hAnsi="Calibri"/>
          <w:sz w:val="24"/>
          <w:szCs w:val="24"/>
        </w:rPr>
        <w:t>60% of all provision</w:t>
      </w:r>
      <w:r>
        <w:rPr>
          <w:rFonts w:ascii="Calibri" w:hAnsi="Calibri"/>
          <w:sz w:val="24"/>
          <w:szCs w:val="24"/>
        </w:rPr>
        <w:t>.</w:t>
      </w:r>
      <w:r w:rsidRPr="00EB11AE">
        <w:rPr>
          <w:rFonts w:ascii="Calibri" w:hAnsi="Calibri"/>
          <w:sz w:val="24"/>
          <w:szCs w:val="24"/>
          <w:vertAlign w:val="superscript"/>
        </w:rPr>
        <w:t xml:space="preserve"> </w:t>
      </w:r>
      <w:r w:rsidR="00DC0B44">
        <w:rPr>
          <w:rFonts w:ascii="Calibri" w:hAnsi="Calibri"/>
          <w:sz w:val="24"/>
          <w:szCs w:val="24"/>
          <w:vertAlign w:val="superscript"/>
        </w:rPr>
        <w:t>22</w:t>
      </w:r>
      <w:r w:rsidRPr="0077631D">
        <w:rPr>
          <w:rFonts w:ascii="Calibri" w:hAnsi="Calibri"/>
          <w:sz w:val="24"/>
          <w:szCs w:val="24"/>
        </w:rPr>
        <w:t xml:space="preserve"> </w:t>
      </w:r>
      <w:r>
        <w:rPr>
          <w:rFonts w:ascii="Calibri" w:hAnsi="Calibri"/>
          <w:sz w:val="24"/>
          <w:szCs w:val="24"/>
        </w:rPr>
        <w:t xml:space="preserve">It </w:t>
      </w:r>
      <w:r w:rsidRPr="0077631D">
        <w:rPr>
          <w:rFonts w:ascii="Calibri" w:hAnsi="Calibri"/>
          <w:sz w:val="24"/>
          <w:szCs w:val="24"/>
        </w:rPr>
        <w:t xml:space="preserve">is the dominant provider of health services </w:t>
      </w:r>
      <w:r>
        <w:rPr>
          <w:rFonts w:ascii="Calibri" w:hAnsi="Calibri"/>
          <w:sz w:val="24"/>
          <w:szCs w:val="24"/>
        </w:rPr>
        <w:t xml:space="preserve">in the </w:t>
      </w:r>
      <w:r w:rsidRPr="0077631D">
        <w:rPr>
          <w:rFonts w:ascii="Calibri" w:hAnsi="Calibri"/>
          <w:sz w:val="24"/>
          <w:szCs w:val="24"/>
        </w:rPr>
        <w:t>public sector</w:t>
      </w:r>
      <w:r>
        <w:rPr>
          <w:rFonts w:ascii="Calibri" w:hAnsi="Calibri"/>
          <w:sz w:val="24"/>
          <w:szCs w:val="24"/>
        </w:rPr>
        <w:t>.</w:t>
      </w:r>
      <w:r w:rsidR="00DC0B44">
        <w:rPr>
          <w:rFonts w:ascii="Calibri" w:hAnsi="Calibri"/>
          <w:sz w:val="24"/>
          <w:szCs w:val="24"/>
          <w:vertAlign w:val="superscript"/>
        </w:rPr>
        <w:t>22</w:t>
      </w:r>
      <w:r w:rsidRPr="00E050F6">
        <w:rPr>
          <w:rFonts w:ascii="Calibri" w:hAnsi="Calibri"/>
          <w:sz w:val="24"/>
          <w:szCs w:val="24"/>
          <w:vertAlign w:val="superscript"/>
        </w:rPr>
        <w:t>,</w:t>
      </w:r>
      <w:r w:rsidR="00DC0B44">
        <w:rPr>
          <w:rFonts w:ascii="Calibri" w:hAnsi="Calibri"/>
          <w:sz w:val="24"/>
          <w:szCs w:val="24"/>
          <w:vertAlign w:val="superscript"/>
        </w:rPr>
        <w:t>23</w:t>
      </w:r>
      <w:r>
        <w:rPr>
          <w:rFonts w:ascii="Calibri" w:hAnsi="Calibri"/>
          <w:sz w:val="24"/>
          <w:szCs w:val="24"/>
        </w:rPr>
        <w:t xml:space="preserve"> O</w:t>
      </w:r>
      <w:r w:rsidRPr="0077631D">
        <w:rPr>
          <w:rFonts w:ascii="Calibri" w:hAnsi="Calibri"/>
          <w:sz w:val="24"/>
          <w:szCs w:val="24"/>
        </w:rPr>
        <w:t xml:space="preserve">ther government agencies, </w:t>
      </w:r>
      <w:r>
        <w:rPr>
          <w:rFonts w:ascii="Calibri" w:hAnsi="Calibri"/>
          <w:sz w:val="24"/>
          <w:szCs w:val="24"/>
        </w:rPr>
        <w:t>including</w:t>
      </w:r>
      <w:r w:rsidRPr="0077631D">
        <w:rPr>
          <w:rFonts w:ascii="Calibri" w:hAnsi="Calibri"/>
          <w:sz w:val="24"/>
          <w:szCs w:val="24"/>
        </w:rPr>
        <w:t xml:space="preserve"> the </w:t>
      </w:r>
      <w:r w:rsidR="009E2FC7">
        <w:rPr>
          <w:rFonts w:ascii="Calibri" w:hAnsi="Calibri"/>
          <w:sz w:val="24"/>
          <w:szCs w:val="24"/>
        </w:rPr>
        <w:t>M</w:t>
      </w:r>
      <w:r w:rsidRPr="0077631D">
        <w:rPr>
          <w:rFonts w:ascii="Calibri" w:hAnsi="Calibri"/>
          <w:sz w:val="24"/>
          <w:szCs w:val="24"/>
        </w:rPr>
        <w:t xml:space="preserve">inistry of </w:t>
      </w:r>
      <w:r w:rsidR="009E2FC7">
        <w:rPr>
          <w:rFonts w:ascii="Calibri" w:hAnsi="Calibri"/>
          <w:sz w:val="24"/>
          <w:szCs w:val="24"/>
        </w:rPr>
        <w:t>D</w:t>
      </w:r>
      <w:r w:rsidRPr="0077631D">
        <w:rPr>
          <w:rFonts w:ascii="Calibri" w:hAnsi="Calibri"/>
          <w:sz w:val="24"/>
          <w:szCs w:val="24"/>
        </w:rPr>
        <w:t xml:space="preserve">efence, </w:t>
      </w:r>
      <w:r>
        <w:rPr>
          <w:rFonts w:ascii="Calibri" w:hAnsi="Calibri"/>
          <w:sz w:val="24"/>
          <w:szCs w:val="24"/>
        </w:rPr>
        <w:t>the n</w:t>
      </w:r>
      <w:r w:rsidRPr="0077631D">
        <w:rPr>
          <w:rFonts w:ascii="Calibri" w:hAnsi="Calibri"/>
          <w:sz w:val="24"/>
          <w:szCs w:val="24"/>
        </w:rPr>
        <w:t xml:space="preserve">ational </w:t>
      </w:r>
      <w:r>
        <w:rPr>
          <w:rFonts w:ascii="Calibri" w:hAnsi="Calibri"/>
          <w:sz w:val="24"/>
          <w:szCs w:val="24"/>
        </w:rPr>
        <w:t>g</w:t>
      </w:r>
      <w:r w:rsidRPr="0077631D">
        <w:rPr>
          <w:rFonts w:ascii="Calibri" w:hAnsi="Calibri"/>
          <w:sz w:val="24"/>
          <w:szCs w:val="24"/>
        </w:rPr>
        <w:t xml:space="preserve">uard and </w:t>
      </w:r>
      <w:r>
        <w:rPr>
          <w:rFonts w:ascii="Calibri" w:hAnsi="Calibri"/>
          <w:sz w:val="24"/>
          <w:szCs w:val="24"/>
        </w:rPr>
        <w:t>u</w:t>
      </w:r>
      <w:r w:rsidRPr="0077631D">
        <w:rPr>
          <w:rFonts w:ascii="Calibri" w:hAnsi="Calibri"/>
          <w:sz w:val="24"/>
          <w:szCs w:val="24"/>
        </w:rPr>
        <w:t>niversities</w:t>
      </w:r>
      <w:r>
        <w:rPr>
          <w:rFonts w:ascii="Calibri" w:hAnsi="Calibri"/>
          <w:sz w:val="24"/>
          <w:szCs w:val="24"/>
        </w:rPr>
        <w:t>,</w:t>
      </w:r>
      <w:r w:rsidRPr="0077631D">
        <w:rPr>
          <w:rFonts w:ascii="Calibri" w:hAnsi="Calibri"/>
          <w:sz w:val="24"/>
          <w:szCs w:val="24"/>
        </w:rPr>
        <w:t xml:space="preserve"> </w:t>
      </w:r>
      <w:r>
        <w:rPr>
          <w:rFonts w:ascii="Calibri" w:hAnsi="Calibri"/>
          <w:sz w:val="24"/>
          <w:szCs w:val="24"/>
        </w:rPr>
        <w:t xml:space="preserve">share the remaining of </w:t>
      </w:r>
      <w:r w:rsidRPr="0077631D">
        <w:rPr>
          <w:rFonts w:ascii="Calibri" w:hAnsi="Calibri"/>
          <w:sz w:val="24"/>
          <w:szCs w:val="24"/>
        </w:rPr>
        <w:t>healthcare</w:t>
      </w:r>
      <w:r>
        <w:rPr>
          <w:rFonts w:ascii="Calibri" w:hAnsi="Calibri"/>
          <w:sz w:val="24"/>
          <w:szCs w:val="24"/>
        </w:rPr>
        <w:t xml:space="preserve"> provision, as does</w:t>
      </w:r>
      <w:r w:rsidRPr="0077631D">
        <w:rPr>
          <w:rFonts w:ascii="Calibri" w:hAnsi="Calibri"/>
          <w:sz w:val="24"/>
          <w:szCs w:val="24"/>
        </w:rPr>
        <w:t xml:space="preserve"> the private sector</w:t>
      </w:r>
      <w:r>
        <w:rPr>
          <w:rFonts w:ascii="Calibri" w:hAnsi="Calibri"/>
          <w:sz w:val="24"/>
          <w:szCs w:val="24"/>
        </w:rPr>
        <w:t>.</w:t>
      </w:r>
      <w:r w:rsidR="00DC0B44">
        <w:rPr>
          <w:rFonts w:ascii="Calibri" w:hAnsi="Calibri"/>
          <w:sz w:val="24"/>
          <w:szCs w:val="24"/>
          <w:vertAlign w:val="superscript"/>
        </w:rPr>
        <w:t>21</w:t>
      </w:r>
      <w:r w:rsidRPr="0077631D">
        <w:rPr>
          <w:rFonts w:ascii="Calibri" w:hAnsi="Calibri"/>
          <w:sz w:val="24"/>
          <w:szCs w:val="24"/>
        </w:rPr>
        <w:t xml:space="preserve"> </w:t>
      </w:r>
      <w:r>
        <w:rPr>
          <w:rFonts w:ascii="Calibri" w:hAnsi="Calibri"/>
          <w:sz w:val="24"/>
          <w:szCs w:val="24"/>
        </w:rPr>
        <w:t xml:space="preserve">The </w:t>
      </w:r>
      <w:r w:rsidRPr="0077631D">
        <w:rPr>
          <w:rFonts w:ascii="Calibri" w:hAnsi="Calibri"/>
          <w:sz w:val="24"/>
          <w:szCs w:val="24"/>
        </w:rPr>
        <w:t>MOH delivers primary, secondary and tertiary healthcare through 2</w:t>
      </w:r>
      <w:r>
        <w:rPr>
          <w:rFonts w:ascii="Calibri" w:hAnsi="Calibri"/>
          <w:sz w:val="24"/>
          <w:szCs w:val="24"/>
        </w:rPr>
        <w:t>,</w:t>
      </w:r>
      <w:r w:rsidRPr="0077631D">
        <w:rPr>
          <w:rFonts w:ascii="Calibri" w:hAnsi="Calibri"/>
          <w:sz w:val="24"/>
          <w:szCs w:val="24"/>
        </w:rPr>
        <w:t>361 primary healthcare centres and 282 hospitals</w:t>
      </w:r>
      <w:r>
        <w:rPr>
          <w:rFonts w:ascii="Calibri" w:hAnsi="Calibri"/>
          <w:sz w:val="24"/>
          <w:szCs w:val="24"/>
        </w:rPr>
        <w:t>,</w:t>
      </w:r>
      <w:r w:rsidRPr="0077631D">
        <w:rPr>
          <w:rFonts w:ascii="Calibri" w:hAnsi="Calibri"/>
          <w:sz w:val="24"/>
          <w:szCs w:val="24"/>
        </w:rPr>
        <w:t xml:space="preserve"> </w:t>
      </w:r>
      <w:r>
        <w:rPr>
          <w:rFonts w:ascii="Calibri" w:hAnsi="Calibri"/>
          <w:sz w:val="24"/>
          <w:szCs w:val="24"/>
        </w:rPr>
        <w:t>administering</w:t>
      </w:r>
      <w:r w:rsidRPr="0077631D">
        <w:rPr>
          <w:rFonts w:ascii="Calibri" w:hAnsi="Calibri"/>
          <w:sz w:val="24"/>
          <w:szCs w:val="24"/>
        </w:rPr>
        <w:t xml:space="preserve"> 43</w:t>
      </w:r>
      <w:r>
        <w:rPr>
          <w:rFonts w:ascii="Calibri" w:hAnsi="Calibri"/>
          <w:sz w:val="24"/>
          <w:szCs w:val="24"/>
        </w:rPr>
        <w:t>,</w:t>
      </w:r>
      <w:r w:rsidRPr="0077631D">
        <w:rPr>
          <w:rFonts w:ascii="Calibri" w:hAnsi="Calibri"/>
          <w:sz w:val="24"/>
          <w:szCs w:val="24"/>
        </w:rPr>
        <w:t>080 beds throughout the country</w:t>
      </w:r>
      <w:r>
        <w:rPr>
          <w:rFonts w:ascii="Calibri" w:hAnsi="Calibri"/>
          <w:sz w:val="24"/>
          <w:szCs w:val="24"/>
        </w:rPr>
        <w:t>.</w:t>
      </w:r>
      <w:r w:rsidR="00DC0B44">
        <w:rPr>
          <w:rFonts w:ascii="Calibri" w:hAnsi="Calibri"/>
          <w:sz w:val="24"/>
          <w:szCs w:val="24"/>
          <w:vertAlign w:val="superscript"/>
        </w:rPr>
        <w:t>5</w:t>
      </w:r>
      <w:r w:rsidRPr="0077631D">
        <w:rPr>
          <w:rFonts w:ascii="Calibri" w:hAnsi="Calibri"/>
          <w:sz w:val="24"/>
          <w:szCs w:val="24"/>
        </w:rPr>
        <w:t xml:space="preserve"> </w:t>
      </w:r>
      <w:r>
        <w:rPr>
          <w:rFonts w:ascii="Calibri" w:hAnsi="Calibri"/>
          <w:sz w:val="24"/>
          <w:szCs w:val="24"/>
        </w:rPr>
        <w:t>Other</w:t>
      </w:r>
      <w:r w:rsidRPr="0077631D">
        <w:rPr>
          <w:rFonts w:ascii="Calibri" w:hAnsi="Calibri"/>
          <w:sz w:val="24"/>
          <w:szCs w:val="24"/>
        </w:rPr>
        <w:t xml:space="preserve"> MOH functions include strategic planning, formulati</w:t>
      </w:r>
      <w:r>
        <w:rPr>
          <w:rFonts w:ascii="Calibri" w:hAnsi="Calibri"/>
          <w:sz w:val="24"/>
          <w:szCs w:val="24"/>
        </w:rPr>
        <w:t>on</w:t>
      </w:r>
      <w:r w:rsidRPr="0077631D">
        <w:rPr>
          <w:rFonts w:ascii="Calibri" w:hAnsi="Calibri"/>
          <w:sz w:val="24"/>
          <w:szCs w:val="24"/>
        </w:rPr>
        <w:t xml:space="preserve"> </w:t>
      </w:r>
      <w:r>
        <w:rPr>
          <w:rFonts w:ascii="Calibri" w:hAnsi="Calibri"/>
          <w:sz w:val="24"/>
          <w:szCs w:val="24"/>
        </w:rPr>
        <w:t>of</w:t>
      </w:r>
      <w:r w:rsidRPr="0077631D">
        <w:rPr>
          <w:rFonts w:ascii="Calibri" w:hAnsi="Calibri"/>
          <w:sz w:val="24"/>
          <w:szCs w:val="24"/>
        </w:rPr>
        <w:t xml:space="preserve"> health polic</w:t>
      </w:r>
      <w:r>
        <w:rPr>
          <w:rFonts w:ascii="Calibri" w:hAnsi="Calibri"/>
          <w:sz w:val="24"/>
          <w:szCs w:val="24"/>
        </w:rPr>
        <w:t>y</w:t>
      </w:r>
      <w:r w:rsidRPr="0077631D">
        <w:rPr>
          <w:rFonts w:ascii="Calibri" w:hAnsi="Calibri"/>
          <w:sz w:val="24"/>
          <w:szCs w:val="24"/>
        </w:rPr>
        <w:t>, supervis</w:t>
      </w:r>
      <w:r>
        <w:rPr>
          <w:rFonts w:ascii="Calibri" w:hAnsi="Calibri"/>
          <w:sz w:val="24"/>
          <w:szCs w:val="24"/>
        </w:rPr>
        <w:t>ion of</w:t>
      </w:r>
      <w:r w:rsidRPr="0077631D">
        <w:rPr>
          <w:rFonts w:ascii="Calibri" w:hAnsi="Calibri"/>
          <w:sz w:val="24"/>
          <w:szCs w:val="24"/>
        </w:rPr>
        <w:t xml:space="preserve"> all health service delivery programs</w:t>
      </w:r>
      <w:r>
        <w:rPr>
          <w:rFonts w:ascii="Calibri" w:hAnsi="Calibri"/>
          <w:sz w:val="24"/>
          <w:szCs w:val="24"/>
        </w:rPr>
        <w:t xml:space="preserve"> and the </w:t>
      </w:r>
      <w:r w:rsidRPr="0077631D">
        <w:rPr>
          <w:rFonts w:ascii="Calibri" w:hAnsi="Calibri"/>
          <w:sz w:val="24"/>
          <w:szCs w:val="24"/>
        </w:rPr>
        <w:t>monitoring and manag</w:t>
      </w:r>
      <w:r>
        <w:rPr>
          <w:rFonts w:ascii="Calibri" w:hAnsi="Calibri"/>
          <w:sz w:val="24"/>
          <w:szCs w:val="24"/>
        </w:rPr>
        <w:t>ement of</w:t>
      </w:r>
      <w:r w:rsidRPr="0077631D">
        <w:rPr>
          <w:rFonts w:ascii="Calibri" w:hAnsi="Calibri"/>
          <w:sz w:val="24"/>
          <w:szCs w:val="24"/>
        </w:rPr>
        <w:t xml:space="preserve"> all other health-related activities.</w:t>
      </w:r>
      <w:r w:rsidR="00DC0B44">
        <w:rPr>
          <w:rFonts w:ascii="Calibri" w:hAnsi="Calibri"/>
          <w:sz w:val="24"/>
          <w:szCs w:val="24"/>
          <w:vertAlign w:val="superscript"/>
        </w:rPr>
        <w:t>22</w:t>
      </w:r>
      <w:r w:rsidRPr="0077631D">
        <w:rPr>
          <w:sz w:val="24"/>
          <w:szCs w:val="24"/>
        </w:rPr>
        <w:t xml:space="preserve"> </w:t>
      </w:r>
      <w:r w:rsidRPr="006F0D47">
        <w:rPr>
          <w:rFonts w:ascii="Calibri" w:hAnsi="Calibri"/>
          <w:sz w:val="24"/>
          <w:szCs w:val="24"/>
        </w:rPr>
        <w:t xml:space="preserve">Public (MOH-affiliated) hospitals in KSA can be broadly classified into two groups, general hospitals </w:t>
      </w:r>
      <w:r>
        <w:rPr>
          <w:rFonts w:ascii="Calibri" w:hAnsi="Calibri"/>
          <w:sz w:val="24"/>
          <w:szCs w:val="24"/>
        </w:rPr>
        <w:t xml:space="preserve">with different capacities (number of beds) </w:t>
      </w:r>
      <w:r w:rsidRPr="006F0D47">
        <w:rPr>
          <w:rFonts w:ascii="Calibri" w:hAnsi="Calibri"/>
          <w:sz w:val="24"/>
          <w:szCs w:val="24"/>
        </w:rPr>
        <w:t xml:space="preserve">and specialised hospitals. General hospitals provide a wide range of health services, while specialised hospitals deliver health services for </w:t>
      </w:r>
      <w:r w:rsidRPr="006F0D47">
        <w:rPr>
          <w:rFonts w:ascii="Calibri" w:hAnsi="Calibri"/>
          <w:sz w:val="24"/>
          <w:szCs w:val="24"/>
        </w:rPr>
        <w:lastRenderedPageBreak/>
        <w:t xml:space="preserve">a specific health condition or to a </w:t>
      </w:r>
      <w:proofErr w:type="gramStart"/>
      <w:r w:rsidRPr="006F0D47">
        <w:rPr>
          <w:rFonts w:ascii="Calibri" w:hAnsi="Calibri"/>
          <w:sz w:val="24"/>
          <w:szCs w:val="24"/>
        </w:rPr>
        <w:t>particular group</w:t>
      </w:r>
      <w:proofErr w:type="gramEnd"/>
      <w:r w:rsidRPr="006F0D47">
        <w:rPr>
          <w:rFonts w:ascii="Calibri" w:hAnsi="Calibri"/>
          <w:sz w:val="24"/>
          <w:szCs w:val="24"/>
        </w:rPr>
        <w:t xml:space="preserve"> of beneficiaries.</w:t>
      </w:r>
      <w:r>
        <w:rPr>
          <w:rFonts w:ascii="Calibri" w:hAnsi="Calibri"/>
          <w:sz w:val="24"/>
          <w:szCs w:val="24"/>
        </w:rPr>
        <w:t xml:space="preserve"> General hospitals in KSA </w:t>
      </w:r>
      <w:proofErr w:type="gramStart"/>
      <w:r>
        <w:rPr>
          <w:rFonts w:ascii="Calibri" w:hAnsi="Calibri"/>
          <w:sz w:val="24"/>
          <w:szCs w:val="24"/>
        </w:rPr>
        <w:t>are located in</w:t>
      </w:r>
      <w:proofErr w:type="gramEnd"/>
      <w:r>
        <w:rPr>
          <w:rFonts w:ascii="Calibri" w:hAnsi="Calibri"/>
          <w:sz w:val="24"/>
          <w:szCs w:val="24"/>
        </w:rPr>
        <w:t xml:space="preserve"> various geographic locations and serve populations of different demographic characteristics and needs, which may affect the hospital performance, as observed in other studies</w:t>
      </w:r>
      <w:r w:rsidR="00175E2B">
        <w:rPr>
          <w:rFonts w:ascii="Calibri" w:hAnsi="Calibri"/>
          <w:sz w:val="24"/>
          <w:szCs w:val="24"/>
        </w:rPr>
        <w:t>.</w:t>
      </w:r>
      <w:r w:rsidR="00DC0B44">
        <w:rPr>
          <w:rFonts w:ascii="Calibri" w:hAnsi="Calibri"/>
          <w:sz w:val="24"/>
          <w:szCs w:val="24"/>
          <w:vertAlign w:val="superscript"/>
        </w:rPr>
        <w:t>8,24</w:t>
      </w:r>
    </w:p>
    <w:p w14:paraId="2E4CC077" w14:textId="77777777" w:rsidR="00E8681B" w:rsidRPr="00951B19" w:rsidRDefault="00E8681B" w:rsidP="008F1189">
      <w:pPr>
        <w:pStyle w:val="Caption"/>
        <w:keepNext/>
        <w:jc w:val="both"/>
        <w:rPr>
          <w:color w:val="auto"/>
          <w:sz w:val="20"/>
        </w:rPr>
      </w:pPr>
      <w:r w:rsidRPr="00951B19">
        <w:rPr>
          <w:b/>
          <w:color w:val="auto"/>
          <w:sz w:val="20"/>
        </w:rPr>
        <w:t xml:space="preserve">Table </w:t>
      </w:r>
      <w:r w:rsidRPr="00951B19">
        <w:rPr>
          <w:b/>
          <w:color w:val="auto"/>
          <w:sz w:val="20"/>
        </w:rPr>
        <w:fldChar w:fldCharType="begin"/>
      </w:r>
      <w:r w:rsidRPr="00951B19">
        <w:rPr>
          <w:b/>
          <w:color w:val="auto"/>
          <w:sz w:val="20"/>
        </w:rPr>
        <w:instrText xml:space="preserve"> SEQ Table \* ARABIC </w:instrText>
      </w:r>
      <w:r w:rsidRPr="00951B19">
        <w:rPr>
          <w:b/>
          <w:color w:val="auto"/>
          <w:sz w:val="20"/>
        </w:rPr>
        <w:fldChar w:fldCharType="separate"/>
      </w:r>
      <w:r w:rsidRPr="00951B19">
        <w:rPr>
          <w:b/>
          <w:noProof/>
          <w:color w:val="auto"/>
          <w:sz w:val="20"/>
        </w:rPr>
        <w:t>1</w:t>
      </w:r>
      <w:r w:rsidRPr="00951B19">
        <w:rPr>
          <w:b/>
          <w:color w:val="auto"/>
          <w:sz w:val="20"/>
        </w:rPr>
        <w:fldChar w:fldCharType="end"/>
      </w:r>
      <w:r w:rsidRPr="00951B19">
        <w:rPr>
          <w:b/>
          <w:color w:val="auto"/>
          <w:sz w:val="20"/>
        </w:rPr>
        <w:t xml:space="preserve">: </w:t>
      </w:r>
      <w:r w:rsidRPr="00951B19">
        <w:rPr>
          <w:color w:val="auto"/>
          <w:sz w:val="20"/>
        </w:rPr>
        <w:t>Budget appropriations for the MOH with respect to government budget (SR = Saudi Riyal)</w:t>
      </w:r>
    </w:p>
    <w:tbl>
      <w:tblPr>
        <w:tblStyle w:val="TableGrid"/>
        <w:tblW w:w="8784" w:type="dxa"/>
        <w:tblBorders>
          <w:insideH w:val="none" w:sz="0" w:space="0" w:color="auto"/>
          <w:insideV w:val="none" w:sz="0" w:space="0" w:color="auto"/>
        </w:tblBorders>
        <w:tblLook w:val="04A0" w:firstRow="1" w:lastRow="0" w:firstColumn="1" w:lastColumn="0" w:noHBand="0" w:noVBand="1"/>
      </w:tblPr>
      <w:tblGrid>
        <w:gridCol w:w="835"/>
        <w:gridCol w:w="1814"/>
        <w:gridCol w:w="1785"/>
        <w:gridCol w:w="2360"/>
        <w:gridCol w:w="1037"/>
        <w:gridCol w:w="953"/>
      </w:tblGrid>
      <w:tr w:rsidR="00E8681B" w14:paraId="4566E258" w14:textId="77777777" w:rsidTr="0033741A">
        <w:trPr>
          <w:trHeight w:val="590"/>
        </w:trPr>
        <w:tc>
          <w:tcPr>
            <w:tcW w:w="835" w:type="dxa"/>
            <w:tcBorders>
              <w:top w:val="single" w:sz="4" w:space="0" w:color="auto"/>
              <w:left w:val="nil"/>
              <w:bottom w:val="single" w:sz="4" w:space="0" w:color="auto"/>
              <w:right w:val="single" w:sz="4" w:space="0" w:color="auto"/>
            </w:tcBorders>
          </w:tcPr>
          <w:p w14:paraId="518069C0"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Year</w:t>
            </w:r>
          </w:p>
        </w:tc>
        <w:tc>
          <w:tcPr>
            <w:tcW w:w="1814" w:type="dxa"/>
            <w:tcBorders>
              <w:top w:val="single" w:sz="4" w:space="0" w:color="auto"/>
              <w:left w:val="single" w:sz="4" w:space="0" w:color="auto"/>
              <w:bottom w:val="single" w:sz="4" w:space="0" w:color="auto"/>
              <w:right w:val="single" w:sz="4" w:space="0" w:color="auto"/>
            </w:tcBorders>
          </w:tcPr>
          <w:p w14:paraId="4665C065"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Government</w:t>
            </w:r>
          </w:p>
          <w:p w14:paraId="4892ADC5"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Budget Billion SR</w:t>
            </w:r>
          </w:p>
        </w:tc>
        <w:tc>
          <w:tcPr>
            <w:tcW w:w="1785" w:type="dxa"/>
            <w:tcBorders>
              <w:top w:val="single" w:sz="4" w:space="0" w:color="auto"/>
              <w:left w:val="single" w:sz="4" w:space="0" w:color="auto"/>
              <w:bottom w:val="single" w:sz="4" w:space="0" w:color="auto"/>
              <w:right w:val="single" w:sz="4" w:space="0" w:color="auto"/>
            </w:tcBorders>
          </w:tcPr>
          <w:p w14:paraId="3E21388E"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MOH Budget Billion SR</w:t>
            </w:r>
          </w:p>
        </w:tc>
        <w:tc>
          <w:tcPr>
            <w:tcW w:w="2360" w:type="dxa"/>
            <w:tcBorders>
              <w:top w:val="single" w:sz="4" w:space="0" w:color="auto"/>
              <w:left w:val="single" w:sz="4" w:space="0" w:color="auto"/>
              <w:bottom w:val="single" w:sz="4" w:space="0" w:color="auto"/>
              <w:right w:val="single" w:sz="4" w:space="0" w:color="auto"/>
            </w:tcBorders>
          </w:tcPr>
          <w:p w14:paraId="1B837F32"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Percentage of MOH to the government budget</w:t>
            </w:r>
          </w:p>
        </w:tc>
        <w:tc>
          <w:tcPr>
            <w:tcW w:w="1037" w:type="dxa"/>
            <w:tcBorders>
              <w:top w:val="single" w:sz="4" w:space="0" w:color="auto"/>
              <w:left w:val="single" w:sz="4" w:space="0" w:color="auto"/>
              <w:bottom w:val="single" w:sz="4" w:space="0" w:color="auto"/>
            </w:tcBorders>
          </w:tcPr>
          <w:p w14:paraId="1EB37250" w14:textId="77777777" w:rsidR="00E8681B" w:rsidRPr="004A4252" w:rsidRDefault="00E8681B" w:rsidP="008F1189">
            <w:pPr>
              <w:spacing w:line="276" w:lineRule="auto"/>
              <w:jc w:val="both"/>
              <w:rPr>
                <w:rFonts w:ascii="Calibri" w:hAnsi="Calibri"/>
                <w:szCs w:val="16"/>
              </w:rPr>
            </w:pPr>
            <w:r>
              <w:rPr>
                <w:rFonts w:ascii="Calibri" w:hAnsi="Calibri"/>
                <w:szCs w:val="16"/>
              </w:rPr>
              <w:t xml:space="preserve">No. of </w:t>
            </w:r>
            <w:r w:rsidRPr="004A4252">
              <w:rPr>
                <w:rFonts w:ascii="Calibri" w:hAnsi="Calibri"/>
                <w:szCs w:val="16"/>
              </w:rPr>
              <w:t>Hospitals</w:t>
            </w:r>
          </w:p>
        </w:tc>
        <w:tc>
          <w:tcPr>
            <w:tcW w:w="953" w:type="dxa"/>
            <w:tcBorders>
              <w:top w:val="single" w:sz="4" w:space="0" w:color="auto"/>
              <w:bottom w:val="single" w:sz="4" w:space="0" w:color="auto"/>
              <w:right w:val="nil"/>
            </w:tcBorders>
          </w:tcPr>
          <w:p w14:paraId="65353609" w14:textId="77777777" w:rsidR="00E8681B" w:rsidRPr="004A4252" w:rsidRDefault="00E8681B" w:rsidP="008F1189">
            <w:pPr>
              <w:spacing w:line="276" w:lineRule="auto"/>
              <w:jc w:val="both"/>
              <w:rPr>
                <w:rFonts w:ascii="Calibri" w:hAnsi="Calibri"/>
                <w:szCs w:val="16"/>
              </w:rPr>
            </w:pPr>
            <w:r w:rsidRPr="00AD42FB">
              <w:rPr>
                <w:rFonts w:ascii="Calibri" w:hAnsi="Calibri"/>
                <w:szCs w:val="16"/>
              </w:rPr>
              <w:t xml:space="preserve">No. of </w:t>
            </w:r>
            <w:r w:rsidRPr="004A4252">
              <w:rPr>
                <w:rFonts w:ascii="Calibri" w:hAnsi="Calibri"/>
                <w:szCs w:val="16"/>
              </w:rPr>
              <w:t>Beds</w:t>
            </w:r>
          </w:p>
        </w:tc>
      </w:tr>
      <w:tr w:rsidR="00E8681B" w14:paraId="3FFC5504" w14:textId="77777777" w:rsidTr="0033741A">
        <w:trPr>
          <w:trHeight w:val="20"/>
        </w:trPr>
        <w:tc>
          <w:tcPr>
            <w:tcW w:w="835" w:type="dxa"/>
            <w:tcBorders>
              <w:top w:val="single" w:sz="4" w:space="0" w:color="auto"/>
              <w:left w:val="nil"/>
              <w:right w:val="single" w:sz="4" w:space="0" w:color="auto"/>
            </w:tcBorders>
          </w:tcPr>
          <w:p w14:paraId="1706131A"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2013</w:t>
            </w:r>
          </w:p>
        </w:tc>
        <w:tc>
          <w:tcPr>
            <w:tcW w:w="1814" w:type="dxa"/>
            <w:tcBorders>
              <w:top w:val="single" w:sz="4" w:space="0" w:color="auto"/>
              <w:left w:val="single" w:sz="4" w:space="0" w:color="auto"/>
              <w:right w:val="single" w:sz="4" w:space="0" w:color="auto"/>
            </w:tcBorders>
          </w:tcPr>
          <w:p w14:paraId="5F178AB6"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820</w:t>
            </w:r>
          </w:p>
        </w:tc>
        <w:tc>
          <w:tcPr>
            <w:tcW w:w="1785" w:type="dxa"/>
            <w:tcBorders>
              <w:top w:val="single" w:sz="4" w:space="0" w:color="auto"/>
              <w:left w:val="single" w:sz="4" w:space="0" w:color="auto"/>
              <w:right w:val="single" w:sz="4" w:space="0" w:color="auto"/>
            </w:tcBorders>
          </w:tcPr>
          <w:p w14:paraId="25313FC9"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54.3</w:t>
            </w:r>
          </w:p>
        </w:tc>
        <w:tc>
          <w:tcPr>
            <w:tcW w:w="2360" w:type="dxa"/>
            <w:tcBorders>
              <w:top w:val="single" w:sz="4" w:space="0" w:color="auto"/>
              <w:left w:val="single" w:sz="4" w:space="0" w:color="auto"/>
              <w:right w:val="single" w:sz="4" w:space="0" w:color="auto"/>
            </w:tcBorders>
          </w:tcPr>
          <w:p w14:paraId="6D68C96C"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6.63%</w:t>
            </w:r>
          </w:p>
        </w:tc>
        <w:tc>
          <w:tcPr>
            <w:tcW w:w="1037" w:type="dxa"/>
            <w:tcBorders>
              <w:top w:val="single" w:sz="4" w:space="0" w:color="auto"/>
              <w:left w:val="single" w:sz="4" w:space="0" w:color="auto"/>
            </w:tcBorders>
          </w:tcPr>
          <w:p w14:paraId="68043868"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268</w:t>
            </w:r>
          </w:p>
        </w:tc>
        <w:tc>
          <w:tcPr>
            <w:tcW w:w="953" w:type="dxa"/>
            <w:tcBorders>
              <w:top w:val="single" w:sz="4" w:space="0" w:color="auto"/>
              <w:right w:val="nil"/>
            </w:tcBorders>
          </w:tcPr>
          <w:p w14:paraId="04F4D782"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38970</w:t>
            </w:r>
          </w:p>
        </w:tc>
      </w:tr>
      <w:tr w:rsidR="00E8681B" w14:paraId="689FC48F" w14:textId="77777777" w:rsidTr="0033741A">
        <w:trPr>
          <w:trHeight w:val="20"/>
        </w:trPr>
        <w:tc>
          <w:tcPr>
            <w:tcW w:w="835" w:type="dxa"/>
            <w:tcBorders>
              <w:left w:val="nil"/>
              <w:right w:val="single" w:sz="4" w:space="0" w:color="auto"/>
            </w:tcBorders>
          </w:tcPr>
          <w:p w14:paraId="4E565C89"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2014</w:t>
            </w:r>
          </w:p>
        </w:tc>
        <w:tc>
          <w:tcPr>
            <w:tcW w:w="1814" w:type="dxa"/>
            <w:tcBorders>
              <w:left w:val="single" w:sz="4" w:space="0" w:color="auto"/>
              <w:right w:val="single" w:sz="4" w:space="0" w:color="auto"/>
            </w:tcBorders>
          </w:tcPr>
          <w:p w14:paraId="6228C4B1"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855</w:t>
            </w:r>
          </w:p>
        </w:tc>
        <w:tc>
          <w:tcPr>
            <w:tcW w:w="1785" w:type="dxa"/>
            <w:tcBorders>
              <w:left w:val="single" w:sz="4" w:space="0" w:color="auto"/>
              <w:right w:val="single" w:sz="4" w:space="0" w:color="auto"/>
            </w:tcBorders>
          </w:tcPr>
          <w:p w14:paraId="510E9ABC"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59.9</w:t>
            </w:r>
          </w:p>
        </w:tc>
        <w:tc>
          <w:tcPr>
            <w:tcW w:w="2360" w:type="dxa"/>
            <w:tcBorders>
              <w:left w:val="single" w:sz="4" w:space="0" w:color="auto"/>
              <w:right w:val="single" w:sz="4" w:space="0" w:color="auto"/>
            </w:tcBorders>
          </w:tcPr>
          <w:p w14:paraId="3852EF5F"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7.02%</w:t>
            </w:r>
          </w:p>
        </w:tc>
        <w:tc>
          <w:tcPr>
            <w:tcW w:w="1037" w:type="dxa"/>
            <w:tcBorders>
              <w:left w:val="single" w:sz="4" w:space="0" w:color="auto"/>
            </w:tcBorders>
          </w:tcPr>
          <w:p w14:paraId="60B5D784"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270</w:t>
            </w:r>
          </w:p>
        </w:tc>
        <w:tc>
          <w:tcPr>
            <w:tcW w:w="953" w:type="dxa"/>
            <w:tcBorders>
              <w:right w:val="nil"/>
            </w:tcBorders>
          </w:tcPr>
          <w:p w14:paraId="3B19D226"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40300</w:t>
            </w:r>
          </w:p>
        </w:tc>
      </w:tr>
      <w:tr w:rsidR="00E8681B" w14:paraId="278A5C37" w14:textId="77777777" w:rsidTr="0033741A">
        <w:trPr>
          <w:trHeight w:val="20"/>
        </w:trPr>
        <w:tc>
          <w:tcPr>
            <w:tcW w:w="835" w:type="dxa"/>
            <w:tcBorders>
              <w:left w:val="nil"/>
              <w:right w:val="single" w:sz="4" w:space="0" w:color="auto"/>
            </w:tcBorders>
          </w:tcPr>
          <w:p w14:paraId="54448A19"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2015</w:t>
            </w:r>
          </w:p>
        </w:tc>
        <w:tc>
          <w:tcPr>
            <w:tcW w:w="1814" w:type="dxa"/>
            <w:tcBorders>
              <w:left w:val="single" w:sz="4" w:space="0" w:color="auto"/>
              <w:right w:val="single" w:sz="4" w:space="0" w:color="auto"/>
            </w:tcBorders>
          </w:tcPr>
          <w:p w14:paraId="6472CD5A"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860</w:t>
            </w:r>
          </w:p>
        </w:tc>
        <w:tc>
          <w:tcPr>
            <w:tcW w:w="1785" w:type="dxa"/>
            <w:tcBorders>
              <w:left w:val="single" w:sz="4" w:space="0" w:color="auto"/>
              <w:right w:val="single" w:sz="4" w:space="0" w:color="auto"/>
            </w:tcBorders>
          </w:tcPr>
          <w:p w14:paraId="233CE198"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62.3</w:t>
            </w:r>
          </w:p>
        </w:tc>
        <w:tc>
          <w:tcPr>
            <w:tcW w:w="2360" w:type="dxa"/>
            <w:tcBorders>
              <w:left w:val="single" w:sz="4" w:space="0" w:color="auto"/>
              <w:right w:val="single" w:sz="4" w:space="0" w:color="auto"/>
            </w:tcBorders>
          </w:tcPr>
          <w:p w14:paraId="71A74D45"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7.25%</w:t>
            </w:r>
          </w:p>
        </w:tc>
        <w:tc>
          <w:tcPr>
            <w:tcW w:w="1037" w:type="dxa"/>
            <w:tcBorders>
              <w:left w:val="single" w:sz="4" w:space="0" w:color="auto"/>
            </w:tcBorders>
          </w:tcPr>
          <w:p w14:paraId="3A4C5417"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274</w:t>
            </w:r>
          </w:p>
        </w:tc>
        <w:tc>
          <w:tcPr>
            <w:tcW w:w="953" w:type="dxa"/>
            <w:tcBorders>
              <w:right w:val="nil"/>
            </w:tcBorders>
          </w:tcPr>
          <w:p w14:paraId="1D42D24C"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41297</w:t>
            </w:r>
          </w:p>
        </w:tc>
      </w:tr>
      <w:tr w:rsidR="00E8681B" w14:paraId="310F9E5A" w14:textId="77777777" w:rsidTr="0033741A">
        <w:trPr>
          <w:trHeight w:val="20"/>
        </w:trPr>
        <w:tc>
          <w:tcPr>
            <w:tcW w:w="835" w:type="dxa"/>
            <w:tcBorders>
              <w:left w:val="nil"/>
              <w:right w:val="single" w:sz="4" w:space="0" w:color="auto"/>
            </w:tcBorders>
          </w:tcPr>
          <w:p w14:paraId="02008313"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2016</w:t>
            </w:r>
          </w:p>
        </w:tc>
        <w:tc>
          <w:tcPr>
            <w:tcW w:w="1814" w:type="dxa"/>
            <w:tcBorders>
              <w:left w:val="single" w:sz="4" w:space="0" w:color="auto"/>
              <w:right w:val="single" w:sz="4" w:space="0" w:color="auto"/>
            </w:tcBorders>
          </w:tcPr>
          <w:p w14:paraId="68B12241"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840</w:t>
            </w:r>
          </w:p>
        </w:tc>
        <w:tc>
          <w:tcPr>
            <w:tcW w:w="1785" w:type="dxa"/>
            <w:tcBorders>
              <w:left w:val="single" w:sz="4" w:space="0" w:color="auto"/>
              <w:right w:val="single" w:sz="4" w:space="0" w:color="auto"/>
            </w:tcBorders>
          </w:tcPr>
          <w:p w14:paraId="6E7BF3DA"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58.9</w:t>
            </w:r>
          </w:p>
        </w:tc>
        <w:tc>
          <w:tcPr>
            <w:tcW w:w="2360" w:type="dxa"/>
            <w:tcBorders>
              <w:left w:val="single" w:sz="4" w:space="0" w:color="auto"/>
              <w:right w:val="single" w:sz="4" w:space="0" w:color="auto"/>
            </w:tcBorders>
          </w:tcPr>
          <w:p w14:paraId="2446D3AE"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7.01%</w:t>
            </w:r>
          </w:p>
        </w:tc>
        <w:tc>
          <w:tcPr>
            <w:tcW w:w="1037" w:type="dxa"/>
            <w:tcBorders>
              <w:left w:val="single" w:sz="4" w:space="0" w:color="auto"/>
            </w:tcBorders>
          </w:tcPr>
          <w:p w14:paraId="4C3379D3"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274</w:t>
            </w:r>
          </w:p>
        </w:tc>
        <w:tc>
          <w:tcPr>
            <w:tcW w:w="953" w:type="dxa"/>
            <w:tcBorders>
              <w:right w:val="nil"/>
            </w:tcBorders>
          </w:tcPr>
          <w:p w14:paraId="6DD575A8"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41835</w:t>
            </w:r>
          </w:p>
        </w:tc>
      </w:tr>
      <w:tr w:rsidR="00E8681B" w14:paraId="431788C9" w14:textId="77777777" w:rsidTr="0033741A">
        <w:trPr>
          <w:trHeight w:val="20"/>
        </w:trPr>
        <w:tc>
          <w:tcPr>
            <w:tcW w:w="835" w:type="dxa"/>
            <w:tcBorders>
              <w:left w:val="nil"/>
              <w:bottom w:val="single" w:sz="4" w:space="0" w:color="auto"/>
              <w:right w:val="single" w:sz="4" w:space="0" w:color="auto"/>
            </w:tcBorders>
          </w:tcPr>
          <w:p w14:paraId="3F3AA0F6"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2017</w:t>
            </w:r>
          </w:p>
        </w:tc>
        <w:tc>
          <w:tcPr>
            <w:tcW w:w="1814" w:type="dxa"/>
            <w:tcBorders>
              <w:left w:val="single" w:sz="4" w:space="0" w:color="auto"/>
              <w:bottom w:val="single" w:sz="4" w:space="0" w:color="auto"/>
              <w:right w:val="single" w:sz="4" w:space="0" w:color="auto"/>
            </w:tcBorders>
          </w:tcPr>
          <w:p w14:paraId="473DD508"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890</w:t>
            </w:r>
          </w:p>
        </w:tc>
        <w:tc>
          <w:tcPr>
            <w:tcW w:w="1785" w:type="dxa"/>
            <w:tcBorders>
              <w:left w:val="single" w:sz="4" w:space="0" w:color="auto"/>
              <w:right w:val="single" w:sz="4" w:space="0" w:color="auto"/>
            </w:tcBorders>
          </w:tcPr>
          <w:p w14:paraId="2A2281AE"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67.7</w:t>
            </w:r>
          </w:p>
        </w:tc>
        <w:tc>
          <w:tcPr>
            <w:tcW w:w="2360" w:type="dxa"/>
            <w:tcBorders>
              <w:left w:val="single" w:sz="4" w:space="0" w:color="auto"/>
              <w:bottom w:val="single" w:sz="4" w:space="0" w:color="auto"/>
              <w:right w:val="single" w:sz="4" w:space="0" w:color="auto"/>
            </w:tcBorders>
          </w:tcPr>
          <w:p w14:paraId="08D5A7A9"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7.61%</w:t>
            </w:r>
          </w:p>
        </w:tc>
        <w:tc>
          <w:tcPr>
            <w:tcW w:w="1037" w:type="dxa"/>
            <w:tcBorders>
              <w:left w:val="single" w:sz="4" w:space="0" w:color="auto"/>
            </w:tcBorders>
          </w:tcPr>
          <w:p w14:paraId="078DC1C2"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282</w:t>
            </w:r>
          </w:p>
        </w:tc>
        <w:tc>
          <w:tcPr>
            <w:tcW w:w="953" w:type="dxa"/>
            <w:tcBorders>
              <w:bottom w:val="single" w:sz="4" w:space="0" w:color="auto"/>
              <w:right w:val="nil"/>
            </w:tcBorders>
          </w:tcPr>
          <w:p w14:paraId="644EEE44" w14:textId="77777777" w:rsidR="00E8681B" w:rsidRPr="004A4252" w:rsidRDefault="00E8681B" w:rsidP="008F1189">
            <w:pPr>
              <w:spacing w:line="276" w:lineRule="auto"/>
              <w:jc w:val="both"/>
              <w:rPr>
                <w:rFonts w:ascii="Calibri" w:hAnsi="Calibri"/>
                <w:szCs w:val="16"/>
              </w:rPr>
            </w:pPr>
            <w:r w:rsidRPr="004A4252">
              <w:rPr>
                <w:rFonts w:ascii="Calibri" w:hAnsi="Calibri"/>
                <w:szCs w:val="16"/>
              </w:rPr>
              <w:t>43080</w:t>
            </w:r>
          </w:p>
        </w:tc>
      </w:tr>
    </w:tbl>
    <w:p w14:paraId="78E757F0" w14:textId="77777777" w:rsidR="00E8681B" w:rsidRPr="00951B19" w:rsidRDefault="00E8681B" w:rsidP="008F1189">
      <w:pPr>
        <w:spacing w:line="360" w:lineRule="auto"/>
        <w:jc w:val="both"/>
        <w:rPr>
          <w:rFonts w:ascii="Calibri" w:hAnsi="Calibri"/>
          <w:i/>
          <w:sz w:val="20"/>
          <w:szCs w:val="20"/>
        </w:rPr>
      </w:pPr>
      <w:r w:rsidRPr="00951B19">
        <w:rPr>
          <w:rFonts w:ascii="Calibri" w:hAnsi="Calibri"/>
          <w:i/>
          <w:sz w:val="20"/>
          <w:szCs w:val="20"/>
        </w:rPr>
        <w:t>Source; Ministry of Health; Statistical yearbook, 2017.</w:t>
      </w:r>
    </w:p>
    <w:p w14:paraId="6CBEA5B9" w14:textId="77777777" w:rsidR="00E8681B" w:rsidRPr="00991627" w:rsidRDefault="00E8681B" w:rsidP="008F1189">
      <w:pPr>
        <w:jc w:val="both"/>
      </w:pPr>
    </w:p>
    <w:p w14:paraId="56189F42" w14:textId="6108B0A1" w:rsidR="008801CE" w:rsidRDefault="005548AD" w:rsidP="008F1189">
      <w:pPr>
        <w:pStyle w:val="Heading1"/>
        <w:jc w:val="both"/>
        <w:rPr>
          <w:sz w:val="28"/>
          <w:szCs w:val="28"/>
        </w:rPr>
      </w:pPr>
      <w:r w:rsidRPr="003C4D08">
        <w:rPr>
          <w:sz w:val="28"/>
          <w:szCs w:val="28"/>
        </w:rPr>
        <w:t>Methods</w:t>
      </w:r>
    </w:p>
    <w:p w14:paraId="0E0F366E" w14:textId="77777777" w:rsidR="006F0D47" w:rsidRPr="006F0D47" w:rsidRDefault="006F0D47" w:rsidP="008F1189">
      <w:pPr>
        <w:pStyle w:val="Heading2"/>
        <w:jc w:val="both"/>
      </w:pPr>
      <w:r w:rsidRPr="006F0D47">
        <w:t>Population and selection of sample</w:t>
      </w:r>
    </w:p>
    <w:p w14:paraId="78A7CCAF" w14:textId="6C191E7A" w:rsidR="006F0D47" w:rsidRPr="006F0D47" w:rsidRDefault="006F0D47" w:rsidP="008F1189">
      <w:pPr>
        <w:spacing w:line="360" w:lineRule="auto"/>
        <w:jc w:val="both"/>
        <w:rPr>
          <w:rFonts w:ascii="Calibri" w:hAnsi="Calibri"/>
          <w:sz w:val="24"/>
          <w:szCs w:val="24"/>
        </w:rPr>
      </w:pPr>
      <w:r w:rsidRPr="006F0D47">
        <w:rPr>
          <w:rFonts w:ascii="Calibri" w:hAnsi="Calibri"/>
          <w:sz w:val="24"/>
          <w:szCs w:val="24"/>
        </w:rPr>
        <w:t>As the application of DEA is based on a homogenous (comparative) sample that use similar inputs to produce similar outputs, we focused on examining the technical efficiency for general hospitals.</w:t>
      </w:r>
      <w:r w:rsidR="00DC0B44">
        <w:rPr>
          <w:rFonts w:ascii="Calibri" w:hAnsi="Calibri"/>
          <w:sz w:val="24"/>
          <w:szCs w:val="24"/>
          <w:vertAlign w:val="superscript"/>
        </w:rPr>
        <w:t>9</w:t>
      </w:r>
      <w:r w:rsidRPr="006F0D47">
        <w:rPr>
          <w:rFonts w:ascii="Calibri" w:hAnsi="Calibri"/>
          <w:sz w:val="24"/>
          <w:szCs w:val="24"/>
        </w:rPr>
        <w:t xml:space="preserve"> </w:t>
      </w:r>
    </w:p>
    <w:p w14:paraId="52DF368C" w14:textId="5F99EE2D" w:rsidR="0033741A" w:rsidRDefault="006F0D47" w:rsidP="008F1189">
      <w:pPr>
        <w:spacing w:line="360" w:lineRule="auto"/>
        <w:jc w:val="both"/>
        <w:rPr>
          <w:rFonts w:ascii="Calibri" w:hAnsi="Calibri"/>
          <w:sz w:val="24"/>
          <w:szCs w:val="24"/>
        </w:rPr>
      </w:pPr>
      <w:r w:rsidRPr="006F0D47">
        <w:rPr>
          <w:rFonts w:ascii="Calibri" w:hAnsi="Calibri"/>
          <w:sz w:val="24"/>
          <w:szCs w:val="24"/>
        </w:rPr>
        <w:t xml:space="preserve">Hollingsworth (2008) and </w:t>
      </w:r>
      <w:proofErr w:type="spellStart"/>
      <w:r w:rsidRPr="006F0D47">
        <w:rPr>
          <w:rFonts w:ascii="Calibri" w:hAnsi="Calibri"/>
          <w:sz w:val="24"/>
          <w:szCs w:val="24"/>
        </w:rPr>
        <w:t>Varabyova</w:t>
      </w:r>
      <w:proofErr w:type="spellEnd"/>
      <w:r w:rsidRPr="006F0D47">
        <w:rPr>
          <w:rFonts w:ascii="Calibri" w:hAnsi="Calibri"/>
          <w:sz w:val="24"/>
          <w:szCs w:val="24"/>
        </w:rPr>
        <w:t xml:space="preserve"> (2016) argued that hospitals </w:t>
      </w:r>
      <w:r w:rsidR="00F444B8">
        <w:rPr>
          <w:rFonts w:ascii="Calibri" w:hAnsi="Calibri"/>
          <w:sz w:val="24"/>
          <w:szCs w:val="24"/>
        </w:rPr>
        <w:t xml:space="preserve">under evaluation </w:t>
      </w:r>
      <w:r w:rsidRPr="006F0D47">
        <w:rPr>
          <w:rFonts w:ascii="Calibri" w:hAnsi="Calibri"/>
          <w:sz w:val="24"/>
          <w:szCs w:val="24"/>
        </w:rPr>
        <w:t xml:space="preserve">should be of </w:t>
      </w:r>
      <w:r w:rsidR="0033741A">
        <w:rPr>
          <w:rFonts w:ascii="Calibri" w:hAnsi="Calibri"/>
          <w:sz w:val="24"/>
          <w:szCs w:val="24"/>
        </w:rPr>
        <w:t xml:space="preserve">the </w:t>
      </w:r>
      <w:r w:rsidRPr="006F0D47">
        <w:rPr>
          <w:rFonts w:ascii="Calibri" w:hAnsi="Calibri"/>
          <w:sz w:val="24"/>
          <w:szCs w:val="24"/>
        </w:rPr>
        <w:t>same type and provide the same services and health activities.</w:t>
      </w:r>
      <w:r w:rsidR="00DC0B44">
        <w:rPr>
          <w:rFonts w:ascii="Calibri" w:hAnsi="Calibri"/>
          <w:sz w:val="24"/>
          <w:szCs w:val="24"/>
          <w:vertAlign w:val="superscript"/>
        </w:rPr>
        <w:t>19,20</w:t>
      </w:r>
      <w:r w:rsidRPr="006F0D47">
        <w:rPr>
          <w:rFonts w:ascii="Calibri" w:hAnsi="Calibri"/>
          <w:sz w:val="24"/>
          <w:szCs w:val="24"/>
        </w:rPr>
        <w:t xml:space="preserve"> Since the inclusion of divergent specialist units in the same sample will confound the results — frontier techniques are susceptible to outliers.</w:t>
      </w:r>
      <w:r w:rsidR="00DC0B44">
        <w:rPr>
          <w:rFonts w:ascii="Calibri" w:hAnsi="Calibri"/>
          <w:sz w:val="24"/>
          <w:szCs w:val="24"/>
          <w:vertAlign w:val="superscript"/>
        </w:rPr>
        <w:t>19,20</w:t>
      </w:r>
      <w:r w:rsidRPr="006F0D47">
        <w:rPr>
          <w:rFonts w:ascii="Calibri" w:hAnsi="Calibri"/>
          <w:sz w:val="24"/>
          <w:szCs w:val="24"/>
        </w:rPr>
        <w:t xml:space="preserve"> Specialised hospitals often lack types of secondary service, e.g. surgical operations rarely occur in psychiatric hospitals, and such hospitals, if included, will appear as inefficient while surgery is considered as one of the outputs.</w:t>
      </w:r>
      <w:r w:rsidR="00DC0B44">
        <w:rPr>
          <w:rFonts w:ascii="Calibri" w:hAnsi="Calibri"/>
          <w:sz w:val="24"/>
          <w:szCs w:val="24"/>
          <w:vertAlign w:val="superscript"/>
        </w:rPr>
        <w:t>18,19,25</w:t>
      </w:r>
      <w:r w:rsidRPr="006F0D47">
        <w:rPr>
          <w:rFonts w:ascii="Calibri" w:hAnsi="Calibri"/>
          <w:sz w:val="24"/>
          <w:szCs w:val="24"/>
        </w:rPr>
        <w:t xml:space="preserve"> </w:t>
      </w:r>
      <w:r w:rsidR="0033741A">
        <w:rPr>
          <w:rFonts w:ascii="Calibri" w:hAnsi="Calibri"/>
          <w:sz w:val="24"/>
          <w:szCs w:val="24"/>
        </w:rPr>
        <w:t>Therefore</w:t>
      </w:r>
      <w:r w:rsidR="00A03DA4">
        <w:rPr>
          <w:rFonts w:ascii="Calibri" w:hAnsi="Calibri"/>
          <w:sz w:val="24"/>
          <w:szCs w:val="24"/>
        </w:rPr>
        <w:t>,</w:t>
      </w:r>
      <w:r w:rsidR="0033741A">
        <w:rPr>
          <w:rFonts w:ascii="Calibri" w:hAnsi="Calibri"/>
          <w:sz w:val="24"/>
          <w:szCs w:val="24"/>
        </w:rPr>
        <w:t xml:space="preserve"> we excluded s</w:t>
      </w:r>
      <w:r w:rsidRPr="006F0D47">
        <w:rPr>
          <w:rFonts w:ascii="Calibri" w:hAnsi="Calibri"/>
          <w:sz w:val="24"/>
          <w:szCs w:val="24"/>
        </w:rPr>
        <w:t>pecialised hospitals from this analysis</w:t>
      </w:r>
      <w:r w:rsidR="0080415B">
        <w:rPr>
          <w:rFonts w:ascii="Calibri" w:hAnsi="Calibri"/>
          <w:sz w:val="24"/>
          <w:szCs w:val="24"/>
        </w:rPr>
        <w:t>.</w:t>
      </w:r>
    </w:p>
    <w:p w14:paraId="586454A7" w14:textId="2F7D9BDA" w:rsidR="006F0D47" w:rsidRPr="006F0D47" w:rsidRDefault="006F0D47" w:rsidP="008F1189">
      <w:pPr>
        <w:spacing w:line="360" w:lineRule="auto"/>
        <w:jc w:val="both"/>
        <w:rPr>
          <w:rFonts w:ascii="Calibri" w:hAnsi="Calibri"/>
          <w:sz w:val="24"/>
          <w:szCs w:val="24"/>
        </w:rPr>
      </w:pPr>
      <w:r w:rsidRPr="006F0D47">
        <w:rPr>
          <w:rFonts w:ascii="Calibri" w:hAnsi="Calibri"/>
          <w:sz w:val="24"/>
          <w:szCs w:val="24"/>
        </w:rPr>
        <w:t xml:space="preserve">Similarly, small hospitals (with 50 beds or fewer) provide primary care services while lacking secondary and tertiary health services, and consequently miss a significant number of output variables (e.g. inpatient services, patient discharge, surgical operations, laboratory testing) compared to </w:t>
      </w:r>
      <w:r w:rsidR="0001443B">
        <w:rPr>
          <w:rFonts w:ascii="Calibri" w:hAnsi="Calibri"/>
          <w:sz w:val="24"/>
          <w:szCs w:val="24"/>
        </w:rPr>
        <w:t xml:space="preserve">larger </w:t>
      </w:r>
      <w:r w:rsidRPr="006F0D47">
        <w:rPr>
          <w:rFonts w:ascii="Calibri" w:hAnsi="Calibri"/>
          <w:sz w:val="24"/>
          <w:szCs w:val="24"/>
        </w:rPr>
        <w:t>hospitals.</w:t>
      </w:r>
      <w:r w:rsidRPr="006F0D47">
        <w:rPr>
          <w:rFonts w:ascii="Calibri" w:hAnsi="Calibri"/>
          <w:sz w:val="24"/>
          <w:szCs w:val="24"/>
          <w:lang w:val="en-US"/>
        </w:rPr>
        <w:t xml:space="preserve"> In </w:t>
      </w:r>
      <w:r w:rsidRPr="006F0D47">
        <w:rPr>
          <w:rFonts w:ascii="Calibri" w:hAnsi="Calibri"/>
          <w:sz w:val="24"/>
          <w:szCs w:val="24"/>
        </w:rPr>
        <w:t xml:space="preserve">this study </w:t>
      </w:r>
      <w:r w:rsidRPr="006F0D47">
        <w:rPr>
          <w:rFonts w:ascii="Calibri" w:hAnsi="Calibri"/>
          <w:sz w:val="24"/>
          <w:szCs w:val="24"/>
          <w:lang w:val="en-US"/>
        </w:rPr>
        <w:t xml:space="preserve">we </w:t>
      </w:r>
      <w:r w:rsidR="0033741A">
        <w:rPr>
          <w:rFonts w:ascii="Calibri" w:hAnsi="Calibri"/>
          <w:sz w:val="24"/>
          <w:szCs w:val="24"/>
          <w:lang w:val="en-US"/>
        </w:rPr>
        <w:t>also excluded</w:t>
      </w:r>
      <w:r w:rsidRPr="006F0D47">
        <w:rPr>
          <w:rFonts w:ascii="Calibri" w:hAnsi="Calibri"/>
          <w:sz w:val="24"/>
          <w:szCs w:val="24"/>
          <w:lang w:val="en-US"/>
        </w:rPr>
        <w:t xml:space="preserve"> the</w:t>
      </w:r>
      <w:r w:rsidRPr="006F0D47">
        <w:rPr>
          <w:rFonts w:ascii="Calibri" w:hAnsi="Calibri"/>
          <w:sz w:val="24"/>
          <w:szCs w:val="24"/>
        </w:rPr>
        <w:t xml:space="preserve"> smaller hospitals, to ensure greater homogeneity in performance evaluation across the units.</w:t>
      </w:r>
      <w:r w:rsidR="00DC0B44">
        <w:rPr>
          <w:rFonts w:ascii="Calibri" w:hAnsi="Calibri"/>
          <w:sz w:val="24"/>
          <w:szCs w:val="24"/>
          <w:vertAlign w:val="superscript"/>
        </w:rPr>
        <w:t>9</w:t>
      </w:r>
      <w:r w:rsidRPr="006F0D47">
        <w:rPr>
          <w:rFonts w:ascii="Calibri" w:hAnsi="Calibri"/>
          <w:sz w:val="24"/>
          <w:szCs w:val="24"/>
          <w:vertAlign w:val="superscript"/>
        </w:rPr>
        <w:t>,2</w:t>
      </w:r>
      <w:r w:rsidR="007E7EA3">
        <w:rPr>
          <w:rFonts w:ascii="Calibri" w:hAnsi="Calibri"/>
          <w:sz w:val="24"/>
          <w:szCs w:val="24"/>
          <w:vertAlign w:val="superscript"/>
        </w:rPr>
        <w:t>6</w:t>
      </w:r>
    </w:p>
    <w:p w14:paraId="1C1066E8" w14:textId="00D0D05E" w:rsidR="006F0D47" w:rsidRPr="006F0D47" w:rsidRDefault="006F0D47" w:rsidP="008F1189">
      <w:pPr>
        <w:spacing w:line="360" w:lineRule="auto"/>
        <w:jc w:val="both"/>
        <w:rPr>
          <w:rFonts w:ascii="Calibri" w:hAnsi="Calibri"/>
          <w:sz w:val="24"/>
          <w:szCs w:val="24"/>
        </w:rPr>
      </w:pPr>
      <w:r w:rsidRPr="006F0D47">
        <w:rPr>
          <w:rFonts w:ascii="Calibri" w:hAnsi="Calibri"/>
          <w:sz w:val="24"/>
          <w:szCs w:val="24"/>
        </w:rPr>
        <w:lastRenderedPageBreak/>
        <w:t xml:space="preserve">Ultimately, the homogenous sample used in the analysis included 21,528 out of 398,68 (54%) of the total active hospital beds provided by the MOH in KSA. We included in the assessment 97 general hospitals and removed six of them, due to missing data. The data of hospital inputs and outputs for 2017 was collected by the lead author from official statistical, informational and research databases of Administration of Statistics and Information and Administration of Research and Studies, which affiliated </w:t>
      </w:r>
      <w:r w:rsidR="007854EC">
        <w:rPr>
          <w:rFonts w:ascii="Calibri" w:hAnsi="Calibri"/>
          <w:sz w:val="24"/>
          <w:szCs w:val="24"/>
        </w:rPr>
        <w:t>with</w:t>
      </w:r>
      <w:r w:rsidRPr="006F0D47">
        <w:rPr>
          <w:rFonts w:ascii="Calibri" w:hAnsi="Calibri"/>
          <w:sz w:val="24"/>
          <w:szCs w:val="24"/>
        </w:rPr>
        <w:t xml:space="preserve"> the MOH, following approval from the designated authority. Data collection took place from May to July 2018. </w:t>
      </w:r>
    </w:p>
    <w:p w14:paraId="3C489CC3" w14:textId="65D65547" w:rsidR="006F0D47" w:rsidRPr="006F0D47" w:rsidRDefault="006F0D47" w:rsidP="008F1189">
      <w:pPr>
        <w:spacing w:line="360" w:lineRule="auto"/>
        <w:jc w:val="both"/>
        <w:rPr>
          <w:rFonts w:ascii="Calibri" w:hAnsi="Calibri"/>
          <w:sz w:val="24"/>
          <w:szCs w:val="24"/>
        </w:rPr>
      </w:pPr>
      <w:r w:rsidRPr="006F0D47">
        <w:rPr>
          <w:rFonts w:ascii="Calibri" w:hAnsi="Calibri"/>
          <w:sz w:val="24"/>
          <w:szCs w:val="24"/>
        </w:rPr>
        <w:t xml:space="preserve">The sample hospitals are in 64 cities, affiliated to 20 administrative districts, located in five geographic regions, namely central, west, east, south and north regions. The general hospitals </w:t>
      </w:r>
      <w:r w:rsidR="00FF5306">
        <w:rPr>
          <w:rFonts w:ascii="Calibri" w:hAnsi="Calibri"/>
          <w:sz w:val="24"/>
          <w:szCs w:val="24"/>
        </w:rPr>
        <w:t xml:space="preserve">in the sample </w:t>
      </w:r>
      <w:r w:rsidRPr="006F0D47">
        <w:rPr>
          <w:rFonts w:ascii="Calibri" w:hAnsi="Calibri"/>
          <w:sz w:val="24"/>
          <w:szCs w:val="24"/>
        </w:rPr>
        <w:t>are classified into four groups based on their capacity (number of beds): small (fewer than 200 beds), lower-medium (200 to 299 beds), upper-medium (300 to 499 beds) and large (500 or more beds) hospitals,</w:t>
      </w:r>
      <w:r w:rsidRPr="006F0D47">
        <w:rPr>
          <w:sz w:val="24"/>
          <w:szCs w:val="24"/>
        </w:rPr>
        <w:t xml:space="preserve"> following Gok’s</w:t>
      </w:r>
      <w:r w:rsidRPr="006F0D47">
        <w:rPr>
          <w:rFonts w:ascii="Calibri" w:hAnsi="Calibri"/>
          <w:sz w:val="24"/>
          <w:szCs w:val="24"/>
          <w:vertAlign w:val="superscript"/>
        </w:rPr>
        <w:t>2</w:t>
      </w:r>
      <w:r w:rsidR="007E7EA3">
        <w:rPr>
          <w:rFonts w:ascii="Calibri" w:hAnsi="Calibri"/>
          <w:sz w:val="24"/>
          <w:szCs w:val="24"/>
          <w:vertAlign w:val="superscript"/>
        </w:rPr>
        <w:t>7</w:t>
      </w:r>
      <w:r w:rsidRPr="006F0D47">
        <w:rPr>
          <w:sz w:val="24"/>
          <w:szCs w:val="24"/>
        </w:rPr>
        <w:t xml:space="preserve"> categorization</w:t>
      </w:r>
      <w:r w:rsidRPr="006F0D47">
        <w:rPr>
          <w:rFonts w:ascii="Calibri" w:hAnsi="Calibri"/>
          <w:sz w:val="24"/>
          <w:szCs w:val="24"/>
        </w:rPr>
        <w:t xml:space="preserve">. </w:t>
      </w:r>
      <w:r w:rsidR="00351A9B">
        <w:rPr>
          <w:rFonts w:ascii="Calibri" w:hAnsi="Calibri"/>
          <w:sz w:val="24"/>
          <w:szCs w:val="24"/>
        </w:rPr>
        <w:t xml:space="preserve">However, these hospitals </w:t>
      </w:r>
      <w:r w:rsidR="00D322A4">
        <w:rPr>
          <w:rFonts w:ascii="Calibri" w:hAnsi="Calibri"/>
          <w:sz w:val="24"/>
          <w:szCs w:val="24"/>
        </w:rPr>
        <w:t>are affiliated, organized and funded by the MOH, and have not autonomy in term</w:t>
      </w:r>
      <w:r w:rsidR="007854EC">
        <w:rPr>
          <w:rFonts w:ascii="Calibri" w:hAnsi="Calibri"/>
          <w:sz w:val="24"/>
          <w:szCs w:val="24"/>
        </w:rPr>
        <w:t>s</w:t>
      </w:r>
      <w:r w:rsidR="00D322A4">
        <w:rPr>
          <w:rFonts w:ascii="Calibri" w:hAnsi="Calibri"/>
          <w:sz w:val="24"/>
          <w:szCs w:val="24"/>
        </w:rPr>
        <w:t xml:space="preserve"> of funding or organising structure by the</w:t>
      </w:r>
      <w:r w:rsidR="00DC7272">
        <w:rPr>
          <w:rFonts w:ascii="Calibri" w:hAnsi="Calibri"/>
          <w:sz w:val="24"/>
          <w:szCs w:val="24"/>
        </w:rPr>
        <w:t>mselves</w:t>
      </w:r>
      <w:r w:rsidR="00D322A4">
        <w:rPr>
          <w:rFonts w:ascii="Calibri" w:hAnsi="Calibri"/>
          <w:sz w:val="24"/>
          <w:szCs w:val="24"/>
        </w:rPr>
        <w:t xml:space="preserve"> or other agents. Thus, we applied the DEA model for all 91 hospitals</w:t>
      </w:r>
      <w:r w:rsidR="00D322A4">
        <w:t>. Then, w</w:t>
      </w:r>
      <w:r w:rsidR="00D322A4" w:rsidRPr="00D322A4">
        <w:rPr>
          <w:rFonts w:ascii="Calibri" w:hAnsi="Calibri"/>
          <w:sz w:val="24"/>
          <w:szCs w:val="24"/>
        </w:rPr>
        <w:t xml:space="preserve">e </w:t>
      </w:r>
      <w:r w:rsidR="00D84803">
        <w:rPr>
          <w:rFonts w:ascii="Calibri" w:hAnsi="Calibri"/>
          <w:sz w:val="24"/>
          <w:szCs w:val="24"/>
        </w:rPr>
        <w:t>presented</w:t>
      </w:r>
      <w:r w:rsidR="00D322A4" w:rsidRPr="00D322A4">
        <w:rPr>
          <w:rFonts w:ascii="Calibri" w:hAnsi="Calibri"/>
          <w:sz w:val="24"/>
          <w:szCs w:val="24"/>
        </w:rPr>
        <w:t xml:space="preserve"> the efficiency scores </w:t>
      </w:r>
      <w:r w:rsidR="00D84803">
        <w:rPr>
          <w:rFonts w:ascii="Calibri" w:hAnsi="Calibri"/>
          <w:sz w:val="24"/>
          <w:szCs w:val="24"/>
        </w:rPr>
        <w:t xml:space="preserve">in </w:t>
      </w:r>
      <w:r w:rsidR="00D322A4" w:rsidRPr="00D322A4">
        <w:rPr>
          <w:rFonts w:ascii="Calibri" w:hAnsi="Calibri"/>
          <w:sz w:val="24"/>
          <w:szCs w:val="24"/>
        </w:rPr>
        <w:t xml:space="preserve">each capacity </w:t>
      </w:r>
      <w:r w:rsidR="00D322A4">
        <w:rPr>
          <w:rFonts w:ascii="Calibri" w:hAnsi="Calibri"/>
          <w:sz w:val="24"/>
          <w:szCs w:val="24"/>
        </w:rPr>
        <w:t xml:space="preserve">and </w:t>
      </w:r>
      <w:r w:rsidR="00D84803">
        <w:rPr>
          <w:rFonts w:ascii="Calibri" w:hAnsi="Calibri"/>
          <w:sz w:val="24"/>
          <w:szCs w:val="24"/>
        </w:rPr>
        <w:t xml:space="preserve">each </w:t>
      </w:r>
      <w:r w:rsidR="00D322A4">
        <w:rPr>
          <w:rFonts w:ascii="Calibri" w:hAnsi="Calibri"/>
          <w:sz w:val="24"/>
          <w:szCs w:val="24"/>
        </w:rPr>
        <w:t>geographic location</w:t>
      </w:r>
      <w:r w:rsidR="00D322A4" w:rsidRPr="00D322A4">
        <w:rPr>
          <w:rFonts w:ascii="Calibri" w:hAnsi="Calibri"/>
          <w:sz w:val="24"/>
          <w:szCs w:val="24"/>
        </w:rPr>
        <w:t>.</w:t>
      </w:r>
      <w:r w:rsidR="00D322A4">
        <w:rPr>
          <w:rFonts w:ascii="Calibri" w:hAnsi="Calibri"/>
          <w:sz w:val="24"/>
          <w:szCs w:val="24"/>
        </w:rPr>
        <w:t xml:space="preserve"> </w:t>
      </w:r>
      <w:r w:rsidRPr="006F0D47">
        <w:rPr>
          <w:rFonts w:ascii="Calibri" w:hAnsi="Calibri"/>
          <w:sz w:val="24"/>
          <w:szCs w:val="24"/>
        </w:rPr>
        <w:t xml:space="preserve">Figure 1 illustrates </w:t>
      </w:r>
      <w:r w:rsidR="0033741A">
        <w:rPr>
          <w:rFonts w:ascii="Calibri" w:hAnsi="Calibri"/>
          <w:sz w:val="24"/>
          <w:szCs w:val="24"/>
        </w:rPr>
        <w:t xml:space="preserve">the </w:t>
      </w:r>
      <w:r w:rsidRPr="006F0D47">
        <w:rPr>
          <w:rFonts w:ascii="Calibri" w:hAnsi="Calibri"/>
          <w:sz w:val="24"/>
          <w:szCs w:val="24"/>
        </w:rPr>
        <w:t>number of hospitals and hospital</w:t>
      </w:r>
      <w:r w:rsidR="0033741A">
        <w:rPr>
          <w:rFonts w:ascii="Calibri" w:hAnsi="Calibri"/>
          <w:sz w:val="24"/>
          <w:szCs w:val="24"/>
        </w:rPr>
        <w:t xml:space="preserve"> </w:t>
      </w:r>
      <w:r w:rsidRPr="006F0D47">
        <w:rPr>
          <w:rFonts w:ascii="Calibri" w:hAnsi="Calibri"/>
          <w:sz w:val="24"/>
          <w:szCs w:val="24"/>
        </w:rPr>
        <w:t xml:space="preserve">beds in each category of capacity and location. </w:t>
      </w:r>
    </w:p>
    <w:p w14:paraId="48B2AD72" w14:textId="77777777" w:rsidR="006F0D47" w:rsidRPr="006F0D47" w:rsidRDefault="006F0D47" w:rsidP="008F1189">
      <w:pPr>
        <w:spacing w:line="360" w:lineRule="auto"/>
        <w:jc w:val="both"/>
        <w:rPr>
          <w:rFonts w:ascii="Calibri" w:hAnsi="Calibri"/>
          <w:sz w:val="24"/>
          <w:szCs w:val="24"/>
        </w:rPr>
      </w:pPr>
    </w:p>
    <w:p w14:paraId="09B4C8A2" w14:textId="77777777" w:rsidR="006F0D47" w:rsidRPr="006F0D47" w:rsidRDefault="006F0D47" w:rsidP="008F1189">
      <w:pPr>
        <w:spacing w:line="360" w:lineRule="auto"/>
        <w:jc w:val="both"/>
        <w:rPr>
          <w:rFonts w:ascii="Calibri" w:hAnsi="Calibri"/>
          <w:sz w:val="24"/>
          <w:szCs w:val="24"/>
        </w:rPr>
      </w:pPr>
      <w:r w:rsidRPr="006F0D47">
        <w:rPr>
          <w:rFonts w:ascii="Calibri" w:hAnsi="Calibri"/>
          <w:sz w:val="24"/>
          <w:szCs w:val="24"/>
        </w:rPr>
        <w:t>Figure 1 to be inserted here</w:t>
      </w:r>
    </w:p>
    <w:p w14:paraId="778196A3" w14:textId="77777777" w:rsidR="006F0D47" w:rsidRPr="006F0D47" w:rsidRDefault="006F0D47" w:rsidP="008F1189">
      <w:pPr>
        <w:spacing w:line="360" w:lineRule="auto"/>
        <w:jc w:val="both"/>
        <w:rPr>
          <w:rFonts w:ascii="Calibri" w:hAnsi="Calibri"/>
          <w:b/>
          <w:sz w:val="24"/>
          <w:szCs w:val="24"/>
        </w:rPr>
      </w:pPr>
    </w:p>
    <w:p w14:paraId="417CD65D" w14:textId="77777777" w:rsidR="006F0D47" w:rsidRPr="006F0D47" w:rsidRDefault="006F0D47" w:rsidP="008F1189">
      <w:pPr>
        <w:pStyle w:val="Heading2"/>
        <w:jc w:val="both"/>
      </w:pPr>
      <w:r w:rsidRPr="006F0D47">
        <w:t>Inputs and outputs</w:t>
      </w:r>
    </w:p>
    <w:p w14:paraId="6D387E08" w14:textId="6A92684C" w:rsidR="006F0D47" w:rsidRPr="006F0D47" w:rsidRDefault="00F444B8" w:rsidP="008F1189">
      <w:pPr>
        <w:spacing w:line="360" w:lineRule="auto"/>
        <w:jc w:val="both"/>
        <w:rPr>
          <w:rFonts w:ascii="Calibri" w:hAnsi="Calibri"/>
          <w:sz w:val="24"/>
          <w:szCs w:val="24"/>
        </w:rPr>
      </w:pPr>
      <w:r>
        <w:rPr>
          <w:rFonts w:ascii="Calibri" w:hAnsi="Calibri"/>
          <w:sz w:val="24"/>
          <w:szCs w:val="24"/>
        </w:rPr>
        <w:t>The s</w:t>
      </w:r>
      <w:r w:rsidR="006F0D47" w:rsidRPr="006F0D47">
        <w:rPr>
          <w:rFonts w:ascii="Calibri" w:hAnsi="Calibri"/>
          <w:sz w:val="24"/>
          <w:szCs w:val="24"/>
        </w:rPr>
        <w:t>election of input and output variables is a crucial step in performance measurement because the results of any efficiency assessment depend significantly on the variables used in the estimation models.</w:t>
      </w:r>
      <w:r w:rsidR="007E7EA3">
        <w:rPr>
          <w:rFonts w:ascii="Calibri" w:hAnsi="Calibri"/>
          <w:sz w:val="24"/>
          <w:szCs w:val="24"/>
          <w:vertAlign w:val="superscript"/>
        </w:rPr>
        <w:t>28</w:t>
      </w:r>
      <w:r w:rsidR="006F0D47" w:rsidRPr="006F0D47">
        <w:rPr>
          <w:rFonts w:ascii="Calibri" w:hAnsi="Calibri"/>
          <w:sz w:val="24"/>
          <w:szCs w:val="24"/>
        </w:rPr>
        <w:t xml:space="preserve"> The literature has focused on labour (e.g. health professionals) and capital (e.g. </w:t>
      </w:r>
      <w:r w:rsidR="001E2538">
        <w:rPr>
          <w:rFonts w:ascii="Calibri" w:hAnsi="Calibri"/>
          <w:sz w:val="24"/>
          <w:szCs w:val="24"/>
        </w:rPr>
        <w:t xml:space="preserve">the </w:t>
      </w:r>
      <w:r w:rsidR="006F0D47" w:rsidRPr="006F0D47">
        <w:rPr>
          <w:rFonts w:ascii="Calibri" w:hAnsi="Calibri"/>
          <w:sz w:val="24"/>
          <w:szCs w:val="24"/>
        </w:rPr>
        <w:t>number of beds), as input variables, while some studies included consumable resources.</w:t>
      </w:r>
      <w:r w:rsidR="00DC0B44">
        <w:rPr>
          <w:rFonts w:ascii="Calibri" w:hAnsi="Calibri"/>
          <w:sz w:val="24"/>
          <w:szCs w:val="24"/>
          <w:vertAlign w:val="superscript"/>
        </w:rPr>
        <w:t>9</w:t>
      </w:r>
      <w:r w:rsidR="006F0D47" w:rsidRPr="006F0D47">
        <w:rPr>
          <w:rFonts w:ascii="Calibri" w:hAnsi="Calibri"/>
          <w:sz w:val="24"/>
          <w:szCs w:val="24"/>
          <w:vertAlign w:val="superscript"/>
        </w:rPr>
        <w:t>,</w:t>
      </w:r>
      <w:r w:rsidR="007E7EA3">
        <w:rPr>
          <w:rFonts w:ascii="Calibri" w:hAnsi="Calibri"/>
          <w:sz w:val="24"/>
          <w:szCs w:val="24"/>
          <w:vertAlign w:val="superscript"/>
        </w:rPr>
        <w:t>28</w:t>
      </w:r>
      <w:r w:rsidR="006F0D47" w:rsidRPr="006F0D47">
        <w:rPr>
          <w:rFonts w:ascii="Calibri" w:hAnsi="Calibri"/>
          <w:sz w:val="24"/>
          <w:szCs w:val="24"/>
        </w:rPr>
        <w:t xml:space="preserve"> The main categories of output used in healthcare-related efficiency studies were healthcare activities (e.g. number of outpatient visits, inpatient services, number of surgeries) and health outcomes (e.g. mortality rate).</w:t>
      </w:r>
      <w:r w:rsidR="00DC0B44">
        <w:rPr>
          <w:rFonts w:ascii="Calibri" w:hAnsi="Calibri"/>
          <w:sz w:val="24"/>
          <w:szCs w:val="24"/>
          <w:vertAlign w:val="superscript"/>
        </w:rPr>
        <w:t>9,18,20</w:t>
      </w:r>
    </w:p>
    <w:p w14:paraId="2B47E75A" w14:textId="0DB8194F" w:rsidR="006F0D47" w:rsidRPr="006F0D47" w:rsidRDefault="006F0D47" w:rsidP="008F1189">
      <w:pPr>
        <w:spacing w:line="360" w:lineRule="auto"/>
        <w:jc w:val="both"/>
        <w:rPr>
          <w:rFonts w:ascii="Calibri" w:hAnsi="Calibri"/>
          <w:sz w:val="24"/>
          <w:szCs w:val="24"/>
        </w:rPr>
      </w:pPr>
      <w:r w:rsidRPr="006F0D47">
        <w:rPr>
          <w:rFonts w:ascii="Calibri" w:hAnsi="Calibri"/>
          <w:sz w:val="24"/>
          <w:szCs w:val="24"/>
        </w:rPr>
        <w:t>In our study</w:t>
      </w:r>
      <w:r w:rsidR="00A03DA4">
        <w:rPr>
          <w:rFonts w:ascii="Calibri" w:hAnsi="Calibri"/>
          <w:sz w:val="24"/>
          <w:szCs w:val="24"/>
        </w:rPr>
        <w:t>,</w:t>
      </w:r>
      <w:r w:rsidRPr="006F0D47">
        <w:rPr>
          <w:rFonts w:ascii="Calibri" w:hAnsi="Calibri"/>
          <w:sz w:val="24"/>
          <w:szCs w:val="24"/>
        </w:rPr>
        <w:t xml:space="preserve"> we selected the hospital outputs that depend on the selected inputs, which cover a broad range of health services provided</w:t>
      </w:r>
      <w:r w:rsidR="00621DE6">
        <w:rPr>
          <w:rFonts w:ascii="Calibri" w:hAnsi="Calibri"/>
          <w:sz w:val="24"/>
          <w:szCs w:val="24"/>
        </w:rPr>
        <w:t xml:space="preserve"> and</w:t>
      </w:r>
      <w:r w:rsidRPr="006F0D47">
        <w:rPr>
          <w:rFonts w:ascii="Calibri" w:hAnsi="Calibri"/>
          <w:sz w:val="24"/>
          <w:szCs w:val="24"/>
        </w:rPr>
        <w:t xml:space="preserve"> </w:t>
      </w:r>
      <w:r w:rsidR="00621DE6">
        <w:rPr>
          <w:rFonts w:ascii="Calibri" w:hAnsi="Calibri"/>
          <w:sz w:val="24"/>
          <w:szCs w:val="24"/>
        </w:rPr>
        <w:t xml:space="preserve">health resources used </w:t>
      </w:r>
      <w:r w:rsidRPr="006F0D47">
        <w:rPr>
          <w:rFonts w:ascii="Calibri" w:hAnsi="Calibri"/>
          <w:sz w:val="24"/>
          <w:szCs w:val="24"/>
        </w:rPr>
        <w:t xml:space="preserve">by public hospitals in </w:t>
      </w:r>
      <w:r w:rsidRPr="006F0D47">
        <w:rPr>
          <w:rFonts w:ascii="Calibri" w:hAnsi="Calibri"/>
          <w:sz w:val="24"/>
          <w:szCs w:val="24"/>
        </w:rPr>
        <w:lastRenderedPageBreak/>
        <w:t xml:space="preserve">KSA. </w:t>
      </w:r>
      <w:proofErr w:type="gramStart"/>
      <w:r w:rsidRPr="006F0D47">
        <w:rPr>
          <w:rFonts w:ascii="Calibri" w:hAnsi="Calibri"/>
          <w:sz w:val="24"/>
          <w:szCs w:val="24"/>
        </w:rPr>
        <w:t>In particular, four</w:t>
      </w:r>
      <w:proofErr w:type="gramEnd"/>
      <w:r w:rsidRPr="006F0D47">
        <w:rPr>
          <w:rFonts w:ascii="Calibri" w:hAnsi="Calibri"/>
          <w:sz w:val="24"/>
          <w:szCs w:val="24"/>
        </w:rPr>
        <w:t xml:space="preserve"> inputs and six outputs were chosen based on the availability of the data in </w:t>
      </w:r>
      <w:r w:rsidR="00A03DA4">
        <w:rPr>
          <w:rFonts w:ascii="Calibri" w:hAnsi="Calibri"/>
          <w:sz w:val="24"/>
          <w:szCs w:val="24"/>
        </w:rPr>
        <w:t xml:space="preserve">the </w:t>
      </w:r>
      <w:r w:rsidRPr="006F0D47">
        <w:rPr>
          <w:rFonts w:ascii="Calibri" w:hAnsi="Calibri"/>
          <w:sz w:val="24"/>
          <w:szCs w:val="24"/>
        </w:rPr>
        <w:t>KSA context</w:t>
      </w:r>
      <w:r w:rsidR="00621DE6">
        <w:rPr>
          <w:rFonts w:ascii="Calibri" w:hAnsi="Calibri"/>
          <w:sz w:val="24"/>
          <w:szCs w:val="24"/>
        </w:rPr>
        <w:t>, which were</w:t>
      </w:r>
      <w:r w:rsidRPr="006F0D47">
        <w:rPr>
          <w:rFonts w:ascii="Calibri" w:hAnsi="Calibri"/>
          <w:sz w:val="24"/>
          <w:szCs w:val="24"/>
        </w:rPr>
        <w:t xml:space="preserve"> </w:t>
      </w:r>
      <w:r w:rsidR="00621DE6">
        <w:rPr>
          <w:rFonts w:ascii="Calibri" w:hAnsi="Calibri"/>
          <w:sz w:val="24"/>
          <w:szCs w:val="24"/>
        </w:rPr>
        <w:t xml:space="preserve">rationally </w:t>
      </w:r>
      <w:r w:rsidR="00E66AB7" w:rsidRPr="006F0D47">
        <w:rPr>
          <w:rFonts w:ascii="Calibri" w:hAnsi="Calibri"/>
          <w:sz w:val="24"/>
          <w:szCs w:val="24"/>
        </w:rPr>
        <w:t>approved</w:t>
      </w:r>
      <w:r w:rsidRPr="006F0D47">
        <w:rPr>
          <w:rFonts w:ascii="Calibri" w:hAnsi="Calibri"/>
          <w:sz w:val="24"/>
          <w:szCs w:val="24"/>
        </w:rPr>
        <w:t xml:space="preserve"> in previous theoretical and empirical studies</w:t>
      </w:r>
      <w:r w:rsidR="00DC0B44">
        <w:rPr>
          <w:rFonts w:ascii="Calibri" w:hAnsi="Calibri"/>
          <w:sz w:val="24"/>
          <w:szCs w:val="24"/>
        </w:rPr>
        <w:t xml:space="preserve">. </w:t>
      </w:r>
      <w:r w:rsidR="00DC0B44">
        <w:rPr>
          <w:rFonts w:ascii="Calibri" w:hAnsi="Calibri"/>
          <w:sz w:val="24"/>
          <w:szCs w:val="24"/>
          <w:vertAlign w:val="superscript"/>
        </w:rPr>
        <w:t>9,12,19</w:t>
      </w:r>
      <w:r w:rsidRPr="006F0D47">
        <w:rPr>
          <w:rFonts w:ascii="Calibri" w:hAnsi="Calibri"/>
          <w:sz w:val="24"/>
          <w:szCs w:val="24"/>
        </w:rPr>
        <w:t xml:space="preserve"> </w:t>
      </w:r>
    </w:p>
    <w:p w14:paraId="008337A6" w14:textId="6E075831" w:rsidR="006F0D47" w:rsidRPr="006F0D47" w:rsidRDefault="006F0D47" w:rsidP="008F1189">
      <w:pPr>
        <w:spacing w:line="360" w:lineRule="auto"/>
        <w:jc w:val="both"/>
        <w:rPr>
          <w:rFonts w:ascii="Calibri" w:hAnsi="Calibri"/>
          <w:sz w:val="24"/>
          <w:szCs w:val="24"/>
        </w:rPr>
      </w:pPr>
      <w:r w:rsidRPr="006F0D47">
        <w:rPr>
          <w:rFonts w:ascii="Calibri" w:hAnsi="Calibri"/>
          <w:sz w:val="24"/>
          <w:szCs w:val="24"/>
        </w:rPr>
        <w:t>The input variables chosen are (1) number of hospital beds; (2) number of full-time physicians; (3) number of full-time nurses and (4) number of full-time allied health personnel</w:t>
      </w:r>
      <w:r w:rsidRPr="006F0D47">
        <w:rPr>
          <w:sz w:val="24"/>
          <w:szCs w:val="24"/>
        </w:rPr>
        <w:t xml:space="preserve"> (i.e. </w:t>
      </w:r>
      <w:r w:rsidRPr="006F0D47">
        <w:rPr>
          <w:rFonts w:ascii="Calibri" w:hAnsi="Calibri"/>
          <w:sz w:val="24"/>
          <w:szCs w:val="24"/>
        </w:rPr>
        <w:t>pharmacists, midwives, medical technicians, medical radiologists, physiotherapists) employed in the hospital. The output variables used in this study are: (1) outpatient visits (number of patients receiving outpatient treatment within a year); (2) discharged patients</w:t>
      </w:r>
      <w:r w:rsidRPr="006F0D47">
        <w:rPr>
          <w:sz w:val="24"/>
          <w:szCs w:val="24"/>
        </w:rPr>
        <w:t xml:space="preserve"> </w:t>
      </w:r>
      <w:r w:rsidRPr="006F0D47">
        <w:rPr>
          <w:rFonts w:ascii="Calibri" w:hAnsi="Calibri"/>
          <w:sz w:val="24"/>
          <w:szCs w:val="24"/>
        </w:rPr>
        <w:t>(number of patients receiving inpatient treatment within a year); (3) total number of surgical operations during the year; (4) number of radiological investigations conducted in hospital during the year; (5) number of laboratory tests</w:t>
      </w:r>
      <w:r w:rsidRPr="006F0D47">
        <w:rPr>
          <w:sz w:val="24"/>
          <w:szCs w:val="24"/>
        </w:rPr>
        <w:t xml:space="preserve"> </w:t>
      </w:r>
      <w:r w:rsidRPr="006F0D47">
        <w:rPr>
          <w:rFonts w:ascii="Calibri" w:hAnsi="Calibri"/>
          <w:sz w:val="24"/>
          <w:szCs w:val="24"/>
        </w:rPr>
        <w:t>during the year; (6) hospital mortality rate</w:t>
      </w:r>
      <w:r w:rsidRPr="006F0D47">
        <w:rPr>
          <w:sz w:val="24"/>
          <w:szCs w:val="24"/>
        </w:rPr>
        <w:t xml:space="preserve"> </w:t>
      </w:r>
      <w:r w:rsidRPr="006F0D47">
        <w:rPr>
          <w:rFonts w:ascii="Calibri" w:hAnsi="Calibri"/>
          <w:sz w:val="24"/>
          <w:szCs w:val="24"/>
        </w:rPr>
        <w:t>(ratio of inpatient deaths during hospitalization to the total number of inpatients that year). The last output variable is an indicator of health service quality and health outcomes in hospital</w:t>
      </w:r>
      <w:r w:rsidR="001E2538">
        <w:rPr>
          <w:rFonts w:ascii="Calibri" w:hAnsi="Calibri"/>
          <w:sz w:val="24"/>
          <w:szCs w:val="24"/>
        </w:rPr>
        <w:t>s</w:t>
      </w:r>
      <w:r w:rsidRPr="006F0D47">
        <w:rPr>
          <w:rFonts w:ascii="Calibri" w:hAnsi="Calibri"/>
          <w:sz w:val="24"/>
          <w:szCs w:val="24"/>
        </w:rPr>
        <w:t xml:space="preserve">, as argued by </w:t>
      </w:r>
      <w:proofErr w:type="spellStart"/>
      <w:r w:rsidRPr="006F0D47">
        <w:rPr>
          <w:rFonts w:ascii="Calibri" w:hAnsi="Calibri"/>
          <w:sz w:val="24"/>
          <w:szCs w:val="24"/>
        </w:rPr>
        <w:t>Sahin</w:t>
      </w:r>
      <w:proofErr w:type="spellEnd"/>
      <w:r w:rsidRPr="006F0D47">
        <w:rPr>
          <w:rFonts w:ascii="Calibri" w:hAnsi="Calibri"/>
          <w:sz w:val="24"/>
          <w:szCs w:val="24"/>
        </w:rPr>
        <w:t xml:space="preserve"> and Ozcan</w:t>
      </w:r>
      <w:r w:rsidR="00175E2B">
        <w:rPr>
          <w:rFonts w:ascii="Calibri" w:hAnsi="Calibri"/>
          <w:sz w:val="24"/>
          <w:szCs w:val="24"/>
        </w:rPr>
        <w:t>.</w:t>
      </w:r>
      <w:r w:rsidR="007E7EA3">
        <w:rPr>
          <w:rFonts w:ascii="Calibri" w:hAnsi="Calibri"/>
          <w:sz w:val="24"/>
          <w:szCs w:val="24"/>
          <w:vertAlign w:val="superscript"/>
        </w:rPr>
        <w:t>29</w:t>
      </w:r>
      <w:r w:rsidRPr="006F0D47">
        <w:rPr>
          <w:rFonts w:ascii="Calibri" w:hAnsi="Calibri"/>
          <w:sz w:val="24"/>
          <w:szCs w:val="24"/>
        </w:rPr>
        <w:t xml:space="preserve"> Reduction in the mortality rate and increase quantity of life signify an improvement in the health outcomes of the public hospital of investigation. Therefore, </w:t>
      </w:r>
      <w:r w:rsidR="00A03DA4">
        <w:rPr>
          <w:rFonts w:ascii="Calibri" w:hAnsi="Calibri"/>
          <w:sz w:val="24"/>
          <w:szCs w:val="24"/>
        </w:rPr>
        <w:t xml:space="preserve">the </w:t>
      </w:r>
      <w:r w:rsidRPr="006F0D47">
        <w:rPr>
          <w:rFonts w:ascii="Calibri" w:hAnsi="Calibri"/>
          <w:sz w:val="24"/>
          <w:szCs w:val="24"/>
        </w:rPr>
        <w:t xml:space="preserve">mortality rate </w:t>
      </w:r>
      <w:r w:rsidR="001F0488">
        <w:rPr>
          <w:rFonts w:ascii="Calibri" w:hAnsi="Calibri"/>
          <w:sz w:val="24"/>
          <w:szCs w:val="24"/>
        </w:rPr>
        <w:t>could be a proxy for</w:t>
      </w:r>
      <w:r w:rsidRPr="006F0D47">
        <w:rPr>
          <w:rFonts w:ascii="Calibri" w:hAnsi="Calibri"/>
          <w:sz w:val="24"/>
          <w:szCs w:val="24"/>
        </w:rPr>
        <w:t xml:space="preserve"> a weighted health quality measure in </w:t>
      </w:r>
      <w:r w:rsidR="00F444B8">
        <w:rPr>
          <w:rFonts w:ascii="Calibri" w:hAnsi="Calibri"/>
          <w:sz w:val="24"/>
          <w:szCs w:val="24"/>
        </w:rPr>
        <w:t>our assessment</w:t>
      </w:r>
      <w:r w:rsidR="00175E2B">
        <w:rPr>
          <w:rFonts w:ascii="Calibri" w:hAnsi="Calibri"/>
          <w:sz w:val="24"/>
          <w:szCs w:val="24"/>
        </w:rPr>
        <w:t>.</w:t>
      </w:r>
      <w:r w:rsidR="007E7EA3">
        <w:rPr>
          <w:rFonts w:ascii="Calibri" w:hAnsi="Calibri"/>
          <w:sz w:val="24"/>
          <w:szCs w:val="24"/>
          <w:vertAlign w:val="superscript"/>
        </w:rPr>
        <w:t>30</w:t>
      </w:r>
      <w:r w:rsidRPr="006F0D47">
        <w:rPr>
          <w:rFonts w:ascii="Calibri" w:hAnsi="Calibri"/>
          <w:sz w:val="24"/>
          <w:szCs w:val="24"/>
        </w:rPr>
        <w:t xml:space="preserve"> The inverse value for the mortality rate (one divided by mortality rate) is included as an output value in the assessment, meaning that hospitals with higher mortality rate would have a smaller ratio as output values.</w:t>
      </w:r>
      <w:r w:rsidR="007E7EA3">
        <w:rPr>
          <w:rFonts w:ascii="Calibri" w:hAnsi="Calibri"/>
          <w:sz w:val="24"/>
          <w:szCs w:val="24"/>
          <w:vertAlign w:val="superscript"/>
        </w:rPr>
        <w:t>29</w:t>
      </w:r>
      <w:r w:rsidRPr="006F0D47">
        <w:rPr>
          <w:rFonts w:ascii="Calibri" w:hAnsi="Calibri"/>
          <w:sz w:val="24"/>
          <w:szCs w:val="24"/>
        </w:rPr>
        <w:t xml:space="preserve"> As the model assumes that output and input variables are isotonic,</w:t>
      </w:r>
      <w:r w:rsidRPr="006F0D47">
        <w:t xml:space="preserve"> </w:t>
      </w:r>
      <w:r w:rsidRPr="006F0D47">
        <w:rPr>
          <w:rFonts w:ascii="Calibri" w:hAnsi="Calibri"/>
          <w:sz w:val="24"/>
          <w:szCs w:val="24"/>
        </w:rPr>
        <w:t>(i.e., increased input reduces efficiency as well as increased output increases efficiency). We had to apply this correction</w:t>
      </w:r>
      <w:r w:rsidR="00A03DA4">
        <w:rPr>
          <w:rFonts w:ascii="Calibri" w:hAnsi="Calibri"/>
          <w:sz w:val="24"/>
          <w:szCs w:val="24"/>
        </w:rPr>
        <w:t>;</w:t>
      </w:r>
      <w:r w:rsidR="00A03DA4" w:rsidRPr="006F0D47">
        <w:rPr>
          <w:rFonts w:ascii="Calibri" w:hAnsi="Calibri"/>
          <w:sz w:val="24"/>
          <w:szCs w:val="24"/>
        </w:rPr>
        <w:t xml:space="preserve"> </w:t>
      </w:r>
      <w:r w:rsidRPr="006F0D47">
        <w:rPr>
          <w:rFonts w:ascii="Calibri" w:hAnsi="Calibri"/>
          <w:sz w:val="24"/>
          <w:szCs w:val="24"/>
        </w:rPr>
        <w:t>otherwise, a higher mortality rate would incorrectly contribute to a better hospital outcome</w:t>
      </w:r>
      <w:r w:rsidR="00175E2B">
        <w:rPr>
          <w:rFonts w:ascii="Calibri" w:hAnsi="Calibri"/>
          <w:sz w:val="24"/>
          <w:szCs w:val="24"/>
        </w:rPr>
        <w:t>.</w:t>
      </w:r>
      <w:r w:rsidR="007E7EA3">
        <w:rPr>
          <w:rFonts w:ascii="Calibri" w:hAnsi="Calibri"/>
          <w:sz w:val="24"/>
          <w:szCs w:val="24"/>
          <w:vertAlign w:val="superscript"/>
        </w:rPr>
        <w:t>30</w:t>
      </w:r>
      <w:r w:rsidRPr="006F0D47">
        <w:rPr>
          <w:rFonts w:ascii="Calibri" w:hAnsi="Calibri"/>
          <w:sz w:val="24"/>
          <w:szCs w:val="24"/>
        </w:rPr>
        <w:t xml:space="preserve"> </w:t>
      </w:r>
    </w:p>
    <w:p w14:paraId="44FA8783" w14:textId="2ACF3495" w:rsidR="006F0D47" w:rsidRPr="006F0D47" w:rsidRDefault="006F0D47" w:rsidP="008F1189">
      <w:pPr>
        <w:spacing w:line="360" w:lineRule="auto"/>
        <w:jc w:val="both"/>
        <w:rPr>
          <w:sz w:val="24"/>
          <w:szCs w:val="24"/>
        </w:rPr>
      </w:pPr>
      <w:r w:rsidRPr="006F0D47">
        <w:rPr>
          <w:sz w:val="24"/>
          <w:szCs w:val="24"/>
        </w:rPr>
        <w:t>The number of hospitals (DMUs in DEA context) should be at least two times larger than the sum of inputs and outputs.</w:t>
      </w:r>
      <w:r w:rsidR="007E7EA3">
        <w:rPr>
          <w:sz w:val="24"/>
          <w:szCs w:val="24"/>
          <w:vertAlign w:val="superscript"/>
        </w:rPr>
        <w:t>31</w:t>
      </w:r>
      <w:r w:rsidRPr="006F0D47">
        <w:rPr>
          <w:sz w:val="24"/>
          <w:szCs w:val="24"/>
        </w:rPr>
        <w:t xml:space="preserve"> However, Hollingsworth (2014)</w:t>
      </w:r>
      <w:r w:rsidR="007E7EA3">
        <w:rPr>
          <w:sz w:val="24"/>
          <w:szCs w:val="24"/>
          <w:vertAlign w:val="superscript"/>
        </w:rPr>
        <w:t>32</w:t>
      </w:r>
      <w:r w:rsidRPr="006F0D47">
        <w:rPr>
          <w:sz w:val="24"/>
          <w:szCs w:val="24"/>
        </w:rPr>
        <w:t xml:space="preserve"> suggested that the number of units used in efficiency assessment should be at least three times the sum of inputs and outputs. </w:t>
      </w:r>
      <w:r w:rsidRPr="006F0D47">
        <w:rPr>
          <w:sz w:val="24"/>
          <w:szCs w:val="24"/>
          <w:lang w:val="en-US"/>
        </w:rPr>
        <w:t xml:space="preserve">In accordance </w:t>
      </w:r>
      <w:r w:rsidR="00A03DA4">
        <w:rPr>
          <w:sz w:val="24"/>
          <w:szCs w:val="24"/>
          <w:lang w:val="en-US"/>
        </w:rPr>
        <w:t>with</w:t>
      </w:r>
      <w:r w:rsidR="00A03DA4" w:rsidRPr="006F0D47">
        <w:rPr>
          <w:sz w:val="24"/>
          <w:szCs w:val="24"/>
          <w:lang w:val="en-US"/>
        </w:rPr>
        <w:t xml:space="preserve"> </w:t>
      </w:r>
      <w:r w:rsidRPr="006F0D47">
        <w:rPr>
          <w:sz w:val="24"/>
          <w:szCs w:val="24"/>
          <w:lang w:val="en-US"/>
        </w:rPr>
        <w:t xml:space="preserve">the above-mentioned rule of thumb, in this study </w:t>
      </w:r>
      <w:r w:rsidRPr="006F0D47">
        <w:rPr>
          <w:sz w:val="24"/>
          <w:szCs w:val="24"/>
        </w:rPr>
        <w:t>we include 91 hospitals, more than three times the combined number of input and output variables.</w:t>
      </w:r>
    </w:p>
    <w:p w14:paraId="20823BFA" w14:textId="77777777" w:rsidR="006F0D47" w:rsidRPr="006F0D47" w:rsidRDefault="006F0D47" w:rsidP="008F1189">
      <w:pPr>
        <w:spacing w:line="360" w:lineRule="auto"/>
        <w:jc w:val="both"/>
        <w:rPr>
          <w:rFonts w:ascii="Calibri" w:hAnsi="Calibri"/>
          <w:b/>
          <w:sz w:val="24"/>
          <w:szCs w:val="24"/>
        </w:rPr>
      </w:pPr>
      <w:r w:rsidRPr="006F0D47">
        <w:rPr>
          <w:rFonts w:ascii="Calibri" w:hAnsi="Calibri"/>
          <w:b/>
          <w:sz w:val="24"/>
          <w:szCs w:val="24"/>
        </w:rPr>
        <w:t>Patient and Public Involvement</w:t>
      </w:r>
    </w:p>
    <w:p w14:paraId="256CF4F8" w14:textId="0DEC4129" w:rsidR="006F0D47" w:rsidRPr="00D84107" w:rsidRDefault="006F0D47" w:rsidP="008F1189">
      <w:pPr>
        <w:spacing w:line="360" w:lineRule="auto"/>
        <w:jc w:val="both"/>
      </w:pPr>
      <w:r w:rsidRPr="006F0D47">
        <w:rPr>
          <w:rFonts w:ascii="Calibri" w:hAnsi="Calibri"/>
          <w:sz w:val="24"/>
          <w:szCs w:val="24"/>
        </w:rPr>
        <w:t>No patients were involved in this study, and we used anonymous data from MOH databases.</w:t>
      </w:r>
    </w:p>
    <w:p w14:paraId="09A29799" w14:textId="77777777" w:rsidR="00801760" w:rsidRPr="004A3474" w:rsidRDefault="005548AD" w:rsidP="008F1189">
      <w:pPr>
        <w:pStyle w:val="Heading2"/>
        <w:jc w:val="both"/>
        <w:rPr>
          <w:sz w:val="24"/>
        </w:rPr>
      </w:pPr>
      <w:r>
        <w:lastRenderedPageBreak/>
        <w:t>Data Envelopment Analysis</w:t>
      </w:r>
    </w:p>
    <w:p w14:paraId="7BA99305" w14:textId="093BA4BF" w:rsidR="0035162E" w:rsidRDefault="00102018" w:rsidP="008F1189">
      <w:pPr>
        <w:spacing w:line="360" w:lineRule="auto"/>
        <w:jc w:val="both"/>
        <w:rPr>
          <w:rFonts w:ascii="Calibri" w:hAnsi="Calibri"/>
          <w:sz w:val="24"/>
          <w:szCs w:val="24"/>
          <w:highlight w:val="yellow"/>
        </w:rPr>
      </w:pPr>
      <w:bookmarkStart w:id="15" w:name="_Hlk1323407"/>
      <w:r w:rsidRPr="00102018">
        <w:rPr>
          <w:rFonts w:ascii="Calibri" w:hAnsi="Calibri"/>
          <w:sz w:val="24"/>
          <w:szCs w:val="24"/>
        </w:rPr>
        <w:t>Data Envelopment Analysis (DEA)</w:t>
      </w:r>
      <w:bookmarkEnd w:id="15"/>
      <w:r w:rsidRPr="00102018">
        <w:rPr>
          <w:rFonts w:ascii="Calibri" w:hAnsi="Calibri"/>
          <w:sz w:val="24"/>
          <w:szCs w:val="24"/>
        </w:rPr>
        <w:t xml:space="preserve"> is </w:t>
      </w:r>
      <w:r w:rsidR="00A5161D">
        <w:rPr>
          <w:rFonts w:ascii="Calibri" w:hAnsi="Calibri"/>
          <w:sz w:val="24"/>
          <w:szCs w:val="24"/>
        </w:rPr>
        <w:t>a powerful technique</w:t>
      </w:r>
      <w:r w:rsidRPr="00102018">
        <w:rPr>
          <w:rFonts w:ascii="Calibri" w:hAnsi="Calibri"/>
          <w:sz w:val="24"/>
          <w:szCs w:val="24"/>
        </w:rPr>
        <w:t xml:space="preserve"> that is based on linear programming. It was developed for measuring the </w:t>
      </w:r>
      <w:r w:rsidR="00A5161D">
        <w:rPr>
          <w:rFonts w:ascii="Calibri" w:hAnsi="Calibri"/>
          <w:sz w:val="24"/>
          <w:szCs w:val="24"/>
        </w:rPr>
        <w:t>performance</w:t>
      </w:r>
      <w:r w:rsidRPr="00102018">
        <w:rPr>
          <w:rFonts w:ascii="Calibri" w:hAnsi="Calibri"/>
          <w:sz w:val="24"/>
          <w:szCs w:val="24"/>
        </w:rPr>
        <w:t xml:space="preserve"> of a set of comparable entities, called Decision Making Units (DMUs), which convert multiple inputs into multiple outputs</w:t>
      </w:r>
      <w:r w:rsidR="00175E2B">
        <w:rPr>
          <w:rFonts w:ascii="Calibri" w:hAnsi="Calibri"/>
          <w:sz w:val="24"/>
          <w:szCs w:val="24"/>
        </w:rPr>
        <w:t>.</w:t>
      </w:r>
      <w:r w:rsidR="007E7EA3">
        <w:rPr>
          <w:rFonts w:ascii="Calibri" w:hAnsi="Calibri"/>
          <w:sz w:val="24"/>
          <w:szCs w:val="24"/>
          <w:vertAlign w:val="superscript"/>
        </w:rPr>
        <w:t>26,32</w:t>
      </w:r>
      <w:r>
        <w:rPr>
          <w:rFonts w:ascii="Calibri" w:hAnsi="Calibri"/>
          <w:sz w:val="24"/>
          <w:szCs w:val="24"/>
        </w:rPr>
        <w:t xml:space="preserve"> </w:t>
      </w:r>
      <w:r w:rsidR="00EF5B77">
        <w:rPr>
          <w:rFonts w:ascii="Calibri" w:hAnsi="Calibri"/>
          <w:sz w:val="24"/>
          <w:szCs w:val="24"/>
        </w:rPr>
        <w:t>In this</w:t>
      </w:r>
      <w:r w:rsidR="00EF5B77" w:rsidRPr="00B44A25">
        <w:rPr>
          <w:rFonts w:ascii="Calibri" w:hAnsi="Calibri"/>
          <w:sz w:val="24"/>
          <w:szCs w:val="24"/>
        </w:rPr>
        <w:t xml:space="preserve"> method</w:t>
      </w:r>
      <w:r w:rsidR="00EF5B77" w:rsidRPr="00D84107">
        <w:rPr>
          <w:rFonts w:ascii="Calibri" w:hAnsi="Calibri"/>
          <w:sz w:val="24"/>
          <w:szCs w:val="24"/>
          <w:lang w:val="en-US"/>
        </w:rPr>
        <w:t xml:space="preserve"> </w:t>
      </w:r>
      <w:r w:rsidR="00EF5B77">
        <w:rPr>
          <w:rFonts w:ascii="Calibri" w:hAnsi="Calibri"/>
          <w:sz w:val="24"/>
          <w:szCs w:val="24"/>
        </w:rPr>
        <w:t>each</w:t>
      </w:r>
      <w:r w:rsidR="00EF5B77" w:rsidRPr="00B44A25">
        <w:rPr>
          <w:rFonts w:ascii="Calibri" w:hAnsi="Calibri"/>
          <w:sz w:val="24"/>
          <w:szCs w:val="24"/>
        </w:rPr>
        <w:t xml:space="preserve"> hospital </w:t>
      </w:r>
      <w:r w:rsidR="00EF5B77">
        <w:rPr>
          <w:rFonts w:ascii="Calibri" w:hAnsi="Calibri"/>
          <w:sz w:val="24"/>
          <w:szCs w:val="24"/>
        </w:rPr>
        <w:t>is compared against</w:t>
      </w:r>
      <w:r w:rsidR="00EF5B77" w:rsidRPr="00B44A25">
        <w:rPr>
          <w:rFonts w:ascii="Calibri" w:hAnsi="Calibri"/>
          <w:sz w:val="24"/>
          <w:szCs w:val="24"/>
        </w:rPr>
        <w:t xml:space="preserve"> </w:t>
      </w:r>
      <w:r w:rsidR="00EF5B77">
        <w:rPr>
          <w:rFonts w:ascii="Calibri" w:hAnsi="Calibri"/>
          <w:sz w:val="24"/>
          <w:szCs w:val="24"/>
        </w:rPr>
        <w:t>the</w:t>
      </w:r>
      <w:r w:rsidR="00EF5B77" w:rsidRPr="00B44A25">
        <w:rPr>
          <w:rFonts w:ascii="Calibri" w:hAnsi="Calibri"/>
          <w:sz w:val="24"/>
          <w:szCs w:val="24"/>
        </w:rPr>
        <w:t xml:space="preserve"> estimated efficient frontier </w:t>
      </w:r>
      <w:r w:rsidR="00EF5B77">
        <w:rPr>
          <w:rFonts w:ascii="Calibri" w:hAnsi="Calibri"/>
          <w:sz w:val="24"/>
          <w:szCs w:val="24"/>
        </w:rPr>
        <w:t xml:space="preserve">comprising </w:t>
      </w:r>
      <w:r w:rsidR="00EF5B77" w:rsidRPr="00B44A25">
        <w:rPr>
          <w:rFonts w:ascii="Calibri" w:hAnsi="Calibri"/>
          <w:sz w:val="24"/>
          <w:szCs w:val="24"/>
        </w:rPr>
        <w:t>the best</w:t>
      </w:r>
      <w:r w:rsidR="00EF5B77">
        <w:rPr>
          <w:rFonts w:ascii="Calibri" w:hAnsi="Calibri"/>
          <w:sz w:val="24"/>
          <w:szCs w:val="24"/>
        </w:rPr>
        <w:t>-</w:t>
      </w:r>
      <w:r w:rsidR="00EF5B77" w:rsidRPr="00B44A25">
        <w:rPr>
          <w:rFonts w:ascii="Calibri" w:hAnsi="Calibri"/>
          <w:sz w:val="24"/>
          <w:szCs w:val="24"/>
        </w:rPr>
        <w:t>performing hospitals</w:t>
      </w:r>
      <w:r w:rsidR="00EF5B77">
        <w:rPr>
          <w:rFonts w:ascii="Calibri" w:hAnsi="Calibri"/>
          <w:sz w:val="24"/>
          <w:szCs w:val="24"/>
        </w:rPr>
        <w:t>.</w:t>
      </w:r>
      <w:bookmarkStart w:id="16" w:name="_Hlk15813814"/>
      <w:r w:rsidR="00DC0B44">
        <w:rPr>
          <w:rFonts w:ascii="Calibri" w:hAnsi="Calibri"/>
          <w:sz w:val="24"/>
          <w:szCs w:val="24"/>
          <w:vertAlign w:val="superscript"/>
        </w:rPr>
        <w:t>17,18</w:t>
      </w:r>
    </w:p>
    <w:p w14:paraId="0F44C18B" w14:textId="6A20F771" w:rsidR="0035162E" w:rsidRPr="0035162E" w:rsidRDefault="00102018" w:rsidP="008F1189">
      <w:pPr>
        <w:spacing w:line="360" w:lineRule="auto"/>
        <w:jc w:val="both"/>
        <w:rPr>
          <w:rFonts w:ascii="Calibri" w:hAnsi="Calibri"/>
          <w:sz w:val="24"/>
          <w:szCs w:val="24"/>
        </w:rPr>
      </w:pPr>
      <w:r w:rsidRPr="0035162E">
        <w:rPr>
          <w:rFonts w:ascii="Calibri" w:hAnsi="Calibri"/>
          <w:sz w:val="24"/>
          <w:szCs w:val="24"/>
        </w:rPr>
        <w:t>DEA</w:t>
      </w:r>
      <w:r w:rsidR="006A2902" w:rsidRPr="0035162E">
        <w:rPr>
          <w:rFonts w:ascii="Calibri" w:hAnsi="Calibri"/>
          <w:sz w:val="24"/>
          <w:szCs w:val="24"/>
        </w:rPr>
        <w:t xml:space="preserve"> </w:t>
      </w:r>
      <w:r w:rsidR="00BF7564" w:rsidRPr="00A424A9">
        <w:rPr>
          <w:rFonts w:ascii="Calibri" w:hAnsi="Calibri"/>
          <w:sz w:val="24"/>
          <w:szCs w:val="24"/>
        </w:rPr>
        <w:t xml:space="preserve">has </w:t>
      </w:r>
      <w:r w:rsidR="00BF7564" w:rsidRPr="00175E2B">
        <w:rPr>
          <w:rFonts w:ascii="Calibri" w:hAnsi="Calibri"/>
          <w:sz w:val="24"/>
          <w:szCs w:val="24"/>
        </w:rPr>
        <w:t xml:space="preserve">been </w:t>
      </w:r>
      <w:r w:rsidRPr="00175E2B">
        <w:rPr>
          <w:rFonts w:ascii="Calibri" w:hAnsi="Calibri"/>
          <w:sz w:val="24"/>
          <w:szCs w:val="24"/>
        </w:rPr>
        <w:t xml:space="preserve">already </w:t>
      </w:r>
      <w:r w:rsidR="00BF7564" w:rsidRPr="00175E2B">
        <w:rPr>
          <w:rFonts w:ascii="Calibri" w:hAnsi="Calibri"/>
          <w:sz w:val="24"/>
          <w:szCs w:val="24"/>
        </w:rPr>
        <w:t xml:space="preserve">the </w:t>
      </w:r>
      <w:r w:rsidR="00EA1D2F" w:rsidRPr="00175E2B">
        <w:rPr>
          <w:rFonts w:ascii="Calibri" w:hAnsi="Calibri"/>
          <w:sz w:val="24"/>
          <w:szCs w:val="24"/>
        </w:rPr>
        <w:t>most commonly</w:t>
      </w:r>
      <w:r w:rsidR="00A03DA4">
        <w:rPr>
          <w:rFonts w:ascii="Calibri" w:hAnsi="Calibri"/>
          <w:sz w:val="24"/>
          <w:szCs w:val="24"/>
        </w:rPr>
        <w:t xml:space="preserve"> </w:t>
      </w:r>
      <w:r w:rsidR="00BF7564" w:rsidRPr="00175E2B">
        <w:rPr>
          <w:rFonts w:ascii="Calibri" w:hAnsi="Calibri"/>
          <w:sz w:val="24"/>
          <w:szCs w:val="24"/>
        </w:rPr>
        <w:t>used technique</w:t>
      </w:r>
      <w:r w:rsidR="00EA1D2F" w:rsidRPr="00175E2B">
        <w:rPr>
          <w:rFonts w:ascii="Calibri" w:hAnsi="Calibri"/>
          <w:sz w:val="24"/>
          <w:szCs w:val="24"/>
        </w:rPr>
        <w:t xml:space="preserve"> </w:t>
      </w:r>
      <w:r w:rsidR="00BF7564" w:rsidRPr="00175E2B">
        <w:rPr>
          <w:rFonts w:ascii="Calibri" w:hAnsi="Calibri"/>
          <w:sz w:val="24"/>
          <w:szCs w:val="24"/>
        </w:rPr>
        <w:t xml:space="preserve">for measuring </w:t>
      </w:r>
      <w:r w:rsidRPr="00175E2B">
        <w:rPr>
          <w:rFonts w:ascii="Calibri" w:hAnsi="Calibri"/>
          <w:sz w:val="24"/>
          <w:szCs w:val="24"/>
        </w:rPr>
        <w:t xml:space="preserve">the </w:t>
      </w:r>
      <w:r w:rsidR="001218D3" w:rsidRPr="00175E2B">
        <w:rPr>
          <w:rFonts w:ascii="Calibri" w:hAnsi="Calibri"/>
          <w:sz w:val="24"/>
          <w:szCs w:val="24"/>
        </w:rPr>
        <w:t xml:space="preserve">relative </w:t>
      </w:r>
      <w:r w:rsidR="00BF7564" w:rsidRPr="00175E2B">
        <w:rPr>
          <w:rFonts w:ascii="Calibri" w:hAnsi="Calibri"/>
          <w:sz w:val="24"/>
          <w:szCs w:val="24"/>
        </w:rPr>
        <w:t xml:space="preserve">efficiency </w:t>
      </w:r>
      <w:r w:rsidR="006A2902" w:rsidRPr="00175E2B">
        <w:rPr>
          <w:rFonts w:ascii="Calibri" w:hAnsi="Calibri"/>
          <w:sz w:val="24"/>
          <w:szCs w:val="24"/>
        </w:rPr>
        <w:t>in healthcare</w:t>
      </w:r>
      <w:r w:rsidR="00A45A72" w:rsidRPr="00175E2B">
        <w:rPr>
          <w:rFonts w:ascii="Calibri" w:hAnsi="Calibri"/>
          <w:sz w:val="24"/>
          <w:szCs w:val="24"/>
        </w:rPr>
        <w:t>.</w:t>
      </w:r>
      <w:r w:rsidR="00DC0B44" w:rsidRPr="00175E2B">
        <w:rPr>
          <w:rFonts w:ascii="Calibri" w:hAnsi="Calibri"/>
          <w:sz w:val="24"/>
          <w:szCs w:val="24"/>
          <w:vertAlign w:val="superscript"/>
        </w:rPr>
        <w:t>12,19</w:t>
      </w:r>
      <w:r w:rsidR="00A45A72" w:rsidRPr="00175E2B">
        <w:rPr>
          <w:rFonts w:ascii="Calibri" w:hAnsi="Calibri"/>
          <w:sz w:val="24"/>
          <w:szCs w:val="24"/>
        </w:rPr>
        <w:t xml:space="preserve"> </w:t>
      </w:r>
      <w:r w:rsidR="00EF5B77" w:rsidRPr="00175E2B">
        <w:rPr>
          <w:rFonts w:ascii="Calibri" w:hAnsi="Calibri"/>
          <w:sz w:val="24"/>
          <w:szCs w:val="24"/>
        </w:rPr>
        <w:t>In s</w:t>
      </w:r>
      <w:r w:rsidR="00B36D64" w:rsidRPr="00175E2B">
        <w:rPr>
          <w:rFonts w:ascii="Calibri" w:hAnsi="Calibri"/>
          <w:sz w:val="24"/>
          <w:szCs w:val="24"/>
        </w:rPr>
        <w:t>ystematic review</w:t>
      </w:r>
      <w:r w:rsidR="00AC468D" w:rsidRPr="00175E2B">
        <w:rPr>
          <w:rFonts w:ascii="Calibri" w:hAnsi="Calibri"/>
          <w:sz w:val="24"/>
          <w:szCs w:val="24"/>
        </w:rPr>
        <w:t>s</w:t>
      </w:r>
      <w:r w:rsidR="00A03DA4">
        <w:rPr>
          <w:rFonts w:ascii="Calibri" w:hAnsi="Calibri"/>
          <w:sz w:val="24"/>
          <w:szCs w:val="24"/>
        </w:rPr>
        <w:t>,</w:t>
      </w:r>
      <w:r w:rsidR="00B36D64" w:rsidRPr="00175E2B">
        <w:rPr>
          <w:rFonts w:ascii="Calibri" w:hAnsi="Calibri"/>
          <w:sz w:val="24"/>
          <w:szCs w:val="24"/>
        </w:rPr>
        <w:t xml:space="preserve"> </w:t>
      </w:r>
      <w:r w:rsidR="00EF5B77" w:rsidRPr="00175E2B">
        <w:rPr>
          <w:rFonts w:ascii="Calibri" w:hAnsi="Calibri"/>
          <w:sz w:val="24"/>
          <w:szCs w:val="24"/>
        </w:rPr>
        <w:t>we can observe</w:t>
      </w:r>
      <w:r w:rsidR="00A424A9" w:rsidRPr="00175E2B">
        <w:rPr>
          <w:rFonts w:ascii="Calibri" w:hAnsi="Calibri"/>
          <w:sz w:val="24"/>
          <w:szCs w:val="24"/>
        </w:rPr>
        <w:t xml:space="preserve"> </w:t>
      </w:r>
      <w:r w:rsidR="00EF5B77" w:rsidRPr="00175E2B">
        <w:rPr>
          <w:rFonts w:ascii="Calibri" w:hAnsi="Calibri"/>
          <w:sz w:val="24"/>
          <w:szCs w:val="24"/>
        </w:rPr>
        <w:t>that</w:t>
      </w:r>
      <w:r w:rsidR="002C36D4" w:rsidRPr="00175E2B">
        <w:rPr>
          <w:rFonts w:ascii="Calibri" w:hAnsi="Calibri"/>
          <w:sz w:val="24"/>
          <w:szCs w:val="24"/>
        </w:rPr>
        <w:t xml:space="preserve"> DEA </w:t>
      </w:r>
      <w:r w:rsidR="00EF5B77" w:rsidRPr="00175E2B">
        <w:rPr>
          <w:rFonts w:ascii="Calibri" w:hAnsi="Calibri"/>
          <w:sz w:val="24"/>
          <w:szCs w:val="24"/>
        </w:rPr>
        <w:t>is</w:t>
      </w:r>
      <w:r w:rsidR="002C36D4" w:rsidRPr="00175E2B">
        <w:rPr>
          <w:rFonts w:ascii="Calibri" w:hAnsi="Calibri"/>
          <w:sz w:val="24"/>
          <w:szCs w:val="24"/>
        </w:rPr>
        <w:t xml:space="preserve"> the</w:t>
      </w:r>
      <w:r w:rsidR="0057332B" w:rsidRPr="00175E2B">
        <w:rPr>
          <w:rFonts w:ascii="Calibri" w:hAnsi="Calibri"/>
          <w:sz w:val="24"/>
          <w:szCs w:val="24"/>
        </w:rPr>
        <w:t xml:space="preserve"> </w:t>
      </w:r>
      <w:r w:rsidR="00AC468D" w:rsidRPr="00175E2B">
        <w:rPr>
          <w:rFonts w:ascii="Calibri" w:hAnsi="Calibri"/>
          <w:sz w:val="24"/>
          <w:szCs w:val="24"/>
        </w:rPr>
        <w:t>pre</w:t>
      </w:r>
      <w:r w:rsidR="0057332B" w:rsidRPr="00175E2B">
        <w:rPr>
          <w:rFonts w:ascii="Calibri" w:hAnsi="Calibri"/>
          <w:sz w:val="24"/>
          <w:szCs w:val="24"/>
        </w:rPr>
        <w:t>dominant</w:t>
      </w:r>
      <w:r w:rsidR="002C36D4" w:rsidRPr="00175E2B">
        <w:rPr>
          <w:rFonts w:ascii="Calibri" w:hAnsi="Calibri"/>
          <w:sz w:val="24"/>
          <w:szCs w:val="24"/>
        </w:rPr>
        <w:t xml:space="preserve"> method of public hospital efficiency assessment</w:t>
      </w:r>
      <w:r w:rsidR="0066295A" w:rsidRPr="00175E2B">
        <w:rPr>
          <w:rFonts w:ascii="Calibri" w:hAnsi="Calibri"/>
          <w:sz w:val="24"/>
          <w:szCs w:val="24"/>
        </w:rPr>
        <w:t>.</w:t>
      </w:r>
      <w:r w:rsidR="00DC0B44" w:rsidRPr="00175E2B">
        <w:rPr>
          <w:rFonts w:ascii="Calibri" w:hAnsi="Calibri"/>
          <w:sz w:val="24"/>
          <w:szCs w:val="24"/>
          <w:vertAlign w:val="superscript"/>
        </w:rPr>
        <w:t>12,14,19</w:t>
      </w:r>
      <w:r w:rsidR="00AC468D" w:rsidRPr="00175E2B">
        <w:rPr>
          <w:rFonts w:ascii="Calibri" w:hAnsi="Calibri"/>
          <w:sz w:val="24"/>
          <w:szCs w:val="24"/>
        </w:rPr>
        <w:t xml:space="preserve"> </w:t>
      </w:r>
      <w:r w:rsidRPr="00175E2B">
        <w:rPr>
          <w:rFonts w:ascii="Calibri" w:hAnsi="Calibri"/>
          <w:sz w:val="24"/>
          <w:szCs w:val="24"/>
        </w:rPr>
        <w:t xml:space="preserve">DEA </w:t>
      </w:r>
      <w:r w:rsidR="005E14DA" w:rsidRPr="00175E2B">
        <w:rPr>
          <w:rFonts w:ascii="Calibri" w:hAnsi="Calibri"/>
          <w:sz w:val="24"/>
          <w:szCs w:val="24"/>
        </w:rPr>
        <w:t xml:space="preserve">is widely applicable since </w:t>
      </w:r>
      <w:r w:rsidR="00A5161D" w:rsidRPr="00175E2B">
        <w:rPr>
          <w:rFonts w:ascii="Calibri" w:hAnsi="Calibri"/>
          <w:sz w:val="24"/>
          <w:szCs w:val="24"/>
        </w:rPr>
        <w:t>d</w:t>
      </w:r>
      <w:r w:rsidR="00A5161D" w:rsidRPr="00991627">
        <w:rPr>
          <w:sz w:val="24"/>
          <w:szCs w:val="24"/>
        </w:rPr>
        <w:t>oes not require any a priori specification of the underlying functional form that relates the inputs with the outputs</w:t>
      </w:r>
      <w:bookmarkEnd w:id="16"/>
      <w:r w:rsidR="00A5161D" w:rsidRPr="00991627">
        <w:rPr>
          <w:sz w:val="24"/>
          <w:szCs w:val="24"/>
        </w:rPr>
        <w:t>.</w:t>
      </w:r>
      <w:r w:rsidR="00DC0B44" w:rsidRPr="00991627">
        <w:rPr>
          <w:sz w:val="24"/>
          <w:szCs w:val="24"/>
          <w:vertAlign w:val="superscript"/>
        </w:rPr>
        <w:t>9</w:t>
      </w:r>
      <w:r w:rsidR="00FF5306" w:rsidRPr="00991627">
        <w:rPr>
          <w:sz w:val="24"/>
          <w:szCs w:val="24"/>
          <w:vertAlign w:val="superscript"/>
        </w:rPr>
        <w:t xml:space="preserve"> </w:t>
      </w:r>
      <w:r w:rsidR="00A424A9" w:rsidRPr="00175E2B">
        <w:rPr>
          <w:rFonts w:ascii="Calibri" w:hAnsi="Calibri"/>
          <w:sz w:val="24"/>
          <w:szCs w:val="24"/>
        </w:rPr>
        <w:t xml:space="preserve">In addition, </w:t>
      </w:r>
      <w:r w:rsidR="00A03DA4">
        <w:rPr>
          <w:rFonts w:ascii="Calibri" w:hAnsi="Calibri"/>
          <w:sz w:val="24"/>
          <w:szCs w:val="24"/>
        </w:rPr>
        <w:t xml:space="preserve">the </w:t>
      </w:r>
      <w:r w:rsidR="00A424A9" w:rsidRPr="00175E2B">
        <w:rPr>
          <w:rFonts w:ascii="Calibri" w:hAnsi="Calibri"/>
          <w:sz w:val="24"/>
          <w:szCs w:val="24"/>
        </w:rPr>
        <w:t>u</w:t>
      </w:r>
      <w:r w:rsidR="0035162E" w:rsidRPr="00175E2B">
        <w:rPr>
          <w:rFonts w:ascii="Calibri" w:hAnsi="Calibri"/>
          <w:sz w:val="24"/>
          <w:szCs w:val="24"/>
        </w:rPr>
        <w:t xml:space="preserve">se of DEA is justified by its ability to </w:t>
      </w:r>
      <w:r w:rsidR="00A424A9" w:rsidRPr="00175E2B">
        <w:rPr>
          <w:rFonts w:ascii="Calibri" w:hAnsi="Calibri"/>
          <w:sz w:val="24"/>
          <w:szCs w:val="24"/>
        </w:rPr>
        <w:t>incorporate</w:t>
      </w:r>
      <w:r w:rsidR="0035162E" w:rsidRPr="00175E2B">
        <w:rPr>
          <w:rFonts w:ascii="Calibri" w:hAnsi="Calibri"/>
          <w:sz w:val="24"/>
          <w:szCs w:val="24"/>
        </w:rPr>
        <w:t xml:space="preserve"> multiple inputs and outputs in different units of assessment</w:t>
      </w:r>
      <w:r w:rsidR="0035162E" w:rsidRPr="0035162E">
        <w:rPr>
          <w:rFonts w:ascii="Calibri" w:hAnsi="Calibri"/>
          <w:sz w:val="24"/>
          <w:szCs w:val="24"/>
        </w:rPr>
        <w:t>.</w:t>
      </w:r>
      <w:r w:rsidR="00DC0B44">
        <w:rPr>
          <w:rFonts w:ascii="Calibri" w:hAnsi="Calibri"/>
          <w:sz w:val="24"/>
          <w:szCs w:val="24"/>
          <w:vertAlign w:val="superscript"/>
        </w:rPr>
        <w:t>9</w:t>
      </w:r>
      <w:r w:rsidR="0035162E" w:rsidRPr="00D84107">
        <w:rPr>
          <w:rFonts w:ascii="Calibri" w:hAnsi="Calibri"/>
          <w:sz w:val="24"/>
          <w:szCs w:val="24"/>
          <w:vertAlign w:val="superscript"/>
        </w:rPr>
        <w:t>,</w:t>
      </w:r>
      <w:r w:rsidR="007E7EA3">
        <w:rPr>
          <w:rFonts w:ascii="Calibri" w:hAnsi="Calibri"/>
          <w:sz w:val="24"/>
          <w:szCs w:val="24"/>
          <w:vertAlign w:val="superscript"/>
        </w:rPr>
        <w:t>3</w:t>
      </w:r>
      <w:r w:rsidR="0035162E" w:rsidRPr="00D84107">
        <w:rPr>
          <w:rFonts w:ascii="Calibri" w:hAnsi="Calibri"/>
          <w:sz w:val="24"/>
          <w:szCs w:val="24"/>
          <w:vertAlign w:val="superscript"/>
        </w:rPr>
        <w:t>2</w:t>
      </w:r>
    </w:p>
    <w:p w14:paraId="0412BCBD" w14:textId="7BA95EA6" w:rsidR="00A917B1" w:rsidRDefault="00324F4C" w:rsidP="008F1189">
      <w:pPr>
        <w:spacing w:line="360" w:lineRule="auto"/>
        <w:jc w:val="both"/>
        <w:rPr>
          <w:rFonts w:ascii="Calibri" w:hAnsi="Calibri"/>
          <w:noProof/>
          <w:sz w:val="24"/>
          <w:szCs w:val="24"/>
        </w:rPr>
      </w:pPr>
      <w:r>
        <w:rPr>
          <w:rFonts w:ascii="Calibri" w:hAnsi="Calibri"/>
          <w:noProof/>
          <w:sz w:val="24"/>
          <w:szCs w:val="24"/>
        </w:rPr>
        <w:t>S</w:t>
      </w:r>
      <w:r w:rsidR="002D045C" w:rsidRPr="00126477">
        <w:rPr>
          <w:rFonts w:ascii="Calibri" w:hAnsi="Calibri"/>
          <w:noProof/>
          <w:sz w:val="24"/>
          <w:szCs w:val="24"/>
        </w:rPr>
        <w:t>everal</w:t>
      </w:r>
      <w:r w:rsidR="00C3111F" w:rsidRPr="00126477">
        <w:rPr>
          <w:rFonts w:ascii="Calibri" w:hAnsi="Calibri"/>
          <w:noProof/>
          <w:sz w:val="24"/>
          <w:szCs w:val="24"/>
        </w:rPr>
        <w:t xml:space="preserve"> DEA models have been developed</w:t>
      </w:r>
      <w:r w:rsidR="00EA1D2F" w:rsidRPr="00126477">
        <w:rPr>
          <w:rFonts w:ascii="Calibri" w:hAnsi="Calibri"/>
          <w:noProof/>
          <w:sz w:val="24"/>
          <w:szCs w:val="24"/>
        </w:rPr>
        <w:t xml:space="preserve"> </w:t>
      </w:r>
      <w:r w:rsidR="00C3111F" w:rsidRPr="00126477">
        <w:rPr>
          <w:rFonts w:ascii="Calibri" w:hAnsi="Calibri"/>
          <w:noProof/>
          <w:sz w:val="24"/>
          <w:szCs w:val="24"/>
        </w:rPr>
        <w:t>to analyze the efficiency</w:t>
      </w:r>
      <w:r w:rsidR="00AA7DE9">
        <w:rPr>
          <w:rFonts w:ascii="Calibri" w:hAnsi="Calibri"/>
          <w:noProof/>
          <w:sz w:val="24"/>
          <w:szCs w:val="24"/>
        </w:rPr>
        <w:t xml:space="preserve"> based on Farrell</w:t>
      </w:r>
      <w:r w:rsidR="00AD64BB">
        <w:rPr>
          <w:rFonts w:ascii="Calibri" w:hAnsi="Calibri"/>
          <w:noProof/>
          <w:sz w:val="24"/>
          <w:szCs w:val="24"/>
        </w:rPr>
        <w:t>’s</w:t>
      </w:r>
      <w:r w:rsidR="00AA7DE9">
        <w:rPr>
          <w:rFonts w:ascii="Calibri" w:hAnsi="Calibri"/>
          <w:noProof/>
          <w:sz w:val="24"/>
          <w:szCs w:val="24"/>
        </w:rPr>
        <w:t xml:space="preserve"> concept</w:t>
      </w:r>
      <w:r w:rsidR="00DC0B44">
        <w:rPr>
          <w:rFonts w:ascii="Calibri" w:hAnsi="Calibri"/>
          <w:noProof/>
          <w:sz w:val="24"/>
          <w:szCs w:val="24"/>
        </w:rPr>
        <w:t>.</w:t>
      </w:r>
      <w:r w:rsidR="00DC0B44">
        <w:rPr>
          <w:rFonts w:ascii="Calibri" w:hAnsi="Calibri"/>
          <w:noProof/>
          <w:sz w:val="24"/>
          <w:szCs w:val="24"/>
          <w:vertAlign w:val="superscript"/>
        </w:rPr>
        <w:t>10</w:t>
      </w:r>
      <w:r w:rsidR="00AD64BB">
        <w:rPr>
          <w:rFonts w:ascii="Calibri" w:hAnsi="Calibri"/>
          <w:noProof/>
          <w:sz w:val="24"/>
          <w:szCs w:val="24"/>
        </w:rPr>
        <w:t xml:space="preserve"> The</w:t>
      </w:r>
      <w:r w:rsidR="00FA6CA2">
        <w:rPr>
          <w:rFonts w:ascii="Calibri" w:hAnsi="Calibri"/>
          <w:noProof/>
          <w:sz w:val="24"/>
          <w:szCs w:val="24"/>
        </w:rPr>
        <w:t xml:space="preserve"> most well known and basis for the rest DEA models is </w:t>
      </w:r>
      <w:r w:rsidR="00AD64BB">
        <w:rPr>
          <w:rFonts w:ascii="Calibri" w:hAnsi="Calibri"/>
          <w:noProof/>
          <w:sz w:val="24"/>
          <w:szCs w:val="24"/>
        </w:rPr>
        <w:t>the</w:t>
      </w:r>
      <w:r w:rsidR="00C3111F" w:rsidRPr="00126477">
        <w:rPr>
          <w:rFonts w:ascii="Calibri" w:hAnsi="Calibri"/>
          <w:noProof/>
          <w:sz w:val="24"/>
          <w:szCs w:val="24"/>
        </w:rPr>
        <w:t xml:space="preserve"> </w:t>
      </w:r>
      <w:r w:rsidR="00AA7DE9">
        <w:rPr>
          <w:rFonts w:ascii="Calibri" w:hAnsi="Calibri"/>
          <w:noProof/>
          <w:sz w:val="24"/>
          <w:szCs w:val="24"/>
        </w:rPr>
        <w:t xml:space="preserve">CCR model </w:t>
      </w:r>
      <w:r w:rsidR="00AD4043" w:rsidRPr="00126477">
        <w:rPr>
          <w:rFonts w:ascii="Calibri" w:hAnsi="Calibri"/>
          <w:noProof/>
          <w:sz w:val="24"/>
          <w:szCs w:val="24"/>
        </w:rPr>
        <w:t xml:space="preserve">developed by </w:t>
      </w:r>
      <w:r w:rsidR="00730561" w:rsidRPr="00730561">
        <w:rPr>
          <w:rFonts w:ascii="Calibri" w:hAnsi="Calibri"/>
          <w:noProof/>
          <w:sz w:val="24"/>
          <w:szCs w:val="24"/>
        </w:rPr>
        <w:t>Charnes, Cooper and Rhodes</w:t>
      </w:r>
      <w:r w:rsidR="00F444B8">
        <w:rPr>
          <w:rFonts w:ascii="Calibri" w:hAnsi="Calibri"/>
          <w:noProof/>
          <w:sz w:val="24"/>
          <w:szCs w:val="24"/>
        </w:rPr>
        <w:t>,</w:t>
      </w:r>
      <w:r w:rsidR="007E7EA3">
        <w:rPr>
          <w:rFonts w:ascii="Calibri" w:hAnsi="Calibri"/>
          <w:noProof/>
          <w:sz w:val="24"/>
          <w:szCs w:val="24"/>
          <w:vertAlign w:val="superscript"/>
        </w:rPr>
        <w:t>33</w:t>
      </w:r>
      <w:r w:rsidR="00C3111F" w:rsidRPr="00126477">
        <w:rPr>
          <w:rFonts w:ascii="Calibri" w:hAnsi="Calibri"/>
          <w:noProof/>
          <w:sz w:val="24"/>
          <w:szCs w:val="24"/>
        </w:rPr>
        <w:t xml:space="preserve"> </w:t>
      </w:r>
      <w:r w:rsidR="00AA7DE9">
        <w:rPr>
          <w:rFonts w:ascii="Calibri" w:hAnsi="Calibri"/>
          <w:noProof/>
          <w:sz w:val="24"/>
          <w:szCs w:val="24"/>
        </w:rPr>
        <w:t xml:space="preserve">which </w:t>
      </w:r>
      <w:r w:rsidR="00AA7DE9" w:rsidRPr="00AA7DE9">
        <w:rPr>
          <w:rFonts w:ascii="Calibri" w:hAnsi="Calibri"/>
          <w:noProof/>
          <w:sz w:val="24"/>
          <w:szCs w:val="24"/>
        </w:rPr>
        <w:t>assumes that production has constant returns to scale (CRS)</w:t>
      </w:r>
      <w:r w:rsidR="00AA7DE9">
        <w:rPr>
          <w:rFonts w:ascii="Calibri" w:hAnsi="Calibri"/>
          <w:noProof/>
          <w:sz w:val="24"/>
          <w:szCs w:val="24"/>
        </w:rPr>
        <w:t xml:space="preserve"> </w:t>
      </w:r>
      <w:r w:rsidR="00C3111F" w:rsidRPr="00126477">
        <w:rPr>
          <w:rFonts w:ascii="Calibri" w:hAnsi="Calibri"/>
          <w:noProof/>
          <w:sz w:val="24"/>
          <w:szCs w:val="24"/>
        </w:rPr>
        <w:t>and</w:t>
      </w:r>
      <w:r w:rsidR="00AD64BB">
        <w:rPr>
          <w:rFonts w:ascii="Calibri" w:hAnsi="Calibri"/>
          <w:noProof/>
          <w:sz w:val="24"/>
          <w:szCs w:val="24"/>
        </w:rPr>
        <w:t xml:space="preserve"> the </w:t>
      </w:r>
      <w:r w:rsidR="00AA7DE9">
        <w:rPr>
          <w:rFonts w:ascii="Calibri" w:hAnsi="Calibri"/>
          <w:noProof/>
          <w:sz w:val="24"/>
          <w:szCs w:val="24"/>
        </w:rPr>
        <w:t>BCC model</w:t>
      </w:r>
      <w:r w:rsidR="00AD64BB">
        <w:rPr>
          <w:rFonts w:ascii="Calibri" w:hAnsi="Calibri"/>
          <w:noProof/>
          <w:sz w:val="24"/>
          <w:szCs w:val="24"/>
        </w:rPr>
        <w:t xml:space="preserve"> </w:t>
      </w:r>
      <w:r w:rsidR="00AD4043" w:rsidRPr="00126477">
        <w:rPr>
          <w:rFonts w:ascii="Calibri" w:hAnsi="Calibri"/>
          <w:noProof/>
          <w:sz w:val="24"/>
          <w:szCs w:val="24"/>
        </w:rPr>
        <w:t>developed by</w:t>
      </w:r>
      <w:r w:rsidR="00730561">
        <w:rPr>
          <w:rFonts w:ascii="Calibri" w:hAnsi="Calibri"/>
          <w:noProof/>
          <w:sz w:val="24"/>
          <w:szCs w:val="24"/>
        </w:rPr>
        <w:t xml:space="preserve"> </w:t>
      </w:r>
      <w:r w:rsidR="00730561" w:rsidRPr="00730561">
        <w:rPr>
          <w:rFonts w:ascii="Calibri" w:hAnsi="Calibri"/>
          <w:noProof/>
          <w:sz w:val="24"/>
          <w:szCs w:val="24"/>
        </w:rPr>
        <w:t>Banker, Charnes and Cooper</w:t>
      </w:r>
      <w:r w:rsidR="00F444B8">
        <w:rPr>
          <w:rFonts w:ascii="Calibri" w:hAnsi="Calibri"/>
          <w:noProof/>
          <w:sz w:val="24"/>
          <w:szCs w:val="24"/>
        </w:rPr>
        <w:t>,</w:t>
      </w:r>
      <w:r w:rsidR="007E7EA3">
        <w:rPr>
          <w:rFonts w:ascii="Calibri" w:hAnsi="Calibri"/>
          <w:noProof/>
          <w:sz w:val="24"/>
          <w:szCs w:val="24"/>
          <w:vertAlign w:val="superscript"/>
        </w:rPr>
        <w:t xml:space="preserve"> 34</w:t>
      </w:r>
      <w:r w:rsidR="00AA7DE9">
        <w:rPr>
          <w:rFonts w:ascii="Calibri" w:hAnsi="Calibri"/>
          <w:noProof/>
          <w:sz w:val="24"/>
          <w:szCs w:val="24"/>
        </w:rPr>
        <w:t xml:space="preserve"> </w:t>
      </w:r>
      <w:r w:rsidR="00FA6CA2">
        <w:rPr>
          <w:rFonts w:ascii="Calibri" w:hAnsi="Calibri"/>
          <w:noProof/>
          <w:sz w:val="24"/>
          <w:szCs w:val="24"/>
        </w:rPr>
        <w:t xml:space="preserve">under the assumption of </w:t>
      </w:r>
      <w:r w:rsidR="00AA7DE9" w:rsidRPr="00126477">
        <w:rPr>
          <w:rFonts w:ascii="Calibri" w:hAnsi="Calibri"/>
          <w:noProof/>
          <w:sz w:val="24"/>
          <w:szCs w:val="24"/>
        </w:rPr>
        <w:t>variable return</w:t>
      </w:r>
      <w:r w:rsidR="00FA6CA2">
        <w:rPr>
          <w:rFonts w:ascii="Calibri" w:hAnsi="Calibri"/>
          <w:noProof/>
          <w:sz w:val="24"/>
          <w:szCs w:val="24"/>
        </w:rPr>
        <w:t>s</w:t>
      </w:r>
      <w:r w:rsidR="00AA7DE9" w:rsidRPr="00126477">
        <w:rPr>
          <w:rFonts w:ascii="Calibri" w:hAnsi="Calibri"/>
          <w:noProof/>
          <w:sz w:val="24"/>
          <w:szCs w:val="24"/>
        </w:rPr>
        <w:t xml:space="preserve"> to scale</w:t>
      </w:r>
      <w:r w:rsidR="00AA7DE9">
        <w:rPr>
          <w:rFonts w:ascii="Calibri" w:hAnsi="Calibri"/>
          <w:noProof/>
          <w:sz w:val="24"/>
          <w:szCs w:val="24"/>
        </w:rPr>
        <w:t xml:space="preserve"> (VRS)</w:t>
      </w:r>
      <w:r w:rsidR="00705306">
        <w:rPr>
          <w:rFonts w:ascii="Calibri" w:hAnsi="Calibri"/>
          <w:noProof/>
          <w:sz w:val="24"/>
          <w:szCs w:val="24"/>
        </w:rPr>
        <w:t>.</w:t>
      </w:r>
      <w:r w:rsidR="00DC0B44">
        <w:rPr>
          <w:rFonts w:ascii="Calibri" w:hAnsi="Calibri"/>
          <w:noProof/>
          <w:sz w:val="24"/>
          <w:szCs w:val="24"/>
          <w:vertAlign w:val="superscript"/>
        </w:rPr>
        <w:t>9,12</w:t>
      </w:r>
      <w:r w:rsidR="00705306">
        <w:rPr>
          <w:rFonts w:ascii="Calibri" w:hAnsi="Calibri"/>
          <w:noProof/>
          <w:sz w:val="24"/>
          <w:szCs w:val="24"/>
        </w:rPr>
        <w:t xml:space="preserve"> </w:t>
      </w:r>
      <w:r w:rsidR="003611FA" w:rsidRPr="003611FA">
        <w:rPr>
          <w:rFonts w:ascii="Calibri" w:hAnsi="Calibri"/>
          <w:noProof/>
          <w:sz w:val="24"/>
          <w:szCs w:val="24"/>
        </w:rPr>
        <w:t xml:space="preserve">The choice of </w:t>
      </w:r>
      <w:r w:rsidR="00AA7DE9">
        <w:rPr>
          <w:rFonts w:ascii="Calibri" w:hAnsi="Calibri"/>
          <w:noProof/>
          <w:sz w:val="24"/>
          <w:szCs w:val="24"/>
        </w:rPr>
        <w:t>CCR</w:t>
      </w:r>
      <w:r w:rsidR="003611FA" w:rsidRPr="003611FA">
        <w:rPr>
          <w:rFonts w:ascii="Calibri" w:hAnsi="Calibri"/>
          <w:noProof/>
          <w:sz w:val="24"/>
          <w:szCs w:val="24"/>
        </w:rPr>
        <w:t xml:space="preserve"> or </w:t>
      </w:r>
      <w:r w:rsidR="00AA7DE9">
        <w:rPr>
          <w:rFonts w:ascii="Calibri" w:hAnsi="Calibri"/>
          <w:noProof/>
          <w:sz w:val="24"/>
          <w:szCs w:val="24"/>
        </w:rPr>
        <w:t>BCC model</w:t>
      </w:r>
      <w:r w:rsidR="008F64ED">
        <w:rPr>
          <w:rFonts w:ascii="Calibri" w:hAnsi="Calibri"/>
          <w:noProof/>
          <w:sz w:val="24"/>
          <w:szCs w:val="24"/>
        </w:rPr>
        <w:t xml:space="preserve"> </w:t>
      </w:r>
      <w:r w:rsidR="003611FA" w:rsidRPr="003611FA">
        <w:rPr>
          <w:rFonts w:ascii="Calibri" w:hAnsi="Calibri"/>
          <w:noProof/>
          <w:sz w:val="24"/>
          <w:szCs w:val="24"/>
        </w:rPr>
        <w:t>depend</w:t>
      </w:r>
      <w:r w:rsidR="00AD64BB">
        <w:rPr>
          <w:rFonts w:ascii="Calibri" w:hAnsi="Calibri"/>
          <w:noProof/>
          <w:sz w:val="24"/>
          <w:szCs w:val="24"/>
        </w:rPr>
        <w:t>s</w:t>
      </w:r>
      <w:r w:rsidR="003611FA" w:rsidRPr="003611FA">
        <w:rPr>
          <w:rFonts w:ascii="Calibri" w:hAnsi="Calibri"/>
          <w:noProof/>
          <w:sz w:val="24"/>
          <w:szCs w:val="24"/>
        </w:rPr>
        <w:t xml:space="preserve"> on the context</w:t>
      </w:r>
      <w:r w:rsidR="00FA6CA2">
        <w:rPr>
          <w:rFonts w:ascii="Calibri" w:hAnsi="Calibri"/>
          <w:noProof/>
          <w:sz w:val="24"/>
          <w:szCs w:val="24"/>
        </w:rPr>
        <w:t xml:space="preserve"> of the problem under examination</w:t>
      </w:r>
      <w:r w:rsidR="00DC0B44">
        <w:rPr>
          <w:rFonts w:ascii="Calibri" w:hAnsi="Calibri"/>
          <w:noProof/>
          <w:sz w:val="24"/>
          <w:szCs w:val="24"/>
        </w:rPr>
        <w:t>,</w:t>
      </w:r>
      <w:r w:rsidR="00FA6CA2">
        <w:rPr>
          <w:rFonts w:ascii="Calibri" w:hAnsi="Calibri"/>
          <w:noProof/>
          <w:sz w:val="24"/>
          <w:szCs w:val="24"/>
        </w:rPr>
        <w:t xml:space="preserve"> i.e.</w:t>
      </w:r>
      <w:r w:rsidR="003611FA" w:rsidRPr="003611FA">
        <w:rPr>
          <w:rFonts w:ascii="Calibri" w:hAnsi="Calibri"/>
          <w:noProof/>
          <w:sz w:val="24"/>
          <w:szCs w:val="24"/>
        </w:rPr>
        <w:t xml:space="preserve"> the technology </w:t>
      </w:r>
      <w:r w:rsidR="00AD64BB">
        <w:rPr>
          <w:rFonts w:ascii="Calibri" w:hAnsi="Calibri"/>
          <w:noProof/>
          <w:sz w:val="24"/>
          <w:szCs w:val="24"/>
        </w:rPr>
        <w:t>linking</w:t>
      </w:r>
      <w:r w:rsidR="003611FA" w:rsidRPr="003611FA">
        <w:rPr>
          <w:rFonts w:ascii="Calibri" w:hAnsi="Calibri"/>
          <w:noProof/>
          <w:sz w:val="24"/>
          <w:szCs w:val="24"/>
        </w:rPr>
        <w:t xml:space="preserve"> the inputs to</w:t>
      </w:r>
      <w:r w:rsidR="008F64ED">
        <w:rPr>
          <w:rFonts w:ascii="Calibri" w:hAnsi="Calibri"/>
          <w:noProof/>
          <w:sz w:val="24"/>
          <w:szCs w:val="24"/>
        </w:rPr>
        <w:t xml:space="preserve"> </w:t>
      </w:r>
      <w:r w:rsidR="003611FA" w:rsidRPr="003611FA">
        <w:rPr>
          <w:rFonts w:ascii="Calibri" w:hAnsi="Calibri"/>
          <w:noProof/>
          <w:sz w:val="24"/>
          <w:szCs w:val="24"/>
        </w:rPr>
        <w:t>outputs in the transformation process</w:t>
      </w:r>
      <w:r w:rsidR="008F64ED">
        <w:rPr>
          <w:rFonts w:ascii="Calibri" w:hAnsi="Calibri"/>
          <w:noProof/>
          <w:sz w:val="24"/>
          <w:szCs w:val="24"/>
        </w:rPr>
        <w:t>.</w:t>
      </w:r>
      <w:r w:rsidR="00DC0B44">
        <w:rPr>
          <w:rFonts w:ascii="Calibri" w:hAnsi="Calibri"/>
          <w:noProof/>
          <w:sz w:val="24"/>
          <w:szCs w:val="24"/>
          <w:vertAlign w:val="superscript"/>
        </w:rPr>
        <w:t>9</w:t>
      </w:r>
    </w:p>
    <w:p w14:paraId="5DDF4552" w14:textId="0DC1968D" w:rsidR="00AA7DE9" w:rsidRDefault="005548AD" w:rsidP="008F1189">
      <w:pPr>
        <w:spacing w:line="360" w:lineRule="auto"/>
        <w:jc w:val="both"/>
        <w:rPr>
          <w:rFonts w:ascii="Calibri" w:hAnsi="Calibri"/>
          <w:sz w:val="24"/>
          <w:szCs w:val="24"/>
        </w:rPr>
      </w:pPr>
      <w:r w:rsidRPr="008F64ED">
        <w:rPr>
          <w:rFonts w:ascii="Calibri" w:hAnsi="Calibri"/>
          <w:noProof/>
          <w:sz w:val="24"/>
          <w:szCs w:val="24"/>
        </w:rPr>
        <w:t>Generally, the C</w:t>
      </w:r>
      <w:r>
        <w:rPr>
          <w:rFonts w:ascii="Calibri" w:hAnsi="Calibri"/>
          <w:noProof/>
          <w:sz w:val="24"/>
          <w:szCs w:val="24"/>
        </w:rPr>
        <w:t>CR</w:t>
      </w:r>
      <w:r w:rsidRPr="008F64ED">
        <w:rPr>
          <w:rFonts w:ascii="Calibri" w:hAnsi="Calibri"/>
          <w:noProof/>
          <w:sz w:val="24"/>
          <w:szCs w:val="24"/>
        </w:rPr>
        <w:t xml:space="preserve"> model</w:t>
      </w:r>
      <w:r w:rsidR="00AD64BB">
        <w:rPr>
          <w:rFonts w:ascii="Calibri" w:hAnsi="Calibri"/>
          <w:noProof/>
          <w:sz w:val="24"/>
          <w:szCs w:val="24"/>
        </w:rPr>
        <w:t xml:space="preserve"> — whereby the e</w:t>
      </w:r>
      <w:r w:rsidRPr="008F64ED">
        <w:rPr>
          <w:rFonts w:ascii="Calibri" w:hAnsi="Calibri"/>
          <w:noProof/>
          <w:sz w:val="24"/>
          <w:szCs w:val="24"/>
        </w:rPr>
        <w:t>fficiency frontier has a constant slope</w:t>
      </w:r>
      <w:r>
        <w:rPr>
          <w:rFonts w:ascii="Calibri" w:hAnsi="Calibri"/>
          <w:noProof/>
          <w:sz w:val="24"/>
          <w:szCs w:val="24"/>
        </w:rPr>
        <w:t xml:space="preserve"> (CRS), which mean</w:t>
      </w:r>
      <w:r w:rsidR="00AD64BB">
        <w:rPr>
          <w:rFonts w:ascii="Calibri" w:hAnsi="Calibri"/>
          <w:noProof/>
          <w:sz w:val="24"/>
          <w:szCs w:val="24"/>
        </w:rPr>
        <w:t>s</w:t>
      </w:r>
      <w:r w:rsidRPr="00AA7DE9">
        <w:rPr>
          <w:rFonts w:ascii="Calibri" w:hAnsi="Calibri"/>
          <w:noProof/>
          <w:sz w:val="24"/>
          <w:szCs w:val="24"/>
        </w:rPr>
        <w:t xml:space="preserve"> </w:t>
      </w:r>
      <w:r>
        <w:rPr>
          <w:rFonts w:ascii="Calibri" w:hAnsi="Calibri"/>
          <w:noProof/>
          <w:sz w:val="24"/>
          <w:szCs w:val="24"/>
        </w:rPr>
        <w:t xml:space="preserve">that </w:t>
      </w:r>
      <w:r w:rsidRPr="00AA7DE9">
        <w:rPr>
          <w:rFonts w:ascii="Calibri" w:hAnsi="Calibri"/>
          <w:noProof/>
          <w:sz w:val="24"/>
          <w:szCs w:val="24"/>
        </w:rPr>
        <w:t xml:space="preserve">any change in the </w:t>
      </w:r>
      <w:r w:rsidR="00444963">
        <w:rPr>
          <w:rFonts w:ascii="Calibri" w:hAnsi="Calibri"/>
          <w:noProof/>
          <w:sz w:val="24"/>
          <w:szCs w:val="24"/>
        </w:rPr>
        <w:t>in</w:t>
      </w:r>
      <w:r w:rsidR="00444963" w:rsidRPr="00AA7DE9">
        <w:rPr>
          <w:rFonts w:ascii="Calibri" w:hAnsi="Calibri"/>
          <w:noProof/>
          <w:sz w:val="24"/>
          <w:szCs w:val="24"/>
        </w:rPr>
        <w:t>put</w:t>
      </w:r>
      <w:r w:rsidR="00444963">
        <w:rPr>
          <w:rFonts w:ascii="Calibri" w:hAnsi="Calibri"/>
          <w:noProof/>
          <w:sz w:val="24"/>
          <w:szCs w:val="24"/>
        </w:rPr>
        <w:t>s</w:t>
      </w:r>
      <w:r>
        <w:rPr>
          <w:rFonts w:ascii="Calibri" w:hAnsi="Calibri"/>
          <w:noProof/>
          <w:sz w:val="24"/>
          <w:szCs w:val="24"/>
        </w:rPr>
        <w:t xml:space="preserve"> </w:t>
      </w:r>
      <w:r w:rsidRPr="00AA7DE9">
        <w:rPr>
          <w:rFonts w:ascii="Calibri" w:hAnsi="Calibri"/>
          <w:noProof/>
          <w:sz w:val="24"/>
          <w:szCs w:val="24"/>
        </w:rPr>
        <w:t>result</w:t>
      </w:r>
      <w:r w:rsidR="00444963">
        <w:rPr>
          <w:rFonts w:ascii="Calibri" w:hAnsi="Calibri"/>
          <w:noProof/>
          <w:sz w:val="24"/>
          <w:szCs w:val="24"/>
        </w:rPr>
        <w:t>s to</w:t>
      </w:r>
      <w:r w:rsidR="00192402">
        <w:rPr>
          <w:rFonts w:ascii="Calibri" w:hAnsi="Calibri"/>
          <w:noProof/>
          <w:sz w:val="24"/>
          <w:szCs w:val="24"/>
        </w:rPr>
        <w:t xml:space="preserve"> a</w:t>
      </w:r>
      <w:r w:rsidRPr="00AA7DE9">
        <w:rPr>
          <w:rFonts w:ascii="Calibri" w:hAnsi="Calibri"/>
          <w:noProof/>
          <w:sz w:val="24"/>
          <w:szCs w:val="24"/>
        </w:rPr>
        <w:t xml:space="preserve"> proportional change in the</w:t>
      </w:r>
      <w:r w:rsidR="004F45FF">
        <w:rPr>
          <w:rFonts w:ascii="Calibri" w:hAnsi="Calibri"/>
          <w:noProof/>
          <w:sz w:val="24"/>
          <w:szCs w:val="24"/>
        </w:rPr>
        <w:t xml:space="preserve"> </w:t>
      </w:r>
      <w:r w:rsidR="00444963">
        <w:rPr>
          <w:rFonts w:ascii="Calibri" w:hAnsi="Calibri"/>
          <w:noProof/>
          <w:sz w:val="24"/>
          <w:szCs w:val="24"/>
        </w:rPr>
        <w:t>outputs</w:t>
      </w:r>
      <w:r w:rsidR="00175E2B">
        <w:rPr>
          <w:rFonts w:ascii="Calibri" w:hAnsi="Calibri"/>
          <w:noProof/>
          <w:sz w:val="24"/>
          <w:szCs w:val="24"/>
        </w:rPr>
        <w:t>.</w:t>
      </w:r>
      <w:r w:rsidR="004F45FF">
        <w:rPr>
          <w:rFonts w:ascii="Calibri" w:hAnsi="Calibri"/>
          <w:noProof/>
          <w:sz w:val="24"/>
          <w:szCs w:val="24"/>
          <w:vertAlign w:val="superscript"/>
        </w:rPr>
        <w:t>26</w:t>
      </w:r>
      <w:r w:rsidR="00192402">
        <w:rPr>
          <w:rFonts w:ascii="Calibri" w:hAnsi="Calibri"/>
          <w:noProof/>
          <w:sz w:val="24"/>
          <w:szCs w:val="24"/>
        </w:rPr>
        <w:t xml:space="preserve"> Constant returns to scale</w:t>
      </w:r>
      <w:r w:rsidR="004F45FF">
        <w:rPr>
          <w:rFonts w:ascii="Calibri" w:hAnsi="Calibri"/>
          <w:noProof/>
          <w:sz w:val="24"/>
          <w:szCs w:val="24"/>
        </w:rPr>
        <w:t xml:space="preserve"> CRS</w:t>
      </w:r>
      <w:r w:rsidR="00192402">
        <w:rPr>
          <w:rFonts w:ascii="Calibri" w:hAnsi="Calibri"/>
          <w:noProof/>
          <w:sz w:val="24"/>
          <w:szCs w:val="24"/>
        </w:rPr>
        <w:t xml:space="preserve"> may be adopted when machines </w:t>
      </w:r>
      <w:r w:rsidR="00192402" w:rsidRPr="00192402">
        <w:rPr>
          <w:rFonts w:ascii="Calibri" w:hAnsi="Calibri"/>
          <w:noProof/>
          <w:sz w:val="24"/>
          <w:szCs w:val="24"/>
        </w:rPr>
        <w:t>are involved</w:t>
      </w:r>
      <w:r w:rsidR="00192402" w:rsidRPr="00192402" w:rsidDel="00192402">
        <w:rPr>
          <w:rFonts w:ascii="Calibri" w:hAnsi="Calibri"/>
          <w:noProof/>
          <w:sz w:val="24"/>
          <w:szCs w:val="24"/>
        </w:rPr>
        <w:t xml:space="preserve"> </w:t>
      </w:r>
      <w:r w:rsidR="00192402">
        <w:rPr>
          <w:rFonts w:ascii="Calibri" w:hAnsi="Calibri"/>
          <w:noProof/>
          <w:sz w:val="24"/>
          <w:szCs w:val="24"/>
        </w:rPr>
        <w:t>in the process, which</w:t>
      </w:r>
      <w:r w:rsidR="00BE6192" w:rsidRPr="00BE6192">
        <w:t xml:space="preserve"> </w:t>
      </w:r>
      <w:r w:rsidR="00BE6192" w:rsidRPr="00BE6192">
        <w:rPr>
          <w:rFonts w:ascii="Calibri" w:hAnsi="Calibri"/>
          <w:noProof/>
          <w:sz w:val="24"/>
          <w:szCs w:val="24"/>
        </w:rPr>
        <w:t>roughly</w:t>
      </w:r>
      <w:r w:rsidR="00192402">
        <w:rPr>
          <w:rFonts w:ascii="Calibri" w:hAnsi="Calibri"/>
          <w:noProof/>
          <w:sz w:val="24"/>
          <w:szCs w:val="24"/>
        </w:rPr>
        <w:t xml:space="preserve"> </w:t>
      </w:r>
      <w:r w:rsidR="00BE6192">
        <w:rPr>
          <w:rFonts w:ascii="Calibri" w:hAnsi="Calibri"/>
          <w:noProof/>
          <w:sz w:val="24"/>
          <w:szCs w:val="24"/>
        </w:rPr>
        <w:t xml:space="preserve">means that the production can be doubled by </w:t>
      </w:r>
      <w:r w:rsidR="00BE6192" w:rsidRPr="00BE6192">
        <w:rPr>
          <w:rFonts w:ascii="Calibri" w:hAnsi="Calibri"/>
          <w:noProof/>
          <w:sz w:val="24"/>
          <w:szCs w:val="24"/>
        </w:rPr>
        <w:t>doubling</w:t>
      </w:r>
      <w:r w:rsidR="00BE6192">
        <w:rPr>
          <w:rFonts w:ascii="Calibri" w:hAnsi="Calibri"/>
          <w:noProof/>
          <w:sz w:val="24"/>
          <w:szCs w:val="24"/>
        </w:rPr>
        <w:t xml:space="preserve"> the levels of inputs</w:t>
      </w:r>
      <w:r w:rsidR="00192402">
        <w:rPr>
          <w:rFonts w:ascii="Calibri" w:hAnsi="Calibri"/>
          <w:noProof/>
          <w:sz w:val="24"/>
          <w:szCs w:val="24"/>
        </w:rPr>
        <w:t>. However, when employees (human factor) part</w:t>
      </w:r>
      <w:r w:rsidR="00A03DA4">
        <w:rPr>
          <w:rFonts w:ascii="Calibri" w:hAnsi="Calibri"/>
          <w:noProof/>
          <w:sz w:val="24"/>
          <w:szCs w:val="24"/>
        </w:rPr>
        <w:t>i</w:t>
      </w:r>
      <w:r w:rsidR="00192402">
        <w:rPr>
          <w:rFonts w:ascii="Calibri" w:hAnsi="Calibri"/>
          <w:noProof/>
          <w:sz w:val="24"/>
          <w:szCs w:val="24"/>
        </w:rPr>
        <w:t xml:space="preserve">cipate in the production process, then it is naive to expect that they could work at a constant rate. </w:t>
      </w:r>
      <w:r w:rsidR="004F45FF">
        <w:rPr>
          <w:rFonts w:ascii="Calibri" w:hAnsi="Calibri"/>
          <w:noProof/>
          <w:sz w:val="24"/>
          <w:szCs w:val="24"/>
        </w:rPr>
        <w:t>The CCR</w:t>
      </w:r>
      <w:r w:rsidRPr="008F64ED">
        <w:rPr>
          <w:rFonts w:ascii="Calibri" w:hAnsi="Calibri"/>
          <w:noProof/>
          <w:sz w:val="24"/>
          <w:szCs w:val="24"/>
        </w:rPr>
        <w:t xml:space="preserve"> </w:t>
      </w:r>
      <w:r w:rsidR="002F50F4">
        <w:rPr>
          <w:rFonts w:ascii="Calibri" w:hAnsi="Calibri"/>
          <w:noProof/>
          <w:sz w:val="24"/>
          <w:szCs w:val="24"/>
        </w:rPr>
        <w:t xml:space="preserve">efficiency assessment by </w:t>
      </w:r>
      <w:r w:rsidR="00AD64BB">
        <w:rPr>
          <w:rFonts w:ascii="Calibri" w:hAnsi="Calibri"/>
          <w:noProof/>
          <w:sz w:val="24"/>
          <w:szCs w:val="24"/>
        </w:rPr>
        <w:t xml:space="preserve">the </w:t>
      </w:r>
      <w:r w:rsidR="002F50F4">
        <w:rPr>
          <w:rFonts w:ascii="Calibri" w:hAnsi="Calibri"/>
          <w:noProof/>
          <w:sz w:val="24"/>
          <w:szCs w:val="24"/>
        </w:rPr>
        <w:t>may be affected if the DMUs are not operating on the optimal scale</w:t>
      </w:r>
      <w:r w:rsidR="00DF108C">
        <w:rPr>
          <w:rFonts w:ascii="Calibri" w:hAnsi="Calibri"/>
          <w:noProof/>
          <w:sz w:val="24"/>
          <w:szCs w:val="24"/>
        </w:rPr>
        <w:t xml:space="preserve"> since</w:t>
      </w:r>
      <w:r w:rsidR="00805CAA">
        <w:rPr>
          <w:rFonts w:ascii="Calibri" w:hAnsi="Calibri"/>
          <w:noProof/>
          <w:sz w:val="24"/>
          <w:szCs w:val="24"/>
        </w:rPr>
        <w:t xml:space="preserve"> CRS</w:t>
      </w:r>
      <w:r w:rsidRPr="008F64ED">
        <w:rPr>
          <w:rFonts w:ascii="Calibri" w:hAnsi="Calibri"/>
          <w:noProof/>
          <w:sz w:val="24"/>
          <w:szCs w:val="24"/>
        </w:rPr>
        <w:t xml:space="preserve"> does not distinguish between the scale and pure </w:t>
      </w:r>
      <w:r w:rsidR="002D2632">
        <w:rPr>
          <w:rFonts w:ascii="Calibri" w:hAnsi="Calibri"/>
          <w:noProof/>
          <w:sz w:val="24"/>
          <w:szCs w:val="24"/>
        </w:rPr>
        <w:t xml:space="preserve">(managerial) </w:t>
      </w:r>
      <w:r w:rsidRPr="008F64ED">
        <w:rPr>
          <w:rFonts w:ascii="Calibri" w:hAnsi="Calibri"/>
          <w:noProof/>
          <w:sz w:val="24"/>
          <w:szCs w:val="24"/>
        </w:rPr>
        <w:t>technical efficiency</w:t>
      </w:r>
      <w:r w:rsidR="000B3BF2">
        <w:rPr>
          <w:rFonts w:ascii="Calibri" w:hAnsi="Calibri"/>
          <w:noProof/>
          <w:sz w:val="24"/>
          <w:szCs w:val="24"/>
        </w:rPr>
        <w:t>.</w:t>
      </w:r>
      <w:r w:rsidR="007E7EA3">
        <w:rPr>
          <w:rFonts w:ascii="Calibri" w:hAnsi="Calibri"/>
          <w:noProof/>
          <w:sz w:val="24"/>
          <w:szCs w:val="24"/>
          <w:vertAlign w:val="superscript"/>
        </w:rPr>
        <w:t>35</w:t>
      </w:r>
      <w:r w:rsidR="002D2632" w:rsidRPr="002D2632">
        <w:t xml:space="preserve"> </w:t>
      </w:r>
      <w:r w:rsidR="002D2632" w:rsidRPr="002D2632">
        <w:rPr>
          <w:rFonts w:ascii="Calibri" w:hAnsi="Calibri"/>
          <w:noProof/>
          <w:sz w:val="24"/>
          <w:szCs w:val="24"/>
        </w:rPr>
        <w:t>If the</w:t>
      </w:r>
      <w:r w:rsidR="002D2632">
        <w:rPr>
          <w:rFonts w:ascii="Calibri" w:hAnsi="Calibri"/>
          <w:noProof/>
          <w:sz w:val="24"/>
          <w:szCs w:val="24"/>
        </w:rPr>
        <w:t xml:space="preserve"> </w:t>
      </w:r>
      <w:r w:rsidR="002D2632" w:rsidRPr="002D2632">
        <w:rPr>
          <w:rFonts w:ascii="Calibri" w:hAnsi="Calibri"/>
          <w:noProof/>
          <w:sz w:val="24"/>
          <w:szCs w:val="24"/>
        </w:rPr>
        <w:t>efficiency analysis</w:t>
      </w:r>
      <w:r w:rsidR="002D2632">
        <w:rPr>
          <w:rFonts w:ascii="Calibri" w:hAnsi="Calibri"/>
          <w:noProof/>
          <w:sz w:val="24"/>
          <w:szCs w:val="24"/>
        </w:rPr>
        <w:t xml:space="preserve"> </w:t>
      </w:r>
      <w:r w:rsidR="00805CAA">
        <w:rPr>
          <w:rFonts w:ascii="Calibri" w:hAnsi="Calibri"/>
          <w:noProof/>
          <w:sz w:val="24"/>
          <w:szCs w:val="24"/>
        </w:rPr>
        <w:t>consider</w:t>
      </w:r>
      <w:r w:rsidR="002D2632" w:rsidRPr="002D2632">
        <w:rPr>
          <w:rFonts w:ascii="Calibri" w:hAnsi="Calibri"/>
          <w:noProof/>
          <w:sz w:val="24"/>
          <w:szCs w:val="24"/>
        </w:rPr>
        <w:t xml:space="preserve">s a managerial </w:t>
      </w:r>
      <w:r w:rsidR="002D2632">
        <w:rPr>
          <w:rFonts w:ascii="Calibri" w:hAnsi="Calibri"/>
          <w:noProof/>
          <w:sz w:val="24"/>
          <w:szCs w:val="24"/>
        </w:rPr>
        <w:t xml:space="preserve">perspective, </w:t>
      </w:r>
      <w:r w:rsidR="00324F4C">
        <w:rPr>
          <w:rFonts w:ascii="Calibri" w:hAnsi="Calibri"/>
          <w:noProof/>
          <w:sz w:val="24"/>
          <w:szCs w:val="24"/>
        </w:rPr>
        <w:t xml:space="preserve">a BCC technology assumption will be appropriate </w:t>
      </w:r>
      <w:r w:rsidR="002D2632">
        <w:rPr>
          <w:rFonts w:ascii="Calibri" w:hAnsi="Calibri"/>
          <w:noProof/>
          <w:sz w:val="24"/>
          <w:szCs w:val="24"/>
        </w:rPr>
        <w:t xml:space="preserve">to understand if a </w:t>
      </w:r>
      <w:r w:rsidR="002D2632" w:rsidRPr="002D2632">
        <w:rPr>
          <w:rFonts w:ascii="Calibri" w:hAnsi="Calibri"/>
          <w:noProof/>
          <w:sz w:val="24"/>
          <w:szCs w:val="24"/>
        </w:rPr>
        <w:t>scale of operations or provider</w:t>
      </w:r>
      <w:r w:rsidR="00AD64BB">
        <w:rPr>
          <w:rFonts w:ascii="Calibri" w:hAnsi="Calibri"/>
          <w:noProof/>
          <w:sz w:val="24"/>
          <w:szCs w:val="24"/>
        </w:rPr>
        <w:t>’</w:t>
      </w:r>
      <w:r w:rsidR="002D2632" w:rsidRPr="002D2632">
        <w:rPr>
          <w:rFonts w:ascii="Calibri" w:hAnsi="Calibri"/>
          <w:noProof/>
          <w:sz w:val="24"/>
          <w:szCs w:val="24"/>
        </w:rPr>
        <w:t>s practice affects productivity</w:t>
      </w:r>
      <w:r w:rsidR="002D2632">
        <w:rPr>
          <w:rFonts w:ascii="Calibri" w:hAnsi="Calibri"/>
          <w:noProof/>
          <w:sz w:val="24"/>
          <w:szCs w:val="24"/>
        </w:rPr>
        <w:t>.</w:t>
      </w:r>
      <w:r w:rsidR="0031395E">
        <w:rPr>
          <w:rFonts w:ascii="Calibri" w:hAnsi="Calibri"/>
          <w:noProof/>
          <w:sz w:val="24"/>
          <w:szCs w:val="24"/>
          <w:vertAlign w:val="superscript"/>
        </w:rPr>
        <w:t>2</w:t>
      </w:r>
      <w:r w:rsidR="007E7EA3">
        <w:rPr>
          <w:rFonts w:ascii="Calibri" w:hAnsi="Calibri"/>
          <w:noProof/>
          <w:sz w:val="24"/>
          <w:szCs w:val="24"/>
          <w:vertAlign w:val="superscript"/>
        </w:rPr>
        <w:t>7,36</w:t>
      </w:r>
      <w:r w:rsidR="00E85D52">
        <w:rPr>
          <w:rFonts w:ascii="Calibri" w:hAnsi="Calibri"/>
          <w:noProof/>
          <w:sz w:val="24"/>
          <w:szCs w:val="24"/>
        </w:rPr>
        <w:t xml:space="preserve"> </w:t>
      </w:r>
      <w:r w:rsidR="00C3111F" w:rsidRPr="00126477">
        <w:rPr>
          <w:rFonts w:ascii="Calibri" w:hAnsi="Calibri"/>
          <w:sz w:val="24"/>
          <w:szCs w:val="24"/>
        </w:rPr>
        <w:t xml:space="preserve">Scale efficiency </w:t>
      </w:r>
      <w:r w:rsidR="00C3111F" w:rsidRPr="00126477">
        <w:rPr>
          <w:rFonts w:ascii="Calibri" w:hAnsi="Calibri"/>
          <w:noProof/>
          <w:sz w:val="24"/>
          <w:szCs w:val="24"/>
        </w:rPr>
        <w:t>is defined</w:t>
      </w:r>
      <w:r w:rsidR="00C3111F" w:rsidRPr="00126477">
        <w:rPr>
          <w:rFonts w:ascii="Calibri" w:hAnsi="Calibri"/>
          <w:sz w:val="24"/>
          <w:szCs w:val="24"/>
        </w:rPr>
        <w:t xml:space="preserve"> as a ratio</w:t>
      </w:r>
      <w:r w:rsidR="006274D8" w:rsidRPr="00126477">
        <w:rPr>
          <w:rFonts w:ascii="Calibri" w:hAnsi="Calibri"/>
          <w:sz w:val="24"/>
          <w:szCs w:val="24"/>
        </w:rPr>
        <w:t xml:space="preserve"> </w:t>
      </w:r>
      <w:r w:rsidR="00C3111F" w:rsidRPr="00126477">
        <w:rPr>
          <w:rFonts w:ascii="Calibri" w:hAnsi="Calibri"/>
          <w:sz w:val="24"/>
          <w:szCs w:val="24"/>
        </w:rPr>
        <w:t xml:space="preserve">of CRS </w:t>
      </w:r>
      <w:r w:rsidR="006274D8" w:rsidRPr="00126477">
        <w:rPr>
          <w:rFonts w:ascii="Calibri" w:hAnsi="Calibri"/>
          <w:sz w:val="24"/>
          <w:szCs w:val="24"/>
        </w:rPr>
        <w:t>to</w:t>
      </w:r>
      <w:r w:rsidR="00C3111F" w:rsidRPr="00126477">
        <w:rPr>
          <w:rFonts w:ascii="Calibri" w:hAnsi="Calibri"/>
          <w:sz w:val="24"/>
          <w:szCs w:val="24"/>
        </w:rPr>
        <w:t xml:space="preserve"> VRS efficiency </w:t>
      </w:r>
      <w:r w:rsidR="00805CAA" w:rsidRPr="00126477">
        <w:rPr>
          <w:rFonts w:ascii="Calibri" w:hAnsi="Calibri"/>
          <w:sz w:val="24"/>
          <w:szCs w:val="24"/>
        </w:rPr>
        <w:t>scores</w:t>
      </w:r>
      <w:r w:rsidR="00805CAA">
        <w:rPr>
          <w:rFonts w:ascii="Calibri" w:hAnsi="Calibri"/>
          <w:sz w:val="24"/>
          <w:szCs w:val="24"/>
        </w:rPr>
        <w:t xml:space="preserve"> and</w:t>
      </w:r>
      <w:r w:rsidR="00DF3F53">
        <w:rPr>
          <w:rFonts w:ascii="Calibri" w:hAnsi="Calibri"/>
          <w:sz w:val="24"/>
          <w:szCs w:val="24"/>
        </w:rPr>
        <w:t xml:space="preserve"> provides evidence</w:t>
      </w:r>
      <w:r w:rsidR="00A03DA4">
        <w:rPr>
          <w:rFonts w:ascii="Calibri" w:hAnsi="Calibri"/>
          <w:sz w:val="24"/>
          <w:szCs w:val="24"/>
        </w:rPr>
        <w:t xml:space="preserve"> on</w:t>
      </w:r>
      <w:r w:rsidR="00DF3F53">
        <w:rPr>
          <w:rFonts w:ascii="Calibri" w:hAnsi="Calibri"/>
          <w:sz w:val="24"/>
          <w:szCs w:val="24"/>
        </w:rPr>
        <w:t xml:space="preserve"> whether the DMU is operating on the optimal scale size</w:t>
      </w:r>
      <w:r w:rsidR="00C3111F" w:rsidRPr="00126477">
        <w:rPr>
          <w:rFonts w:ascii="Calibri" w:hAnsi="Calibri"/>
          <w:sz w:val="24"/>
          <w:szCs w:val="24"/>
        </w:rPr>
        <w:t>.</w:t>
      </w:r>
      <w:r w:rsidR="00DC0B44">
        <w:rPr>
          <w:rFonts w:ascii="Calibri" w:hAnsi="Calibri"/>
          <w:sz w:val="24"/>
          <w:szCs w:val="24"/>
          <w:vertAlign w:val="superscript"/>
        </w:rPr>
        <w:t>12,20</w:t>
      </w:r>
      <w:r w:rsidR="006274D8" w:rsidRPr="00126477">
        <w:rPr>
          <w:rFonts w:ascii="Calibri" w:hAnsi="Calibri"/>
          <w:sz w:val="24"/>
          <w:szCs w:val="24"/>
        </w:rPr>
        <w:t xml:space="preserve"> </w:t>
      </w:r>
      <w:r w:rsidR="00FC466E" w:rsidRPr="00126477">
        <w:rPr>
          <w:rFonts w:ascii="Calibri" w:hAnsi="Calibri"/>
          <w:sz w:val="24"/>
          <w:szCs w:val="24"/>
        </w:rPr>
        <w:t>Furthermore</w:t>
      </w:r>
      <w:r w:rsidR="00C3111F" w:rsidRPr="00126477">
        <w:rPr>
          <w:rFonts w:ascii="Calibri" w:hAnsi="Calibri"/>
          <w:sz w:val="24"/>
          <w:szCs w:val="24"/>
        </w:rPr>
        <w:t xml:space="preserve">, </w:t>
      </w:r>
      <w:r w:rsidR="00DF108C">
        <w:rPr>
          <w:rFonts w:ascii="Calibri" w:hAnsi="Calibri"/>
          <w:sz w:val="24"/>
          <w:szCs w:val="24"/>
        </w:rPr>
        <w:t xml:space="preserve">the </w:t>
      </w:r>
      <w:r w:rsidR="00C3111F" w:rsidRPr="00126477">
        <w:rPr>
          <w:rFonts w:ascii="Calibri" w:hAnsi="Calibri"/>
          <w:sz w:val="24"/>
          <w:szCs w:val="24"/>
        </w:rPr>
        <w:t>efficiencies of</w:t>
      </w:r>
      <w:r w:rsidR="006274D8" w:rsidRPr="00126477">
        <w:rPr>
          <w:rFonts w:ascii="Calibri" w:hAnsi="Calibri"/>
          <w:sz w:val="24"/>
          <w:szCs w:val="24"/>
        </w:rPr>
        <w:t xml:space="preserve"> </w:t>
      </w:r>
      <w:r w:rsidR="00C3111F" w:rsidRPr="00126477">
        <w:rPr>
          <w:rFonts w:ascii="Calibri" w:hAnsi="Calibri"/>
          <w:sz w:val="24"/>
          <w:szCs w:val="24"/>
        </w:rPr>
        <w:lastRenderedPageBreak/>
        <w:t>DMUs c</w:t>
      </w:r>
      <w:r w:rsidR="0014032D">
        <w:rPr>
          <w:rFonts w:ascii="Calibri" w:hAnsi="Calibri"/>
          <w:sz w:val="24"/>
          <w:szCs w:val="24"/>
        </w:rPr>
        <w:t>an</w:t>
      </w:r>
      <w:r w:rsidR="00C3111F" w:rsidRPr="00126477">
        <w:rPr>
          <w:rFonts w:ascii="Calibri" w:hAnsi="Calibri"/>
          <w:sz w:val="24"/>
          <w:szCs w:val="24"/>
        </w:rPr>
        <w:t xml:space="preserve"> be comprehensively </w:t>
      </w:r>
      <w:r w:rsidR="00DF108C" w:rsidRPr="00126477">
        <w:rPr>
          <w:rFonts w:ascii="Calibri" w:hAnsi="Calibri"/>
          <w:sz w:val="24"/>
          <w:szCs w:val="24"/>
        </w:rPr>
        <w:t>analysed</w:t>
      </w:r>
      <w:r w:rsidR="00C3111F" w:rsidRPr="00126477">
        <w:rPr>
          <w:rFonts w:ascii="Calibri" w:hAnsi="Calibri"/>
          <w:sz w:val="24"/>
          <w:szCs w:val="24"/>
        </w:rPr>
        <w:t xml:space="preserve"> </w:t>
      </w:r>
      <w:r w:rsidR="00DF108C">
        <w:rPr>
          <w:rFonts w:ascii="Calibri" w:hAnsi="Calibri"/>
          <w:sz w:val="24"/>
          <w:szCs w:val="24"/>
        </w:rPr>
        <w:t xml:space="preserve">using </w:t>
      </w:r>
      <w:r w:rsidR="00C3111F" w:rsidRPr="00126477">
        <w:rPr>
          <w:rFonts w:ascii="Calibri" w:hAnsi="Calibri"/>
          <w:sz w:val="24"/>
          <w:szCs w:val="24"/>
        </w:rPr>
        <w:t xml:space="preserve">both </w:t>
      </w:r>
      <w:r w:rsidR="00F444B8">
        <w:rPr>
          <w:rFonts w:ascii="Calibri" w:hAnsi="Calibri"/>
          <w:sz w:val="24"/>
          <w:szCs w:val="24"/>
        </w:rPr>
        <w:t>CRS</w:t>
      </w:r>
      <w:r w:rsidR="00F444B8" w:rsidRPr="00126477">
        <w:rPr>
          <w:rFonts w:ascii="Calibri" w:hAnsi="Calibri"/>
          <w:sz w:val="24"/>
          <w:szCs w:val="24"/>
        </w:rPr>
        <w:t xml:space="preserve"> </w:t>
      </w:r>
      <w:r w:rsidR="00C3111F" w:rsidRPr="00126477">
        <w:rPr>
          <w:rFonts w:ascii="Calibri" w:hAnsi="Calibri"/>
          <w:sz w:val="24"/>
          <w:szCs w:val="24"/>
        </w:rPr>
        <w:t xml:space="preserve">and </w:t>
      </w:r>
      <w:r w:rsidR="00F444B8">
        <w:rPr>
          <w:rFonts w:ascii="Calibri" w:hAnsi="Calibri"/>
          <w:sz w:val="24"/>
          <w:szCs w:val="24"/>
        </w:rPr>
        <w:t>VRS</w:t>
      </w:r>
      <w:r w:rsidR="00F444B8" w:rsidRPr="00126477">
        <w:rPr>
          <w:rFonts w:ascii="Calibri" w:hAnsi="Calibri"/>
          <w:sz w:val="24"/>
          <w:szCs w:val="24"/>
        </w:rPr>
        <w:t xml:space="preserve"> </w:t>
      </w:r>
      <w:r w:rsidR="00C3111F" w:rsidRPr="00126477">
        <w:rPr>
          <w:rFonts w:ascii="Calibri" w:hAnsi="Calibri"/>
          <w:sz w:val="24"/>
          <w:szCs w:val="24"/>
        </w:rPr>
        <w:t>assumption</w:t>
      </w:r>
      <w:r w:rsidR="00730561">
        <w:rPr>
          <w:rFonts w:ascii="Calibri" w:hAnsi="Calibri"/>
          <w:sz w:val="24"/>
          <w:szCs w:val="24"/>
        </w:rPr>
        <w:t xml:space="preserve"> for more realistic </w:t>
      </w:r>
      <w:r w:rsidR="00DF3F53">
        <w:rPr>
          <w:rFonts w:ascii="Calibri" w:hAnsi="Calibri"/>
          <w:sz w:val="24"/>
          <w:szCs w:val="24"/>
        </w:rPr>
        <w:t xml:space="preserve">changes in </w:t>
      </w:r>
      <w:r w:rsidR="00A03DA4">
        <w:rPr>
          <w:rFonts w:ascii="Calibri" w:hAnsi="Calibri"/>
          <w:sz w:val="24"/>
          <w:szCs w:val="24"/>
        </w:rPr>
        <w:t xml:space="preserve">the </w:t>
      </w:r>
      <w:r w:rsidR="00DF3F53">
        <w:rPr>
          <w:rFonts w:ascii="Calibri" w:hAnsi="Calibri"/>
          <w:sz w:val="24"/>
          <w:szCs w:val="24"/>
        </w:rPr>
        <w:t>production process</w:t>
      </w:r>
      <w:r w:rsidR="0014032D">
        <w:rPr>
          <w:rFonts w:ascii="Calibri" w:hAnsi="Calibri"/>
          <w:sz w:val="24"/>
          <w:szCs w:val="24"/>
        </w:rPr>
        <w:t>,</w:t>
      </w:r>
      <w:r w:rsidR="00DF3F53">
        <w:rPr>
          <w:rFonts w:ascii="Calibri" w:hAnsi="Calibri"/>
          <w:sz w:val="24"/>
          <w:szCs w:val="24"/>
        </w:rPr>
        <w:t xml:space="preserve"> and implications in the real world</w:t>
      </w:r>
      <w:r w:rsidR="004F10BA">
        <w:rPr>
          <w:rFonts w:ascii="Calibri" w:hAnsi="Calibri"/>
          <w:sz w:val="24"/>
          <w:szCs w:val="24"/>
        </w:rPr>
        <w:t>.</w:t>
      </w:r>
      <w:r w:rsidR="00DC0B44">
        <w:rPr>
          <w:rFonts w:ascii="Calibri" w:hAnsi="Calibri"/>
          <w:sz w:val="24"/>
          <w:szCs w:val="24"/>
          <w:vertAlign w:val="superscript"/>
        </w:rPr>
        <w:t>9</w:t>
      </w:r>
      <w:r w:rsidR="004F10BA">
        <w:rPr>
          <w:rFonts w:ascii="Calibri" w:hAnsi="Calibri"/>
          <w:sz w:val="24"/>
          <w:szCs w:val="24"/>
          <w:vertAlign w:val="superscript"/>
        </w:rPr>
        <w:t>,</w:t>
      </w:r>
      <w:r w:rsidR="0031395E">
        <w:rPr>
          <w:rFonts w:ascii="Calibri" w:hAnsi="Calibri"/>
          <w:sz w:val="24"/>
          <w:szCs w:val="24"/>
          <w:vertAlign w:val="superscript"/>
        </w:rPr>
        <w:t>2</w:t>
      </w:r>
      <w:r w:rsidR="007E7EA3">
        <w:rPr>
          <w:rFonts w:ascii="Calibri" w:hAnsi="Calibri"/>
          <w:sz w:val="24"/>
          <w:szCs w:val="24"/>
          <w:vertAlign w:val="superscript"/>
        </w:rPr>
        <w:t>6</w:t>
      </w:r>
      <w:r w:rsidR="004F10BA">
        <w:rPr>
          <w:rFonts w:ascii="Calibri" w:hAnsi="Calibri"/>
          <w:sz w:val="24"/>
          <w:szCs w:val="24"/>
          <w:vertAlign w:val="superscript"/>
        </w:rPr>
        <w:t xml:space="preserve"> </w:t>
      </w:r>
      <w:r w:rsidR="00C3671B">
        <w:rPr>
          <w:rFonts w:ascii="Calibri" w:hAnsi="Calibri"/>
          <w:sz w:val="24"/>
          <w:szCs w:val="24"/>
        </w:rPr>
        <w:t>Other systematic</w:t>
      </w:r>
      <w:r w:rsidR="00E85D52">
        <w:rPr>
          <w:rFonts w:ascii="Calibri" w:hAnsi="Calibri"/>
          <w:sz w:val="24"/>
          <w:szCs w:val="24"/>
        </w:rPr>
        <w:t xml:space="preserve"> review</w:t>
      </w:r>
      <w:r w:rsidR="00C3671B">
        <w:rPr>
          <w:rFonts w:ascii="Calibri" w:hAnsi="Calibri"/>
          <w:sz w:val="24"/>
          <w:szCs w:val="24"/>
        </w:rPr>
        <w:t>s</w:t>
      </w:r>
      <w:r w:rsidR="00175E2B">
        <w:rPr>
          <w:rFonts w:ascii="Calibri" w:hAnsi="Calibri"/>
          <w:sz w:val="24"/>
          <w:szCs w:val="24"/>
        </w:rPr>
        <w:t xml:space="preserve"> </w:t>
      </w:r>
      <w:r w:rsidR="00821119" w:rsidRPr="007316F8">
        <w:rPr>
          <w:rFonts w:ascii="Calibri" w:hAnsi="Calibri"/>
          <w:sz w:val="24"/>
          <w:szCs w:val="24"/>
          <w:vertAlign w:val="superscript"/>
        </w:rPr>
        <w:t>2</w:t>
      </w:r>
      <w:r w:rsidR="00DC0B44">
        <w:rPr>
          <w:rFonts w:ascii="Calibri" w:hAnsi="Calibri"/>
          <w:sz w:val="24"/>
          <w:szCs w:val="24"/>
          <w:vertAlign w:val="superscript"/>
        </w:rPr>
        <w:t>0</w:t>
      </w:r>
      <w:r w:rsidR="00821119">
        <w:rPr>
          <w:rFonts w:ascii="Calibri" w:hAnsi="Calibri"/>
          <w:sz w:val="24"/>
          <w:szCs w:val="24"/>
          <w:vertAlign w:val="superscript"/>
        </w:rPr>
        <w:t>,2</w:t>
      </w:r>
      <w:r w:rsidR="007E7EA3">
        <w:rPr>
          <w:rFonts w:ascii="Calibri" w:hAnsi="Calibri"/>
          <w:sz w:val="24"/>
          <w:szCs w:val="24"/>
          <w:vertAlign w:val="superscript"/>
        </w:rPr>
        <w:t>5</w:t>
      </w:r>
      <w:r w:rsidR="00C3671B">
        <w:rPr>
          <w:rFonts w:ascii="Calibri" w:hAnsi="Calibri"/>
          <w:sz w:val="24"/>
          <w:szCs w:val="24"/>
        </w:rPr>
        <w:t xml:space="preserve"> </w:t>
      </w:r>
      <w:r w:rsidR="00AD64BB">
        <w:rPr>
          <w:rFonts w:ascii="Calibri" w:hAnsi="Calibri"/>
          <w:sz w:val="24"/>
          <w:szCs w:val="24"/>
        </w:rPr>
        <w:t xml:space="preserve">have </w:t>
      </w:r>
      <w:r w:rsidR="00284F15">
        <w:rPr>
          <w:rFonts w:ascii="Calibri" w:hAnsi="Calibri"/>
          <w:sz w:val="24"/>
          <w:szCs w:val="24"/>
        </w:rPr>
        <w:t>reported</w:t>
      </w:r>
      <w:r w:rsidR="00C3671B">
        <w:rPr>
          <w:rFonts w:ascii="Calibri" w:hAnsi="Calibri"/>
          <w:sz w:val="24"/>
          <w:szCs w:val="24"/>
        </w:rPr>
        <w:t xml:space="preserve"> similar findings </w:t>
      </w:r>
      <w:r w:rsidR="00AD64BB">
        <w:rPr>
          <w:rFonts w:ascii="Calibri" w:hAnsi="Calibri"/>
          <w:sz w:val="24"/>
          <w:szCs w:val="24"/>
        </w:rPr>
        <w:t>where</w:t>
      </w:r>
      <w:r w:rsidR="00C3671B">
        <w:rPr>
          <w:rFonts w:ascii="Calibri" w:hAnsi="Calibri"/>
          <w:sz w:val="24"/>
          <w:szCs w:val="24"/>
        </w:rPr>
        <w:t xml:space="preserve"> studies</w:t>
      </w:r>
      <w:r w:rsidR="00E85D52">
        <w:rPr>
          <w:rFonts w:ascii="Calibri" w:hAnsi="Calibri"/>
          <w:sz w:val="24"/>
          <w:szCs w:val="24"/>
        </w:rPr>
        <w:t xml:space="preserve"> used</w:t>
      </w:r>
      <w:r w:rsidR="00C3111F" w:rsidRPr="00126477">
        <w:rPr>
          <w:rFonts w:ascii="Calibri" w:hAnsi="Calibri"/>
          <w:sz w:val="24"/>
          <w:szCs w:val="24"/>
        </w:rPr>
        <w:t xml:space="preserve"> both </w:t>
      </w:r>
      <w:r w:rsidR="00F444B8">
        <w:rPr>
          <w:rFonts w:ascii="Calibri" w:hAnsi="Calibri"/>
          <w:sz w:val="24"/>
          <w:szCs w:val="24"/>
        </w:rPr>
        <w:t>CRS</w:t>
      </w:r>
      <w:r w:rsidR="00F444B8" w:rsidRPr="00126477">
        <w:rPr>
          <w:rFonts w:ascii="Calibri" w:hAnsi="Calibri"/>
          <w:sz w:val="24"/>
          <w:szCs w:val="24"/>
        </w:rPr>
        <w:t xml:space="preserve"> </w:t>
      </w:r>
      <w:r w:rsidR="00C3111F" w:rsidRPr="00126477">
        <w:rPr>
          <w:rFonts w:ascii="Calibri" w:hAnsi="Calibri"/>
          <w:sz w:val="24"/>
          <w:szCs w:val="24"/>
        </w:rPr>
        <w:t xml:space="preserve">and </w:t>
      </w:r>
      <w:r w:rsidR="00F444B8">
        <w:rPr>
          <w:rFonts w:ascii="Calibri" w:hAnsi="Calibri"/>
          <w:sz w:val="24"/>
          <w:szCs w:val="24"/>
        </w:rPr>
        <w:t>VRS</w:t>
      </w:r>
      <w:r w:rsidR="00F444B8" w:rsidRPr="00126477">
        <w:rPr>
          <w:rFonts w:ascii="Calibri" w:hAnsi="Calibri"/>
          <w:sz w:val="24"/>
          <w:szCs w:val="24"/>
        </w:rPr>
        <w:t xml:space="preserve"> </w:t>
      </w:r>
      <w:r w:rsidR="00C3111F" w:rsidRPr="00126477">
        <w:rPr>
          <w:rFonts w:ascii="Calibri" w:hAnsi="Calibri"/>
          <w:sz w:val="24"/>
          <w:szCs w:val="24"/>
        </w:rPr>
        <w:t>assumption</w:t>
      </w:r>
      <w:r w:rsidR="00E85D52">
        <w:rPr>
          <w:rFonts w:ascii="Calibri" w:hAnsi="Calibri"/>
          <w:sz w:val="24"/>
          <w:szCs w:val="24"/>
        </w:rPr>
        <w:t>s</w:t>
      </w:r>
      <w:r w:rsidR="00C3671B">
        <w:rPr>
          <w:rFonts w:ascii="Calibri" w:hAnsi="Calibri"/>
          <w:sz w:val="24"/>
          <w:szCs w:val="24"/>
        </w:rPr>
        <w:t xml:space="preserve"> in efficiency measurements</w:t>
      </w:r>
      <w:r w:rsidR="00C3111F" w:rsidRPr="00126477">
        <w:rPr>
          <w:rFonts w:ascii="Calibri" w:hAnsi="Calibri"/>
          <w:sz w:val="24"/>
          <w:szCs w:val="24"/>
        </w:rPr>
        <w:t>.</w:t>
      </w:r>
    </w:p>
    <w:p w14:paraId="24A8B1A6" w14:textId="0A145318" w:rsidR="00B30508" w:rsidRPr="00D84107" w:rsidRDefault="004F45FF" w:rsidP="008F1189">
      <w:pPr>
        <w:spacing w:line="360" w:lineRule="auto"/>
        <w:jc w:val="both"/>
        <w:rPr>
          <w:rFonts w:ascii="Calibri" w:hAnsi="Calibri"/>
          <w:sz w:val="24"/>
          <w:szCs w:val="24"/>
        </w:rPr>
      </w:pPr>
      <w:r>
        <w:rPr>
          <w:rFonts w:ascii="Calibri" w:hAnsi="Calibri"/>
          <w:sz w:val="24"/>
          <w:szCs w:val="24"/>
        </w:rPr>
        <w:t>Rationally, t</w:t>
      </w:r>
      <w:r w:rsidR="005548AD">
        <w:rPr>
          <w:rFonts w:ascii="Calibri" w:hAnsi="Calibri"/>
          <w:sz w:val="24"/>
          <w:szCs w:val="24"/>
        </w:rPr>
        <w:t>he commonly</w:t>
      </w:r>
      <w:r w:rsidR="00AD64BB">
        <w:rPr>
          <w:rFonts w:ascii="Calibri" w:hAnsi="Calibri"/>
          <w:sz w:val="24"/>
          <w:szCs w:val="24"/>
        </w:rPr>
        <w:t>-</w:t>
      </w:r>
      <w:r w:rsidR="005548AD">
        <w:rPr>
          <w:rFonts w:ascii="Calibri" w:hAnsi="Calibri"/>
          <w:sz w:val="24"/>
          <w:szCs w:val="24"/>
        </w:rPr>
        <w:t xml:space="preserve">used orientations in DEA </w:t>
      </w:r>
      <w:r w:rsidR="00482BDE">
        <w:rPr>
          <w:rFonts w:ascii="Calibri" w:hAnsi="Calibri"/>
          <w:sz w:val="24"/>
          <w:szCs w:val="24"/>
        </w:rPr>
        <w:t>analysis</w:t>
      </w:r>
      <w:r w:rsidR="005548AD">
        <w:rPr>
          <w:rFonts w:ascii="Calibri" w:hAnsi="Calibri"/>
          <w:sz w:val="24"/>
          <w:szCs w:val="24"/>
        </w:rPr>
        <w:t xml:space="preserve"> are</w:t>
      </w:r>
      <w:r w:rsidR="00241E82" w:rsidRPr="00126477">
        <w:rPr>
          <w:rFonts w:ascii="Calibri" w:hAnsi="Calibri"/>
          <w:sz w:val="24"/>
          <w:szCs w:val="24"/>
        </w:rPr>
        <w:t xml:space="preserve"> input orient</w:t>
      </w:r>
      <w:r w:rsidR="005548AD">
        <w:rPr>
          <w:rFonts w:ascii="Calibri" w:hAnsi="Calibri"/>
          <w:sz w:val="24"/>
          <w:szCs w:val="24"/>
        </w:rPr>
        <w:t>ation</w:t>
      </w:r>
      <w:r w:rsidR="00241E82" w:rsidRPr="00126477">
        <w:rPr>
          <w:rFonts w:ascii="Calibri" w:hAnsi="Calibri"/>
          <w:sz w:val="24"/>
          <w:szCs w:val="24"/>
        </w:rPr>
        <w:t xml:space="preserve"> (</w:t>
      </w:r>
      <w:r w:rsidR="009744A7">
        <w:rPr>
          <w:rFonts w:ascii="Calibri" w:hAnsi="Calibri"/>
          <w:sz w:val="24"/>
          <w:szCs w:val="24"/>
        </w:rPr>
        <w:t xml:space="preserve">i.e. </w:t>
      </w:r>
      <w:r w:rsidR="00AA7DE9">
        <w:rPr>
          <w:rFonts w:ascii="Calibri" w:hAnsi="Calibri"/>
          <w:sz w:val="24"/>
          <w:szCs w:val="24"/>
        </w:rPr>
        <w:t xml:space="preserve">minimization of inputs with the given amount of outputs) </w:t>
      </w:r>
      <w:r w:rsidR="005548AD">
        <w:rPr>
          <w:rFonts w:ascii="Calibri" w:hAnsi="Calibri"/>
          <w:sz w:val="24"/>
          <w:szCs w:val="24"/>
        </w:rPr>
        <w:t xml:space="preserve">and </w:t>
      </w:r>
      <w:r w:rsidR="00241E82" w:rsidRPr="00126477">
        <w:rPr>
          <w:rFonts w:ascii="Calibri" w:hAnsi="Calibri"/>
          <w:sz w:val="24"/>
          <w:szCs w:val="24"/>
        </w:rPr>
        <w:t>output orient</w:t>
      </w:r>
      <w:r w:rsidR="005548AD">
        <w:rPr>
          <w:rFonts w:ascii="Calibri" w:hAnsi="Calibri"/>
          <w:sz w:val="24"/>
          <w:szCs w:val="24"/>
        </w:rPr>
        <w:t>ation</w:t>
      </w:r>
      <w:r w:rsidR="00241E82" w:rsidRPr="00126477">
        <w:rPr>
          <w:rFonts w:ascii="Calibri" w:hAnsi="Calibri"/>
          <w:sz w:val="24"/>
          <w:szCs w:val="24"/>
        </w:rPr>
        <w:t xml:space="preserve"> (</w:t>
      </w:r>
      <w:r w:rsidR="009744A7">
        <w:rPr>
          <w:rFonts w:ascii="Calibri" w:hAnsi="Calibri"/>
          <w:sz w:val="24"/>
          <w:szCs w:val="24"/>
        </w:rPr>
        <w:t xml:space="preserve">i.e. </w:t>
      </w:r>
      <w:r w:rsidR="00241E82" w:rsidRPr="00126477">
        <w:rPr>
          <w:rFonts w:ascii="Calibri" w:hAnsi="Calibri"/>
          <w:sz w:val="24"/>
          <w:szCs w:val="24"/>
        </w:rPr>
        <w:t>inputs are held constant</w:t>
      </w:r>
      <w:r w:rsidR="00A03DA4">
        <w:rPr>
          <w:rFonts w:ascii="Calibri" w:hAnsi="Calibri"/>
          <w:sz w:val="24"/>
          <w:szCs w:val="24"/>
        </w:rPr>
        <w:t>,</w:t>
      </w:r>
      <w:r w:rsidR="00241E82" w:rsidRPr="00126477">
        <w:rPr>
          <w:rFonts w:ascii="Calibri" w:hAnsi="Calibri"/>
          <w:sz w:val="24"/>
          <w:szCs w:val="24"/>
        </w:rPr>
        <w:t xml:space="preserve"> and outputs are proportionally increased).</w:t>
      </w:r>
      <w:r w:rsidR="0031395E">
        <w:rPr>
          <w:rFonts w:ascii="Calibri" w:hAnsi="Calibri"/>
          <w:sz w:val="24"/>
          <w:szCs w:val="24"/>
          <w:vertAlign w:val="superscript"/>
        </w:rPr>
        <w:t>2</w:t>
      </w:r>
      <w:r w:rsidR="007E7EA3">
        <w:rPr>
          <w:rFonts w:ascii="Calibri" w:hAnsi="Calibri"/>
          <w:sz w:val="24"/>
          <w:szCs w:val="24"/>
          <w:vertAlign w:val="superscript"/>
        </w:rPr>
        <w:t>6</w:t>
      </w:r>
      <w:r w:rsidR="00241E82" w:rsidRPr="00126477">
        <w:rPr>
          <w:rFonts w:ascii="Calibri" w:hAnsi="Calibri"/>
          <w:sz w:val="24"/>
          <w:szCs w:val="24"/>
        </w:rPr>
        <w:t xml:space="preserve"> </w:t>
      </w:r>
      <w:r w:rsidR="007C289E">
        <w:rPr>
          <w:rFonts w:ascii="Calibri" w:hAnsi="Calibri"/>
          <w:sz w:val="24"/>
          <w:szCs w:val="24"/>
        </w:rPr>
        <w:t>Previous empirical studies</w:t>
      </w:r>
      <w:r w:rsidR="007E7EA3">
        <w:rPr>
          <w:rFonts w:ascii="Calibri" w:hAnsi="Calibri"/>
          <w:sz w:val="24"/>
          <w:szCs w:val="24"/>
        </w:rPr>
        <w:t xml:space="preserve"> </w:t>
      </w:r>
      <w:r w:rsidR="007E7EA3">
        <w:rPr>
          <w:rFonts w:ascii="Calibri" w:hAnsi="Calibri"/>
          <w:sz w:val="24"/>
          <w:szCs w:val="24"/>
          <w:vertAlign w:val="superscript"/>
        </w:rPr>
        <w:t>35</w:t>
      </w:r>
      <w:r w:rsidR="007C289E">
        <w:rPr>
          <w:rFonts w:ascii="Calibri" w:hAnsi="Calibri"/>
          <w:sz w:val="24"/>
          <w:szCs w:val="24"/>
        </w:rPr>
        <w:t xml:space="preserve"> </w:t>
      </w:r>
      <w:r w:rsidR="00AD64BB">
        <w:rPr>
          <w:rFonts w:ascii="Calibri" w:hAnsi="Calibri"/>
          <w:sz w:val="24"/>
          <w:szCs w:val="24"/>
        </w:rPr>
        <w:t xml:space="preserve">have </w:t>
      </w:r>
      <w:r w:rsidR="007C289E">
        <w:rPr>
          <w:rFonts w:ascii="Calibri" w:hAnsi="Calibri"/>
          <w:sz w:val="24"/>
          <w:szCs w:val="24"/>
        </w:rPr>
        <w:t xml:space="preserve">argued that </w:t>
      </w:r>
      <w:r w:rsidR="00241E82" w:rsidRPr="00126477">
        <w:rPr>
          <w:rFonts w:ascii="Calibri" w:hAnsi="Calibri"/>
          <w:sz w:val="24"/>
          <w:szCs w:val="24"/>
        </w:rPr>
        <w:t xml:space="preserve">hospitals have </w:t>
      </w:r>
      <w:r w:rsidR="00AD64BB">
        <w:rPr>
          <w:rFonts w:ascii="Calibri" w:hAnsi="Calibri"/>
          <w:sz w:val="24"/>
          <w:szCs w:val="24"/>
        </w:rPr>
        <w:t>relatively little</w:t>
      </w:r>
      <w:r w:rsidR="00241E82" w:rsidRPr="00126477">
        <w:rPr>
          <w:rFonts w:ascii="Calibri" w:hAnsi="Calibri"/>
          <w:sz w:val="24"/>
          <w:szCs w:val="24"/>
        </w:rPr>
        <w:t xml:space="preserve"> control over their outputs</w:t>
      </w:r>
      <w:r w:rsidR="00B616A6">
        <w:rPr>
          <w:rFonts w:ascii="Calibri" w:hAnsi="Calibri"/>
          <w:sz w:val="24"/>
          <w:szCs w:val="24"/>
        </w:rPr>
        <w:t xml:space="preserve"> (</w:t>
      </w:r>
      <w:r w:rsidR="00AD64BB">
        <w:rPr>
          <w:rFonts w:ascii="Calibri" w:hAnsi="Calibri"/>
          <w:sz w:val="24"/>
          <w:szCs w:val="24"/>
        </w:rPr>
        <w:t>for example</w:t>
      </w:r>
      <w:r w:rsidR="00B616A6">
        <w:rPr>
          <w:rFonts w:ascii="Calibri" w:hAnsi="Calibri"/>
          <w:sz w:val="24"/>
          <w:szCs w:val="24"/>
        </w:rPr>
        <w:t>,</w:t>
      </w:r>
      <w:r w:rsidR="00241E82" w:rsidRPr="00126477">
        <w:rPr>
          <w:rFonts w:ascii="Calibri" w:hAnsi="Calibri"/>
          <w:sz w:val="24"/>
          <w:szCs w:val="24"/>
        </w:rPr>
        <w:t xml:space="preserve"> expanding </w:t>
      </w:r>
      <w:r w:rsidR="007C289E">
        <w:rPr>
          <w:rFonts w:ascii="Calibri" w:hAnsi="Calibri"/>
          <w:sz w:val="24"/>
          <w:szCs w:val="24"/>
        </w:rPr>
        <w:t>s</w:t>
      </w:r>
      <w:r w:rsidR="00241E82" w:rsidRPr="00126477">
        <w:rPr>
          <w:rFonts w:ascii="Calibri" w:hAnsi="Calibri"/>
          <w:sz w:val="24"/>
          <w:szCs w:val="24"/>
        </w:rPr>
        <w:t>urgical operations</w:t>
      </w:r>
      <w:r w:rsidR="00AD64BB">
        <w:rPr>
          <w:rFonts w:ascii="Calibri" w:hAnsi="Calibri"/>
          <w:sz w:val="24"/>
          <w:szCs w:val="24"/>
        </w:rPr>
        <w:t>),</w:t>
      </w:r>
      <w:r w:rsidR="00241E82" w:rsidRPr="00126477">
        <w:rPr>
          <w:rFonts w:ascii="Calibri" w:hAnsi="Calibri"/>
          <w:sz w:val="24"/>
          <w:szCs w:val="24"/>
        </w:rPr>
        <w:t xml:space="preserve"> but more </w:t>
      </w:r>
      <w:r w:rsidR="00B812CE">
        <w:rPr>
          <w:rFonts w:ascii="Calibri" w:hAnsi="Calibri"/>
          <w:sz w:val="24"/>
          <w:szCs w:val="24"/>
        </w:rPr>
        <w:t>control</w:t>
      </w:r>
      <w:r w:rsidR="00F44261">
        <w:rPr>
          <w:rFonts w:ascii="Calibri" w:hAnsi="Calibri"/>
          <w:sz w:val="24"/>
          <w:szCs w:val="24"/>
        </w:rPr>
        <w:t xml:space="preserve"> over</w:t>
      </w:r>
      <w:r w:rsidR="00B812CE" w:rsidRPr="00126477">
        <w:rPr>
          <w:rFonts w:ascii="Calibri" w:hAnsi="Calibri"/>
          <w:sz w:val="24"/>
          <w:szCs w:val="24"/>
        </w:rPr>
        <w:t xml:space="preserve"> </w:t>
      </w:r>
      <w:r w:rsidR="00241E82" w:rsidRPr="00126477">
        <w:rPr>
          <w:rFonts w:ascii="Calibri" w:hAnsi="Calibri"/>
          <w:sz w:val="24"/>
          <w:szCs w:val="24"/>
        </w:rPr>
        <w:t>the inputs</w:t>
      </w:r>
      <w:r w:rsidR="00F819FD">
        <w:rPr>
          <w:rFonts w:ascii="Calibri" w:hAnsi="Calibri"/>
          <w:sz w:val="24"/>
          <w:szCs w:val="24"/>
        </w:rPr>
        <w:t xml:space="preserve"> (</w:t>
      </w:r>
      <w:r w:rsidR="006C33DE">
        <w:rPr>
          <w:rFonts w:ascii="Calibri" w:hAnsi="Calibri"/>
          <w:sz w:val="24"/>
          <w:szCs w:val="24"/>
        </w:rPr>
        <w:t>e.g.</w:t>
      </w:r>
      <w:r w:rsidR="00622DEC" w:rsidRPr="00622DEC">
        <w:t xml:space="preserve"> </w:t>
      </w:r>
      <w:r w:rsidR="00622DEC" w:rsidRPr="00622DEC">
        <w:rPr>
          <w:rFonts w:ascii="Calibri" w:hAnsi="Calibri"/>
          <w:sz w:val="24"/>
          <w:szCs w:val="24"/>
        </w:rPr>
        <w:t>medical devices</w:t>
      </w:r>
      <w:r w:rsidR="00622DEC">
        <w:rPr>
          <w:rFonts w:ascii="Calibri" w:hAnsi="Calibri"/>
          <w:sz w:val="24"/>
          <w:szCs w:val="24"/>
        </w:rPr>
        <w:t>)</w:t>
      </w:r>
      <w:r w:rsidR="00241E82" w:rsidRPr="00126477">
        <w:rPr>
          <w:rFonts w:ascii="Calibri" w:hAnsi="Calibri"/>
          <w:sz w:val="24"/>
          <w:szCs w:val="24"/>
        </w:rPr>
        <w:t>,</w:t>
      </w:r>
      <w:r w:rsidR="007C289E">
        <w:rPr>
          <w:rFonts w:ascii="Calibri" w:hAnsi="Calibri"/>
          <w:sz w:val="24"/>
          <w:szCs w:val="24"/>
        </w:rPr>
        <w:t xml:space="preserve"> </w:t>
      </w:r>
      <w:r w:rsidR="00C05E4C">
        <w:rPr>
          <w:rFonts w:ascii="Calibri" w:hAnsi="Calibri"/>
          <w:sz w:val="24"/>
          <w:szCs w:val="24"/>
        </w:rPr>
        <w:t>wh</w:t>
      </w:r>
      <w:r w:rsidR="00AD64BB">
        <w:rPr>
          <w:rFonts w:ascii="Calibri" w:hAnsi="Calibri"/>
          <w:sz w:val="24"/>
          <w:szCs w:val="24"/>
        </w:rPr>
        <w:t>ere</w:t>
      </w:r>
      <w:r w:rsidR="00C05E4C">
        <w:rPr>
          <w:rFonts w:ascii="Calibri" w:hAnsi="Calibri"/>
          <w:sz w:val="24"/>
          <w:szCs w:val="24"/>
        </w:rPr>
        <w:t xml:space="preserve"> they</w:t>
      </w:r>
      <w:r w:rsidR="00B616A6" w:rsidRPr="00D6356D">
        <w:rPr>
          <w:rFonts w:ascii="Calibri" w:hAnsi="Calibri"/>
          <w:sz w:val="24"/>
          <w:szCs w:val="24"/>
        </w:rPr>
        <w:t xml:space="preserve"> ha</w:t>
      </w:r>
      <w:r w:rsidR="00C05E4C">
        <w:rPr>
          <w:rFonts w:ascii="Calibri" w:hAnsi="Calibri"/>
          <w:sz w:val="24"/>
          <w:szCs w:val="24"/>
        </w:rPr>
        <w:t>ve</w:t>
      </w:r>
      <w:r w:rsidR="00B616A6" w:rsidRPr="00D6356D">
        <w:rPr>
          <w:rFonts w:ascii="Calibri" w:hAnsi="Calibri"/>
          <w:sz w:val="24"/>
          <w:szCs w:val="24"/>
        </w:rPr>
        <w:t xml:space="preserve"> the</w:t>
      </w:r>
      <w:r w:rsidR="00B616A6">
        <w:rPr>
          <w:rFonts w:ascii="Calibri" w:hAnsi="Calibri"/>
          <w:sz w:val="24"/>
          <w:szCs w:val="24"/>
        </w:rPr>
        <w:t xml:space="preserve"> </w:t>
      </w:r>
      <w:r w:rsidR="00B616A6" w:rsidRPr="00D6356D">
        <w:rPr>
          <w:rFonts w:ascii="Calibri" w:hAnsi="Calibri"/>
          <w:sz w:val="24"/>
          <w:szCs w:val="24"/>
        </w:rPr>
        <w:t xml:space="preserve">social responsibility </w:t>
      </w:r>
      <w:r w:rsidR="00AD64BB">
        <w:rPr>
          <w:rFonts w:ascii="Calibri" w:hAnsi="Calibri"/>
          <w:sz w:val="24"/>
          <w:szCs w:val="24"/>
        </w:rPr>
        <w:t>to</w:t>
      </w:r>
      <w:r w:rsidR="00B616A6" w:rsidRPr="00D6356D">
        <w:rPr>
          <w:rFonts w:ascii="Calibri" w:hAnsi="Calibri"/>
          <w:sz w:val="24"/>
          <w:szCs w:val="24"/>
        </w:rPr>
        <w:t xml:space="preserve"> provid</w:t>
      </w:r>
      <w:r w:rsidR="00AD64BB">
        <w:rPr>
          <w:rFonts w:ascii="Calibri" w:hAnsi="Calibri"/>
          <w:sz w:val="24"/>
          <w:szCs w:val="24"/>
        </w:rPr>
        <w:t>e</w:t>
      </w:r>
      <w:r w:rsidR="00B616A6" w:rsidRPr="00D6356D">
        <w:rPr>
          <w:rFonts w:ascii="Calibri" w:hAnsi="Calibri"/>
          <w:sz w:val="24"/>
          <w:szCs w:val="24"/>
        </w:rPr>
        <w:t xml:space="preserve"> medical treatment</w:t>
      </w:r>
      <w:r w:rsidR="00B616A6">
        <w:rPr>
          <w:rFonts w:ascii="Calibri" w:hAnsi="Calibri"/>
          <w:sz w:val="24"/>
          <w:szCs w:val="24"/>
        </w:rPr>
        <w:t xml:space="preserve"> </w:t>
      </w:r>
      <w:r w:rsidR="0072050D">
        <w:rPr>
          <w:rFonts w:ascii="Calibri" w:hAnsi="Calibri"/>
          <w:sz w:val="24"/>
          <w:szCs w:val="24"/>
        </w:rPr>
        <w:t xml:space="preserve">through the public hospitals </w:t>
      </w:r>
      <w:r w:rsidR="00B616A6" w:rsidRPr="00D6356D">
        <w:rPr>
          <w:rFonts w:ascii="Calibri" w:hAnsi="Calibri"/>
          <w:sz w:val="24"/>
          <w:szCs w:val="24"/>
        </w:rPr>
        <w:t>in general.</w:t>
      </w:r>
      <w:r w:rsidR="00B616A6">
        <w:rPr>
          <w:rFonts w:ascii="Calibri" w:hAnsi="Calibri"/>
          <w:sz w:val="24"/>
          <w:szCs w:val="24"/>
        </w:rPr>
        <w:t xml:space="preserve"> </w:t>
      </w:r>
      <w:r w:rsidR="00DA552E">
        <w:rPr>
          <w:rFonts w:ascii="Calibri" w:hAnsi="Calibri"/>
          <w:sz w:val="24"/>
          <w:szCs w:val="24"/>
        </w:rPr>
        <w:t>Thus, m</w:t>
      </w:r>
      <w:r w:rsidR="00C05E4C">
        <w:rPr>
          <w:rFonts w:ascii="Calibri" w:hAnsi="Calibri"/>
          <w:sz w:val="24"/>
          <w:szCs w:val="24"/>
        </w:rPr>
        <w:t>ost studies a</w:t>
      </w:r>
      <w:r w:rsidR="007C289E">
        <w:rPr>
          <w:rFonts w:ascii="Calibri" w:hAnsi="Calibri"/>
          <w:sz w:val="24"/>
          <w:szCs w:val="24"/>
        </w:rPr>
        <w:t>dopt</w:t>
      </w:r>
      <w:r w:rsidR="00241E82" w:rsidRPr="00126477">
        <w:rPr>
          <w:rFonts w:ascii="Calibri" w:hAnsi="Calibri"/>
          <w:sz w:val="24"/>
          <w:szCs w:val="24"/>
        </w:rPr>
        <w:t xml:space="preserve"> input</w:t>
      </w:r>
      <w:r w:rsidR="00DA552E">
        <w:rPr>
          <w:rFonts w:ascii="Calibri" w:hAnsi="Calibri"/>
          <w:sz w:val="24"/>
          <w:szCs w:val="24"/>
        </w:rPr>
        <w:t xml:space="preserve"> </w:t>
      </w:r>
      <w:r w:rsidR="00241E82" w:rsidRPr="00126477">
        <w:rPr>
          <w:rFonts w:ascii="Calibri" w:hAnsi="Calibri"/>
          <w:sz w:val="24"/>
          <w:szCs w:val="24"/>
        </w:rPr>
        <w:t>orient</w:t>
      </w:r>
      <w:r w:rsidR="00DA552E">
        <w:rPr>
          <w:rFonts w:ascii="Calibri" w:hAnsi="Calibri"/>
          <w:sz w:val="24"/>
          <w:szCs w:val="24"/>
        </w:rPr>
        <w:t>ation for</w:t>
      </w:r>
      <w:r w:rsidR="007C289E">
        <w:rPr>
          <w:rFonts w:ascii="Calibri" w:hAnsi="Calibri"/>
          <w:sz w:val="24"/>
          <w:szCs w:val="24"/>
        </w:rPr>
        <w:t xml:space="preserve"> efficiency </w:t>
      </w:r>
      <w:r w:rsidR="00DA552E">
        <w:rPr>
          <w:rFonts w:ascii="Calibri" w:hAnsi="Calibri"/>
          <w:sz w:val="24"/>
          <w:szCs w:val="24"/>
        </w:rPr>
        <w:t xml:space="preserve">assessment </w:t>
      </w:r>
      <w:r w:rsidR="007C289E">
        <w:rPr>
          <w:rFonts w:ascii="Calibri" w:hAnsi="Calibri"/>
          <w:sz w:val="24"/>
          <w:szCs w:val="24"/>
        </w:rPr>
        <w:t>of</w:t>
      </w:r>
      <w:r w:rsidR="00DA552E">
        <w:rPr>
          <w:rFonts w:ascii="Calibri" w:hAnsi="Calibri"/>
          <w:sz w:val="24"/>
          <w:szCs w:val="24"/>
        </w:rPr>
        <w:t xml:space="preserve"> the</w:t>
      </w:r>
      <w:r w:rsidR="007C289E">
        <w:rPr>
          <w:rFonts w:ascii="Calibri" w:hAnsi="Calibri"/>
          <w:sz w:val="24"/>
          <w:szCs w:val="24"/>
        </w:rPr>
        <w:t xml:space="preserve"> hospitals.</w:t>
      </w:r>
      <w:r w:rsidR="00821119" w:rsidRPr="007316F8">
        <w:rPr>
          <w:rFonts w:ascii="Calibri" w:hAnsi="Calibri"/>
          <w:sz w:val="24"/>
          <w:szCs w:val="24"/>
          <w:vertAlign w:val="superscript"/>
        </w:rPr>
        <w:t>2</w:t>
      </w:r>
      <w:r w:rsidR="00DC0B44">
        <w:rPr>
          <w:rFonts w:ascii="Calibri" w:hAnsi="Calibri"/>
          <w:sz w:val="24"/>
          <w:szCs w:val="24"/>
          <w:vertAlign w:val="superscript"/>
        </w:rPr>
        <w:t>0</w:t>
      </w:r>
      <w:r w:rsidR="00821119" w:rsidRPr="007316F8">
        <w:rPr>
          <w:rFonts w:ascii="Calibri" w:hAnsi="Calibri"/>
          <w:sz w:val="24"/>
          <w:szCs w:val="24"/>
          <w:vertAlign w:val="superscript"/>
        </w:rPr>
        <w:t>,</w:t>
      </w:r>
      <w:r w:rsidR="00DA552E">
        <w:rPr>
          <w:rFonts w:ascii="Calibri" w:hAnsi="Calibri"/>
          <w:sz w:val="24"/>
          <w:szCs w:val="24"/>
          <w:vertAlign w:val="superscript"/>
        </w:rPr>
        <w:t>2</w:t>
      </w:r>
      <w:r w:rsidR="007E7EA3">
        <w:rPr>
          <w:rFonts w:ascii="Calibri" w:hAnsi="Calibri"/>
          <w:sz w:val="24"/>
          <w:szCs w:val="24"/>
          <w:vertAlign w:val="superscript"/>
        </w:rPr>
        <w:t>5</w:t>
      </w:r>
      <w:r w:rsidR="00DA552E">
        <w:rPr>
          <w:rFonts w:ascii="Calibri" w:hAnsi="Calibri"/>
          <w:sz w:val="24"/>
          <w:szCs w:val="24"/>
          <w:vertAlign w:val="superscript"/>
        </w:rPr>
        <w:t>,</w:t>
      </w:r>
      <w:r w:rsidR="00877106">
        <w:rPr>
          <w:rFonts w:ascii="Calibri" w:hAnsi="Calibri"/>
          <w:sz w:val="24"/>
          <w:szCs w:val="24"/>
          <w:vertAlign w:val="superscript"/>
        </w:rPr>
        <w:t>3</w:t>
      </w:r>
      <w:r w:rsidR="007E7EA3">
        <w:rPr>
          <w:rFonts w:ascii="Calibri" w:hAnsi="Calibri"/>
          <w:sz w:val="24"/>
          <w:szCs w:val="24"/>
          <w:vertAlign w:val="superscript"/>
        </w:rPr>
        <w:t>7</w:t>
      </w:r>
      <w:r w:rsidR="00495C99">
        <w:rPr>
          <w:rFonts w:ascii="Calibri" w:hAnsi="Calibri"/>
          <w:sz w:val="24"/>
          <w:szCs w:val="24"/>
        </w:rPr>
        <w:t xml:space="preserve"> </w:t>
      </w:r>
      <w:r w:rsidR="0078674E" w:rsidRPr="00FA08B4">
        <w:rPr>
          <w:rFonts w:ascii="Calibri" w:hAnsi="Calibri"/>
          <w:sz w:val="24"/>
          <w:szCs w:val="24"/>
        </w:rPr>
        <w:t>I</w:t>
      </w:r>
      <w:r w:rsidR="00DA552E" w:rsidRPr="00FA08B4">
        <w:rPr>
          <w:rFonts w:ascii="Calibri" w:hAnsi="Calibri"/>
          <w:sz w:val="24"/>
          <w:szCs w:val="24"/>
        </w:rPr>
        <w:t xml:space="preserve">n a </w:t>
      </w:r>
      <w:r w:rsidR="00805CAA" w:rsidRPr="000300C5">
        <w:rPr>
          <w:rFonts w:ascii="Calibri" w:hAnsi="Calibri"/>
          <w:sz w:val="24"/>
          <w:szCs w:val="24"/>
        </w:rPr>
        <w:t>few studies</w:t>
      </w:r>
      <w:r w:rsidR="00A03DA4">
        <w:rPr>
          <w:rFonts w:ascii="Calibri" w:hAnsi="Calibri"/>
          <w:sz w:val="24"/>
          <w:szCs w:val="24"/>
        </w:rPr>
        <w:t>,</w:t>
      </w:r>
      <w:r w:rsidR="00805CAA" w:rsidRPr="000300C5">
        <w:rPr>
          <w:rFonts w:ascii="Calibri" w:hAnsi="Calibri"/>
          <w:sz w:val="24"/>
          <w:szCs w:val="24"/>
        </w:rPr>
        <w:t xml:space="preserve"> outp</w:t>
      </w:r>
      <w:r w:rsidR="00805CAA" w:rsidRPr="00453312">
        <w:rPr>
          <w:rFonts w:ascii="Calibri" w:hAnsi="Calibri"/>
          <w:sz w:val="24"/>
          <w:szCs w:val="24"/>
        </w:rPr>
        <w:t>ut orientation</w:t>
      </w:r>
      <w:r w:rsidR="00DA552E" w:rsidRPr="00453312">
        <w:rPr>
          <w:rFonts w:ascii="Calibri" w:hAnsi="Calibri"/>
          <w:sz w:val="24"/>
          <w:szCs w:val="24"/>
        </w:rPr>
        <w:t xml:space="preserve"> is adopted</w:t>
      </w:r>
      <w:r w:rsidR="00AD64BB" w:rsidRPr="00453312">
        <w:rPr>
          <w:rFonts w:ascii="Calibri" w:hAnsi="Calibri"/>
          <w:sz w:val="24"/>
          <w:szCs w:val="24"/>
        </w:rPr>
        <w:t xml:space="preserve"> </w:t>
      </w:r>
      <w:r w:rsidR="00B616A6" w:rsidRPr="000C7BA8">
        <w:rPr>
          <w:rFonts w:ascii="Calibri" w:hAnsi="Calibri"/>
          <w:sz w:val="24"/>
          <w:szCs w:val="24"/>
        </w:rPr>
        <w:t xml:space="preserve">in </w:t>
      </w:r>
      <w:r w:rsidR="00805CAA" w:rsidRPr="006F0D47">
        <w:rPr>
          <w:rFonts w:ascii="Calibri" w:hAnsi="Calibri"/>
          <w:sz w:val="24"/>
          <w:szCs w:val="24"/>
        </w:rPr>
        <w:t xml:space="preserve">response to </w:t>
      </w:r>
      <w:r w:rsidR="00B616A6" w:rsidRPr="006F0D47">
        <w:rPr>
          <w:rFonts w:ascii="Calibri" w:hAnsi="Calibri"/>
          <w:sz w:val="24"/>
          <w:szCs w:val="24"/>
        </w:rPr>
        <w:t xml:space="preserve">the </w:t>
      </w:r>
      <w:r w:rsidR="00805CAA" w:rsidRPr="006F0D47">
        <w:rPr>
          <w:rFonts w:ascii="Calibri" w:hAnsi="Calibri"/>
          <w:sz w:val="24"/>
          <w:szCs w:val="24"/>
        </w:rPr>
        <w:t xml:space="preserve">strategic health plans </w:t>
      </w:r>
      <w:r w:rsidR="00B616A6" w:rsidRPr="00E36087">
        <w:rPr>
          <w:rFonts w:ascii="Calibri" w:hAnsi="Calibri"/>
          <w:sz w:val="24"/>
          <w:szCs w:val="24"/>
        </w:rPr>
        <w:t xml:space="preserve">of the countries </w:t>
      </w:r>
      <w:r w:rsidR="00805CAA" w:rsidRPr="00E36087">
        <w:rPr>
          <w:rFonts w:ascii="Calibri" w:hAnsi="Calibri"/>
          <w:sz w:val="24"/>
          <w:szCs w:val="24"/>
        </w:rPr>
        <w:t>aim</w:t>
      </w:r>
      <w:r w:rsidR="00B616A6" w:rsidRPr="00D53486">
        <w:rPr>
          <w:rFonts w:ascii="Calibri" w:hAnsi="Calibri"/>
          <w:sz w:val="24"/>
          <w:szCs w:val="24"/>
        </w:rPr>
        <w:t>ing</w:t>
      </w:r>
      <w:r w:rsidR="00805CAA" w:rsidRPr="004751EA">
        <w:rPr>
          <w:rFonts w:ascii="Calibri" w:hAnsi="Calibri"/>
          <w:sz w:val="24"/>
          <w:szCs w:val="24"/>
        </w:rPr>
        <w:t xml:space="preserve"> </w:t>
      </w:r>
      <w:r w:rsidR="00AD64BB" w:rsidRPr="004751EA">
        <w:rPr>
          <w:rFonts w:ascii="Calibri" w:hAnsi="Calibri"/>
          <w:sz w:val="24"/>
          <w:szCs w:val="24"/>
        </w:rPr>
        <w:t>to expand</w:t>
      </w:r>
      <w:r w:rsidR="00805CAA" w:rsidRPr="004751EA">
        <w:rPr>
          <w:rFonts w:ascii="Calibri" w:hAnsi="Calibri"/>
          <w:sz w:val="24"/>
          <w:szCs w:val="24"/>
        </w:rPr>
        <w:t xml:space="preserve"> health</w:t>
      </w:r>
      <w:r w:rsidR="00AD64BB" w:rsidRPr="004751EA">
        <w:rPr>
          <w:rFonts w:ascii="Calibri" w:hAnsi="Calibri"/>
          <w:sz w:val="24"/>
          <w:szCs w:val="24"/>
        </w:rPr>
        <w:t>care</w:t>
      </w:r>
      <w:r w:rsidR="00B616A6" w:rsidRPr="004751EA">
        <w:rPr>
          <w:rFonts w:ascii="Calibri" w:hAnsi="Calibri"/>
          <w:sz w:val="24"/>
          <w:szCs w:val="24"/>
        </w:rPr>
        <w:t xml:space="preserve"> </w:t>
      </w:r>
      <w:r w:rsidR="00805CAA" w:rsidRPr="004751EA">
        <w:rPr>
          <w:rFonts w:ascii="Calibri" w:hAnsi="Calibri"/>
          <w:sz w:val="24"/>
          <w:szCs w:val="24"/>
        </w:rPr>
        <w:t>provision</w:t>
      </w:r>
      <w:r w:rsidR="00C3111F" w:rsidRPr="004751EA">
        <w:rPr>
          <w:rFonts w:ascii="Calibri" w:hAnsi="Calibri"/>
          <w:sz w:val="24"/>
          <w:szCs w:val="24"/>
        </w:rPr>
        <w:t xml:space="preserve"> during</w:t>
      </w:r>
      <w:r w:rsidR="00805CAA" w:rsidRPr="00306C13">
        <w:rPr>
          <w:rFonts w:ascii="Calibri" w:hAnsi="Calibri"/>
          <w:sz w:val="24"/>
          <w:szCs w:val="24"/>
        </w:rPr>
        <w:t xml:space="preserve"> </w:t>
      </w:r>
      <w:r w:rsidR="00B616A6" w:rsidRPr="00306C13">
        <w:rPr>
          <w:rFonts w:ascii="Calibri" w:hAnsi="Calibri"/>
          <w:sz w:val="24"/>
          <w:szCs w:val="24"/>
        </w:rPr>
        <w:t>a specific</w:t>
      </w:r>
      <w:r w:rsidR="00805CAA" w:rsidRPr="00306C13">
        <w:rPr>
          <w:rFonts w:ascii="Calibri" w:hAnsi="Calibri"/>
          <w:sz w:val="24"/>
          <w:szCs w:val="24"/>
        </w:rPr>
        <w:t xml:space="preserve"> period</w:t>
      </w:r>
      <w:r w:rsidR="00DA277A" w:rsidRPr="00FE5832">
        <w:rPr>
          <w:rFonts w:ascii="Calibri" w:hAnsi="Calibri"/>
          <w:sz w:val="24"/>
          <w:szCs w:val="24"/>
        </w:rPr>
        <w:t>.</w:t>
      </w:r>
      <w:r w:rsidR="00877106" w:rsidRPr="00FE5832">
        <w:rPr>
          <w:rFonts w:ascii="Calibri" w:hAnsi="Calibri"/>
          <w:sz w:val="24"/>
          <w:szCs w:val="24"/>
          <w:vertAlign w:val="superscript"/>
        </w:rPr>
        <w:t>3</w:t>
      </w:r>
      <w:r w:rsidR="007E7EA3">
        <w:rPr>
          <w:rFonts w:ascii="Calibri" w:hAnsi="Calibri"/>
          <w:sz w:val="24"/>
          <w:szCs w:val="24"/>
          <w:vertAlign w:val="superscript"/>
        </w:rPr>
        <w:t>8</w:t>
      </w:r>
      <w:r w:rsidR="00877106" w:rsidRPr="00FE5832">
        <w:rPr>
          <w:rFonts w:ascii="Calibri" w:hAnsi="Calibri"/>
          <w:sz w:val="24"/>
          <w:szCs w:val="24"/>
          <w:vertAlign w:val="superscript"/>
        </w:rPr>
        <w:t>,</w:t>
      </w:r>
      <w:r w:rsidR="00DA277A" w:rsidRPr="00FE5832">
        <w:rPr>
          <w:rFonts w:ascii="Calibri" w:hAnsi="Calibri"/>
          <w:sz w:val="24"/>
          <w:szCs w:val="24"/>
          <w:vertAlign w:val="superscript"/>
        </w:rPr>
        <w:t>3</w:t>
      </w:r>
      <w:r w:rsidR="007E7EA3">
        <w:rPr>
          <w:rFonts w:ascii="Calibri" w:hAnsi="Calibri"/>
          <w:sz w:val="24"/>
          <w:szCs w:val="24"/>
          <w:vertAlign w:val="superscript"/>
        </w:rPr>
        <w:t xml:space="preserve">9 </w:t>
      </w:r>
      <w:r w:rsidR="0078674E" w:rsidRPr="00FA08B4">
        <w:rPr>
          <w:rFonts w:ascii="Calibri" w:hAnsi="Calibri"/>
          <w:sz w:val="24"/>
          <w:szCs w:val="24"/>
        </w:rPr>
        <w:t xml:space="preserve">However, in our study we aim to estimate the optimal </w:t>
      </w:r>
      <w:r w:rsidR="0078674E" w:rsidRPr="000300C5">
        <w:rPr>
          <w:rFonts w:ascii="Calibri" w:hAnsi="Calibri"/>
          <w:sz w:val="24"/>
          <w:szCs w:val="24"/>
        </w:rPr>
        <w:t>levels of the resources without deteriorating the levels of the health services that the hospitals provide. In this way</w:t>
      </w:r>
      <w:r w:rsidR="0078674E" w:rsidRPr="00453312">
        <w:rPr>
          <w:rFonts w:ascii="Calibri" w:hAnsi="Calibri"/>
          <w:sz w:val="24"/>
          <w:szCs w:val="24"/>
        </w:rPr>
        <w:t xml:space="preserve">, we </w:t>
      </w:r>
      <w:r w:rsidR="00ED547C" w:rsidRPr="00453312">
        <w:rPr>
          <w:rFonts w:ascii="Calibri" w:hAnsi="Calibri"/>
          <w:sz w:val="24"/>
          <w:szCs w:val="24"/>
        </w:rPr>
        <w:t>provide</w:t>
      </w:r>
      <w:r w:rsidR="0078674E" w:rsidRPr="000C7BA8">
        <w:rPr>
          <w:rFonts w:ascii="Calibri" w:hAnsi="Calibri"/>
          <w:sz w:val="24"/>
          <w:szCs w:val="24"/>
        </w:rPr>
        <w:t xml:space="preserve"> </w:t>
      </w:r>
      <w:r w:rsidR="0078674E" w:rsidRPr="006F0D47">
        <w:rPr>
          <w:rFonts w:ascii="Calibri" w:hAnsi="Calibri"/>
          <w:sz w:val="24"/>
          <w:szCs w:val="24"/>
        </w:rPr>
        <w:t xml:space="preserve">the central authorities with the potential savings </w:t>
      </w:r>
      <w:r w:rsidR="00ED547C" w:rsidRPr="006F0D47">
        <w:rPr>
          <w:rFonts w:ascii="Calibri" w:hAnsi="Calibri"/>
          <w:sz w:val="24"/>
          <w:szCs w:val="24"/>
        </w:rPr>
        <w:t xml:space="preserve">that could be made </w:t>
      </w:r>
      <w:r w:rsidR="0078674E" w:rsidRPr="006F0D47">
        <w:rPr>
          <w:rFonts w:ascii="Calibri" w:hAnsi="Calibri"/>
          <w:sz w:val="24"/>
          <w:szCs w:val="24"/>
        </w:rPr>
        <w:t>in the health sector</w:t>
      </w:r>
      <w:r w:rsidR="00ED547C" w:rsidRPr="006F0D47">
        <w:rPr>
          <w:rFonts w:ascii="Calibri" w:hAnsi="Calibri"/>
          <w:sz w:val="24"/>
          <w:szCs w:val="24"/>
        </w:rPr>
        <w:t>.</w:t>
      </w:r>
    </w:p>
    <w:p w14:paraId="71F8ABE9" w14:textId="52D4272A" w:rsidR="00F444B8" w:rsidRPr="00D84107" w:rsidRDefault="00F444B8" w:rsidP="008F1189">
      <w:pPr>
        <w:spacing w:before="120" w:after="120" w:line="360" w:lineRule="auto"/>
        <w:jc w:val="both"/>
        <w:rPr>
          <w:rFonts w:ascii="Calibri" w:hAnsi="Calibri"/>
          <w:sz w:val="24"/>
          <w:szCs w:val="24"/>
        </w:rPr>
      </w:pPr>
      <w:r w:rsidRPr="00D84107">
        <w:rPr>
          <w:rFonts w:ascii="Calibri" w:hAnsi="Calibri" w:cs="Times New Roman"/>
          <w:sz w:val="24"/>
          <w:szCs w:val="24"/>
        </w:rPr>
        <w:t>The efficiency</w:t>
      </w:r>
      <w:r w:rsidRPr="00D84107">
        <w:rPr>
          <w:rFonts w:ascii="Calibri" w:hAnsi="Calibri"/>
          <w:sz w:val="24"/>
          <w:szCs w:val="24"/>
        </w:rPr>
        <w:t xml:space="preserve"> </w:t>
      </w:r>
      <w:r w:rsidRPr="00D84107">
        <w:rPr>
          <w:rFonts w:ascii="Calibri" w:hAnsi="Calibri" w:cs="Times New Roman"/>
          <w:sz w:val="24"/>
          <w:szCs w:val="24"/>
        </w:rPr>
        <w:t xml:space="preserve">of a hospital is defined as the ratio </w:t>
      </w:r>
      <w:r w:rsidRPr="00D84107">
        <w:rPr>
          <w:rFonts w:ascii="Calibri" w:eastAsia="Times New Roman" w:hAnsi="Calibri" w:cs="Times New Roman"/>
          <w:sz w:val="24"/>
          <w:szCs w:val="24"/>
        </w:rPr>
        <w:t xml:space="preserve">of the weighted sum of outputs (total </w:t>
      </w:r>
      <w:r w:rsidRPr="00D84107">
        <w:rPr>
          <w:rFonts w:ascii="Calibri" w:hAnsi="Calibri"/>
          <w:sz w:val="24"/>
          <w:szCs w:val="24"/>
        </w:rPr>
        <w:t>virtual output</w:t>
      </w:r>
      <w:r w:rsidRPr="00D84107">
        <w:rPr>
          <w:rFonts w:ascii="Calibri" w:eastAsia="Times New Roman" w:hAnsi="Calibri" w:cs="Times New Roman"/>
          <w:sz w:val="24"/>
          <w:szCs w:val="24"/>
        </w:rPr>
        <w:t xml:space="preserve">) to the weighted sum of inputs (total </w:t>
      </w:r>
      <w:r w:rsidRPr="00D84107">
        <w:rPr>
          <w:rFonts w:ascii="Calibri" w:hAnsi="Calibri"/>
          <w:sz w:val="24"/>
          <w:szCs w:val="24"/>
        </w:rPr>
        <w:t>virtual input</w:t>
      </w:r>
      <w:r w:rsidRPr="00D84107">
        <w:rPr>
          <w:rFonts w:ascii="Calibri" w:eastAsia="Times New Roman" w:hAnsi="Calibri" w:cs="Times New Roman"/>
          <w:sz w:val="24"/>
          <w:szCs w:val="24"/>
        </w:rPr>
        <w:t xml:space="preserve">), </w:t>
      </w:r>
      <w:r w:rsidRPr="00D84107">
        <w:rPr>
          <w:rFonts w:ascii="Calibri" w:hAnsi="Calibri"/>
          <w:sz w:val="24"/>
          <w:szCs w:val="24"/>
        </w:rPr>
        <w:t xml:space="preserve">with the weights being obtained in </w:t>
      </w:r>
      <w:r w:rsidRPr="00FA08B4">
        <w:rPr>
          <w:rFonts w:ascii="Calibri" w:hAnsi="Calibri"/>
          <w:sz w:val="24"/>
          <w:szCs w:val="24"/>
        </w:rPr>
        <w:t>favour</w:t>
      </w:r>
      <w:r w:rsidRPr="00D84107">
        <w:rPr>
          <w:rFonts w:ascii="Calibri" w:hAnsi="Calibri"/>
          <w:sz w:val="24"/>
          <w:szCs w:val="24"/>
        </w:rPr>
        <w:t xml:space="preserve"> of each evaluated unit by the optimization process. </w:t>
      </w:r>
      <w:r w:rsidRPr="00D84107">
        <w:rPr>
          <w:rFonts w:ascii="Calibri" w:hAnsi="Calibri" w:cs="Times New Roman"/>
          <w:sz w:val="24"/>
          <w:szCs w:val="24"/>
        </w:rPr>
        <w:t xml:space="preserve">Assume </w:t>
      </w:r>
      <w:r w:rsidRPr="001E2ADA">
        <w:rPr>
          <w:rFonts w:ascii="Calibri" w:hAnsi="Calibri" w:cs="Times New Roman"/>
          <w:i/>
          <w:iCs/>
          <w:sz w:val="24"/>
          <w:szCs w:val="24"/>
        </w:rPr>
        <w:t xml:space="preserve">n </w:t>
      </w:r>
      <w:r w:rsidRPr="00D84107">
        <w:rPr>
          <w:rFonts w:ascii="Calibri" w:hAnsi="Calibri" w:cs="Times New Roman"/>
          <w:sz w:val="24"/>
          <w:szCs w:val="24"/>
        </w:rPr>
        <w:t xml:space="preserve">DMUs, each using </w:t>
      </w:r>
      <w:r w:rsidRPr="00D84107">
        <w:rPr>
          <w:rFonts w:ascii="Calibri" w:hAnsi="Calibri" w:cs="Times New Roman"/>
          <w:i/>
          <w:sz w:val="24"/>
          <w:szCs w:val="24"/>
        </w:rPr>
        <w:t>m</w:t>
      </w:r>
      <w:r w:rsidRPr="00D84107">
        <w:rPr>
          <w:rFonts w:ascii="Calibri" w:hAnsi="Calibri" w:cs="Times New Roman"/>
          <w:sz w:val="24"/>
          <w:szCs w:val="24"/>
        </w:rPr>
        <w:t xml:space="preserve"> inputs to produce </w:t>
      </w:r>
      <w:r w:rsidRPr="00D84107">
        <w:rPr>
          <w:rFonts w:ascii="Calibri" w:hAnsi="Calibri" w:cs="Times New Roman"/>
          <w:i/>
          <w:sz w:val="24"/>
          <w:szCs w:val="24"/>
        </w:rPr>
        <w:t xml:space="preserve">s </w:t>
      </w:r>
      <w:r w:rsidRPr="00D84107">
        <w:rPr>
          <w:rFonts w:ascii="Calibri" w:hAnsi="Calibri" w:cs="Times New Roman"/>
          <w:sz w:val="24"/>
          <w:szCs w:val="24"/>
        </w:rPr>
        <w:t xml:space="preserve">outputs. We denote </w:t>
      </w:r>
      <w:r>
        <w:rPr>
          <w:rFonts w:ascii="Calibri" w:hAnsi="Calibri" w:cs="Times New Roman"/>
          <w:sz w:val="24"/>
          <w:szCs w:val="24"/>
        </w:rPr>
        <w:t>t</w:t>
      </w:r>
      <w:r w:rsidRPr="00D84107">
        <w:rPr>
          <w:rFonts w:ascii="Calibri" w:hAnsi="Calibri" w:cs="Times New Roman"/>
          <w:sz w:val="24"/>
          <w:szCs w:val="24"/>
        </w:rPr>
        <w:t xml:space="preserve">he vector of inputs for DMU </w:t>
      </w:r>
      <w:r w:rsidRPr="00D84107">
        <w:rPr>
          <w:rFonts w:ascii="Calibri" w:hAnsi="Calibri" w:cs="Times New Roman"/>
          <w:i/>
          <w:sz w:val="24"/>
          <w:szCs w:val="24"/>
        </w:rPr>
        <w:t>j</w:t>
      </w:r>
      <w:r w:rsidRPr="00D84107">
        <w:rPr>
          <w:rFonts w:ascii="Calibri" w:hAnsi="Calibri" w:cs="Times New Roman"/>
          <w:sz w:val="24"/>
          <w:szCs w:val="24"/>
        </w:rPr>
        <w:t xml:space="preserve"> is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mj</m:t>
                    </m:r>
                  </m:sub>
                </m:sSub>
              </m:e>
            </m:d>
          </m:e>
          <m:sup>
            <m:r>
              <w:rPr>
                <w:rFonts w:ascii="Cambria Math" w:hAnsi="Cambria Math" w:cs="Times New Roman"/>
                <w:sz w:val="24"/>
                <w:szCs w:val="24"/>
              </w:rPr>
              <m:t>T</m:t>
            </m:r>
          </m:sup>
        </m:sSup>
      </m:oMath>
      <w:r w:rsidRPr="00D84107">
        <w:rPr>
          <w:rFonts w:ascii="Calibri" w:hAnsi="Calibri" w:cs="Times New Roman"/>
          <w:sz w:val="24"/>
          <w:szCs w:val="24"/>
        </w:rPr>
        <w:t xml:space="preserve"> and the vector of outputs is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1j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rj</m:t>
                    </m:r>
                  </m:sub>
                </m:sSub>
              </m:e>
            </m:d>
          </m:e>
          <m:sup>
            <m:r>
              <w:rPr>
                <w:rFonts w:ascii="Cambria Math" w:hAnsi="Cambria Math" w:cs="Times New Roman"/>
                <w:sz w:val="24"/>
                <w:szCs w:val="24"/>
              </w:rPr>
              <m:t>T</m:t>
            </m:r>
          </m:sup>
        </m:sSup>
      </m:oMath>
      <w:r w:rsidRPr="00D84107">
        <w:rPr>
          <w:rFonts w:ascii="Calibri" w:hAnsi="Calibri" w:cs="Times New Roman"/>
          <w:sz w:val="24"/>
          <w:szCs w:val="24"/>
        </w:rPr>
        <w:t xml:space="preserve">. The model (1) is formulated and solved for each hospital in order to obtain its efficiency score. The variables </w:t>
      </w:r>
      <w:r w:rsidRPr="00D84107">
        <w:rPr>
          <w:rFonts w:ascii="Calibri" w:hAnsi="Calibri"/>
          <w:i/>
          <w:sz w:val="24"/>
          <w:szCs w:val="24"/>
        </w:rPr>
        <w:t>η=(η</w:t>
      </w:r>
      <w:proofErr w:type="gramStart"/>
      <w:r w:rsidRPr="00D84107">
        <w:rPr>
          <w:rFonts w:ascii="Calibri" w:hAnsi="Calibri"/>
          <w:i/>
          <w:sz w:val="24"/>
          <w:szCs w:val="24"/>
          <w:vertAlign w:val="subscript"/>
        </w:rPr>
        <w:t>1</w:t>
      </w:r>
      <w:r w:rsidRPr="00D84107">
        <w:rPr>
          <w:rFonts w:ascii="Calibri" w:hAnsi="Calibri"/>
          <w:i/>
          <w:sz w:val="24"/>
          <w:szCs w:val="24"/>
        </w:rPr>
        <w:t>,…</w:t>
      </w:r>
      <w:proofErr w:type="gramEnd"/>
      <w:r w:rsidRPr="00D84107">
        <w:rPr>
          <w:rFonts w:ascii="Calibri" w:hAnsi="Calibri"/>
          <w:i/>
          <w:sz w:val="24"/>
          <w:szCs w:val="24"/>
        </w:rPr>
        <w:t>,</w:t>
      </w:r>
      <w:proofErr w:type="spellStart"/>
      <w:r w:rsidRPr="00D84107">
        <w:rPr>
          <w:rFonts w:ascii="Calibri" w:hAnsi="Calibri"/>
          <w:i/>
          <w:sz w:val="24"/>
          <w:szCs w:val="24"/>
        </w:rPr>
        <w:t>η</w:t>
      </w:r>
      <w:r w:rsidRPr="00D84107">
        <w:rPr>
          <w:rFonts w:ascii="Calibri" w:hAnsi="Calibri"/>
          <w:i/>
          <w:sz w:val="24"/>
          <w:szCs w:val="24"/>
          <w:vertAlign w:val="subscript"/>
        </w:rPr>
        <w:t>m</w:t>
      </w:r>
      <w:proofErr w:type="spellEnd"/>
      <w:r w:rsidRPr="00D84107">
        <w:rPr>
          <w:rFonts w:ascii="Calibri" w:hAnsi="Calibri"/>
          <w:i/>
          <w:sz w:val="24"/>
          <w:szCs w:val="24"/>
        </w:rPr>
        <w:t xml:space="preserve">) </w:t>
      </w:r>
      <w:r w:rsidRPr="00D84107">
        <w:rPr>
          <w:rFonts w:ascii="Calibri" w:hAnsi="Calibri"/>
          <w:sz w:val="24"/>
          <w:szCs w:val="24"/>
        </w:rPr>
        <w:t xml:space="preserve">and </w:t>
      </w:r>
      <w:r w:rsidRPr="00D84107">
        <w:rPr>
          <w:rFonts w:ascii="Calibri" w:hAnsi="Calibri"/>
          <w:i/>
          <w:sz w:val="24"/>
          <w:szCs w:val="24"/>
        </w:rPr>
        <w:t>ω=(ω</w:t>
      </w:r>
      <w:r w:rsidRPr="00D84107">
        <w:rPr>
          <w:rFonts w:ascii="Calibri" w:hAnsi="Calibri"/>
          <w:i/>
          <w:sz w:val="24"/>
          <w:szCs w:val="24"/>
          <w:vertAlign w:val="subscript"/>
        </w:rPr>
        <w:t>1</w:t>
      </w:r>
      <w:r w:rsidRPr="00D84107">
        <w:rPr>
          <w:rFonts w:ascii="Calibri" w:hAnsi="Calibri"/>
          <w:i/>
          <w:sz w:val="24"/>
          <w:szCs w:val="24"/>
        </w:rPr>
        <w:t>,…,</w:t>
      </w:r>
      <w:proofErr w:type="spellStart"/>
      <w:r w:rsidRPr="00D84107">
        <w:rPr>
          <w:rFonts w:ascii="Calibri" w:hAnsi="Calibri"/>
          <w:i/>
          <w:sz w:val="24"/>
          <w:szCs w:val="24"/>
        </w:rPr>
        <w:t>ω</w:t>
      </w:r>
      <w:r w:rsidRPr="00D84107">
        <w:rPr>
          <w:rFonts w:ascii="Calibri" w:hAnsi="Calibri"/>
          <w:i/>
          <w:sz w:val="24"/>
          <w:szCs w:val="24"/>
          <w:vertAlign w:val="subscript"/>
        </w:rPr>
        <w:t>s</w:t>
      </w:r>
      <w:proofErr w:type="spellEnd"/>
      <w:r w:rsidRPr="00D84107">
        <w:rPr>
          <w:rFonts w:ascii="Calibri" w:hAnsi="Calibri"/>
          <w:sz w:val="24"/>
          <w:szCs w:val="24"/>
        </w:rPr>
        <w:t>) are the weights associated with the inputs and the outputs</w:t>
      </w:r>
      <w:r w:rsidR="00A03DA4">
        <w:rPr>
          <w:rFonts w:ascii="Calibri" w:hAnsi="Calibri"/>
          <w:sz w:val="24"/>
          <w:szCs w:val="24"/>
        </w:rPr>
        <w:t>,</w:t>
      </w:r>
      <w:r w:rsidRPr="00D84107">
        <w:rPr>
          <w:rFonts w:ascii="Calibri" w:hAnsi="Calibri"/>
          <w:sz w:val="24"/>
          <w:szCs w:val="24"/>
        </w:rPr>
        <w:t xml:space="preserve"> respectively. These weights are calculated in a manner that they provide the highest possible efficiency score for </w:t>
      </w:r>
      <w:r>
        <w:rPr>
          <w:rFonts w:ascii="Calibri" w:hAnsi="Calibri"/>
          <w:sz w:val="24"/>
          <w:szCs w:val="24"/>
        </w:rPr>
        <w:t>each</w:t>
      </w:r>
      <w:r w:rsidRPr="00D84107">
        <w:rPr>
          <w:rFonts w:ascii="Calibri" w:hAnsi="Calibri"/>
          <w:sz w:val="24"/>
          <w:szCs w:val="24"/>
        </w:rPr>
        <w:t xml:space="preserve"> hospital </w:t>
      </w:r>
      <w:r w:rsidRPr="00D84107">
        <w:rPr>
          <w:rFonts w:ascii="Calibri" w:hAnsi="Calibri"/>
          <w:i/>
          <w:sz w:val="24"/>
          <w:szCs w:val="24"/>
          <w:vertAlign w:val="subscript"/>
        </w:rPr>
        <w:t>jo</w:t>
      </w:r>
      <w:r>
        <w:rPr>
          <w:rFonts w:ascii="Calibri" w:hAnsi="Calibri"/>
          <w:sz w:val="24"/>
          <w:szCs w:val="24"/>
        </w:rPr>
        <w:t xml:space="preserve"> under evaluation.</w:t>
      </w:r>
    </w:p>
    <w:p w14:paraId="7E6A9010" w14:textId="488F8B72" w:rsidR="00F444B8" w:rsidRPr="00D84107" w:rsidRDefault="00F444B8" w:rsidP="008F1189">
      <w:pPr>
        <w:spacing w:before="120" w:after="120" w:line="360" w:lineRule="auto"/>
        <w:jc w:val="both"/>
        <w:rPr>
          <w:rFonts w:ascii="Calibri" w:hAnsi="Calibri" w:cs="Times New Roman"/>
          <w:sz w:val="24"/>
          <w:szCs w:val="24"/>
        </w:rPr>
      </w:pPr>
      <w:r w:rsidRPr="00D84107">
        <w:rPr>
          <w:rFonts w:ascii="Calibri" w:hAnsi="Calibri" w:cs="Times New Roman"/>
          <w:sz w:val="24"/>
          <w:szCs w:val="24"/>
        </w:rPr>
        <w:t xml:space="preserve">The </w:t>
      </w:r>
      <w:r>
        <w:rPr>
          <w:rFonts w:ascii="Calibri" w:hAnsi="Calibri" w:cs="Times New Roman"/>
          <w:sz w:val="24"/>
          <w:szCs w:val="24"/>
        </w:rPr>
        <w:t>input-oriented</w:t>
      </w:r>
      <w:r w:rsidRPr="00D84107">
        <w:rPr>
          <w:rFonts w:ascii="Calibri" w:hAnsi="Calibri" w:cs="Times New Roman"/>
          <w:sz w:val="24"/>
          <w:szCs w:val="24"/>
        </w:rPr>
        <w:t xml:space="preserve"> BCC model that provides the efficiency for the hospital </w:t>
      </w:r>
      <w:r w:rsidRPr="00D84107">
        <w:rPr>
          <w:rFonts w:ascii="Calibri" w:hAnsi="Calibri" w:cs="Times New Roman"/>
          <w:i/>
          <w:sz w:val="24"/>
          <w:szCs w:val="24"/>
          <w:vertAlign w:val="subscript"/>
        </w:rPr>
        <w:t>jo</w:t>
      </w:r>
      <w:r w:rsidRPr="00D84107">
        <w:rPr>
          <w:rFonts w:ascii="Calibri" w:hAnsi="Calibri" w:cs="Times New Roman"/>
          <w:sz w:val="24"/>
          <w:szCs w:val="24"/>
        </w:rPr>
        <w:t xml:space="preserve"> </w:t>
      </w:r>
      <w:r>
        <w:rPr>
          <w:rFonts w:ascii="Calibri" w:hAnsi="Calibri" w:cs="Times New Roman"/>
          <w:sz w:val="24"/>
          <w:szCs w:val="24"/>
        </w:rPr>
        <w:t xml:space="preserve">under VRS assumption </w:t>
      </w:r>
      <w:r w:rsidRPr="00D84107">
        <w:rPr>
          <w:rFonts w:ascii="Calibri" w:hAnsi="Calibri" w:cs="Times New Roman"/>
          <w:sz w:val="24"/>
          <w:szCs w:val="24"/>
        </w:rPr>
        <w:t>is given below:</w:t>
      </w:r>
    </w:p>
    <w:p w14:paraId="560A9113" w14:textId="1BABD464" w:rsidR="00667AAF" w:rsidRPr="00D84107" w:rsidRDefault="00667AAF" w:rsidP="008F1189">
      <w:pPr>
        <w:spacing w:before="120" w:after="120" w:line="360" w:lineRule="auto"/>
        <w:jc w:val="both"/>
        <w:rPr>
          <w:rFonts w:ascii="Calibri" w:hAnsi="Calibri"/>
          <w:sz w:val="24"/>
          <w:szCs w:val="24"/>
        </w:rPr>
      </w:pPr>
    </w:p>
    <w:tbl>
      <w:tblPr>
        <w:tblW w:w="6237" w:type="dxa"/>
        <w:tblInd w:w="2518" w:type="dxa"/>
        <w:tblLook w:val="04A0" w:firstRow="1" w:lastRow="0" w:firstColumn="1" w:lastColumn="0" w:noHBand="0" w:noVBand="1"/>
      </w:tblPr>
      <w:tblGrid>
        <w:gridCol w:w="3116"/>
        <w:gridCol w:w="3121"/>
      </w:tblGrid>
      <w:tr w:rsidR="00A61342" w:rsidRPr="00FA08B4" w14:paraId="55B70CEF" w14:textId="77777777" w:rsidTr="000C0DE7">
        <w:trPr>
          <w:trHeight w:val="720"/>
        </w:trPr>
        <w:tc>
          <w:tcPr>
            <w:tcW w:w="3116" w:type="dxa"/>
          </w:tcPr>
          <w:p w14:paraId="38A5888D" w14:textId="1CC72187" w:rsidR="00A61342" w:rsidRPr="00D84107" w:rsidRDefault="00A61342" w:rsidP="008F1189">
            <w:pPr>
              <w:spacing w:after="0" w:line="360" w:lineRule="auto"/>
              <w:jc w:val="both"/>
              <w:rPr>
                <w:rFonts w:ascii="Calibri" w:hAnsi="Calibri" w:cs="Times New Roman"/>
                <w:i/>
                <w:sz w:val="24"/>
                <w:szCs w:val="24"/>
              </w:rPr>
            </w:pPr>
            <m:oMathPara>
              <m:oMathParaPr>
                <m:jc m:val="left"/>
              </m:oMathParaPr>
              <m:oMath>
                <m:r>
                  <w:rPr>
                    <w:rFonts w:ascii="Cambria Math" w:hAnsi="Cambria Math" w:cs="Times New Roman"/>
                    <w:sz w:val="24"/>
                    <w:szCs w:val="24"/>
                  </w:rPr>
                  <w:lastRenderedPageBreak/>
                  <m:t xml:space="preserve">max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ω</m:t>
                    </m:r>
                    <m:sSub>
                      <m:sSubPr>
                        <m:ctrlPr>
                          <w:rPr>
                            <w:rFonts w:ascii="Cambria Math" w:hAnsi="Cambria Math" w:cs="Times New Roman"/>
                            <w:i/>
                            <w:sz w:val="24"/>
                            <w:szCs w:val="24"/>
                          </w:rPr>
                        </m:ctrlPr>
                      </m:sSubPr>
                      <m:e>
                        <m:r>
                          <w:rPr>
                            <w:rFonts w:ascii="Cambria Math" w:hAnsi="Cambria Math" w:cs="Times New Roman"/>
                            <w:sz w:val="24"/>
                            <w:szCs w:val="24"/>
                          </w:rPr>
                          <m:t>Y</m:t>
                        </m:r>
                      </m:e>
                      <m: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o</m:t>
                        </m:r>
                      </m:sub>
                    </m:sSub>
                  </m:num>
                  <m:den>
                    <m:r>
                      <w:rPr>
                        <w:rFonts w:ascii="Cambria Math" w:hAnsi="Cambria Math" w:cs="Times New Roman"/>
                        <w:sz w:val="24"/>
                        <w:szCs w:val="24"/>
                      </w:rPr>
                      <m:t>η</m:t>
                    </m:r>
                    <m:sSub>
                      <m:sSubPr>
                        <m:ctrlPr>
                          <w:rPr>
                            <w:rFonts w:ascii="Cambria Math" w:hAnsi="Cambria Math" w:cs="Times New Roman"/>
                            <w:i/>
                            <w:sz w:val="24"/>
                            <w:szCs w:val="24"/>
                          </w:rPr>
                        </m:ctrlPr>
                      </m:sSubPr>
                      <m:e>
                        <m:r>
                          <w:rPr>
                            <w:rFonts w:ascii="Cambria Math" w:hAnsi="Cambria Math" w:cs="Times New Roman"/>
                            <w:sz w:val="24"/>
                            <w:szCs w:val="24"/>
                          </w:rPr>
                          <m:t>X</m:t>
                        </m:r>
                      </m:e>
                      <m: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sub>
                    </m:sSub>
                  </m:den>
                </m:f>
              </m:oMath>
            </m:oMathPara>
          </w:p>
          <w:p w14:paraId="41746BD4" w14:textId="77777777" w:rsidR="00A61342" w:rsidRPr="00D84107" w:rsidRDefault="00A61342" w:rsidP="008F1189">
            <w:pPr>
              <w:spacing w:after="0" w:line="360" w:lineRule="auto"/>
              <w:jc w:val="both"/>
              <w:rPr>
                <w:rFonts w:ascii="Cambria Math" w:hAnsi="Cambria Math" w:cs="Times New Roman"/>
                <w:sz w:val="24"/>
                <w:szCs w:val="24"/>
                <w:oMath/>
              </w:rPr>
            </w:pPr>
            <m:oMathPara>
              <m:oMathParaPr>
                <m:jc m:val="left"/>
              </m:oMathParaPr>
              <m:oMath>
                <m:r>
                  <w:rPr>
                    <w:rFonts w:ascii="Cambria Math" w:hAnsi="Cambria Math" w:cs="Times New Roman"/>
                    <w:sz w:val="24"/>
                    <w:szCs w:val="24"/>
                  </w:rPr>
                  <m:t>s.t.</m:t>
                </m:r>
              </m:oMath>
            </m:oMathPara>
          </w:p>
          <w:p w14:paraId="2A597F5B" w14:textId="64CEBDED" w:rsidR="00A61342" w:rsidRPr="00D84107" w:rsidRDefault="00D27CA9" w:rsidP="008F1189">
            <w:pPr>
              <w:spacing w:after="0" w:line="360" w:lineRule="auto"/>
              <w:jc w:val="both"/>
              <w:rPr>
                <w:rFonts w:ascii="Calibri" w:hAnsi="Calibri" w:cs="Times New Roman"/>
                <w:i/>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ω</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o</m:t>
                      </m:r>
                    </m:sub>
                  </m:sSub>
                </m:num>
                <m:den>
                  <m:r>
                    <w:rPr>
                      <w:rFonts w:ascii="Cambria Math" w:hAnsi="Cambria Math" w:cs="Times New Roman"/>
                      <w:sz w:val="24"/>
                      <w:szCs w:val="24"/>
                    </w:rPr>
                    <m:t>η</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den>
              </m:f>
              <m:r>
                <w:rPr>
                  <w:rFonts w:ascii="Cambria Math" w:hAnsi="Cambria Math" w:cs="Times New Roman"/>
                  <w:sz w:val="24"/>
                  <w:szCs w:val="24"/>
                </w:rPr>
                <m:t>≤1,   j=1,…,n</m:t>
              </m:r>
            </m:oMath>
            <w:r w:rsidR="00A61342" w:rsidRPr="00D84107">
              <w:rPr>
                <w:rFonts w:ascii="Calibri" w:hAnsi="Calibri" w:cs="Times New Roman"/>
                <w:i/>
                <w:sz w:val="24"/>
                <w:szCs w:val="24"/>
              </w:rPr>
              <w:t xml:space="preserve"> </w:t>
            </w:r>
          </w:p>
          <w:p w14:paraId="467789A5" w14:textId="77777777" w:rsidR="00A61342" w:rsidRPr="00D84107" w:rsidRDefault="00A61342" w:rsidP="008F1189">
            <w:pPr>
              <w:spacing w:after="0" w:line="360" w:lineRule="auto"/>
              <w:jc w:val="both"/>
              <w:rPr>
                <w:rFonts w:ascii="Calibri" w:hAnsi="Calibri" w:cs="Times New Roman"/>
                <w:i/>
                <w:sz w:val="24"/>
                <w:szCs w:val="24"/>
              </w:rPr>
            </w:pPr>
            <m:oMathPara>
              <m:oMathParaPr>
                <m:jc m:val="left"/>
              </m:oMathParaPr>
              <m:oMath>
                <m:r>
                  <w:rPr>
                    <w:rFonts w:ascii="Cambria Math" w:hAnsi="Cambria Math" w:cs="Times New Roman"/>
                    <w:sz w:val="24"/>
                    <w:szCs w:val="24"/>
                  </w:rPr>
                  <m:t xml:space="preserve">η≥0, ω≥0 </m:t>
                </m:r>
              </m:oMath>
            </m:oMathPara>
          </w:p>
        </w:tc>
        <w:tc>
          <w:tcPr>
            <w:tcW w:w="3121" w:type="dxa"/>
            <w:vAlign w:val="center"/>
          </w:tcPr>
          <w:p w14:paraId="72E852A2" w14:textId="77777777" w:rsidR="00A61342" w:rsidRPr="00D84107" w:rsidRDefault="00A61342" w:rsidP="008F1189">
            <w:pPr>
              <w:spacing w:after="0" w:line="360" w:lineRule="auto"/>
              <w:jc w:val="both"/>
              <w:rPr>
                <w:rFonts w:ascii="Calibri" w:hAnsi="Calibri" w:cs="Times New Roman"/>
                <w:sz w:val="24"/>
                <w:szCs w:val="24"/>
                <w:highlight w:val="yellow"/>
              </w:rPr>
            </w:pPr>
            <w:r w:rsidRPr="00D84107">
              <w:rPr>
                <w:rFonts w:ascii="Calibri" w:hAnsi="Calibri" w:cs="Times New Roman"/>
                <w:sz w:val="24"/>
                <w:szCs w:val="24"/>
              </w:rPr>
              <w:t>(1)</w:t>
            </w:r>
          </w:p>
        </w:tc>
      </w:tr>
    </w:tbl>
    <w:p w14:paraId="4FB4DBEF" w14:textId="1F78E652" w:rsidR="00F444B8" w:rsidRPr="00D84107" w:rsidRDefault="00F444B8" w:rsidP="008F1189">
      <w:pPr>
        <w:spacing w:before="120" w:after="120" w:line="360" w:lineRule="auto"/>
        <w:jc w:val="both"/>
        <w:rPr>
          <w:rFonts w:ascii="Calibri" w:hAnsi="Calibri" w:cs="Times New Roman"/>
          <w:sz w:val="24"/>
          <w:szCs w:val="24"/>
        </w:rPr>
      </w:pPr>
      <w:r>
        <w:rPr>
          <w:rFonts w:ascii="Calibri" w:hAnsi="Calibri"/>
          <w:sz w:val="24"/>
          <w:szCs w:val="24"/>
        </w:rPr>
        <w:t xml:space="preserve">Notice that by excluding the free of sign variable </w:t>
      </w:r>
      <w:r w:rsidRPr="00C35BD1">
        <w:rPr>
          <w:rFonts w:ascii="Calibri" w:hAnsi="Calibri"/>
          <w:i/>
          <w:iCs/>
          <w:sz w:val="24"/>
          <w:szCs w:val="24"/>
          <w:lang w:val="el-GR"/>
        </w:rPr>
        <w:t>ω</w:t>
      </w:r>
      <w:r w:rsidRPr="00C35BD1">
        <w:rPr>
          <w:rFonts w:ascii="Calibri" w:hAnsi="Calibri"/>
          <w:i/>
          <w:iCs/>
          <w:sz w:val="24"/>
          <w:szCs w:val="24"/>
          <w:vertAlign w:val="subscript"/>
          <w:lang w:val="el-GR"/>
        </w:rPr>
        <w:t>ο</w:t>
      </w:r>
      <w:r w:rsidRPr="00C35BD1">
        <w:rPr>
          <w:rFonts w:ascii="Calibri" w:hAnsi="Calibri"/>
          <w:sz w:val="24"/>
          <w:szCs w:val="24"/>
          <w:lang w:val="en-US"/>
        </w:rPr>
        <w:t xml:space="preserve"> </w:t>
      </w:r>
      <w:r>
        <w:rPr>
          <w:rFonts w:ascii="Calibri" w:hAnsi="Calibri"/>
          <w:sz w:val="24"/>
          <w:szCs w:val="24"/>
        </w:rPr>
        <w:t xml:space="preserve">from </w:t>
      </w:r>
      <w:r w:rsidR="0001443B">
        <w:rPr>
          <w:rFonts w:ascii="Calibri" w:hAnsi="Calibri"/>
          <w:sz w:val="24"/>
          <w:szCs w:val="24"/>
        </w:rPr>
        <w:t>the</w:t>
      </w:r>
      <w:r w:rsidR="00A03DA4">
        <w:rPr>
          <w:rFonts w:ascii="Calibri" w:hAnsi="Calibri"/>
          <w:sz w:val="24"/>
          <w:szCs w:val="24"/>
        </w:rPr>
        <w:t xml:space="preserve"> </w:t>
      </w:r>
      <w:r>
        <w:rPr>
          <w:rFonts w:ascii="Calibri" w:hAnsi="Calibri"/>
          <w:sz w:val="24"/>
          <w:szCs w:val="24"/>
        </w:rPr>
        <w:t>model (1)</w:t>
      </w:r>
      <w:r>
        <w:rPr>
          <w:rFonts w:ascii="Calibri" w:hAnsi="Calibri"/>
          <w:sz w:val="24"/>
          <w:szCs w:val="24"/>
          <w:lang w:val="en-US"/>
        </w:rPr>
        <w:t>, the CCR model is obtained</w:t>
      </w:r>
      <w:r>
        <w:rPr>
          <w:rFonts w:ascii="Calibri" w:hAnsi="Calibri"/>
          <w:sz w:val="24"/>
          <w:szCs w:val="24"/>
        </w:rPr>
        <w:t xml:space="preserve">. </w:t>
      </w:r>
      <w:r w:rsidRPr="00D84107">
        <w:rPr>
          <w:rFonts w:ascii="Calibri" w:hAnsi="Calibri"/>
          <w:sz w:val="24"/>
          <w:szCs w:val="24"/>
        </w:rPr>
        <w:t xml:space="preserve">The </w:t>
      </w:r>
      <w:r>
        <w:rPr>
          <w:rFonts w:ascii="Calibri" w:hAnsi="Calibri"/>
          <w:sz w:val="24"/>
          <w:szCs w:val="24"/>
        </w:rPr>
        <w:t xml:space="preserve">fractional </w:t>
      </w:r>
      <w:r w:rsidRPr="00D84107">
        <w:rPr>
          <w:rFonts w:ascii="Calibri" w:hAnsi="Calibri"/>
          <w:sz w:val="24"/>
          <w:szCs w:val="24"/>
        </w:rPr>
        <w:t xml:space="preserve">model (1) can be transformed </w:t>
      </w:r>
      <w:r w:rsidR="00A03DA4">
        <w:rPr>
          <w:rFonts w:ascii="Calibri" w:hAnsi="Calibri"/>
          <w:sz w:val="24"/>
          <w:szCs w:val="24"/>
        </w:rPr>
        <w:t>in</w:t>
      </w:r>
      <w:r w:rsidRPr="00D84107">
        <w:rPr>
          <w:rFonts w:ascii="Calibri" w:hAnsi="Calibri"/>
          <w:sz w:val="24"/>
          <w:szCs w:val="24"/>
        </w:rPr>
        <w:t xml:space="preserve">to a linear program by applying the </w:t>
      </w:r>
      <w:proofErr w:type="spellStart"/>
      <w:r w:rsidRPr="00D84107">
        <w:rPr>
          <w:rFonts w:ascii="Calibri" w:hAnsi="Calibri"/>
          <w:sz w:val="24"/>
          <w:szCs w:val="24"/>
        </w:rPr>
        <w:t>Charnes</w:t>
      </w:r>
      <w:proofErr w:type="spellEnd"/>
      <w:r w:rsidRPr="00D84107">
        <w:rPr>
          <w:rFonts w:ascii="Calibri" w:hAnsi="Calibri"/>
          <w:sz w:val="24"/>
          <w:szCs w:val="24"/>
        </w:rPr>
        <w:t xml:space="preserve"> and Cooper (1962) transformation (C-C transformation hereafter)</w:t>
      </w:r>
      <w:r w:rsidR="00175E2B">
        <w:rPr>
          <w:rFonts w:ascii="Calibri" w:hAnsi="Calibri"/>
          <w:sz w:val="24"/>
          <w:szCs w:val="24"/>
        </w:rPr>
        <w:t>.</w:t>
      </w:r>
      <w:r w:rsidRPr="00D84107">
        <w:rPr>
          <w:rFonts w:ascii="Calibri" w:hAnsi="Calibri"/>
          <w:sz w:val="24"/>
          <w:szCs w:val="24"/>
          <w:vertAlign w:val="superscript"/>
        </w:rPr>
        <w:t>4</w:t>
      </w:r>
      <w:r>
        <w:rPr>
          <w:rFonts w:ascii="Calibri" w:hAnsi="Calibri"/>
          <w:sz w:val="24"/>
          <w:szCs w:val="24"/>
          <w:vertAlign w:val="superscript"/>
        </w:rPr>
        <w:t>0</w:t>
      </w:r>
      <w:r w:rsidRPr="00D84107">
        <w:rPr>
          <w:rFonts w:ascii="Calibri" w:hAnsi="Calibri"/>
          <w:sz w:val="24"/>
          <w:szCs w:val="24"/>
        </w:rPr>
        <w:t xml:space="preserve"> The transformation is carried out by considering a scalar </w:t>
      </w:r>
      <m:oMath>
        <m:r>
          <w:rPr>
            <w:rFonts w:ascii="Cambria Math" w:hAnsi="Cambria Math"/>
            <w:sz w:val="24"/>
            <w:szCs w:val="24"/>
          </w:rPr>
          <m:t>t∈</m:t>
        </m:r>
        <m:sSup>
          <m:sSupPr>
            <m:ctrlPr>
              <w:rPr>
                <w:rFonts w:ascii="Cambria Math" w:hAnsi="Cambria Math"/>
                <w:i/>
                <w:sz w:val="24"/>
                <w:szCs w:val="24"/>
              </w:rPr>
            </m:ctrlPr>
          </m:sSupPr>
          <m:e>
            <m:r>
              <m:rPr>
                <m:scr m:val="fraktur"/>
              </m:rPr>
              <w:rPr>
                <w:rFonts w:ascii="Cambria Math" w:hAnsi="Cambria Math"/>
                <w:sz w:val="24"/>
                <w:szCs w:val="24"/>
              </w:rPr>
              <m:t>R</m:t>
            </m:r>
          </m:e>
          <m:sup>
            <m:r>
              <w:rPr>
                <w:rFonts w:ascii="Cambria Math" w:hAnsi="Cambria Math"/>
                <w:sz w:val="24"/>
                <w:szCs w:val="24"/>
              </w:rPr>
              <m:t>+</m:t>
            </m:r>
          </m:sup>
        </m:sSup>
      </m:oMath>
      <w:r w:rsidRPr="00D84107">
        <w:rPr>
          <w:rFonts w:ascii="Calibri" w:hAnsi="Calibri"/>
          <w:sz w:val="24"/>
          <w:szCs w:val="24"/>
        </w:rPr>
        <w:t xml:space="preserve"> such as </w:t>
      </w:r>
      <m:oMath>
        <m:r>
          <w:rPr>
            <w:rFonts w:ascii="Cambria Math" w:hAnsi="Cambria Math"/>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ηX</m:t>
            </m:r>
          </m:e>
          <m: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sub>
        </m:sSub>
        <m:r>
          <w:rPr>
            <w:rFonts w:ascii="Cambria Math" w:hAnsi="Cambria Math" w:cs="Times New Roman"/>
            <w:sz w:val="24"/>
            <w:szCs w:val="24"/>
          </w:rPr>
          <m:t>=1</m:t>
        </m:r>
      </m:oMath>
      <w:r w:rsidRPr="00D84107">
        <w:rPr>
          <w:rFonts w:ascii="Calibri" w:hAnsi="Calibri"/>
          <w:sz w:val="24"/>
          <w:szCs w:val="24"/>
        </w:rPr>
        <w:t xml:space="preserve"> and multiplying all terms of model (1) with </w:t>
      </w:r>
      <w:r w:rsidRPr="00D84107">
        <w:rPr>
          <w:rFonts w:ascii="Calibri" w:hAnsi="Calibri"/>
          <w:i/>
          <w:sz w:val="24"/>
          <w:szCs w:val="24"/>
        </w:rPr>
        <w:t>t&gt;0</w:t>
      </w:r>
      <w:r w:rsidRPr="00D84107">
        <w:rPr>
          <w:rFonts w:ascii="Calibri" w:hAnsi="Calibri"/>
          <w:sz w:val="24"/>
          <w:szCs w:val="24"/>
        </w:rPr>
        <w:t xml:space="preserve"> </w:t>
      </w:r>
      <w:r w:rsidRPr="00D84107">
        <w:rPr>
          <w:rFonts w:ascii="Calibri" w:hAnsi="Calibri" w:cs="Times New Roman"/>
          <w:sz w:val="24"/>
          <w:szCs w:val="24"/>
        </w:rPr>
        <w:t xml:space="preserve">so that </w:t>
      </w:r>
      <w:r w:rsidRPr="00D84107">
        <w:rPr>
          <w:rFonts w:ascii="Calibri" w:hAnsi="Calibri" w:cs="Times New Roman"/>
          <w:i/>
          <w:sz w:val="24"/>
          <w:szCs w:val="24"/>
        </w:rPr>
        <w:t xml:space="preserve">v = </w:t>
      </w:r>
      <w:proofErr w:type="spellStart"/>
      <w:r w:rsidRPr="00D84107">
        <w:rPr>
          <w:rFonts w:ascii="Calibri" w:hAnsi="Calibri" w:cs="Times New Roman"/>
          <w:i/>
          <w:sz w:val="24"/>
          <w:szCs w:val="24"/>
        </w:rPr>
        <w:t>tη</w:t>
      </w:r>
      <w:proofErr w:type="spellEnd"/>
      <w:r w:rsidRPr="00D84107">
        <w:rPr>
          <w:rFonts w:ascii="Calibri" w:hAnsi="Calibri" w:cs="Times New Roman"/>
          <w:sz w:val="24"/>
          <w:szCs w:val="24"/>
        </w:rPr>
        <w:t xml:space="preserve">, </w:t>
      </w:r>
      <w:r w:rsidRPr="00D84107">
        <w:rPr>
          <w:rFonts w:ascii="Calibri" w:hAnsi="Calibri" w:cs="Times New Roman"/>
          <w:i/>
          <w:sz w:val="24"/>
          <w:szCs w:val="24"/>
        </w:rPr>
        <w:t xml:space="preserve">u = </w:t>
      </w:r>
      <w:proofErr w:type="spellStart"/>
      <w:r w:rsidRPr="00D84107">
        <w:rPr>
          <w:rFonts w:ascii="Calibri" w:hAnsi="Calibri" w:cs="Times New Roman"/>
          <w:i/>
          <w:sz w:val="24"/>
          <w:szCs w:val="24"/>
        </w:rPr>
        <w:t>tω</w:t>
      </w:r>
      <w:proofErr w:type="spellEnd"/>
      <w:r w:rsidRPr="00D84107">
        <w:rPr>
          <w:rFonts w:ascii="Calibri" w:hAnsi="Calibri" w:cs="Times New Roman"/>
          <w:i/>
          <w:sz w:val="24"/>
          <w:szCs w:val="24"/>
          <w:lang w:val="en-US"/>
        </w:rPr>
        <w:t xml:space="preserve">, </w:t>
      </w:r>
      <w:r w:rsidRPr="00D84107">
        <w:rPr>
          <w:rFonts w:ascii="Calibri" w:hAnsi="Calibri" w:cs="Times New Roman"/>
          <w:i/>
          <w:sz w:val="24"/>
          <w:szCs w:val="24"/>
        </w:rPr>
        <w:t>u</w:t>
      </w:r>
      <w:r w:rsidRPr="00D84107">
        <w:rPr>
          <w:rFonts w:ascii="Calibri" w:hAnsi="Calibri" w:cs="Times New Roman"/>
          <w:i/>
          <w:sz w:val="24"/>
          <w:szCs w:val="24"/>
          <w:vertAlign w:val="subscript"/>
          <w:lang w:val="el-GR"/>
        </w:rPr>
        <w:t>ο</w:t>
      </w:r>
      <w:r w:rsidRPr="00D84107">
        <w:rPr>
          <w:rFonts w:ascii="Calibri" w:hAnsi="Calibri" w:cs="Times New Roman"/>
          <w:i/>
          <w:sz w:val="24"/>
          <w:szCs w:val="24"/>
        </w:rPr>
        <w:t xml:space="preserve"> = </w:t>
      </w:r>
      <w:proofErr w:type="spellStart"/>
      <w:r w:rsidRPr="00D84107">
        <w:rPr>
          <w:rFonts w:ascii="Calibri" w:hAnsi="Calibri" w:cs="Times New Roman"/>
          <w:i/>
          <w:sz w:val="24"/>
          <w:szCs w:val="24"/>
        </w:rPr>
        <w:t>tω</w:t>
      </w:r>
      <w:proofErr w:type="spellEnd"/>
      <w:r w:rsidRPr="00D84107">
        <w:rPr>
          <w:rFonts w:ascii="Calibri" w:hAnsi="Calibri" w:cs="Times New Roman"/>
          <w:i/>
          <w:sz w:val="24"/>
          <w:szCs w:val="24"/>
          <w:vertAlign w:val="subscript"/>
          <w:lang w:val="el-GR"/>
        </w:rPr>
        <w:t>ο</w:t>
      </w:r>
      <w:r w:rsidRPr="00D84107">
        <w:rPr>
          <w:rFonts w:ascii="Calibri" w:hAnsi="Calibri" w:cs="Times New Roman"/>
          <w:sz w:val="24"/>
          <w:szCs w:val="24"/>
        </w:rPr>
        <w:t xml:space="preserve">. The linear equivalent of </w:t>
      </w:r>
      <w:r w:rsidR="00A03DA4">
        <w:rPr>
          <w:rFonts w:ascii="Calibri" w:hAnsi="Calibri" w:cs="Times New Roman"/>
          <w:sz w:val="24"/>
          <w:szCs w:val="24"/>
        </w:rPr>
        <w:t xml:space="preserve">the </w:t>
      </w:r>
      <w:r w:rsidRPr="00D84107">
        <w:rPr>
          <w:rFonts w:ascii="Calibri" w:hAnsi="Calibri" w:cs="Times New Roman"/>
          <w:sz w:val="24"/>
          <w:szCs w:val="24"/>
        </w:rPr>
        <w:t>model (</w:t>
      </w:r>
      <w:r w:rsidRPr="00D84107">
        <w:rPr>
          <w:rFonts w:ascii="Calibri" w:hAnsi="Calibri" w:cs="Times New Roman"/>
          <w:sz w:val="24"/>
          <w:szCs w:val="24"/>
          <w:lang w:val="el-GR"/>
        </w:rPr>
        <w:t>1</w:t>
      </w:r>
      <w:r w:rsidRPr="00D84107">
        <w:rPr>
          <w:rFonts w:ascii="Calibri" w:hAnsi="Calibri" w:cs="Times New Roman"/>
          <w:sz w:val="24"/>
          <w:szCs w:val="24"/>
        </w:rPr>
        <w:t xml:space="preserve">) is </w:t>
      </w:r>
      <w:r>
        <w:rPr>
          <w:rFonts w:ascii="Calibri" w:hAnsi="Calibri" w:cs="Times New Roman"/>
          <w:sz w:val="24"/>
          <w:szCs w:val="24"/>
        </w:rPr>
        <w:t>formulated</w:t>
      </w:r>
      <w:r w:rsidRPr="00D84107">
        <w:rPr>
          <w:rFonts w:ascii="Calibri" w:hAnsi="Calibri" w:cs="Times New Roman"/>
          <w:sz w:val="24"/>
          <w:szCs w:val="24"/>
        </w:rPr>
        <w:t xml:space="preserve"> as:</w:t>
      </w:r>
    </w:p>
    <w:tbl>
      <w:tblPr>
        <w:tblW w:w="2543" w:type="pct"/>
        <w:jc w:val="center"/>
        <w:tblLook w:val="04A0" w:firstRow="1" w:lastRow="0" w:firstColumn="1" w:lastColumn="0" w:noHBand="0" w:noVBand="1"/>
      </w:tblPr>
      <w:tblGrid>
        <w:gridCol w:w="3871"/>
        <w:gridCol w:w="720"/>
      </w:tblGrid>
      <w:tr w:rsidR="003858DA" w:rsidRPr="00FA08B4" w14:paraId="127F4559" w14:textId="5D091E88" w:rsidTr="00D84107">
        <w:trPr>
          <w:cantSplit/>
          <w:trHeight w:val="3011"/>
          <w:jc w:val="center"/>
        </w:trPr>
        <w:tc>
          <w:tcPr>
            <w:tcW w:w="4216" w:type="pct"/>
            <w:vAlign w:val="center"/>
          </w:tcPr>
          <w:p w14:paraId="68B01F38" w14:textId="77777777" w:rsidR="003858DA" w:rsidRPr="00D84107" w:rsidRDefault="00D27CA9" w:rsidP="008F1189">
            <w:pPr>
              <w:spacing w:after="0" w:line="360" w:lineRule="auto"/>
              <w:jc w:val="both"/>
              <w:rPr>
                <w:rFonts w:ascii="Calibri" w:hAnsi="Calibri"/>
                <w:i/>
                <w:sz w:val="24"/>
                <w:szCs w:val="24"/>
              </w:rPr>
            </w:pPr>
            <m:oMathPara>
              <m:oMathParaPr>
                <m:jc m:val="left"/>
              </m:oMathParaPr>
              <m:oMath>
                <m:func>
                  <m:funcPr>
                    <m:ctrlPr>
                      <w:rPr>
                        <w:rFonts w:ascii="Cambria Math" w:hAnsi="Cambria Math"/>
                        <w:i/>
                        <w:sz w:val="24"/>
                        <w:szCs w:val="24"/>
                      </w:rPr>
                    </m:ctrlPr>
                  </m:funcPr>
                  <m:fName>
                    <m:r>
                      <w:rPr>
                        <w:rFonts w:ascii="Cambria Math" w:hAnsi="Cambria Math"/>
                        <w:sz w:val="24"/>
                        <w:szCs w:val="24"/>
                      </w:rPr>
                      <m:t>max</m:t>
                    </m:r>
                  </m:fName>
                  <m:e>
                    <m:r>
                      <w:rPr>
                        <w:rFonts w:ascii="Cambria Math" w:hAnsi="Cambria Math"/>
                        <w:sz w:val="24"/>
                        <w:szCs w:val="24"/>
                      </w:rPr>
                      <m:t>u</m:t>
                    </m:r>
                    <m:sSub>
                      <m:sSubPr>
                        <m:ctrlPr>
                          <w:rPr>
                            <w:rFonts w:ascii="Cambria Math" w:hAnsi="Cambria Math"/>
                            <w:i/>
                            <w:sz w:val="24"/>
                            <w:szCs w:val="24"/>
                          </w:rPr>
                        </m:ctrlPr>
                      </m:sSubPr>
                      <m:e>
                        <m:r>
                          <w:rPr>
                            <w:rFonts w:ascii="Cambria Math" w:hAnsi="Cambria Math"/>
                            <w:sz w:val="24"/>
                            <w:szCs w:val="24"/>
                          </w:rPr>
                          <m:t>Y</m:t>
                        </m:r>
                      </m:e>
                      <m:sub>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0</m:t>
                            </m:r>
                          </m:sub>
                        </m:sSub>
                      </m:sub>
                    </m:sSub>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oMath>
            </m:oMathPara>
          </w:p>
          <w:p w14:paraId="47AA853B" w14:textId="77777777" w:rsidR="003858DA" w:rsidRPr="00D84107" w:rsidRDefault="003858DA" w:rsidP="008F1189">
            <w:pPr>
              <w:spacing w:after="0" w:line="360" w:lineRule="auto"/>
              <w:jc w:val="both"/>
              <w:rPr>
                <w:rFonts w:ascii="Calibri" w:hAnsi="Calibri"/>
                <w:i/>
                <w:sz w:val="24"/>
                <w:szCs w:val="24"/>
              </w:rPr>
            </w:pPr>
            <m:oMathPara>
              <m:oMathParaPr>
                <m:jc m:val="left"/>
              </m:oMathParaPr>
              <m:oMath>
                <m:r>
                  <w:rPr>
                    <w:rFonts w:ascii="Cambria Math" w:hAnsi="Cambria Math"/>
                    <w:sz w:val="24"/>
                    <w:szCs w:val="24"/>
                  </w:rPr>
                  <m:t>s.t.</m:t>
                </m:r>
              </m:oMath>
            </m:oMathPara>
          </w:p>
          <w:p w14:paraId="73C5F2C2" w14:textId="77777777" w:rsidR="003858DA" w:rsidRPr="00D84107" w:rsidRDefault="003858DA" w:rsidP="008F1189">
            <w:pPr>
              <w:spacing w:after="0" w:line="360" w:lineRule="auto"/>
              <w:jc w:val="both"/>
              <w:rPr>
                <w:rFonts w:ascii="Cambria Math" w:hAnsi="Cambria Math"/>
                <w:sz w:val="24"/>
                <w:szCs w:val="24"/>
                <w:oMath/>
              </w:rPr>
            </w:pPr>
            <m:oMathPara>
              <m:oMathParaPr>
                <m:jc m:val="left"/>
              </m:oMathParaPr>
              <m:oMath>
                <m: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X</m:t>
                    </m:r>
                  </m:e>
                  <m:sub>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0</m:t>
                        </m:r>
                      </m:sub>
                    </m:sSub>
                  </m:sub>
                </m:sSub>
                <m:r>
                  <w:rPr>
                    <w:rFonts w:ascii="Cambria Math" w:hAnsi="Cambria Math"/>
                    <w:sz w:val="24"/>
                    <w:szCs w:val="24"/>
                  </w:rPr>
                  <m:t>=1</m:t>
                </m:r>
              </m:oMath>
            </m:oMathPara>
          </w:p>
          <w:p w14:paraId="0BFF03E0" w14:textId="77777777" w:rsidR="003858DA" w:rsidRPr="00D84107" w:rsidRDefault="003858DA" w:rsidP="008F1189">
            <w:pPr>
              <w:spacing w:after="0" w:line="360" w:lineRule="auto"/>
              <w:jc w:val="both"/>
              <w:rPr>
                <w:rFonts w:ascii="Calibri" w:hAnsi="Calibri"/>
                <w:i/>
                <w:sz w:val="24"/>
                <w:szCs w:val="24"/>
              </w:rPr>
            </w:pPr>
            <m:oMath>
              <m:r>
                <w:rPr>
                  <w:rFonts w:ascii="Cambria Math" w:hAnsi="Cambria Math"/>
                  <w:sz w:val="24"/>
                  <w:szCs w:val="24"/>
                </w:rPr>
                <m:t>u</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lang w:val="en-US"/>
                </w:rPr>
                <m:t>-</m:t>
              </m:r>
              <m: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≤0,   j=1,…,n</m:t>
              </m:r>
            </m:oMath>
            <w:r w:rsidRPr="00D84107">
              <w:rPr>
                <w:rFonts w:ascii="Calibri" w:hAnsi="Calibri"/>
                <w:i/>
                <w:sz w:val="24"/>
                <w:szCs w:val="24"/>
              </w:rPr>
              <w:t xml:space="preserve"> </w:t>
            </w:r>
          </w:p>
          <w:p w14:paraId="5144648B" w14:textId="77777777" w:rsidR="003858DA" w:rsidRPr="00D84107" w:rsidRDefault="003858DA" w:rsidP="008F1189">
            <w:pPr>
              <w:spacing w:after="0" w:line="360" w:lineRule="auto"/>
              <w:jc w:val="both"/>
              <w:rPr>
                <w:rFonts w:ascii="Calibri" w:hAnsi="Calibri"/>
                <w:i/>
                <w:sz w:val="24"/>
                <w:szCs w:val="24"/>
              </w:rPr>
            </w:pPr>
            <m:oMathPara>
              <m:oMathParaPr>
                <m:jc m:val="left"/>
              </m:oMathParaPr>
              <m:oMath>
                <m:r>
                  <w:rPr>
                    <w:rFonts w:ascii="Cambria Math" w:hAnsi="Cambria Math"/>
                    <w:sz w:val="24"/>
                    <w:szCs w:val="24"/>
                  </w:rPr>
                  <m:t xml:space="preserve">v≥0, u≥0 </m:t>
                </m:r>
              </m:oMath>
            </m:oMathPara>
          </w:p>
        </w:tc>
        <w:tc>
          <w:tcPr>
            <w:tcW w:w="784" w:type="pct"/>
            <w:vAlign w:val="center"/>
          </w:tcPr>
          <w:p w14:paraId="41E5278A" w14:textId="11976ADE" w:rsidR="003858DA" w:rsidRPr="00FA08B4" w:rsidRDefault="003858DA" w:rsidP="008F1189">
            <w:pPr>
              <w:spacing w:after="0" w:line="360" w:lineRule="auto"/>
              <w:jc w:val="both"/>
              <w:rPr>
                <w:rFonts w:ascii="Calibri" w:eastAsia="Times New Roman" w:hAnsi="Calibri" w:cs="Times New Roman"/>
                <w:sz w:val="24"/>
                <w:szCs w:val="24"/>
              </w:rPr>
            </w:pPr>
            <w:r w:rsidRPr="00FA08B4">
              <w:rPr>
                <w:rFonts w:ascii="Calibri" w:eastAsia="Times New Roman" w:hAnsi="Calibri" w:cs="Times New Roman"/>
                <w:sz w:val="24"/>
                <w:szCs w:val="24"/>
              </w:rPr>
              <w:t>(2)</w:t>
            </w:r>
          </w:p>
        </w:tc>
      </w:tr>
    </w:tbl>
    <w:p w14:paraId="35B040DF" w14:textId="0CDD69DE" w:rsidR="001578F4" w:rsidRPr="00D84107" w:rsidRDefault="00667AAF" w:rsidP="008F1189">
      <w:pPr>
        <w:spacing w:before="120" w:after="120" w:line="360" w:lineRule="auto"/>
        <w:jc w:val="both"/>
        <w:rPr>
          <w:rFonts w:ascii="Calibri" w:hAnsi="Calibri"/>
          <w:sz w:val="24"/>
          <w:szCs w:val="24"/>
        </w:rPr>
      </w:pPr>
      <w:r w:rsidRPr="00D84107">
        <w:rPr>
          <w:rFonts w:ascii="Calibri" w:hAnsi="Calibri" w:cs="Times New Roman"/>
          <w:sz w:val="24"/>
          <w:szCs w:val="24"/>
        </w:rPr>
        <w:t xml:space="preserve">Once an optimal solution </w:t>
      </w:r>
      <w:r w:rsidRPr="00D84107">
        <w:rPr>
          <w:rFonts w:ascii="Calibri" w:hAnsi="Calibri" w:cs="Times New Roman"/>
          <w:i/>
          <w:sz w:val="24"/>
          <w:szCs w:val="24"/>
        </w:rPr>
        <w:t>v</w:t>
      </w:r>
      <w:r w:rsidRPr="00D84107">
        <w:rPr>
          <w:rFonts w:ascii="Calibri" w:hAnsi="Calibri" w:cs="Times New Roman"/>
          <w:i/>
          <w:sz w:val="24"/>
          <w:szCs w:val="24"/>
          <w:vertAlign w:val="superscript"/>
        </w:rPr>
        <w:t>*</w:t>
      </w:r>
      <w:r w:rsidRPr="00D84107">
        <w:rPr>
          <w:rFonts w:ascii="Calibri" w:hAnsi="Calibri" w:cs="Times New Roman"/>
          <w:sz w:val="24"/>
          <w:szCs w:val="24"/>
        </w:rPr>
        <w:t>,</w:t>
      </w:r>
      <w:r w:rsidR="00A61342" w:rsidRPr="00D84107">
        <w:rPr>
          <w:rFonts w:ascii="Calibri" w:hAnsi="Calibri" w:cs="Times New Roman"/>
          <w:sz w:val="24"/>
          <w:szCs w:val="24"/>
          <w:lang w:val="en-US"/>
        </w:rPr>
        <w:t xml:space="preserve"> </w:t>
      </w:r>
      <w:r w:rsidRPr="00D84107">
        <w:rPr>
          <w:rFonts w:ascii="Calibri" w:hAnsi="Calibri" w:cs="Times New Roman"/>
          <w:i/>
          <w:sz w:val="24"/>
          <w:szCs w:val="24"/>
        </w:rPr>
        <w:t>u</w:t>
      </w:r>
      <w:r w:rsidRPr="00D84107">
        <w:rPr>
          <w:rFonts w:ascii="Calibri" w:hAnsi="Calibri" w:cs="Times New Roman"/>
          <w:i/>
          <w:sz w:val="24"/>
          <w:szCs w:val="24"/>
          <w:vertAlign w:val="superscript"/>
        </w:rPr>
        <w:t>*</w:t>
      </w:r>
      <w:r w:rsidR="00A61342" w:rsidRPr="00D84107">
        <w:rPr>
          <w:rFonts w:ascii="Calibri" w:hAnsi="Calibri" w:cs="Times New Roman"/>
          <w:iCs/>
          <w:sz w:val="24"/>
          <w:szCs w:val="24"/>
          <w:lang w:val="en-US"/>
        </w:rPr>
        <w:t xml:space="preserve">, </w:t>
      </w:r>
      <w:r w:rsidR="00A61342" w:rsidRPr="00D84107">
        <w:rPr>
          <w:rFonts w:ascii="Calibri" w:hAnsi="Calibri" w:cs="Times New Roman"/>
          <w:i/>
          <w:sz w:val="24"/>
          <w:szCs w:val="24"/>
        </w:rPr>
        <w:t>u</w:t>
      </w:r>
      <w:r w:rsidR="00A61342" w:rsidRPr="00D84107">
        <w:rPr>
          <w:rFonts w:ascii="Calibri" w:hAnsi="Calibri" w:cs="Times New Roman"/>
          <w:i/>
          <w:sz w:val="24"/>
          <w:szCs w:val="24"/>
          <w:vertAlign w:val="subscript"/>
          <w:lang w:val="el-GR"/>
        </w:rPr>
        <w:t>ο</w:t>
      </w:r>
      <w:r w:rsidR="00A61342" w:rsidRPr="00D84107">
        <w:rPr>
          <w:rFonts w:ascii="Calibri" w:hAnsi="Calibri" w:cs="Times New Roman"/>
          <w:i/>
          <w:sz w:val="24"/>
          <w:szCs w:val="24"/>
          <w:vertAlign w:val="superscript"/>
        </w:rPr>
        <w:t>*</w:t>
      </w:r>
      <w:r w:rsidR="00A61342" w:rsidRPr="00D84107">
        <w:rPr>
          <w:rFonts w:ascii="Calibri" w:hAnsi="Calibri" w:cs="Times New Roman"/>
          <w:sz w:val="24"/>
          <w:szCs w:val="24"/>
        </w:rPr>
        <w:t xml:space="preserve"> </w:t>
      </w:r>
      <w:r w:rsidRPr="00D84107">
        <w:rPr>
          <w:rFonts w:ascii="Calibri" w:hAnsi="Calibri" w:cs="Times New Roman"/>
          <w:sz w:val="24"/>
          <w:szCs w:val="24"/>
        </w:rPr>
        <w:t xml:space="preserve">of </w:t>
      </w:r>
      <w:r w:rsidR="00A03DA4">
        <w:rPr>
          <w:rFonts w:ascii="Calibri" w:hAnsi="Calibri" w:cs="Times New Roman"/>
          <w:sz w:val="24"/>
          <w:szCs w:val="24"/>
        </w:rPr>
        <w:t xml:space="preserve">the </w:t>
      </w:r>
      <w:r w:rsidRPr="00D84107">
        <w:rPr>
          <w:rFonts w:ascii="Calibri" w:hAnsi="Calibri" w:cs="Times New Roman"/>
          <w:sz w:val="24"/>
          <w:szCs w:val="24"/>
        </w:rPr>
        <w:t>model (2) is derived, the input</w:t>
      </w:r>
      <w:r w:rsidR="00F444B8">
        <w:rPr>
          <w:rFonts w:ascii="Calibri" w:hAnsi="Calibri" w:cs="Times New Roman"/>
          <w:sz w:val="24"/>
          <w:szCs w:val="24"/>
        </w:rPr>
        <w:t>-</w:t>
      </w:r>
      <w:r w:rsidRPr="00D84107">
        <w:rPr>
          <w:rFonts w:ascii="Calibri" w:hAnsi="Calibri" w:cs="Times New Roman"/>
          <w:sz w:val="24"/>
          <w:szCs w:val="24"/>
        </w:rPr>
        <w:t xml:space="preserve">oriented </w:t>
      </w:r>
      <w:r w:rsidR="00F444B8">
        <w:rPr>
          <w:rFonts w:ascii="Calibri" w:hAnsi="Calibri" w:cs="Times New Roman"/>
          <w:sz w:val="24"/>
          <w:szCs w:val="24"/>
        </w:rPr>
        <w:t>B</w:t>
      </w:r>
      <w:r w:rsidRPr="00D84107">
        <w:rPr>
          <w:rFonts w:ascii="Calibri" w:hAnsi="Calibri" w:cs="Times New Roman"/>
          <w:sz w:val="24"/>
          <w:szCs w:val="24"/>
        </w:rPr>
        <w:t>C</w:t>
      </w:r>
      <w:r w:rsidR="00F444B8">
        <w:rPr>
          <w:rFonts w:ascii="Calibri" w:hAnsi="Calibri" w:cs="Times New Roman"/>
          <w:sz w:val="24"/>
          <w:szCs w:val="24"/>
        </w:rPr>
        <w:t>C</w:t>
      </w:r>
      <w:r w:rsidRPr="00D84107">
        <w:rPr>
          <w:rFonts w:ascii="Calibri" w:hAnsi="Calibri" w:cs="Times New Roman"/>
          <w:sz w:val="24"/>
          <w:szCs w:val="24"/>
        </w:rPr>
        <w:t xml:space="preserve">-efficiency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0</m:t>
                </m:r>
              </m:sub>
            </m:sSub>
          </m:sub>
          <m:sup>
            <m:r>
              <w:rPr>
                <w:rFonts w:ascii="Cambria Math" w:hAnsi="Cambria Math" w:cs="Times New Roman"/>
                <w:sz w:val="24"/>
                <w:szCs w:val="24"/>
              </w:rPr>
              <m:t>*</m:t>
            </m:r>
          </m:sup>
        </m:sSubSup>
      </m:oMath>
      <w:r w:rsidRPr="00D84107">
        <w:rPr>
          <w:rFonts w:ascii="Calibri" w:hAnsi="Calibri" w:cs="Times New Roman"/>
          <w:sz w:val="24"/>
          <w:szCs w:val="24"/>
        </w:rPr>
        <w:t xml:space="preserve"> for</w:t>
      </w:r>
      <w:r w:rsidR="00A61342" w:rsidRPr="00D84107">
        <w:rPr>
          <w:rFonts w:ascii="Calibri" w:hAnsi="Calibri" w:cs="Times New Roman"/>
          <w:sz w:val="24"/>
          <w:szCs w:val="24"/>
          <w:lang w:val="en-US"/>
        </w:rPr>
        <w:t xml:space="preserve"> the hospital</w:t>
      </w:r>
      <w:r w:rsidRPr="00D84107">
        <w:rPr>
          <w:rFonts w:ascii="Calibri" w:hAnsi="Calibri" w:cs="Times New Roman"/>
          <w:i/>
          <w:sz w:val="24"/>
          <w:szCs w:val="24"/>
          <w:vertAlign w:val="subscript"/>
        </w:rPr>
        <w:t>jo</w:t>
      </w:r>
      <w:r w:rsidRPr="00D84107">
        <w:rPr>
          <w:rFonts w:ascii="Calibri" w:hAnsi="Calibri" w:cs="Times New Roman"/>
          <w:sz w:val="24"/>
          <w:szCs w:val="24"/>
        </w:rPr>
        <w:t xml:space="preserve"> under evaluation is obtained directly from the objective function.</w:t>
      </w:r>
    </w:p>
    <w:p w14:paraId="68294B0B" w14:textId="25331C27" w:rsidR="00F05835" w:rsidRPr="00FA08B4" w:rsidRDefault="00F05835" w:rsidP="008F1189">
      <w:pPr>
        <w:spacing w:line="360" w:lineRule="auto"/>
        <w:jc w:val="both"/>
        <w:rPr>
          <w:rFonts w:ascii="Calibri" w:hAnsi="Calibri"/>
          <w:sz w:val="24"/>
          <w:szCs w:val="24"/>
        </w:rPr>
      </w:pPr>
      <w:r w:rsidRPr="00D84107">
        <w:rPr>
          <w:rFonts w:ascii="Calibri" w:hAnsi="Calibri"/>
          <w:sz w:val="24"/>
          <w:szCs w:val="24"/>
        </w:rPr>
        <w:t>Banker et al</w:t>
      </w:r>
      <w:r w:rsidR="00A03DA4">
        <w:rPr>
          <w:rFonts w:ascii="Calibri" w:hAnsi="Calibri"/>
          <w:sz w:val="24"/>
          <w:szCs w:val="24"/>
        </w:rPr>
        <w:t>.</w:t>
      </w:r>
      <w:r w:rsidRPr="00D84107">
        <w:rPr>
          <w:rFonts w:ascii="Calibri" w:hAnsi="Calibri"/>
          <w:sz w:val="24"/>
          <w:szCs w:val="24"/>
        </w:rPr>
        <w:t xml:space="preserve"> (1984) determined the returns to scale (RTS) using the optimal value of the free variable </w:t>
      </w:r>
      <w:proofErr w:type="spellStart"/>
      <w:r w:rsidR="00F444B8" w:rsidRPr="00C35BD1">
        <w:rPr>
          <w:rFonts w:ascii="Calibri" w:hAnsi="Calibri"/>
          <w:i/>
          <w:iCs/>
          <w:sz w:val="24"/>
          <w:szCs w:val="24"/>
        </w:rPr>
        <w:t>u</w:t>
      </w:r>
      <w:r w:rsidR="00F444B8" w:rsidRPr="00C35BD1">
        <w:rPr>
          <w:rFonts w:ascii="Calibri" w:hAnsi="Calibri"/>
          <w:i/>
          <w:iCs/>
          <w:sz w:val="24"/>
          <w:szCs w:val="24"/>
          <w:vertAlign w:val="subscript"/>
        </w:rPr>
        <w:t>o</w:t>
      </w:r>
      <w:proofErr w:type="spellEnd"/>
      <w:r w:rsidR="00F444B8" w:rsidRPr="00D84107">
        <w:rPr>
          <w:rFonts w:ascii="Calibri" w:hAnsi="Calibri"/>
          <w:sz w:val="24"/>
          <w:szCs w:val="24"/>
        </w:rPr>
        <w:t xml:space="preserve"> </w:t>
      </w:r>
      <w:r w:rsidRPr="00D84107">
        <w:rPr>
          <w:rFonts w:ascii="Calibri" w:hAnsi="Calibri"/>
          <w:sz w:val="24"/>
          <w:szCs w:val="24"/>
        </w:rPr>
        <w:t>in the multiplier model</w:t>
      </w:r>
      <w:r w:rsidR="00F444B8">
        <w:rPr>
          <w:rFonts w:ascii="Calibri" w:hAnsi="Calibri"/>
          <w:sz w:val="24"/>
          <w:szCs w:val="24"/>
        </w:rPr>
        <w:t xml:space="preserve"> (2).</w:t>
      </w:r>
      <w:r w:rsidR="007E7EA3">
        <w:rPr>
          <w:rFonts w:ascii="Calibri" w:hAnsi="Calibri"/>
          <w:sz w:val="24"/>
          <w:szCs w:val="24"/>
          <w:vertAlign w:val="superscript"/>
        </w:rPr>
        <w:t>34</w:t>
      </w:r>
      <w:r w:rsidR="00A61342" w:rsidRPr="00D84107">
        <w:rPr>
          <w:rFonts w:ascii="Calibri" w:hAnsi="Calibri"/>
          <w:sz w:val="24"/>
          <w:szCs w:val="24"/>
          <w:lang w:val="en-US"/>
        </w:rPr>
        <w:t xml:space="preserve"> </w:t>
      </w:r>
      <w:r w:rsidRPr="00D84107">
        <w:rPr>
          <w:rFonts w:ascii="Calibri" w:hAnsi="Calibri"/>
          <w:sz w:val="24"/>
          <w:szCs w:val="24"/>
        </w:rPr>
        <w:t xml:space="preserve">Given the point </w:t>
      </w:r>
      <w:r w:rsidR="005E73EA" w:rsidRPr="005E73EA">
        <w:rPr>
          <w:rFonts w:ascii="Calibri" w:hAnsi="Calibri"/>
          <w:noProof/>
          <w:position w:val="-14"/>
          <w:sz w:val="24"/>
          <w:szCs w:val="24"/>
        </w:rPr>
        <w:object w:dxaOrig="750" w:dyaOrig="390" w14:anchorId="662D1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22.5pt;mso-width-percent:0;mso-height-percent:0;mso-width-percent:0;mso-height-percent:0" o:ole="">
            <v:imagedata r:id="rId11" o:title=""/>
          </v:shape>
          <o:OLEObject Type="Embed" ProgID="Equation.DSMT4" ShapeID="_x0000_i1025" DrawAspect="Content" ObjectID="_1640520050" r:id="rId12"/>
        </w:object>
      </w:r>
      <w:r w:rsidRPr="00FA08B4">
        <w:rPr>
          <w:rFonts w:ascii="Calibri" w:hAnsi="Calibri"/>
          <w:sz w:val="24"/>
          <w:szCs w:val="24"/>
        </w:rPr>
        <w:t xml:space="preserve">that lies on the efficient frontier, the returns to scale at this point are identified by the following </w:t>
      </w:r>
      <w:r w:rsidR="004751EA">
        <w:rPr>
          <w:rFonts w:ascii="Calibri" w:hAnsi="Calibri"/>
          <w:sz w:val="24"/>
          <w:szCs w:val="24"/>
        </w:rPr>
        <w:t xml:space="preserve">three </w:t>
      </w:r>
      <w:r w:rsidRPr="00FA08B4">
        <w:rPr>
          <w:rFonts w:ascii="Calibri" w:hAnsi="Calibri"/>
          <w:sz w:val="24"/>
          <w:szCs w:val="24"/>
        </w:rPr>
        <w:t>conditions:</w:t>
      </w:r>
    </w:p>
    <w:p w14:paraId="55122FFE" w14:textId="71318F12" w:rsidR="00F05835" w:rsidRPr="00FA08B4" w:rsidRDefault="00F05835" w:rsidP="008F1189">
      <w:pPr>
        <w:pStyle w:val="ListParagraph"/>
        <w:numPr>
          <w:ilvl w:val="0"/>
          <w:numId w:val="8"/>
        </w:numPr>
        <w:spacing w:before="120" w:after="120" w:line="360" w:lineRule="auto"/>
        <w:ind w:left="426" w:hanging="340"/>
        <w:jc w:val="both"/>
        <w:rPr>
          <w:rFonts w:ascii="Calibri" w:hAnsi="Calibri"/>
          <w:sz w:val="24"/>
          <w:szCs w:val="24"/>
          <w:lang w:val="en-US"/>
        </w:rPr>
      </w:pPr>
      <w:r w:rsidRPr="00FA08B4">
        <w:rPr>
          <w:rFonts w:ascii="Calibri" w:hAnsi="Calibri"/>
          <w:sz w:val="24"/>
          <w:szCs w:val="24"/>
          <w:lang w:val="en-US"/>
        </w:rPr>
        <w:t xml:space="preserve">Increasing returns to scale (IRS) prevail at </w:t>
      </w:r>
      <w:r w:rsidR="005E73EA" w:rsidRPr="005E73EA">
        <w:rPr>
          <w:rFonts w:ascii="Calibri" w:hAnsi="Calibri"/>
          <w:noProof/>
          <w:position w:val="-14"/>
          <w:sz w:val="24"/>
          <w:szCs w:val="24"/>
          <w:lang w:val="en-US"/>
        </w:rPr>
        <w:object w:dxaOrig="750" w:dyaOrig="390" w14:anchorId="4D65A369">
          <v:shape id="_x0000_i1026" type="#_x0000_t75" alt="" style="width:37.5pt;height:22.5pt;mso-width-percent:0;mso-height-percent:0;mso-width-percent:0;mso-height-percent:0" o:ole="">
            <v:imagedata r:id="rId11" o:title=""/>
          </v:shape>
          <o:OLEObject Type="Embed" ProgID="Equation.DSMT4" ShapeID="_x0000_i1026" DrawAspect="Content" ObjectID="_1640520051" r:id="rId13"/>
        </w:object>
      </w:r>
      <w:r w:rsidRPr="00FA08B4">
        <w:rPr>
          <w:rFonts w:ascii="Calibri" w:hAnsi="Calibri"/>
          <w:sz w:val="24"/>
          <w:szCs w:val="24"/>
          <w:lang w:val="en-US"/>
        </w:rPr>
        <w:t xml:space="preserve"> </w:t>
      </w:r>
      <w:proofErr w:type="spellStart"/>
      <w:r w:rsidRPr="00FA08B4">
        <w:rPr>
          <w:rFonts w:ascii="Calibri" w:hAnsi="Calibri"/>
          <w:sz w:val="24"/>
          <w:szCs w:val="24"/>
          <w:lang w:val="en-US"/>
        </w:rPr>
        <w:t>if</w:t>
      </w:r>
      <w:proofErr w:type="spellEnd"/>
      <w:r w:rsidRPr="00FA08B4">
        <w:rPr>
          <w:rFonts w:ascii="Calibri" w:hAnsi="Calibri"/>
          <w:sz w:val="24"/>
          <w:szCs w:val="24"/>
          <w:lang w:val="en-US"/>
        </w:rPr>
        <w:t xml:space="preserve"> and only if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o</m:t>
            </m:r>
          </m:sub>
          <m:sup>
            <m:r>
              <w:rPr>
                <w:rFonts w:ascii="Cambria Math" w:hAnsi="Cambria Math" w:cs="Times New Roman"/>
                <w:sz w:val="24"/>
                <w:szCs w:val="24"/>
                <w:lang w:val="en-US"/>
              </w:rPr>
              <m:t>*</m:t>
            </m:r>
          </m:sup>
        </m:sSubSup>
        <m:r>
          <w:rPr>
            <w:rFonts w:ascii="Cambria Math" w:hAnsi="Cambria Math" w:cs="Times New Roman"/>
            <w:sz w:val="24"/>
            <w:szCs w:val="24"/>
            <w:lang w:val="en-US"/>
          </w:rPr>
          <m:t>&lt;0</m:t>
        </m:r>
      </m:oMath>
      <w:r w:rsidRPr="00FA08B4">
        <w:rPr>
          <w:rFonts w:ascii="Calibri" w:hAnsi="Calibri" w:cs="Times New Roman"/>
          <w:sz w:val="24"/>
          <w:szCs w:val="24"/>
          <w:lang w:val="en-US"/>
        </w:rPr>
        <w:t xml:space="preserve"> </w:t>
      </w:r>
      <w:r w:rsidRPr="00FA08B4">
        <w:rPr>
          <w:rFonts w:ascii="Calibri" w:hAnsi="Calibri"/>
          <w:sz w:val="24"/>
          <w:szCs w:val="24"/>
          <w:lang w:val="en-US"/>
        </w:rPr>
        <w:t>for all optimal solutions</w:t>
      </w:r>
      <w:r w:rsidR="004751EA">
        <w:rPr>
          <w:rFonts w:ascii="Calibri" w:hAnsi="Calibri"/>
          <w:sz w:val="24"/>
          <w:szCs w:val="24"/>
          <w:lang w:val="en-US"/>
        </w:rPr>
        <w:t>. Meaning</w:t>
      </w:r>
      <w:r w:rsidR="004751EA" w:rsidRPr="004751EA">
        <w:rPr>
          <w:rFonts w:ascii="Calibri" w:hAnsi="Calibri"/>
          <w:sz w:val="24"/>
          <w:szCs w:val="24"/>
          <w:lang w:val="en-US"/>
        </w:rPr>
        <w:t xml:space="preserve"> the increase in all production factors </w:t>
      </w:r>
      <w:r w:rsidR="00306C13" w:rsidRPr="00306C13">
        <w:rPr>
          <w:rFonts w:ascii="Calibri" w:hAnsi="Calibri"/>
          <w:sz w:val="24"/>
          <w:szCs w:val="24"/>
          <w:lang w:val="en-US"/>
        </w:rPr>
        <w:t xml:space="preserve">(inputs) </w:t>
      </w:r>
      <w:r w:rsidR="004751EA" w:rsidRPr="004751EA">
        <w:rPr>
          <w:rFonts w:ascii="Calibri" w:hAnsi="Calibri"/>
          <w:sz w:val="24"/>
          <w:szCs w:val="24"/>
          <w:lang w:val="en-US"/>
        </w:rPr>
        <w:t>resulted in more production</w:t>
      </w:r>
      <w:r w:rsidR="00306C13">
        <w:rPr>
          <w:rFonts w:ascii="Calibri" w:hAnsi="Calibri"/>
          <w:sz w:val="24"/>
          <w:szCs w:val="24"/>
          <w:lang w:val="en-US"/>
        </w:rPr>
        <w:t xml:space="preserve"> </w:t>
      </w:r>
      <w:r w:rsidR="00306C13" w:rsidRPr="00306C13">
        <w:rPr>
          <w:rFonts w:ascii="Calibri" w:hAnsi="Calibri"/>
          <w:sz w:val="24"/>
          <w:szCs w:val="24"/>
          <w:lang w:val="en-US"/>
        </w:rPr>
        <w:t>(outputs</w:t>
      </w:r>
      <w:r w:rsidR="00306C13">
        <w:rPr>
          <w:rFonts w:ascii="Calibri" w:hAnsi="Calibri"/>
          <w:sz w:val="24"/>
          <w:szCs w:val="24"/>
          <w:lang w:val="en-US"/>
        </w:rPr>
        <w:t>)</w:t>
      </w:r>
      <w:r w:rsidR="004751EA">
        <w:rPr>
          <w:rFonts w:ascii="Calibri" w:hAnsi="Calibri"/>
          <w:sz w:val="24"/>
          <w:szCs w:val="24"/>
          <w:lang w:val="en-US"/>
        </w:rPr>
        <w:t>.</w:t>
      </w:r>
    </w:p>
    <w:p w14:paraId="35C8085A" w14:textId="3CCB98D2" w:rsidR="00F05835" w:rsidRPr="00FA08B4" w:rsidRDefault="00F05835" w:rsidP="008F1189">
      <w:pPr>
        <w:pStyle w:val="ListParagraph"/>
        <w:numPr>
          <w:ilvl w:val="0"/>
          <w:numId w:val="8"/>
        </w:numPr>
        <w:spacing w:before="120" w:after="120" w:line="360" w:lineRule="auto"/>
        <w:ind w:left="426" w:hanging="346"/>
        <w:jc w:val="both"/>
        <w:rPr>
          <w:rFonts w:ascii="Calibri" w:hAnsi="Calibri"/>
          <w:b/>
          <w:sz w:val="24"/>
          <w:szCs w:val="24"/>
          <w:lang w:val="en-US"/>
        </w:rPr>
      </w:pPr>
      <w:r w:rsidRPr="00FA08B4">
        <w:rPr>
          <w:rFonts w:ascii="Calibri" w:hAnsi="Calibri"/>
          <w:sz w:val="24"/>
          <w:szCs w:val="24"/>
          <w:lang w:val="en-US"/>
        </w:rPr>
        <w:t xml:space="preserve">Decreasing returns to scale (DRS) prevail at </w:t>
      </w:r>
      <w:r w:rsidR="005E73EA" w:rsidRPr="005E73EA">
        <w:rPr>
          <w:rFonts w:ascii="Calibri" w:hAnsi="Calibri"/>
          <w:noProof/>
          <w:position w:val="-14"/>
          <w:sz w:val="24"/>
          <w:szCs w:val="24"/>
          <w:lang w:val="en-US"/>
        </w:rPr>
        <w:object w:dxaOrig="750" w:dyaOrig="390" w14:anchorId="204450ED">
          <v:shape id="_x0000_i1027" type="#_x0000_t75" alt="" style="width:37.5pt;height:22.5pt;mso-width-percent:0;mso-height-percent:0;mso-width-percent:0;mso-height-percent:0" o:ole="">
            <v:imagedata r:id="rId11" o:title=""/>
          </v:shape>
          <o:OLEObject Type="Embed" ProgID="Equation.DSMT4" ShapeID="_x0000_i1027" DrawAspect="Content" ObjectID="_1640520052" r:id="rId14"/>
        </w:object>
      </w:r>
      <w:r w:rsidRPr="00FA08B4">
        <w:rPr>
          <w:rFonts w:ascii="Calibri" w:hAnsi="Calibri"/>
          <w:sz w:val="24"/>
          <w:szCs w:val="24"/>
          <w:lang w:val="en-US"/>
        </w:rPr>
        <w:t xml:space="preserve"> </w:t>
      </w:r>
      <w:proofErr w:type="spellStart"/>
      <w:r w:rsidRPr="00FA08B4">
        <w:rPr>
          <w:rFonts w:ascii="Calibri" w:hAnsi="Calibri"/>
          <w:sz w:val="24"/>
          <w:szCs w:val="24"/>
          <w:lang w:val="en-US"/>
        </w:rPr>
        <w:t>if</w:t>
      </w:r>
      <w:proofErr w:type="spellEnd"/>
      <w:r w:rsidRPr="00FA08B4">
        <w:rPr>
          <w:rFonts w:ascii="Calibri" w:hAnsi="Calibri"/>
          <w:sz w:val="24"/>
          <w:szCs w:val="24"/>
          <w:lang w:val="en-US"/>
        </w:rPr>
        <w:t xml:space="preserve"> and only if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o</m:t>
            </m:r>
          </m:sub>
          <m:sup>
            <m:r>
              <w:rPr>
                <w:rFonts w:ascii="Cambria Math" w:hAnsi="Cambria Math" w:cs="Times New Roman"/>
                <w:sz w:val="24"/>
                <w:szCs w:val="24"/>
                <w:lang w:val="en-US"/>
              </w:rPr>
              <m:t>*</m:t>
            </m:r>
          </m:sup>
        </m:sSubSup>
        <m:r>
          <w:rPr>
            <w:rFonts w:ascii="Cambria Math" w:hAnsi="Cambria Math" w:cs="Times New Roman"/>
            <w:sz w:val="24"/>
            <w:szCs w:val="24"/>
            <w:lang w:val="en-US"/>
          </w:rPr>
          <m:t>&gt;0</m:t>
        </m:r>
      </m:oMath>
      <w:r w:rsidRPr="00FA08B4">
        <w:rPr>
          <w:rFonts w:ascii="Calibri" w:hAnsi="Calibri"/>
          <w:sz w:val="24"/>
          <w:szCs w:val="24"/>
          <w:lang w:val="en-US"/>
        </w:rPr>
        <w:t xml:space="preserve"> for all optimal solutions</w:t>
      </w:r>
      <w:r w:rsidR="004751EA">
        <w:rPr>
          <w:rFonts w:ascii="Calibri" w:hAnsi="Calibri"/>
          <w:sz w:val="24"/>
          <w:szCs w:val="24"/>
          <w:lang w:val="en-US"/>
        </w:rPr>
        <w:t xml:space="preserve">, </w:t>
      </w:r>
      <w:r w:rsidR="004751EA" w:rsidRPr="004751EA">
        <w:rPr>
          <w:rFonts w:ascii="Calibri" w:hAnsi="Calibri"/>
          <w:sz w:val="24"/>
          <w:szCs w:val="24"/>
          <w:lang w:val="en-US"/>
        </w:rPr>
        <w:t>meaning an equal increase in all production factors led to less production.</w:t>
      </w:r>
    </w:p>
    <w:p w14:paraId="55F53FCF" w14:textId="7DB663C2" w:rsidR="00F05835" w:rsidRPr="00FA08B4" w:rsidRDefault="00F05835" w:rsidP="008F1189">
      <w:pPr>
        <w:pStyle w:val="ListParagraph"/>
        <w:numPr>
          <w:ilvl w:val="0"/>
          <w:numId w:val="8"/>
        </w:numPr>
        <w:spacing w:before="480" w:after="120" w:line="360" w:lineRule="auto"/>
        <w:ind w:left="426" w:hanging="340"/>
        <w:jc w:val="both"/>
        <w:rPr>
          <w:rFonts w:ascii="Calibri" w:hAnsi="Calibri"/>
          <w:b/>
          <w:sz w:val="24"/>
          <w:szCs w:val="24"/>
          <w:lang w:val="en-US"/>
        </w:rPr>
      </w:pPr>
      <w:r w:rsidRPr="00FA08B4">
        <w:rPr>
          <w:rFonts w:ascii="Calibri" w:hAnsi="Calibri"/>
          <w:sz w:val="24"/>
          <w:szCs w:val="24"/>
          <w:lang w:val="en-US"/>
        </w:rPr>
        <w:lastRenderedPageBreak/>
        <w:t xml:space="preserve">Constant returns to scale (CRS) prevail at </w:t>
      </w:r>
      <w:r w:rsidR="005E73EA" w:rsidRPr="005E73EA">
        <w:rPr>
          <w:rFonts w:ascii="Calibri" w:hAnsi="Calibri"/>
          <w:noProof/>
          <w:position w:val="-14"/>
          <w:sz w:val="24"/>
          <w:szCs w:val="24"/>
          <w:lang w:val="en-US"/>
        </w:rPr>
        <w:object w:dxaOrig="750" w:dyaOrig="390" w14:anchorId="7E417965">
          <v:shape id="_x0000_i1028" type="#_x0000_t75" alt="" style="width:37.5pt;height:22.5pt;mso-width-percent:0;mso-height-percent:0;mso-width-percent:0;mso-height-percent:0" o:ole="">
            <v:imagedata r:id="rId11" o:title=""/>
          </v:shape>
          <o:OLEObject Type="Embed" ProgID="Equation.DSMT4" ShapeID="_x0000_i1028" DrawAspect="Content" ObjectID="_1640520053" r:id="rId15"/>
        </w:object>
      </w:r>
      <w:r w:rsidRPr="00FA08B4">
        <w:rPr>
          <w:rFonts w:ascii="Calibri" w:hAnsi="Calibri"/>
          <w:sz w:val="24"/>
          <w:szCs w:val="24"/>
          <w:lang w:val="en-US"/>
        </w:rPr>
        <w:t xml:space="preserve"> </w:t>
      </w:r>
      <w:proofErr w:type="spellStart"/>
      <w:r w:rsidRPr="00FA08B4">
        <w:rPr>
          <w:rFonts w:ascii="Calibri" w:hAnsi="Calibri"/>
          <w:sz w:val="24"/>
          <w:szCs w:val="24"/>
          <w:lang w:val="en-US"/>
        </w:rPr>
        <w:t>if</w:t>
      </w:r>
      <w:proofErr w:type="spellEnd"/>
      <w:r w:rsidRPr="00FA08B4">
        <w:rPr>
          <w:rFonts w:ascii="Calibri" w:hAnsi="Calibri"/>
          <w:sz w:val="24"/>
          <w:szCs w:val="24"/>
          <w:lang w:val="en-US"/>
        </w:rPr>
        <w:t xml:space="preserve"> and only if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o</m:t>
            </m:r>
          </m:sub>
          <m:sup>
            <m:r>
              <w:rPr>
                <w:rFonts w:ascii="Cambria Math" w:hAnsi="Cambria Math" w:cs="Times New Roman"/>
                <w:sz w:val="24"/>
                <w:szCs w:val="24"/>
                <w:lang w:val="en-US"/>
              </w:rPr>
              <m:t>*</m:t>
            </m:r>
          </m:sup>
        </m:sSubSup>
        <m:r>
          <w:rPr>
            <w:rFonts w:ascii="Cambria Math" w:hAnsi="Cambria Math" w:cs="Times New Roman"/>
            <w:sz w:val="24"/>
            <w:szCs w:val="24"/>
            <w:lang w:val="en-US"/>
          </w:rPr>
          <m:t>=0</m:t>
        </m:r>
      </m:oMath>
      <w:r w:rsidRPr="00FA08B4">
        <w:rPr>
          <w:rFonts w:ascii="Calibri" w:hAnsi="Calibri" w:cs="Times New Roman"/>
          <w:sz w:val="24"/>
          <w:szCs w:val="24"/>
          <w:lang w:val="en-US"/>
        </w:rPr>
        <w:t xml:space="preserve"> </w:t>
      </w:r>
      <w:r w:rsidRPr="00FA08B4">
        <w:rPr>
          <w:rFonts w:ascii="Calibri" w:hAnsi="Calibri"/>
          <w:sz w:val="24"/>
          <w:szCs w:val="24"/>
          <w:lang w:val="en-US"/>
        </w:rPr>
        <w:t>in any optimal solutions</w:t>
      </w:r>
      <w:r w:rsidR="004751EA">
        <w:rPr>
          <w:rFonts w:ascii="Calibri" w:hAnsi="Calibri"/>
          <w:sz w:val="24"/>
          <w:szCs w:val="24"/>
          <w:lang w:val="en-US"/>
        </w:rPr>
        <w:t>, w</w:t>
      </w:r>
      <w:r w:rsidR="004751EA" w:rsidRPr="004751EA">
        <w:rPr>
          <w:rFonts w:ascii="Calibri" w:hAnsi="Calibri"/>
          <w:sz w:val="24"/>
          <w:szCs w:val="24"/>
          <w:lang w:val="en-US"/>
        </w:rPr>
        <w:t xml:space="preserve">here </w:t>
      </w:r>
      <w:r w:rsidR="00A03DA4">
        <w:rPr>
          <w:rFonts w:ascii="Calibri" w:hAnsi="Calibri"/>
          <w:sz w:val="24"/>
          <w:szCs w:val="24"/>
          <w:lang w:val="en-US"/>
        </w:rPr>
        <w:t xml:space="preserve">an </w:t>
      </w:r>
      <w:r w:rsidR="004751EA" w:rsidRPr="004751EA">
        <w:rPr>
          <w:rFonts w:ascii="Calibri" w:hAnsi="Calibri"/>
          <w:sz w:val="24"/>
          <w:szCs w:val="24"/>
          <w:lang w:val="en-US"/>
        </w:rPr>
        <w:t>equal increase in all production factors led to the same amount of increase in production</w:t>
      </w:r>
      <w:r w:rsidR="004751EA">
        <w:rPr>
          <w:rFonts w:ascii="Calibri" w:hAnsi="Calibri"/>
          <w:sz w:val="24"/>
          <w:szCs w:val="24"/>
          <w:lang w:val="en-US"/>
        </w:rPr>
        <w:t>.</w:t>
      </w:r>
    </w:p>
    <w:p w14:paraId="37E4260D" w14:textId="712465DE" w:rsidR="00561985" w:rsidRPr="00495C99" w:rsidRDefault="00400ADD" w:rsidP="008F1189">
      <w:pPr>
        <w:spacing w:line="360" w:lineRule="auto"/>
        <w:jc w:val="both"/>
        <w:rPr>
          <w:sz w:val="24"/>
          <w:szCs w:val="24"/>
        </w:rPr>
      </w:pPr>
      <w:r>
        <w:rPr>
          <w:sz w:val="24"/>
          <w:szCs w:val="24"/>
        </w:rPr>
        <w:t>I</w:t>
      </w:r>
      <w:r w:rsidR="004A4252" w:rsidRPr="00495C99">
        <w:rPr>
          <w:sz w:val="24"/>
          <w:szCs w:val="24"/>
        </w:rPr>
        <w:t xml:space="preserve">mprovement </w:t>
      </w:r>
      <w:r w:rsidR="00373476" w:rsidRPr="00495C99">
        <w:rPr>
          <w:sz w:val="24"/>
          <w:szCs w:val="24"/>
        </w:rPr>
        <w:t>m</w:t>
      </w:r>
      <w:r w:rsidR="004A4252" w:rsidRPr="00495C99">
        <w:rPr>
          <w:sz w:val="24"/>
          <w:szCs w:val="24"/>
        </w:rPr>
        <w:t xml:space="preserve">anagement </w:t>
      </w:r>
      <w:r w:rsidR="00373476" w:rsidRPr="00495C99">
        <w:rPr>
          <w:sz w:val="24"/>
          <w:szCs w:val="24"/>
        </w:rPr>
        <w:t>s</w:t>
      </w:r>
      <w:r w:rsidR="004A4252" w:rsidRPr="00495C99">
        <w:rPr>
          <w:sz w:val="24"/>
          <w:szCs w:val="24"/>
        </w:rPr>
        <w:t xml:space="preserve">oftware (PIM-DEA version 3.2) </w:t>
      </w:r>
      <w:r w:rsidR="00284F15" w:rsidRPr="00495C99">
        <w:rPr>
          <w:sz w:val="24"/>
          <w:szCs w:val="24"/>
        </w:rPr>
        <w:t>was used for DEA analysis</w:t>
      </w:r>
      <w:r w:rsidR="00DA277A" w:rsidRPr="00495C99">
        <w:rPr>
          <w:sz w:val="24"/>
          <w:szCs w:val="24"/>
        </w:rPr>
        <w:t>.</w:t>
      </w:r>
      <w:r w:rsidR="007E7EA3">
        <w:rPr>
          <w:sz w:val="24"/>
          <w:szCs w:val="24"/>
          <w:vertAlign w:val="superscript"/>
        </w:rPr>
        <w:t>41</w:t>
      </w:r>
    </w:p>
    <w:p w14:paraId="78BA5368" w14:textId="77777777" w:rsidR="000404FF" w:rsidRPr="00E050F6" w:rsidRDefault="005548AD" w:rsidP="008F1189">
      <w:pPr>
        <w:pStyle w:val="Heading1"/>
        <w:jc w:val="both"/>
        <w:rPr>
          <w:sz w:val="28"/>
        </w:rPr>
      </w:pPr>
      <w:r w:rsidRPr="00E050F6">
        <w:rPr>
          <w:sz w:val="28"/>
        </w:rPr>
        <w:t>Results</w:t>
      </w:r>
    </w:p>
    <w:p w14:paraId="2E682133" w14:textId="34CBC7FB" w:rsidR="0032492F" w:rsidRDefault="005548AD" w:rsidP="008F1189">
      <w:pPr>
        <w:spacing w:line="360" w:lineRule="auto"/>
        <w:jc w:val="both"/>
        <w:rPr>
          <w:sz w:val="24"/>
          <w:szCs w:val="24"/>
        </w:rPr>
      </w:pPr>
      <w:r w:rsidRPr="00A05373">
        <w:rPr>
          <w:sz w:val="24"/>
          <w:szCs w:val="24"/>
        </w:rPr>
        <w:t>Descriptive statistics</w:t>
      </w:r>
      <w:r w:rsidR="00D95B35">
        <w:rPr>
          <w:sz w:val="24"/>
          <w:szCs w:val="24"/>
        </w:rPr>
        <w:t>,</w:t>
      </w:r>
      <w:r w:rsidR="0032492F">
        <w:rPr>
          <w:sz w:val="24"/>
          <w:szCs w:val="24"/>
        </w:rPr>
        <w:t xml:space="preserve"> concerning</w:t>
      </w:r>
      <w:r w:rsidRPr="00A05373">
        <w:rPr>
          <w:sz w:val="24"/>
          <w:szCs w:val="24"/>
        </w:rPr>
        <w:t xml:space="preserve"> the inputs and outputs of </w:t>
      </w:r>
      <w:r w:rsidR="00206075" w:rsidRPr="00A05373">
        <w:rPr>
          <w:sz w:val="24"/>
          <w:szCs w:val="24"/>
        </w:rPr>
        <w:t>91</w:t>
      </w:r>
      <w:r w:rsidRPr="00A05373">
        <w:rPr>
          <w:sz w:val="24"/>
          <w:szCs w:val="24"/>
        </w:rPr>
        <w:t xml:space="preserve"> general hospitals</w:t>
      </w:r>
      <w:r w:rsidR="007D7038" w:rsidRPr="00A05373">
        <w:rPr>
          <w:sz w:val="24"/>
          <w:szCs w:val="24"/>
        </w:rPr>
        <w:t xml:space="preserve"> </w:t>
      </w:r>
      <w:r w:rsidR="0032492F">
        <w:rPr>
          <w:sz w:val="24"/>
          <w:szCs w:val="24"/>
        </w:rPr>
        <w:t>during</w:t>
      </w:r>
      <w:r w:rsidR="007D7038" w:rsidRPr="00A05373">
        <w:rPr>
          <w:sz w:val="24"/>
          <w:szCs w:val="24"/>
        </w:rPr>
        <w:t xml:space="preserve"> 2017</w:t>
      </w:r>
      <w:r w:rsidR="00D95B35">
        <w:rPr>
          <w:sz w:val="24"/>
          <w:szCs w:val="24"/>
        </w:rPr>
        <w:t>,</w:t>
      </w:r>
      <w:r w:rsidR="00206075" w:rsidRPr="00A05373">
        <w:rPr>
          <w:sz w:val="24"/>
          <w:szCs w:val="24"/>
        </w:rPr>
        <w:t xml:space="preserve"> </w:t>
      </w:r>
      <w:r w:rsidR="0032492F">
        <w:rPr>
          <w:sz w:val="24"/>
          <w:szCs w:val="24"/>
        </w:rPr>
        <w:t>are</w:t>
      </w:r>
      <w:r w:rsidRPr="00A05373">
        <w:rPr>
          <w:sz w:val="24"/>
          <w:szCs w:val="24"/>
        </w:rPr>
        <w:t xml:space="preserve"> presented in Table 2. </w:t>
      </w:r>
      <w:r w:rsidR="007D7038" w:rsidRPr="00A05373">
        <w:rPr>
          <w:sz w:val="24"/>
          <w:szCs w:val="24"/>
        </w:rPr>
        <w:t xml:space="preserve">The </w:t>
      </w:r>
      <w:r w:rsidR="0032492F">
        <w:rPr>
          <w:sz w:val="24"/>
          <w:szCs w:val="24"/>
        </w:rPr>
        <w:t xml:space="preserve">average </w:t>
      </w:r>
      <w:r w:rsidR="007D7038" w:rsidRPr="00A05373">
        <w:rPr>
          <w:sz w:val="24"/>
          <w:szCs w:val="24"/>
        </w:rPr>
        <w:t>hospital</w:t>
      </w:r>
      <w:r w:rsidRPr="00A05373">
        <w:rPr>
          <w:sz w:val="24"/>
          <w:szCs w:val="24"/>
        </w:rPr>
        <w:t xml:space="preserve"> size</w:t>
      </w:r>
      <w:r w:rsidR="00045527">
        <w:rPr>
          <w:sz w:val="24"/>
          <w:szCs w:val="24"/>
        </w:rPr>
        <w:t xml:space="preserve"> </w:t>
      </w:r>
      <w:r w:rsidR="00771BD3">
        <w:rPr>
          <w:sz w:val="24"/>
          <w:szCs w:val="24"/>
        </w:rPr>
        <w:t xml:space="preserve">is </w:t>
      </w:r>
      <w:r w:rsidR="00045527" w:rsidRPr="00A05373">
        <w:rPr>
          <w:sz w:val="24"/>
          <w:szCs w:val="24"/>
        </w:rPr>
        <w:t>236.57</w:t>
      </w:r>
      <w:r w:rsidR="00045527">
        <w:rPr>
          <w:sz w:val="24"/>
          <w:szCs w:val="24"/>
        </w:rPr>
        <w:t xml:space="preserve"> beds</w:t>
      </w:r>
      <w:r w:rsidR="0032492F">
        <w:rPr>
          <w:sz w:val="24"/>
          <w:szCs w:val="24"/>
        </w:rPr>
        <w:t>,</w:t>
      </w:r>
      <w:r w:rsidR="00045527">
        <w:rPr>
          <w:sz w:val="24"/>
          <w:szCs w:val="24"/>
        </w:rPr>
        <w:t xml:space="preserve"> with a range </w:t>
      </w:r>
      <w:r w:rsidR="00D95B35">
        <w:rPr>
          <w:sz w:val="24"/>
          <w:szCs w:val="24"/>
        </w:rPr>
        <w:t xml:space="preserve">of </w:t>
      </w:r>
      <w:r w:rsidR="007D7038" w:rsidRPr="00A05373">
        <w:rPr>
          <w:sz w:val="24"/>
          <w:szCs w:val="24"/>
        </w:rPr>
        <w:t xml:space="preserve">100 </w:t>
      </w:r>
      <w:r w:rsidR="00D95B35">
        <w:rPr>
          <w:sz w:val="24"/>
          <w:szCs w:val="24"/>
        </w:rPr>
        <w:t>to</w:t>
      </w:r>
      <w:r w:rsidR="007D7038" w:rsidRPr="00A05373">
        <w:rPr>
          <w:sz w:val="24"/>
          <w:szCs w:val="24"/>
        </w:rPr>
        <w:t xml:space="preserve"> 711 beds. Full-time </w:t>
      </w:r>
      <w:r w:rsidR="00B928E1" w:rsidRPr="00A05373">
        <w:rPr>
          <w:sz w:val="24"/>
          <w:szCs w:val="24"/>
        </w:rPr>
        <w:t>physicians</w:t>
      </w:r>
      <w:r w:rsidR="007D7038" w:rsidRPr="00A05373">
        <w:rPr>
          <w:sz w:val="24"/>
          <w:szCs w:val="24"/>
        </w:rPr>
        <w:t xml:space="preserve"> ranged from 38 to 894</w:t>
      </w:r>
      <w:r w:rsidR="0032492F">
        <w:rPr>
          <w:sz w:val="24"/>
          <w:szCs w:val="24"/>
        </w:rPr>
        <w:t>,</w:t>
      </w:r>
      <w:r w:rsidR="00045527">
        <w:rPr>
          <w:sz w:val="24"/>
          <w:szCs w:val="24"/>
        </w:rPr>
        <w:t xml:space="preserve"> with a mean of 212</w:t>
      </w:r>
      <w:r w:rsidR="007D7038" w:rsidRPr="00A05373">
        <w:rPr>
          <w:sz w:val="24"/>
          <w:szCs w:val="24"/>
        </w:rPr>
        <w:t>.</w:t>
      </w:r>
      <w:r w:rsidR="00045527">
        <w:rPr>
          <w:sz w:val="24"/>
          <w:szCs w:val="24"/>
        </w:rPr>
        <w:t xml:space="preserve"> </w:t>
      </w:r>
      <w:r w:rsidR="007D7038" w:rsidRPr="00A05373">
        <w:rPr>
          <w:sz w:val="24"/>
          <w:szCs w:val="24"/>
        </w:rPr>
        <w:t xml:space="preserve">The number of nurses </w:t>
      </w:r>
      <w:r w:rsidR="003858DA">
        <w:rPr>
          <w:sz w:val="24"/>
          <w:szCs w:val="24"/>
        </w:rPr>
        <w:t xml:space="preserve">is on </w:t>
      </w:r>
      <w:r w:rsidR="0032492F">
        <w:rPr>
          <w:sz w:val="24"/>
          <w:szCs w:val="24"/>
        </w:rPr>
        <w:t>average</w:t>
      </w:r>
      <w:r w:rsidR="00A03DA4">
        <w:rPr>
          <w:sz w:val="24"/>
          <w:szCs w:val="24"/>
        </w:rPr>
        <w:t>,</w:t>
      </w:r>
      <w:r w:rsidR="00470605">
        <w:rPr>
          <w:sz w:val="24"/>
          <w:szCs w:val="24"/>
        </w:rPr>
        <w:t xml:space="preserve"> </w:t>
      </w:r>
      <w:r w:rsidR="008C3021">
        <w:rPr>
          <w:sz w:val="24"/>
          <w:szCs w:val="24"/>
        </w:rPr>
        <w:t>495 but</w:t>
      </w:r>
      <w:r w:rsidR="00045527">
        <w:rPr>
          <w:sz w:val="24"/>
          <w:szCs w:val="24"/>
        </w:rPr>
        <w:t xml:space="preserve"> rang</w:t>
      </w:r>
      <w:r w:rsidR="0032492F">
        <w:rPr>
          <w:sz w:val="24"/>
          <w:szCs w:val="24"/>
        </w:rPr>
        <w:t>ed</w:t>
      </w:r>
      <w:r w:rsidR="00045527">
        <w:rPr>
          <w:sz w:val="24"/>
          <w:szCs w:val="24"/>
        </w:rPr>
        <w:t xml:space="preserve"> </w:t>
      </w:r>
      <w:r w:rsidR="007D7038" w:rsidRPr="00A05373">
        <w:rPr>
          <w:sz w:val="24"/>
          <w:szCs w:val="24"/>
        </w:rPr>
        <w:t>from 74 to 1</w:t>
      </w:r>
      <w:r w:rsidR="00045527">
        <w:rPr>
          <w:sz w:val="24"/>
          <w:szCs w:val="24"/>
        </w:rPr>
        <w:t>,</w:t>
      </w:r>
      <w:r w:rsidR="007D7038" w:rsidRPr="00A05373">
        <w:rPr>
          <w:sz w:val="24"/>
          <w:szCs w:val="24"/>
        </w:rPr>
        <w:t>930</w:t>
      </w:r>
      <w:r w:rsidR="00045527">
        <w:rPr>
          <w:sz w:val="24"/>
          <w:szCs w:val="24"/>
        </w:rPr>
        <w:t>.</w:t>
      </w:r>
      <w:r w:rsidR="0032492F">
        <w:rPr>
          <w:sz w:val="24"/>
          <w:szCs w:val="24"/>
        </w:rPr>
        <w:t xml:space="preserve"> F</w:t>
      </w:r>
      <w:r w:rsidR="00B928E1" w:rsidRPr="00A05373">
        <w:rPr>
          <w:sz w:val="24"/>
          <w:szCs w:val="24"/>
        </w:rPr>
        <w:t>ull</w:t>
      </w:r>
      <w:r w:rsidR="0032492F">
        <w:rPr>
          <w:sz w:val="24"/>
          <w:szCs w:val="24"/>
        </w:rPr>
        <w:t>-</w:t>
      </w:r>
      <w:r w:rsidR="00B928E1" w:rsidRPr="00A05373">
        <w:rPr>
          <w:sz w:val="24"/>
          <w:szCs w:val="24"/>
        </w:rPr>
        <w:t>time allied health personnel ranged from 37 to 1</w:t>
      </w:r>
      <w:r w:rsidR="00FD47F1">
        <w:rPr>
          <w:sz w:val="24"/>
          <w:szCs w:val="24"/>
        </w:rPr>
        <w:t>,</w:t>
      </w:r>
      <w:r w:rsidR="00B928E1" w:rsidRPr="00A05373">
        <w:rPr>
          <w:sz w:val="24"/>
          <w:szCs w:val="24"/>
        </w:rPr>
        <w:t>149</w:t>
      </w:r>
      <w:r w:rsidR="0032492F">
        <w:rPr>
          <w:sz w:val="24"/>
          <w:szCs w:val="24"/>
        </w:rPr>
        <w:t>,</w:t>
      </w:r>
      <w:r w:rsidR="00B928E1" w:rsidRPr="00A05373">
        <w:rPr>
          <w:sz w:val="24"/>
          <w:szCs w:val="24"/>
        </w:rPr>
        <w:t xml:space="preserve"> with an average of 280. </w:t>
      </w:r>
    </w:p>
    <w:p w14:paraId="181CC719" w14:textId="77777777" w:rsidR="00951B19" w:rsidRPr="00951B19" w:rsidRDefault="00951B19" w:rsidP="008F1189">
      <w:pPr>
        <w:keepNext/>
        <w:spacing w:after="200" w:line="240" w:lineRule="auto"/>
        <w:jc w:val="both"/>
        <w:rPr>
          <w:b/>
          <w:i/>
          <w:iCs/>
          <w:sz w:val="20"/>
          <w:szCs w:val="18"/>
        </w:rPr>
      </w:pPr>
      <w:bookmarkStart w:id="17" w:name="_Hlk2014236"/>
      <w:r w:rsidRPr="00951B19">
        <w:rPr>
          <w:b/>
          <w:i/>
          <w:iCs/>
          <w:sz w:val="20"/>
          <w:szCs w:val="18"/>
        </w:rPr>
        <w:t xml:space="preserve">Table </w:t>
      </w:r>
      <w:r w:rsidRPr="00951B19">
        <w:rPr>
          <w:b/>
          <w:i/>
          <w:iCs/>
          <w:sz w:val="20"/>
          <w:szCs w:val="18"/>
        </w:rPr>
        <w:fldChar w:fldCharType="begin"/>
      </w:r>
      <w:r w:rsidRPr="00951B19">
        <w:rPr>
          <w:b/>
          <w:i/>
          <w:iCs/>
          <w:sz w:val="20"/>
          <w:szCs w:val="18"/>
        </w:rPr>
        <w:instrText xml:space="preserve"> SEQ Table \* ARABIC </w:instrText>
      </w:r>
      <w:r w:rsidRPr="00951B19">
        <w:rPr>
          <w:b/>
          <w:i/>
          <w:iCs/>
          <w:sz w:val="20"/>
          <w:szCs w:val="18"/>
        </w:rPr>
        <w:fldChar w:fldCharType="separate"/>
      </w:r>
      <w:r w:rsidRPr="00951B19">
        <w:rPr>
          <w:b/>
          <w:i/>
          <w:iCs/>
          <w:noProof/>
          <w:sz w:val="20"/>
          <w:szCs w:val="18"/>
        </w:rPr>
        <w:t>2</w:t>
      </w:r>
      <w:r w:rsidRPr="00951B19">
        <w:rPr>
          <w:b/>
          <w:i/>
          <w:iCs/>
          <w:sz w:val="20"/>
          <w:szCs w:val="18"/>
        </w:rPr>
        <w:fldChar w:fldCharType="end"/>
      </w:r>
      <w:r w:rsidRPr="00951B19">
        <w:rPr>
          <w:b/>
          <w:i/>
          <w:iCs/>
          <w:sz w:val="20"/>
          <w:szCs w:val="18"/>
        </w:rPr>
        <w:t>:</w:t>
      </w:r>
      <w:r w:rsidRPr="00951B19">
        <w:rPr>
          <w:i/>
          <w:iCs/>
          <w:sz w:val="20"/>
          <w:szCs w:val="18"/>
        </w:rPr>
        <w:t xml:space="preserve"> Descriptive statistics of the inputs and outputs of the 91 hospitals</w:t>
      </w:r>
    </w:p>
    <w:tbl>
      <w:tblPr>
        <w:tblW w:w="8700" w:type="dxa"/>
        <w:tblInd w:w="-10" w:type="dxa"/>
        <w:tblLook w:val="04A0" w:firstRow="1" w:lastRow="0" w:firstColumn="1" w:lastColumn="0" w:noHBand="0" w:noVBand="1"/>
      </w:tblPr>
      <w:tblGrid>
        <w:gridCol w:w="2993"/>
        <w:gridCol w:w="1332"/>
        <w:gridCol w:w="2441"/>
        <w:gridCol w:w="830"/>
        <w:gridCol w:w="1107"/>
      </w:tblGrid>
      <w:tr w:rsidR="00951B19" w:rsidRPr="00951B19" w14:paraId="220EDB7A" w14:textId="77777777" w:rsidTr="00A05941">
        <w:trPr>
          <w:trHeight w:val="300"/>
        </w:trPr>
        <w:tc>
          <w:tcPr>
            <w:tcW w:w="2993" w:type="dxa"/>
            <w:tcBorders>
              <w:top w:val="single" w:sz="4" w:space="0" w:color="auto"/>
              <w:bottom w:val="single" w:sz="4" w:space="0" w:color="auto"/>
              <w:right w:val="single" w:sz="4" w:space="0" w:color="auto"/>
            </w:tcBorders>
            <w:shd w:val="clear" w:color="auto" w:fill="auto"/>
            <w:noWrap/>
            <w:vAlign w:val="bottom"/>
            <w:hideMark/>
          </w:tcPr>
          <w:p w14:paraId="230ED251"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r w:rsidRPr="00951B19">
              <w:rPr>
                <w:rFonts w:ascii="Calibri" w:eastAsia="Times New Roman" w:hAnsi="Calibri" w:cs="Times New Roman"/>
                <w:b/>
                <w:bCs/>
                <w:color w:val="000000"/>
                <w:lang w:eastAsia="en-GB"/>
              </w:rPr>
              <w:t> </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24CD"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r w:rsidRPr="00951B19">
              <w:rPr>
                <w:rFonts w:ascii="Calibri" w:eastAsia="Times New Roman" w:hAnsi="Calibri" w:cs="Times New Roman"/>
                <w:b/>
                <w:bCs/>
                <w:color w:val="000000"/>
                <w:lang w:eastAsia="en-GB"/>
              </w:rPr>
              <w:t>Mean</w:t>
            </w:r>
          </w:p>
        </w:tc>
        <w:tc>
          <w:tcPr>
            <w:tcW w:w="244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93B88DD"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r w:rsidRPr="00951B19">
              <w:rPr>
                <w:rFonts w:ascii="Calibri" w:eastAsia="Times New Roman" w:hAnsi="Calibri" w:cs="Times New Roman"/>
                <w:b/>
                <w:bCs/>
                <w:color w:val="000000"/>
                <w:lang w:eastAsia="en-GB"/>
              </w:rPr>
              <w:t>Standard Deviation</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E6F90"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r w:rsidRPr="00951B19">
              <w:rPr>
                <w:rFonts w:ascii="Calibri" w:eastAsia="Times New Roman" w:hAnsi="Calibri" w:cs="Times New Roman"/>
                <w:b/>
                <w:bCs/>
                <w:color w:val="000000"/>
                <w:lang w:eastAsia="en-GB"/>
              </w:rPr>
              <w:t>Min</w:t>
            </w:r>
          </w:p>
        </w:tc>
        <w:tc>
          <w:tcPr>
            <w:tcW w:w="1104" w:type="dxa"/>
            <w:tcBorders>
              <w:top w:val="single" w:sz="8" w:space="0" w:color="auto"/>
              <w:left w:val="single" w:sz="4" w:space="0" w:color="auto"/>
              <w:bottom w:val="single" w:sz="4" w:space="0" w:color="auto"/>
            </w:tcBorders>
            <w:shd w:val="clear" w:color="auto" w:fill="auto"/>
            <w:noWrap/>
            <w:vAlign w:val="bottom"/>
            <w:hideMark/>
          </w:tcPr>
          <w:p w14:paraId="3B0AA2A8"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r w:rsidRPr="00951B19">
              <w:rPr>
                <w:rFonts w:ascii="Calibri" w:eastAsia="Times New Roman" w:hAnsi="Calibri" w:cs="Times New Roman"/>
                <w:b/>
                <w:bCs/>
                <w:color w:val="000000"/>
                <w:lang w:eastAsia="en-GB"/>
              </w:rPr>
              <w:t>Max</w:t>
            </w:r>
          </w:p>
        </w:tc>
      </w:tr>
      <w:tr w:rsidR="00951B19" w:rsidRPr="00951B19" w14:paraId="000402C7" w14:textId="77777777" w:rsidTr="00A05941">
        <w:trPr>
          <w:trHeight w:val="300"/>
        </w:trPr>
        <w:tc>
          <w:tcPr>
            <w:tcW w:w="2993" w:type="dxa"/>
            <w:tcBorders>
              <w:top w:val="single" w:sz="4" w:space="0" w:color="auto"/>
              <w:bottom w:val="single" w:sz="4" w:space="0" w:color="auto"/>
              <w:right w:val="single" w:sz="4" w:space="0" w:color="auto"/>
            </w:tcBorders>
            <w:shd w:val="clear" w:color="auto" w:fill="auto"/>
            <w:noWrap/>
            <w:vAlign w:val="bottom"/>
            <w:hideMark/>
          </w:tcPr>
          <w:p w14:paraId="2F06A5FF"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r w:rsidRPr="00951B19">
              <w:rPr>
                <w:rFonts w:ascii="Calibri" w:eastAsia="Times New Roman" w:hAnsi="Calibri" w:cs="Times New Roman"/>
                <w:b/>
                <w:bCs/>
                <w:color w:val="000000"/>
                <w:lang w:eastAsia="en-GB"/>
              </w:rPr>
              <w:t>Inputs</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F6D6"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C495A" w14:textId="77777777" w:rsidR="00951B19" w:rsidRPr="00951B19" w:rsidRDefault="00951B19" w:rsidP="008F1189">
            <w:pPr>
              <w:spacing w:after="0" w:line="276" w:lineRule="auto"/>
              <w:jc w:val="both"/>
              <w:rPr>
                <w:rFonts w:ascii="Times New Roman" w:eastAsia="Times New Roman" w:hAnsi="Times New Roman" w:cs="Times New Roman"/>
                <w:sz w:val="20"/>
                <w:szCs w:val="20"/>
                <w:lang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70B31" w14:textId="77777777" w:rsidR="00951B19" w:rsidRPr="00951B19" w:rsidRDefault="00951B19" w:rsidP="008F1189">
            <w:pPr>
              <w:spacing w:after="0" w:line="276" w:lineRule="auto"/>
              <w:jc w:val="both"/>
              <w:rPr>
                <w:rFonts w:ascii="Times New Roman" w:eastAsia="Times New Roman" w:hAnsi="Times New Roman" w:cs="Times New Roman"/>
                <w:sz w:val="20"/>
                <w:szCs w:val="20"/>
                <w:lang w:eastAsia="en-GB"/>
              </w:rPr>
            </w:pPr>
          </w:p>
        </w:tc>
        <w:tc>
          <w:tcPr>
            <w:tcW w:w="1104" w:type="dxa"/>
            <w:tcBorders>
              <w:top w:val="single" w:sz="4" w:space="0" w:color="auto"/>
              <w:left w:val="single" w:sz="4" w:space="0" w:color="auto"/>
              <w:bottom w:val="single" w:sz="4" w:space="0" w:color="auto"/>
            </w:tcBorders>
            <w:shd w:val="clear" w:color="auto" w:fill="auto"/>
            <w:noWrap/>
            <w:vAlign w:val="bottom"/>
            <w:hideMark/>
          </w:tcPr>
          <w:p w14:paraId="6C151643"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 </w:t>
            </w:r>
          </w:p>
        </w:tc>
      </w:tr>
      <w:tr w:rsidR="00951B19" w:rsidRPr="00951B19" w14:paraId="1902D9FC" w14:textId="77777777" w:rsidTr="00A05941">
        <w:trPr>
          <w:trHeight w:val="300"/>
        </w:trPr>
        <w:tc>
          <w:tcPr>
            <w:tcW w:w="2993" w:type="dxa"/>
            <w:tcBorders>
              <w:top w:val="single" w:sz="4" w:space="0" w:color="auto"/>
              <w:bottom w:val="nil"/>
              <w:right w:val="single" w:sz="4" w:space="0" w:color="auto"/>
            </w:tcBorders>
            <w:shd w:val="clear" w:color="auto" w:fill="auto"/>
            <w:noWrap/>
            <w:vAlign w:val="bottom"/>
            <w:hideMark/>
          </w:tcPr>
          <w:p w14:paraId="34EB43AA"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bookmarkStart w:id="18" w:name="_Hlk15918701"/>
            <w:r w:rsidRPr="00951B19">
              <w:rPr>
                <w:rFonts w:ascii="Calibri" w:eastAsia="Times New Roman" w:hAnsi="Calibri" w:cs="Times New Roman"/>
                <w:color w:val="000000"/>
                <w:lang w:eastAsia="en-GB"/>
              </w:rPr>
              <w:t>Hospital beds</w:t>
            </w:r>
          </w:p>
        </w:tc>
        <w:tc>
          <w:tcPr>
            <w:tcW w:w="1332" w:type="dxa"/>
            <w:tcBorders>
              <w:top w:val="single" w:sz="4" w:space="0" w:color="auto"/>
              <w:left w:val="single" w:sz="4" w:space="0" w:color="auto"/>
              <w:bottom w:val="nil"/>
              <w:right w:val="single" w:sz="4" w:space="0" w:color="auto"/>
            </w:tcBorders>
            <w:shd w:val="clear" w:color="auto" w:fill="auto"/>
            <w:noWrap/>
            <w:vAlign w:val="bottom"/>
            <w:hideMark/>
          </w:tcPr>
          <w:p w14:paraId="408FB384"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236.6</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14:paraId="63E69FB0"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137.6</w:t>
            </w:r>
          </w:p>
        </w:tc>
        <w:tc>
          <w:tcPr>
            <w:tcW w:w="830" w:type="dxa"/>
            <w:tcBorders>
              <w:top w:val="single" w:sz="4" w:space="0" w:color="auto"/>
              <w:left w:val="single" w:sz="4" w:space="0" w:color="auto"/>
              <w:bottom w:val="nil"/>
              <w:right w:val="single" w:sz="4" w:space="0" w:color="auto"/>
            </w:tcBorders>
            <w:shd w:val="clear" w:color="auto" w:fill="auto"/>
            <w:noWrap/>
            <w:vAlign w:val="bottom"/>
            <w:hideMark/>
          </w:tcPr>
          <w:p w14:paraId="21890519"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100</w:t>
            </w:r>
          </w:p>
        </w:tc>
        <w:tc>
          <w:tcPr>
            <w:tcW w:w="1104" w:type="dxa"/>
            <w:tcBorders>
              <w:top w:val="single" w:sz="4" w:space="0" w:color="auto"/>
              <w:left w:val="single" w:sz="4" w:space="0" w:color="auto"/>
              <w:bottom w:val="nil"/>
            </w:tcBorders>
            <w:shd w:val="clear" w:color="auto" w:fill="auto"/>
            <w:noWrap/>
            <w:vAlign w:val="bottom"/>
            <w:hideMark/>
          </w:tcPr>
          <w:p w14:paraId="2095419D"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711</w:t>
            </w:r>
          </w:p>
        </w:tc>
      </w:tr>
      <w:tr w:rsidR="00951B19" w:rsidRPr="00951B19" w14:paraId="24F04923" w14:textId="77777777" w:rsidTr="00A05941">
        <w:trPr>
          <w:trHeight w:val="300"/>
        </w:trPr>
        <w:tc>
          <w:tcPr>
            <w:tcW w:w="2993" w:type="dxa"/>
            <w:tcBorders>
              <w:top w:val="nil"/>
              <w:bottom w:val="nil"/>
              <w:right w:val="single" w:sz="4" w:space="0" w:color="auto"/>
            </w:tcBorders>
            <w:shd w:val="clear" w:color="auto" w:fill="auto"/>
            <w:noWrap/>
            <w:vAlign w:val="bottom"/>
            <w:hideMark/>
          </w:tcPr>
          <w:p w14:paraId="1D7169FF"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Physicians</w:t>
            </w:r>
          </w:p>
        </w:tc>
        <w:tc>
          <w:tcPr>
            <w:tcW w:w="1332" w:type="dxa"/>
            <w:tcBorders>
              <w:top w:val="nil"/>
              <w:left w:val="single" w:sz="4" w:space="0" w:color="auto"/>
              <w:bottom w:val="nil"/>
              <w:right w:val="single" w:sz="4" w:space="0" w:color="auto"/>
            </w:tcBorders>
            <w:shd w:val="clear" w:color="auto" w:fill="auto"/>
            <w:noWrap/>
            <w:vAlign w:val="bottom"/>
            <w:hideMark/>
          </w:tcPr>
          <w:p w14:paraId="22FC2020"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212.3</w:t>
            </w:r>
          </w:p>
        </w:tc>
        <w:tc>
          <w:tcPr>
            <w:tcW w:w="2441" w:type="dxa"/>
            <w:tcBorders>
              <w:top w:val="nil"/>
              <w:left w:val="single" w:sz="4" w:space="0" w:color="auto"/>
              <w:bottom w:val="nil"/>
              <w:right w:val="single" w:sz="4" w:space="0" w:color="auto"/>
            </w:tcBorders>
            <w:shd w:val="clear" w:color="auto" w:fill="auto"/>
            <w:noWrap/>
            <w:vAlign w:val="bottom"/>
            <w:hideMark/>
          </w:tcPr>
          <w:p w14:paraId="3D691FDA"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168.7</w:t>
            </w:r>
          </w:p>
        </w:tc>
        <w:tc>
          <w:tcPr>
            <w:tcW w:w="830" w:type="dxa"/>
            <w:tcBorders>
              <w:top w:val="nil"/>
              <w:left w:val="single" w:sz="4" w:space="0" w:color="auto"/>
              <w:bottom w:val="nil"/>
              <w:right w:val="single" w:sz="4" w:space="0" w:color="auto"/>
            </w:tcBorders>
            <w:shd w:val="clear" w:color="auto" w:fill="auto"/>
            <w:noWrap/>
            <w:vAlign w:val="bottom"/>
            <w:hideMark/>
          </w:tcPr>
          <w:p w14:paraId="04F7B8D4"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38</w:t>
            </w:r>
          </w:p>
        </w:tc>
        <w:tc>
          <w:tcPr>
            <w:tcW w:w="1104" w:type="dxa"/>
            <w:tcBorders>
              <w:top w:val="nil"/>
              <w:left w:val="single" w:sz="4" w:space="0" w:color="auto"/>
              <w:bottom w:val="nil"/>
            </w:tcBorders>
            <w:shd w:val="clear" w:color="auto" w:fill="auto"/>
            <w:noWrap/>
            <w:vAlign w:val="bottom"/>
            <w:hideMark/>
          </w:tcPr>
          <w:p w14:paraId="2E7A4D32"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894</w:t>
            </w:r>
          </w:p>
        </w:tc>
      </w:tr>
      <w:tr w:rsidR="00951B19" w:rsidRPr="00951B19" w14:paraId="5D645B2A" w14:textId="77777777" w:rsidTr="00A05941">
        <w:trPr>
          <w:trHeight w:val="300"/>
        </w:trPr>
        <w:tc>
          <w:tcPr>
            <w:tcW w:w="2993" w:type="dxa"/>
            <w:tcBorders>
              <w:top w:val="nil"/>
              <w:bottom w:val="nil"/>
              <w:right w:val="single" w:sz="4" w:space="0" w:color="auto"/>
            </w:tcBorders>
            <w:shd w:val="clear" w:color="auto" w:fill="auto"/>
            <w:noWrap/>
            <w:vAlign w:val="bottom"/>
            <w:hideMark/>
          </w:tcPr>
          <w:p w14:paraId="3132929E"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Nurses</w:t>
            </w:r>
          </w:p>
        </w:tc>
        <w:tc>
          <w:tcPr>
            <w:tcW w:w="1332" w:type="dxa"/>
            <w:tcBorders>
              <w:top w:val="nil"/>
              <w:left w:val="single" w:sz="4" w:space="0" w:color="auto"/>
              <w:bottom w:val="nil"/>
              <w:right w:val="single" w:sz="4" w:space="0" w:color="auto"/>
            </w:tcBorders>
            <w:shd w:val="clear" w:color="auto" w:fill="auto"/>
            <w:noWrap/>
            <w:vAlign w:val="bottom"/>
            <w:hideMark/>
          </w:tcPr>
          <w:p w14:paraId="7C2F7523"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495.2</w:t>
            </w:r>
          </w:p>
        </w:tc>
        <w:tc>
          <w:tcPr>
            <w:tcW w:w="2441" w:type="dxa"/>
            <w:tcBorders>
              <w:top w:val="nil"/>
              <w:left w:val="single" w:sz="4" w:space="0" w:color="auto"/>
              <w:bottom w:val="nil"/>
              <w:right w:val="single" w:sz="4" w:space="0" w:color="auto"/>
            </w:tcBorders>
            <w:shd w:val="clear" w:color="auto" w:fill="auto"/>
            <w:noWrap/>
            <w:vAlign w:val="bottom"/>
            <w:hideMark/>
          </w:tcPr>
          <w:p w14:paraId="43ADB354"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403.6</w:t>
            </w:r>
          </w:p>
        </w:tc>
        <w:tc>
          <w:tcPr>
            <w:tcW w:w="830" w:type="dxa"/>
            <w:tcBorders>
              <w:top w:val="nil"/>
              <w:left w:val="single" w:sz="4" w:space="0" w:color="auto"/>
              <w:bottom w:val="nil"/>
              <w:right w:val="single" w:sz="4" w:space="0" w:color="auto"/>
            </w:tcBorders>
            <w:shd w:val="clear" w:color="auto" w:fill="auto"/>
            <w:noWrap/>
            <w:vAlign w:val="bottom"/>
            <w:hideMark/>
          </w:tcPr>
          <w:p w14:paraId="79C581D7"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74</w:t>
            </w:r>
          </w:p>
        </w:tc>
        <w:tc>
          <w:tcPr>
            <w:tcW w:w="1104" w:type="dxa"/>
            <w:tcBorders>
              <w:top w:val="nil"/>
              <w:left w:val="single" w:sz="4" w:space="0" w:color="auto"/>
              <w:bottom w:val="nil"/>
            </w:tcBorders>
            <w:shd w:val="clear" w:color="auto" w:fill="auto"/>
            <w:noWrap/>
            <w:vAlign w:val="bottom"/>
            <w:hideMark/>
          </w:tcPr>
          <w:p w14:paraId="29131DA0"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1,930</w:t>
            </w:r>
          </w:p>
        </w:tc>
      </w:tr>
      <w:tr w:rsidR="00951B19" w:rsidRPr="00951B19" w14:paraId="6FD618DC" w14:textId="77777777" w:rsidTr="00A05941">
        <w:trPr>
          <w:trHeight w:val="300"/>
        </w:trPr>
        <w:tc>
          <w:tcPr>
            <w:tcW w:w="2993" w:type="dxa"/>
            <w:tcBorders>
              <w:top w:val="nil"/>
              <w:bottom w:val="single" w:sz="4" w:space="0" w:color="auto"/>
              <w:right w:val="single" w:sz="4" w:space="0" w:color="auto"/>
            </w:tcBorders>
            <w:shd w:val="clear" w:color="auto" w:fill="auto"/>
            <w:noWrap/>
            <w:vAlign w:val="bottom"/>
            <w:hideMark/>
          </w:tcPr>
          <w:p w14:paraId="6E0A4481"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Allied Health Personnel</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AF2F86F"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280.1</w:t>
            </w:r>
          </w:p>
        </w:tc>
        <w:tc>
          <w:tcPr>
            <w:tcW w:w="2441" w:type="dxa"/>
            <w:tcBorders>
              <w:top w:val="nil"/>
              <w:left w:val="single" w:sz="4" w:space="0" w:color="auto"/>
              <w:bottom w:val="single" w:sz="4" w:space="0" w:color="auto"/>
              <w:right w:val="single" w:sz="4" w:space="0" w:color="auto"/>
            </w:tcBorders>
            <w:shd w:val="clear" w:color="auto" w:fill="auto"/>
            <w:noWrap/>
            <w:vAlign w:val="bottom"/>
            <w:hideMark/>
          </w:tcPr>
          <w:p w14:paraId="76317FA1"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219.1</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63FA445D"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37</w:t>
            </w:r>
          </w:p>
        </w:tc>
        <w:tc>
          <w:tcPr>
            <w:tcW w:w="1104" w:type="dxa"/>
            <w:tcBorders>
              <w:top w:val="nil"/>
              <w:left w:val="single" w:sz="4" w:space="0" w:color="auto"/>
              <w:bottom w:val="single" w:sz="4" w:space="0" w:color="auto"/>
            </w:tcBorders>
            <w:shd w:val="clear" w:color="auto" w:fill="auto"/>
            <w:noWrap/>
            <w:vAlign w:val="bottom"/>
            <w:hideMark/>
          </w:tcPr>
          <w:p w14:paraId="131D8DD0"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1,149</w:t>
            </w:r>
          </w:p>
        </w:tc>
      </w:tr>
      <w:bookmarkEnd w:id="18"/>
      <w:tr w:rsidR="00951B19" w:rsidRPr="00951B19" w14:paraId="50FA9A4A" w14:textId="77777777" w:rsidTr="00A05941">
        <w:trPr>
          <w:trHeight w:val="300"/>
        </w:trPr>
        <w:tc>
          <w:tcPr>
            <w:tcW w:w="2993" w:type="dxa"/>
            <w:tcBorders>
              <w:top w:val="single" w:sz="4" w:space="0" w:color="auto"/>
              <w:bottom w:val="single" w:sz="4" w:space="0" w:color="auto"/>
              <w:right w:val="single" w:sz="4" w:space="0" w:color="auto"/>
            </w:tcBorders>
            <w:shd w:val="clear" w:color="auto" w:fill="auto"/>
            <w:noWrap/>
            <w:vAlign w:val="bottom"/>
            <w:hideMark/>
          </w:tcPr>
          <w:p w14:paraId="0384A7E3"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r w:rsidRPr="00951B19">
              <w:rPr>
                <w:rFonts w:ascii="Calibri" w:eastAsia="Times New Roman" w:hAnsi="Calibri" w:cs="Times New Roman"/>
                <w:b/>
                <w:bCs/>
                <w:color w:val="000000"/>
                <w:lang w:eastAsia="en-GB"/>
              </w:rPr>
              <w:t>Outputs</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95B9A" w14:textId="77777777" w:rsidR="00951B19" w:rsidRPr="00951B19" w:rsidRDefault="00951B19" w:rsidP="008F1189">
            <w:pPr>
              <w:spacing w:after="0" w:line="276" w:lineRule="auto"/>
              <w:jc w:val="both"/>
              <w:rPr>
                <w:rFonts w:ascii="Calibri" w:eastAsia="Times New Roman" w:hAnsi="Calibri" w:cs="Times New Roman"/>
                <w:b/>
                <w:bCs/>
                <w:color w:val="000000"/>
                <w:lang w:eastAsia="en-GB"/>
              </w:rPr>
            </w:pP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D5E6" w14:textId="77777777" w:rsidR="00951B19" w:rsidRPr="00951B19" w:rsidRDefault="00951B19" w:rsidP="008F1189">
            <w:pPr>
              <w:spacing w:after="0" w:line="276" w:lineRule="auto"/>
              <w:jc w:val="both"/>
              <w:rPr>
                <w:rFonts w:ascii="Times New Roman" w:eastAsia="Times New Roman" w:hAnsi="Times New Roman" w:cs="Times New Roman"/>
                <w:sz w:val="20"/>
                <w:szCs w:val="20"/>
                <w:lang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99FD0" w14:textId="77777777" w:rsidR="00951B19" w:rsidRPr="00951B19" w:rsidRDefault="00951B19" w:rsidP="008F1189">
            <w:pPr>
              <w:spacing w:after="0" w:line="276" w:lineRule="auto"/>
              <w:jc w:val="both"/>
              <w:rPr>
                <w:rFonts w:ascii="Times New Roman" w:eastAsia="Times New Roman" w:hAnsi="Times New Roman" w:cs="Times New Roman"/>
                <w:sz w:val="20"/>
                <w:szCs w:val="20"/>
                <w:lang w:eastAsia="en-GB"/>
              </w:rPr>
            </w:pPr>
          </w:p>
        </w:tc>
        <w:tc>
          <w:tcPr>
            <w:tcW w:w="1104" w:type="dxa"/>
            <w:tcBorders>
              <w:top w:val="single" w:sz="4" w:space="0" w:color="auto"/>
              <w:left w:val="single" w:sz="4" w:space="0" w:color="auto"/>
              <w:bottom w:val="single" w:sz="4" w:space="0" w:color="auto"/>
            </w:tcBorders>
            <w:shd w:val="clear" w:color="auto" w:fill="auto"/>
            <w:noWrap/>
            <w:vAlign w:val="bottom"/>
            <w:hideMark/>
          </w:tcPr>
          <w:p w14:paraId="20B4BE70"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 </w:t>
            </w:r>
          </w:p>
        </w:tc>
      </w:tr>
      <w:tr w:rsidR="00951B19" w:rsidRPr="00951B19" w14:paraId="07B0CC3C" w14:textId="77777777" w:rsidTr="00A05941">
        <w:trPr>
          <w:trHeight w:val="300"/>
        </w:trPr>
        <w:tc>
          <w:tcPr>
            <w:tcW w:w="2993" w:type="dxa"/>
            <w:tcBorders>
              <w:top w:val="single" w:sz="4" w:space="0" w:color="auto"/>
              <w:bottom w:val="nil"/>
              <w:right w:val="single" w:sz="4" w:space="0" w:color="auto"/>
            </w:tcBorders>
            <w:shd w:val="clear" w:color="auto" w:fill="auto"/>
            <w:noWrap/>
            <w:vAlign w:val="bottom"/>
            <w:hideMark/>
          </w:tcPr>
          <w:p w14:paraId="38FDED4A"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bookmarkStart w:id="19" w:name="_Hlk15918842"/>
            <w:r w:rsidRPr="00951B19">
              <w:rPr>
                <w:rFonts w:ascii="Calibri" w:eastAsia="Times New Roman" w:hAnsi="Calibri" w:cs="Times New Roman"/>
                <w:color w:val="000000"/>
                <w:lang w:eastAsia="en-GB"/>
              </w:rPr>
              <w:t>Outpatient visits</w:t>
            </w:r>
          </w:p>
        </w:tc>
        <w:tc>
          <w:tcPr>
            <w:tcW w:w="1332" w:type="dxa"/>
            <w:tcBorders>
              <w:top w:val="single" w:sz="4" w:space="0" w:color="auto"/>
              <w:left w:val="single" w:sz="4" w:space="0" w:color="auto"/>
              <w:bottom w:val="nil"/>
              <w:right w:val="single" w:sz="4" w:space="0" w:color="auto"/>
            </w:tcBorders>
            <w:shd w:val="clear" w:color="auto" w:fill="auto"/>
            <w:noWrap/>
            <w:vAlign w:val="bottom"/>
            <w:hideMark/>
          </w:tcPr>
          <w:p w14:paraId="0084F2A6"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72,986.5</w:t>
            </w:r>
          </w:p>
        </w:tc>
        <w:tc>
          <w:tcPr>
            <w:tcW w:w="2441" w:type="dxa"/>
            <w:tcBorders>
              <w:top w:val="single" w:sz="4" w:space="0" w:color="auto"/>
              <w:left w:val="single" w:sz="4" w:space="0" w:color="auto"/>
              <w:bottom w:val="nil"/>
              <w:right w:val="single" w:sz="4" w:space="0" w:color="auto"/>
            </w:tcBorders>
            <w:shd w:val="clear" w:color="auto" w:fill="auto"/>
            <w:noWrap/>
            <w:vAlign w:val="bottom"/>
            <w:hideMark/>
          </w:tcPr>
          <w:p w14:paraId="075D77B7"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72,475.3</w:t>
            </w:r>
          </w:p>
        </w:tc>
        <w:tc>
          <w:tcPr>
            <w:tcW w:w="830" w:type="dxa"/>
            <w:tcBorders>
              <w:top w:val="single" w:sz="4" w:space="0" w:color="auto"/>
              <w:left w:val="single" w:sz="4" w:space="0" w:color="auto"/>
              <w:bottom w:val="nil"/>
              <w:right w:val="single" w:sz="4" w:space="0" w:color="auto"/>
            </w:tcBorders>
            <w:shd w:val="clear" w:color="auto" w:fill="auto"/>
            <w:noWrap/>
            <w:vAlign w:val="bottom"/>
            <w:hideMark/>
          </w:tcPr>
          <w:p w14:paraId="27C65DCE"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1,785</w:t>
            </w:r>
          </w:p>
        </w:tc>
        <w:tc>
          <w:tcPr>
            <w:tcW w:w="1104" w:type="dxa"/>
            <w:tcBorders>
              <w:top w:val="single" w:sz="4" w:space="0" w:color="auto"/>
              <w:left w:val="single" w:sz="4" w:space="0" w:color="auto"/>
              <w:bottom w:val="nil"/>
            </w:tcBorders>
            <w:shd w:val="clear" w:color="auto" w:fill="auto"/>
            <w:noWrap/>
            <w:vAlign w:val="bottom"/>
            <w:hideMark/>
          </w:tcPr>
          <w:p w14:paraId="00098144"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466,608</w:t>
            </w:r>
          </w:p>
        </w:tc>
      </w:tr>
      <w:tr w:rsidR="00951B19" w:rsidRPr="00951B19" w14:paraId="7F80CD75" w14:textId="77777777" w:rsidTr="00A05941">
        <w:trPr>
          <w:trHeight w:val="300"/>
        </w:trPr>
        <w:tc>
          <w:tcPr>
            <w:tcW w:w="2993" w:type="dxa"/>
            <w:tcBorders>
              <w:top w:val="nil"/>
              <w:bottom w:val="nil"/>
              <w:right w:val="single" w:sz="4" w:space="0" w:color="auto"/>
            </w:tcBorders>
            <w:shd w:val="clear" w:color="auto" w:fill="auto"/>
            <w:noWrap/>
            <w:vAlign w:val="bottom"/>
            <w:hideMark/>
          </w:tcPr>
          <w:p w14:paraId="2497D050"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Discharged patients</w:t>
            </w:r>
          </w:p>
        </w:tc>
        <w:tc>
          <w:tcPr>
            <w:tcW w:w="1332" w:type="dxa"/>
            <w:tcBorders>
              <w:top w:val="nil"/>
              <w:left w:val="single" w:sz="4" w:space="0" w:color="auto"/>
              <w:bottom w:val="nil"/>
              <w:right w:val="single" w:sz="4" w:space="0" w:color="auto"/>
            </w:tcBorders>
            <w:shd w:val="clear" w:color="auto" w:fill="auto"/>
            <w:noWrap/>
            <w:vAlign w:val="bottom"/>
            <w:hideMark/>
          </w:tcPr>
          <w:p w14:paraId="6F1F4084"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26,016.4</w:t>
            </w:r>
          </w:p>
        </w:tc>
        <w:tc>
          <w:tcPr>
            <w:tcW w:w="2441" w:type="dxa"/>
            <w:tcBorders>
              <w:top w:val="nil"/>
              <w:left w:val="single" w:sz="4" w:space="0" w:color="auto"/>
              <w:bottom w:val="nil"/>
              <w:right w:val="single" w:sz="4" w:space="0" w:color="auto"/>
            </w:tcBorders>
            <w:shd w:val="clear" w:color="auto" w:fill="auto"/>
            <w:noWrap/>
            <w:vAlign w:val="bottom"/>
            <w:hideMark/>
          </w:tcPr>
          <w:p w14:paraId="1CFB07DC"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55,856.4</w:t>
            </w:r>
          </w:p>
        </w:tc>
        <w:tc>
          <w:tcPr>
            <w:tcW w:w="830" w:type="dxa"/>
            <w:tcBorders>
              <w:top w:val="nil"/>
              <w:left w:val="single" w:sz="4" w:space="0" w:color="auto"/>
              <w:bottom w:val="nil"/>
              <w:right w:val="single" w:sz="4" w:space="0" w:color="auto"/>
            </w:tcBorders>
            <w:shd w:val="clear" w:color="auto" w:fill="auto"/>
            <w:noWrap/>
            <w:vAlign w:val="bottom"/>
            <w:hideMark/>
          </w:tcPr>
          <w:p w14:paraId="656938CB"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19</w:t>
            </w:r>
          </w:p>
        </w:tc>
        <w:tc>
          <w:tcPr>
            <w:tcW w:w="1104" w:type="dxa"/>
            <w:tcBorders>
              <w:top w:val="nil"/>
              <w:left w:val="single" w:sz="4" w:space="0" w:color="auto"/>
              <w:bottom w:val="nil"/>
            </w:tcBorders>
            <w:shd w:val="clear" w:color="auto" w:fill="auto"/>
            <w:noWrap/>
            <w:vAlign w:val="bottom"/>
            <w:hideMark/>
          </w:tcPr>
          <w:p w14:paraId="10B4B497"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503,216</w:t>
            </w:r>
          </w:p>
        </w:tc>
      </w:tr>
      <w:tr w:rsidR="00951B19" w:rsidRPr="00951B19" w14:paraId="4A31A40C" w14:textId="77777777" w:rsidTr="00A05941">
        <w:trPr>
          <w:trHeight w:val="300"/>
        </w:trPr>
        <w:tc>
          <w:tcPr>
            <w:tcW w:w="2993" w:type="dxa"/>
            <w:tcBorders>
              <w:top w:val="nil"/>
              <w:bottom w:val="nil"/>
              <w:right w:val="single" w:sz="4" w:space="0" w:color="auto"/>
            </w:tcBorders>
            <w:shd w:val="clear" w:color="auto" w:fill="auto"/>
            <w:noWrap/>
            <w:vAlign w:val="bottom"/>
            <w:hideMark/>
          </w:tcPr>
          <w:p w14:paraId="0B570216"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Surgical operations</w:t>
            </w:r>
          </w:p>
        </w:tc>
        <w:tc>
          <w:tcPr>
            <w:tcW w:w="1332" w:type="dxa"/>
            <w:tcBorders>
              <w:top w:val="nil"/>
              <w:left w:val="single" w:sz="4" w:space="0" w:color="auto"/>
              <w:bottom w:val="nil"/>
              <w:right w:val="single" w:sz="4" w:space="0" w:color="auto"/>
            </w:tcBorders>
            <w:shd w:val="clear" w:color="auto" w:fill="auto"/>
            <w:noWrap/>
            <w:vAlign w:val="bottom"/>
            <w:hideMark/>
          </w:tcPr>
          <w:p w14:paraId="23F7ADC8"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bookmarkStart w:id="20" w:name="_Hlk1982133"/>
            <w:r w:rsidRPr="00951B19">
              <w:rPr>
                <w:rFonts w:ascii="Calibri" w:eastAsia="Times New Roman" w:hAnsi="Calibri" w:cs="Times New Roman"/>
                <w:color w:val="000000"/>
                <w:lang w:eastAsia="en-GB"/>
              </w:rPr>
              <w:t>2,638.4</w:t>
            </w:r>
            <w:bookmarkEnd w:id="20"/>
          </w:p>
        </w:tc>
        <w:tc>
          <w:tcPr>
            <w:tcW w:w="2441" w:type="dxa"/>
            <w:tcBorders>
              <w:top w:val="nil"/>
              <w:left w:val="single" w:sz="4" w:space="0" w:color="auto"/>
              <w:bottom w:val="nil"/>
              <w:right w:val="single" w:sz="4" w:space="0" w:color="auto"/>
            </w:tcBorders>
            <w:shd w:val="clear" w:color="auto" w:fill="auto"/>
            <w:noWrap/>
            <w:vAlign w:val="bottom"/>
            <w:hideMark/>
          </w:tcPr>
          <w:p w14:paraId="6FD29670"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2,151.2</w:t>
            </w:r>
          </w:p>
        </w:tc>
        <w:tc>
          <w:tcPr>
            <w:tcW w:w="830" w:type="dxa"/>
            <w:tcBorders>
              <w:top w:val="nil"/>
              <w:left w:val="single" w:sz="4" w:space="0" w:color="auto"/>
              <w:bottom w:val="nil"/>
              <w:right w:val="single" w:sz="4" w:space="0" w:color="auto"/>
            </w:tcBorders>
            <w:shd w:val="clear" w:color="auto" w:fill="auto"/>
            <w:noWrap/>
            <w:vAlign w:val="bottom"/>
            <w:hideMark/>
          </w:tcPr>
          <w:p w14:paraId="7CE23D25"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172</w:t>
            </w:r>
          </w:p>
        </w:tc>
        <w:tc>
          <w:tcPr>
            <w:tcW w:w="1104" w:type="dxa"/>
            <w:tcBorders>
              <w:top w:val="nil"/>
              <w:left w:val="single" w:sz="4" w:space="0" w:color="auto"/>
              <w:bottom w:val="nil"/>
            </w:tcBorders>
            <w:shd w:val="clear" w:color="auto" w:fill="auto"/>
            <w:noWrap/>
            <w:vAlign w:val="bottom"/>
            <w:hideMark/>
          </w:tcPr>
          <w:p w14:paraId="0E50BB64"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9,464</w:t>
            </w:r>
          </w:p>
        </w:tc>
      </w:tr>
      <w:tr w:rsidR="00951B19" w:rsidRPr="00951B19" w14:paraId="0FB7851F" w14:textId="77777777" w:rsidTr="00A05941">
        <w:trPr>
          <w:trHeight w:val="300"/>
        </w:trPr>
        <w:tc>
          <w:tcPr>
            <w:tcW w:w="2993" w:type="dxa"/>
            <w:tcBorders>
              <w:top w:val="nil"/>
              <w:bottom w:val="nil"/>
              <w:right w:val="single" w:sz="4" w:space="0" w:color="auto"/>
            </w:tcBorders>
            <w:shd w:val="clear" w:color="auto" w:fill="auto"/>
            <w:noWrap/>
            <w:vAlign w:val="bottom"/>
            <w:hideMark/>
          </w:tcPr>
          <w:p w14:paraId="6D6F4D74"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Laboratory tests</w:t>
            </w:r>
          </w:p>
        </w:tc>
        <w:tc>
          <w:tcPr>
            <w:tcW w:w="1332" w:type="dxa"/>
            <w:tcBorders>
              <w:top w:val="nil"/>
              <w:left w:val="single" w:sz="4" w:space="0" w:color="auto"/>
              <w:bottom w:val="nil"/>
              <w:right w:val="single" w:sz="4" w:space="0" w:color="auto"/>
            </w:tcBorders>
            <w:shd w:val="clear" w:color="auto" w:fill="auto"/>
            <w:noWrap/>
            <w:vAlign w:val="bottom"/>
            <w:hideMark/>
          </w:tcPr>
          <w:p w14:paraId="61FB46F6"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965,840.8</w:t>
            </w:r>
          </w:p>
        </w:tc>
        <w:tc>
          <w:tcPr>
            <w:tcW w:w="2441" w:type="dxa"/>
            <w:tcBorders>
              <w:top w:val="nil"/>
              <w:left w:val="single" w:sz="4" w:space="0" w:color="auto"/>
              <w:bottom w:val="nil"/>
              <w:right w:val="single" w:sz="4" w:space="0" w:color="auto"/>
            </w:tcBorders>
            <w:shd w:val="clear" w:color="auto" w:fill="auto"/>
            <w:noWrap/>
            <w:vAlign w:val="bottom"/>
            <w:hideMark/>
          </w:tcPr>
          <w:p w14:paraId="7FDE33E3"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1,095,415.6</w:t>
            </w:r>
          </w:p>
        </w:tc>
        <w:tc>
          <w:tcPr>
            <w:tcW w:w="830" w:type="dxa"/>
            <w:tcBorders>
              <w:top w:val="nil"/>
              <w:left w:val="single" w:sz="4" w:space="0" w:color="auto"/>
              <w:bottom w:val="nil"/>
              <w:right w:val="single" w:sz="4" w:space="0" w:color="auto"/>
            </w:tcBorders>
            <w:shd w:val="clear" w:color="auto" w:fill="auto"/>
            <w:noWrap/>
            <w:vAlign w:val="bottom"/>
            <w:hideMark/>
          </w:tcPr>
          <w:p w14:paraId="0A799A95"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794</w:t>
            </w:r>
          </w:p>
        </w:tc>
        <w:tc>
          <w:tcPr>
            <w:tcW w:w="1104" w:type="dxa"/>
            <w:tcBorders>
              <w:top w:val="nil"/>
              <w:left w:val="single" w:sz="4" w:space="0" w:color="auto"/>
              <w:bottom w:val="nil"/>
            </w:tcBorders>
            <w:shd w:val="clear" w:color="auto" w:fill="auto"/>
            <w:noWrap/>
            <w:vAlign w:val="bottom"/>
            <w:hideMark/>
          </w:tcPr>
          <w:p w14:paraId="762BF734"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5,512,774</w:t>
            </w:r>
          </w:p>
        </w:tc>
      </w:tr>
      <w:tr w:rsidR="00951B19" w:rsidRPr="00951B19" w14:paraId="6CE96464" w14:textId="77777777" w:rsidTr="00A05941">
        <w:trPr>
          <w:trHeight w:val="300"/>
        </w:trPr>
        <w:tc>
          <w:tcPr>
            <w:tcW w:w="2993" w:type="dxa"/>
            <w:tcBorders>
              <w:top w:val="nil"/>
              <w:bottom w:val="nil"/>
              <w:right w:val="single" w:sz="4" w:space="0" w:color="auto"/>
            </w:tcBorders>
            <w:shd w:val="clear" w:color="auto" w:fill="auto"/>
            <w:noWrap/>
            <w:vAlign w:val="bottom"/>
            <w:hideMark/>
          </w:tcPr>
          <w:p w14:paraId="0E7ABA3A"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Radiology Investigations</w:t>
            </w:r>
          </w:p>
        </w:tc>
        <w:tc>
          <w:tcPr>
            <w:tcW w:w="1332" w:type="dxa"/>
            <w:tcBorders>
              <w:top w:val="nil"/>
              <w:left w:val="single" w:sz="4" w:space="0" w:color="auto"/>
              <w:bottom w:val="nil"/>
              <w:right w:val="single" w:sz="4" w:space="0" w:color="auto"/>
            </w:tcBorders>
            <w:shd w:val="clear" w:color="auto" w:fill="auto"/>
            <w:noWrap/>
            <w:vAlign w:val="bottom"/>
            <w:hideMark/>
          </w:tcPr>
          <w:p w14:paraId="1546ECE2"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53,531.4</w:t>
            </w:r>
          </w:p>
        </w:tc>
        <w:tc>
          <w:tcPr>
            <w:tcW w:w="2441" w:type="dxa"/>
            <w:tcBorders>
              <w:top w:val="nil"/>
              <w:left w:val="single" w:sz="4" w:space="0" w:color="auto"/>
              <w:bottom w:val="nil"/>
              <w:right w:val="single" w:sz="4" w:space="0" w:color="auto"/>
            </w:tcBorders>
            <w:shd w:val="clear" w:color="auto" w:fill="auto"/>
            <w:noWrap/>
            <w:vAlign w:val="bottom"/>
            <w:hideMark/>
          </w:tcPr>
          <w:p w14:paraId="5CFA5B36"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46,788.7</w:t>
            </w:r>
          </w:p>
        </w:tc>
        <w:tc>
          <w:tcPr>
            <w:tcW w:w="830" w:type="dxa"/>
            <w:tcBorders>
              <w:top w:val="nil"/>
              <w:left w:val="single" w:sz="4" w:space="0" w:color="auto"/>
              <w:bottom w:val="nil"/>
              <w:right w:val="single" w:sz="4" w:space="0" w:color="auto"/>
            </w:tcBorders>
            <w:shd w:val="clear" w:color="auto" w:fill="auto"/>
            <w:noWrap/>
            <w:vAlign w:val="bottom"/>
            <w:hideMark/>
          </w:tcPr>
          <w:p w14:paraId="0B8A20E7"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107</w:t>
            </w:r>
          </w:p>
        </w:tc>
        <w:tc>
          <w:tcPr>
            <w:tcW w:w="1104" w:type="dxa"/>
            <w:tcBorders>
              <w:top w:val="nil"/>
              <w:left w:val="single" w:sz="4" w:space="0" w:color="auto"/>
              <w:bottom w:val="nil"/>
            </w:tcBorders>
            <w:shd w:val="clear" w:color="auto" w:fill="auto"/>
            <w:noWrap/>
            <w:vAlign w:val="bottom"/>
            <w:hideMark/>
          </w:tcPr>
          <w:p w14:paraId="4D1D022D"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221,980</w:t>
            </w:r>
          </w:p>
        </w:tc>
      </w:tr>
      <w:tr w:rsidR="00951B19" w:rsidRPr="00951B19" w14:paraId="2FA64BD7" w14:textId="77777777" w:rsidTr="00A05941">
        <w:trPr>
          <w:trHeight w:val="315"/>
        </w:trPr>
        <w:tc>
          <w:tcPr>
            <w:tcW w:w="2993" w:type="dxa"/>
            <w:tcBorders>
              <w:top w:val="nil"/>
              <w:bottom w:val="single" w:sz="8" w:space="0" w:color="auto"/>
              <w:right w:val="single" w:sz="4" w:space="0" w:color="auto"/>
            </w:tcBorders>
            <w:shd w:val="clear" w:color="auto" w:fill="auto"/>
            <w:noWrap/>
            <w:vAlign w:val="bottom"/>
            <w:hideMark/>
          </w:tcPr>
          <w:p w14:paraId="50BD4DAF"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 xml:space="preserve">Hospital mortality rate </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095A0812"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0.0224</w:t>
            </w:r>
          </w:p>
        </w:tc>
        <w:tc>
          <w:tcPr>
            <w:tcW w:w="2441" w:type="dxa"/>
            <w:tcBorders>
              <w:top w:val="nil"/>
              <w:left w:val="single" w:sz="4" w:space="0" w:color="auto"/>
              <w:bottom w:val="single" w:sz="8" w:space="0" w:color="auto"/>
              <w:right w:val="single" w:sz="4" w:space="0" w:color="auto"/>
            </w:tcBorders>
            <w:shd w:val="clear" w:color="auto" w:fill="auto"/>
            <w:noWrap/>
            <w:vAlign w:val="bottom"/>
            <w:hideMark/>
          </w:tcPr>
          <w:p w14:paraId="5DF457AE"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0.0212</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01D49072"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0.0003</w:t>
            </w:r>
          </w:p>
        </w:tc>
        <w:tc>
          <w:tcPr>
            <w:tcW w:w="1104" w:type="dxa"/>
            <w:tcBorders>
              <w:top w:val="nil"/>
              <w:left w:val="single" w:sz="4" w:space="0" w:color="auto"/>
              <w:bottom w:val="single" w:sz="8" w:space="0" w:color="auto"/>
            </w:tcBorders>
            <w:shd w:val="clear" w:color="auto" w:fill="auto"/>
            <w:noWrap/>
            <w:vAlign w:val="bottom"/>
            <w:hideMark/>
          </w:tcPr>
          <w:p w14:paraId="52B61DE9" w14:textId="77777777" w:rsidR="00951B19" w:rsidRPr="00951B19" w:rsidRDefault="00951B19" w:rsidP="008F1189">
            <w:pPr>
              <w:spacing w:after="0" w:line="276" w:lineRule="auto"/>
              <w:jc w:val="both"/>
              <w:rPr>
                <w:rFonts w:ascii="Calibri" w:eastAsia="Times New Roman" w:hAnsi="Calibri" w:cs="Times New Roman"/>
                <w:color w:val="000000"/>
                <w:lang w:eastAsia="en-GB"/>
              </w:rPr>
            </w:pPr>
            <w:r w:rsidRPr="00951B19">
              <w:rPr>
                <w:rFonts w:ascii="Calibri" w:eastAsia="Times New Roman" w:hAnsi="Calibri" w:cs="Times New Roman"/>
                <w:color w:val="000000"/>
                <w:lang w:eastAsia="en-GB"/>
              </w:rPr>
              <w:t>0.125</w:t>
            </w:r>
          </w:p>
        </w:tc>
      </w:tr>
      <w:bookmarkEnd w:id="17"/>
      <w:bookmarkEnd w:id="19"/>
    </w:tbl>
    <w:p w14:paraId="7B994723" w14:textId="77777777" w:rsidR="00951B19" w:rsidRDefault="00951B19" w:rsidP="008F1189">
      <w:pPr>
        <w:spacing w:line="360" w:lineRule="auto"/>
        <w:jc w:val="both"/>
        <w:rPr>
          <w:sz w:val="24"/>
          <w:szCs w:val="24"/>
        </w:rPr>
      </w:pPr>
    </w:p>
    <w:p w14:paraId="049CD164" w14:textId="56B9534C" w:rsidR="00CB04F9" w:rsidRDefault="003858DA" w:rsidP="008F1189">
      <w:pPr>
        <w:spacing w:line="360" w:lineRule="auto"/>
        <w:jc w:val="both"/>
        <w:rPr>
          <w:sz w:val="24"/>
          <w:szCs w:val="24"/>
        </w:rPr>
      </w:pPr>
      <w:r>
        <w:rPr>
          <w:sz w:val="24"/>
          <w:szCs w:val="24"/>
        </w:rPr>
        <w:t xml:space="preserve">Concerning the </w:t>
      </w:r>
      <w:r w:rsidR="00BC2C55" w:rsidRPr="00BC2C55">
        <w:rPr>
          <w:sz w:val="24"/>
          <w:szCs w:val="24"/>
        </w:rPr>
        <w:t xml:space="preserve">outputs, the average number of patient visits to outpatient departments </w:t>
      </w:r>
      <w:r>
        <w:rPr>
          <w:sz w:val="24"/>
          <w:szCs w:val="24"/>
        </w:rPr>
        <w:t>is</w:t>
      </w:r>
      <w:r w:rsidRPr="00BC2C55">
        <w:rPr>
          <w:sz w:val="24"/>
          <w:szCs w:val="24"/>
        </w:rPr>
        <w:t xml:space="preserve"> </w:t>
      </w:r>
      <w:r w:rsidR="00BC2C55" w:rsidRPr="00BC2C55">
        <w:rPr>
          <w:sz w:val="24"/>
          <w:szCs w:val="24"/>
        </w:rPr>
        <w:t>72,986 and ranged from 1,785 to 466,608 visits. Discharged patients receiving inpatient services during 2017 averaged 26,016, ranging from 19 to 503,216. Surgical operations ranged from 172 to 9,464</w:t>
      </w:r>
      <w:r w:rsidR="00A03DA4">
        <w:rPr>
          <w:sz w:val="24"/>
          <w:szCs w:val="24"/>
        </w:rPr>
        <w:t>,</w:t>
      </w:r>
      <w:r w:rsidR="00BC2C55" w:rsidRPr="00BC2C55">
        <w:rPr>
          <w:sz w:val="24"/>
          <w:szCs w:val="24"/>
        </w:rPr>
        <w:t xml:space="preserve"> with a mean of 2,638 surgeries per hospital. Means for laboratory and radiology tests </w:t>
      </w:r>
      <w:r>
        <w:rPr>
          <w:sz w:val="24"/>
          <w:szCs w:val="24"/>
        </w:rPr>
        <w:t>are</w:t>
      </w:r>
      <w:r w:rsidRPr="00BC2C55">
        <w:rPr>
          <w:sz w:val="24"/>
          <w:szCs w:val="24"/>
        </w:rPr>
        <w:t xml:space="preserve"> </w:t>
      </w:r>
      <w:r w:rsidR="00BC2C55" w:rsidRPr="00BC2C55">
        <w:rPr>
          <w:sz w:val="24"/>
          <w:szCs w:val="24"/>
        </w:rPr>
        <w:t xml:space="preserve">965840 and 53531 respectively, during 2017. </w:t>
      </w:r>
      <w:r w:rsidR="00A03DA4">
        <w:rPr>
          <w:sz w:val="24"/>
          <w:szCs w:val="24"/>
        </w:rPr>
        <w:t>The a</w:t>
      </w:r>
      <w:r w:rsidR="00A03DA4" w:rsidRPr="00BC2C55">
        <w:rPr>
          <w:sz w:val="24"/>
          <w:szCs w:val="24"/>
        </w:rPr>
        <w:t xml:space="preserve">verage </w:t>
      </w:r>
      <w:r w:rsidR="00BC2C55" w:rsidRPr="00BC2C55">
        <w:rPr>
          <w:sz w:val="24"/>
          <w:szCs w:val="24"/>
        </w:rPr>
        <w:t xml:space="preserve">mortality rate </w:t>
      </w:r>
      <w:r>
        <w:rPr>
          <w:sz w:val="24"/>
          <w:szCs w:val="24"/>
        </w:rPr>
        <w:t>is</w:t>
      </w:r>
      <w:r w:rsidRPr="00BC2C55">
        <w:rPr>
          <w:sz w:val="24"/>
          <w:szCs w:val="24"/>
        </w:rPr>
        <w:t xml:space="preserve"> </w:t>
      </w:r>
      <w:r w:rsidR="00BC2C55" w:rsidRPr="00BC2C55">
        <w:rPr>
          <w:sz w:val="24"/>
          <w:szCs w:val="24"/>
        </w:rPr>
        <w:t xml:space="preserve">2.24%. </w:t>
      </w:r>
    </w:p>
    <w:p w14:paraId="66F6428C" w14:textId="010892BB" w:rsidR="009D1D9F" w:rsidRDefault="009D1D9F" w:rsidP="008F1189">
      <w:pPr>
        <w:spacing w:line="360" w:lineRule="auto"/>
        <w:jc w:val="both"/>
        <w:rPr>
          <w:sz w:val="24"/>
          <w:szCs w:val="24"/>
        </w:rPr>
      </w:pPr>
      <w:r w:rsidRPr="009D1D9F">
        <w:rPr>
          <w:sz w:val="24"/>
          <w:szCs w:val="24"/>
        </w:rPr>
        <w:t>Table 3 presents the results of DEA model</w:t>
      </w:r>
      <w:r w:rsidR="00D53486">
        <w:rPr>
          <w:sz w:val="24"/>
          <w:szCs w:val="24"/>
        </w:rPr>
        <w:t>s</w:t>
      </w:r>
      <w:r w:rsidRPr="009D1D9F">
        <w:rPr>
          <w:sz w:val="24"/>
          <w:szCs w:val="24"/>
        </w:rPr>
        <w:t xml:space="preserve">, summary statistics of average technical </w:t>
      </w:r>
      <w:r w:rsidR="00306C13">
        <w:rPr>
          <w:sz w:val="24"/>
          <w:szCs w:val="24"/>
        </w:rPr>
        <w:t>(CRS and VRS</w:t>
      </w:r>
      <w:r w:rsidRPr="009D1D9F">
        <w:rPr>
          <w:sz w:val="24"/>
          <w:szCs w:val="24"/>
        </w:rPr>
        <w:t>)</w:t>
      </w:r>
      <w:r w:rsidR="00306C13">
        <w:rPr>
          <w:sz w:val="24"/>
          <w:szCs w:val="24"/>
        </w:rPr>
        <w:t xml:space="preserve"> efficiency</w:t>
      </w:r>
      <w:r w:rsidRPr="009D1D9F">
        <w:rPr>
          <w:sz w:val="24"/>
          <w:szCs w:val="24"/>
        </w:rPr>
        <w:t xml:space="preserve">, and scale (SE) efficiency scores, </w:t>
      </w:r>
      <w:r w:rsidR="00D53486">
        <w:rPr>
          <w:sz w:val="24"/>
          <w:szCs w:val="24"/>
        </w:rPr>
        <w:t xml:space="preserve">as well as concerning </w:t>
      </w:r>
      <w:r w:rsidRPr="009D1D9F">
        <w:rPr>
          <w:sz w:val="24"/>
          <w:szCs w:val="24"/>
        </w:rPr>
        <w:t>the return to</w:t>
      </w:r>
      <w:r w:rsidR="00D53486">
        <w:rPr>
          <w:sz w:val="24"/>
          <w:szCs w:val="24"/>
        </w:rPr>
        <w:t xml:space="preserve"> </w:t>
      </w:r>
      <w:r w:rsidRPr="009D1D9F">
        <w:rPr>
          <w:sz w:val="24"/>
          <w:szCs w:val="24"/>
        </w:rPr>
        <w:t>scale</w:t>
      </w:r>
      <w:r w:rsidR="00D2519D">
        <w:rPr>
          <w:sz w:val="24"/>
          <w:szCs w:val="24"/>
        </w:rPr>
        <w:t>.</w:t>
      </w:r>
      <w:r w:rsidRPr="009D1D9F">
        <w:rPr>
          <w:sz w:val="24"/>
          <w:szCs w:val="24"/>
        </w:rPr>
        <w:t xml:space="preserve"> </w:t>
      </w:r>
    </w:p>
    <w:p w14:paraId="1A4FE14F" w14:textId="7E81DEEF" w:rsidR="00951B19" w:rsidRPr="006409FC" w:rsidRDefault="00951B19" w:rsidP="008F1189">
      <w:pPr>
        <w:spacing w:line="360" w:lineRule="auto"/>
        <w:jc w:val="both"/>
        <w:rPr>
          <w:sz w:val="20"/>
          <w:szCs w:val="20"/>
        </w:rPr>
      </w:pPr>
      <w:r w:rsidRPr="006409FC">
        <w:rPr>
          <w:b/>
          <w:i/>
          <w:sz w:val="20"/>
          <w:szCs w:val="20"/>
        </w:rPr>
        <w:lastRenderedPageBreak/>
        <w:t xml:space="preserve">Table </w:t>
      </w:r>
      <w:r w:rsidRPr="006409FC">
        <w:rPr>
          <w:b/>
          <w:i/>
          <w:sz w:val="20"/>
          <w:szCs w:val="20"/>
        </w:rPr>
        <w:fldChar w:fldCharType="begin"/>
      </w:r>
      <w:r w:rsidRPr="006409FC">
        <w:rPr>
          <w:b/>
          <w:i/>
          <w:sz w:val="20"/>
          <w:szCs w:val="20"/>
        </w:rPr>
        <w:instrText xml:space="preserve"> SEQ Table \* ARABIC </w:instrText>
      </w:r>
      <w:r w:rsidRPr="006409FC">
        <w:rPr>
          <w:b/>
          <w:i/>
          <w:sz w:val="20"/>
          <w:szCs w:val="20"/>
        </w:rPr>
        <w:fldChar w:fldCharType="separate"/>
      </w:r>
      <w:r w:rsidRPr="006409FC">
        <w:rPr>
          <w:b/>
          <w:i/>
          <w:noProof/>
          <w:sz w:val="20"/>
          <w:szCs w:val="20"/>
        </w:rPr>
        <w:t>3</w:t>
      </w:r>
      <w:r w:rsidRPr="006409FC">
        <w:rPr>
          <w:b/>
          <w:i/>
          <w:sz w:val="20"/>
          <w:szCs w:val="20"/>
        </w:rPr>
        <w:fldChar w:fldCharType="end"/>
      </w:r>
      <w:r w:rsidRPr="006409FC">
        <w:rPr>
          <w:b/>
          <w:i/>
          <w:sz w:val="20"/>
          <w:szCs w:val="20"/>
        </w:rPr>
        <w:t>:</w:t>
      </w:r>
      <w:r w:rsidRPr="006409FC">
        <w:rPr>
          <w:i/>
          <w:sz w:val="20"/>
          <w:szCs w:val="20"/>
        </w:rPr>
        <w:t xml:space="preserve"> </w:t>
      </w:r>
      <w:bookmarkStart w:id="21" w:name="_Hlk15845991"/>
      <w:r w:rsidRPr="006409FC">
        <w:rPr>
          <w:i/>
          <w:sz w:val="20"/>
          <w:szCs w:val="20"/>
        </w:rPr>
        <w:t>Technical efficiency scores</w:t>
      </w:r>
      <w:r w:rsidR="00D53486">
        <w:rPr>
          <w:i/>
          <w:sz w:val="20"/>
          <w:szCs w:val="20"/>
        </w:rPr>
        <w:t xml:space="preserve"> </w:t>
      </w:r>
      <w:r w:rsidRPr="006409FC">
        <w:rPr>
          <w:i/>
          <w:sz w:val="20"/>
          <w:szCs w:val="20"/>
        </w:rPr>
        <w:t>and returns to the scale</w:t>
      </w:r>
      <w:r w:rsidR="00D53486">
        <w:rPr>
          <w:i/>
          <w:sz w:val="20"/>
          <w:szCs w:val="20"/>
        </w:rPr>
        <w:t xml:space="preserve"> of the public hospitals in KSA</w:t>
      </w:r>
    </w:p>
    <w:bookmarkEnd w:id="21"/>
    <w:tbl>
      <w:tblPr>
        <w:tblStyle w:val="TableGrid"/>
        <w:tblW w:w="8046" w:type="dxa"/>
        <w:tblLook w:val="04A0" w:firstRow="1" w:lastRow="0" w:firstColumn="1" w:lastColumn="0" w:noHBand="0" w:noVBand="1"/>
      </w:tblPr>
      <w:tblGrid>
        <w:gridCol w:w="1384"/>
        <w:gridCol w:w="1310"/>
        <w:gridCol w:w="1242"/>
        <w:gridCol w:w="1134"/>
        <w:gridCol w:w="992"/>
        <w:gridCol w:w="992"/>
        <w:gridCol w:w="992"/>
      </w:tblGrid>
      <w:tr w:rsidR="00951B19" w14:paraId="6BAA27F7" w14:textId="77777777" w:rsidTr="00D53486">
        <w:trPr>
          <w:trHeight w:val="600"/>
        </w:trPr>
        <w:tc>
          <w:tcPr>
            <w:tcW w:w="1384" w:type="dxa"/>
            <w:tcBorders>
              <w:left w:val="nil"/>
            </w:tcBorders>
            <w:hideMark/>
          </w:tcPr>
          <w:p w14:paraId="058356FD" w14:textId="77777777" w:rsidR="00951B19" w:rsidRPr="00B535A5" w:rsidRDefault="00951B19" w:rsidP="008F1189">
            <w:pPr>
              <w:spacing w:line="276" w:lineRule="auto"/>
              <w:jc w:val="both"/>
              <w:rPr>
                <w:b/>
                <w:bCs/>
                <w:sz w:val="20"/>
                <w:szCs w:val="20"/>
              </w:rPr>
            </w:pPr>
          </w:p>
        </w:tc>
        <w:tc>
          <w:tcPr>
            <w:tcW w:w="1310" w:type="dxa"/>
            <w:hideMark/>
          </w:tcPr>
          <w:p w14:paraId="1AACDFBC" w14:textId="320E66A7" w:rsidR="00951B19" w:rsidRPr="00B535A5" w:rsidRDefault="009D1D9F" w:rsidP="008F1189">
            <w:pPr>
              <w:spacing w:line="276" w:lineRule="auto"/>
              <w:jc w:val="both"/>
              <w:rPr>
                <w:b/>
                <w:bCs/>
                <w:sz w:val="20"/>
                <w:szCs w:val="20"/>
              </w:rPr>
            </w:pPr>
            <w:r>
              <w:rPr>
                <w:b/>
                <w:bCs/>
                <w:sz w:val="20"/>
                <w:szCs w:val="20"/>
              </w:rPr>
              <w:t>CRS t</w:t>
            </w:r>
            <w:r w:rsidR="00951B19" w:rsidRPr="00B535A5">
              <w:rPr>
                <w:b/>
                <w:bCs/>
                <w:sz w:val="20"/>
                <w:szCs w:val="20"/>
              </w:rPr>
              <w:t>echnical efficiency</w:t>
            </w:r>
          </w:p>
        </w:tc>
        <w:tc>
          <w:tcPr>
            <w:tcW w:w="1242" w:type="dxa"/>
            <w:hideMark/>
          </w:tcPr>
          <w:p w14:paraId="750FEF22" w14:textId="5A42FD4E" w:rsidR="00951B19" w:rsidRPr="00B535A5" w:rsidRDefault="009D1D9F" w:rsidP="008F1189">
            <w:pPr>
              <w:spacing w:line="276" w:lineRule="auto"/>
              <w:jc w:val="both"/>
              <w:rPr>
                <w:b/>
                <w:bCs/>
                <w:sz w:val="20"/>
                <w:szCs w:val="20"/>
              </w:rPr>
            </w:pPr>
            <w:r>
              <w:rPr>
                <w:b/>
                <w:bCs/>
                <w:sz w:val="20"/>
                <w:szCs w:val="20"/>
              </w:rPr>
              <w:t>VRS</w:t>
            </w:r>
            <w:r w:rsidRPr="00B535A5">
              <w:rPr>
                <w:b/>
                <w:bCs/>
                <w:sz w:val="20"/>
                <w:szCs w:val="20"/>
              </w:rPr>
              <w:t xml:space="preserve"> </w:t>
            </w:r>
            <w:r w:rsidR="00951B19" w:rsidRPr="00B535A5">
              <w:rPr>
                <w:b/>
                <w:bCs/>
                <w:sz w:val="20"/>
                <w:szCs w:val="20"/>
              </w:rPr>
              <w:t>technical efficiency</w:t>
            </w:r>
          </w:p>
        </w:tc>
        <w:tc>
          <w:tcPr>
            <w:tcW w:w="1134" w:type="dxa"/>
            <w:hideMark/>
          </w:tcPr>
          <w:p w14:paraId="7F55E242" w14:textId="77777777" w:rsidR="00951B19" w:rsidRPr="00B535A5" w:rsidRDefault="00951B19" w:rsidP="008F1189">
            <w:pPr>
              <w:spacing w:line="276" w:lineRule="auto"/>
              <w:jc w:val="both"/>
              <w:rPr>
                <w:b/>
                <w:bCs/>
                <w:sz w:val="20"/>
                <w:szCs w:val="20"/>
              </w:rPr>
            </w:pPr>
            <w:r w:rsidRPr="00B535A5">
              <w:rPr>
                <w:b/>
                <w:bCs/>
                <w:sz w:val="20"/>
                <w:szCs w:val="20"/>
              </w:rPr>
              <w:t>Scale efficiency</w:t>
            </w:r>
          </w:p>
        </w:tc>
        <w:tc>
          <w:tcPr>
            <w:tcW w:w="992" w:type="dxa"/>
            <w:hideMark/>
          </w:tcPr>
          <w:p w14:paraId="1CD6085F" w14:textId="6D84E750" w:rsidR="00951B19" w:rsidRPr="00B535A5" w:rsidRDefault="00951B19" w:rsidP="008F1189">
            <w:pPr>
              <w:spacing w:line="276" w:lineRule="auto"/>
              <w:jc w:val="both"/>
              <w:rPr>
                <w:b/>
                <w:bCs/>
                <w:sz w:val="20"/>
                <w:szCs w:val="20"/>
              </w:rPr>
            </w:pPr>
            <w:r w:rsidRPr="00B535A5">
              <w:rPr>
                <w:b/>
                <w:bCs/>
                <w:sz w:val="20"/>
                <w:szCs w:val="20"/>
              </w:rPr>
              <w:t>CRS [N</w:t>
            </w:r>
            <w:r>
              <w:rPr>
                <w:b/>
                <w:bCs/>
                <w:sz w:val="20"/>
                <w:szCs w:val="20"/>
              </w:rPr>
              <w:t xml:space="preserve"> </w:t>
            </w:r>
            <w:r w:rsidRPr="00B535A5">
              <w:rPr>
                <w:b/>
                <w:bCs/>
                <w:sz w:val="20"/>
                <w:szCs w:val="20"/>
              </w:rPr>
              <w:t>(%)]</w:t>
            </w:r>
          </w:p>
        </w:tc>
        <w:tc>
          <w:tcPr>
            <w:tcW w:w="992" w:type="dxa"/>
            <w:hideMark/>
          </w:tcPr>
          <w:p w14:paraId="5A0BEADE" w14:textId="1EAACF51" w:rsidR="00951B19" w:rsidRPr="00B535A5" w:rsidRDefault="00951B19" w:rsidP="008F1189">
            <w:pPr>
              <w:spacing w:line="276" w:lineRule="auto"/>
              <w:jc w:val="both"/>
              <w:rPr>
                <w:b/>
                <w:bCs/>
                <w:sz w:val="20"/>
                <w:szCs w:val="20"/>
              </w:rPr>
            </w:pPr>
            <w:r w:rsidRPr="00B535A5">
              <w:rPr>
                <w:b/>
                <w:bCs/>
                <w:sz w:val="20"/>
                <w:szCs w:val="20"/>
              </w:rPr>
              <w:t>IRS [N</w:t>
            </w:r>
            <w:r>
              <w:rPr>
                <w:b/>
                <w:bCs/>
                <w:sz w:val="20"/>
                <w:szCs w:val="20"/>
              </w:rPr>
              <w:t xml:space="preserve"> </w:t>
            </w:r>
            <w:r w:rsidRPr="00B535A5">
              <w:rPr>
                <w:b/>
                <w:bCs/>
                <w:sz w:val="20"/>
                <w:szCs w:val="20"/>
              </w:rPr>
              <w:t>(%)]</w:t>
            </w:r>
          </w:p>
        </w:tc>
        <w:tc>
          <w:tcPr>
            <w:tcW w:w="992" w:type="dxa"/>
            <w:tcBorders>
              <w:right w:val="nil"/>
            </w:tcBorders>
            <w:hideMark/>
          </w:tcPr>
          <w:p w14:paraId="163E35FF" w14:textId="19E01598" w:rsidR="00951B19" w:rsidRPr="00B535A5" w:rsidRDefault="00951B19" w:rsidP="008F1189">
            <w:pPr>
              <w:spacing w:line="276" w:lineRule="auto"/>
              <w:jc w:val="both"/>
              <w:rPr>
                <w:b/>
                <w:bCs/>
                <w:sz w:val="20"/>
                <w:szCs w:val="20"/>
              </w:rPr>
            </w:pPr>
            <w:r w:rsidRPr="00B535A5">
              <w:rPr>
                <w:b/>
                <w:bCs/>
                <w:sz w:val="20"/>
                <w:szCs w:val="20"/>
              </w:rPr>
              <w:t>DRS [N</w:t>
            </w:r>
            <w:r>
              <w:rPr>
                <w:b/>
                <w:bCs/>
                <w:sz w:val="20"/>
                <w:szCs w:val="20"/>
              </w:rPr>
              <w:t xml:space="preserve"> </w:t>
            </w:r>
            <w:r w:rsidRPr="00B535A5">
              <w:rPr>
                <w:b/>
                <w:bCs/>
                <w:sz w:val="20"/>
                <w:szCs w:val="20"/>
              </w:rPr>
              <w:t>(%)]</w:t>
            </w:r>
          </w:p>
        </w:tc>
      </w:tr>
      <w:tr w:rsidR="00951B19" w14:paraId="245A703D" w14:textId="77777777" w:rsidTr="00A05941">
        <w:trPr>
          <w:trHeight w:val="300"/>
        </w:trPr>
        <w:tc>
          <w:tcPr>
            <w:tcW w:w="8046" w:type="dxa"/>
            <w:gridSpan w:val="7"/>
            <w:tcBorders>
              <w:left w:val="nil"/>
              <w:right w:val="nil"/>
            </w:tcBorders>
            <w:noWrap/>
            <w:hideMark/>
          </w:tcPr>
          <w:p w14:paraId="79CC0EA3" w14:textId="77777777" w:rsidR="00951B19" w:rsidRPr="00CF663C" w:rsidRDefault="00951B19" w:rsidP="008F1189">
            <w:pPr>
              <w:spacing w:line="276" w:lineRule="auto"/>
              <w:jc w:val="both"/>
              <w:rPr>
                <w:b/>
                <w:bCs/>
                <w:sz w:val="20"/>
                <w:szCs w:val="20"/>
              </w:rPr>
            </w:pPr>
            <w:r w:rsidRPr="00B535A5">
              <w:rPr>
                <w:b/>
                <w:bCs/>
                <w:sz w:val="20"/>
                <w:szCs w:val="20"/>
              </w:rPr>
              <w:t>All hospitals (n=91)</w:t>
            </w:r>
          </w:p>
        </w:tc>
      </w:tr>
      <w:tr w:rsidR="00951B19" w14:paraId="4A0D6EFF" w14:textId="77777777" w:rsidTr="00D53486">
        <w:trPr>
          <w:trHeight w:val="300"/>
        </w:trPr>
        <w:tc>
          <w:tcPr>
            <w:tcW w:w="1384" w:type="dxa"/>
            <w:tcBorders>
              <w:left w:val="nil"/>
            </w:tcBorders>
            <w:noWrap/>
            <w:hideMark/>
          </w:tcPr>
          <w:p w14:paraId="3C9092BA" w14:textId="77777777" w:rsidR="00951B19" w:rsidRPr="00B535A5" w:rsidRDefault="00951B19" w:rsidP="008F1189">
            <w:pPr>
              <w:spacing w:line="276" w:lineRule="auto"/>
              <w:jc w:val="both"/>
              <w:rPr>
                <w:sz w:val="20"/>
                <w:szCs w:val="20"/>
              </w:rPr>
            </w:pPr>
            <w:r w:rsidRPr="00B535A5">
              <w:rPr>
                <w:sz w:val="20"/>
                <w:szCs w:val="20"/>
              </w:rPr>
              <w:t>Mean</w:t>
            </w:r>
          </w:p>
        </w:tc>
        <w:tc>
          <w:tcPr>
            <w:tcW w:w="1310" w:type="dxa"/>
            <w:noWrap/>
            <w:hideMark/>
          </w:tcPr>
          <w:p w14:paraId="1159B6C0" w14:textId="77777777" w:rsidR="00951B19" w:rsidRPr="00B535A5" w:rsidRDefault="00951B19" w:rsidP="008F1189">
            <w:pPr>
              <w:spacing w:line="276" w:lineRule="auto"/>
              <w:jc w:val="both"/>
              <w:rPr>
                <w:sz w:val="20"/>
                <w:szCs w:val="20"/>
              </w:rPr>
            </w:pPr>
            <w:r w:rsidRPr="00B535A5">
              <w:rPr>
                <w:sz w:val="20"/>
                <w:szCs w:val="20"/>
              </w:rPr>
              <w:t>0.76</w:t>
            </w:r>
          </w:p>
        </w:tc>
        <w:tc>
          <w:tcPr>
            <w:tcW w:w="1242" w:type="dxa"/>
            <w:noWrap/>
            <w:hideMark/>
          </w:tcPr>
          <w:p w14:paraId="39C49AAC" w14:textId="77777777" w:rsidR="00951B19" w:rsidRPr="00B535A5" w:rsidRDefault="00951B19" w:rsidP="008F1189">
            <w:pPr>
              <w:spacing w:line="276" w:lineRule="auto"/>
              <w:jc w:val="both"/>
              <w:rPr>
                <w:sz w:val="20"/>
                <w:szCs w:val="20"/>
              </w:rPr>
            </w:pPr>
            <w:r w:rsidRPr="00B535A5">
              <w:rPr>
                <w:sz w:val="20"/>
                <w:szCs w:val="20"/>
              </w:rPr>
              <w:t>0.87</w:t>
            </w:r>
          </w:p>
        </w:tc>
        <w:tc>
          <w:tcPr>
            <w:tcW w:w="1134" w:type="dxa"/>
            <w:noWrap/>
            <w:hideMark/>
          </w:tcPr>
          <w:p w14:paraId="466E97CB" w14:textId="77777777" w:rsidR="00951B19" w:rsidRPr="00B535A5" w:rsidRDefault="00951B19" w:rsidP="008F1189">
            <w:pPr>
              <w:spacing w:line="276" w:lineRule="auto"/>
              <w:jc w:val="both"/>
              <w:rPr>
                <w:sz w:val="20"/>
                <w:szCs w:val="20"/>
              </w:rPr>
            </w:pPr>
            <w:r w:rsidRPr="00B535A5">
              <w:rPr>
                <w:sz w:val="20"/>
                <w:szCs w:val="20"/>
              </w:rPr>
              <w:t>0.87</w:t>
            </w:r>
          </w:p>
        </w:tc>
        <w:tc>
          <w:tcPr>
            <w:tcW w:w="992" w:type="dxa"/>
            <w:vMerge w:val="restart"/>
            <w:noWrap/>
            <w:hideMark/>
          </w:tcPr>
          <w:p w14:paraId="1BC22263" w14:textId="77777777" w:rsidR="00951B19" w:rsidRPr="00B535A5" w:rsidRDefault="00951B19" w:rsidP="008F1189">
            <w:pPr>
              <w:spacing w:line="276" w:lineRule="auto"/>
              <w:jc w:val="both"/>
              <w:rPr>
                <w:sz w:val="20"/>
                <w:szCs w:val="20"/>
              </w:rPr>
            </w:pPr>
            <w:r w:rsidRPr="00B535A5">
              <w:rPr>
                <w:sz w:val="20"/>
                <w:szCs w:val="20"/>
              </w:rPr>
              <w:t>34 (37.4)</w:t>
            </w:r>
          </w:p>
          <w:p w14:paraId="01ADE910" w14:textId="77777777" w:rsidR="00951B19" w:rsidRPr="00B535A5" w:rsidRDefault="00951B19" w:rsidP="008F1189">
            <w:pPr>
              <w:spacing w:line="276" w:lineRule="auto"/>
              <w:jc w:val="both"/>
              <w:rPr>
                <w:sz w:val="20"/>
                <w:szCs w:val="20"/>
              </w:rPr>
            </w:pPr>
          </w:p>
          <w:p w14:paraId="07D2CE07" w14:textId="77777777" w:rsidR="00951B19" w:rsidRPr="00B535A5" w:rsidRDefault="00951B19" w:rsidP="008F1189">
            <w:pPr>
              <w:spacing w:line="276" w:lineRule="auto"/>
              <w:jc w:val="both"/>
              <w:rPr>
                <w:sz w:val="20"/>
                <w:szCs w:val="20"/>
              </w:rPr>
            </w:pPr>
          </w:p>
          <w:p w14:paraId="3D369366" w14:textId="77777777" w:rsidR="00951B19" w:rsidRPr="00B535A5" w:rsidRDefault="00951B19" w:rsidP="008F1189">
            <w:pPr>
              <w:spacing w:line="276" w:lineRule="auto"/>
              <w:jc w:val="both"/>
              <w:rPr>
                <w:sz w:val="20"/>
                <w:szCs w:val="20"/>
              </w:rPr>
            </w:pPr>
          </w:p>
        </w:tc>
        <w:tc>
          <w:tcPr>
            <w:tcW w:w="992" w:type="dxa"/>
            <w:vMerge w:val="restart"/>
            <w:noWrap/>
            <w:hideMark/>
          </w:tcPr>
          <w:p w14:paraId="71C18B01" w14:textId="77777777" w:rsidR="00951B19" w:rsidRPr="00B535A5" w:rsidRDefault="00951B19" w:rsidP="008F1189">
            <w:pPr>
              <w:spacing w:line="276" w:lineRule="auto"/>
              <w:jc w:val="both"/>
              <w:rPr>
                <w:sz w:val="20"/>
                <w:szCs w:val="20"/>
              </w:rPr>
            </w:pPr>
            <w:r w:rsidRPr="00B535A5">
              <w:rPr>
                <w:sz w:val="20"/>
                <w:szCs w:val="20"/>
              </w:rPr>
              <w:t>40 (44)</w:t>
            </w:r>
          </w:p>
          <w:p w14:paraId="28FEA9EA" w14:textId="77777777" w:rsidR="00951B19" w:rsidRPr="00B535A5" w:rsidRDefault="00951B19" w:rsidP="008F1189">
            <w:pPr>
              <w:spacing w:line="276" w:lineRule="auto"/>
              <w:jc w:val="both"/>
              <w:rPr>
                <w:sz w:val="20"/>
                <w:szCs w:val="20"/>
              </w:rPr>
            </w:pPr>
          </w:p>
          <w:p w14:paraId="4CC935EC" w14:textId="77777777" w:rsidR="00951B19" w:rsidRPr="00B535A5" w:rsidRDefault="00951B19" w:rsidP="008F1189">
            <w:pPr>
              <w:spacing w:line="276" w:lineRule="auto"/>
              <w:jc w:val="both"/>
              <w:rPr>
                <w:sz w:val="20"/>
                <w:szCs w:val="20"/>
              </w:rPr>
            </w:pPr>
          </w:p>
          <w:p w14:paraId="5E267640" w14:textId="77777777" w:rsidR="00951B19" w:rsidRPr="00B535A5" w:rsidRDefault="00951B19" w:rsidP="008F1189">
            <w:pPr>
              <w:spacing w:line="276" w:lineRule="auto"/>
              <w:jc w:val="both"/>
              <w:rPr>
                <w:sz w:val="20"/>
                <w:szCs w:val="20"/>
              </w:rPr>
            </w:pPr>
          </w:p>
        </w:tc>
        <w:tc>
          <w:tcPr>
            <w:tcW w:w="992" w:type="dxa"/>
            <w:vMerge w:val="restart"/>
            <w:tcBorders>
              <w:right w:val="nil"/>
            </w:tcBorders>
            <w:noWrap/>
            <w:hideMark/>
          </w:tcPr>
          <w:p w14:paraId="04935516" w14:textId="77777777" w:rsidR="00951B19" w:rsidRPr="00B535A5" w:rsidRDefault="00951B19" w:rsidP="008F1189">
            <w:pPr>
              <w:spacing w:line="276" w:lineRule="auto"/>
              <w:jc w:val="both"/>
              <w:rPr>
                <w:sz w:val="20"/>
                <w:szCs w:val="20"/>
              </w:rPr>
            </w:pPr>
            <w:r w:rsidRPr="00B535A5">
              <w:rPr>
                <w:sz w:val="20"/>
                <w:szCs w:val="20"/>
              </w:rPr>
              <w:t>17 (18.6)</w:t>
            </w:r>
          </w:p>
          <w:p w14:paraId="2333ECAF" w14:textId="77777777" w:rsidR="00951B19" w:rsidRPr="00B535A5" w:rsidRDefault="00951B19" w:rsidP="008F1189">
            <w:pPr>
              <w:spacing w:line="276" w:lineRule="auto"/>
              <w:jc w:val="both"/>
              <w:rPr>
                <w:sz w:val="20"/>
                <w:szCs w:val="20"/>
              </w:rPr>
            </w:pPr>
          </w:p>
          <w:p w14:paraId="1A0BB830" w14:textId="77777777" w:rsidR="00951B19" w:rsidRPr="00B535A5" w:rsidRDefault="00951B19" w:rsidP="008F1189">
            <w:pPr>
              <w:spacing w:line="276" w:lineRule="auto"/>
              <w:jc w:val="both"/>
              <w:rPr>
                <w:sz w:val="20"/>
                <w:szCs w:val="20"/>
              </w:rPr>
            </w:pPr>
          </w:p>
          <w:p w14:paraId="4EA5CF45" w14:textId="77777777" w:rsidR="00951B19" w:rsidRPr="00B535A5" w:rsidRDefault="00951B19" w:rsidP="008F1189">
            <w:pPr>
              <w:spacing w:line="276" w:lineRule="auto"/>
              <w:jc w:val="both"/>
              <w:rPr>
                <w:sz w:val="20"/>
                <w:szCs w:val="20"/>
              </w:rPr>
            </w:pPr>
          </w:p>
        </w:tc>
      </w:tr>
      <w:tr w:rsidR="00951B19" w14:paraId="0B506DFD" w14:textId="77777777" w:rsidTr="00D53486">
        <w:trPr>
          <w:trHeight w:val="300"/>
        </w:trPr>
        <w:tc>
          <w:tcPr>
            <w:tcW w:w="1384" w:type="dxa"/>
            <w:tcBorders>
              <w:left w:val="nil"/>
            </w:tcBorders>
            <w:noWrap/>
            <w:hideMark/>
          </w:tcPr>
          <w:p w14:paraId="0067F9D1" w14:textId="77777777" w:rsidR="00951B19" w:rsidRPr="00B535A5" w:rsidRDefault="00951B19" w:rsidP="008F1189">
            <w:pPr>
              <w:spacing w:line="276" w:lineRule="auto"/>
              <w:jc w:val="both"/>
              <w:rPr>
                <w:sz w:val="20"/>
                <w:szCs w:val="20"/>
              </w:rPr>
            </w:pPr>
            <w:r w:rsidRPr="00074ECC">
              <w:rPr>
                <w:sz w:val="20"/>
                <w:szCs w:val="20"/>
              </w:rPr>
              <w:t>Std. Dev.</w:t>
            </w:r>
          </w:p>
        </w:tc>
        <w:tc>
          <w:tcPr>
            <w:tcW w:w="1310" w:type="dxa"/>
            <w:noWrap/>
            <w:hideMark/>
          </w:tcPr>
          <w:p w14:paraId="2FE77DD9" w14:textId="77777777" w:rsidR="00951B19" w:rsidRPr="00B535A5" w:rsidRDefault="00951B19" w:rsidP="008F1189">
            <w:pPr>
              <w:spacing w:line="276" w:lineRule="auto"/>
              <w:jc w:val="both"/>
              <w:rPr>
                <w:sz w:val="20"/>
                <w:szCs w:val="20"/>
              </w:rPr>
            </w:pPr>
            <w:r w:rsidRPr="00B535A5">
              <w:rPr>
                <w:sz w:val="20"/>
                <w:szCs w:val="20"/>
              </w:rPr>
              <w:t>0.23</w:t>
            </w:r>
          </w:p>
        </w:tc>
        <w:tc>
          <w:tcPr>
            <w:tcW w:w="1242" w:type="dxa"/>
            <w:noWrap/>
            <w:hideMark/>
          </w:tcPr>
          <w:p w14:paraId="5ED3CD24" w14:textId="77777777" w:rsidR="00951B19" w:rsidRPr="00B535A5" w:rsidRDefault="00951B19" w:rsidP="008F1189">
            <w:pPr>
              <w:spacing w:line="276" w:lineRule="auto"/>
              <w:jc w:val="both"/>
              <w:rPr>
                <w:sz w:val="20"/>
                <w:szCs w:val="20"/>
              </w:rPr>
            </w:pPr>
            <w:r w:rsidRPr="00B535A5">
              <w:rPr>
                <w:sz w:val="20"/>
                <w:szCs w:val="20"/>
              </w:rPr>
              <w:t>0.18</w:t>
            </w:r>
          </w:p>
        </w:tc>
        <w:tc>
          <w:tcPr>
            <w:tcW w:w="1134" w:type="dxa"/>
            <w:noWrap/>
            <w:hideMark/>
          </w:tcPr>
          <w:p w14:paraId="7E71C819" w14:textId="77777777" w:rsidR="00951B19" w:rsidRPr="00B535A5" w:rsidRDefault="00951B19" w:rsidP="008F1189">
            <w:pPr>
              <w:spacing w:line="276" w:lineRule="auto"/>
              <w:jc w:val="both"/>
              <w:rPr>
                <w:sz w:val="20"/>
                <w:szCs w:val="20"/>
              </w:rPr>
            </w:pPr>
            <w:r w:rsidRPr="00B535A5">
              <w:rPr>
                <w:sz w:val="20"/>
                <w:szCs w:val="20"/>
              </w:rPr>
              <w:t>0.18</w:t>
            </w:r>
          </w:p>
        </w:tc>
        <w:tc>
          <w:tcPr>
            <w:tcW w:w="992" w:type="dxa"/>
            <w:vMerge/>
            <w:noWrap/>
            <w:hideMark/>
          </w:tcPr>
          <w:p w14:paraId="6E16681B" w14:textId="77777777" w:rsidR="00951B19" w:rsidRPr="00B535A5" w:rsidRDefault="00951B19" w:rsidP="008F1189">
            <w:pPr>
              <w:spacing w:line="276" w:lineRule="auto"/>
              <w:jc w:val="both"/>
              <w:rPr>
                <w:sz w:val="20"/>
                <w:szCs w:val="20"/>
              </w:rPr>
            </w:pPr>
          </w:p>
        </w:tc>
        <w:tc>
          <w:tcPr>
            <w:tcW w:w="992" w:type="dxa"/>
            <w:vMerge/>
            <w:noWrap/>
            <w:hideMark/>
          </w:tcPr>
          <w:p w14:paraId="6CA4CBEB" w14:textId="77777777" w:rsidR="00951B19" w:rsidRPr="00B535A5" w:rsidRDefault="00951B19" w:rsidP="008F1189">
            <w:pPr>
              <w:spacing w:line="276" w:lineRule="auto"/>
              <w:jc w:val="both"/>
              <w:rPr>
                <w:sz w:val="20"/>
                <w:szCs w:val="20"/>
              </w:rPr>
            </w:pPr>
          </w:p>
        </w:tc>
        <w:tc>
          <w:tcPr>
            <w:tcW w:w="992" w:type="dxa"/>
            <w:vMerge/>
            <w:tcBorders>
              <w:right w:val="nil"/>
            </w:tcBorders>
            <w:noWrap/>
            <w:hideMark/>
          </w:tcPr>
          <w:p w14:paraId="092FD6CF" w14:textId="77777777" w:rsidR="00951B19" w:rsidRPr="00B535A5" w:rsidRDefault="00951B19" w:rsidP="008F1189">
            <w:pPr>
              <w:spacing w:line="276" w:lineRule="auto"/>
              <w:jc w:val="both"/>
              <w:rPr>
                <w:sz w:val="20"/>
                <w:szCs w:val="20"/>
              </w:rPr>
            </w:pPr>
          </w:p>
        </w:tc>
      </w:tr>
      <w:tr w:rsidR="00951B19" w14:paraId="1AD43EAE" w14:textId="77777777" w:rsidTr="00D53486">
        <w:trPr>
          <w:trHeight w:val="300"/>
        </w:trPr>
        <w:tc>
          <w:tcPr>
            <w:tcW w:w="1384" w:type="dxa"/>
            <w:tcBorders>
              <w:left w:val="nil"/>
            </w:tcBorders>
            <w:noWrap/>
            <w:hideMark/>
          </w:tcPr>
          <w:p w14:paraId="27982B86" w14:textId="77777777" w:rsidR="00951B19" w:rsidRPr="00B535A5" w:rsidRDefault="00951B19" w:rsidP="008F1189">
            <w:pPr>
              <w:spacing w:line="276" w:lineRule="auto"/>
              <w:jc w:val="both"/>
              <w:rPr>
                <w:sz w:val="20"/>
                <w:szCs w:val="20"/>
              </w:rPr>
            </w:pPr>
            <w:r w:rsidRPr="00B535A5">
              <w:rPr>
                <w:sz w:val="20"/>
                <w:szCs w:val="20"/>
              </w:rPr>
              <w:t>Min</w:t>
            </w:r>
          </w:p>
        </w:tc>
        <w:tc>
          <w:tcPr>
            <w:tcW w:w="1310" w:type="dxa"/>
            <w:noWrap/>
            <w:hideMark/>
          </w:tcPr>
          <w:p w14:paraId="13CA7864" w14:textId="77777777" w:rsidR="00951B19" w:rsidRPr="00B535A5" w:rsidRDefault="00951B19" w:rsidP="008F1189">
            <w:pPr>
              <w:spacing w:line="276" w:lineRule="auto"/>
              <w:jc w:val="both"/>
              <w:rPr>
                <w:sz w:val="20"/>
                <w:szCs w:val="20"/>
              </w:rPr>
            </w:pPr>
            <w:r w:rsidRPr="00B535A5">
              <w:rPr>
                <w:sz w:val="20"/>
                <w:szCs w:val="20"/>
              </w:rPr>
              <w:t>0.11</w:t>
            </w:r>
          </w:p>
        </w:tc>
        <w:tc>
          <w:tcPr>
            <w:tcW w:w="1242" w:type="dxa"/>
            <w:noWrap/>
            <w:hideMark/>
          </w:tcPr>
          <w:p w14:paraId="59795D75" w14:textId="77777777" w:rsidR="00951B19" w:rsidRPr="00B535A5" w:rsidRDefault="00951B19" w:rsidP="008F1189">
            <w:pPr>
              <w:spacing w:line="276" w:lineRule="auto"/>
              <w:jc w:val="both"/>
              <w:rPr>
                <w:sz w:val="20"/>
                <w:szCs w:val="20"/>
              </w:rPr>
            </w:pPr>
            <w:r w:rsidRPr="00B535A5">
              <w:rPr>
                <w:sz w:val="20"/>
                <w:szCs w:val="20"/>
              </w:rPr>
              <w:t>0.30</w:t>
            </w:r>
          </w:p>
        </w:tc>
        <w:tc>
          <w:tcPr>
            <w:tcW w:w="1134" w:type="dxa"/>
            <w:noWrap/>
            <w:hideMark/>
          </w:tcPr>
          <w:p w14:paraId="20033623" w14:textId="77777777" w:rsidR="00951B19" w:rsidRPr="00B535A5" w:rsidRDefault="00951B19" w:rsidP="008F1189">
            <w:pPr>
              <w:spacing w:line="276" w:lineRule="auto"/>
              <w:jc w:val="both"/>
              <w:rPr>
                <w:sz w:val="20"/>
                <w:szCs w:val="20"/>
              </w:rPr>
            </w:pPr>
            <w:r w:rsidRPr="00B535A5">
              <w:rPr>
                <w:sz w:val="20"/>
                <w:szCs w:val="20"/>
              </w:rPr>
              <w:t>0.19</w:t>
            </w:r>
          </w:p>
        </w:tc>
        <w:tc>
          <w:tcPr>
            <w:tcW w:w="992" w:type="dxa"/>
            <w:vMerge/>
            <w:noWrap/>
            <w:hideMark/>
          </w:tcPr>
          <w:p w14:paraId="36408E05" w14:textId="77777777" w:rsidR="00951B19" w:rsidRPr="00B535A5" w:rsidRDefault="00951B19" w:rsidP="008F1189">
            <w:pPr>
              <w:spacing w:line="276" w:lineRule="auto"/>
              <w:jc w:val="both"/>
              <w:rPr>
                <w:sz w:val="20"/>
                <w:szCs w:val="20"/>
              </w:rPr>
            </w:pPr>
          </w:p>
        </w:tc>
        <w:tc>
          <w:tcPr>
            <w:tcW w:w="992" w:type="dxa"/>
            <w:vMerge/>
            <w:noWrap/>
            <w:hideMark/>
          </w:tcPr>
          <w:p w14:paraId="65951D39" w14:textId="77777777" w:rsidR="00951B19" w:rsidRPr="00B535A5" w:rsidRDefault="00951B19" w:rsidP="008F1189">
            <w:pPr>
              <w:spacing w:line="276" w:lineRule="auto"/>
              <w:jc w:val="both"/>
              <w:rPr>
                <w:sz w:val="20"/>
                <w:szCs w:val="20"/>
              </w:rPr>
            </w:pPr>
          </w:p>
        </w:tc>
        <w:tc>
          <w:tcPr>
            <w:tcW w:w="992" w:type="dxa"/>
            <w:vMerge/>
            <w:tcBorders>
              <w:right w:val="nil"/>
            </w:tcBorders>
            <w:noWrap/>
            <w:hideMark/>
          </w:tcPr>
          <w:p w14:paraId="248EF185" w14:textId="77777777" w:rsidR="00951B19" w:rsidRPr="00B535A5" w:rsidRDefault="00951B19" w:rsidP="008F1189">
            <w:pPr>
              <w:spacing w:line="276" w:lineRule="auto"/>
              <w:jc w:val="both"/>
              <w:rPr>
                <w:sz w:val="20"/>
                <w:szCs w:val="20"/>
              </w:rPr>
            </w:pPr>
          </w:p>
        </w:tc>
      </w:tr>
      <w:tr w:rsidR="00951B19" w14:paraId="5EC5176F" w14:textId="77777777" w:rsidTr="00D53486">
        <w:trPr>
          <w:trHeight w:val="300"/>
        </w:trPr>
        <w:tc>
          <w:tcPr>
            <w:tcW w:w="1384" w:type="dxa"/>
            <w:tcBorders>
              <w:left w:val="nil"/>
            </w:tcBorders>
            <w:noWrap/>
            <w:hideMark/>
          </w:tcPr>
          <w:p w14:paraId="5B755800" w14:textId="77777777" w:rsidR="00951B19" w:rsidRPr="00B535A5" w:rsidRDefault="00951B19" w:rsidP="008F1189">
            <w:pPr>
              <w:spacing w:line="276" w:lineRule="auto"/>
              <w:jc w:val="both"/>
              <w:rPr>
                <w:sz w:val="20"/>
                <w:szCs w:val="20"/>
              </w:rPr>
            </w:pPr>
            <w:r w:rsidRPr="00B535A5">
              <w:rPr>
                <w:sz w:val="20"/>
                <w:szCs w:val="20"/>
              </w:rPr>
              <w:t>No. full score</w:t>
            </w:r>
          </w:p>
        </w:tc>
        <w:tc>
          <w:tcPr>
            <w:tcW w:w="1310" w:type="dxa"/>
            <w:noWrap/>
            <w:hideMark/>
          </w:tcPr>
          <w:p w14:paraId="3FBDDA15" w14:textId="77777777" w:rsidR="00951B19" w:rsidRPr="00B535A5" w:rsidRDefault="00951B19" w:rsidP="008F1189">
            <w:pPr>
              <w:spacing w:line="276" w:lineRule="auto"/>
              <w:jc w:val="both"/>
              <w:rPr>
                <w:sz w:val="20"/>
                <w:szCs w:val="20"/>
              </w:rPr>
            </w:pPr>
            <w:r w:rsidRPr="00B535A5">
              <w:rPr>
                <w:sz w:val="20"/>
                <w:szCs w:val="20"/>
              </w:rPr>
              <w:t>22 (24.2%)</w:t>
            </w:r>
          </w:p>
        </w:tc>
        <w:tc>
          <w:tcPr>
            <w:tcW w:w="1242" w:type="dxa"/>
            <w:noWrap/>
            <w:hideMark/>
          </w:tcPr>
          <w:p w14:paraId="7164288C" w14:textId="77777777" w:rsidR="00951B19" w:rsidRPr="00B535A5" w:rsidRDefault="00951B19" w:rsidP="008F1189">
            <w:pPr>
              <w:spacing w:line="276" w:lineRule="auto"/>
              <w:jc w:val="both"/>
              <w:rPr>
                <w:sz w:val="20"/>
                <w:szCs w:val="20"/>
              </w:rPr>
            </w:pPr>
            <w:r w:rsidRPr="00B535A5">
              <w:rPr>
                <w:sz w:val="20"/>
                <w:szCs w:val="20"/>
              </w:rPr>
              <w:t>47</w:t>
            </w:r>
          </w:p>
        </w:tc>
        <w:tc>
          <w:tcPr>
            <w:tcW w:w="1134" w:type="dxa"/>
            <w:noWrap/>
            <w:hideMark/>
          </w:tcPr>
          <w:p w14:paraId="2A7489A8" w14:textId="77777777" w:rsidR="00951B19" w:rsidRPr="00B535A5" w:rsidRDefault="00951B19" w:rsidP="008F1189">
            <w:pPr>
              <w:spacing w:line="276" w:lineRule="auto"/>
              <w:jc w:val="both"/>
              <w:rPr>
                <w:sz w:val="20"/>
                <w:szCs w:val="20"/>
              </w:rPr>
            </w:pPr>
            <w:r w:rsidRPr="00B535A5">
              <w:rPr>
                <w:sz w:val="20"/>
                <w:szCs w:val="20"/>
              </w:rPr>
              <w:t>25</w:t>
            </w:r>
          </w:p>
        </w:tc>
        <w:tc>
          <w:tcPr>
            <w:tcW w:w="992" w:type="dxa"/>
            <w:vMerge/>
            <w:noWrap/>
            <w:hideMark/>
          </w:tcPr>
          <w:p w14:paraId="53D1C32D" w14:textId="77777777" w:rsidR="00951B19" w:rsidRPr="00B535A5" w:rsidRDefault="00951B19" w:rsidP="008F1189">
            <w:pPr>
              <w:spacing w:line="276" w:lineRule="auto"/>
              <w:jc w:val="both"/>
              <w:rPr>
                <w:sz w:val="20"/>
                <w:szCs w:val="20"/>
              </w:rPr>
            </w:pPr>
          </w:p>
        </w:tc>
        <w:tc>
          <w:tcPr>
            <w:tcW w:w="992" w:type="dxa"/>
            <w:vMerge/>
            <w:noWrap/>
            <w:hideMark/>
          </w:tcPr>
          <w:p w14:paraId="31398AB0" w14:textId="77777777" w:rsidR="00951B19" w:rsidRPr="00B535A5" w:rsidRDefault="00951B19" w:rsidP="008F1189">
            <w:pPr>
              <w:spacing w:line="276" w:lineRule="auto"/>
              <w:jc w:val="both"/>
              <w:rPr>
                <w:sz w:val="20"/>
                <w:szCs w:val="20"/>
              </w:rPr>
            </w:pPr>
          </w:p>
        </w:tc>
        <w:tc>
          <w:tcPr>
            <w:tcW w:w="992" w:type="dxa"/>
            <w:vMerge/>
            <w:tcBorders>
              <w:right w:val="nil"/>
            </w:tcBorders>
            <w:noWrap/>
            <w:hideMark/>
          </w:tcPr>
          <w:p w14:paraId="078A46A7" w14:textId="77777777" w:rsidR="00951B19" w:rsidRPr="00B535A5" w:rsidRDefault="00951B19" w:rsidP="008F1189">
            <w:pPr>
              <w:spacing w:line="276" w:lineRule="auto"/>
              <w:jc w:val="both"/>
              <w:rPr>
                <w:sz w:val="20"/>
                <w:szCs w:val="20"/>
              </w:rPr>
            </w:pPr>
          </w:p>
        </w:tc>
      </w:tr>
      <w:tr w:rsidR="00951B19" w14:paraId="6A89254E" w14:textId="77777777" w:rsidTr="00A05941">
        <w:trPr>
          <w:gridAfter w:val="1"/>
          <w:wAfter w:w="992" w:type="dxa"/>
          <w:trHeight w:val="300"/>
        </w:trPr>
        <w:tc>
          <w:tcPr>
            <w:tcW w:w="7054" w:type="dxa"/>
            <w:gridSpan w:val="6"/>
            <w:tcBorders>
              <w:left w:val="nil"/>
              <w:right w:val="nil"/>
            </w:tcBorders>
            <w:noWrap/>
            <w:hideMark/>
          </w:tcPr>
          <w:p w14:paraId="4A20E1F4" w14:textId="77777777" w:rsidR="00951B19" w:rsidRPr="00083806" w:rsidRDefault="00951B19" w:rsidP="008F1189">
            <w:pPr>
              <w:spacing w:line="276" w:lineRule="auto"/>
              <w:jc w:val="both"/>
              <w:rPr>
                <w:rFonts w:eastAsia="Times New Roman" w:cs="Times New Roman"/>
                <w:b/>
                <w:bCs/>
                <w:color w:val="000000"/>
                <w:sz w:val="20"/>
                <w:szCs w:val="20"/>
                <w:lang w:eastAsia="en-GB"/>
              </w:rPr>
            </w:pPr>
            <w:r>
              <w:rPr>
                <w:rFonts w:eastAsia="Times New Roman" w:cs="Times New Roman"/>
                <w:b/>
                <w:bCs/>
                <w:color w:val="000000"/>
                <w:sz w:val="20"/>
                <w:szCs w:val="20"/>
                <w:lang w:eastAsia="en-GB"/>
              </w:rPr>
              <w:t>Large h</w:t>
            </w:r>
            <w:r w:rsidRPr="00083806">
              <w:rPr>
                <w:rFonts w:eastAsia="Times New Roman" w:cs="Times New Roman"/>
                <w:b/>
                <w:bCs/>
                <w:color w:val="000000"/>
                <w:sz w:val="20"/>
                <w:szCs w:val="20"/>
                <w:lang w:eastAsia="en-GB"/>
              </w:rPr>
              <w:t>ospital</w:t>
            </w:r>
            <w:r>
              <w:rPr>
                <w:rFonts w:eastAsia="Times New Roman" w:cs="Times New Roman"/>
                <w:b/>
                <w:bCs/>
                <w:color w:val="000000"/>
                <w:sz w:val="20"/>
                <w:szCs w:val="20"/>
                <w:lang w:eastAsia="en-GB"/>
              </w:rPr>
              <w:t xml:space="preserve">s: </w:t>
            </w:r>
            <w:r w:rsidRPr="00083806">
              <w:rPr>
                <w:rFonts w:eastAsia="Times New Roman" w:cs="Times New Roman"/>
                <w:b/>
                <w:bCs/>
                <w:color w:val="000000"/>
                <w:sz w:val="20"/>
                <w:szCs w:val="20"/>
                <w:lang w:eastAsia="en-GB"/>
              </w:rPr>
              <w:t>&gt;=500 beds (n= 8)</w:t>
            </w:r>
          </w:p>
        </w:tc>
      </w:tr>
      <w:tr w:rsidR="00951B19" w14:paraId="7372FCC8" w14:textId="77777777" w:rsidTr="00D53486">
        <w:trPr>
          <w:trHeight w:val="300"/>
        </w:trPr>
        <w:tc>
          <w:tcPr>
            <w:tcW w:w="1384" w:type="dxa"/>
            <w:tcBorders>
              <w:left w:val="nil"/>
            </w:tcBorders>
            <w:noWrap/>
            <w:hideMark/>
          </w:tcPr>
          <w:p w14:paraId="2A690F1C"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Mean</w:t>
            </w:r>
          </w:p>
        </w:tc>
        <w:tc>
          <w:tcPr>
            <w:tcW w:w="1310" w:type="dxa"/>
            <w:noWrap/>
            <w:hideMark/>
          </w:tcPr>
          <w:p w14:paraId="1B755C9F"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0.65</w:t>
            </w:r>
          </w:p>
        </w:tc>
        <w:tc>
          <w:tcPr>
            <w:tcW w:w="1242" w:type="dxa"/>
            <w:noWrap/>
            <w:hideMark/>
          </w:tcPr>
          <w:p w14:paraId="006F0320"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0.75</w:t>
            </w:r>
          </w:p>
        </w:tc>
        <w:tc>
          <w:tcPr>
            <w:tcW w:w="1134" w:type="dxa"/>
            <w:noWrap/>
            <w:hideMark/>
          </w:tcPr>
          <w:p w14:paraId="3DD7A16A"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0.87</w:t>
            </w:r>
          </w:p>
        </w:tc>
        <w:tc>
          <w:tcPr>
            <w:tcW w:w="992" w:type="dxa"/>
            <w:vMerge w:val="restart"/>
            <w:noWrap/>
            <w:hideMark/>
          </w:tcPr>
          <w:p w14:paraId="14584198"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2 (25)</w:t>
            </w:r>
          </w:p>
          <w:p w14:paraId="18D91A3F"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5BD094F0"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6BEEA1E9"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val="restart"/>
            <w:noWrap/>
            <w:hideMark/>
          </w:tcPr>
          <w:p w14:paraId="3CC668F9"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 (12.5)</w:t>
            </w:r>
          </w:p>
          <w:p w14:paraId="22B5DFB7"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36543F5B"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590F51A9"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val="restart"/>
            <w:tcBorders>
              <w:right w:val="nil"/>
            </w:tcBorders>
            <w:noWrap/>
            <w:hideMark/>
          </w:tcPr>
          <w:p w14:paraId="3BBCA4CD"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5 (62.5)</w:t>
            </w:r>
          </w:p>
          <w:p w14:paraId="4F0B0F3C"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76544490"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19D74B5D"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6EF45D24" w14:textId="77777777" w:rsidTr="00D53486">
        <w:trPr>
          <w:trHeight w:val="300"/>
        </w:trPr>
        <w:tc>
          <w:tcPr>
            <w:tcW w:w="1384" w:type="dxa"/>
            <w:tcBorders>
              <w:left w:val="nil"/>
            </w:tcBorders>
            <w:noWrap/>
            <w:hideMark/>
          </w:tcPr>
          <w:p w14:paraId="1D58883C"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74ECC">
              <w:rPr>
                <w:rFonts w:eastAsia="Times New Roman" w:cs="Times New Roman"/>
                <w:color w:val="000000"/>
                <w:sz w:val="20"/>
                <w:szCs w:val="20"/>
                <w:lang w:eastAsia="en-GB"/>
              </w:rPr>
              <w:t>Std. Dev.</w:t>
            </w:r>
          </w:p>
        </w:tc>
        <w:tc>
          <w:tcPr>
            <w:tcW w:w="1310" w:type="dxa"/>
            <w:noWrap/>
            <w:hideMark/>
          </w:tcPr>
          <w:p w14:paraId="686F17C6"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0.27</w:t>
            </w:r>
          </w:p>
        </w:tc>
        <w:tc>
          <w:tcPr>
            <w:tcW w:w="1242" w:type="dxa"/>
            <w:noWrap/>
            <w:hideMark/>
          </w:tcPr>
          <w:p w14:paraId="08EFE6B1"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0.30</w:t>
            </w:r>
          </w:p>
        </w:tc>
        <w:tc>
          <w:tcPr>
            <w:tcW w:w="1134" w:type="dxa"/>
            <w:noWrap/>
            <w:hideMark/>
          </w:tcPr>
          <w:p w14:paraId="7671CD05"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0.13</w:t>
            </w:r>
          </w:p>
        </w:tc>
        <w:tc>
          <w:tcPr>
            <w:tcW w:w="992" w:type="dxa"/>
            <w:vMerge/>
            <w:noWrap/>
            <w:hideMark/>
          </w:tcPr>
          <w:p w14:paraId="06D325EA"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6D624777"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6E5C88AE"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129DE90D" w14:textId="77777777" w:rsidTr="00D53486">
        <w:trPr>
          <w:trHeight w:val="300"/>
        </w:trPr>
        <w:tc>
          <w:tcPr>
            <w:tcW w:w="1384" w:type="dxa"/>
            <w:tcBorders>
              <w:left w:val="nil"/>
            </w:tcBorders>
            <w:noWrap/>
            <w:hideMark/>
          </w:tcPr>
          <w:p w14:paraId="2FA61781"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Min</w:t>
            </w:r>
          </w:p>
        </w:tc>
        <w:tc>
          <w:tcPr>
            <w:tcW w:w="1310" w:type="dxa"/>
            <w:noWrap/>
            <w:hideMark/>
          </w:tcPr>
          <w:p w14:paraId="11E07939"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0.28</w:t>
            </w:r>
          </w:p>
        </w:tc>
        <w:tc>
          <w:tcPr>
            <w:tcW w:w="1242" w:type="dxa"/>
            <w:noWrap/>
            <w:hideMark/>
          </w:tcPr>
          <w:p w14:paraId="6B972C83"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0.30</w:t>
            </w:r>
          </w:p>
        </w:tc>
        <w:tc>
          <w:tcPr>
            <w:tcW w:w="1134" w:type="dxa"/>
            <w:noWrap/>
            <w:hideMark/>
          </w:tcPr>
          <w:p w14:paraId="21938F42"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0.59</w:t>
            </w:r>
          </w:p>
        </w:tc>
        <w:tc>
          <w:tcPr>
            <w:tcW w:w="992" w:type="dxa"/>
            <w:vMerge/>
            <w:noWrap/>
            <w:hideMark/>
          </w:tcPr>
          <w:p w14:paraId="34EB9F95"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4E55F158"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52188B1E"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30DF45AA" w14:textId="77777777" w:rsidTr="00D53486">
        <w:trPr>
          <w:trHeight w:val="300"/>
        </w:trPr>
        <w:tc>
          <w:tcPr>
            <w:tcW w:w="1384" w:type="dxa"/>
            <w:tcBorders>
              <w:left w:val="nil"/>
            </w:tcBorders>
            <w:noWrap/>
            <w:hideMark/>
          </w:tcPr>
          <w:p w14:paraId="4F024175"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No. full score</w:t>
            </w:r>
          </w:p>
        </w:tc>
        <w:tc>
          <w:tcPr>
            <w:tcW w:w="1310" w:type="dxa"/>
            <w:noWrap/>
            <w:hideMark/>
          </w:tcPr>
          <w:p w14:paraId="24960603"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 (12.5)</w:t>
            </w:r>
          </w:p>
        </w:tc>
        <w:tc>
          <w:tcPr>
            <w:tcW w:w="1242" w:type="dxa"/>
            <w:noWrap/>
            <w:hideMark/>
          </w:tcPr>
          <w:p w14:paraId="2A717922"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4</w:t>
            </w:r>
          </w:p>
        </w:tc>
        <w:tc>
          <w:tcPr>
            <w:tcW w:w="1134" w:type="dxa"/>
            <w:noWrap/>
            <w:hideMark/>
          </w:tcPr>
          <w:p w14:paraId="5E40D13C"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w:t>
            </w:r>
          </w:p>
        </w:tc>
        <w:tc>
          <w:tcPr>
            <w:tcW w:w="992" w:type="dxa"/>
            <w:vMerge/>
            <w:noWrap/>
            <w:hideMark/>
          </w:tcPr>
          <w:p w14:paraId="77A7DA5D"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7D710D61"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751B3C25"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53FFC889" w14:textId="77777777" w:rsidTr="00A05941">
        <w:trPr>
          <w:gridAfter w:val="1"/>
          <w:wAfter w:w="992" w:type="dxa"/>
          <w:trHeight w:val="300"/>
        </w:trPr>
        <w:tc>
          <w:tcPr>
            <w:tcW w:w="7054" w:type="dxa"/>
            <w:gridSpan w:val="6"/>
            <w:tcBorders>
              <w:left w:val="nil"/>
              <w:right w:val="nil"/>
            </w:tcBorders>
            <w:noWrap/>
            <w:hideMark/>
          </w:tcPr>
          <w:p w14:paraId="008045BB" w14:textId="77777777" w:rsidR="00951B19" w:rsidRPr="00083806" w:rsidRDefault="00951B19" w:rsidP="008F1189">
            <w:pPr>
              <w:spacing w:line="276" w:lineRule="auto"/>
              <w:jc w:val="both"/>
              <w:rPr>
                <w:rFonts w:eastAsia="Times New Roman" w:cs="Times New Roman"/>
                <w:b/>
                <w:bCs/>
                <w:color w:val="000000"/>
                <w:sz w:val="20"/>
                <w:szCs w:val="20"/>
                <w:lang w:eastAsia="en-GB"/>
              </w:rPr>
            </w:pPr>
            <w:r>
              <w:rPr>
                <w:rFonts w:eastAsia="Times New Roman" w:cs="Times New Roman"/>
                <w:b/>
                <w:bCs/>
                <w:color w:val="000000"/>
                <w:sz w:val="20"/>
                <w:szCs w:val="20"/>
                <w:lang w:eastAsia="en-GB"/>
              </w:rPr>
              <w:t>Upper-medium h</w:t>
            </w:r>
            <w:r w:rsidRPr="00083806">
              <w:rPr>
                <w:rFonts w:eastAsia="Times New Roman" w:cs="Times New Roman"/>
                <w:b/>
                <w:bCs/>
                <w:color w:val="000000"/>
                <w:sz w:val="20"/>
                <w:szCs w:val="20"/>
                <w:lang w:eastAsia="en-GB"/>
              </w:rPr>
              <w:t>ospitals</w:t>
            </w:r>
            <w:r>
              <w:rPr>
                <w:rFonts w:eastAsia="Times New Roman" w:cs="Times New Roman"/>
                <w:b/>
                <w:bCs/>
                <w:color w:val="000000"/>
                <w:sz w:val="20"/>
                <w:szCs w:val="20"/>
                <w:lang w:eastAsia="en-GB"/>
              </w:rPr>
              <w:t>:</w:t>
            </w:r>
            <w:r w:rsidRPr="00083806">
              <w:rPr>
                <w:rFonts w:eastAsia="Times New Roman" w:cs="Times New Roman"/>
                <w:b/>
                <w:bCs/>
                <w:color w:val="000000"/>
                <w:sz w:val="20"/>
                <w:szCs w:val="20"/>
                <w:lang w:eastAsia="en-GB"/>
              </w:rPr>
              <w:t xml:space="preserve"> 300-499</w:t>
            </w:r>
            <w:r>
              <w:rPr>
                <w:rFonts w:eastAsia="Times New Roman" w:cs="Times New Roman"/>
                <w:b/>
                <w:bCs/>
                <w:color w:val="000000"/>
                <w:sz w:val="20"/>
                <w:szCs w:val="20"/>
                <w:lang w:eastAsia="en-GB"/>
              </w:rPr>
              <w:t xml:space="preserve"> beds</w:t>
            </w:r>
            <w:r w:rsidRPr="00083806">
              <w:rPr>
                <w:rFonts w:eastAsia="Times New Roman" w:cs="Times New Roman"/>
                <w:b/>
                <w:bCs/>
                <w:color w:val="000000"/>
                <w:sz w:val="20"/>
                <w:szCs w:val="20"/>
                <w:lang w:eastAsia="en-GB"/>
              </w:rPr>
              <w:t xml:space="preserve"> (n= 22)</w:t>
            </w:r>
          </w:p>
        </w:tc>
      </w:tr>
      <w:tr w:rsidR="00951B19" w14:paraId="3BE41E64" w14:textId="77777777" w:rsidTr="00D53486">
        <w:trPr>
          <w:trHeight w:val="300"/>
        </w:trPr>
        <w:tc>
          <w:tcPr>
            <w:tcW w:w="1384" w:type="dxa"/>
            <w:tcBorders>
              <w:left w:val="nil"/>
            </w:tcBorders>
            <w:noWrap/>
            <w:hideMark/>
          </w:tcPr>
          <w:p w14:paraId="16BD130E"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Mean</w:t>
            </w:r>
          </w:p>
        </w:tc>
        <w:tc>
          <w:tcPr>
            <w:tcW w:w="1310" w:type="dxa"/>
            <w:noWrap/>
            <w:hideMark/>
          </w:tcPr>
          <w:p w14:paraId="6E90B283"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0.76</w:t>
            </w:r>
          </w:p>
        </w:tc>
        <w:tc>
          <w:tcPr>
            <w:tcW w:w="1242" w:type="dxa"/>
            <w:noWrap/>
            <w:hideMark/>
          </w:tcPr>
          <w:p w14:paraId="401D2ECC"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0.80</w:t>
            </w:r>
          </w:p>
        </w:tc>
        <w:tc>
          <w:tcPr>
            <w:tcW w:w="1134" w:type="dxa"/>
            <w:noWrap/>
            <w:hideMark/>
          </w:tcPr>
          <w:p w14:paraId="3A990E78"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0.94</w:t>
            </w:r>
          </w:p>
        </w:tc>
        <w:tc>
          <w:tcPr>
            <w:tcW w:w="992" w:type="dxa"/>
            <w:vMerge w:val="restart"/>
            <w:noWrap/>
            <w:hideMark/>
          </w:tcPr>
          <w:p w14:paraId="1CCCDA94"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7 (31.8)</w:t>
            </w:r>
          </w:p>
          <w:p w14:paraId="79EA1017"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237848A1"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58870F25"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val="restart"/>
            <w:noWrap/>
            <w:hideMark/>
          </w:tcPr>
          <w:p w14:paraId="505CE34B"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5 (22.7)</w:t>
            </w:r>
          </w:p>
          <w:p w14:paraId="1688A0D2"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128E5356"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791FC2CF"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val="restart"/>
            <w:tcBorders>
              <w:right w:val="nil"/>
            </w:tcBorders>
            <w:noWrap/>
            <w:hideMark/>
          </w:tcPr>
          <w:p w14:paraId="528184B8"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10 (45.5)</w:t>
            </w:r>
          </w:p>
          <w:p w14:paraId="4DCD7B0F"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5EF6BDB9"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3AD942CA"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4AA76910" w14:textId="77777777" w:rsidTr="00D53486">
        <w:trPr>
          <w:trHeight w:val="300"/>
        </w:trPr>
        <w:tc>
          <w:tcPr>
            <w:tcW w:w="1384" w:type="dxa"/>
            <w:tcBorders>
              <w:left w:val="nil"/>
            </w:tcBorders>
            <w:noWrap/>
            <w:hideMark/>
          </w:tcPr>
          <w:p w14:paraId="396EC875"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74ECC">
              <w:rPr>
                <w:rFonts w:eastAsia="Times New Roman" w:cs="Times New Roman"/>
                <w:color w:val="000000"/>
                <w:sz w:val="20"/>
                <w:szCs w:val="20"/>
                <w:lang w:eastAsia="en-GB"/>
              </w:rPr>
              <w:t>Std. Dev.</w:t>
            </w:r>
          </w:p>
        </w:tc>
        <w:tc>
          <w:tcPr>
            <w:tcW w:w="1310" w:type="dxa"/>
            <w:noWrap/>
            <w:hideMark/>
          </w:tcPr>
          <w:p w14:paraId="6A0CFA15"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0.19</w:t>
            </w:r>
          </w:p>
        </w:tc>
        <w:tc>
          <w:tcPr>
            <w:tcW w:w="1242" w:type="dxa"/>
            <w:noWrap/>
            <w:hideMark/>
          </w:tcPr>
          <w:p w14:paraId="0EE2DFB5"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0.19</w:t>
            </w:r>
          </w:p>
        </w:tc>
        <w:tc>
          <w:tcPr>
            <w:tcW w:w="1134" w:type="dxa"/>
            <w:noWrap/>
            <w:hideMark/>
          </w:tcPr>
          <w:p w14:paraId="30ACE1B2"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0.07</w:t>
            </w:r>
          </w:p>
        </w:tc>
        <w:tc>
          <w:tcPr>
            <w:tcW w:w="992" w:type="dxa"/>
            <w:vMerge/>
            <w:noWrap/>
            <w:hideMark/>
          </w:tcPr>
          <w:p w14:paraId="735B3351"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0CCC9979"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202871EE"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7FED146A" w14:textId="77777777" w:rsidTr="00D53486">
        <w:trPr>
          <w:trHeight w:val="300"/>
        </w:trPr>
        <w:tc>
          <w:tcPr>
            <w:tcW w:w="1384" w:type="dxa"/>
            <w:tcBorders>
              <w:left w:val="nil"/>
            </w:tcBorders>
            <w:noWrap/>
            <w:hideMark/>
          </w:tcPr>
          <w:p w14:paraId="13766E18"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Min</w:t>
            </w:r>
          </w:p>
        </w:tc>
        <w:tc>
          <w:tcPr>
            <w:tcW w:w="1310" w:type="dxa"/>
            <w:noWrap/>
            <w:hideMark/>
          </w:tcPr>
          <w:p w14:paraId="416A5C0C"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0.39</w:t>
            </w:r>
          </w:p>
        </w:tc>
        <w:tc>
          <w:tcPr>
            <w:tcW w:w="1242" w:type="dxa"/>
            <w:noWrap/>
            <w:hideMark/>
          </w:tcPr>
          <w:p w14:paraId="2859FD38"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0.41</w:t>
            </w:r>
          </w:p>
        </w:tc>
        <w:tc>
          <w:tcPr>
            <w:tcW w:w="1134" w:type="dxa"/>
            <w:noWrap/>
            <w:hideMark/>
          </w:tcPr>
          <w:p w14:paraId="1F54246A"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0.76</w:t>
            </w:r>
          </w:p>
        </w:tc>
        <w:tc>
          <w:tcPr>
            <w:tcW w:w="992" w:type="dxa"/>
            <w:vMerge/>
            <w:noWrap/>
            <w:hideMark/>
          </w:tcPr>
          <w:p w14:paraId="7A05AC87"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46B8B5D2"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37242004"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1D0465B7" w14:textId="77777777" w:rsidTr="00D53486">
        <w:trPr>
          <w:trHeight w:val="300"/>
        </w:trPr>
        <w:tc>
          <w:tcPr>
            <w:tcW w:w="1384" w:type="dxa"/>
            <w:tcBorders>
              <w:left w:val="nil"/>
            </w:tcBorders>
            <w:noWrap/>
            <w:hideMark/>
          </w:tcPr>
          <w:p w14:paraId="453513FA"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No. full score</w:t>
            </w:r>
          </w:p>
        </w:tc>
        <w:tc>
          <w:tcPr>
            <w:tcW w:w="1310" w:type="dxa"/>
            <w:noWrap/>
            <w:hideMark/>
          </w:tcPr>
          <w:p w14:paraId="204C4633"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3 (13.6)</w:t>
            </w:r>
          </w:p>
        </w:tc>
        <w:tc>
          <w:tcPr>
            <w:tcW w:w="1242" w:type="dxa"/>
            <w:noWrap/>
            <w:hideMark/>
          </w:tcPr>
          <w:p w14:paraId="292DC6FB"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7</w:t>
            </w:r>
          </w:p>
        </w:tc>
        <w:tc>
          <w:tcPr>
            <w:tcW w:w="1134" w:type="dxa"/>
            <w:noWrap/>
            <w:hideMark/>
          </w:tcPr>
          <w:p w14:paraId="5C37445A"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3</w:t>
            </w:r>
          </w:p>
        </w:tc>
        <w:tc>
          <w:tcPr>
            <w:tcW w:w="992" w:type="dxa"/>
            <w:vMerge/>
            <w:noWrap/>
            <w:hideMark/>
          </w:tcPr>
          <w:p w14:paraId="4F46213D"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5075F441"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58284C4F"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5417827D" w14:textId="77777777" w:rsidTr="00A05941">
        <w:trPr>
          <w:gridAfter w:val="1"/>
          <w:wAfter w:w="992" w:type="dxa"/>
          <w:trHeight w:val="300"/>
        </w:trPr>
        <w:tc>
          <w:tcPr>
            <w:tcW w:w="7054" w:type="dxa"/>
            <w:gridSpan w:val="6"/>
            <w:tcBorders>
              <w:left w:val="nil"/>
              <w:right w:val="nil"/>
            </w:tcBorders>
            <w:noWrap/>
            <w:hideMark/>
          </w:tcPr>
          <w:p w14:paraId="4CBEF05A" w14:textId="77777777" w:rsidR="00951B19" w:rsidRPr="00083806" w:rsidRDefault="00951B19" w:rsidP="008F1189">
            <w:pPr>
              <w:spacing w:line="276" w:lineRule="auto"/>
              <w:jc w:val="both"/>
              <w:rPr>
                <w:rFonts w:eastAsia="Times New Roman" w:cs="Times New Roman"/>
                <w:b/>
                <w:bCs/>
                <w:color w:val="000000"/>
                <w:sz w:val="20"/>
                <w:szCs w:val="20"/>
                <w:lang w:eastAsia="en-GB"/>
              </w:rPr>
            </w:pPr>
            <w:r>
              <w:rPr>
                <w:rFonts w:eastAsia="Times New Roman" w:cs="Times New Roman"/>
                <w:b/>
                <w:bCs/>
                <w:color w:val="000000"/>
                <w:sz w:val="20"/>
                <w:szCs w:val="20"/>
                <w:lang w:eastAsia="en-GB"/>
              </w:rPr>
              <w:t>Lower-medium h</w:t>
            </w:r>
            <w:r w:rsidRPr="00083806">
              <w:rPr>
                <w:rFonts w:eastAsia="Times New Roman" w:cs="Times New Roman"/>
                <w:b/>
                <w:bCs/>
                <w:color w:val="000000"/>
                <w:sz w:val="20"/>
                <w:szCs w:val="20"/>
                <w:lang w:eastAsia="en-GB"/>
              </w:rPr>
              <w:t>ospitals</w:t>
            </w:r>
            <w:r>
              <w:rPr>
                <w:rFonts w:eastAsia="Times New Roman" w:cs="Times New Roman"/>
                <w:b/>
                <w:bCs/>
                <w:color w:val="000000"/>
                <w:sz w:val="20"/>
                <w:szCs w:val="20"/>
                <w:lang w:eastAsia="en-GB"/>
              </w:rPr>
              <w:t xml:space="preserve">: </w:t>
            </w:r>
            <w:r w:rsidRPr="00083806">
              <w:rPr>
                <w:rFonts w:eastAsia="Times New Roman" w:cs="Times New Roman"/>
                <w:b/>
                <w:bCs/>
                <w:color w:val="000000"/>
                <w:sz w:val="20"/>
                <w:szCs w:val="20"/>
                <w:lang w:eastAsia="en-GB"/>
              </w:rPr>
              <w:t xml:space="preserve">200-299 </w:t>
            </w:r>
            <w:r>
              <w:rPr>
                <w:rFonts w:eastAsia="Times New Roman" w:cs="Times New Roman"/>
                <w:b/>
                <w:bCs/>
                <w:color w:val="000000"/>
                <w:sz w:val="20"/>
                <w:szCs w:val="20"/>
                <w:lang w:eastAsia="en-GB"/>
              </w:rPr>
              <w:t xml:space="preserve">beds </w:t>
            </w:r>
            <w:r w:rsidRPr="00083806">
              <w:rPr>
                <w:rFonts w:eastAsia="Times New Roman" w:cs="Times New Roman"/>
                <w:b/>
                <w:bCs/>
                <w:color w:val="000000"/>
                <w:sz w:val="20"/>
                <w:szCs w:val="20"/>
                <w:lang w:eastAsia="en-GB"/>
              </w:rPr>
              <w:t>(n= 22</w:t>
            </w:r>
            <w:r w:rsidRPr="00B535A5">
              <w:rPr>
                <w:rFonts w:eastAsia="Times New Roman" w:cs="Times New Roman"/>
                <w:b/>
                <w:bCs/>
                <w:color w:val="000000"/>
                <w:sz w:val="20"/>
                <w:szCs w:val="20"/>
                <w:lang w:eastAsia="en-GB"/>
              </w:rPr>
              <w:t>)</w:t>
            </w:r>
          </w:p>
        </w:tc>
      </w:tr>
      <w:tr w:rsidR="00951B19" w14:paraId="50303E4D" w14:textId="77777777" w:rsidTr="00D53486">
        <w:trPr>
          <w:trHeight w:val="300"/>
        </w:trPr>
        <w:tc>
          <w:tcPr>
            <w:tcW w:w="1384" w:type="dxa"/>
            <w:tcBorders>
              <w:left w:val="nil"/>
            </w:tcBorders>
            <w:noWrap/>
            <w:hideMark/>
          </w:tcPr>
          <w:p w14:paraId="24F5CE6D"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Mean</w:t>
            </w:r>
          </w:p>
        </w:tc>
        <w:tc>
          <w:tcPr>
            <w:tcW w:w="1310" w:type="dxa"/>
            <w:noWrap/>
            <w:hideMark/>
          </w:tcPr>
          <w:p w14:paraId="04FCFD59"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0.73</w:t>
            </w:r>
          </w:p>
        </w:tc>
        <w:tc>
          <w:tcPr>
            <w:tcW w:w="1242" w:type="dxa"/>
            <w:noWrap/>
            <w:hideMark/>
          </w:tcPr>
          <w:p w14:paraId="788FF953"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0.79</w:t>
            </w:r>
          </w:p>
        </w:tc>
        <w:tc>
          <w:tcPr>
            <w:tcW w:w="1134" w:type="dxa"/>
            <w:noWrap/>
            <w:hideMark/>
          </w:tcPr>
          <w:p w14:paraId="465CD59F"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0.90</w:t>
            </w:r>
          </w:p>
        </w:tc>
        <w:tc>
          <w:tcPr>
            <w:tcW w:w="992" w:type="dxa"/>
            <w:vMerge w:val="restart"/>
            <w:noWrap/>
            <w:hideMark/>
          </w:tcPr>
          <w:p w14:paraId="727C00F6"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10 (45.5)</w:t>
            </w:r>
          </w:p>
          <w:p w14:paraId="1A3DD328"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50DA6DB0"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66AECFB4"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val="restart"/>
            <w:noWrap/>
            <w:hideMark/>
          </w:tcPr>
          <w:p w14:paraId="5B631344"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10 (45.5)</w:t>
            </w:r>
          </w:p>
          <w:p w14:paraId="02E7009B"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730EF92C"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2079F60A"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val="restart"/>
            <w:tcBorders>
              <w:right w:val="nil"/>
            </w:tcBorders>
            <w:noWrap/>
            <w:hideMark/>
          </w:tcPr>
          <w:p w14:paraId="01E09B27"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2 (9.1)</w:t>
            </w:r>
          </w:p>
          <w:p w14:paraId="20ACDF84"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23079536"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74F40351"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1A51B3ED" w14:textId="77777777" w:rsidTr="00D53486">
        <w:trPr>
          <w:trHeight w:val="300"/>
        </w:trPr>
        <w:tc>
          <w:tcPr>
            <w:tcW w:w="1384" w:type="dxa"/>
            <w:tcBorders>
              <w:left w:val="nil"/>
            </w:tcBorders>
            <w:noWrap/>
            <w:hideMark/>
          </w:tcPr>
          <w:p w14:paraId="65D2DDD2"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74ECC">
              <w:rPr>
                <w:rFonts w:eastAsia="Times New Roman" w:cs="Times New Roman"/>
                <w:color w:val="000000"/>
                <w:sz w:val="20"/>
                <w:szCs w:val="20"/>
                <w:lang w:eastAsia="en-GB"/>
              </w:rPr>
              <w:t>Std. Dev.</w:t>
            </w:r>
          </w:p>
        </w:tc>
        <w:tc>
          <w:tcPr>
            <w:tcW w:w="1310" w:type="dxa"/>
            <w:noWrap/>
            <w:hideMark/>
          </w:tcPr>
          <w:p w14:paraId="6594B6ED"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0.25</w:t>
            </w:r>
          </w:p>
        </w:tc>
        <w:tc>
          <w:tcPr>
            <w:tcW w:w="1242" w:type="dxa"/>
            <w:noWrap/>
            <w:hideMark/>
          </w:tcPr>
          <w:p w14:paraId="153A82AF"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0.19</w:t>
            </w:r>
          </w:p>
        </w:tc>
        <w:tc>
          <w:tcPr>
            <w:tcW w:w="1134" w:type="dxa"/>
            <w:noWrap/>
            <w:hideMark/>
          </w:tcPr>
          <w:p w14:paraId="00B42C39"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0.18</w:t>
            </w:r>
          </w:p>
        </w:tc>
        <w:tc>
          <w:tcPr>
            <w:tcW w:w="992" w:type="dxa"/>
            <w:vMerge/>
            <w:noWrap/>
            <w:hideMark/>
          </w:tcPr>
          <w:p w14:paraId="1B114679"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00C9598B"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477CD059"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4EC37C0D" w14:textId="77777777" w:rsidTr="00D53486">
        <w:trPr>
          <w:trHeight w:val="300"/>
        </w:trPr>
        <w:tc>
          <w:tcPr>
            <w:tcW w:w="1384" w:type="dxa"/>
            <w:tcBorders>
              <w:left w:val="nil"/>
            </w:tcBorders>
            <w:noWrap/>
            <w:hideMark/>
          </w:tcPr>
          <w:p w14:paraId="4B703A4D"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Min</w:t>
            </w:r>
          </w:p>
        </w:tc>
        <w:tc>
          <w:tcPr>
            <w:tcW w:w="1310" w:type="dxa"/>
            <w:noWrap/>
            <w:hideMark/>
          </w:tcPr>
          <w:p w14:paraId="2B798673"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0.11</w:t>
            </w:r>
          </w:p>
        </w:tc>
        <w:tc>
          <w:tcPr>
            <w:tcW w:w="1242" w:type="dxa"/>
            <w:noWrap/>
            <w:hideMark/>
          </w:tcPr>
          <w:p w14:paraId="7027A185"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0.50</w:t>
            </w:r>
          </w:p>
        </w:tc>
        <w:tc>
          <w:tcPr>
            <w:tcW w:w="1134" w:type="dxa"/>
            <w:noWrap/>
            <w:hideMark/>
          </w:tcPr>
          <w:p w14:paraId="3B6C70EA"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0.22</w:t>
            </w:r>
          </w:p>
        </w:tc>
        <w:tc>
          <w:tcPr>
            <w:tcW w:w="992" w:type="dxa"/>
            <w:vMerge/>
            <w:noWrap/>
            <w:hideMark/>
          </w:tcPr>
          <w:p w14:paraId="4A3495C0"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5E61D14C"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69A735AF"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4CED2624" w14:textId="77777777" w:rsidTr="00D53486">
        <w:trPr>
          <w:trHeight w:val="300"/>
        </w:trPr>
        <w:tc>
          <w:tcPr>
            <w:tcW w:w="1384" w:type="dxa"/>
            <w:tcBorders>
              <w:left w:val="nil"/>
            </w:tcBorders>
            <w:noWrap/>
            <w:hideMark/>
          </w:tcPr>
          <w:p w14:paraId="3C7AD3C4"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No. full score</w:t>
            </w:r>
          </w:p>
        </w:tc>
        <w:tc>
          <w:tcPr>
            <w:tcW w:w="1310" w:type="dxa"/>
            <w:noWrap/>
            <w:hideMark/>
          </w:tcPr>
          <w:p w14:paraId="4F1AE643"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4 (18.2)</w:t>
            </w:r>
          </w:p>
        </w:tc>
        <w:tc>
          <w:tcPr>
            <w:tcW w:w="1242" w:type="dxa"/>
            <w:noWrap/>
            <w:hideMark/>
          </w:tcPr>
          <w:p w14:paraId="56006CEF"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4</w:t>
            </w:r>
          </w:p>
        </w:tc>
        <w:tc>
          <w:tcPr>
            <w:tcW w:w="1134" w:type="dxa"/>
            <w:noWrap/>
            <w:hideMark/>
          </w:tcPr>
          <w:p w14:paraId="695FE96F"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4</w:t>
            </w:r>
          </w:p>
        </w:tc>
        <w:tc>
          <w:tcPr>
            <w:tcW w:w="992" w:type="dxa"/>
            <w:vMerge/>
            <w:noWrap/>
            <w:hideMark/>
          </w:tcPr>
          <w:p w14:paraId="1F8B34A6"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3A6F784E"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6167246C"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79EC748F" w14:textId="77777777" w:rsidTr="00A05941">
        <w:trPr>
          <w:gridAfter w:val="1"/>
          <w:wAfter w:w="992" w:type="dxa"/>
          <w:trHeight w:val="300"/>
        </w:trPr>
        <w:tc>
          <w:tcPr>
            <w:tcW w:w="7054" w:type="dxa"/>
            <w:gridSpan w:val="6"/>
            <w:tcBorders>
              <w:left w:val="nil"/>
              <w:right w:val="nil"/>
            </w:tcBorders>
            <w:noWrap/>
            <w:hideMark/>
          </w:tcPr>
          <w:p w14:paraId="40DD03ED" w14:textId="77777777" w:rsidR="00951B19" w:rsidRPr="00083806" w:rsidRDefault="00951B19" w:rsidP="008F1189">
            <w:pPr>
              <w:spacing w:line="276" w:lineRule="auto"/>
              <w:jc w:val="both"/>
              <w:rPr>
                <w:rFonts w:eastAsia="Times New Roman" w:cs="Times New Roman"/>
                <w:b/>
                <w:bCs/>
                <w:color w:val="000000"/>
                <w:sz w:val="20"/>
                <w:szCs w:val="20"/>
                <w:lang w:eastAsia="en-GB"/>
              </w:rPr>
            </w:pPr>
            <w:r>
              <w:rPr>
                <w:rFonts w:eastAsia="Times New Roman" w:cs="Times New Roman"/>
                <w:b/>
                <w:bCs/>
                <w:color w:val="000000"/>
                <w:sz w:val="20"/>
                <w:szCs w:val="20"/>
                <w:lang w:eastAsia="en-GB"/>
              </w:rPr>
              <w:t>Small h</w:t>
            </w:r>
            <w:r w:rsidRPr="00083806">
              <w:rPr>
                <w:rFonts w:eastAsia="Times New Roman" w:cs="Times New Roman"/>
                <w:b/>
                <w:bCs/>
                <w:color w:val="000000"/>
                <w:sz w:val="20"/>
                <w:szCs w:val="20"/>
                <w:lang w:eastAsia="en-GB"/>
              </w:rPr>
              <w:t>ospitals</w:t>
            </w:r>
            <w:r>
              <w:rPr>
                <w:rFonts w:eastAsia="Times New Roman" w:cs="Times New Roman"/>
                <w:b/>
                <w:bCs/>
                <w:color w:val="000000"/>
                <w:sz w:val="20"/>
                <w:szCs w:val="20"/>
                <w:lang w:eastAsia="en-GB"/>
              </w:rPr>
              <w:t xml:space="preserve">: </w:t>
            </w:r>
            <w:r w:rsidRPr="00083806">
              <w:rPr>
                <w:rFonts w:eastAsia="Times New Roman" w:cs="Times New Roman"/>
                <w:b/>
                <w:bCs/>
                <w:color w:val="000000"/>
                <w:sz w:val="20"/>
                <w:szCs w:val="20"/>
                <w:lang w:eastAsia="en-GB"/>
              </w:rPr>
              <w:t xml:space="preserve">&lt;200 </w:t>
            </w:r>
            <w:r>
              <w:rPr>
                <w:rFonts w:eastAsia="Times New Roman" w:cs="Times New Roman"/>
                <w:b/>
                <w:bCs/>
                <w:color w:val="000000"/>
                <w:sz w:val="20"/>
                <w:szCs w:val="20"/>
                <w:lang w:eastAsia="en-GB"/>
              </w:rPr>
              <w:t xml:space="preserve">beds </w:t>
            </w:r>
            <w:r w:rsidRPr="00083806">
              <w:rPr>
                <w:rFonts w:eastAsia="Times New Roman" w:cs="Times New Roman"/>
                <w:b/>
                <w:bCs/>
                <w:color w:val="000000"/>
                <w:sz w:val="20"/>
                <w:szCs w:val="20"/>
                <w:lang w:eastAsia="en-GB"/>
              </w:rPr>
              <w:t>(n= 39)</w:t>
            </w:r>
          </w:p>
        </w:tc>
      </w:tr>
      <w:tr w:rsidR="00951B19" w14:paraId="1804E05D" w14:textId="77777777" w:rsidTr="00D53486">
        <w:trPr>
          <w:trHeight w:val="300"/>
        </w:trPr>
        <w:tc>
          <w:tcPr>
            <w:tcW w:w="1384" w:type="dxa"/>
            <w:tcBorders>
              <w:left w:val="nil"/>
            </w:tcBorders>
            <w:noWrap/>
            <w:hideMark/>
          </w:tcPr>
          <w:p w14:paraId="7F408D81"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Mean</w:t>
            </w:r>
          </w:p>
        </w:tc>
        <w:tc>
          <w:tcPr>
            <w:tcW w:w="1310" w:type="dxa"/>
            <w:noWrap/>
            <w:hideMark/>
          </w:tcPr>
          <w:p w14:paraId="6A817BEE"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0.79</w:t>
            </w:r>
          </w:p>
        </w:tc>
        <w:tc>
          <w:tcPr>
            <w:tcW w:w="1242" w:type="dxa"/>
            <w:noWrap/>
            <w:hideMark/>
          </w:tcPr>
          <w:p w14:paraId="047C5339"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0.96</w:t>
            </w:r>
          </w:p>
        </w:tc>
        <w:tc>
          <w:tcPr>
            <w:tcW w:w="1134" w:type="dxa"/>
            <w:noWrap/>
            <w:hideMark/>
          </w:tcPr>
          <w:p w14:paraId="30916B8E"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0.82</w:t>
            </w:r>
          </w:p>
        </w:tc>
        <w:tc>
          <w:tcPr>
            <w:tcW w:w="992" w:type="dxa"/>
            <w:vMerge w:val="restart"/>
            <w:noWrap/>
            <w:hideMark/>
          </w:tcPr>
          <w:p w14:paraId="55D7E2C1"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15 (38.5)</w:t>
            </w:r>
          </w:p>
          <w:p w14:paraId="5622DA7B"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12248EC2"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1F855570"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val="restart"/>
            <w:noWrap/>
            <w:hideMark/>
          </w:tcPr>
          <w:p w14:paraId="592B5C90"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24 (61.5)</w:t>
            </w:r>
          </w:p>
          <w:p w14:paraId="6F8AE6F6"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3ECB65BA"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1C0A5BE0"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val="restart"/>
            <w:tcBorders>
              <w:right w:val="nil"/>
            </w:tcBorders>
            <w:noWrap/>
            <w:hideMark/>
          </w:tcPr>
          <w:p w14:paraId="547368E8"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 (0)</w:t>
            </w:r>
          </w:p>
          <w:p w14:paraId="6A8C5F86"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26399051" w14:textId="77777777" w:rsidR="00951B19" w:rsidRPr="00083806" w:rsidRDefault="00951B19" w:rsidP="008F1189">
            <w:pPr>
              <w:spacing w:line="276" w:lineRule="auto"/>
              <w:jc w:val="both"/>
              <w:rPr>
                <w:rFonts w:eastAsia="Times New Roman" w:cs="Times New Roman"/>
                <w:color w:val="000000"/>
                <w:sz w:val="20"/>
                <w:szCs w:val="20"/>
                <w:lang w:eastAsia="en-GB"/>
              </w:rPr>
            </w:pPr>
          </w:p>
          <w:p w14:paraId="096237D7"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349CA61A" w14:textId="77777777" w:rsidTr="00D53486">
        <w:trPr>
          <w:trHeight w:val="300"/>
        </w:trPr>
        <w:tc>
          <w:tcPr>
            <w:tcW w:w="1384" w:type="dxa"/>
            <w:tcBorders>
              <w:left w:val="nil"/>
            </w:tcBorders>
            <w:noWrap/>
            <w:hideMark/>
          </w:tcPr>
          <w:p w14:paraId="0E201E8A"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74ECC">
              <w:rPr>
                <w:rFonts w:eastAsia="Times New Roman" w:cs="Times New Roman"/>
                <w:color w:val="000000"/>
                <w:sz w:val="20"/>
                <w:szCs w:val="20"/>
                <w:lang w:eastAsia="en-GB"/>
              </w:rPr>
              <w:t>Std. Dev.</w:t>
            </w:r>
          </w:p>
        </w:tc>
        <w:tc>
          <w:tcPr>
            <w:tcW w:w="1310" w:type="dxa"/>
            <w:noWrap/>
            <w:hideMark/>
          </w:tcPr>
          <w:p w14:paraId="014043F1"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0.23</w:t>
            </w:r>
          </w:p>
        </w:tc>
        <w:tc>
          <w:tcPr>
            <w:tcW w:w="1242" w:type="dxa"/>
            <w:noWrap/>
            <w:hideMark/>
          </w:tcPr>
          <w:p w14:paraId="197B23AF"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0.09</w:t>
            </w:r>
          </w:p>
        </w:tc>
        <w:tc>
          <w:tcPr>
            <w:tcW w:w="1134" w:type="dxa"/>
            <w:noWrap/>
            <w:hideMark/>
          </w:tcPr>
          <w:p w14:paraId="2414ADB8"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0.22</w:t>
            </w:r>
          </w:p>
        </w:tc>
        <w:tc>
          <w:tcPr>
            <w:tcW w:w="992" w:type="dxa"/>
            <w:vMerge/>
            <w:noWrap/>
            <w:hideMark/>
          </w:tcPr>
          <w:p w14:paraId="48593336"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210E8C21"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46228031"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7900E29A" w14:textId="77777777" w:rsidTr="00D53486">
        <w:trPr>
          <w:trHeight w:val="300"/>
        </w:trPr>
        <w:tc>
          <w:tcPr>
            <w:tcW w:w="1384" w:type="dxa"/>
            <w:tcBorders>
              <w:left w:val="nil"/>
            </w:tcBorders>
            <w:noWrap/>
            <w:hideMark/>
          </w:tcPr>
          <w:p w14:paraId="789D062A"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Min</w:t>
            </w:r>
          </w:p>
        </w:tc>
        <w:tc>
          <w:tcPr>
            <w:tcW w:w="1310" w:type="dxa"/>
            <w:noWrap/>
            <w:hideMark/>
          </w:tcPr>
          <w:p w14:paraId="3B02677A"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0.19</w:t>
            </w:r>
          </w:p>
        </w:tc>
        <w:tc>
          <w:tcPr>
            <w:tcW w:w="1242" w:type="dxa"/>
            <w:noWrap/>
            <w:hideMark/>
          </w:tcPr>
          <w:p w14:paraId="664894A6"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0.67</w:t>
            </w:r>
          </w:p>
        </w:tc>
        <w:tc>
          <w:tcPr>
            <w:tcW w:w="1134" w:type="dxa"/>
            <w:noWrap/>
            <w:hideMark/>
          </w:tcPr>
          <w:p w14:paraId="097BA2A3"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0.19</w:t>
            </w:r>
          </w:p>
        </w:tc>
        <w:tc>
          <w:tcPr>
            <w:tcW w:w="992" w:type="dxa"/>
            <w:vMerge/>
            <w:noWrap/>
            <w:hideMark/>
          </w:tcPr>
          <w:p w14:paraId="671B0421"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127A59AE"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7ACF2D11" w14:textId="77777777" w:rsidR="00951B19" w:rsidRPr="00083806" w:rsidRDefault="00951B19" w:rsidP="008F1189">
            <w:pPr>
              <w:spacing w:line="276" w:lineRule="auto"/>
              <w:jc w:val="both"/>
              <w:rPr>
                <w:rFonts w:eastAsia="Times New Roman" w:cs="Times New Roman"/>
                <w:color w:val="000000"/>
                <w:sz w:val="20"/>
                <w:szCs w:val="20"/>
                <w:lang w:eastAsia="en-GB"/>
              </w:rPr>
            </w:pPr>
          </w:p>
        </w:tc>
      </w:tr>
      <w:tr w:rsidR="00951B19" w14:paraId="52A4C20F" w14:textId="77777777" w:rsidTr="00D53486">
        <w:trPr>
          <w:trHeight w:val="315"/>
        </w:trPr>
        <w:tc>
          <w:tcPr>
            <w:tcW w:w="1384" w:type="dxa"/>
            <w:tcBorders>
              <w:left w:val="nil"/>
            </w:tcBorders>
            <w:noWrap/>
            <w:hideMark/>
          </w:tcPr>
          <w:p w14:paraId="320230D9"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No. full score</w:t>
            </w:r>
          </w:p>
        </w:tc>
        <w:tc>
          <w:tcPr>
            <w:tcW w:w="1310" w:type="dxa"/>
            <w:noWrap/>
            <w:hideMark/>
          </w:tcPr>
          <w:p w14:paraId="1918B4E6"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13 (33.3)</w:t>
            </w:r>
          </w:p>
        </w:tc>
        <w:tc>
          <w:tcPr>
            <w:tcW w:w="1242" w:type="dxa"/>
            <w:noWrap/>
            <w:hideMark/>
          </w:tcPr>
          <w:p w14:paraId="63E09AA4"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31</w:t>
            </w:r>
          </w:p>
        </w:tc>
        <w:tc>
          <w:tcPr>
            <w:tcW w:w="1134" w:type="dxa"/>
            <w:noWrap/>
            <w:hideMark/>
          </w:tcPr>
          <w:p w14:paraId="3A998389" w14:textId="77777777" w:rsidR="00951B19" w:rsidRPr="00083806" w:rsidRDefault="00951B19" w:rsidP="008F1189">
            <w:pPr>
              <w:spacing w:line="276" w:lineRule="auto"/>
              <w:jc w:val="both"/>
              <w:rPr>
                <w:rFonts w:eastAsia="Times New Roman" w:cs="Times New Roman"/>
                <w:color w:val="000000"/>
                <w:sz w:val="20"/>
                <w:szCs w:val="20"/>
                <w:lang w:eastAsia="en-GB"/>
              </w:rPr>
            </w:pPr>
            <w:r w:rsidRPr="00083806">
              <w:rPr>
                <w:rFonts w:eastAsia="Times New Roman" w:cs="Times New Roman"/>
                <w:color w:val="000000"/>
                <w:sz w:val="20"/>
                <w:szCs w:val="20"/>
                <w:lang w:eastAsia="en-GB"/>
              </w:rPr>
              <w:t>13</w:t>
            </w:r>
          </w:p>
        </w:tc>
        <w:tc>
          <w:tcPr>
            <w:tcW w:w="992" w:type="dxa"/>
            <w:vMerge/>
            <w:noWrap/>
            <w:hideMark/>
          </w:tcPr>
          <w:p w14:paraId="2E57DF36"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noWrap/>
            <w:hideMark/>
          </w:tcPr>
          <w:p w14:paraId="7C1AD62F" w14:textId="77777777" w:rsidR="00951B19" w:rsidRPr="00083806" w:rsidRDefault="00951B19" w:rsidP="008F1189">
            <w:pPr>
              <w:spacing w:line="276" w:lineRule="auto"/>
              <w:jc w:val="both"/>
              <w:rPr>
                <w:rFonts w:eastAsia="Times New Roman" w:cs="Times New Roman"/>
                <w:color w:val="000000"/>
                <w:sz w:val="20"/>
                <w:szCs w:val="20"/>
                <w:lang w:eastAsia="en-GB"/>
              </w:rPr>
            </w:pPr>
          </w:p>
        </w:tc>
        <w:tc>
          <w:tcPr>
            <w:tcW w:w="992" w:type="dxa"/>
            <w:vMerge/>
            <w:tcBorders>
              <w:right w:val="nil"/>
            </w:tcBorders>
            <w:noWrap/>
            <w:hideMark/>
          </w:tcPr>
          <w:p w14:paraId="2C97B26D" w14:textId="77777777" w:rsidR="00951B19" w:rsidRPr="00083806" w:rsidRDefault="00951B19" w:rsidP="008F1189">
            <w:pPr>
              <w:keepNext/>
              <w:spacing w:line="276" w:lineRule="auto"/>
              <w:jc w:val="both"/>
              <w:rPr>
                <w:rFonts w:eastAsia="Times New Roman" w:cs="Times New Roman"/>
                <w:color w:val="000000"/>
                <w:sz w:val="20"/>
                <w:szCs w:val="20"/>
                <w:lang w:eastAsia="en-GB"/>
              </w:rPr>
            </w:pPr>
          </w:p>
        </w:tc>
      </w:tr>
    </w:tbl>
    <w:p w14:paraId="43C250BC" w14:textId="77777777" w:rsidR="006409FC" w:rsidRDefault="006409FC" w:rsidP="008F1189">
      <w:pPr>
        <w:spacing w:line="360" w:lineRule="auto"/>
        <w:jc w:val="both"/>
        <w:rPr>
          <w:sz w:val="24"/>
          <w:szCs w:val="24"/>
        </w:rPr>
      </w:pPr>
    </w:p>
    <w:p w14:paraId="524DEFDE" w14:textId="63C0B752" w:rsidR="00C24492" w:rsidRDefault="005548AD" w:rsidP="008F1189">
      <w:pPr>
        <w:spacing w:line="360" w:lineRule="auto"/>
        <w:jc w:val="both"/>
        <w:rPr>
          <w:sz w:val="24"/>
          <w:szCs w:val="24"/>
        </w:rPr>
      </w:pPr>
      <w:r w:rsidRPr="007775CD">
        <w:rPr>
          <w:sz w:val="24"/>
          <w:szCs w:val="24"/>
        </w:rPr>
        <w:t xml:space="preserve">The </w:t>
      </w:r>
      <w:r w:rsidR="00D53486" w:rsidRPr="007775CD">
        <w:rPr>
          <w:sz w:val="24"/>
          <w:szCs w:val="24"/>
        </w:rPr>
        <w:t>average</w:t>
      </w:r>
      <w:r w:rsidR="00D53486">
        <w:rPr>
          <w:sz w:val="24"/>
          <w:szCs w:val="24"/>
        </w:rPr>
        <w:t xml:space="preserve"> CRS</w:t>
      </w:r>
      <w:r w:rsidR="00D53486" w:rsidRPr="007775CD">
        <w:rPr>
          <w:sz w:val="24"/>
          <w:szCs w:val="24"/>
        </w:rPr>
        <w:t xml:space="preserve"> technical</w:t>
      </w:r>
      <w:r w:rsidRPr="007775CD">
        <w:rPr>
          <w:sz w:val="24"/>
          <w:szCs w:val="24"/>
        </w:rPr>
        <w:t xml:space="preserve"> efficiency score</w:t>
      </w:r>
      <w:r w:rsidR="009F0E94">
        <w:rPr>
          <w:sz w:val="24"/>
          <w:szCs w:val="24"/>
        </w:rPr>
        <w:t xml:space="preserve"> for</w:t>
      </w:r>
      <w:r w:rsidRPr="007775CD">
        <w:rPr>
          <w:sz w:val="24"/>
          <w:szCs w:val="24"/>
        </w:rPr>
        <w:t xml:space="preserve"> </w:t>
      </w:r>
      <w:r w:rsidR="009F0E94">
        <w:rPr>
          <w:sz w:val="24"/>
          <w:szCs w:val="24"/>
        </w:rPr>
        <w:t xml:space="preserve">MOH </w:t>
      </w:r>
      <w:r w:rsidRPr="007775CD">
        <w:rPr>
          <w:sz w:val="24"/>
          <w:szCs w:val="24"/>
        </w:rPr>
        <w:t xml:space="preserve">general hospitals </w:t>
      </w:r>
      <w:r w:rsidR="0074201C">
        <w:rPr>
          <w:sz w:val="24"/>
          <w:szCs w:val="24"/>
        </w:rPr>
        <w:t>is</w:t>
      </w:r>
      <w:r w:rsidR="0074201C" w:rsidRPr="007775CD">
        <w:rPr>
          <w:sz w:val="24"/>
          <w:szCs w:val="24"/>
        </w:rPr>
        <w:t xml:space="preserve"> </w:t>
      </w:r>
      <w:r w:rsidRPr="007775CD">
        <w:rPr>
          <w:sz w:val="24"/>
          <w:szCs w:val="24"/>
        </w:rPr>
        <w:t>0.76</w:t>
      </w:r>
      <w:r w:rsidR="009F0E94">
        <w:rPr>
          <w:sz w:val="24"/>
          <w:szCs w:val="24"/>
        </w:rPr>
        <w:t>,</w:t>
      </w:r>
      <w:r w:rsidRPr="007775CD">
        <w:rPr>
          <w:sz w:val="24"/>
          <w:szCs w:val="24"/>
        </w:rPr>
        <w:t xml:space="preserve"> with a standard deviation (SD) of 0.23, </w:t>
      </w:r>
      <w:bookmarkStart w:id="22" w:name="_Hlk5974255"/>
      <w:r w:rsidR="009F0E94">
        <w:rPr>
          <w:sz w:val="24"/>
          <w:szCs w:val="24"/>
        </w:rPr>
        <w:t>which indicates</w:t>
      </w:r>
      <w:r w:rsidRPr="007775CD">
        <w:rPr>
          <w:sz w:val="24"/>
          <w:szCs w:val="24"/>
        </w:rPr>
        <w:t xml:space="preserve"> that </w:t>
      </w:r>
      <w:r w:rsidR="009F0E94">
        <w:rPr>
          <w:sz w:val="24"/>
          <w:szCs w:val="24"/>
        </w:rPr>
        <w:t>these hospitals</w:t>
      </w:r>
      <w:r w:rsidRPr="007775CD">
        <w:rPr>
          <w:sz w:val="24"/>
          <w:szCs w:val="24"/>
        </w:rPr>
        <w:t xml:space="preserve"> could </w:t>
      </w:r>
      <w:r w:rsidR="009F0E94">
        <w:rPr>
          <w:sz w:val="24"/>
          <w:szCs w:val="24"/>
        </w:rPr>
        <w:t>reduce</w:t>
      </w:r>
      <w:r w:rsidRPr="007775CD">
        <w:rPr>
          <w:sz w:val="24"/>
          <w:szCs w:val="24"/>
        </w:rPr>
        <w:t xml:space="preserve"> </w:t>
      </w:r>
      <w:r w:rsidR="00A03DA4">
        <w:rPr>
          <w:sz w:val="24"/>
          <w:szCs w:val="24"/>
        </w:rPr>
        <w:t xml:space="preserve">the </w:t>
      </w:r>
      <w:r w:rsidRPr="007775CD">
        <w:rPr>
          <w:sz w:val="24"/>
          <w:szCs w:val="24"/>
        </w:rPr>
        <w:t>use of all their inputs</w:t>
      </w:r>
      <w:r w:rsidR="00074ECC">
        <w:rPr>
          <w:sz w:val="24"/>
          <w:szCs w:val="24"/>
        </w:rPr>
        <w:t xml:space="preserve"> on average</w:t>
      </w:r>
      <w:r w:rsidRPr="007775CD">
        <w:rPr>
          <w:sz w:val="24"/>
          <w:szCs w:val="24"/>
        </w:rPr>
        <w:t xml:space="preserve"> by 24% without any reduction in the number of service</w:t>
      </w:r>
      <w:r w:rsidR="009F0E94">
        <w:rPr>
          <w:sz w:val="24"/>
          <w:szCs w:val="24"/>
        </w:rPr>
        <w:t>s</w:t>
      </w:r>
      <w:r w:rsidRPr="007775CD">
        <w:rPr>
          <w:sz w:val="24"/>
          <w:szCs w:val="24"/>
        </w:rPr>
        <w:t xml:space="preserve"> provi</w:t>
      </w:r>
      <w:r w:rsidR="009F0E94">
        <w:rPr>
          <w:sz w:val="24"/>
          <w:szCs w:val="24"/>
        </w:rPr>
        <w:t>ded</w:t>
      </w:r>
      <w:r w:rsidRPr="007775CD">
        <w:rPr>
          <w:sz w:val="24"/>
          <w:szCs w:val="24"/>
        </w:rPr>
        <w:t>.</w:t>
      </w:r>
      <w:bookmarkEnd w:id="22"/>
      <w:r w:rsidRPr="007775CD">
        <w:rPr>
          <w:sz w:val="24"/>
          <w:szCs w:val="24"/>
        </w:rPr>
        <w:t xml:space="preserve"> </w:t>
      </w:r>
      <w:r w:rsidR="00AD6BA8">
        <w:rPr>
          <w:sz w:val="24"/>
          <w:szCs w:val="24"/>
        </w:rPr>
        <w:t xml:space="preserve">Also, the VRS technical score on average is 0.87 (SD 0.18). </w:t>
      </w:r>
      <w:r w:rsidRPr="007775CD">
        <w:rPr>
          <w:sz w:val="24"/>
          <w:szCs w:val="24"/>
        </w:rPr>
        <w:t xml:space="preserve">The distribution of technical, pure technical and scale efficiency scores </w:t>
      </w:r>
      <w:r w:rsidR="009F0E94">
        <w:rPr>
          <w:sz w:val="24"/>
          <w:szCs w:val="24"/>
        </w:rPr>
        <w:t>is given</w:t>
      </w:r>
      <w:r w:rsidRPr="007775CD">
        <w:rPr>
          <w:sz w:val="24"/>
          <w:szCs w:val="24"/>
        </w:rPr>
        <w:t xml:space="preserve"> in </w:t>
      </w:r>
      <w:r w:rsidR="009F0E94">
        <w:rPr>
          <w:sz w:val="24"/>
          <w:szCs w:val="24"/>
        </w:rPr>
        <w:t>F</w:t>
      </w:r>
      <w:r w:rsidRPr="007775CD">
        <w:rPr>
          <w:sz w:val="24"/>
          <w:szCs w:val="24"/>
        </w:rPr>
        <w:t xml:space="preserve">igure 2. </w:t>
      </w:r>
    </w:p>
    <w:p w14:paraId="0A62BA0A" w14:textId="77777777" w:rsidR="00C61D32" w:rsidRDefault="00C61D32" w:rsidP="008F1189">
      <w:pPr>
        <w:spacing w:line="360" w:lineRule="auto"/>
        <w:jc w:val="both"/>
        <w:rPr>
          <w:sz w:val="24"/>
          <w:szCs w:val="24"/>
        </w:rPr>
      </w:pPr>
    </w:p>
    <w:p w14:paraId="043660B0" w14:textId="0887B920" w:rsidR="00C24492" w:rsidRDefault="00C61D32" w:rsidP="008F1189">
      <w:pPr>
        <w:spacing w:line="360" w:lineRule="auto"/>
        <w:jc w:val="both"/>
        <w:rPr>
          <w:sz w:val="24"/>
          <w:szCs w:val="24"/>
        </w:rPr>
      </w:pPr>
      <w:r>
        <w:rPr>
          <w:sz w:val="24"/>
          <w:szCs w:val="24"/>
        </w:rPr>
        <w:t>Figure 2 to be inserted here</w:t>
      </w:r>
    </w:p>
    <w:p w14:paraId="59D5A989" w14:textId="77777777" w:rsidR="00C61D32" w:rsidRDefault="00C61D32" w:rsidP="008F1189">
      <w:pPr>
        <w:spacing w:line="360" w:lineRule="auto"/>
        <w:jc w:val="both"/>
        <w:rPr>
          <w:sz w:val="24"/>
          <w:szCs w:val="24"/>
        </w:rPr>
      </w:pPr>
    </w:p>
    <w:p w14:paraId="3527E0C2" w14:textId="785332B7" w:rsidR="00FD47F1" w:rsidRPr="007775CD" w:rsidRDefault="005548AD" w:rsidP="008F1189">
      <w:pPr>
        <w:spacing w:line="360" w:lineRule="auto"/>
        <w:jc w:val="both"/>
        <w:rPr>
          <w:sz w:val="24"/>
          <w:szCs w:val="24"/>
        </w:rPr>
      </w:pPr>
      <w:r w:rsidRPr="007775CD">
        <w:rPr>
          <w:sz w:val="24"/>
          <w:szCs w:val="24"/>
        </w:rPr>
        <w:lastRenderedPageBreak/>
        <w:t>The l</w:t>
      </w:r>
      <w:r w:rsidR="009F0E94">
        <w:rPr>
          <w:sz w:val="24"/>
          <w:szCs w:val="24"/>
        </w:rPr>
        <w:t>owest</w:t>
      </w:r>
      <w:r w:rsidRPr="007775CD">
        <w:rPr>
          <w:sz w:val="24"/>
          <w:szCs w:val="24"/>
        </w:rPr>
        <w:t xml:space="preserve"> technical efficiency score reported </w:t>
      </w:r>
      <w:r w:rsidR="006B6951">
        <w:rPr>
          <w:sz w:val="24"/>
          <w:szCs w:val="24"/>
        </w:rPr>
        <w:t xml:space="preserve">is </w:t>
      </w:r>
      <w:r w:rsidRPr="007775CD">
        <w:rPr>
          <w:sz w:val="24"/>
          <w:szCs w:val="24"/>
        </w:rPr>
        <w:t>0.11</w:t>
      </w:r>
      <w:r w:rsidR="00D95B35">
        <w:rPr>
          <w:sz w:val="24"/>
          <w:szCs w:val="24"/>
        </w:rPr>
        <w:t xml:space="preserve">, but </w:t>
      </w:r>
      <w:r w:rsidRPr="007775CD">
        <w:rPr>
          <w:sz w:val="24"/>
          <w:szCs w:val="24"/>
        </w:rPr>
        <w:t xml:space="preserve">22 hospitals out of 91 </w:t>
      </w:r>
      <w:r w:rsidR="00F82793" w:rsidRPr="00052FDF">
        <w:rPr>
          <w:sz w:val="24"/>
          <w:szCs w:val="24"/>
        </w:rPr>
        <w:t xml:space="preserve">(24.2%) </w:t>
      </w:r>
      <w:r w:rsidR="006B6951">
        <w:rPr>
          <w:sz w:val="24"/>
          <w:szCs w:val="24"/>
        </w:rPr>
        <w:t>are</w:t>
      </w:r>
      <w:r w:rsidR="006B6951" w:rsidRPr="007775CD">
        <w:rPr>
          <w:sz w:val="24"/>
          <w:szCs w:val="24"/>
        </w:rPr>
        <w:t xml:space="preserve"> </w:t>
      </w:r>
      <w:r w:rsidR="006B6951">
        <w:rPr>
          <w:sz w:val="24"/>
          <w:szCs w:val="24"/>
        </w:rPr>
        <w:t xml:space="preserve">both </w:t>
      </w:r>
      <w:r w:rsidRPr="007775CD">
        <w:rPr>
          <w:sz w:val="24"/>
          <w:szCs w:val="24"/>
        </w:rPr>
        <w:t>technically and scale efficient,</w:t>
      </w:r>
      <w:r w:rsidR="006B6951">
        <w:rPr>
          <w:sz w:val="24"/>
          <w:szCs w:val="24"/>
        </w:rPr>
        <w:t xml:space="preserve"> which</w:t>
      </w:r>
      <w:r w:rsidRPr="007775CD">
        <w:rPr>
          <w:sz w:val="24"/>
          <w:szCs w:val="24"/>
        </w:rPr>
        <w:t xml:space="preserve"> indicat</w:t>
      </w:r>
      <w:r w:rsidR="006B6951">
        <w:rPr>
          <w:sz w:val="24"/>
          <w:szCs w:val="24"/>
        </w:rPr>
        <w:t xml:space="preserve">es that these hospitals utilize their </w:t>
      </w:r>
      <w:r w:rsidRPr="007775CD">
        <w:rPr>
          <w:sz w:val="24"/>
          <w:szCs w:val="24"/>
        </w:rPr>
        <w:t>inputs</w:t>
      </w:r>
      <w:r w:rsidR="00A03DA4" w:rsidRPr="00A03DA4">
        <w:rPr>
          <w:sz w:val="24"/>
          <w:szCs w:val="24"/>
        </w:rPr>
        <w:t xml:space="preserve"> optimally</w:t>
      </w:r>
      <w:r w:rsidRPr="007775CD">
        <w:rPr>
          <w:sz w:val="24"/>
          <w:szCs w:val="24"/>
        </w:rPr>
        <w:t xml:space="preserve">. </w:t>
      </w:r>
      <w:r w:rsidR="00F82793">
        <w:rPr>
          <w:sz w:val="24"/>
          <w:szCs w:val="24"/>
        </w:rPr>
        <w:t xml:space="preserve">Among </w:t>
      </w:r>
      <w:r w:rsidR="006B6951">
        <w:rPr>
          <w:sz w:val="24"/>
          <w:szCs w:val="24"/>
        </w:rPr>
        <w:t xml:space="preserve">the inefficient </w:t>
      </w:r>
      <w:r w:rsidR="00F82793">
        <w:rPr>
          <w:sz w:val="24"/>
          <w:szCs w:val="24"/>
        </w:rPr>
        <w:t>hospitals</w:t>
      </w:r>
      <w:r w:rsidR="00A03DA4">
        <w:rPr>
          <w:sz w:val="24"/>
          <w:szCs w:val="24"/>
        </w:rPr>
        <w:t>,</w:t>
      </w:r>
      <w:r w:rsidR="00F82793">
        <w:rPr>
          <w:sz w:val="24"/>
          <w:szCs w:val="24"/>
        </w:rPr>
        <w:t xml:space="preserve"> 55 </w:t>
      </w:r>
      <w:r w:rsidRPr="007775CD">
        <w:rPr>
          <w:sz w:val="24"/>
          <w:szCs w:val="24"/>
        </w:rPr>
        <w:t xml:space="preserve">hospitals </w:t>
      </w:r>
      <w:r w:rsidR="00F82793">
        <w:rPr>
          <w:sz w:val="24"/>
          <w:szCs w:val="24"/>
        </w:rPr>
        <w:t>(60</w:t>
      </w:r>
      <w:r w:rsidR="007775CD">
        <w:rPr>
          <w:sz w:val="24"/>
          <w:szCs w:val="24"/>
        </w:rPr>
        <w:t>.4</w:t>
      </w:r>
      <w:r w:rsidR="00F82793">
        <w:rPr>
          <w:sz w:val="24"/>
          <w:szCs w:val="24"/>
        </w:rPr>
        <w:t xml:space="preserve">%) </w:t>
      </w:r>
      <w:r w:rsidRPr="007775CD">
        <w:rPr>
          <w:sz w:val="24"/>
          <w:szCs w:val="24"/>
        </w:rPr>
        <w:t xml:space="preserve">achieved efficiency scores </w:t>
      </w:r>
      <w:r w:rsidR="00F82793">
        <w:rPr>
          <w:sz w:val="24"/>
          <w:szCs w:val="24"/>
        </w:rPr>
        <w:t xml:space="preserve">of at least 0.50 </w:t>
      </w:r>
      <w:r w:rsidRPr="007775CD">
        <w:rPr>
          <w:sz w:val="24"/>
          <w:szCs w:val="24"/>
        </w:rPr>
        <w:t>(</w:t>
      </w:r>
      <w:r w:rsidR="009F0E94">
        <w:rPr>
          <w:sz w:val="24"/>
          <w:szCs w:val="24"/>
        </w:rPr>
        <w:t>F</w:t>
      </w:r>
      <w:r w:rsidRPr="007775CD">
        <w:rPr>
          <w:sz w:val="24"/>
          <w:szCs w:val="24"/>
        </w:rPr>
        <w:t>igure</w:t>
      </w:r>
      <w:r w:rsidR="006B6951">
        <w:rPr>
          <w:sz w:val="24"/>
          <w:szCs w:val="24"/>
        </w:rPr>
        <w:t xml:space="preserve"> </w:t>
      </w:r>
      <w:r w:rsidRPr="007775CD">
        <w:rPr>
          <w:sz w:val="24"/>
          <w:szCs w:val="24"/>
        </w:rPr>
        <w:t>2) and 14 hospitals (15</w:t>
      </w:r>
      <w:r w:rsidR="007775CD">
        <w:rPr>
          <w:sz w:val="24"/>
          <w:szCs w:val="24"/>
        </w:rPr>
        <w:t>.4</w:t>
      </w:r>
      <w:r w:rsidRPr="007775CD">
        <w:rPr>
          <w:sz w:val="24"/>
          <w:szCs w:val="24"/>
        </w:rPr>
        <w:t xml:space="preserve">%) reported efficiency scores </w:t>
      </w:r>
      <w:r w:rsidR="009F0E94">
        <w:rPr>
          <w:sz w:val="24"/>
          <w:szCs w:val="24"/>
        </w:rPr>
        <w:t>below</w:t>
      </w:r>
      <w:r w:rsidRPr="007775CD">
        <w:rPr>
          <w:sz w:val="24"/>
          <w:szCs w:val="24"/>
        </w:rPr>
        <w:t xml:space="preserve"> 0.50. Average scale efficiency scores </w:t>
      </w:r>
      <w:r w:rsidR="00AD6BA8">
        <w:rPr>
          <w:sz w:val="24"/>
          <w:szCs w:val="24"/>
        </w:rPr>
        <w:t>are</w:t>
      </w:r>
      <w:r w:rsidRPr="007775CD">
        <w:rPr>
          <w:sz w:val="24"/>
          <w:szCs w:val="24"/>
        </w:rPr>
        <w:t xml:space="preserve"> 0.87</w:t>
      </w:r>
      <w:r w:rsidR="009F0E94">
        <w:rPr>
          <w:sz w:val="24"/>
          <w:szCs w:val="24"/>
        </w:rPr>
        <w:t>,</w:t>
      </w:r>
      <w:r w:rsidRPr="007775CD">
        <w:rPr>
          <w:sz w:val="24"/>
          <w:szCs w:val="24"/>
        </w:rPr>
        <w:t xml:space="preserve"> with (SD 0.18). Although 47 hospitals (52%) reported an efficient score on VRS (pure efficiency), only 25 (27%) hospitals </w:t>
      </w:r>
      <w:r w:rsidR="00AD6BA8">
        <w:rPr>
          <w:sz w:val="24"/>
          <w:szCs w:val="24"/>
        </w:rPr>
        <w:t>are efficient on the scale</w:t>
      </w:r>
      <w:r w:rsidR="004751EA">
        <w:rPr>
          <w:sz w:val="24"/>
          <w:szCs w:val="24"/>
        </w:rPr>
        <w:t>.</w:t>
      </w:r>
    </w:p>
    <w:p w14:paraId="01E5D124" w14:textId="2B85100C" w:rsidR="007775CD" w:rsidRDefault="00B52B99" w:rsidP="008F1189">
      <w:pPr>
        <w:spacing w:line="360" w:lineRule="auto"/>
        <w:jc w:val="both"/>
        <w:rPr>
          <w:sz w:val="24"/>
          <w:szCs w:val="24"/>
        </w:rPr>
      </w:pPr>
      <w:r>
        <w:rPr>
          <w:sz w:val="24"/>
          <w:szCs w:val="24"/>
        </w:rPr>
        <w:t xml:space="preserve">Concerning the returns to scale, we have found that </w:t>
      </w:r>
      <w:r w:rsidR="00EB06DA" w:rsidRPr="00A05373">
        <w:rPr>
          <w:sz w:val="24"/>
          <w:szCs w:val="24"/>
        </w:rPr>
        <w:t>34 hospitals (37.4%</w:t>
      </w:r>
      <w:r w:rsidR="0025740A">
        <w:rPr>
          <w:sz w:val="24"/>
          <w:szCs w:val="24"/>
        </w:rPr>
        <w:t>)</w:t>
      </w:r>
      <w:r>
        <w:rPr>
          <w:sz w:val="24"/>
          <w:szCs w:val="24"/>
        </w:rPr>
        <w:t xml:space="preserve"> operate under c</w:t>
      </w:r>
      <w:r w:rsidRPr="00A05373">
        <w:rPr>
          <w:sz w:val="24"/>
          <w:szCs w:val="24"/>
        </w:rPr>
        <w:t>onstant return</w:t>
      </w:r>
      <w:r>
        <w:rPr>
          <w:sz w:val="24"/>
          <w:szCs w:val="24"/>
        </w:rPr>
        <w:t>s</w:t>
      </w:r>
      <w:r w:rsidRPr="00A05373">
        <w:rPr>
          <w:sz w:val="24"/>
          <w:szCs w:val="24"/>
        </w:rPr>
        <w:t xml:space="preserve"> to scale</w:t>
      </w:r>
      <w:r w:rsidR="004751EA">
        <w:rPr>
          <w:sz w:val="24"/>
          <w:szCs w:val="24"/>
        </w:rPr>
        <w:t xml:space="preserve"> (CRS)</w:t>
      </w:r>
      <w:r w:rsidR="0025740A">
        <w:rPr>
          <w:sz w:val="24"/>
          <w:szCs w:val="24"/>
        </w:rPr>
        <w:t xml:space="preserve">; </w:t>
      </w:r>
      <w:r>
        <w:rPr>
          <w:sz w:val="24"/>
          <w:szCs w:val="24"/>
        </w:rPr>
        <w:t>while</w:t>
      </w:r>
      <w:r w:rsidR="005548AD" w:rsidRPr="00A05373">
        <w:rPr>
          <w:sz w:val="24"/>
          <w:szCs w:val="24"/>
        </w:rPr>
        <w:t xml:space="preserve"> </w:t>
      </w:r>
      <w:r w:rsidR="00EB06DA" w:rsidRPr="00A05373">
        <w:rPr>
          <w:sz w:val="24"/>
          <w:szCs w:val="24"/>
        </w:rPr>
        <w:t xml:space="preserve">40 </w:t>
      </w:r>
      <w:r w:rsidR="005548AD" w:rsidRPr="00A05373">
        <w:rPr>
          <w:sz w:val="24"/>
          <w:szCs w:val="24"/>
        </w:rPr>
        <w:t>hospitals</w:t>
      </w:r>
      <w:r w:rsidR="00983228">
        <w:rPr>
          <w:sz w:val="24"/>
          <w:szCs w:val="24"/>
        </w:rPr>
        <w:t xml:space="preserve"> </w:t>
      </w:r>
      <w:r w:rsidR="00983228" w:rsidRPr="00A05373">
        <w:rPr>
          <w:sz w:val="24"/>
          <w:szCs w:val="24"/>
        </w:rPr>
        <w:t>(44%)</w:t>
      </w:r>
      <w:r>
        <w:rPr>
          <w:sz w:val="24"/>
          <w:szCs w:val="24"/>
        </w:rPr>
        <w:t xml:space="preserve"> operate under i</w:t>
      </w:r>
      <w:r w:rsidRPr="00A05373">
        <w:rPr>
          <w:sz w:val="24"/>
          <w:szCs w:val="24"/>
        </w:rPr>
        <w:t>ncreasing</w:t>
      </w:r>
      <w:r>
        <w:rPr>
          <w:sz w:val="24"/>
          <w:szCs w:val="24"/>
        </w:rPr>
        <w:t xml:space="preserve"> </w:t>
      </w:r>
      <w:r w:rsidRPr="00B52B99">
        <w:rPr>
          <w:sz w:val="24"/>
          <w:szCs w:val="24"/>
        </w:rPr>
        <w:t>returns to scale</w:t>
      </w:r>
      <w:r w:rsidR="004751EA">
        <w:rPr>
          <w:sz w:val="24"/>
          <w:szCs w:val="24"/>
        </w:rPr>
        <w:t xml:space="preserve"> (IRS)</w:t>
      </w:r>
      <w:r w:rsidR="005548AD" w:rsidRPr="00A05373">
        <w:rPr>
          <w:sz w:val="24"/>
          <w:szCs w:val="24"/>
        </w:rPr>
        <w:t xml:space="preserve">, </w:t>
      </w:r>
      <w:r>
        <w:rPr>
          <w:sz w:val="24"/>
          <w:szCs w:val="24"/>
        </w:rPr>
        <w:t>and</w:t>
      </w:r>
      <w:r w:rsidR="005548AD" w:rsidRPr="00A05373">
        <w:rPr>
          <w:sz w:val="24"/>
          <w:szCs w:val="24"/>
        </w:rPr>
        <w:t xml:space="preserve"> </w:t>
      </w:r>
      <w:r w:rsidR="00EB06DA" w:rsidRPr="00A05373">
        <w:rPr>
          <w:sz w:val="24"/>
          <w:szCs w:val="24"/>
        </w:rPr>
        <w:t>17</w:t>
      </w:r>
      <w:r w:rsidR="00F62EC1" w:rsidRPr="00A05373">
        <w:rPr>
          <w:sz w:val="24"/>
          <w:szCs w:val="24"/>
        </w:rPr>
        <w:t xml:space="preserve"> hospitals</w:t>
      </w:r>
      <w:r w:rsidR="00EB06DA" w:rsidRPr="00A05373">
        <w:rPr>
          <w:sz w:val="24"/>
          <w:szCs w:val="24"/>
        </w:rPr>
        <w:t xml:space="preserve"> (18.6</w:t>
      </w:r>
      <w:r w:rsidR="00FD6066" w:rsidRPr="00A05373">
        <w:rPr>
          <w:sz w:val="24"/>
          <w:szCs w:val="24"/>
        </w:rPr>
        <w:t>%</w:t>
      </w:r>
      <w:r w:rsidR="00EB06DA" w:rsidRPr="00A05373">
        <w:rPr>
          <w:sz w:val="24"/>
          <w:szCs w:val="24"/>
        </w:rPr>
        <w:t>)</w:t>
      </w:r>
      <w:r>
        <w:rPr>
          <w:sz w:val="24"/>
          <w:szCs w:val="24"/>
        </w:rPr>
        <w:t xml:space="preserve"> d</w:t>
      </w:r>
      <w:r w:rsidRPr="00A05373">
        <w:rPr>
          <w:sz w:val="24"/>
          <w:szCs w:val="24"/>
        </w:rPr>
        <w:t>ecreasing returns to scale</w:t>
      </w:r>
      <w:r w:rsidR="00EB06DA" w:rsidRPr="00A05373">
        <w:rPr>
          <w:sz w:val="24"/>
          <w:szCs w:val="24"/>
        </w:rPr>
        <w:t xml:space="preserve">, </w:t>
      </w:r>
      <w:r w:rsidR="00F62EC1" w:rsidRPr="00A05373">
        <w:rPr>
          <w:sz w:val="24"/>
          <w:szCs w:val="24"/>
        </w:rPr>
        <w:t>H</w:t>
      </w:r>
      <w:r w:rsidR="00531B76" w:rsidRPr="00A05373">
        <w:rPr>
          <w:sz w:val="24"/>
          <w:szCs w:val="24"/>
        </w:rPr>
        <w:t xml:space="preserve">owever, </w:t>
      </w:r>
      <w:r w:rsidR="00F62EC1" w:rsidRPr="00A05373">
        <w:rPr>
          <w:sz w:val="24"/>
          <w:szCs w:val="24"/>
        </w:rPr>
        <w:t>hospitals that were operating on either</w:t>
      </w:r>
      <w:r w:rsidR="00531B76" w:rsidRPr="00A05373">
        <w:rPr>
          <w:sz w:val="24"/>
          <w:szCs w:val="24"/>
        </w:rPr>
        <w:t xml:space="preserve"> IR</w:t>
      </w:r>
      <w:r w:rsidR="003840A9" w:rsidRPr="00A05373">
        <w:rPr>
          <w:sz w:val="24"/>
          <w:szCs w:val="24"/>
        </w:rPr>
        <w:t xml:space="preserve">S </w:t>
      </w:r>
      <w:r w:rsidR="00F62EC1" w:rsidRPr="00A05373">
        <w:rPr>
          <w:sz w:val="24"/>
          <w:szCs w:val="24"/>
        </w:rPr>
        <w:t>or</w:t>
      </w:r>
      <w:r w:rsidR="003840A9" w:rsidRPr="00A05373">
        <w:rPr>
          <w:sz w:val="24"/>
          <w:szCs w:val="24"/>
        </w:rPr>
        <w:t xml:space="preserve"> DRS need</w:t>
      </w:r>
      <w:r w:rsidR="00983228">
        <w:rPr>
          <w:sz w:val="24"/>
          <w:szCs w:val="24"/>
        </w:rPr>
        <w:t>ed</w:t>
      </w:r>
      <w:r w:rsidR="003840A9" w:rsidRPr="00A05373">
        <w:rPr>
          <w:sz w:val="24"/>
          <w:szCs w:val="24"/>
        </w:rPr>
        <w:t xml:space="preserve"> to alter their capacity to </w:t>
      </w:r>
      <w:r w:rsidR="00F62EC1" w:rsidRPr="00A05373">
        <w:rPr>
          <w:sz w:val="24"/>
          <w:szCs w:val="24"/>
        </w:rPr>
        <w:t>operate on</w:t>
      </w:r>
      <w:r w:rsidR="003840A9" w:rsidRPr="00A05373">
        <w:rPr>
          <w:sz w:val="24"/>
          <w:szCs w:val="24"/>
        </w:rPr>
        <w:t xml:space="preserve"> </w:t>
      </w:r>
      <w:r w:rsidR="00983228">
        <w:rPr>
          <w:sz w:val="24"/>
          <w:szCs w:val="24"/>
        </w:rPr>
        <w:t xml:space="preserve">the </w:t>
      </w:r>
      <w:r w:rsidR="003840A9" w:rsidRPr="00A05373">
        <w:rPr>
          <w:sz w:val="24"/>
          <w:szCs w:val="24"/>
        </w:rPr>
        <w:t>opti</w:t>
      </w:r>
      <w:r w:rsidR="0057601C">
        <w:rPr>
          <w:sz w:val="24"/>
          <w:szCs w:val="24"/>
        </w:rPr>
        <w:t>mal</w:t>
      </w:r>
      <w:r w:rsidR="003840A9" w:rsidRPr="00A05373">
        <w:rPr>
          <w:sz w:val="24"/>
          <w:szCs w:val="24"/>
        </w:rPr>
        <w:t xml:space="preserve"> scale size</w:t>
      </w:r>
      <w:r w:rsidR="00A03DA4">
        <w:rPr>
          <w:sz w:val="24"/>
          <w:szCs w:val="24"/>
        </w:rPr>
        <w:t>,</w:t>
      </w:r>
      <w:r w:rsidR="0057601C">
        <w:rPr>
          <w:sz w:val="24"/>
          <w:szCs w:val="24"/>
        </w:rPr>
        <w:t xml:space="preserve"> i.e.</w:t>
      </w:r>
      <w:r w:rsidR="00F62EC1" w:rsidRPr="00A05373">
        <w:rPr>
          <w:sz w:val="24"/>
          <w:szCs w:val="24"/>
        </w:rPr>
        <w:t xml:space="preserve"> </w:t>
      </w:r>
      <w:r w:rsidR="0057601C">
        <w:rPr>
          <w:sz w:val="24"/>
          <w:szCs w:val="24"/>
        </w:rPr>
        <w:t xml:space="preserve">at the constant return to the scale, </w:t>
      </w:r>
      <w:r w:rsidR="00F62EC1" w:rsidRPr="00A05373">
        <w:rPr>
          <w:sz w:val="24"/>
          <w:szCs w:val="24"/>
        </w:rPr>
        <w:t xml:space="preserve">which </w:t>
      </w:r>
      <w:r w:rsidR="0057601C">
        <w:rPr>
          <w:sz w:val="24"/>
          <w:szCs w:val="24"/>
        </w:rPr>
        <w:t xml:space="preserve">would be </w:t>
      </w:r>
      <w:r w:rsidR="00F62EC1" w:rsidRPr="00A05373">
        <w:rPr>
          <w:sz w:val="24"/>
          <w:szCs w:val="24"/>
        </w:rPr>
        <w:t xml:space="preserve">required to achieve </w:t>
      </w:r>
      <w:r w:rsidR="003840A9" w:rsidRPr="00A05373">
        <w:rPr>
          <w:sz w:val="24"/>
          <w:szCs w:val="24"/>
        </w:rPr>
        <w:t>technical efficiency.</w:t>
      </w:r>
      <w:bookmarkStart w:id="23" w:name="_Hlk536634404"/>
      <w:r w:rsidR="00F748D9" w:rsidRPr="00A05373">
        <w:rPr>
          <w:sz w:val="24"/>
          <w:szCs w:val="24"/>
        </w:rPr>
        <w:t xml:space="preserve"> </w:t>
      </w:r>
    </w:p>
    <w:p w14:paraId="6894F9F0" w14:textId="696F2A35" w:rsidR="007775CD" w:rsidRDefault="00B11A36" w:rsidP="008F1189">
      <w:pPr>
        <w:spacing w:line="360" w:lineRule="auto"/>
        <w:jc w:val="both"/>
        <w:rPr>
          <w:sz w:val="24"/>
          <w:szCs w:val="24"/>
        </w:rPr>
      </w:pPr>
      <w:bookmarkStart w:id="24" w:name="_Hlk15992364"/>
      <w:r>
        <w:rPr>
          <w:sz w:val="24"/>
          <w:szCs w:val="24"/>
        </w:rPr>
        <w:t xml:space="preserve">We </w:t>
      </w:r>
      <w:r w:rsidR="00D84803">
        <w:rPr>
          <w:sz w:val="24"/>
          <w:szCs w:val="24"/>
        </w:rPr>
        <w:t>present</w:t>
      </w:r>
      <w:r>
        <w:rPr>
          <w:sz w:val="24"/>
          <w:szCs w:val="24"/>
        </w:rPr>
        <w:t xml:space="preserve"> </w:t>
      </w:r>
      <w:r w:rsidR="003F2005">
        <w:rPr>
          <w:sz w:val="24"/>
          <w:szCs w:val="24"/>
        </w:rPr>
        <w:t xml:space="preserve">in table 3 </w:t>
      </w:r>
      <w:r>
        <w:rPr>
          <w:sz w:val="24"/>
          <w:szCs w:val="24"/>
        </w:rPr>
        <w:t xml:space="preserve">the </w:t>
      </w:r>
      <w:r w:rsidRPr="00B11A36">
        <w:rPr>
          <w:sz w:val="24"/>
          <w:szCs w:val="24"/>
        </w:rPr>
        <w:t xml:space="preserve">efficiency scores </w:t>
      </w:r>
      <w:r>
        <w:rPr>
          <w:sz w:val="24"/>
          <w:szCs w:val="24"/>
        </w:rPr>
        <w:t>of</w:t>
      </w:r>
      <w:r w:rsidRPr="00B11A36">
        <w:rPr>
          <w:sz w:val="24"/>
          <w:szCs w:val="24"/>
        </w:rPr>
        <w:t xml:space="preserve"> the 91 hospitals</w:t>
      </w:r>
      <w:r>
        <w:rPr>
          <w:sz w:val="24"/>
          <w:szCs w:val="24"/>
        </w:rPr>
        <w:t xml:space="preserve"> </w:t>
      </w:r>
      <w:r w:rsidR="00C03159">
        <w:rPr>
          <w:sz w:val="24"/>
          <w:szCs w:val="24"/>
        </w:rPr>
        <w:t xml:space="preserve">for </w:t>
      </w:r>
      <w:r w:rsidR="00306C13">
        <w:rPr>
          <w:sz w:val="24"/>
          <w:szCs w:val="24"/>
        </w:rPr>
        <w:t xml:space="preserve">each capacity (size category). </w:t>
      </w:r>
      <w:r w:rsidRPr="00B11A36">
        <w:rPr>
          <w:sz w:val="24"/>
          <w:szCs w:val="24"/>
        </w:rPr>
        <w:t>From the capacity perspective</w:t>
      </w:r>
      <w:bookmarkEnd w:id="24"/>
      <w:r w:rsidR="00584E5A">
        <w:rPr>
          <w:sz w:val="24"/>
          <w:szCs w:val="24"/>
        </w:rPr>
        <w:t>,</w:t>
      </w:r>
      <w:r>
        <w:rPr>
          <w:sz w:val="24"/>
          <w:szCs w:val="24"/>
        </w:rPr>
        <w:t xml:space="preserve"> s</w:t>
      </w:r>
      <w:r w:rsidR="005548AD" w:rsidRPr="00A05373">
        <w:rPr>
          <w:sz w:val="24"/>
          <w:szCs w:val="24"/>
        </w:rPr>
        <w:t>mall hospitals</w:t>
      </w:r>
      <w:r w:rsidR="00A51373" w:rsidRPr="00A05373">
        <w:rPr>
          <w:sz w:val="24"/>
          <w:szCs w:val="24"/>
        </w:rPr>
        <w:t xml:space="preserve"> </w:t>
      </w:r>
      <w:r w:rsidR="005548AD" w:rsidRPr="00A05373">
        <w:rPr>
          <w:sz w:val="24"/>
          <w:szCs w:val="24"/>
        </w:rPr>
        <w:t>h</w:t>
      </w:r>
      <w:r w:rsidR="0025740A">
        <w:rPr>
          <w:sz w:val="24"/>
          <w:szCs w:val="24"/>
        </w:rPr>
        <w:t>ad</w:t>
      </w:r>
      <w:r w:rsidR="005548AD" w:rsidRPr="00A05373">
        <w:rPr>
          <w:sz w:val="24"/>
          <w:szCs w:val="24"/>
        </w:rPr>
        <w:t xml:space="preserve"> higher levels of technical </w:t>
      </w:r>
      <w:r w:rsidR="00FE5832">
        <w:rPr>
          <w:sz w:val="24"/>
          <w:szCs w:val="24"/>
        </w:rPr>
        <w:t xml:space="preserve">(CRS and VRS) </w:t>
      </w:r>
      <w:r w:rsidR="005548AD" w:rsidRPr="00A05373">
        <w:rPr>
          <w:sz w:val="24"/>
          <w:szCs w:val="24"/>
        </w:rPr>
        <w:t>efficiencies than medium</w:t>
      </w:r>
      <w:r w:rsidR="0025740A">
        <w:rPr>
          <w:sz w:val="24"/>
          <w:szCs w:val="24"/>
        </w:rPr>
        <w:t>-sized</w:t>
      </w:r>
      <w:r w:rsidR="005548AD" w:rsidRPr="00A05373">
        <w:rPr>
          <w:sz w:val="24"/>
          <w:szCs w:val="24"/>
        </w:rPr>
        <w:t xml:space="preserve"> </w:t>
      </w:r>
      <w:r w:rsidR="00F62EC1" w:rsidRPr="00A05373">
        <w:rPr>
          <w:sz w:val="24"/>
          <w:szCs w:val="24"/>
        </w:rPr>
        <w:t>(</w:t>
      </w:r>
      <w:r w:rsidR="0025740A">
        <w:rPr>
          <w:sz w:val="24"/>
          <w:szCs w:val="24"/>
        </w:rPr>
        <w:t xml:space="preserve">both </w:t>
      </w:r>
      <w:r w:rsidR="00983228">
        <w:rPr>
          <w:sz w:val="24"/>
          <w:szCs w:val="24"/>
        </w:rPr>
        <w:t>lower- and upper-medium)</w:t>
      </w:r>
      <w:r w:rsidR="00861824" w:rsidRPr="00A05373">
        <w:rPr>
          <w:sz w:val="24"/>
          <w:szCs w:val="24"/>
        </w:rPr>
        <w:t xml:space="preserve"> </w:t>
      </w:r>
      <w:r w:rsidR="005548AD" w:rsidRPr="00A05373">
        <w:rPr>
          <w:sz w:val="24"/>
          <w:szCs w:val="24"/>
        </w:rPr>
        <w:t xml:space="preserve">and large hospitals. Table </w:t>
      </w:r>
      <w:r w:rsidR="003840A9" w:rsidRPr="00A05373">
        <w:rPr>
          <w:sz w:val="24"/>
          <w:szCs w:val="24"/>
        </w:rPr>
        <w:t>3</w:t>
      </w:r>
      <w:r w:rsidR="0025740A">
        <w:rPr>
          <w:sz w:val="24"/>
          <w:szCs w:val="24"/>
        </w:rPr>
        <w:t xml:space="preserve"> shows that</w:t>
      </w:r>
      <w:r w:rsidR="005548AD" w:rsidRPr="00A05373">
        <w:rPr>
          <w:sz w:val="24"/>
          <w:szCs w:val="24"/>
        </w:rPr>
        <w:t xml:space="preserve"> small hospitals</w:t>
      </w:r>
      <w:r w:rsidR="006173F9" w:rsidRPr="00A05373">
        <w:rPr>
          <w:sz w:val="24"/>
          <w:szCs w:val="24"/>
        </w:rPr>
        <w:t xml:space="preserve"> </w:t>
      </w:r>
      <w:r w:rsidR="008D67D3">
        <w:rPr>
          <w:sz w:val="24"/>
          <w:szCs w:val="24"/>
        </w:rPr>
        <w:t xml:space="preserve">have </w:t>
      </w:r>
      <w:r w:rsidR="005548AD" w:rsidRPr="00A05373">
        <w:rPr>
          <w:sz w:val="24"/>
          <w:szCs w:val="24"/>
        </w:rPr>
        <w:t>on average</w:t>
      </w:r>
      <w:r w:rsidR="00FE5832">
        <w:rPr>
          <w:sz w:val="24"/>
          <w:szCs w:val="24"/>
        </w:rPr>
        <w:t xml:space="preserve"> </w:t>
      </w:r>
      <w:r w:rsidR="005548AD" w:rsidRPr="00A05373">
        <w:rPr>
          <w:sz w:val="24"/>
          <w:szCs w:val="24"/>
        </w:rPr>
        <w:t>technical efficiency of 0.79</w:t>
      </w:r>
      <w:r w:rsidR="003840A9" w:rsidRPr="00A05373">
        <w:rPr>
          <w:sz w:val="24"/>
          <w:szCs w:val="24"/>
        </w:rPr>
        <w:t xml:space="preserve"> (SD 0.23)</w:t>
      </w:r>
      <w:r w:rsidR="0025740A">
        <w:rPr>
          <w:noProof/>
          <w:sz w:val="24"/>
          <w:szCs w:val="24"/>
        </w:rPr>
        <w:t>;</w:t>
      </w:r>
      <w:r w:rsidR="005548AD">
        <w:rPr>
          <w:noProof/>
          <w:sz w:val="24"/>
          <w:szCs w:val="24"/>
        </w:rPr>
        <w:t xml:space="preserve"> </w:t>
      </w:r>
      <w:r w:rsidR="003840A9" w:rsidRPr="00A05373">
        <w:rPr>
          <w:noProof/>
          <w:sz w:val="24"/>
          <w:szCs w:val="24"/>
        </w:rPr>
        <w:t xml:space="preserve">one-third of </w:t>
      </w:r>
      <w:r w:rsidR="002F7416">
        <w:rPr>
          <w:noProof/>
          <w:sz w:val="24"/>
          <w:szCs w:val="24"/>
        </w:rPr>
        <w:t xml:space="preserve">the </w:t>
      </w:r>
      <w:r w:rsidR="003840A9" w:rsidRPr="00A05373">
        <w:rPr>
          <w:noProof/>
          <w:sz w:val="24"/>
          <w:szCs w:val="24"/>
        </w:rPr>
        <w:t>hospitals in this category</w:t>
      </w:r>
      <w:r w:rsidR="00687A0E" w:rsidRPr="00A05373">
        <w:rPr>
          <w:noProof/>
          <w:sz w:val="24"/>
          <w:szCs w:val="24"/>
        </w:rPr>
        <w:t xml:space="preserve"> </w:t>
      </w:r>
      <w:r w:rsidR="008D67D3">
        <w:rPr>
          <w:noProof/>
          <w:sz w:val="24"/>
          <w:szCs w:val="24"/>
        </w:rPr>
        <w:t>are</w:t>
      </w:r>
      <w:r w:rsidR="008D67D3" w:rsidRPr="00A05373">
        <w:rPr>
          <w:noProof/>
          <w:sz w:val="24"/>
          <w:szCs w:val="24"/>
        </w:rPr>
        <w:t xml:space="preserve"> </w:t>
      </w:r>
      <w:r w:rsidR="00687A0E" w:rsidRPr="00A05373">
        <w:rPr>
          <w:noProof/>
          <w:sz w:val="24"/>
          <w:szCs w:val="24"/>
        </w:rPr>
        <w:t>technically and the scale</w:t>
      </w:r>
      <w:r w:rsidR="00D65F0D">
        <w:rPr>
          <w:noProof/>
          <w:sz w:val="24"/>
          <w:szCs w:val="24"/>
        </w:rPr>
        <w:t xml:space="preserve"> efficient</w:t>
      </w:r>
      <w:r w:rsidR="00687A0E" w:rsidRPr="00A05373">
        <w:rPr>
          <w:noProof/>
          <w:sz w:val="24"/>
          <w:szCs w:val="24"/>
        </w:rPr>
        <w:t>.</w:t>
      </w:r>
      <w:r w:rsidR="005548AD" w:rsidRPr="00A05373">
        <w:rPr>
          <w:sz w:val="24"/>
          <w:szCs w:val="24"/>
        </w:rPr>
        <w:t xml:space="preserve"> </w:t>
      </w:r>
      <w:r w:rsidR="00732905">
        <w:rPr>
          <w:sz w:val="24"/>
          <w:szCs w:val="24"/>
        </w:rPr>
        <w:t>The a</w:t>
      </w:r>
      <w:r w:rsidR="005548AD" w:rsidRPr="00A05373">
        <w:rPr>
          <w:sz w:val="24"/>
          <w:szCs w:val="24"/>
        </w:rPr>
        <w:t>verage technical</w:t>
      </w:r>
      <w:r w:rsidR="006173F9" w:rsidRPr="00A05373">
        <w:rPr>
          <w:sz w:val="24"/>
          <w:szCs w:val="24"/>
        </w:rPr>
        <w:t xml:space="preserve"> </w:t>
      </w:r>
      <w:r w:rsidR="005548AD" w:rsidRPr="00A05373">
        <w:rPr>
          <w:sz w:val="24"/>
          <w:szCs w:val="24"/>
        </w:rPr>
        <w:t xml:space="preserve">efficiency of </w:t>
      </w:r>
      <w:r w:rsidR="00983228">
        <w:rPr>
          <w:sz w:val="24"/>
          <w:szCs w:val="24"/>
        </w:rPr>
        <w:t>lower</w:t>
      </w:r>
      <w:r w:rsidR="00687A0E" w:rsidRPr="00A05373">
        <w:rPr>
          <w:sz w:val="24"/>
          <w:szCs w:val="24"/>
        </w:rPr>
        <w:t>-</w:t>
      </w:r>
      <w:r w:rsidR="005548AD" w:rsidRPr="00A05373">
        <w:rPr>
          <w:sz w:val="24"/>
          <w:szCs w:val="24"/>
        </w:rPr>
        <w:t>medium hospitals</w:t>
      </w:r>
      <w:r w:rsidR="00B519CA" w:rsidRPr="00A05373">
        <w:rPr>
          <w:sz w:val="24"/>
          <w:szCs w:val="24"/>
        </w:rPr>
        <w:t xml:space="preserve"> </w:t>
      </w:r>
      <w:r w:rsidR="008D67D3">
        <w:rPr>
          <w:sz w:val="24"/>
          <w:szCs w:val="24"/>
        </w:rPr>
        <w:t>is</w:t>
      </w:r>
      <w:r w:rsidR="008D67D3" w:rsidRPr="00A05373">
        <w:rPr>
          <w:sz w:val="24"/>
          <w:szCs w:val="24"/>
        </w:rPr>
        <w:t xml:space="preserve"> </w:t>
      </w:r>
      <w:r w:rsidR="005548AD" w:rsidRPr="00A05373">
        <w:rPr>
          <w:sz w:val="24"/>
          <w:szCs w:val="24"/>
        </w:rPr>
        <w:t>0.7</w:t>
      </w:r>
      <w:r w:rsidR="00B519CA" w:rsidRPr="00A05373">
        <w:rPr>
          <w:sz w:val="24"/>
          <w:szCs w:val="24"/>
        </w:rPr>
        <w:t>3</w:t>
      </w:r>
      <w:r w:rsidR="005548AD" w:rsidRPr="00A05373">
        <w:rPr>
          <w:sz w:val="24"/>
          <w:szCs w:val="24"/>
        </w:rPr>
        <w:t xml:space="preserve"> </w:t>
      </w:r>
      <w:r w:rsidR="00687A0E" w:rsidRPr="00A05373">
        <w:rPr>
          <w:sz w:val="24"/>
          <w:szCs w:val="24"/>
        </w:rPr>
        <w:t>(SD 0.25)</w:t>
      </w:r>
      <w:r w:rsidR="0025740A">
        <w:rPr>
          <w:sz w:val="24"/>
          <w:szCs w:val="24"/>
        </w:rPr>
        <w:t>,</w:t>
      </w:r>
      <w:r w:rsidR="00687A0E" w:rsidRPr="00A05373">
        <w:rPr>
          <w:sz w:val="24"/>
          <w:szCs w:val="24"/>
        </w:rPr>
        <w:t xml:space="preserve"> </w:t>
      </w:r>
      <w:r w:rsidR="005548AD" w:rsidRPr="00A05373">
        <w:rPr>
          <w:sz w:val="24"/>
          <w:szCs w:val="24"/>
        </w:rPr>
        <w:t>with a higher</w:t>
      </w:r>
      <w:r w:rsidR="00B519CA" w:rsidRPr="00A05373">
        <w:rPr>
          <w:sz w:val="24"/>
          <w:szCs w:val="24"/>
        </w:rPr>
        <w:t xml:space="preserve"> </w:t>
      </w:r>
      <w:r w:rsidR="005548AD" w:rsidRPr="00A05373">
        <w:rPr>
          <w:sz w:val="24"/>
          <w:szCs w:val="24"/>
        </w:rPr>
        <w:t>percentage of inefficient hospitals (8</w:t>
      </w:r>
      <w:r w:rsidR="00B519CA" w:rsidRPr="00A05373">
        <w:rPr>
          <w:sz w:val="24"/>
          <w:szCs w:val="24"/>
        </w:rPr>
        <w:t>1.8</w:t>
      </w:r>
      <w:r w:rsidR="005548AD" w:rsidRPr="00A05373">
        <w:rPr>
          <w:sz w:val="24"/>
          <w:szCs w:val="24"/>
        </w:rPr>
        <w:t>%)</w:t>
      </w:r>
      <w:r w:rsidR="00687A0E" w:rsidRPr="00A05373">
        <w:rPr>
          <w:sz w:val="24"/>
          <w:szCs w:val="24"/>
        </w:rPr>
        <w:t xml:space="preserve"> </w:t>
      </w:r>
      <w:r w:rsidR="0025740A">
        <w:rPr>
          <w:sz w:val="24"/>
          <w:szCs w:val="24"/>
        </w:rPr>
        <w:t>than for</w:t>
      </w:r>
      <w:r w:rsidR="00687A0E" w:rsidRPr="00A05373">
        <w:rPr>
          <w:sz w:val="24"/>
          <w:szCs w:val="24"/>
        </w:rPr>
        <w:t xml:space="preserve"> small hospitals</w:t>
      </w:r>
      <w:r w:rsidR="005548AD" w:rsidRPr="00A05373">
        <w:rPr>
          <w:sz w:val="24"/>
          <w:szCs w:val="24"/>
        </w:rPr>
        <w:t xml:space="preserve">. </w:t>
      </w:r>
      <w:r w:rsidR="0025740A">
        <w:rPr>
          <w:sz w:val="24"/>
          <w:szCs w:val="24"/>
        </w:rPr>
        <w:t>A</w:t>
      </w:r>
      <w:r w:rsidR="00B519CA" w:rsidRPr="00A05373">
        <w:rPr>
          <w:sz w:val="24"/>
          <w:szCs w:val="24"/>
        </w:rPr>
        <w:t xml:space="preserve">lthough </w:t>
      </w:r>
      <w:r w:rsidR="00983228">
        <w:rPr>
          <w:sz w:val="24"/>
          <w:szCs w:val="24"/>
        </w:rPr>
        <w:t>upper</w:t>
      </w:r>
      <w:r w:rsidR="00CC1F71" w:rsidRPr="00A05373">
        <w:rPr>
          <w:sz w:val="24"/>
          <w:szCs w:val="24"/>
        </w:rPr>
        <w:t>-</w:t>
      </w:r>
      <w:r w:rsidR="00B519CA" w:rsidRPr="00A05373">
        <w:rPr>
          <w:sz w:val="24"/>
          <w:szCs w:val="24"/>
        </w:rPr>
        <w:t>medium</w:t>
      </w:r>
      <w:r w:rsidR="0025740A">
        <w:rPr>
          <w:sz w:val="24"/>
          <w:szCs w:val="24"/>
        </w:rPr>
        <w:t>-</w:t>
      </w:r>
      <w:r w:rsidR="00B519CA" w:rsidRPr="00A05373">
        <w:rPr>
          <w:sz w:val="24"/>
          <w:szCs w:val="24"/>
        </w:rPr>
        <w:t>size</w:t>
      </w:r>
      <w:r w:rsidR="0025740A">
        <w:rPr>
          <w:sz w:val="24"/>
          <w:szCs w:val="24"/>
        </w:rPr>
        <w:t>d</w:t>
      </w:r>
      <w:r w:rsidR="00B519CA" w:rsidRPr="00A05373">
        <w:rPr>
          <w:sz w:val="24"/>
          <w:szCs w:val="24"/>
        </w:rPr>
        <w:t xml:space="preserve"> hospitals reported </w:t>
      </w:r>
      <w:r w:rsidR="0025740A">
        <w:rPr>
          <w:sz w:val="24"/>
          <w:szCs w:val="24"/>
        </w:rPr>
        <w:t xml:space="preserve">a </w:t>
      </w:r>
      <w:r w:rsidR="00B519CA" w:rsidRPr="00A05373">
        <w:rPr>
          <w:sz w:val="24"/>
          <w:szCs w:val="24"/>
        </w:rPr>
        <w:t xml:space="preserve">slightly higher </w:t>
      </w:r>
      <w:r w:rsidR="00983228">
        <w:rPr>
          <w:sz w:val="24"/>
          <w:szCs w:val="24"/>
        </w:rPr>
        <w:t>average</w:t>
      </w:r>
      <w:r w:rsidR="00983228" w:rsidRPr="00A05373">
        <w:rPr>
          <w:sz w:val="24"/>
          <w:szCs w:val="24"/>
        </w:rPr>
        <w:t xml:space="preserve"> </w:t>
      </w:r>
      <w:r w:rsidR="00B519CA" w:rsidRPr="00A05373">
        <w:rPr>
          <w:sz w:val="24"/>
          <w:szCs w:val="24"/>
        </w:rPr>
        <w:t>technical efficiency score of 0.76</w:t>
      </w:r>
      <w:r w:rsidR="00687A0E" w:rsidRPr="00A05373">
        <w:rPr>
          <w:sz w:val="24"/>
          <w:szCs w:val="24"/>
        </w:rPr>
        <w:t xml:space="preserve"> (SD 0.19)</w:t>
      </w:r>
      <w:r w:rsidR="00B519CA" w:rsidRPr="00A05373">
        <w:rPr>
          <w:sz w:val="24"/>
          <w:szCs w:val="24"/>
        </w:rPr>
        <w:t xml:space="preserve">, </w:t>
      </w:r>
      <w:r w:rsidR="0045470E" w:rsidRPr="00A05373">
        <w:rPr>
          <w:sz w:val="24"/>
          <w:szCs w:val="24"/>
        </w:rPr>
        <w:t>fewer hospital</w:t>
      </w:r>
      <w:r w:rsidR="00687A0E" w:rsidRPr="00A05373">
        <w:rPr>
          <w:sz w:val="24"/>
          <w:szCs w:val="24"/>
        </w:rPr>
        <w:t>s</w:t>
      </w:r>
      <w:r w:rsidR="0045470E" w:rsidRPr="00A05373">
        <w:rPr>
          <w:sz w:val="24"/>
          <w:szCs w:val="24"/>
        </w:rPr>
        <w:t xml:space="preserve"> </w:t>
      </w:r>
      <w:r w:rsidR="00687A0E" w:rsidRPr="00A05373">
        <w:rPr>
          <w:sz w:val="24"/>
          <w:szCs w:val="24"/>
        </w:rPr>
        <w:t>in this category</w:t>
      </w:r>
      <w:r w:rsidR="00983228">
        <w:rPr>
          <w:sz w:val="24"/>
          <w:szCs w:val="24"/>
        </w:rPr>
        <w:t xml:space="preserve"> </w:t>
      </w:r>
      <w:r w:rsidR="0045470E" w:rsidRPr="00A05373">
        <w:rPr>
          <w:sz w:val="24"/>
          <w:szCs w:val="24"/>
        </w:rPr>
        <w:t>reported</w:t>
      </w:r>
      <w:r w:rsidR="0025740A">
        <w:rPr>
          <w:sz w:val="24"/>
          <w:szCs w:val="24"/>
        </w:rPr>
        <w:t xml:space="preserve"> an</w:t>
      </w:r>
      <w:r w:rsidR="0045470E" w:rsidRPr="00A05373">
        <w:rPr>
          <w:sz w:val="24"/>
          <w:szCs w:val="24"/>
        </w:rPr>
        <w:t xml:space="preserve"> efficient score</w:t>
      </w:r>
      <w:r w:rsidR="003255F4">
        <w:rPr>
          <w:sz w:val="24"/>
          <w:szCs w:val="24"/>
        </w:rPr>
        <w:t>,</w:t>
      </w:r>
      <w:r w:rsidR="0045470E" w:rsidRPr="00A05373">
        <w:rPr>
          <w:sz w:val="24"/>
          <w:szCs w:val="24"/>
        </w:rPr>
        <w:t xml:space="preserve"> meaning a </w:t>
      </w:r>
      <w:r w:rsidR="00B519CA" w:rsidRPr="00A05373">
        <w:rPr>
          <w:noProof/>
          <w:sz w:val="24"/>
          <w:szCs w:val="24"/>
        </w:rPr>
        <w:t>higher</w:t>
      </w:r>
      <w:r w:rsidR="00B519CA" w:rsidRPr="00A05373">
        <w:rPr>
          <w:sz w:val="24"/>
          <w:szCs w:val="24"/>
        </w:rPr>
        <w:t xml:space="preserve"> percentage of </w:t>
      </w:r>
      <w:r w:rsidR="00861824" w:rsidRPr="00A05373">
        <w:rPr>
          <w:sz w:val="24"/>
          <w:szCs w:val="24"/>
        </w:rPr>
        <w:t xml:space="preserve">inefficiencies </w:t>
      </w:r>
      <w:r w:rsidR="00B519CA" w:rsidRPr="00A05373">
        <w:rPr>
          <w:sz w:val="24"/>
          <w:szCs w:val="24"/>
        </w:rPr>
        <w:t>(86.4%</w:t>
      </w:r>
      <w:r w:rsidR="0045470E" w:rsidRPr="00A05373">
        <w:rPr>
          <w:sz w:val="24"/>
          <w:szCs w:val="24"/>
        </w:rPr>
        <w:t>).</w:t>
      </w:r>
      <w:r w:rsidR="00B519CA" w:rsidRPr="00A05373">
        <w:rPr>
          <w:sz w:val="24"/>
          <w:szCs w:val="24"/>
        </w:rPr>
        <w:t xml:space="preserve"> </w:t>
      </w:r>
      <w:r w:rsidR="003255F4">
        <w:rPr>
          <w:sz w:val="24"/>
          <w:szCs w:val="24"/>
        </w:rPr>
        <w:t>L</w:t>
      </w:r>
      <w:r w:rsidR="005548AD" w:rsidRPr="00A05373">
        <w:rPr>
          <w:sz w:val="24"/>
          <w:szCs w:val="24"/>
        </w:rPr>
        <w:t xml:space="preserve">arge </w:t>
      </w:r>
      <w:r w:rsidR="005548AD" w:rsidRPr="00A05373">
        <w:rPr>
          <w:noProof/>
          <w:sz w:val="24"/>
          <w:szCs w:val="24"/>
        </w:rPr>
        <w:t>hospitals</w:t>
      </w:r>
      <w:r w:rsidR="005548AD" w:rsidRPr="00A05373">
        <w:rPr>
          <w:sz w:val="24"/>
          <w:szCs w:val="24"/>
        </w:rPr>
        <w:t xml:space="preserve"> </w:t>
      </w:r>
      <w:r w:rsidR="00861824" w:rsidRPr="00A05373">
        <w:rPr>
          <w:sz w:val="24"/>
          <w:szCs w:val="24"/>
        </w:rPr>
        <w:t>were</w:t>
      </w:r>
      <w:r w:rsidR="005548AD" w:rsidRPr="00A05373">
        <w:rPr>
          <w:sz w:val="24"/>
          <w:szCs w:val="24"/>
        </w:rPr>
        <w:t xml:space="preserve"> the least efficient </w:t>
      </w:r>
      <w:r w:rsidR="0025740A">
        <w:rPr>
          <w:sz w:val="24"/>
          <w:szCs w:val="24"/>
        </w:rPr>
        <w:t>when</w:t>
      </w:r>
      <w:r w:rsidR="005548AD" w:rsidRPr="00A05373">
        <w:rPr>
          <w:sz w:val="24"/>
          <w:szCs w:val="24"/>
        </w:rPr>
        <w:t xml:space="preserve"> compared to </w:t>
      </w:r>
      <w:r w:rsidR="005548AD" w:rsidRPr="00A05373">
        <w:rPr>
          <w:noProof/>
          <w:sz w:val="24"/>
          <w:szCs w:val="24"/>
        </w:rPr>
        <w:t>other</w:t>
      </w:r>
      <w:r w:rsidR="0045470E" w:rsidRPr="00A05373">
        <w:rPr>
          <w:noProof/>
          <w:sz w:val="24"/>
          <w:szCs w:val="24"/>
        </w:rPr>
        <w:t xml:space="preserve"> </w:t>
      </w:r>
      <w:r w:rsidR="005548AD" w:rsidRPr="00A05373">
        <w:rPr>
          <w:noProof/>
          <w:sz w:val="24"/>
          <w:szCs w:val="24"/>
        </w:rPr>
        <w:t>categories</w:t>
      </w:r>
      <w:r w:rsidR="005548AD" w:rsidRPr="00A05373">
        <w:rPr>
          <w:sz w:val="24"/>
          <w:szCs w:val="24"/>
        </w:rPr>
        <w:t xml:space="preserve">. </w:t>
      </w:r>
      <w:r w:rsidR="0025740A">
        <w:rPr>
          <w:sz w:val="24"/>
          <w:szCs w:val="24"/>
        </w:rPr>
        <w:t>The a</w:t>
      </w:r>
      <w:r w:rsidR="005548AD" w:rsidRPr="00A05373">
        <w:rPr>
          <w:sz w:val="24"/>
          <w:szCs w:val="24"/>
        </w:rPr>
        <w:t>verage technical efficiency of large hospitals</w:t>
      </w:r>
      <w:r w:rsidR="0045470E" w:rsidRPr="00A05373">
        <w:rPr>
          <w:sz w:val="24"/>
          <w:szCs w:val="24"/>
        </w:rPr>
        <w:t xml:space="preserve"> </w:t>
      </w:r>
      <w:r w:rsidR="00861824" w:rsidRPr="00A05373">
        <w:rPr>
          <w:sz w:val="24"/>
          <w:szCs w:val="24"/>
        </w:rPr>
        <w:t>was</w:t>
      </w:r>
      <w:r w:rsidR="005548AD" w:rsidRPr="00A05373">
        <w:rPr>
          <w:sz w:val="24"/>
          <w:szCs w:val="24"/>
        </w:rPr>
        <w:t xml:space="preserve"> </w:t>
      </w:r>
      <w:r w:rsidR="0045470E" w:rsidRPr="00A05373">
        <w:rPr>
          <w:sz w:val="24"/>
          <w:szCs w:val="24"/>
        </w:rPr>
        <w:t>0.65</w:t>
      </w:r>
      <w:r w:rsidR="00687A0E" w:rsidRPr="00A05373">
        <w:rPr>
          <w:sz w:val="24"/>
          <w:szCs w:val="24"/>
        </w:rPr>
        <w:t xml:space="preserve"> (SD 0.27</w:t>
      </w:r>
      <w:r w:rsidR="00A03DA4" w:rsidRPr="00A05373">
        <w:rPr>
          <w:sz w:val="24"/>
          <w:szCs w:val="24"/>
        </w:rPr>
        <w:t>)</w:t>
      </w:r>
      <w:r w:rsidR="00A03DA4">
        <w:rPr>
          <w:sz w:val="24"/>
          <w:szCs w:val="24"/>
        </w:rPr>
        <w:t>;</w:t>
      </w:r>
      <w:r w:rsidR="00A03DA4" w:rsidRPr="00A05373">
        <w:rPr>
          <w:sz w:val="24"/>
          <w:szCs w:val="24"/>
        </w:rPr>
        <w:t xml:space="preserve"> </w:t>
      </w:r>
      <w:r w:rsidR="00861824" w:rsidRPr="00A05373">
        <w:rPr>
          <w:sz w:val="24"/>
          <w:szCs w:val="24"/>
        </w:rPr>
        <w:t xml:space="preserve">only </w:t>
      </w:r>
      <w:r w:rsidR="00687A0E" w:rsidRPr="00A05373">
        <w:rPr>
          <w:sz w:val="24"/>
          <w:szCs w:val="24"/>
        </w:rPr>
        <w:t>one was technically efficient</w:t>
      </w:r>
      <w:r w:rsidR="005548AD" w:rsidRPr="00A05373">
        <w:rPr>
          <w:sz w:val="24"/>
          <w:szCs w:val="24"/>
        </w:rPr>
        <w:t>.</w:t>
      </w:r>
      <w:r w:rsidR="00F726C2" w:rsidRPr="00A05373">
        <w:rPr>
          <w:sz w:val="24"/>
          <w:szCs w:val="24"/>
        </w:rPr>
        <w:t xml:space="preserve"> </w:t>
      </w:r>
    </w:p>
    <w:p w14:paraId="36455E4E" w14:textId="69752D33" w:rsidR="00214F04" w:rsidRPr="00A05373" w:rsidRDefault="0025740A" w:rsidP="008F1189">
      <w:pPr>
        <w:spacing w:line="360" w:lineRule="auto"/>
        <w:jc w:val="both"/>
        <w:rPr>
          <w:sz w:val="24"/>
          <w:szCs w:val="24"/>
        </w:rPr>
      </w:pPr>
      <w:bookmarkStart w:id="25" w:name="_Hlk536635340"/>
      <w:bookmarkEnd w:id="23"/>
      <w:r>
        <w:rPr>
          <w:sz w:val="24"/>
          <w:szCs w:val="24"/>
        </w:rPr>
        <w:t>Regarding</w:t>
      </w:r>
      <w:r w:rsidR="0051717A" w:rsidRPr="00A05373">
        <w:rPr>
          <w:sz w:val="24"/>
          <w:szCs w:val="24"/>
        </w:rPr>
        <w:t xml:space="preserve"> </w:t>
      </w:r>
      <w:r w:rsidR="002B4CC1" w:rsidRPr="00A05373">
        <w:rPr>
          <w:sz w:val="24"/>
          <w:szCs w:val="24"/>
        </w:rPr>
        <w:t>scale</w:t>
      </w:r>
      <w:r w:rsidR="00861824" w:rsidRPr="00A05373">
        <w:rPr>
          <w:sz w:val="24"/>
          <w:szCs w:val="24"/>
        </w:rPr>
        <w:t>-</w:t>
      </w:r>
      <w:r w:rsidR="002B4CC1" w:rsidRPr="00A05373">
        <w:rPr>
          <w:sz w:val="24"/>
          <w:szCs w:val="24"/>
        </w:rPr>
        <w:t xml:space="preserve">efficiency scores, </w:t>
      </w:r>
      <w:r w:rsidR="003F4BA9">
        <w:rPr>
          <w:sz w:val="24"/>
          <w:szCs w:val="24"/>
        </w:rPr>
        <w:t>upper</w:t>
      </w:r>
      <w:r w:rsidR="0051717A" w:rsidRPr="00A05373">
        <w:rPr>
          <w:sz w:val="24"/>
          <w:szCs w:val="24"/>
        </w:rPr>
        <w:t>-</w:t>
      </w:r>
      <w:r w:rsidR="00863399" w:rsidRPr="00A05373">
        <w:rPr>
          <w:sz w:val="24"/>
          <w:szCs w:val="24"/>
        </w:rPr>
        <w:t>medium</w:t>
      </w:r>
      <w:r w:rsidR="003F4BA9">
        <w:rPr>
          <w:sz w:val="24"/>
          <w:szCs w:val="24"/>
        </w:rPr>
        <w:t xml:space="preserve"> </w:t>
      </w:r>
      <w:bookmarkStart w:id="26" w:name="_Hlk536615249"/>
      <w:r w:rsidR="002B4CC1" w:rsidRPr="00A05373">
        <w:rPr>
          <w:sz w:val="24"/>
          <w:szCs w:val="24"/>
        </w:rPr>
        <w:t>(</w:t>
      </w:r>
      <w:bookmarkEnd w:id="26"/>
      <w:r w:rsidR="002B4CC1" w:rsidRPr="00A05373">
        <w:rPr>
          <w:sz w:val="24"/>
          <w:szCs w:val="24"/>
        </w:rPr>
        <w:t>0.9</w:t>
      </w:r>
      <w:r w:rsidR="00863399" w:rsidRPr="00A05373">
        <w:rPr>
          <w:sz w:val="24"/>
          <w:szCs w:val="24"/>
        </w:rPr>
        <w:t>4</w:t>
      </w:r>
      <w:r w:rsidR="002B4CC1" w:rsidRPr="00A05373">
        <w:rPr>
          <w:sz w:val="24"/>
          <w:szCs w:val="24"/>
        </w:rPr>
        <w:t xml:space="preserve">) and </w:t>
      </w:r>
      <w:r w:rsidR="003F4BA9">
        <w:rPr>
          <w:sz w:val="24"/>
          <w:szCs w:val="24"/>
        </w:rPr>
        <w:t>low</w:t>
      </w:r>
      <w:r w:rsidR="0051717A" w:rsidRPr="00A05373">
        <w:rPr>
          <w:sz w:val="24"/>
          <w:szCs w:val="24"/>
        </w:rPr>
        <w:t>er-</w:t>
      </w:r>
      <w:r w:rsidR="002B4CC1" w:rsidRPr="00A05373">
        <w:rPr>
          <w:sz w:val="24"/>
          <w:szCs w:val="24"/>
        </w:rPr>
        <w:t>medium</w:t>
      </w:r>
      <w:r w:rsidR="00863399" w:rsidRPr="00A05373">
        <w:rPr>
          <w:sz w:val="24"/>
          <w:szCs w:val="24"/>
        </w:rPr>
        <w:t xml:space="preserve"> (</w:t>
      </w:r>
      <w:r w:rsidR="002B4CC1" w:rsidRPr="00A05373">
        <w:rPr>
          <w:sz w:val="24"/>
          <w:szCs w:val="24"/>
        </w:rPr>
        <w:t>0.9</w:t>
      </w:r>
      <w:r w:rsidR="00863399" w:rsidRPr="00A05373">
        <w:rPr>
          <w:sz w:val="24"/>
          <w:szCs w:val="24"/>
        </w:rPr>
        <w:t>0</w:t>
      </w:r>
      <w:r w:rsidR="002B4CC1" w:rsidRPr="00A05373">
        <w:rPr>
          <w:sz w:val="24"/>
          <w:szCs w:val="24"/>
        </w:rPr>
        <w:t>) size</w:t>
      </w:r>
      <w:r>
        <w:rPr>
          <w:sz w:val="24"/>
          <w:szCs w:val="24"/>
        </w:rPr>
        <w:t>d</w:t>
      </w:r>
      <w:r w:rsidR="002B4CC1" w:rsidRPr="00A05373">
        <w:rPr>
          <w:sz w:val="24"/>
          <w:szCs w:val="24"/>
        </w:rPr>
        <w:t xml:space="preserve"> hospitals </w:t>
      </w:r>
      <w:r w:rsidR="00C70E33">
        <w:rPr>
          <w:sz w:val="24"/>
          <w:szCs w:val="24"/>
        </w:rPr>
        <w:t>operate</w:t>
      </w:r>
      <w:r w:rsidR="002B4CC1" w:rsidRPr="00A05373">
        <w:rPr>
          <w:sz w:val="24"/>
          <w:szCs w:val="24"/>
        </w:rPr>
        <w:t xml:space="preserve"> at</w:t>
      </w:r>
      <w:r w:rsidR="00863399" w:rsidRPr="00A05373">
        <w:rPr>
          <w:sz w:val="24"/>
          <w:szCs w:val="24"/>
        </w:rPr>
        <w:t xml:space="preserve"> </w:t>
      </w:r>
      <w:r>
        <w:rPr>
          <w:sz w:val="24"/>
          <w:szCs w:val="24"/>
        </w:rPr>
        <w:t xml:space="preserve">a </w:t>
      </w:r>
      <w:r w:rsidR="002B4CC1" w:rsidRPr="00A05373">
        <w:rPr>
          <w:sz w:val="24"/>
          <w:szCs w:val="24"/>
        </w:rPr>
        <w:t xml:space="preserve">more optimal scale than </w:t>
      </w:r>
      <w:r w:rsidR="00863399" w:rsidRPr="00A05373">
        <w:rPr>
          <w:sz w:val="24"/>
          <w:szCs w:val="24"/>
        </w:rPr>
        <w:t>small (</w:t>
      </w:r>
      <w:r w:rsidR="002B4CC1" w:rsidRPr="00A05373">
        <w:rPr>
          <w:sz w:val="24"/>
          <w:szCs w:val="24"/>
        </w:rPr>
        <w:t>0.8</w:t>
      </w:r>
      <w:r w:rsidR="00863399" w:rsidRPr="00A05373">
        <w:rPr>
          <w:sz w:val="24"/>
          <w:szCs w:val="24"/>
        </w:rPr>
        <w:t>2</w:t>
      </w:r>
      <w:r w:rsidR="002B4CC1" w:rsidRPr="00A05373">
        <w:rPr>
          <w:sz w:val="24"/>
          <w:szCs w:val="24"/>
        </w:rPr>
        <w:t xml:space="preserve">) </w:t>
      </w:r>
      <w:r w:rsidR="00863399" w:rsidRPr="00A05373">
        <w:rPr>
          <w:sz w:val="24"/>
          <w:szCs w:val="24"/>
        </w:rPr>
        <w:t xml:space="preserve">or large </w:t>
      </w:r>
      <w:r w:rsidR="008677F1">
        <w:rPr>
          <w:sz w:val="24"/>
          <w:szCs w:val="24"/>
        </w:rPr>
        <w:t>hospitals</w:t>
      </w:r>
      <w:r w:rsidR="006B6951">
        <w:rPr>
          <w:sz w:val="24"/>
          <w:szCs w:val="24"/>
        </w:rPr>
        <w:t xml:space="preserve"> </w:t>
      </w:r>
      <w:r w:rsidR="00863399" w:rsidRPr="00A05373">
        <w:rPr>
          <w:sz w:val="24"/>
          <w:szCs w:val="24"/>
        </w:rPr>
        <w:t>(0.87)</w:t>
      </w:r>
      <w:r w:rsidR="002B4CC1" w:rsidRPr="00A05373">
        <w:rPr>
          <w:sz w:val="24"/>
          <w:szCs w:val="24"/>
        </w:rPr>
        <w:t xml:space="preserve">. </w:t>
      </w:r>
      <w:bookmarkStart w:id="27" w:name="_Hlk536636555"/>
      <w:bookmarkEnd w:id="25"/>
      <w:r w:rsidR="000D36E0" w:rsidRPr="00A05373">
        <w:rPr>
          <w:sz w:val="24"/>
          <w:szCs w:val="24"/>
        </w:rPr>
        <w:t>Also, 45</w:t>
      </w:r>
      <w:r w:rsidR="00D479AE" w:rsidRPr="00A05373">
        <w:rPr>
          <w:sz w:val="24"/>
          <w:szCs w:val="24"/>
        </w:rPr>
        <w:t xml:space="preserve">.5% of </w:t>
      </w:r>
      <w:r w:rsidR="003F4BA9">
        <w:rPr>
          <w:sz w:val="24"/>
          <w:szCs w:val="24"/>
        </w:rPr>
        <w:t>low</w:t>
      </w:r>
      <w:r w:rsidR="00D479AE" w:rsidRPr="00A05373">
        <w:rPr>
          <w:sz w:val="24"/>
          <w:szCs w:val="24"/>
        </w:rPr>
        <w:t xml:space="preserve">er-medium hospitals </w:t>
      </w:r>
      <w:r w:rsidR="001323B6">
        <w:rPr>
          <w:sz w:val="24"/>
          <w:szCs w:val="24"/>
        </w:rPr>
        <w:t>operat</w:t>
      </w:r>
      <w:r w:rsidR="00C70E33">
        <w:rPr>
          <w:sz w:val="24"/>
          <w:szCs w:val="24"/>
        </w:rPr>
        <w:t>e</w:t>
      </w:r>
      <w:r w:rsidR="00D479AE" w:rsidRPr="00A05373">
        <w:rPr>
          <w:sz w:val="24"/>
          <w:szCs w:val="24"/>
        </w:rPr>
        <w:t xml:space="preserve"> on the</w:t>
      </w:r>
      <w:r w:rsidR="00C70E33">
        <w:rPr>
          <w:sz w:val="24"/>
          <w:szCs w:val="24"/>
        </w:rPr>
        <w:t xml:space="preserve"> CRS,</w:t>
      </w:r>
      <w:r w:rsidR="00D479AE" w:rsidRPr="00A05373">
        <w:rPr>
          <w:sz w:val="24"/>
          <w:szCs w:val="24"/>
        </w:rPr>
        <w:t xml:space="preserve"> followed by small hospitals</w:t>
      </w:r>
      <w:r w:rsidR="001323B6">
        <w:rPr>
          <w:sz w:val="24"/>
          <w:szCs w:val="24"/>
        </w:rPr>
        <w:t xml:space="preserve"> (</w:t>
      </w:r>
      <w:r w:rsidR="00D479AE" w:rsidRPr="00A05373">
        <w:rPr>
          <w:sz w:val="24"/>
          <w:szCs w:val="24"/>
        </w:rPr>
        <w:t>38.5%</w:t>
      </w:r>
      <w:r w:rsidR="001323B6">
        <w:rPr>
          <w:sz w:val="24"/>
          <w:szCs w:val="24"/>
        </w:rPr>
        <w:t>)</w:t>
      </w:r>
      <w:r w:rsidR="00D479AE" w:rsidRPr="00A05373">
        <w:rPr>
          <w:sz w:val="24"/>
          <w:szCs w:val="24"/>
        </w:rPr>
        <w:t xml:space="preserve">. However, </w:t>
      </w:r>
      <w:r>
        <w:rPr>
          <w:sz w:val="24"/>
          <w:szCs w:val="24"/>
        </w:rPr>
        <w:t xml:space="preserve">most of the </w:t>
      </w:r>
      <w:r w:rsidR="00D479AE" w:rsidRPr="00A05373">
        <w:rPr>
          <w:sz w:val="24"/>
          <w:szCs w:val="24"/>
        </w:rPr>
        <w:t xml:space="preserve">remaining hospitals </w:t>
      </w:r>
      <w:r>
        <w:rPr>
          <w:sz w:val="24"/>
          <w:szCs w:val="24"/>
        </w:rPr>
        <w:t>in</w:t>
      </w:r>
      <w:r w:rsidR="00D479AE" w:rsidRPr="00A05373">
        <w:rPr>
          <w:sz w:val="24"/>
          <w:szCs w:val="24"/>
        </w:rPr>
        <w:t xml:space="preserve"> these categories</w:t>
      </w:r>
      <w:r w:rsidR="001323B6">
        <w:rPr>
          <w:sz w:val="24"/>
          <w:szCs w:val="24"/>
        </w:rPr>
        <w:t>, i.e. lower-medium (</w:t>
      </w:r>
      <w:r w:rsidR="001323B6" w:rsidRPr="00A05373">
        <w:rPr>
          <w:sz w:val="24"/>
          <w:szCs w:val="24"/>
        </w:rPr>
        <w:t>45.5%</w:t>
      </w:r>
      <w:r w:rsidR="001323B6">
        <w:rPr>
          <w:sz w:val="24"/>
          <w:szCs w:val="24"/>
        </w:rPr>
        <w:t xml:space="preserve">) and small size (61.5%) hospitals </w:t>
      </w:r>
      <w:r w:rsidR="00C70E33">
        <w:rPr>
          <w:sz w:val="24"/>
          <w:szCs w:val="24"/>
        </w:rPr>
        <w:t>are</w:t>
      </w:r>
      <w:r w:rsidR="00C70E33" w:rsidRPr="00A05373">
        <w:rPr>
          <w:sz w:val="24"/>
          <w:szCs w:val="24"/>
        </w:rPr>
        <w:t xml:space="preserve"> </w:t>
      </w:r>
      <w:r w:rsidR="00861824" w:rsidRPr="00A05373">
        <w:rPr>
          <w:sz w:val="24"/>
          <w:szCs w:val="24"/>
        </w:rPr>
        <w:t>operating on</w:t>
      </w:r>
      <w:r w:rsidR="00D479AE" w:rsidRPr="00A05373">
        <w:rPr>
          <w:sz w:val="24"/>
          <w:szCs w:val="24"/>
        </w:rPr>
        <w:t xml:space="preserve"> </w:t>
      </w:r>
      <w:r w:rsidR="00C70E33">
        <w:rPr>
          <w:sz w:val="24"/>
          <w:szCs w:val="24"/>
        </w:rPr>
        <w:t>IRS</w:t>
      </w:r>
      <w:r w:rsidR="00D479AE" w:rsidRPr="00A05373">
        <w:rPr>
          <w:sz w:val="24"/>
          <w:szCs w:val="24"/>
        </w:rPr>
        <w:t xml:space="preserve">. </w:t>
      </w:r>
      <w:r>
        <w:rPr>
          <w:sz w:val="24"/>
          <w:szCs w:val="24"/>
        </w:rPr>
        <w:t>In contrast</w:t>
      </w:r>
      <w:r w:rsidR="00D479AE" w:rsidRPr="00A05373">
        <w:rPr>
          <w:sz w:val="24"/>
          <w:szCs w:val="24"/>
        </w:rPr>
        <w:t>, most</w:t>
      </w:r>
      <w:r w:rsidR="00FE0A9D">
        <w:rPr>
          <w:sz w:val="24"/>
          <w:szCs w:val="24"/>
        </w:rPr>
        <w:t xml:space="preserve"> </w:t>
      </w:r>
      <w:r w:rsidR="00D479AE" w:rsidRPr="00A05373">
        <w:rPr>
          <w:sz w:val="24"/>
          <w:szCs w:val="24"/>
        </w:rPr>
        <w:t xml:space="preserve">large hospitals </w:t>
      </w:r>
      <w:r w:rsidR="0094229D" w:rsidRPr="00A05373">
        <w:rPr>
          <w:sz w:val="24"/>
          <w:szCs w:val="24"/>
        </w:rPr>
        <w:t>(62.5</w:t>
      </w:r>
      <w:r w:rsidR="00D73B37" w:rsidRPr="00A05373">
        <w:rPr>
          <w:sz w:val="24"/>
          <w:szCs w:val="24"/>
        </w:rPr>
        <w:t>%</w:t>
      </w:r>
      <w:r w:rsidR="0094229D" w:rsidRPr="00A05373">
        <w:rPr>
          <w:sz w:val="24"/>
          <w:szCs w:val="24"/>
        </w:rPr>
        <w:t xml:space="preserve">) </w:t>
      </w:r>
      <w:r w:rsidR="00C70E33" w:rsidRPr="00A05373">
        <w:rPr>
          <w:sz w:val="24"/>
          <w:szCs w:val="24"/>
        </w:rPr>
        <w:t>showed</w:t>
      </w:r>
      <w:r w:rsidR="0094229D" w:rsidRPr="00A05373">
        <w:rPr>
          <w:sz w:val="24"/>
          <w:szCs w:val="24"/>
        </w:rPr>
        <w:t xml:space="preserve"> </w:t>
      </w:r>
      <w:r w:rsidR="00C70E33">
        <w:rPr>
          <w:sz w:val="24"/>
          <w:szCs w:val="24"/>
        </w:rPr>
        <w:t>DRS</w:t>
      </w:r>
      <w:r w:rsidR="0094229D" w:rsidRPr="00A05373">
        <w:rPr>
          <w:sz w:val="24"/>
          <w:szCs w:val="24"/>
        </w:rPr>
        <w:t xml:space="preserve">, and </w:t>
      </w:r>
      <w:r>
        <w:rPr>
          <w:sz w:val="24"/>
          <w:szCs w:val="24"/>
        </w:rPr>
        <w:t>two</w:t>
      </w:r>
      <w:r w:rsidR="0094229D" w:rsidRPr="00A05373">
        <w:rPr>
          <w:sz w:val="24"/>
          <w:szCs w:val="24"/>
        </w:rPr>
        <w:t xml:space="preserve"> </w:t>
      </w:r>
      <w:r w:rsidR="00FE0A9D">
        <w:rPr>
          <w:sz w:val="24"/>
          <w:szCs w:val="24"/>
        </w:rPr>
        <w:t xml:space="preserve">of them were </w:t>
      </w:r>
      <w:r w:rsidR="0094229D" w:rsidRPr="00A05373">
        <w:rPr>
          <w:sz w:val="24"/>
          <w:szCs w:val="24"/>
        </w:rPr>
        <w:t xml:space="preserve">on </w:t>
      </w:r>
      <w:r w:rsidR="00D73B37" w:rsidRPr="00A05373">
        <w:rPr>
          <w:sz w:val="24"/>
          <w:szCs w:val="24"/>
        </w:rPr>
        <w:t>CRS, indicat</w:t>
      </w:r>
      <w:r w:rsidR="00FE0A9D">
        <w:rPr>
          <w:sz w:val="24"/>
          <w:szCs w:val="24"/>
        </w:rPr>
        <w:t>ing</w:t>
      </w:r>
      <w:r w:rsidR="00D73B37" w:rsidRPr="00A05373">
        <w:rPr>
          <w:sz w:val="24"/>
          <w:szCs w:val="24"/>
        </w:rPr>
        <w:t xml:space="preserve"> </w:t>
      </w:r>
      <w:r>
        <w:rPr>
          <w:sz w:val="24"/>
          <w:szCs w:val="24"/>
        </w:rPr>
        <w:t>a</w:t>
      </w:r>
      <w:r w:rsidR="00861824" w:rsidRPr="00A05373">
        <w:rPr>
          <w:sz w:val="24"/>
          <w:szCs w:val="24"/>
        </w:rPr>
        <w:t xml:space="preserve"> </w:t>
      </w:r>
      <w:r w:rsidR="00D73B37" w:rsidRPr="00A05373">
        <w:rPr>
          <w:sz w:val="24"/>
          <w:szCs w:val="24"/>
        </w:rPr>
        <w:t xml:space="preserve">need </w:t>
      </w:r>
      <w:r>
        <w:rPr>
          <w:sz w:val="24"/>
          <w:szCs w:val="24"/>
        </w:rPr>
        <w:t>to</w:t>
      </w:r>
      <w:r w:rsidR="00D73B37" w:rsidRPr="00A05373">
        <w:rPr>
          <w:sz w:val="24"/>
          <w:szCs w:val="24"/>
        </w:rPr>
        <w:t xml:space="preserve"> downsi</w:t>
      </w:r>
      <w:r>
        <w:rPr>
          <w:sz w:val="24"/>
          <w:szCs w:val="24"/>
        </w:rPr>
        <w:t>ze</w:t>
      </w:r>
      <w:r w:rsidR="00D73B37" w:rsidRPr="00A05373">
        <w:rPr>
          <w:sz w:val="24"/>
          <w:szCs w:val="24"/>
        </w:rPr>
        <w:t xml:space="preserve"> these hospitals to improve technical efficiency</w:t>
      </w:r>
      <w:r w:rsidR="0094229D" w:rsidRPr="00A05373">
        <w:rPr>
          <w:sz w:val="24"/>
          <w:szCs w:val="24"/>
        </w:rPr>
        <w:t>.</w:t>
      </w:r>
      <w:r w:rsidR="007775CD">
        <w:rPr>
          <w:sz w:val="24"/>
          <w:szCs w:val="24"/>
        </w:rPr>
        <w:t xml:space="preserve"> </w:t>
      </w:r>
      <w:r w:rsidR="0094229D" w:rsidRPr="00A05373">
        <w:rPr>
          <w:sz w:val="24"/>
          <w:szCs w:val="24"/>
        </w:rPr>
        <w:t>Similarly, 45.5% of</w:t>
      </w:r>
      <w:r w:rsidR="007775CD">
        <w:rPr>
          <w:sz w:val="24"/>
          <w:szCs w:val="24"/>
        </w:rPr>
        <w:t xml:space="preserve"> </w:t>
      </w:r>
      <w:r w:rsidR="00FE0A9D">
        <w:rPr>
          <w:sz w:val="24"/>
          <w:szCs w:val="24"/>
        </w:rPr>
        <w:t>upp</w:t>
      </w:r>
      <w:r w:rsidR="0094229D" w:rsidRPr="00A05373">
        <w:rPr>
          <w:sz w:val="24"/>
          <w:szCs w:val="24"/>
        </w:rPr>
        <w:t>er-medium</w:t>
      </w:r>
      <w:r>
        <w:rPr>
          <w:sz w:val="24"/>
          <w:szCs w:val="24"/>
        </w:rPr>
        <w:t>-</w:t>
      </w:r>
      <w:r w:rsidR="0094229D" w:rsidRPr="00A05373">
        <w:rPr>
          <w:sz w:val="24"/>
          <w:szCs w:val="24"/>
        </w:rPr>
        <w:t>size</w:t>
      </w:r>
      <w:r>
        <w:rPr>
          <w:sz w:val="24"/>
          <w:szCs w:val="24"/>
        </w:rPr>
        <w:t>d</w:t>
      </w:r>
      <w:r w:rsidR="0094229D" w:rsidRPr="00A05373">
        <w:rPr>
          <w:sz w:val="24"/>
          <w:szCs w:val="24"/>
        </w:rPr>
        <w:t xml:space="preserve"> hospital</w:t>
      </w:r>
      <w:r>
        <w:rPr>
          <w:sz w:val="24"/>
          <w:szCs w:val="24"/>
        </w:rPr>
        <w:t>s</w:t>
      </w:r>
      <w:r w:rsidR="0094229D" w:rsidRPr="00A05373">
        <w:rPr>
          <w:sz w:val="24"/>
          <w:szCs w:val="24"/>
        </w:rPr>
        <w:t xml:space="preserve"> operate on DRS and one-third of this category </w:t>
      </w:r>
      <w:r w:rsidR="00732905">
        <w:rPr>
          <w:sz w:val="24"/>
          <w:szCs w:val="24"/>
        </w:rPr>
        <w:t>is</w:t>
      </w:r>
      <w:r w:rsidR="00861824" w:rsidRPr="00A05373">
        <w:rPr>
          <w:sz w:val="24"/>
          <w:szCs w:val="24"/>
        </w:rPr>
        <w:t xml:space="preserve"> operating</w:t>
      </w:r>
      <w:r w:rsidR="0094229D" w:rsidRPr="00A05373">
        <w:rPr>
          <w:sz w:val="24"/>
          <w:szCs w:val="24"/>
        </w:rPr>
        <w:t xml:space="preserve"> </w:t>
      </w:r>
      <w:r w:rsidR="00732905">
        <w:rPr>
          <w:sz w:val="24"/>
          <w:szCs w:val="24"/>
        </w:rPr>
        <w:t xml:space="preserve">on </w:t>
      </w:r>
      <w:r w:rsidR="00861824" w:rsidRPr="00A05373">
        <w:rPr>
          <w:sz w:val="24"/>
          <w:szCs w:val="24"/>
        </w:rPr>
        <w:t>CRS</w:t>
      </w:r>
      <w:r w:rsidR="0094229D" w:rsidRPr="00A05373">
        <w:rPr>
          <w:sz w:val="24"/>
          <w:szCs w:val="24"/>
        </w:rPr>
        <w:t>.</w:t>
      </w:r>
    </w:p>
    <w:bookmarkEnd w:id="27"/>
    <w:p w14:paraId="1E3FB952" w14:textId="4F53EDC5" w:rsidR="008077D2" w:rsidRDefault="005548AD" w:rsidP="008F1189">
      <w:pPr>
        <w:spacing w:line="360" w:lineRule="auto"/>
        <w:jc w:val="both"/>
        <w:rPr>
          <w:sz w:val="24"/>
          <w:szCs w:val="24"/>
        </w:rPr>
      </w:pPr>
      <w:r w:rsidRPr="00A05373">
        <w:rPr>
          <w:sz w:val="24"/>
          <w:szCs w:val="24"/>
        </w:rPr>
        <w:lastRenderedPageBreak/>
        <w:t>T</w:t>
      </w:r>
      <w:r w:rsidR="0025740A">
        <w:rPr>
          <w:sz w:val="24"/>
          <w:szCs w:val="24"/>
        </w:rPr>
        <w:t>able 4 shows t</w:t>
      </w:r>
      <w:r w:rsidR="003255F4">
        <w:rPr>
          <w:sz w:val="24"/>
          <w:szCs w:val="24"/>
        </w:rPr>
        <w:t>he</w:t>
      </w:r>
      <w:r w:rsidRPr="00A05373">
        <w:rPr>
          <w:sz w:val="24"/>
          <w:szCs w:val="24"/>
        </w:rPr>
        <w:t xml:space="preserve"> </w:t>
      </w:r>
      <w:r w:rsidR="00C03159">
        <w:rPr>
          <w:sz w:val="24"/>
          <w:szCs w:val="24"/>
        </w:rPr>
        <w:t xml:space="preserve">average </w:t>
      </w:r>
      <w:r w:rsidR="009E610F" w:rsidRPr="00A05373">
        <w:rPr>
          <w:sz w:val="24"/>
          <w:szCs w:val="24"/>
        </w:rPr>
        <w:t>efficiency scor</w:t>
      </w:r>
      <w:r w:rsidR="00C70E33">
        <w:rPr>
          <w:sz w:val="24"/>
          <w:szCs w:val="24"/>
        </w:rPr>
        <w:t>es</w:t>
      </w:r>
      <w:r w:rsidR="0025740A">
        <w:rPr>
          <w:sz w:val="24"/>
          <w:szCs w:val="24"/>
        </w:rPr>
        <w:t xml:space="preserve"> </w:t>
      </w:r>
      <w:r w:rsidR="00C03159">
        <w:rPr>
          <w:sz w:val="24"/>
          <w:szCs w:val="24"/>
        </w:rPr>
        <w:t>in five</w:t>
      </w:r>
      <w:r w:rsidR="0025740A">
        <w:rPr>
          <w:sz w:val="24"/>
          <w:szCs w:val="24"/>
        </w:rPr>
        <w:t xml:space="preserve"> geographical </w:t>
      </w:r>
      <w:r w:rsidR="00C03159">
        <w:rPr>
          <w:sz w:val="24"/>
          <w:szCs w:val="24"/>
        </w:rPr>
        <w:t>regions</w:t>
      </w:r>
      <w:r w:rsidR="00A03DA4">
        <w:rPr>
          <w:sz w:val="24"/>
          <w:szCs w:val="24"/>
        </w:rPr>
        <w:t xml:space="preserve">; </w:t>
      </w:r>
      <w:r w:rsidR="00C03159">
        <w:rPr>
          <w:sz w:val="24"/>
          <w:szCs w:val="24"/>
        </w:rPr>
        <w:t>however</w:t>
      </w:r>
      <w:r w:rsidR="00584E5A">
        <w:rPr>
          <w:sz w:val="24"/>
          <w:szCs w:val="24"/>
        </w:rPr>
        <w:t>,</w:t>
      </w:r>
      <w:r w:rsidR="00C03159">
        <w:rPr>
          <w:sz w:val="24"/>
          <w:szCs w:val="24"/>
        </w:rPr>
        <w:t xml:space="preserve"> based on the analysis </w:t>
      </w:r>
      <w:r w:rsidR="00C70E33">
        <w:rPr>
          <w:sz w:val="24"/>
          <w:szCs w:val="24"/>
        </w:rPr>
        <w:t xml:space="preserve">of </w:t>
      </w:r>
      <w:r w:rsidR="00C03159">
        <w:rPr>
          <w:sz w:val="24"/>
          <w:szCs w:val="24"/>
        </w:rPr>
        <w:t xml:space="preserve">all </w:t>
      </w:r>
      <w:r w:rsidR="00C70E33">
        <w:rPr>
          <w:sz w:val="24"/>
          <w:szCs w:val="24"/>
        </w:rPr>
        <w:t>91 hospitals</w:t>
      </w:r>
      <w:r w:rsidR="00C03159">
        <w:rPr>
          <w:sz w:val="24"/>
          <w:szCs w:val="24"/>
        </w:rPr>
        <w:t xml:space="preserve"> together</w:t>
      </w:r>
      <w:r w:rsidRPr="003F2005">
        <w:rPr>
          <w:sz w:val="24"/>
          <w:szCs w:val="24"/>
        </w:rPr>
        <w:t>.</w:t>
      </w:r>
      <w:r w:rsidR="00C03159" w:rsidRPr="003F2005">
        <w:rPr>
          <w:sz w:val="24"/>
          <w:szCs w:val="24"/>
        </w:rPr>
        <w:t xml:space="preserve"> </w:t>
      </w:r>
      <w:r w:rsidR="00F6795B">
        <w:rPr>
          <w:sz w:val="24"/>
          <w:szCs w:val="24"/>
        </w:rPr>
        <w:t xml:space="preserve">Hospitals in the central </w:t>
      </w:r>
      <w:r w:rsidR="00C03031" w:rsidRPr="00A05373">
        <w:rPr>
          <w:sz w:val="24"/>
          <w:szCs w:val="24"/>
        </w:rPr>
        <w:t xml:space="preserve">region reported </w:t>
      </w:r>
      <w:r w:rsidR="00051436" w:rsidRPr="00A05373">
        <w:rPr>
          <w:sz w:val="24"/>
          <w:szCs w:val="24"/>
        </w:rPr>
        <w:t xml:space="preserve">the </w:t>
      </w:r>
      <w:r w:rsidR="00C03031" w:rsidRPr="00A05373">
        <w:rPr>
          <w:sz w:val="24"/>
          <w:szCs w:val="24"/>
        </w:rPr>
        <w:t>highest average</w:t>
      </w:r>
      <w:r w:rsidR="00242A6E" w:rsidRPr="00A05373">
        <w:rPr>
          <w:sz w:val="24"/>
          <w:szCs w:val="24"/>
        </w:rPr>
        <w:t xml:space="preserve"> </w:t>
      </w:r>
      <w:r w:rsidR="00C03031" w:rsidRPr="00A05373">
        <w:rPr>
          <w:sz w:val="24"/>
          <w:szCs w:val="24"/>
        </w:rPr>
        <w:t>technical</w:t>
      </w:r>
      <w:r w:rsidR="003255F4">
        <w:rPr>
          <w:sz w:val="24"/>
          <w:szCs w:val="24"/>
        </w:rPr>
        <w:t xml:space="preserve"> </w:t>
      </w:r>
      <w:r w:rsidR="00C03031" w:rsidRPr="00A05373">
        <w:rPr>
          <w:sz w:val="24"/>
          <w:szCs w:val="24"/>
        </w:rPr>
        <w:t>efficiency score</w:t>
      </w:r>
      <w:r w:rsidR="00242A6E" w:rsidRPr="00A05373">
        <w:rPr>
          <w:sz w:val="24"/>
          <w:szCs w:val="24"/>
        </w:rPr>
        <w:t xml:space="preserve"> of 0.83</w:t>
      </w:r>
      <w:r w:rsidR="00024AE2" w:rsidRPr="00A05373">
        <w:rPr>
          <w:sz w:val="24"/>
          <w:szCs w:val="24"/>
        </w:rPr>
        <w:t xml:space="preserve"> </w:t>
      </w:r>
      <w:bookmarkStart w:id="28" w:name="_Hlk2009740"/>
      <w:r w:rsidR="00024AE2" w:rsidRPr="00A05373">
        <w:rPr>
          <w:sz w:val="24"/>
          <w:szCs w:val="24"/>
        </w:rPr>
        <w:t>(SD 0.18</w:t>
      </w:r>
      <w:r w:rsidR="00242A6E" w:rsidRPr="00A05373">
        <w:rPr>
          <w:sz w:val="24"/>
          <w:szCs w:val="24"/>
        </w:rPr>
        <w:t>)</w:t>
      </w:r>
      <w:bookmarkEnd w:id="28"/>
      <w:r w:rsidR="00024AE2" w:rsidRPr="00A05373">
        <w:rPr>
          <w:sz w:val="24"/>
          <w:szCs w:val="24"/>
        </w:rPr>
        <w:t>,</w:t>
      </w:r>
      <w:r w:rsidR="00242A6E" w:rsidRPr="00A05373">
        <w:rPr>
          <w:sz w:val="24"/>
          <w:szCs w:val="24"/>
        </w:rPr>
        <w:t xml:space="preserve"> followed by </w:t>
      </w:r>
      <w:r w:rsidR="00F6795B">
        <w:rPr>
          <w:sz w:val="24"/>
          <w:szCs w:val="24"/>
        </w:rPr>
        <w:t>eastern hospitals</w:t>
      </w:r>
      <w:r w:rsidR="00242A6E" w:rsidRPr="00A05373">
        <w:rPr>
          <w:sz w:val="24"/>
          <w:szCs w:val="24"/>
        </w:rPr>
        <w:t xml:space="preserve"> with</w:t>
      </w:r>
      <w:r w:rsidRPr="00A05373">
        <w:rPr>
          <w:sz w:val="24"/>
          <w:szCs w:val="24"/>
        </w:rPr>
        <w:t xml:space="preserve"> an average </w:t>
      </w:r>
      <w:r>
        <w:rPr>
          <w:sz w:val="24"/>
          <w:szCs w:val="24"/>
        </w:rPr>
        <w:t xml:space="preserve">score </w:t>
      </w:r>
      <w:r w:rsidRPr="00A05373">
        <w:rPr>
          <w:sz w:val="24"/>
          <w:szCs w:val="24"/>
        </w:rPr>
        <w:t>of</w:t>
      </w:r>
      <w:r w:rsidR="00242A6E" w:rsidRPr="00A05373">
        <w:rPr>
          <w:sz w:val="24"/>
          <w:szCs w:val="24"/>
        </w:rPr>
        <w:t xml:space="preserve"> </w:t>
      </w:r>
      <w:r>
        <w:rPr>
          <w:sz w:val="24"/>
          <w:szCs w:val="24"/>
        </w:rPr>
        <w:t>0.</w:t>
      </w:r>
      <w:r w:rsidR="00242A6E" w:rsidRPr="00A05373">
        <w:rPr>
          <w:sz w:val="24"/>
          <w:szCs w:val="24"/>
        </w:rPr>
        <w:t>80</w:t>
      </w:r>
      <w:r w:rsidR="00024AE2" w:rsidRPr="00A05373">
        <w:rPr>
          <w:sz w:val="24"/>
          <w:szCs w:val="24"/>
        </w:rPr>
        <w:t xml:space="preserve"> (SD 0.28)</w:t>
      </w:r>
      <w:r>
        <w:rPr>
          <w:sz w:val="24"/>
          <w:szCs w:val="24"/>
        </w:rPr>
        <w:t xml:space="preserve">. </w:t>
      </w:r>
      <w:r w:rsidR="00F6795B">
        <w:rPr>
          <w:sz w:val="24"/>
          <w:szCs w:val="24"/>
        </w:rPr>
        <w:t>Hospitals in western KSA</w:t>
      </w:r>
      <w:r w:rsidR="00242A6E" w:rsidRPr="00A05373">
        <w:rPr>
          <w:sz w:val="24"/>
          <w:szCs w:val="24"/>
        </w:rPr>
        <w:t xml:space="preserve"> </w:t>
      </w:r>
      <w:r w:rsidR="00EF68FB" w:rsidRPr="00A05373">
        <w:rPr>
          <w:sz w:val="24"/>
          <w:szCs w:val="24"/>
        </w:rPr>
        <w:t>reported</w:t>
      </w:r>
      <w:r w:rsidR="00242A6E" w:rsidRPr="00A05373">
        <w:rPr>
          <w:sz w:val="24"/>
          <w:szCs w:val="24"/>
        </w:rPr>
        <w:t xml:space="preserve"> the least average score</w:t>
      </w:r>
      <w:r w:rsidR="00F6795B">
        <w:rPr>
          <w:sz w:val="24"/>
          <w:szCs w:val="24"/>
        </w:rPr>
        <w:t>,</w:t>
      </w:r>
      <w:r w:rsidR="00242A6E" w:rsidRPr="00A05373">
        <w:rPr>
          <w:sz w:val="24"/>
          <w:szCs w:val="24"/>
        </w:rPr>
        <w:t xml:space="preserve"> 0.68</w:t>
      </w:r>
      <w:r w:rsidR="00024AE2" w:rsidRPr="00A05373">
        <w:rPr>
          <w:sz w:val="24"/>
          <w:szCs w:val="24"/>
        </w:rPr>
        <w:t xml:space="preserve"> (SD 0.20</w:t>
      </w:r>
      <w:r w:rsidR="00242A6E" w:rsidRPr="00A05373">
        <w:rPr>
          <w:sz w:val="24"/>
          <w:szCs w:val="24"/>
        </w:rPr>
        <w:t xml:space="preserve">). </w:t>
      </w:r>
    </w:p>
    <w:p w14:paraId="0BF3B832" w14:textId="2CF1C17B" w:rsidR="006409FC" w:rsidRPr="006409FC" w:rsidRDefault="006409FC" w:rsidP="008F1189">
      <w:pPr>
        <w:pStyle w:val="Caption"/>
        <w:keepNext/>
        <w:jc w:val="both"/>
        <w:rPr>
          <w:i w:val="0"/>
          <w:color w:val="auto"/>
          <w:sz w:val="20"/>
          <w:szCs w:val="20"/>
        </w:rPr>
      </w:pPr>
      <w:r w:rsidRPr="006409FC">
        <w:rPr>
          <w:b/>
          <w:i w:val="0"/>
          <w:color w:val="auto"/>
          <w:sz w:val="20"/>
          <w:szCs w:val="20"/>
        </w:rPr>
        <w:t xml:space="preserve">Table </w:t>
      </w:r>
      <w:r w:rsidRPr="006409FC">
        <w:rPr>
          <w:b/>
          <w:i w:val="0"/>
          <w:noProof/>
          <w:color w:val="auto"/>
          <w:sz w:val="20"/>
          <w:szCs w:val="20"/>
        </w:rPr>
        <w:fldChar w:fldCharType="begin"/>
      </w:r>
      <w:r w:rsidRPr="006409FC">
        <w:rPr>
          <w:b/>
          <w:i w:val="0"/>
          <w:noProof/>
          <w:color w:val="auto"/>
          <w:sz w:val="20"/>
          <w:szCs w:val="20"/>
        </w:rPr>
        <w:instrText xml:space="preserve"> SEQ Table \* ARABIC </w:instrText>
      </w:r>
      <w:r w:rsidRPr="006409FC">
        <w:rPr>
          <w:b/>
          <w:i w:val="0"/>
          <w:noProof/>
          <w:color w:val="auto"/>
          <w:sz w:val="20"/>
          <w:szCs w:val="20"/>
        </w:rPr>
        <w:fldChar w:fldCharType="separate"/>
      </w:r>
      <w:r w:rsidRPr="006409FC">
        <w:rPr>
          <w:b/>
          <w:i w:val="0"/>
          <w:noProof/>
          <w:color w:val="auto"/>
          <w:sz w:val="20"/>
          <w:szCs w:val="20"/>
        </w:rPr>
        <w:t>4</w:t>
      </w:r>
      <w:r w:rsidRPr="006409FC">
        <w:rPr>
          <w:b/>
          <w:i w:val="0"/>
          <w:noProof/>
          <w:color w:val="auto"/>
          <w:sz w:val="20"/>
          <w:szCs w:val="20"/>
        </w:rPr>
        <w:fldChar w:fldCharType="end"/>
      </w:r>
      <w:r w:rsidRPr="006409FC">
        <w:rPr>
          <w:i w:val="0"/>
          <w:noProof/>
          <w:color w:val="auto"/>
          <w:sz w:val="20"/>
          <w:szCs w:val="20"/>
        </w:rPr>
        <w:t xml:space="preserve"> </w:t>
      </w:r>
      <w:r w:rsidR="00C70E33" w:rsidRPr="00C70E33">
        <w:rPr>
          <w:i w:val="0"/>
          <w:noProof/>
          <w:color w:val="auto"/>
          <w:sz w:val="20"/>
          <w:szCs w:val="20"/>
        </w:rPr>
        <w:t>Technical efficiency scores and returns to the scale of the hospitals categorized by location</w:t>
      </w:r>
    </w:p>
    <w:tbl>
      <w:tblPr>
        <w:tblStyle w:val="TableGrid"/>
        <w:tblW w:w="0" w:type="auto"/>
        <w:tblLook w:val="04A0" w:firstRow="1" w:lastRow="0" w:firstColumn="1" w:lastColumn="0" w:noHBand="0" w:noVBand="1"/>
      </w:tblPr>
      <w:tblGrid>
        <w:gridCol w:w="1413"/>
        <w:gridCol w:w="1281"/>
        <w:gridCol w:w="1270"/>
        <w:gridCol w:w="1136"/>
        <w:gridCol w:w="993"/>
        <w:gridCol w:w="1011"/>
        <w:gridCol w:w="850"/>
      </w:tblGrid>
      <w:tr w:rsidR="006409FC" w14:paraId="3F70C653" w14:textId="77777777" w:rsidTr="00D84107">
        <w:trPr>
          <w:trHeight w:val="300"/>
        </w:trPr>
        <w:tc>
          <w:tcPr>
            <w:tcW w:w="1413" w:type="dxa"/>
            <w:tcBorders>
              <w:left w:val="nil"/>
            </w:tcBorders>
            <w:noWrap/>
          </w:tcPr>
          <w:p w14:paraId="1FEE10FC" w14:textId="77777777" w:rsidR="006409FC" w:rsidRPr="009E610F" w:rsidRDefault="006409FC" w:rsidP="008F1189">
            <w:pPr>
              <w:spacing w:line="276" w:lineRule="auto"/>
              <w:jc w:val="both"/>
              <w:rPr>
                <w:b/>
                <w:bCs/>
                <w:sz w:val="20"/>
                <w:szCs w:val="20"/>
              </w:rPr>
            </w:pPr>
            <w:r w:rsidRPr="009E610F">
              <w:rPr>
                <w:b/>
                <w:bCs/>
                <w:sz w:val="20"/>
                <w:szCs w:val="20"/>
              </w:rPr>
              <w:t> </w:t>
            </w:r>
          </w:p>
        </w:tc>
        <w:tc>
          <w:tcPr>
            <w:tcW w:w="1281" w:type="dxa"/>
            <w:noWrap/>
          </w:tcPr>
          <w:p w14:paraId="0B0E5D94" w14:textId="28580E71" w:rsidR="006409FC" w:rsidRPr="009E610F" w:rsidRDefault="00073C5C" w:rsidP="008F1189">
            <w:pPr>
              <w:spacing w:line="276" w:lineRule="auto"/>
              <w:jc w:val="both"/>
              <w:rPr>
                <w:b/>
                <w:bCs/>
                <w:sz w:val="20"/>
                <w:szCs w:val="20"/>
              </w:rPr>
            </w:pPr>
            <w:r w:rsidRPr="00073C5C">
              <w:rPr>
                <w:b/>
                <w:bCs/>
                <w:sz w:val="20"/>
                <w:szCs w:val="20"/>
              </w:rPr>
              <w:t xml:space="preserve">CRS technical efficiency </w:t>
            </w:r>
          </w:p>
        </w:tc>
        <w:tc>
          <w:tcPr>
            <w:tcW w:w="1270" w:type="dxa"/>
            <w:noWrap/>
          </w:tcPr>
          <w:p w14:paraId="4128BBED" w14:textId="7E1BF12F" w:rsidR="006409FC" w:rsidRPr="009E610F" w:rsidRDefault="00073C5C" w:rsidP="008F1189">
            <w:pPr>
              <w:spacing w:line="276" w:lineRule="auto"/>
              <w:jc w:val="both"/>
              <w:rPr>
                <w:b/>
                <w:bCs/>
                <w:sz w:val="20"/>
                <w:szCs w:val="20"/>
              </w:rPr>
            </w:pPr>
            <w:r>
              <w:rPr>
                <w:b/>
                <w:bCs/>
                <w:sz w:val="20"/>
                <w:szCs w:val="20"/>
              </w:rPr>
              <w:t>V</w:t>
            </w:r>
            <w:r w:rsidRPr="00073C5C">
              <w:rPr>
                <w:b/>
                <w:bCs/>
                <w:sz w:val="20"/>
                <w:szCs w:val="20"/>
              </w:rPr>
              <w:t xml:space="preserve">RS technical efficiency </w:t>
            </w:r>
          </w:p>
        </w:tc>
        <w:tc>
          <w:tcPr>
            <w:tcW w:w="1136" w:type="dxa"/>
            <w:noWrap/>
          </w:tcPr>
          <w:p w14:paraId="52BE3FAC" w14:textId="77777777" w:rsidR="006409FC" w:rsidRPr="009E610F" w:rsidRDefault="006409FC" w:rsidP="008F1189">
            <w:pPr>
              <w:spacing w:line="276" w:lineRule="auto"/>
              <w:jc w:val="both"/>
              <w:rPr>
                <w:b/>
                <w:bCs/>
                <w:sz w:val="20"/>
                <w:szCs w:val="20"/>
              </w:rPr>
            </w:pPr>
            <w:r w:rsidRPr="009E610F">
              <w:rPr>
                <w:b/>
                <w:bCs/>
                <w:sz w:val="20"/>
                <w:szCs w:val="20"/>
              </w:rPr>
              <w:t>Scale efficiency</w:t>
            </w:r>
          </w:p>
        </w:tc>
        <w:tc>
          <w:tcPr>
            <w:tcW w:w="993" w:type="dxa"/>
            <w:noWrap/>
          </w:tcPr>
          <w:p w14:paraId="679D9BBF" w14:textId="77777777" w:rsidR="006409FC" w:rsidRPr="009E610F" w:rsidRDefault="006409FC" w:rsidP="008F1189">
            <w:pPr>
              <w:spacing w:line="276" w:lineRule="auto"/>
              <w:jc w:val="both"/>
              <w:rPr>
                <w:b/>
                <w:bCs/>
                <w:sz w:val="20"/>
                <w:szCs w:val="20"/>
              </w:rPr>
            </w:pPr>
            <w:r w:rsidRPr="009E610F">
              <w:rPr>
                <w:b/>
                <w:bCs/>
                <w:sz w:val="20"/>
                <w:szCs w:val="20"/>
              </w:rPr>
              <w:t>CRS [N</w:t>
            </w:r>
            <w:r>
              <w:rPr>
                <w:b/>
                <w:bCs/>
                <w:sz w:val="20"/>
                <w:szCs w:val="20"/>
              </w:rPr>
              <w:t xml:space="preserve"> </w:t>
            </w:r>
            <w:r w:rsidRPr="009E610F">
              <w:rPr>
                <w:b/>
                <w:bCs/>
                <w:sz w:val="20"/>
                <w:szCs w:val="20"/>
              </w:rPr>
              <w:t>(%)]</w:t>
            </w:r>
          </w:p>
        </w:tc>
        <w:tc>
          <w:tcPr>
            <w:tcW w:w="1011" w:type="dxa"/>
            <w:noWrap/>
          </w:tcPr>
          <w:p w14:paraId="246CEEAA" w14:textId="77777777" w:rsidR="006409FC" w:rsidRPr="009E610F" w:rsidRDefault="006409FC" w:rsidP="008F1189">
            <w:pPr>
              <w:spacing w:line="276" w:lineRule="auto"/>
              <w:jc w:val="both"/>
              <w:rPr>
                <w:b/>
                <w:bCs/>
                <w:sz w:val="20"/>
                <w:szCs w:val="20"/>
              </w:rPr>
            </w:pPr>
            <w:r w:rsidRPr="009E610F">
              <w:rPr>
                <w:b/>
                <w:bCs/>
                <w:sz w:val="20"/>
                <w:szCs w:val="20"/>
              </w:rPr>
              <w:t>IRS [N</w:t>
            </w:r>
            <w:r>
              <w:rPr>
                <w:b/>
                <w:bCs/>
                <w:sz w:val="20"/>
                <w:szCs w:val="20"/>
              </w:rPr>
              <w:t xml:space="preserve"> </w:t>
            </w:r>
            <w:r w:rsidRPr="009E610F">
              <w:rPr>
                <w:b/>
                <w:bCs/>
                <w:sz w:val="20"/>
                <w:szCs w:val="20"/>
              </w:rPr>
              <w:t>(%)]</w:t>
            </w:r>
          </w:p>
        </w:tc>
        <w:tc>
          <w:tcPr>
            <w:tcW w:w="850" w:type="dxa"/>
            <w:tcBorders>
              <w:right w:val="nil"/>
            </w:tcBorders>
            <w:noWrap/>
          </w:tcPr>
          <w:p w14:paraId="020CC867" w14:textId="77777777" w:rsidR="006409FC" w:rsidRPr="009E610F" w:rsidRDefault="006409FC" w:rsidP="008F1189">
            <w:pPr>
              <w:spacing w:line="276" w:lineRule="auto"/>
              <w:jc w:val="both"/>
              <w:rPr>
                <w:b/>
                <w:bCs/>
                <w:sz w:val="20"/>
                <w:szCs w:val="20"/>
              </w:rPr>
            </w:pPr>
            <w:r w:rsidRPr="009E610F">
              <w:rPr>
                <w:b/>
                <w:bCs/>
                <w:sz w:val="20"/>
                <w:szCs w:val="20"/>
              </w:rPr>
              <w:t>DRS [N</w:t>
            </w:r>
            <w:r>
              <w:rPr>
                <w:b/>
                <w:bCs/>
                <w:sz w:val="20"/>
                <w:szCs w:val="20"/>
              </w:rPr>
              <w:t xml:space="preserve"> </w:t>
            </w:r>
            <w:r w:rsidRPr="009E610F">
              <w:rPr>
                <w:b/>
                <w:bCs/>
                <w:sz w:val="20"/>
                <w:szCs w:val="20"/>
              </w:rPr>
              <w:t>(%)]</w:t>
            </w:r>
          </w:p>
        </w:tc>
      </w:tr>
      <w:tr w:rsidR="006409FC" w14:paraId="7E42C758" w14:textId="77777777" w:rsidTr="00A05941">
        <w:trPr>
          <w:trHeight w:val="300"/>
        </w:trPr>
        <w:tc>
          <w:tcPr>
            <w:tcW w:w="7954" w:type="dxa"/>
            <w:gridSpan w:val="7"/>
            <w:tcBorders>
              <w:left w:val="nil"/>
              <w:right w:val="nil"/>
            </w:tcBorders>
            <w:noWrap/>
            <w:hideMark/>
          </w:tcPr>
          <w:p w14:paraId="64752CC1" w14:textId="77777777" w:rsidR="006409FC" w:rsidRPr="009E610F" w:rsidRDefault="006409FC" w:rsidP="008F1189">
            <w:pPr>
              <w:spacing w:line="276" w:lineRule="auto"/>
              <w:jc w:val="both"/>
              <w:rPr>
                <w:rFonts w:ascii="Calibri" w:hAnsi="Calibri"/>
                <w:b/>
                <w:bCs/>
                <w:sz w:val="20"/>
                <w:szCs w:val="20"/>
              </w:rPr>
            </w:pPr>
            <w:r w:rsidRPr="009E610F">
              <w:rPr>
                <w:rFonts w:ascii="Calibri" w:hAnsi="Calibri"/>
                <w:b/>
                <w:bCs/>
                <w:sz w:val="20"/>
                <w:szCs w:val="20"/>
              </w:rPr>
              <w:t>South</w:t>
            </w:r>
            <w:r>
              <w:rPr>
                <w:rFonts w:ascii="Calibri" w:hAnsi="Calibri"/>
                <w:b/>
                <w:bCs/>
                <w:sz w:val="20"/>
                <w:szCs w:val="20"/>
              </w:rPr>
              <w:t xml:space="preserve"> region hospitals </w:t>
            </w:r>
            <w:r w:rsidRPr="009E610F">
              <w:rPr>
                <w:rFonts w:ascii="Calibri" w:hAnsi="Calibri"/>
                <w:b/>
                <w:bCs/>
                <w:sz w:val="20"/>
                <w:szCs w:val="20"/>
              </w:rPr>
              <w:t>(n= 22)</w:t>
            </w:r>
            <w:r w:rsidRPr="009E610F">
              <w:rPr>
                <w:rFonts w:ascii="Calibri" w:hAnsi="Calibri"/>
                <w:sz w:val="20"/>
                <w:szCs w:val="20"/>
              </w:rPr>
              <w:t> </w:t>
            </w:r>
          </w:p>
        </w:tc>
      </w:tr>
      <w:tr w:rsidR="006409FC" w14:paraId="70246AAC" w14:textId="77777777" w:rsidTr="00D84107">
        <w:trPr>
          <w:trHeight w:val="300"/>
        </w:trPr>
        <w:tc>
          <w:tcPr>
            <w:tcW w:w="1413" w:type="dxa"/>
            <w:tcBorders>
              <w:left w:val="nil"/>
            </w:tcBorders>
            <w:noWrap/>
            <w:hideMark/>
          </w:tcPr>
          <w:p w14:paraId="62E6760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Mean</w:t>
            </w:r>
          </w:p>
        </w:tc>
        <w:tc>
          <w:tcPr>
            <w:tcW w:w="1281" w:type="dxa"/>
            <w:noWrap/>
            <w:hideMark/>
          </w:tcPr>
          <w:p w14:paraId="3E49C1BB"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0.75</w:t>
            </w:r>
          </w:p>
        </w:tc>
        <w:tc>
          <w:tcPr>
            <w:tcW w:w="1270" w:type="dxa"/>
            <w:noWrap/>
            <w:hideMark/>
          </w:tcPr>
          <w:p w14:paraId="2E99F3B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0.89</w:t>
            </w:r>
          </w:p>
        </w:tc>
        <w:tc>
          <w:tcPr>
            <w:tcW w:w="1136" w:type="dxa"/>
            <w:noWrap/>
            <w:hideMark/>
          </w:tcPr>
          <w:p w14:paraId="6327394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0.83</w:t>
            </w:r>
          </w:p>
        </w:tc>
        <w:tc>
          <w:tcPr>
            <w:tcW w:w="993" w:type="dxa"/>
            <w:vMerge w:val="restart"/>
            <w:noWrap/>
            <w:hideMark/>
          </w:tcPr>
          <w:p w14:paraId="72CC259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9 (40.9)</w:t>
            </w:r>
          </w:p>
          <w:p w14:paraId="1CC9F2E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0A798AC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73CDA07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1011" w:type="dxa"/>
            <w:vMerge w:val="restart"/>
            <w:noWrap/>
            <w:hideMark/>
          </w:tcPr>
          <w:p w14:paraId="32932EC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9 (40.9)</w:t>
            </w:r>
          </w:p>
          <w:p w14:paraId="5376983B"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07BAE6A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282F58A1"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850" w:type="dxa"/>
            <w:vMerge w:val="restart"/>
            <w:tcBorders>
              <w:right w:val="nil"/>
            </w:tcBorders>
            <w:noWrap/>
            <w:hideMark/>
          </w:tcPr>
          <w:p w14:paraId="3B67E8AA"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4 (18.2)</w:t>
            </w:r>
          </w:p>
          <w:p w14:paraId="1C5582D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178A78E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364E2D1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r>
      <w:tr w:rsidR="006409FC" w14:paraId="048688EC" w14:textId="77777777" w:rsidTr="00D84107">
        <w:trPr>
          <w:trHeight w:val="300"/>
        </w:trPr>
        <w:tc>
          <w:tcPr>
            <w:tcW w:w="1413" w:type="dxa"/>
            <w:tcBorders>
              <w:left w:val="nil"/>
            </w:tcBorders>
            <w:noWrap/>
            <w:hideMark/>
          </w:tcPr>
          <w:p w14:paraId="401D45D7" w14:textId="77777777" w:rsidR="006409FC" w:rsidRPr="009E610F" w:rsidRDefault="006409FC" w:rsidP="008F1189">
            <w:pPr>
              <w:spacing w:line="276" w:lineRule="auto"/>
              <w:jc w:val="both"/>
              <w:rPr>
                <w:rFonts w:ascii="Calibri" w:hAnsi="Calibri"/>
                <w:sz w:val="20"/>
                <w:szCs w:val="20"/>
              </w:rPr>
            </w:pPr>
            <w:r w:rsidRPr="00942A47">
              <w:rPr>
                <w:rFonts w:ascii="Calibri" w:hAnsi="Calibri"/>
                <w:sz w:val="20"/>
                <w:szCs w:val="20"/>
              </w:rPr>
              <w:t>Std. Dev.</w:t>
            </w:r>
          </w:p>
        </w:tc>
        <w:tc>
          <w:tcPr>
            <w:tcW w:w="1281" w:type="dxa"/>
            <w:noWrap/>
            <w:hideMark/>
          </w:tcPr>
          <w:p w14:paraId="3E0D1E9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0.25</w:t>
            </w:r>
          </w:p>
        </w:tc>
        <w:tc>
          <w:tcPr>
            <w:tcW w:w="1270" w:type="dxa"/>
            <w:noWrap/>
            <w:hideMark/>
          </w:tcPr>
          <w:p w14:paraId="185BB71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0.18</w:t>
            </w:r>
          </w:p>
        </w:tc>
        <w:tc>
          <w:tcPr>
            <w:tcW w:w="1136" w:type="dxa"/>
            <w:noWrap/>
            <w:hideMark/>
          </w:tcPr>
          <w:p w14:paraId="118BA93A"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0.23</w:t>
            </w:r>
          </w:p>
        </w:tc>
        <w:tc>
          <w:tcPr>
            <w:tcW w:w="993" w:type="dxa"/>
            <w:vMerge/>
            <w:noWrap/>
            <w:hideMark/>
          </w:tcPr>
          <w:p w14:paraId="35E7CE91"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18EC68DE"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407FDE78" w14:textId="77777777" w:rsidR="006409FC" w:rsidRPr="009E610F" w:rsidRDefault="006409FC" w:rsidP="008F1189">
            <w:pPr>
              <w:spacing w:line="276" w:lineRule="auto"/>
              <w:jc w:val="both"/>
              <w:rPr>
                <w:rFonts w:ascii="Calibri" w:hAnsi="Calibri"/>
                <w:sz w:val="20"/>
                <w:szCs w:val="20"/>
              </w:rPr>
            </w:pPr>
          </w:p>
        </w:tc>
      </w:tr>
      <w:tr w:rsidR="006409FC" w14:paraId="3AACA0D8" w14:textId="77777777" w:rsidTr="00D84107">
        <w:trPr>
          <w:trHeight w:val="300"/>
        </w:trPr>
        <w:tc>
          <w:tcPr>
            <w:tcW w:w="1413" w:type="dxa"/>
            <w:tcBorders>
              <w:left w:val="nil"/>
            </w:tcBorders>
            <w:noWrap/>
            <w:hideMark/>
          </w:tcPr>
          <w:p w14:paraId="383F8BB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Min</w:t>
            </w:r>
          </w:p>
        </w:tc>
        <w:tc>
          <w:tcPr>
            <w:tcW w:w="1281" w:type="dxa"/>
            <w:noWrap/>
            <w:hideMark/>
          </w:tcPr>
          <w:p w14:paraId="78DFDE5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0.11</w:t>
            </w:r>
          </w:p>
        </w:tc>
        <w:tc>
          <w:tcPr>
            <w:tcW w:w="1270" w:type="dxa"/>
            <w:noWrap/>
            <w:hideMark/>
          </w:tcPr>
          <w:p w14:paraId="3F61C144"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0.41</w:t>
            </w:r>
          </w:p>
        </w:tc>
        <w:tc>
          <w:tcPr>
            <w:tcW w:w="1136" w:type="dxa"/>
            <w:noWrap/>
            <w:hideMark/>
          </w:tcPr>
          <w:p w14:paraId="24402BBD"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0.22</w:t>
            </w:r>
          </w:p>
        </w:tc>
        <w:tc>
          <w:tcPr>
            <w:tcW w:w="993" w:type="dxa"/>
            <w:vMerge/>
            <w:noWrap/>
            <w:hideMark/>
          </w:tcPr>
          <w:p w14:paraId="4CDAC9ED"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008161E4"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7E9524AB" w14:textId="77777777" w:rsidR="006409FC" w:rsidRPr="009E610F" w:rsidRDefault="006409FC" w:rsidP="008F1189">
            <w:pPr>
              <w:spacing w:line="276" w:lineRule="auto"/>
              <w:jc w:val="both"/>
              <w:rPr>
                <w:rFonts w:ascii="Calibri" w:hAnsi="Calibri"/>
                <w:sz w:val="20"/>
                <w:szCs w:val="20"/>
              </w:rPr>
            </w:pPr>
          </w:p>
        </w:tc>
      </w:tr>
      <w:tr w:rsidR="006409FC" w14:paraId="7ECD8444" w14:textId="77777777" w:rsidTr="00D84107">
        <w:trPr>
          <w:trHeight w:val="300"/>
        </w:trPr>
        <w:tc>
          <w:tcPr>
            <w:tcW w:w="1413" w:type="dxa"/>
            <w:tcBorders>
              <w:left w:val="nil"/>
            </w:tcBorders>
            <w:noWrap/>
            <w:hideMark/>
          </w:tcPr>
          <w:p w14:paraId="0BA35311"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No. full score</w:t>
            </w:r>
          </w:p>
        </w:tc>
        <w:tc>
          <w:tcPr>
            <w:tcW w:w="1281" w:type="dxa"/>
            <w:noWrap/>
            <w:hideMark/>
          </w:tcPr>
          <w:p w14:paraId="13B6696D"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4 (18.2)</w:t>
            </w:r>
          </w:p>
        </w:tc>
        <w:tc>
          <w:tcPr>
            <w:tcW w:w="1270" w:type="dxa"/>
            <w:noWrap/>
            <w:hideMark/>
          </w:tcPr>
          <w:p w14:paraId="57F7418E"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13</w:t>
            </w:r>
          </w:p>
        </w:tc>
        <w:tc>
          <w:tcPr>
            <w:tcW w:w="1136" w:type="dxa"/>
            <w:noWrap/>
            <w:hideMark/>
          </w:tcPr>
          <w:p w14:paraId="439ABEF3"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4</w:t>
            </w:r>
          </w:p>
        </w:tc>
        <w:tc>
          <w:tcPr>
            <w:tcW w:w="993" w:type="dxa"/>
            <w:vMerge/>
            <w:noWrap/>
            <w:hideMark/>
          </w:tcPr>
          <w:p w14:paraId="229C4C5E"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612A6EB0"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33E54D26" w14:textId="77777777" w:rsidR="006409FC" w:rsidRPr="009E610F" w:rsidRDefault="006409FC" w:rsidP="008F1189">
            <w:pPr>
              <w:spacing w:line="276" w:lineRule="auto"/>
              <w:jc w:val="both"/>
              <w:rPr>
                <w:rFonts w:ascii="Calibri" w:hAnsi="Calibri"/>
                <w:sz w:val="20"/>
                <w:szCs w:val="20"/>
              </w:rPr>
            </w:pPr>
          </w:p>
        </w:tc>
      </w:tr>
      <w:tr w:rsidR="006409FC" w14:paraId="28DA720C" w14:textId="77777777" w:rsidTr="00A05941">
        <w:trPr>
          <w:trHeight w:val="350"/>
        </w:trPr>
        <w:tc>
          <w:tcPr>
            <w:tcW w:w="7954" w:type="dxa"/>
            <w:gridSpan w:val="7"/>
            <w:tcBorders>
              <w:left w:val="nil"/>
              <w:right w:val="nil"/>
            </w:tcBorders>
            <w:noWrap/>
            <w:hideMark/>
          </w:tcPr>
          <w:p w14:paraId="2D582043" w14:textId="77777777" w:rsidR="006409FC" w:rsidRPr="00024AE2" w:rsidRDefault="006409FC" w:rsidP="008F1189">
            <w:pPr>
              <w:spacing w:line="276" w:lineRule="auto"/>
              <w:jc w:val="both"/>
              <w:rPr>
                <w:rFonts w:ascii="Calibri" w:hAnsi="Calibri"/>
                <w:b/>
                <w:bCs/>
                <w:sz w:val="20"/>
                <w:szCs w:val="20"/>
              </w:rPr>
            </w:pPr>
            <w:r w:rsidRPr="009E610F">
              <w:rPr>
                <w:rFonts w:ascii="Calibri" w:hAnsi="Calibri"/>
                <w:b/>
                <w:bCs/>
                <w:sz w:val="20"/>
                <w:szCs w:val="20"/>
              </w:rPr>
              <w:t>East</w:t>
            </w:r>
            <w:r>
              <w:rPr>
                <w:rFonts w:ascii="Calibri" w:hAnsi="Calibri"/>
                <w:b/>
                <w:bCs/>
                <w:sz w:val="20"/>
                <w:szCs w:val="20"/>
              </w:rPr>
              <w:t xml:space="preserve"> region hospitals</w:t>
            </w:r>
            <w:r w:rsidRPr="009E610F">
              <w:rPr>
                <w:rFonts w:ascii="Calibri" w:hAnsi="Calibri"/>
                <w:b/>
                <w:bCs/>
                <w:sz w:val="20"/>
                <w:szCs w:val="20"/>
              </w:rPr>
              <w:t xml:space="preserve"> (n =8)</w:t>
            </w:r>
          </w:p>
        </w:tc>
      </w:tr>
      <w:tr w:rsidR="006409FC" w14:paraId="6A88CD7E" w14:textId="77777777" w:rsidTr="00D84107">
        <w:trPr>
          <w:trHeight w:val="300"/>
        </w:trPr>
        <w:tc>
          <w:tcPr>
            <w:tcW w:w="1413" w:type="dxa"/>
            <w:tcBorders>
              <w:left w:val="nil"/>
            </w:tcBorders>
            <w:noWrap/>
            <w:hideMark/>
          </w:tcPr>
          <w:p w14:paraId="5F5609AE"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Mean</w:t>
            </w:r>
          </w:p>
        </w:tc>
        <w:tc>
          <w:tcPr>
            <w:tcW w:w="1281" w:type="dxa"/>
            <w:noWrap/>
            <w:hideMark/>
          </w:tcPr>
          <w:p w14:paraId="02BE3174"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0.80</w:t>
            </w:r>
          </w:p>
        </w:tc>
        <w:tc>
          <w:tcPr>
            <w:tcW w:w="1270" w:type="dxa"/>
            <w:noWrap/>
            <w:hideMark/>
          </w:tcPr>
          <w:p w14:paraId="557BEF6E"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0.85</w:t>
            </w:r>
          </w:p>
        </w:tc>
        <w:tc>
          <w:tcPr>
            <w:tcW w:w="1136" w:type="dxa"/>
            <w:noWrap/>
            <w:hideMark/>
          </w:tcPr>
          <w:p w14:paraId="0E9D22F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0.90</w:t>
            </w:r>
          </w:p>
        </w:tc>
        <w:tc>
          <w:tcPr>
            <w:tcW w:w="993" w:type="dxa"/>
            <w:vMerge w:val="restart"/>
            <w:noWrap/>
            <w:hideMark/>
          </w:tcPr>
          <w:p w14:paraId="3D52F33C"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4 (50)</w:t>
            </w:r>
          </w:p>
          <w:p w14:paraId="324A23A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6146BC3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71AFA88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1011" w:type="dxa"/>
            <w:vMerge w:val="restart"/>
            <w:noWrap/>
            <w:hideMark/>
          </w:tcPr>
          <w:p w14:paraId="7AE12A5E"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 (12.5)</w:t>
            </w:r>
          </w:p>
          <w:p w14:paraId="2B234492"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030A689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415B0A4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850" w:type="dxa"/>
            <w:vMerge w:val="restart"/>
            <w:tcBorders>
              <w:right w:val="nil"/>
            </w:tcBorders>
            <w:noWrap/>
            <w:hideMark/>
          </w:tcPr>
          <w:p w14:paraId="5CA5F9B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3 (37.5)</w:t>
            </w:r>
          </w:p>
          <w:p w14:paraId="6669F3F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09C128B2"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5242DF9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r>
      <w:tr w:rsidR="006409FC" w14:paraId="334A000F" w14:textId="77777777" w:rsidTr="00D84107">
        <w:trPr>
          <w:trHeight w:val="300"/>
        </w:trPr>
        <w:tc>
          <w:tcPr>
            <w:tcW w:w="1413" w:type="dxa"/>
            <w:tcBorders>
              <w:left w:val="nil"/>
            </w:tcBorders>
            <w:noWrap/>
            <w:hideMark/>
          </w:tcPr>
          <w:p w14:paraId="1D403D9B" w14:textId="77777777" w:rsidR="006409FC" w:rsidRPr="009E610F" w:rsidRDefault="006409FC" w:rsidP="008F1189">
            <w:pPr>
              <w:spacing w:line="276" w:lineRule="auto"/>
              <w:jc w:val="both"/>
              <w:rPr>
                <w:rFonts w:ascii="Calibri" w:hAnsi="Calibri"/>
                <w:sz w:val="20"/>
                <w:szCs w:val="20"/>
              </w:rPr>
            </w:pPr>
            <w:r w:rsidRPr="00942A47">
              <w:rPr>
                <w:rFonts w:ascii="Calibri" w:hAnsi="Calibri"/>
                <w:sz w:val="20"/>
                <w:szCs w:val="20"/>
              </w:rPr>
              <w:t>Std. Dev.</w:t>
            </w:r>
          </w:p>
        </w:tc>
        <w:tc>
          <w:tcPr>
            <w:tcW w:w="1281" w:type="dxa"/>
            <w:noWrap/>
            <w:hideMark/>
          </w:tcPr>
          <w:p w14:paraId="44882D3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0.28</w:t>
            </w:r>
          </w:p>
        </w:tc>
        <w:tc>
          <w:tcPr>
            <w:tcW w:w="1270" w:type="dxa"/>
            <w:noWrap/>
            <w:hideMark/>
          </w:tcPr>
          <w:p w14:paraId="373A680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0.21</w:t>
            </w:r>
          </w:p>
        </w:tc>
        <w:tc>
          <w:tcPr>
            <w:tcW w:w="1136" w:type="dxa"/>
            <w:noWrap/>
            <w:hideMark/>
          </w:tcPr>
          <w:p w14:paraId="56B582F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0.16</w:t>
            </w:r>
          </w:p>
        </w:tc>
        <w:tc>
          <w:tcPr>
            <w:tcW w:w="993" w:type="dxa"/>
            <w:vMerge/>
            <w:noWrap/>
            <w:hideMark/>
          </w:tcPr>
          <w:p w14:paraId="0C6F6228"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28155321"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5522CE1D" w14:textId="77777777" w:rsidR="006409FC" w:rsidRPr="009E610F" w:rsidRDefault="006409FC" w:rsidP="008F1189">
            <w:pPr>
              <w:spacing w:line="276" w:lineRule="auto"/>
              <w:jc w:val="both"/>
              <w:rPr>
                <w:rFonts w:ascii="Calibri" w:hAnsi="Calibri"/>
                <w:sz w:val="20"/>
                <w:szCs w:val="20"/>
              </w:rPr>
            </w:pPr>
          </w:p>
        </w:tc>
      </w:tr>
      <w:tr w:rsidR="006409FC" w14:paraId="1FC3653E" w14:textId="77777777" w:rsidTr="00D84107">
        <w:trPr>
          <w:trHeight w:val="300"/>
        </w:trPr>
        <w:tc>
          <w:tcPr>
            <w:tcW w:w="1413" w:type="dxa"/>
            <w:tcBorders>
              <w:left w:val="nil"/>
            </w:tcBorders>
            <w:noWrap/>
            <w:hideMark/>
          </w:tcPr>
          <w:p w14:paraId="38F10AE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Min</w:t>
            </w:r>
          </w:p>
        </w:tc>
        <w:tc>
          <w:tcPr>
            <w:tcW w:w="1281" w:type="dxa"/>
            <w:noWrap/>
            <w:hideMark/>
          </w:tcPr>
          <w:p w14:paraId="123C1663"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0.27</w:t>
            </w:r>
          </w:p>
        </w:tc>
        <w:tc>
          <w:tcPr>
            <w:tcW w:w="1270" w:type="dxa"/>
            <w:noWrap/>
            <w:hideMark/>
          </w:tcPr>
          <w:p w14:paraId="26339EF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0.50</w:t>
            </w:r>
          </w:p>
        </w:tc>
        <w:tc>
          <w:tcPr>
            <w:tcW w:w="1136" w:type="dxa"/>
            <w:noWrap/>
            <w:hideMark/>
          </w:tcPr>
          <w:p w14:paraId="2566631E"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0.54</w:t>
            </w:r>
          </w:p>
        </w:tc>
        <w:tc>
          <w:tcPr>
            <w:tcW w:w="993" w:type="dxa"/>
            <w:vMerge/>
            <w:noWrap/>
            <w:hideMark/>
          </w:tcPr>
          <w:p w14:paraId="63F53343"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50BC887A"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6BCC82D0" w14:textId="77777777" w:rsidR="006409FC" w:rsidRPr="009E610F" w:rsidRDefault="006409FC" w:rsidP="008F1189">
            <w:pPr>
              <w:spacing w:line="276" w:lineRule="auto"/>
              <w:jc w:val="both"/>
              <w:rPr>
                <w:rFonts w:ascii="Calibri" w:hAnsi="Calibri"/>
                <w:sz w:val="20"/>
                <w:szCs w:val="20"/>
              </w:rPr>
            </w:pPr>
          </w:p>
        </w:tc>
      </w:tr>
      <w:tr w:rsidR="006409FC" w14:paraId="26AB45FF" w14:textId="77777777" w:rsidTr="00D84107">
        <w:trPr>
          <w:trHeight w:val="300"/>
        </w:trPr>
        <w:tc>
          <w:tcPr>
            <w:tcW w:w="1413" w:type="dxa"/>
            <w:tcBorders>
              <w:left w:val="nil"/>
            </w:tcBorders>
            <w:noWrap/>
            <w:hideMark/>
          </w:tcPr>
          <w:p w14:paraId="260FC2C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No. full score</w:t>
            </w:r>
          </w:p>
        </w:tc>
        <w:tc>
          <w:tcPr>
            <w:tcW w:w="1281" w:type="dxa"/>
            <w:noWrap/>
            <w:hideMark/>
          </w:tcPr>
          <w:p w14:paraId="45B0428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 (12.5)</w:t>
            </w:r>
          </w:p>
        </w:tc>
        <w:tc>
          <w:tcPr>
            <w:tcW w:w="1270" w:type="dxa"/>
            <w:noWrap/>
            <w:hideMark/>
          </w:tcPr>
          <w:p w14:paraId="15F52703"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4</w:t>
            </w:r>
          </w:p>
        </w:tc>
        <w:tc>
          <w:tcPr>
            <w:tcW w:w="1136" w:type="dxa"/>
            <w:noWrap/>
            <w:hideMark/>
          </w:tcPr>
          <w:p w14:paraId="78E65C21"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w:t>
            </w:r>
          </w:p>
        </w:tc>
        <w:tc>
          <w:tcPr>
            <w:tcW w:w="993" w:type="dxa"/>
            <w:vMerge/>
            <w:noWrap/>
            <w:hideMark/>
          </w:tcPr>
          <w:p w14:paraId="3869471D"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39D9F761"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79F427E4" w14:textId="77777777" w:rsidR="006409FC" w:rsidRPr="009E610F" w:rsidRDefault="006409FC" w:rsidP="008F1189">
            <w:pPr>
              <w:spacing w:line="276" w:lineRule="auto"/>
              <w:jc w:val="both"/>
              <w:rPr>
                <w:rFonts w:ascii="Calibri" w:hAnsi="Calibri"/>
                <w:sz w:val="20"/>
                <w:szCs w:val="20"/>
              </w:rPr>
            </w:pPr>
          </w:p>
        </w:tc>
      </w:tr>
      <w:tr w:rsidR="006409FC" w14:paraId="67CF8841" w14:textId="77777777" w:rsidTr="00A05941">
        <w:trPr>
          <w:trHeight w:val="327"/>
        </w:trPr>
        <w:tc>
          <w:tcPr>
            <w:tcW w:w="7954" w:type="dxa"/>
            <w:gridSpan w:val="7"/>
            <w:tcBorders>
              <w:left w:val="nil"/>
              <w:right w:val="nil"/>
            </w:tcBorders>
            <w:noWrap/>
            <w:hideMark/>
          </w:tcPr>
          <w:p w14:paraId="13A91E55" w14:textId="77777777" w:rsidR="006409FC" w:rsidRPr="00024AE2" w:rsidRDefault="006409FC" w:rsidP="008F1189">
            <w:pPr>
              <w:spacing w:line="276" w:lineRule="auto"/>
              <w:jc w:val="both"/>
              <w:rPr>
                <w:rFonts w:ascii="Calibri" w:hAnsi="Calibri"/>
                <w:b/>
                <w:bCs/>
                <w:sz w:val="20"/>
                <w:szCs w:val="20"/>
              </w:rPr>
            </w:pPr>
            <w:r w:rsidRPr="009E610F">
              <w:rPr>
                <w:rFonts w:ascii="Calibri" w:hAnsi="Calibri"/>
                <w:b/>
                <w:bCs/>
                <w:sz w:val="20"/>
                <w:szCs w:val="20"/>
              </w:rPr>
              <w:t>North</w:t>
            </w:r>
            <w:r>
              <w:rPr>
                <w:rFonts w:ascii="Calibri" w:hAnsi="Calibri"/>
                <w:b/>
                <w:bCs/>
                <w:sz w:val="20"/>
                <w:szCs w:val="20"/>
              </w:rPr>
              <w:t xml:space="preserve"> region hospitals</w:t>
            </w:r>
            <w:r w:rsidRPr="009E610F">
              <w:rPr>
                <w:rFonts w:ascii="Calibri" w:hAnsi="Calibri"/>
                <w:b/>
                <w:bCs/>
                <w:sz w:val="20"/>
                <w:szCs w:val="20"/>
              </w:rPr>
              <w:t xml:space="preserve"> (n =17)</w:t>
            </w:r>
          </w:p>
          <w:p w14:paraId="59FD5C6C" w14:textId="77777777" w:rsidR="006409FC" w:rsidRPr="009E610F" w:rsidRDefault="006409FC" w:rsidP="008F1189">
            <w:pPr>
              <w:spacing w:line="276" w:lineRule="auto"/>
              <w:jc w:val="both"/>
              <w:rPr>
                <w:rFonts w:ascii="Calibri" w:hAnsi="Calibri"/>
                <w:sz w:val="20"/>
                <w:szCs w:val="20"/>
              </w:rPr>
            </w:pPr>
          </w:p>
        </w:tc>
      </w:tr>
      <w:tr w:rsidR="006409FC" w14:paraId="071CF7A7" w14:textId="77777777" w:rsidTr="00D84107">
        <w:trPr>
          <w:trHeight w:val="300"/>
        </w:trPr>
        <w:tc>
          <w:tcPr>
            <w:tcW w:w="1413" w:type="dxa"/>
            <w:tcBorders>
              <w:left w:val="nil"/>
            </w:tcBorders>
            <w:noWrap/>
            <w:hideMark/>
          </w:tcPr>
          <w:p w14:paraId="1FAB0A7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Mean</w:t>
            </w:r>
          </w:p>
        </w:tc>
        <w:tc>
          <w:tcPr>
            <w:tcW w:w="1281" w:type="dxa"/>
            <w:noWrap/>
            <w:hideMark/>
          </w:tcPr>
          <w:p w14:paraId="7FBD63CC"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0.75</w:t>
            </w:r>
          </w:p>
        </w:tc>
        <w:tc>
          <w:tcPr>
            <w:tcW w:w="1270" w:type="dxa"/>
            <w:noWrap/>
            <w:hideMark/>
          </w:tcPr>
          <w:p w14:paraId="1FAA90E2"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0.84</w:t>
            </w:r>
          </w:p>
        </w:tc>
        <w:tc>
          <w:tcPr>
            <w:tcW w:w="1136" w:type="dxa"/>
            <w:noWrap/>
            <w:hideMark/>
          </w:tcPr>
          <w:p w14:paraId="6D84E6AC"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0.90</w:t>
            </w:r>
          </w:p>
        </w:tc>
        <w:tc>
          <w:tcPr>
            <w:tcW w:w="993" w:type="dxa"/>
            <w:vMerge w:val="restart"/>
            <w:noWrap/>
            <w:hideMark/>
          </w:tcPr>
          <w:p w14:paraId="1E9233A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7 (41.2)</w:t>
            </w:r>
          </w:p>
          <w:p w14:paraId="69D40ECA"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0748510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7C590D6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1011" w:type="dxa"/>
            <w:vMerge w:val="restart"/>
            <w:noWrap/>
            <w:hideMark/>
          </w:tcPr>
          <w:p w14:paraId="7F63E10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9 (52.9)</w:t>
            </w:r>
          </w:p>
          <w:p w14:paraId="35BE08F1"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5669CF34"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343EECE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850" w:type="dxa"/>
            <w:vMerge w:val="restart"/>
            <w:tcBorders>
              <w:right w:val="nil"/>
            </w:tcBorders>
            <w:noWrap/>
            <w:hideMark/>
          </w:tcPr>
          <w:p w14:paraId="6D146E01"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 (5.9)</w:t>
            </w:r>
          </w:p>
          <w:p w14:paraId="43CD0CC1"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2C6F33A3"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411CC0CB"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r>
      <w:tr w:rsidR="006409FC" w14:paraId="140F2459" w14:textId="77777777" w:rsidTr="00D84107">
        <w:trPr>
          <w:trHeight w:val="300"/>
        </w:trPr>
        <w:tc>
          <w:tcPr>
            <w:tcW w:w="1413" w:type="dxa"/>
            <w:tcBorders>
              <w:left w:val="nil"/>
            </w:tcBorders>
            <w:noWrap/>
            <w:hideMark/>
          </w:tcPr>
          <w:p w14:paraId="7D557537" w14:textId="77777777" w:rsidR="006409FC" w:rsidRPr="009E610F" w:rsidRDefault="006409FC" w:rsidP="008F1189">
            <w:pPr>
              <w:spacing w:line="276" w:lineRule="auto"/>
              <w:jc w:val="both"/>
              <w:rPr>
                <w:rFonts w:ascii="Calibri" w:hAnsi="Calibri"/>
                <w:sz w:val="20"/>
                <w:szCs w:val="20"/>
              </w:rPr>
            </w:pPr>
            <w:r w:rsidRPr="00942A47">
              <w:rPr>
                <w:rFonts w:ascii="Calibri" w:hAnsi="Calibri"/>
                <w:sz w:val="20"/>
                <w:szCs w:val="20"/>
              </w:rPr>
              <w:t>Std. Dev.</w:t>
            </w:r>
          </w:p>
        </w:tc>
        <w:tc>
          <w:tcPr>
            <w:tcW w:w="1281" w:type="dxa"/>
            <w:noWrap/>
            <w:hideMark/>
          </w:tcPr>
          <w:p w14:paraId="527EBDFC"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0.28</w:t>
            </w:r>
          </w:p>
        </w:tc>
        <w:tc>
          <w:tcPr>
            <w:tcW w:w="1270" w:type="dxa"/>
            <w:noWrap/>
            <w:hideMark/>
          </w:tcPr>
          <w:p w14:paraId="634B41E3"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0.23</w:t>
            </w:r>
          </w:p>
        </w:tc>
        <w:tc>
          <w:tcPr>
            <w:tcW w:w="1136" w:type="dxa"/>
            <w:noWrap/>
            <w:hideMark/>
          </w:tcPr>
          <w:p w14:paraId="592B9D6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0.20</w:t>
            </w:r>
          </w:p>
        </w:tc>
        <w:tc>
          <w:tcPr>
            <w:tcW w:w="993" w:type="dxa"/>
            <w:vMerge/>
            <w:noWrap/>
            <w:hideMark/>
          </w:tcPr>
          <w:p w14:paraId="79421629"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7759275D"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32482062" w14:textId="77777777" w:rsidR="006409FC" w:rsidRPr="009E610F" w:rsidRDefault="006409FC" w:rsidP="008F1189">
            <w:pPr>
              <w:spacing w:line="276" w:lineRule="auto"/>
              <w:jc w:val="both"/>
              <w:rPr>
                <w:rFonts w:ascii="Calibri" w:hAnsi="Calibri"/>
                <w:sz w:val="20"/>
                <w:szCs w:val="20"/>
              </w:rPr>
            </w:pPr>
          </w:p>
        </w:tc>
      </w:tr>
      <w:tr w:rsidR="006409FC" w14:paraId="7527223C" w14:textId="77777777" w:rsidTr="00D84107">
        <w:trPr>
          <w:trHeight w:val="300"/>
        </w:trPr>
        <w:tc>
          <w:tcPr>
            <w:tcW w:w="1413" w:type="dxa"/>
            <w:tcBorders>
              <w:left w:val="nil"/>
            </w:tcBorders>
            <w:noWrap/>
            <w:hideMark/>
          </w:tcPr>
          <w:p w14:paraId="23F22E8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Min</w:t>
            </w:r>
          </w:p>
        </w:tc>
        <w:tc>
          <w:tcPr>
            <w:tcW w:w="1281" w:type="dxa"/>
            <w:noWrap/>
            <w:hideMark/>
          </w:tcPr>
          <w:p w14:paraId="1CEF630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0.19</w:t>
            </w:r>
          </w:p>
        </w:tc>
        <w:tc>
          <w:tcPr>
            <w:tcW w:w="1270" w:type="dxa"/>
            <w:noWrap/>
            <w:hideMark/>
          </w:tcPr>
          <w:p w14:paraId="26B7050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0.30</w:t>
            </w:r>
          </w:p>
        </w:tc>
        <w:tc>
          <w:tcPr>
            <w:tcW w:w="1136" w:type="dxa"/>
            <w:noWrap/>
            <w:hideMark/>
          </w:tcPr>
          <w:p w14:paraId="564865DC"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0.19</w:t>
            </w:r>
          </w:p>
        </w:tc>
        <w:tc>
          <w:tcPr>
            <w:tcW w:w="993" w:type="dxa"/>
            <w:vMerge/>
            <w:noWrap/>
            <w:hideMark/>
          </w:tcPr>
          <w:p w14:paraId="327888FB"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552BD9C7"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0E4E83E8" w14:textId="77777777" w:rsidR="006409FC" w:rsidRPr="009E610F" w:rsidRDefault="006409FC" w:rsidP="008F1189">
            <w:pPr>
              <w:spacing w:line="276" w:lineRule="auto"/>
              <w:jc w:val="both"/>
              <w:rPr>
                <w:rFonts w:ascii="Calibri" w:hAnsi="Calibri"/>
                <w:sz w:val="20"/>
                <w:szCs w:val="20"/>
              </w:rPr>
            </w:pPr>
          </w:p>
        </w:tc>
      </w:tr>
      <w:tr w:rsidR="006409FC" w14:paraId="0F978E3D" w14:textId="77777777" w:rsidTr="00D84107">
        <w:trPr>
          <w:trHeight w:val="300"/>
        </w:trPr>
        <w:tc>
          <w:tcPr>
            <w:tcW w:w="1413" w:type="dxa"/>
            <w:tcBorders>
              <w:left w:val="nil"/>
            </w:tcBorders>
            <w:noWrap/>
            <w:hideMark/>
          </w:tcPr>
          <w:p w14:paraId="7959588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No. full score</w:t>
            </w:r>
          </w:p>
        </w:tc>
        <w:tc>
          <w:tcPr>
            <w:tcW w:w="1281" w:type="dxa"/>
            <w:noWrap/>
            <w:hideMark/>
          </w:tcPr>
          <w:p w14:paraId="73A5E8EA"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6 (35.3)</w:t>
            </w:r>
          </w:p>
        </w:tc>
        <w:tc>
          <w:tcPr>
            <w:tcW w:w="1270" w:type="dxa"/>
            <w:noWrap/>
            <w:hideMark/>
          </w:tcPr>
          <w:p w14:paraId="3EE549ED"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9</w:t>
            </w:r>
          </w:p>
        </w:tc>
        <w:tc>
          <w:tcPr>
            <w:tcW w:w="1136" w:type="dxa"/>
            <w:noWrap/>
            <w:hideMark/>
          </w:tcPr>
          <w:p w14:paraId="7D51D8BE"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6</w:t>
            </w:r>
          </w:p>
        </w:tc>
        <w:tc>
          <w:tcPr>
            <w:tcW w:w="993" w:type="dxa"/>
            <w:vMerge/>
            <w:noWrap/>
            <w:hideMark/>
          </w:tcPr>
          <w:p w14:paraId="47F4F473"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1B52AA55"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4D5D4E74" w14:textId="77777777" w:rsidR="006409FC" w:rsidRPr="009E610F" w:rsidRDefault="006409FC" w:rsidP="008F1189">
            <w:pPr>
              <w:spacing w:line="276" w:lineRule="auto"/>
              <w:jc w:val="both"/>
              <w:rPr>
                <w:rFonts w:ascii="Calibri" w:hAnsi="Calibri"/>
                <w:sz w:val="20"/>
                <w:szCs w:val="20"/>
              </w:rPr>
            </w:pPr>
          </w:p>
        </w:tc>
      </w:tr>
      <w:tr w:rsidR="006409FC" w14:paraId="4220CB6A" w14:textId="77777777" w:rsidTr="00A05941">
        <w:trPr>
          <w:trHeight w:val="300"/>
        </w:trPr>
        <w:tc>
          <w:tcPr>
            <w:tcW w:w="7954" w:type="dxa"/>
            <w:gridSpan w:val="7"/>
            <w:tcBorders>
              <w:left w:val="nil"/>
              <w:right w:val="nil"/>
            </w:tcBorders>
            <w:noWrap/>
            <w:hideMark/>
          </w:tcPr>
          <w:p w14:paraId="44386252" w14:textId="77777777" w:rsidR="006409FC" w:rsidRPr="009E610F" w:rsidRDefault="006409FC" w:rsidP="008F1189">
            <w:pPr>
              <w:spacing w:line="276" w:lineRule="auto"/>
              <w:jc w:val="both"/>
              <w:rPr>
                <w:rFonts w:ascii="Calibri" w:hAnsi="Calibri"/>
                <w:b/>
                <w:bCs/>
                <w:sz w:val="20"/>
                <w:szCs w:val="20"/>
              </w:rPr>
            </w:pPr>
            <w:r>
              <w:rPr>
                <w:rFonts w:ascii="Calibri" w:hAnsi="Calibri"/>
                <w:b/>
                <w:bCs/>
                <w:sz w:val="20"/>
                <w:szCs w:val="20"/>
              </w:rPr>
              <w:t>Central region hospitals</w:t>
            </w:r>
            <w:r w:rsidRPr="009E610F">
              <w:rPr>
                <w:rFonts w:ascii="Calibri" w:hAnsi="Calibri"/>
                <w:b/>
                <w:bCs/>
                <w:sz w:val="20"/>
                <w:szCs w:val="20"/>
              </w:rPr>
              <w:t xml:space="preserve"> (n =24)</w:t>
            </w:r>
          </w:p>
        </w:tc>
      </w:tr>
      <w:tr w:rsidR="006409FC" w14:paraId="0B6CF3D8" w14:textId="77777777" w:rsidTr="00D84107">
        <w:trPr>
          <w:trHeight w:val="300"/>
        </w:trPr>
        <w:tc>
          <w:tcPr>
            <w:tcW w:w="1413" w:type="dxa"/>
            <w:tcBorders>
              <w:left w:val="nil"/>
            </w:tcBorders>
            <w:noWrap/>
            <w:hideMark/>
          </w:tcPr>
          <w:p w14:paraId="7F28835C"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Mean</w:t>
            </w:r>
          </w:p>
        </w:tc>
        <w:tc>
          <w:tcPr>
            <w:tcW w:w="1281" w:type="dxa"/>
            <w:noWrap/>
            <w:hideMark/>
          </w:tcPr>
          <w:p w14:paraId="5044692A"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0.83</w:t>
            </w:r>
          </w:p>
        </w:tc>
        <w:tc>
          <w:tcPr>
            <w:tcW w:w="1270" w:type="dxa"/>
            <w:noWrap/>
            <w:hideMark/>
          </w:tcPr>
          <w:p w14:paraId="6B835D2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0.89</w:t>
            </w:r>
          </w:p>
        </w:tc>
        <w:tc>
          <w:tcPr>
            <w:tcW w:w="1136" w:type="dxa"/>
            <w:noWrap/>
            <w:hideMark/>
          </w:tcPr>
          <w:p w14:paraId="299891E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0.93</w:t>
            </w:r>
          </w:p>
        </w:tc>
        <w:tc>
          <w:tcPr>
            <w:tcW w:w="993" w:type="dxa"/>
            <w:vMerge w:val="restart"/>
            <w:noWrap/>
            <w:hideMark/>
          </w:tcPr>
          <w:p w14:paraId="5D223FBB"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10 (41.7)</w:t>
            </w:r>
          </w:p>
          <w:p w14:paraId="05F3C99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74898BD4"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5BC64C62"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1011" w:type="dxa"/>
            <w:vMerge w:val="restart"/>
            <w:noWrap/>
            <w:hideMark/>
          </w:tcPr>
          <w:p w14:paraId="616D3BEB"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11 (45.8)</w:t>
            </w:r>
          </w:p>
          <w:p w14:paraId="36A08AED"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47FE76CC"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08203BA4"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850" w:type="dxa"/>
            <w:vMerge w:val="restart"/>
            <w:tcBorders>
              <w:right w:val="nil"/>
            </w:tcBorders>
            <w:noWrap/>
            <w:hideMark/>
          </w:tcPr>
          <w:p w14:paraId="579CB9A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3 (12.5)</w:t>
            </w:r>
          </w:p>
          <w:p w14:paraId="328B028D"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19EDAE9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4E50C39B"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r>
      <w:tr w:rsidR="006409FC" w14:paraId="30A71AC7" w14:textId="77777777" w:rsidTr="00D84107">
        <w:trPr>
          <w:trHeight w:val="300"/>
        </w:trPr>
        <w:tc>
          <w:tcPr>
            <w:tcW w:w="1413" w:type="dxa"/>
            <w:tcBorders>
              <w:left w:val="nil"/>
            </w:tcBorders>
            <w:noWrap/>
            <w:hideMark/>
          </w:tcPr>
          <w:p w14:paraId="6DD35379" w14:textId="77777777" w:rsidR="006409FC" w:rsidRPr="009E610F" w:rsidRDefault="006409FC" w:rsidP="008F1189">
            <w:pPr>
              <w:spacing w:line="276" w:lineRule="auto"/>
              <w:jc w:val="both"/>
              <w:rPr>
                <w:rFonts w:ascii="Calibri" w:hAnsi="Calibri"/>
                <w:sz w:val="20"/>
                <w:szCs w:val="20"/>
              </w:rPr>
            </w:pPr>
            <w:r w:rsidRPr="00942A47">
              <w:rPr>
                <w:rFonts w:ascii="Calibri" w:hAnsi="Calibri"/>
                <w:sz w:val="20"/>
                <w:szCs w:val="20"/>
              </w:rPr>
              <w:t>Std. Dev.</w:t>
            </w:r>
          </w:p>
        </w:tc>
        <w:tc>
          <w:tcPr>
            <w:tcW w:w="1281" w:type="dxa"/>
            <w:noWrap/>
            <w:hideMark/>
          </w:tcPr>
          <w:p w14:paraId="5F36370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0.18</w:t>
            </w:r>
          </w:p>
        </w:tc>
        <w:tc>
          <w:tcPr>
            <w:tcW w:w="1270" w:type="dxa"/>
            <w:noWrap/>
            <w:hideMark/>
          </w:tcPr>
          <w:p w14:paraId="3DE9DAF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0.16</w:t>
            </w:r>
          </w:p>
        </w:tc>
        <w:tc>
          <w:tcPr>
            <w:tcW w:w="1136" w:type="dxa"/>
            <w:noWrap/>
            <w:hideMark/>
          </w:tcPr>
          <w:p w14:paraId="4F81096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0.10</w:t>
            </w:r>
          </w:p>
        </w:tc>
        <w:tc>
          <w:tcPr>
            <w:tcW w:w="993" w:type="dxa"/>
            <w:vMerge/>
            <w:noWrap/>
            <w:hideMark/>
          </w:tcPr>
          <w:p w14:paraId="24524A39"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03F64115"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192B63FA" w14:textId="77777777" w:rsidR="006409FC" w:rsidRPr="009E610F" w:rsidRDefault="006409FC" w:rsidP="008F1189">
            <w:pPr>
              <w:spacing w:line="276" w:lineRule="auto"/>
              <w:jc w:val="both"/>
              <w:rPr>
                <w:rFonts w:ascii="Calibri" w:hAnsi="Calibri"/>
                <w:sz w:val="20"/>
                <w:szCs w:val="20"/>
              </w:rPr>
            </w:pPr>
          </w:p>
        </w:tc>
      </w:tr>
      <w:tr w:rsidR="006409FC" w14:paraId="0B1E7C8E" w14:textId="77777777" w:rsidTr="00D84107">
        <w:trPr>
          <w:trHeight w:val="300"/>
        </w:trPr>
        <w:tc>
          <w:tcPr>
            <w:tcW w:w="1413" w:type="dxa"/>
            <w:tcBorders>
              <w:left w:val="nil"/>
            </w:tcBorders>
            <w:noWrap/>
            <w:hideMark/>
          </w:tcPr>
          <w:p w14:paraId="15BB1D8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Min</w:t>
            </w:r>
          </w:p>
        </w:tc>
        <w:tc>
          <w:tcPr>
            <w:tcW w:w="1281" w:type="dxa"/>
            <w:noWrap/>
            <w:hideMark/>
          </w:tcPr>
          <w:p w14:paraId="4668D10F"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0.49</w:t>
            </w:r>
          </w:p>
        </w:tc>
        <w:tc>
          <w:tcPr>
            <w:tcW w:w="1270" w:type="dxa"/>
            <w:noWrap/>
            <w:hideMark/>
          </w:tcPr>
          <w:p w14:paraId="3E290072"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0.50</w:t>
            </w:r>
          </w:p>
        </w:tc>
        <w:tc>
          <w:tcPr>
            <w:tcW w:w="1136" w:type="dxa"/>
            <w:noWrap/>
            <w:hideMark/>
          </w:tcPr>
          <w:p w14:paraId="4602E0A4"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0.69</w:t>
            </w:r>
          </w:p>
        </w:tc>
        <w:tc>
          <w:tcPr>
            <w:tcW w:w="993" w:type="dxa"/>
            <w:vMerge/>
            <w:noWrap/>
            <w:hideMark/>
          </w:tcPr>
          <w:p w14:paraId="7770DB80"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3FA1BB3B"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3A98987B" w14:textId="77777777" w:rsidR="006409FC" w:rsidRPr="009E610F" w:rsidRDefault="006409FC" w:rsidP="008F1189">
            <w:pPr>
              <w:spacing w:line="276" w:lineRule="auto"/>
              <w:jc w:val="both"/>
              <w:rPr>
                <w:rFonts w:ascii="Calibri" w:hAnsi="Calibri"/>
                <w:sz w:val="20"/>
                <w:szCs w:val="20"/>
              </w:rPr>
            </w:pPr>
          </w:p>
        </w:tc>
      </w:tr>
      <w:tr w:rsidR="006409FC" w14:paraId="744E5F2C" w14:textId="77777777" w:rsidTr="00D84107">
        <w:trPr>
          <w:trHeight w:val="300"/>
        </w:trPr>
        <w:tc>
          <w:tcPr>
            <w:tcW w:w="1413" w:type="dxa"/>
            <w:tcBorders>
              <w:left w:val="nil"/>
            </w:tcBorders>
            <w:noWrap/>
            <w:hideMark/>
          </w:tcPr>
          <w:p w14:paraId="2B9D0D3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No. full score</w:t>
            </w:r>
          </w:p>
        </w:tc>
        <w:tc>
          <w:tcPr>
            <w:tcW w:w="1281" w:type="dxa"/>
            <w:noWrap/>
            <w:hideMark/>
          </w:tcPr>
          <w:p w14:paraId="431077E1"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8 (33.3)</w:t>
            </w:r>
          </w:p>
        </w:tc>
        <w:tc>
          <w:tcPr>
            <w:tcW w:w="1270" w:type="dxa"/>
            <w:noWrap/>
            <w:hideMark/>
          </w:tcPr>
          <w:p w14:paraId="69D3D37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12</w:t>
            </w:r>
          </w:p>
        </w:tc>
        <w:tc>
          <w:tcPr>
            <w:tcW w:w="1136" w:type="dxa"/>
            <w:noWrap/>
            <w:hideMark/>
          </w:tcPr>
          <w:p w14:paraId="7E648F8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8</w:t>
            </w:r>
          </w:p>
        </w:tc>
        <w:tc>
          <w:tcPr>
            <w:tcW w:w="993" w:type="dxa"/>
            <w:vMerge/>
            <w:noWrap/>
            <w:hideMark/>
          </w:tcPr>
          <w:p w14:paraId="72E37F04"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1C8CAD39"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5BDE256B" w14:textId="77777777" w:rsidR="006409FC" w:rsidRPr="009E610F" w:rsidRDefault="006409FC" w:rsidP="008F1189">
            <w:pPr>
              <w:spacing w:line="276" w:lineRule="auto"/>
              <w:jc w:val="both"/>
              <w:rPr>
                <w:rFonts w:ascii="Calibri" w:hAnsi="Calibri"/>
                <w:sz w:val="20"/>
                <w:szCs w:val="20"/>
              </w:rPr>
            </w:pPr>
          </w:p>
        </w:tc>
      </w:tr>
      <w:tr w:rsidR="006409FC" w14:paraId="6600EE1E" w14:textId="77777777" w:rsidTr="00A05941">
        <w:trPr>
          <w:trHeight w:val="300"/>
        </w:trPr>
        <w:tc>
          <w:tcPr>
            <w:tcW w:w="7954" w:type="dxa"/>
            <w:gridSpan w:val="7"/>
            <w:tcBorders>
              <w:left w:val="nil"/>
              <w:right w:val="nil"/>
            </w:tcBorders>
            <w:noWrap/>
            <w:hideMark/>
          </w:tcPr>
          <w:p w14:paraId="7DA60B00" w14:textId="77777777" w:rsidR="006409FC" w:rsidRPr="009E610F" w:rsidRDefault="006409FC" w:rsidP="008F1189">
            <w:pPr>
              <w:spacing w:line="276" w:lineRule="auto"/>
              <w:jc w:val="both"/>
              <w:rPr>
                <w:rFonts w:ascii="Calibri" w:hAnsi="Calibri"/>
                <w:b/>
                <w:bCs/>
                <w:sz w:val="20"/>
                <w:szCs w:val="20"/>
              </w:rPr>
            </w:pPr>
            <w:r w:rsidRPr="009E610F">
              <w:rPr>
                <w:rFonts w:ascii="Calibri" w:hAnsi="Calibri"/>
                <w:b/>
                <w:bCs/>
                <w:sz w:val="20"/>
                <w:szCs w:val="20"/>
              </w:rPr>
              <w:t>West</w:t>
            </w:r>
            <w:r>
              <w:rPr>
                <w:rFonts w:ascii="Calibri" w:hAnsi="Calibri"/>
                <w:b/>
                <w:bCs/>
                <w:sz w:val="20"/>
                <w:szCs w:val="20"/>
              </w:rPr>
              <w:t xml:space="preserve"> region hospitals</w:t>
            </w:r>
            <w:r w:rsidRPr="009E610F">
              <w:rPr>
                <w:rFonts w:ascii="Calibri" w:hAnsi="Calibri"/>
                <w:b/>
                <w:bCs/>
                <w:sz w:val="20"/>
                <w:szCs w:val="20"/>
              </w:rPr>
              <w:t xml:space="preserve"> (n =20)</w:t>
            </w:r>
          </w:p>
        </w:tc>
      </w:tr>
      <w:tr w:rsidR="006409FC" w14:paraId="760F1073" w14:textId="77777777" w:rsidTr="00D84107">
        <w:trPr>
          <w:trHeight w:val="300"/>
        </w:trPr>
        <w:tc>
          <w:tcPr>
            <w:tcW w:w="1413" w:type="dxa"/>
            <w:tcBorders>
              <w:left w:val="nil"/>
            </w:tcBorders>
            <w:noWrap/>
            <w:hideMark/>
          </w:tcPr>
          <w:p w14:paraId="4CBBDD2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Mean</w:t>
            </w:r>
          </w:p>
        </w:tc>
        <w:tc>
          <w:tcPr>
            <w:tcW w:w="1281" w:type="dxa"/>
            <w:noWrap/>
            <w:hideMark/>
          </w:tcPr>
          <w:p w14:paraId="5E1EE18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0.68</w:t>
            </w:r>
          </w:p>
        </w:tc>
        <w:tc>
          <w:tcPr>
            <w:tcW w:w="1270" w:type="dxa"/>
            <w:noWrap/>
            <w:hideMark/>
          </w:tcPr>
          <w:p w14:paraId="61BDD34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0.85</w:t>
            </w:r>
          </w:p>
        </w:tc>
        <w:tc>
          <w:tcPr>
            <w:tcW w:w="1136" w:type="dxa"/>
            <w:noWrap/>
            <w:hideMark/>
          </w:tcPr>
          <w:p w14:paraId="4A5F143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0.81</w:t>
            </w:r>
          </w:p>
        </w:tc>
        <w:tc>
          <w:tcPr>
            <w:tcW w:w="993" w:type="dxa"/>
            <w:vMerge w:val="restart"/>
            <w:noWrap/>
            <w:hideMark/>
          </w:tcPr>
          <w:p w14:paraId="3C97A8D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4 (20)</w:t>
            </w:r>
          </w:p>
          <w:p w14:paraId="21355404"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15E4E65C"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0966272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1011" w:type="dxa"/>
            <w:vMerge w:val="restart"/>
            <w:noWrap/>
            <w:hideMark/>
          </w:tcPr>
          <w:p w14:paraId="2EF89A7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10 (50)</w:t>
            </w:r>
          </w:p>
          <w:p w14:paraId="124ADA3E"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5CA33E8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7DA2E894"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c>
          <w:tcPr>
            <w:tcW w:w="850" w:type="dxa"/>
            <w:vMerge w:val="restart"/>
            <w:tcBorders>
              <w:right w:val="nil"/>
            </w:tcBorders>
            <w:noWrap/>
            <w:hideMark/>
          </w:tcPr>
          <w:p w14:paraId="6DC17BA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6 (30)</w:t>
            </w:r>
          </w:p>
          <w:p w14:paraId="32B1F303"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6FC4943A"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p w14:paraId="6377629D"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 </w:t>
            </w:r>
          </w:p>
        </w:tc>
      </w:tr>
      <w:tr w:rsidR="006409FC" w14:paraId="07AF9163" w14:textId="77777777" w:rsidTr="00D84107">
        <w:trPr>
          <w:trHeight w:val="300"/>
        </w:trPr>
        <w:tc>
          <w:tcPr>
            <w:tcW w:w="1413" w:type="dxa"/>
            <w:tcBorders>
              <w:left w:val="nil"/>
            </w:tcBorders>
            <w:noWrap/>
            <w:hideMark/>
          </w:tcPr>
          <w:p w14:paraId="3AF70FCD" w14:textId="77777777" w:rsidR="006409FC" w:rsidRPr="009E610F" w:rsidRDefault="006409FC" w:rsidP="008F1189">
            <w:pPr>
              <w:spacing w:line="276" w:lineRule="auto"/>
              <w:jc w:val="both"/>
              <w:rPr>
                <w:rFonts w:ascii="Calibri" w:hAnsi="Calibri"/>
                <w:sz w:val="20"/>
                <w:szCs w:val="20"/>
              </w:rPr>
            </w:pPr>
            <w:r w:rsidRPr="00942A47">
              <w:rPr>
                <w:rFonts w:ascii="Calibri" w:hAnsi="Calibri"/>
                <w:sz w:val="20"/>
                <w:szCs w:val="20"/>
              </w:rPr>
              <w:t>Std. Dev.</w:t>
            </w:r>
          </w:p>
        </w:tc>
        <w:tc>
          <w:tcPr>
            <w:tcW w:w="1281" w:type="dxa"/>
            <w:noWrap/>
            <w:hideMark/>
          </w:tcPr>
          <w:p w14:paraId="33260769"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0.20</w:t>
            </w:r>
          </w:p>
        </w:tc>
        <w:tc>
          <w:tcPr>
            <w:tcW w:w="1270" w:type="dxa"/>
            <w:noWrap/>
            <w:hideMark/>
          </w:tcPr>
          <w:p w14:paraId="54F71C1D"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0.17</w:t>
            </w:r>
          </w:p>
        </w:tc>
        <w:tc>
          <w:tcPr>
            <w:tcW w:w="1136" w:type="dxa"/>
            <w:noWrap/>
            <w:hideMark/>
          </w:tcPr>
          <w:p w14:paraId="26FE5DA0"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0.17</w:t>
            </w:r>
          </w:p>
        </w:tc>
        <w:tc>
          <w:tcPr>
            <w:tcW w:w="993" w:type="dxa"/>
            <w:vMerge/>
            <w:noWrap/>
            <w:hideMark/>
          </w:tcPr>
          <w:p w14:paraId="075A9BD8"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3A196358"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7B04F172" w14:textId="77777777" w:rsidR="006409FC" w:rsidRPr="009E610F" w:rsidRDefault="006409FC" w:rsidP="008F1189">
            <w:pPr>
              <w:spacing w:line="276" w:lineRule="auto"/>
              <w:jc w:val="both"/>
              <w:rPr>
                <w:rFonts w:ascii="Calibri" w:hAnsi="Calibri"/>
                <w:sz w:val="20"/>
                <w:szCs w:val="20"/>
              </w:rPr>
            </w:pPr>
          </w:p>
        </w:tc>
      </w:tr>
      <w:tr w:rsidR="006409FC" w14:paraId="073C9138" w14:textId="77777777" w:rsidTr="00D84107">
        <w:trPr>
          <w:trHeight w:val="300"/>
        </w:trPr>
        <w:tc>
          <w:tcPr>
            <w:tcW w:w="1413" w:type="dxa"/>
            <w:tcBorders>
              <w:left w:val="nil"/>
            </w:tcBorders>
            <w:noWrap/>
            <w:hideMark/>
          </w:tcPr>
          <w:p w14:paraId="756936E3"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Min</w:t>
            </w:r>
          </w:p>
        </w:tc>
        <w:tc>
          <w:tcPr>
            <w:tcW w:w="1281" w:type="dxa"/>
            <w:noWrap/>
            <w:hideMark/>
          </w:tcPr>
          <w:p w14:paraId="606B9DF2"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0.37</w:t>
            </w:r>
          </w:p>
        </w:tc>
        <w:tc>
          <w:tcPr>
            <w:tcW w:w="1270" w:type="dxa"/>
            <w:noWrap/>
            <w:hideMark/>
          </w:tcPr>
          <w:p w14:paraId="1B9733F1"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0.42</w:t>
            </w:r>
          </w:p>
        </w:tc>
        <w:tc>
          <w:tcPr>
            <w:tcW w:w="1136" w:type="dxa"/>
            <w:noWrap/>
            <w:hideMark/>
          </w:tcPr>
          <w:p w14:paraId="12B0750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0.46</w:t>
            </w:r>
          </w:p>
        </w:tc>
        <w:tc>
          <w:tcPr>
            <w:tcW w:w="993" w:type="dxa"/>
            <w:vMerge/>
            <w:noWrap/>
            <w:hideMark/>
          </w:tcPr>
          <w:p w14:paraId="1686442B"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37F1E90F"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5686AA35" w14:textId="77777777" w:rsidR="006409FC" w:rsidRPr="009E610F" w:rsidRDefault="006409FC" w:rsidP="008F1189">
            <w:pPr>
              <w:spacing w:line="276" w:lineRule="auto"/>
              <w:jc w:val="both"/>
              <w:rPr>
                <w:rFonts w:ascii="Calibri" w:hAnsi="Calibri"/>
                <w:sz w:val="20"/>
                <w:szCs w:val="20"/>
              </w:rPr>
            </w:pPr>
          </w:p>
        </w:tc>
      </w:tr>
      <w:tr w:rsidR="006409FC" w14:paraId="43791F79" w14:textId="77777777" w:rsidTr="00D84107">
        <w:trPr>
          <w:trHeight w:val="300"/>
        </w:trPr>
        <w:tc>
          <w:tcPr>
            <w:tcW w:w="1413" w:type="dxa"/>
            <w:tcBorders>
              <w:left w:val="nil"/>
            </w:tcBorders>
            <w:noWrap/>
            <w:hideMark/>
          </w:tcPr>
          <w:p w14:paraId="399BBC47"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No. full score</w:t>
            </w:r>
          </w:p>
        </w:tc>
        <w:tc>
          <w:tcPr>
            <w:tcW w:w="1281" w:type="dxa"/>
            <w:noWrap/>
            <w:hideMark/>
          </w:tcPr>
          <w:p w14:paraId="2692CCB5"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3 (15)</w:t>
            </w:r>
          </w:p>
        </w:tc>
        <w:tc>
          <w:tcPr>
            <w:tcW w:w="1270" w:type="dxa"/>
            <w:noWrap/>
            <w:hideMark/>
          </w:tcPr>
          <w:p w14:paraId="68C3F838"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9</w:t>
            </w:r>
          </w:p>
        </w:tc>
        <w:tc>
          <w:tcPr>
            <w:tcW w:w="1136" w:type="dxa"/>
            <w:noWrap/>
            <w:hideMark/>
          </w:tcPr>
          <w:p w14:paraId="41166C96" w14:textId="77777777" w:rsidR="006409FC" w:rsidRPr="009E610F" w:rsidRDefault="006409FC" w:rsidP="008F1189">
            <w:pPr>
              <w:spacing w:line="276" w:lineRule="auto"/>
              <w:jc w:val="both"/>
              <w:rPr>
                <w:rFonts w:ascii="Calibri" w:hAnsi="Calibri"/>
                <w:sz w:val="20"/>
                <w:szCs w:val="20"/>
              </w:rPr>
            </w:pPr>
            <w:r w:rsidRPr="009E610F">
              <w:rPr>
                <w:rFonts w:ascii="Calibri" w:hAnsi="Calibri"/>
                <w:sz w:val="20"/>
                <w:szCs w:val="20"/>
              </w:rPr>
              <w:t>3</w:t>
            </w:r>
          </w:p>
        </w:tc>
        <w:tc>
          <w:tcPr>
            <w:tcW w:w="993" w:type="dxa"/>
            <w:vMerge/>
            <w:noWrap/>
            <w:hideMark/>
          </w:tcPr>
          <w:p w14:paraId="14509415" w14:textId="77777777" w:rsidR="006409FC" w:rsidRPr="009E610F" w:rsidRDefault="006409FC" w:rsidP="008F1189">
            <w:pPr>
              <w:spacing w:line="276" w:lineRule="auto"/>
              <w:jc w:val="both"/>
              <w:rPr>
                <w:rFonts w:ascii="Calibri" w:hAnsi="Calibri"/>
                <w:sz w:val="20"/>
                <w:szCs w:val="20"/>
              </w:rPr>
            </w:pPr>
          </w:p>
        </w:tc>
        <w:tc>
          <w:tcPr>
            <w:tcW w:w="1011" w:type="dxa"/>
            <w:vMerge/>
            <w:noWrap/>
            <w:hideMark/>
          </w:tcPr>
          <w:p w14:paraId="724D9815" w14:textId="77777777" w:rsidR="006409FC" w:rsidRPr="009E610F" w:rsidRDefault="006409FC" w:rsidP="008F1189">
            <w:pPr>
              <w:spacing w:line="276" w:lineRule="auto"/>
              <w:jc w:val="both"/>
              <w:rPr>
                <w:rFonts w:ascii="Calibri" w:hAnsi="Calibri"/>
                <w:sz w:val="20"/>
                <w:szCs w:val="20"/>
              </w:rPr>
            </w:pPr>
          </w:p>
        </w:tc>
        <w:tc>
          <w:tcPr>
            <w:tcW w:w="850" w:type="dxa"/>
            <w:vMerge/>
            <w:tcBorders>
              <w:right w:val="nil"/>
            </w:tcBorders>
            <w:noWrap/>
            <w:hideMark/>
          </w:tcPr>
          <w:p w14:paraId="25D04F26" w14:textId="77777777" w:rsidR="006409FC" w:rsidRPr="009E610F" w:rsidRDefault="006409FC" w:rsidP="008F1189">
            <w:pPr>
              <w:spacing w:line="276" w:lineRule="auto"/>
              <w:jc w:val="both"/>
              <w:rPr>
                <w:rFonts w:ascii="Calibri" w:hAnsi="Calibri"/>
                <w:sz w:val="20"/>
                <w:szCs w:val="20"/>
              </w:rPr>
            </w:pPr>
          </w:p>
        </w:tc>
      </w:tr>
    </w:tbl>
    <w:p w14:paraId="0BC3338D" w14:textId="77777777" w:rsidR="006409FC" w:rsidRDefault="006409FC" w:rsidP="008F1189">
      <w:pPr>
        <w:spacing w:line="360" w:lineRule="auto"/>
        <w:jc w:val="both"/>
        <w:rPr>
          <w:sz w:val="24"/>
          <w:szCs w:val="24"/>
        </w:rPr>
      </w:pPr>
    </w:p>
    <w:p w14:paraId="70678F72" w14:textId="61D57C26" w:rsidR="00EC577F" w:rsidRPr="00A05373" w:rsidRDefault="00F6795B" w:rsidP="008F1189">
      <w:pPr>
        <w:spacing w:line="360" w:lineRule="auto"/>
        <w:jc w:val="both"/>
        <w:rPr>
          <w:sz w:val="24"/>
          <w:szCs w:val="24"/>
        </w:rPr>
      </w:pPr>
      <w:r>
        <w:rPr>
          <w:sz w:val="24"/>
          <w:szCs w:val="24"/>
        </w:rPr>
        <w:t>T</w:t>
      </w:r>
      <w:r w:rsidR="00C3111F" w:rsidRPr="00A05373">
        <w:rPr>
          <w:sz w:val="24"/>
          <w:szCs w:val="24"/>
        </w:rPr>
        <w:t xml:space="preserve">he </w:t>
      </w:r>
      <w:r w:rsidR="00161CE8">
        <w:rPr>
          <w:sz w:val="24"/>
          <w:szCs w:val="24"/>
        </w:rPr>
        <w:t>percentage</w:t>
      </w:r>
      <w:r w:rsidR="00161CE8" w:rsidRPr="00A05373">
        <w:rPr>
          <w:sz w:val="24"/>
          <w:szCs w:val="24"/>
        </w:rPr>
        <w:t xml:space="preserve"> </w:t>
      </w:r>
      <w:r w:rsidR="00C3111F" w:rsidRPr="00A05373">
        <w:rPr>
          <w:sz w:val="24"/>
          <w:szCs w:val="24"/>
        </w:rPr>
        <w:t>of</w:t>
      </w:r>
      <w:r w:rsidR="00161CE8">
        <w:rPr>
          <w:sz w:val="24"/>
          <w:szCs w:val="24"/>
        </w:rPr>
        <w:t xml:space="preserve"> efficient</w:t>
      </w:r>
      <w:r w:rsidR="00C3111F" w:rsidRPr="00A05373">
        <w:rPr>
          <w:sz w:val="24"/>
          <w:szCs w:val="24"/>
        </w:rPr>
        <w:t xml:space="preserve"> </w:t>
      </w:r>
      <w:r w:rsidR="005548AD" w:rsidRPr="00A05373">
        <w:rPr>
          <w:sz w:val="24"/>
          <w:szCs w:val="24"/>
        </w:rPr>
        <w:t xml:space="preserve">hospitals in </w:t>
      </w:r>
      <w:r w:rsidR="00CB6C56">
        <w:rPr>
          <w:sz w:val="24"/>
          <w:szCs w:val="24"/>
        </w:rPr>
        <w:t>the north</w:t>
      </w:r>
      <w:r w:rsidR="008077D2">
        <w:rPr>
          <w:sz w:val="24"/>
          <w:szCs w:val="24"/>
        </w:rPr>
        <w:t xml:space="preserve"> (</w:t>
      </w:r>
      <w:r w:rsidR="008077D2" w:rsidRPr="00A05373">
        <w:rPr>
          <w:sz w:val="24"/>
          <w:szCs w:val="24"/>
        </w:rPr>
        <w:t>35.3%</w:t>
      </w:r>
      <w:r w:rsidR="008077D2">
        <w:rPr>
          <w:sz w:val="24"/>
          <w:szCs w:val="24"/>
        </w:rPr>
        <w:t>)</w:t>
      </w:r>
      <w:r w:rsidR="008077D2" w:rsidRPr="00A05373">
        <w:rPr>
          <w:sz w:val="24"/>
          <w:szCs w:val="24"/>
        </w:rPr>
        <w:t xml:space="preserve"> </w:t>
      </w:r>
      <w:r w:rsidR="00EF68FB" w:rsidRPr="00A05373">
        <w:rPr>
          <w:sz w:val="24"/>
          <w:szCs w:val="24"/>
        </w:rPr>
        <w:t xml:space="preserve">and </w:t>
      </w:r>
      <w:r w:rsidR="00161CE8">
        <w:rPr>
          <w:sz w:val="24"/>
          <w:szCs w:val="24"/>
        </w:rPr>
        <w:t xml:space="preserve">the </w:t>
      </w:r>
      <w:r w:rsidR="00CB6C56">
        <w:rPr>
          <w:sz w:val="24"/>
          <w:szCs w:val="24"/>
        </w:rPr>
        <w:t>central</w:t>
      </w:r>
      <w:r w:rsidR="008077D2">
        <w:rPr>
          <w:sz w:val="24"/>
          <w:szCs w:val="24"/>
        </w:rPr>
        <w:t xml:space="preserve"> (33.3%)</w:t>
      </w:r>
      <w:r w:rsidR="00EF68FB" w:rsidRPr="00A05373">
        <w:rPr>
          <w:sz w:val="24"/>
          <w:szCs w:val="24"/>
        </w:rPr>
        <w:t xml:space="preserve"> </w:t>
      </w:r>
      <w:r w:rsidR="00CB6C56">
        <w:rPr>
          <w:sz w:val="24"/>
          <w:szCs w:val="24"/>
        </w:rPr>
        <w:t xml:space="preserve">regions </w:t>
      </w:r>
      <w:r w:rsidR="00161CE8">
        <w:rPr>
          <w:sz w:val="24"/>
          <w:szCs w:val="24"/>
        </w:rPr>
        <w:t>are</w:t>
      </w:r>
      <w:r w:rsidR="008077D2">
        <w:rPr>
          <w:sz w:val="24"/>
          <w:szCs w:val="24"/>
        </w:rPr>
        <w:t xml:space="preserve"> higher</w:t>
      </w:r>
      <w:r w:rsidR="00073C5C">
        <w:rPr>
          <w:sz w:val="24"/>
          <w:szCs w:val="24"/>
        </w:rPr>
        <w:t xml:space="preserve"> </w:t>
      </w:r>
      <w:r w:rsidR="00CB6C56">
        <w:rPr>
          <w:sz w:val="24"/>
          <w:szCs w:val="24"/>
        </w:rPr>
        <w:t>than</w:t>
      </w:r>
      <w:r w:rsidR="00EF68FB" w:rsidRPr="00A05373">
        <w:rPr>
          <w:sz w:val="24"/>
          <w:szCs w:val="24"/>
        </w:rPr>
        <w:t xml:space="preserve"> </w:t>
      </w:r>
      <w:r w:rsidR="00161CE8">
        <w:rPr>
          <w:sz w:val="24"/>
          <w:szCs w:val="24"/>
        </w:rPr>
        <w:t xml:space="preserve">the </w:t>
      </w:r>
      <w:r w:rsidR="00EF68FB" w:rsidRPr="00A05373">
        <w:rPr>
          <w:sz w:val="24"/>
          <w:szCs w:val="24"/>
        </w:rPr>
        <w:t xml:space="preserve">other regions. </w:t>
      </w:r>
      <w:r w:rsidR="00A03DA4">
        <w:rPr>
          <w:sz w:val="24"/>
          <w:szCs w:val="24"/>
        </w:rPr>
        <w:t xml:space="preserve">The </w:t>
      </w:r>
      <w:r w:rsidR="00CB6C56">
        <w:rPr>
          <w:sz w:val="24"/>
          <w:szCs w:val="24"/>
        </w:rPr>
        <w:t>e</w:t>
      </w:r>
      <w:r w:rsidR="00F21000" w:rsidRPr="00A05373">
        <w:rPr>
          <w:sz w:val="24"/>
          <w:szCs w:val="24"/>
        </w:rPr>
        <w:t>ast</w:t>
      </w:r>
      <w:r w:rsidR="00CB6C56">
        <w:rPr>
          <w:sz w:val="24"/>
          <w:szCs w:val="24"/>
        </w:rPr>
        <w:t>ern</w:t>
      </w:r>
      <w:r w:rsidR="00F21000" w:rsidRPr="00A05373">
        <w:rPr>
          <w:sz w:val="24"/>
          <w:szCs w:val="24"/>
        </w:rPr>
        <w:t xml:space="preserve">, </w:t>
      </w:r>
      <w:r w:rsidR="00CB6C56">
        <w:rPr>
          <w:sz w:val="24"/>
          <w:szCs w:val="24"/>
        </w:rPr>
        <w:t>w</w:t>
      </w:r>
      <w:r w:rsidR="00F21000" w:rsidRPr="00A05373">
        <w:rPr>
          <w:sz w:val="24"/>
          <w:szCs w:val="24"/>
        </w:rPr>
        <w:t>est</w:t>
      </w:r>
      <w:r w:rsidR="00CB6C56">
        <w:rPr>
          <w:sz w:val="24"/>
          <w:szCs w:val="24"/>
        </w:rPr>
        <w:t>ern</w:t>
      </w:r>
      <w:r w:rsidR="00F21000" w:rsidRPr="00A05373">
        <w:rPr>
          <w:sz w:val="24"/>
          <w:szCs w:val="24"/>
        </w:rPr>
        <w:t xml:space="preserve"> and </w:t>
      </w:r>
      <w:r w:rsidR="00CB6C56">
        <w:rPr>
          <w:sz w:val="24"/>
          <w:szCs w:val="24"/>
        </w:rPr>
        <w:t>s</w:t>
      </w:r>
      <w:r w:rsidR="00F21000" w:rsidRPr="00A05373">
        <w:rPr>
          <w:sz w:val="24"/>
          <w:szCs w:val="24"/>
        </w:rPr>
        <w:t>outh</w:t>
      </w:r>
      <w:r w:rsidR="00CB6C56">
        <w:rPr>
          <w:sz w:val="24"/>
          <w:szCs w:val="24"/>
        </w:rPr>
        <w:t>ern</w:t>
      </w:r>
      <w:r w:rsidR="008077D2">
        <w:rPr>
          <w:sz w:val="24"/>
          <w:szCs w:val="24"/>
        </w:rPr>
        <w:t xml:space="preserve"> </w:t>
      </w:r>
      <w:r w:rsidR="00F21000" w:rsidRPr="00A05373">
        <w:rPr>
          <w:sz w:val="24"/>
          <w:szCs w:val="24"/>
        </w:rPr>
        <w:t xml:space="preserve">regions </w:t>
      </w:r>
      <w:r w:rsidR="00161CE8">
        <w:rPr>
          <w:sz w:val="24"/>
          <w:szCs w:val="24"/>
        </w:rPr>
        <w:t>have</w:t>
      </w:r>
      <w:r w:rsidR="00161CE8" w:rsidRPr="00A05373">
        <w:rPr>
          <w:sz w:val="24"/>
          <w:szCs w:val="24"/>
        </w:rPr>
        <w:t xml:space="preserve"> </w:t>
      </w:r>
      <w:r w:rsidR="00F21000" w:rsidRPr="00A05373">
        <w:rPr>
          <w:sz w:val="24"/>
          <w:szCs w:val="24"/>
        </w:rPr>
        <w:t xml:space="preserve">a higher percentage of inefficient hospitals. </w:t>
      </w:r>
      <w:r w:rsidR="00242A6E" w:rsidRPr="00A05373">
        <w:rPr>
          <w:sz w:val="24"/>
          <w:szCs w:val="24"/>
        </w:rPr>
        <w:t xml:space="preserve">Both </w:t>
      </w:r>
      <w:r w:rsidR="00CB6C56">
        <w:rPr>
          <w:sz w:val="24"/>
          <w:szCs w:val="24"/>
        </w:rPr>
        <w:t>central</w:t>
      </w:r>
      <w:r w:rsidR="00242A6E" w:rsidRPr="00A05373">
        <w:rPr>
          <w:sz w:val="24"/>
          <w:szCs w:val="24"/>
        </w:rPr>
        <w:t xml:space="preserve"> and </w:t>
      </w:r>
      <w:r w:rsidR="00CB6C56">
        <w:rPr>
          <w:sz w:val="24"/>
          <w:szCs w:val="24"/>
        </w:rPr>
        <w:t>s</w:t>
      </w:r>
      <w:r w:rsidR="00242A6E" w:rsidRPr="00A05373">
        <w:rPr>
          <w:sz w:val="24"/>
          <w:szCs w:val="24"/>
        </w:rPr>
        <w:t>outh</w:t>
      </w:r>
      <w:r w:rsidR="00CB6C56">
        <w:rPr>
          <w:sz w:val="24"/>
          <w:szCs w:val="24"/>
        </w:rPr>
        <w:t>ern</w:t>
      </w:r>
      <w:r w:rsidR="008077D2">
        <w:rPr>
          <w:sz w:val="24"/>
          <w:szCs w:val="24"/>
        </w:rPr>
        <w:t xml:space="preserve"> </w:t>
      </w:r>
      <w:r w:rsidR="00242A6E" w:rsidRPr="00A05373">
        <w:rPr>
          <w:sz w:val="24"/>
          <w:szCs w:val="24"/>
        </w:rPr>
        <w:t>regions</w:t>
      </w:r>
      <w:r w:rsidR="008077D2">
        <w:rPr>
          <w:sz w:val="24"/>
          <w:szCs w:val="24"/>
        </w:rPr>
        <w:t xml:space="preserve"> </w:t>
      </w:r>
      <w:r w:rsidR="00242A6E" w:rsidRPr="00A05373">
        <w:rPr>
          <w:sz w:val="24"/>
          <w:szCs w:val="24"/>
        </w:rPr>
        <w:t xml:space="preserve">reported </w:t>
      </w:r>
      <w:r w:rsidR="00732905">
        <w:rPr>
          <w:sz w:val="24"/>
          <w:szCs w:val="24"/>
        </w:rPr>
        <w:t xml:space="preserve">a </w:t>
      </w:r>
      <w:r w:rsidR="00073C5C">
        <w:rPr>
          <w:sz w:val="24"/>
          <w:szCs w:val="24"/>
        </w:rPr>
        <w:t xml:space="preserve">relatively </w:t>
      </w:r>
      <w:r w:rsidR="008077D2">
        <w:rPr>
          <w:sz w:val="24"/>
          <w:szCs w:val="24"/>
        </w:rPr>
        <w:t>higher</w:t>
      </w:r>
      <w:r w:rsidR="00242A6E" w:rsidRPr="00A05373">
        <w:rPr>
          <w:sz w:val="24"/>
          <w:szCs w:val="24"/>
        </w:rPr>
        <w:t xml:space="preserve"> </w:t>
      </w:r>
      <w:r w:rsidR="00073C5C">
        <w:rPr>
          <w:sz w:val="24"/>
          <w:szCs w:val="24"/>
        </w:rPr>
        <w:t>VRS</w:t>
      </w:r>
      <w:r w:rsidR="00242A6E" w:rsidRPr="00A05373">
        <w:rPr>
          <w:sz w:val="24"/>
          <w:szCs w:val="24"/>
        </w:rPr>
        <w:t xml:space="preserve"> efficiency score of 0.89. </w:t>
      </w:r>
      <w:r w:rsidR="00F21000" w:rsidRPr="00A05373">
        <w:rPr>
          <w:sz w:val="24"/>
          <w:szCs w:val="24"/>
        </w:rPr>
        <w:t xml:space="preserve">In </w:t>
      </w:r>
      <w:r w:rsidR="00CB6C56">
        <w:rPr>
          <w:sz w:val="24"/>
          <w:szCs w:val="24"/>
        </w:rPr>
        <w:t>terms of</w:t>
      </w:r>
      <w:r w:rsidR="00F21000" w:rsidRPr="00A05373">
        <w:rPr>
          <w:sz w:val="24"/>
          <w:szCs w:val="24"/>
        </w:rPr>
        <w:t xml:space="preserve"> </w:t>
      </w:r>
      <w:r w:rsidR="00EF68FB" w:rsidRPr="00A05373">
        <w:rPr>
          <w:sz w:val="24"/>
          <w:szCs w:val="24"/>
        </w:rPr>
        <w:t xml:space="preserve">average scale efficiency scores, </w:t>
      </w:r>
      <w:r w:rsidR="00CB6C56">
        <w:rPr>
          <w:sz w:val="24"/>
          <w:szCs w:val="24"/>
        </w:rPr>
        <w:t xml:space="preserve">central </w:t>
      </w:r>
      <w:r w:rsidR="00F21000" w:rsidRPr="00A05373">
        <w:rPr>
          <w:sz w:val="24"/>
          <w:szCs w:val="24"/>
        </w:rPr>
        <w:t xml:space="preserve">region </w:t>
      </w:r>
      <w:r w:rsidR="00F21000" w:rsidRPr="00A05373">
        <w:rPr>
          <w:sz w:val="24"/>
          <w:szCs w:val="24"/>
        </w:rPr>
        <w:lastRenderedPageBreak/>
        <w:t>hospitals</w:t>
      </w:r>
      <w:r w:rsidR="00EF68FB" w:rsidRPr="00A05373">
        <w:rPr>
          <w:sz w:val="24"/>
          <w:szCs w:val="24"/>
        </w:rPr>
        <w:t xml:space="preserve"> (0.9</w:t>
      </w:r>
      <w:r w:rsidR="00F21000" w:rsidRPr="00A05373">
        <w:rPr>
          <w:sz w:val="24"/>
          <w:szCs w:val="24"/>
        </w:rPr>
        <w:t>3</w:t>
      </w:r>
      <w:r w:rsidR="00EF68FB" w:rsidRPr="00A05373">
        <w:rPr>
          <w:sz w:val="24"/>
          <w:szCs w:val="24"/>
        </w:rPr>
        <w:t>)</w:t>
      </w:r>
      <w:r w:rsidR="00F21000" w:rsidRPr="00A05373">
        <w:rPr>
          <w:sz w:val="24"/>
          <w:szCs w:val="24"/>
        </w:rPr>
        <w:t xml:space="preserve">, </w:t>
      </w:r>
      <w:r w:rsidR="00CB6C56">
        <w:rPr>
          <w:sz w:val="24"/>
          <w:szCs w:val="24"/>
        </w:rPr>
        <w:t>and hospitals in the n</w:t>
      </w:r>
      <w:r w:rsidR="00F21000" w:rsidRPr="00A05373">
        <w:rPr>
          <w:sz w:val="24"/>
          <w:szCs w:val="24"/>
        </w:rPr>
        <w:t>orth</w:t>
      </w:r>
      <w:r w:rsidR="007775CD">
        <w:rPr>
          <w:sz w:val="24"/>
          <w:szCs w:val="24"/>
        </w:rPr>
        <w:t>-</w:t>
      </w:r>
      <w:r w:rsidR="00F21000" w:rsidRPr="00A05373">
        <w:rPr>
          <w:sz w:val="24"/>
          <w:szCs w:val="24"/>
        </w:rPr>
        <w:t xml:space="preserve"> and </w:t>
      </w:r>
      <w:r w:rsidR="00CB6C56">
        <w:rPr>
          <w:sz w:val="24"/>
          <w:szCs w:val="24"/>
        </w:rPr>
        <w:t>east</w:t>
      </w:r>
      <w:r w:rsidR="00EF68FB" w:rsidRPr="00A05373">
        <w:rPr>
          <w:sz w:val="24"/>
          <w:szCs w:val="24"/>
        </w:rPr>
        <w:t xml:space="preserve"> (</w:t>
      </w:r>
      <w:r w:rsidR="008077D2">
        <w:rPr>
          <w:sz w:val="24"/>
          <w:szCs w:val="24"/>
        </w:rPr>
        <w:t xml:space="preserve">both </w:t>
      </w:r>
      <w:r w:rsidR="00EF68FB" w:rsidRPr="00A05373">
        <w:rPr>
          <w:sz w:val="24"/>
          <w:szCs w:val="24"/>
        </w:rPr>
        <w:t xml:space="preserve">0.90) </w:t>
      </w:r>
      <w:r w:rsidR="001E4B8F" w:rsidRPr="00A05373">
        <w:rPr>
          <w:sz w:val="24"/>
          <w:szCs w:val="24"/>
        </w:rPr>
        <w:t xml:space="preserve">were </w:t>
      </w:r>
      <w:r w:rsidR="00EF68FB" w:rsidRPr="00A05373">
        <w:rPr>
          <w:sz w:val="24"/>
          <w:szCs w:val="24"/>
        </w:rPr>
        <w:t>operat</w:t>
      </w:r>
      <w:r w:rsidR="001E4B8F" w:rsidRPr="00A05373">
        <w:rPr>
          <w:sz w:val="24"/>
          <w:szCs w:val="24"/>
        </w:rPr>
        <w:t>ing</w:t>
      </w:r>
      <w:r w:rsidR="00EF68FB" w:rsidRPr="00A05373">
        <w:rPr>
          <w:sz w:val="24"/>
          <w:szCs w:val="24"/>
        </w:rPr>
        <w:t xml:space="preserve"> at </w:t>
      </w:r>
      <w:r w:rsidR="00732905">
        <w:rPr>
          <w:sz w:val="24"/>
          <w:szCs w:val="24"/>
        </w:rPr>
        <w:t xml:space="preserve">a </w:t>
      </w:r>
      <w:r w:rsidR="00EF68FB" w:rsidRPr="00A05373">
        <w:rPr>
          <w:sz w:val="24"/>
          <w:szCs w:val="24"/>
        </w:rPr>
        <w:t xml:space="preserve">more optimal scale than </w:t>
      </w:r>
      <w:r w:rsidR="00CB6C56">
        <w:rPr>
          <w:sz w:val="24"/>
          <w:szCs w:val="24"/>
        </w:rPr>
        <w:t>those in the w</w:t>
      </w:r>
      <w:r w:rsidR="00F21000" w:rsidRPr="00A05373">
        <w:rPr>
          <w:sz w:val="24"/>
          <w:szCs w:val="24"/>
        </w:rPr>
        <w:t>est</w:t>
      </w:r>
      <w:r w:rsidR="00EF68FB" w:rsidRPr="00A05373">
        <w:rPr>
          <w:sz w:val="24"/>
          <w:szCs w:val="24"/>
        </w:rPr>
        <w:t xml:space="preserve"> (0.8</w:t>
      </w:r>
      <w:r w:rsidR="00F21000" w:rsidRPr="00A05373">
        <w:rPr>
          <w:sz w:val="24"/>
          <w:szCs w:val="24"/>
        </w:rPr>
        <w:t>1</w:t>
      </w:r>
      <w:r w:rsidR="00EF68FB" w:rsidRPr="00A05373">
        <w:rPr>
          <w:sz w:val="24"/>
          <w:szCs w:val="24"/>
        </w:rPr>
        <w:t xml:space="preserve">) </w:t>
      </w:r>
      <w:r w:rsidR="00F21000" w:rsidRPr="00A05373">
        <w:rPr>
          <w:sz w:val="24"/>
          <w:szCs w:val="24"/>
        </w:rPr>
        <w:t xml:space="preserve">and </w:t>
      </w:r>
      <w:r w:rsidR="00CB6C56">
        <w:rPr>
          <w:sz w:val="24"/>
          <w:szCs w:val="24"/>
        </w:rPr>
        <w:t>s</w:t>
      </w:r>
      <w:r w:rsidR="00F21000" w:rsidRPr="00A05373">
        <w:rPr>
          <w:sz w:val="24"/>
          <w:szCs w:val="24"/>
        </w:rPr>
        <w:t>outh</w:t>
      </w:r>
      <w:r w:rsidR="00EF68FB" w:rsidRPr="00A05373">
        <w:rPr>
          <w:sz w:val="24"/>
          <w:szCs w:val="24"/>
        </w:rPr>
        <w:t xml:space="preserve"> (0.8</w:t>
      </w:r>
      <w:r w:rsidR="00F21000" w:rsidRPr="00A05373">
        <w:rPr>
          <w:sz w:val="24"/>
          <w:szCs w:val="24"/>
        </w:rPr>
        <w:t>3</w:t>
      </w:r>
      <w:r w:rsidR="00EF68FB" w:rsidRPr="00A05373">
        <w:rPr>
          <w:sz w:val="24"/>
          <w:szCs w:val="24"/>
        </w:rPr>
        <w:t>).</w:t>
      </w:r>
      <w:r w:rsidR="00DF762E" w:rsidRPr="00A05373">
        <w:rPr>
          <w:sz w:val="24"/>
          <w:szCs w:val="24"/>
        </w:rPr>
        <w:t xml:space="preserve"> </w:t>
      </w:r>
      <w:r w:rsidR="00CB6C56">
        <w:rPr>
          <w:sz w:val="24"/>
          <w:szCs w:val="24"/>
        </w:rPr>
        <w:t>H</w:t>
      </w:r>
      <w:r w:rsidR="00DF762E" w:rsidRPr="00A05373">
        <w:rPr>
          <w:sz w:val="24"/>
          <w:szCs w:val="24"/>
        </w:rPr>
        <w:t xml:space="preserve">alf of </w:t>
      </w:r>
      <w:r w:rsidR="008077D2">
        <w:rPr>
          <w:sz w:val="24"/>
          <w:szCs w:val="24"/>
        </w:rPr>
        <w:t xml:space="preserve">the </w:t>
      </w:r>
      <w:r w:rsidR="00CB6C56">
        <w:rPr>
          <w:sz w:val="24"/>
          <w:szCs w:val="24"/>
        </w:rPr>
        <w:t>sample hospitals in the e</w:t>
      </w:r>
      <w:r w:rsidR="00DF762E" w:rsidRPr="00A05373">
        <w:rPr>
          <w:sz w:val="24"/>
          <w:szCs w:val="24"/>
        </w:rPr>
        <w:t>ast</w:t>
      </w:r>
      <w:r w:rsidR="0001443B">
        <w:rPr>
          <w:sz w:val="24"/>
          <w:szCs w:val="24"/>
        </w:rPr>
        <w:t>ern</w:t>
      </w:r>
      <w:r w:rsidR="008077D2">
        <w:rPr>
          <w:sz w:val="24"/>
          <w:szCs w:val="24"/>
        </w:rPr>
        <w:t xml:space="preserve"> </w:t>
      </w:r>
      <w:r w:rsidR="00DF762E" w:rsidRPr="00A05373">
        <w:rPr>
          <w:sz w:val="24"/>
          <w:szCs w:val="24"/>
        </w:rPr>
        <w:t xml:space="preserve">region </w:t>
      </w:r>
      <w:r w:rsidR="008077D2">
        <w:rPr>
          <w:sz w:val="24"/>
          <w:szCs w:val="24"/>
        </w:rPr>
        <w:t>operat</w:t>
      </w:r>
      <w:r w:rsidR="00161CE8">
        <w:rPr>
          <w:sz w:val="24"/>
          <w:szCs w:val="24"/>
        </w:rPr>
        <w:t>e</w:t>
      </w:r>
      <w:r w:rsidR="00DF762E" w:rsidRPr="00A05373">
        <w:rPr>
          <w:sz w:val="24"/>
          <w:szCs w:val="24"/>
        </w:rPr>
        <w:t xml:space="preserve"> </w:t>
      </w:r>
      <w:r w:rsidR="00073C5C">
        <w:rPr>
          <w:sz w:val="24"/>
          <w:szCs w:val="24"/>
        </w:rPr>
        <w:t xml:space="preserve">on CRS, </w:t>
      </w:r>
      <w:r w:rsidR="00DF762E" w:rsidRPr="00A05373">
        <w:rPr>
          <w:sz w:val="24"/>
          <w:szCs w:val="24"/>
        </w:rPr>
        <w:t xml:space="preserve">followed by </w:t>
      </w:r>
      <w:r w:rsidR="00CB6C56">
        <w:rPr>
          <w:sz w:val="24"/>
          <w:szCs w:val="24"/>
        </w:rPr>
        <w:t>hospitals in the central and n</w:t>
      </w:r>
      <w:r w:rsidR="00DF762E" w:rsidRPr="00A05373">
        <w:rPr>
          <w:sz w:val="24"/>
          <w:szCs w:val="24"/>
        </w:rPr>
        <w:t>orth</w:t>
      </w:r>
      <w:r w:rsidR="007775CD">
        <w:rPr>
          <w:sz w:val="24"/>
          <w:szCs w:val="24"/>
        </w:rPr>
        <w:t xml:space="preserve"> region</w:t>
      </w:r>
      <w:r w:rsidR="00DF762E" w:rsidRPr="00A05373">
        <w:rPr>
          <w:sz w:val="24"/>
          <w:szCs w:val="24"/>
        </w:rPr>
        <w:t xml:space="preserve">s </w:t>
      </w:r>
      <w:r w:rsidR="008077D2">
        <w:rPr>
          <w:sz w:val="24"/>
          <w:szCs w:val="24"/>
        </w:rPr>
        <w:t xml:space="preserve">(both </w:t>
      </w:r>
      <w:r w:rsidR="00DF762E" w:rsidRPr="00A05373">
        <w:rPr>
          <w:sz w:val="24"/>
          <w:szCs w:val="24"/>
        </w:rPr>
        <w:t>41%</w:t>
      </w:r>
      <w:r w:rsidR="008077D2">
        <w:rPr>
          <w:sz w:val="24"/>
          <w:szCs w:val="24"/>
        </w:rPr>
        <w:t>)</w:t>
      </w:r>
      <w:r w:rsidR="00DF762E" w:rsidRPr="00A05373">
        <w:rPr>
          <w:sz w:val="24"/>
          <w:szCs w:val="24"/>
        </w:rPr>
        <w:t xml:space="preserve">. </w:t>
      </w:r>
      <w:r w:rsidR="00CB6C56">
        <w:rPr>
          <w:sz w:val="24"/>
          <w:szCs w:val="24"/>
        </w:rPr>
        <w:t>The findings also revealed that</w:t>
      </w:r>
      <w:r w:rsidR="00DF762E" w:rsidRPr="00A05373">
        <w:rPr>
          <w:sz w:val="24"/>
          <w:szCs w:val="24"/>
        </w:rPr>
        <w:t xml:space="preserve"> 52.9 % of </w:t>
      </w:r>
      <w:r w:rsidR="00CB6C56">
        <w:rPr>
          <w:sz w:val="24"/>
          <w:szCs w:val="24"/>
        </w:rPr>
        <w:t>n</w:t>
      </w:r>
      <w:r w:rsidR="00DF762E" w:rsidRPr="00A05373">
        <w:rPr>
          <w:sz w:val="24"/>
          <w:szCs w:val="24"/>
        </w:rPr>
        <w:t>orth</w:t>
      </w:r>
      <w:r w:rsidR="00CB6C56">
        <w:rPr>
          <w:sz w:val="24"/>
          <w:szCs w:val="24"/>
        </w:rPr>
        <w:t xml:space="preserve"> </w:t>
      </w:r>
      <w:r w:rsidR="007775CD">
        <w:rPr>
          <w:sz w:val="24"/>
          <w:szCs w:val="24"/>
        </w:rPr>
        <w:t>region</w:t>
      </w:r>
      <w:r w:rsidR="00DF762E" w:rsidRPr="00A05373">
        <w:rPr>
          <w:sz w:val="24"/>
          <w:szCs w:val="24"/>
        </w:rPr>
        <w:t xml:space="preserve"> hospitals </w:t>
      </w:r>
      <w:r w:rsidR="00C3111F" w:rsidRPr="00A05373">
        <w:rPr>
          <w:sz w:val="24"/>
          <w:szCs w:val="24"/>
        </w:rPr>
        <w:t xml:space="preserve">were </w:t>
      </w:r>
      <w:r w:rsidR="00DF762E" w:rsidRPr="00A05373">
        <w:rPr>
          <w:sz w:val="24"/>
          <w:szCs w:val="24"/>
        </w:rPr>
        <w:t>operat</w:t>
      </w:r>
      <w:r w:rsidR="00C3111F" w:rsidRPr="00A05373">
        <w:rPr>
          <w:sz w:val="24"/>
          <w:szCs w:val="24"/>
        </w:rPr>
        <w:t>ing</w:t>
      </w:r>
      <w:r w:rsidR="00DF762E" w:rsidRPr="00A05373">
        <w:rPr>
          <w:sz w:val="24"/>
          <w:szCs w:val="24"/>
        </w:rPr>
        <w:t xml:space="preserve"> on IRS, while 37.5% of </w:t>
      </w:r>
      <w:r w:rsidR="00CB6C56">
        <w:rPr>
          <w:sz w:val="24"/>
          <w:szCs w:val="24"/>
        </w:rPr>
        <w:t>e</w:t>
      </w:r>
      <w:r w:rsidR="00DF762E" w:rsidRPr="00A05373">
        <w:rPr>
          <w:sz w:val="24"/>
          <w:szCs w:val="24"/>
        </w:rPr>
        <w:t>ast</w:t>
      </w:r>
      <w:r w:rsidR="00CB6C56">
        <w:rPr>
          <w:sz w:val="24"/>
          <w:szCs w:val="24"/>
        </w:rPr>
        <w:t xml:space="preserve"> </w:t>
      </w:r>
      <w:r w:rsidR="00DF762E" w:rsidRPr="00A05373">
        <w:rPr>
          <w:sz w:val="24"/>
          <w:szCs w:val="24"/>
        </w:rPr>
        <w:t>region hospitals were operating on DRS.</w:t>
      </w:r>
    </w:p>
    <w:p w14:paraId="4FF70791" w14:textId="666DD9E0" w:rsidR="008077D2" w:rsidRDefault="005548AD" w:rsidP="008F1189">
      <w:pPr>
        <w:spacing w:line="360" w:lineRule="auto"/>
        <w:jc w:val="both"/>
        <w:rPr>
          <w:rFonts w:ascii="Calibri" w:hAnsi="Calibri"/>
          <w:sz w:val="24"/>
          <w:szCs w:val="24"/>
        </w:rPr>
      </w:pPr>
      <w:r w:rsidRPr="00A05373">
        <w:rPr>
          <w:rFonts w:ascii="Calibri" w:hAnsi="Calibri"/>
          <w:sz w:val="24"/>
          <w:szCs w:val="24"/>
        </w:rPr>
        <w:t>The</w:t>
      </w:r>
      <w:r w:rsidR="007775CD">
        <w:rPr>
          <w:rFonts w:ascii="Calibri" w:hAnsi="Calibri"/>
          <w:sz w:val="24"/>
          <w:szCs w:val="24"/>
        </w:rPr>
        <w:t xml:space="preserve"> </w:t>
      </w:r>
      <w:r w:rsidR="00D84803">
        <w:rPr>
          <w:rFonts w:ascii="Calibri" w:hAnsi="Calibri"/>
          <w:sz w:val="24"/>
          <w:szCs w:val="24"/>
        </w:rPr>
        <w:t xml:space="preserve">performance </w:t>
      </w:r>
      <w:r w:rsidR="007775CD">
        <w:rPr>
          <w:rFonts w:ascii="Calibri" w:hAnsi="Calibri"/>
          <w:sz w:val="24"/>
          <w:szCs w:val="24"/>
        </w:rPr>
        <w:t xml:space="preserve">analysis </w:t>
      </w:r>
      <w:r w:rsidR="00CB6C56">
        <w:rPr>
          <w:rFonts w:ascii="Calibri" w:hAnsi="Calibri"/>
          <w:sz w:val="24"/>
          <w:szCs w:val="24"/>
        </w:rPr>
        <w:t xml:space="preserve">identified </w:t>
      </w:r>
      <w:r w:rsidR="00D84803">
        <w:rPr>
          <w:rFonts w:ascii="Calibri" w:hAnsi="Calibri"/>
          <w:sz w:val="24"/>
          <w:szCs w:val="24"/>
        </w:rPr>
        <w:t xml:space="preserve">the </w:t>
      </w:r>
      <w:r w:rsidRPr="00A05373">
        <w:rPr>
          <w:rFonts w:ascii="Calibri" w:hAnsi="Calibri"/>
          <w:sz w:val="24"/>
          <w:szCs w:val="24"/>
        </w:rPr>
        <w:t>slacks</w:t>
      </w:r>
      <w:r w:rsidR="007775CD">
        <w:rPr>
          <w:rFonts w:ascii="Calibri" w:hAnsi="Calibri"/>
          <w:sz w:val="24"/>
          <w:szCs w:val="24"/>
        </w:rPr>
        <w:t>, which</w:t>
      </w:r>
      <w:r w:rsidRPr="00A05373">
        <w:rPr>
          <w:rFonts w:ascii="Calibri" w:hAnsi="Calibri"/>
          <w:sz w:val="24"/>
          <w:szCs w:val="24"/>
        </w:rPr>
        <w:t xml:space="preserve"> </w:t>
      </w:r>
      <w:r w:rsidR="00D84803">
        <w:rPr>
          <w:rFonts w:ascii="Calibri" w:hAnsi="Calibri"/>
          <w:sz w:val="24"/>
          <w:szCs w:val="24"/>
        </w:rPr>
        <w:t>showed</w:t>
      </w:r>
      <w:r w:rsidR="00A57A85" w:rsidRPr="00A05373">
        <w:rPr>
          <w:rFonts w:ascii="Calibri" w:hAnsi="Calibri"/>
          <w:sz w:val="24"/>
          <w:szCs w:val="24"/>
        </w:rPr>
        <w:t xml:space="preserve"> </w:t>
      </w:r>
      <w:r w:rsidRPr="00A05373">
        <w:rPr>
          <w:rFonts w:ascii="Calibri" w:hAnsi="Calibri"/>
          <w:sz w:val="24"/>
          <w:szCs w:val="24"/>
        </w:rPr>
        <w:t xml:space="preserve">either excess input </w:t>
      </w:r>
      <w:r w:rsidR="00EC577F" w:rsidRPr="00A05373">
        <w:rPr>
          <w:rFonts w:ascii="Calibri" w:hAnsi="Calibri"/>
          <w:sz w:val="24"/>
          <w:szCs w:val="24"/>
        </w:rPr>
        <w:t>utiliz</w:t>
      </w:r>
      <w:r w:rsidR="00AE36F0">
        <w:rPr>
          <w:rFonts w:ascii="Calibri" w:hAnsi="Calibri"/>
          <w:sz w:val="24"/>
          <w:szCs w:val="24"/>
        </w:rPr>
        <w:t>ation</w:t>
      </w:r>
      <w:r w:rsidR="00EC577F" w:rsidRPr="00A05373">
        <w:rPr>
          <w:rFonts w:ascii="Calibri" w:hAnsi="Calibri"/>
          <w:sz w:val="24"/>
          <w:szCs w:val="24"/>
        </w:rPr>
        <w:t xml:space="preserve"> </w:t>
      </w:r>
      <w:r w:rsidRPr="00A05373">
        <w:rPr>
          <w:rFonts w:ascii="Calibri" w:hAnsi="Calibri"/>
          <w:sz w:val="24"/>
          <w:szCs w:val="24"/>
        </w:rPr>
        <w:t xml:space="preserve">or shortages </w:t>
      </w:r>
      <w:r w:rsidR="00A57A85" w:rsidRPr="00A05373">
        <w:rPr>
          <w:rFonts w:ascii="Calibri" w:hAnsi="Calibri"/>
          <w:sz w:val="24"/>
          <w:szCs w:val="24"/>
        </w:rPr>
        <w:t>of</w:t>
      </w:r>
      <w:r w:rsidRPr="00A05373">
        <w:rPr>
          <w:rFonts w:ascii="Calibri" w:hAnsi="Calibri"/>
          <w:sz w:val="24"/>
          <w:szCs w:val="24"/>
        </w:rPr>
        <w:t xml:space="preserve"> output</w:t>
      </w:r>
      <w:r w:rsidR="00A57A85" w:rsidRPr="00A05373">
        <w:rPr>
          <w:rFonts w:ascii="Calibri" w:hAnsi="Calibri"/>
          <w:sz w:val="24"/>
          <w:szCs w:val="24"/>
        </w:rPr>
        <w:t xml:space="preserve"> production</w:t>
      </w:r>
      <w:r w:rsidRPr="00A05373">
        <w:rPr>
          <w:rFonts w:ascii="Calibri" w:hAnsi="Calibri"/>
          <w:sz w:val="24"/>
          <w:szCs w:val="24"/>
        </w:rPr>
        <w:t xml:space="preserve">. Table </w:t>
      </w:r>
      <w:r w:rsidR="0023024D" w:rsidRPr="00A05373">
        <w:rPr>
          <w:rFonts w:ascii="Calibri" w:hAnsi="Calibri"/>
          <w:sz w:val="24"/>
          <w:szCs w:val="24"/>
        </w:rPr>
        <w:t>5</w:t>
      </w:r>
      <w:r w:rsidRPr="00A05373">
        <w:rPr>
          <w:rFonts w:ascii="Calibri" w:hAnsi="Calibri"/>
          <w:sz w:val="24"/>
          <w:szCs w:val="24"/>
        </w:rPr>
        <w:t xml:space="preserve"> show</w:t>
      </w:r>
      <w:r w:rsidR="00CB6C56">
        <w:rPr>
          <w:rFonts w:ascii="Calibri" w:hAnsi="Calibri"/>
          <w:sz w:val="24"/>
          <w:szCs w:val="24"/>
        </w:rPr>
        <w:t>s</w:t>
      </w:r>
      <w:r w:rsidRPr="00A05373">
        <w:rPr>
          <w:rFonts w:ascii="Calibri" w:hAnsi="Calibri"/>
          <w:sz w:val="24"/>
          <w:szCs w:val="24"/>
        </w:rPr>
        <w:t xml:space="preserve"> the average amount of slack </w:t>
      </w:r>
      <w:r w:rsidR="00CB6C56">
        <w:rPr>
          <w:rFonts w:ascii="Calibri" w:hAnsi="Calibri"/>
          <w:sz w:val="24"/>
          <w:szCs w:val="24"/>
        </w:rPr>
        <w:t xml:space="preserve">in hospitals </w:t>
      </w:r>
      <w:r w:rsidR="003255F4">
        <w:rPr>
          <w:rFonts w:ascii="Calibri" w:hAnsi="Calibri"/>
          <w:sz w:val="24"/>
          <w:szCs w:val="24"/>
        </w:rPr>
        <w:t>deemed</w:t>
      </w:r>
      <w:r w:rsidRPr="00A05373">
        <w:rPr>
          <w:rFonts w:ascii="Calibri" w:hAnsi="Calibri"/>
          <w:sz w:val="24"/>
          <w:szCs w:val="24"/>
        </w:rPr>
        <w:t xml:space="preserve"> inefficient. These results represent the combined scores of slack for all inefficient hospitals</w:t>
      </w:r>
      <w:r w:rsidR="00CB6C56">
        <w:rPr>
          <w:rFonts w:ascii="Calibri" w:hAnsi="Calibri"/>
          <w:sz w:val="24"/>
          <w:szCs w:val="24"/>
        </w:rPr>
        <w:t>,</w:t>
      </w:r>
      <w:r w:rsidR="00D71D4B" w:rsidRPr="00A05373">
        <w:rPr>
          <w:rFonts w:ascii="Calibri" w:hAnsi="Calibri"/>
          <w:sz w:val="24"/>
          <w:szCs w:val="24"/>
        </w:rPr>
        <w:t xml:space="preserve"> </w:t>
      </w:r>
      <w:r w:rsidR="00EC577F" w:rsidRPr="00A05373">
        <w:rPr>
          <w:rFonts w:ascii="Calibri" w:hAnsi="Calibri"/>
          <w:sz w:val="24"/>
          <w:szCs w:val="24"/>
        </w:rPr>
        <w:t>for</w:t>
      </w:r>
      <w:r w:rsidR="00D71D4B" w:rsidRPr="00A05373">
        <w:rPr>
          <w:rFonts w:ascii="Calibri" w:hAnsi="Calibri"/>
          <w:sz w:val="24"/>
          <w:szCs w:val="24"/>
        </w:rPr>
        <w:t xml:space="preserve"> each input and output</w:t>
      </w:r>
      <w:r w:rsidRPr="00A05373">
        <w:rPr>
          <w:rFonts w:ascii="Calibri" w:hAnsi="Calibri"/>
          <w:sz w:val="24"/>
          <w:szCs w:val="24"/>
        </w:rPr>
        <w:t xml:space="preserve">. </w:t>
      </w:r>
      <w:r w:rsidR="00CB6C56">
        <w:rPr>
          <w:rFonts w:ascii="Calibri" w:hAnsi="Calibri"/>
          <w:sz w:val="24"/>
          <w:szCs w:val="24"/>
        </w:rPr>
        <w:t>Table 5 also shows the p</w:t>
      </w:r>
      <w:r w:rsidRPr="00A05373">
        <w:rPr>
          <w:rFonts w:ascii="Calibri" w:hAnsi="Calibri"/>
          <w:sz w:val="24"/>
          <w:szCs w:val="24"/>
        </w:rPr>
        <w:t xml:space="preserve">ercentage </w:t>
      </w:r>
      <w:r w:rsidR="00EC577F" w:rsidRPr="00A05373">
        <w:rPr>
          <w:rFonts w:ascii="Calibri" w:hAnsi="Calibri"/>
          <w:sz w:val="24"/>
          <w:szCs w:val="24"/>
        </w:rPr>
        <w:t xml:space="preserve">of </w:t>
      </w:r>
      <w:r w:rsidRPr="00A05373">
        <w:rPr>
          <w:rFonts w:ascii="Calibri" w:hAnsi="Calibri"/>
          <w:sz w:val="24"/>
          <w:szCs w:val="24"/>
        </w:rPr>
        <w:t>change</w:t>
      </w:r>
      <w:r w:rsidR="00AE36F0">
        <w:rPr>
          <w:rFonts w:ascii="Calibri" w:hAnsi="Calibri"/>
          <w:sz w:val="24"/>
          <w:szCs w:val="24"/>
        </w:rPr>
        <w:t xml:space="preserve"> (slacks) in the number of inputs or outputs required to </w:t>
      </w:r>
      <w:r w:rsidR="00481AF3">
        <w:rPr>
          <w:rFonts w:ascii="Calibri" w:hAnsi="Calibri"/>
          <w:sz w:val="24"/>
          <w:szCs w:val="24"/>
        </w:rPr>
        <w:t xml:space="preserve">eliminate the inefficiencies </w:t>
      </w:r>
      <w:r w:rsidR="007775CD">
        <w:rPr>
          <w:rFonts w:ascii="Calibri" w:hAnsi="Calibri"/>
          <w:sz w:val="24"/>
          <w:szCs w:val="24"/>
        </w:rPr>
        <w:t xml:space="preserve">and </w:t>
      </w:r>
      <w:r w:rsidR="00AE36F0">
        <w:rPr>
          <w:rFonts w:ascii="Calibri" w:hAnsi="Calibri"/>
          <w:sz w:val="24"/>
          <w:szCs w:val="24"/>
        </w:rPr>
        <w:t xml:space="preserve">achieve target </w:t>
      </w:r>
      <w:r w:rsidR="00481AF3">
        <w:rPr>
          <w:rFonts w:ascii="Calibri" w:hAnsi="Calibri"/>
          <w:sz w:val="24"/>
          <w:szCs w:val="24"/>
        </w:rPr>
        <w:t>levels</w:t>
      </w:r>
      <w:r w:rsidRPr="00A05373">
        <w:rPr>
          <w:rFonts w:ascii="Calibri" w:hAnsi="Calibri"/>
          <w:sz w:val="24"/>
          <w:szCs w:val="24"/>
        </w:rPr>
        <w:t xml:space="preserve">. </w:t>
      </w:r>
      <w:bookmarkStart w:id="29" w:name="_Hlk2610030"/>
    </w:p>
    <w:p w14:paraId="0BF4A835" w14:textId="77777777" w:rsidR="006409FC" w:rsidRPr="00E728C2" w:rsidRDefault="006409FC" w:rsidP="008F1189">
      <w:pPr>
        <w:pStyle w:val="Caption"/>
        <w:keepNext/>
        <w:jc w:val="both"/>
        <w:rPr>
          <w:i w:val="0"/>
          <w:color w:val="auto"/>
          <w:sz w:val="20"/>
        </w:rPr>
      </w:pPr>
      <w:r w:rsidRPr="00E050F6">
        <w:rPr>
          <w:b/>
          <w:i w:val="0"/>
          <w:color w:val="auto"/>
          <w:sz w:val="20"/>
        </w:rPr>
        <w:t xml:space="preserve">Table </w:t>
      </w:r>
      <w:r w:rsidRPr="00E050F6">
        <w:rPr>
          <w:b/>
          <w:i w:val="0"/>
          <w:noProof/>
          <w:color w:val="auto"/>
          <w:sz w:val="20"/>
        </w:rPr>
        <w:fldChar w:fldCharType="begin"/>
      </w:r>
      <w:r w:rsidRPr="00E050F6">
        <w:rPr>
          <w:b/>
          <w:i w:val="0"/>
          <w:noProof/>
          <w:color w:val="auto"/>
          <w:sz w:val="20"/>
        </w:rPr>
        <w:instrText xml:space="preserve"> SEQ Table \* ARABIC </w:instrText>
      </w:r>
      <w:r w:rsidRPr="00E050F6">
        <w:rPr>
          <w:b/>
          <w:i w:val="0"/>
          <w:noProof/>
          <w:color w:val="auto"/>
          <w:sz w:val="20"/>
        </w:rPr>
        <w:fldChar w:fldCharType="separate"/>
      </w:r>
      <w:r w:rsidRPr="00E050F6">
        <w:rPr>
          <w:b/>
          <w:i w:val="0"/>
          <w:noProof/>
          <w:color w:val="auto"/>
          <w:sz w:val="20"/>
        </w:rPr>
        <w:t>5</w:t>
      </w:r>
      <w:r w:rsidRPr="00E050F6">
        <w:rPr>
          <w:b/>
          <w:i w:val="0"/>
          <w:noProof/>
          <w:color w:val="auto"/>
          <w:sz w:val="20"/>
        </w:rPr>
        <w:fldChar w:fldCharType="end"/>
      </w:r>
      <w:r w:rsidRPr="00E728C2">
        <w:rPr>
          <w:i w:val="0"/>
          <w:color w:val="auto"/>
          <w:sz w:val="20"/>
        </w:rPr>
        <w:t xml:space="preserve"> </w:t>
      </w:r>
      <w:r w:rsidRPr="00480E4E">
        <w:rPr>
          <w:i w:val="0"/>
          <w:color w:val="auto"/>
          <w:sz w:val="20"/>
        </w:rPr>
        <w:t>Slacks evaluation for inefficient hospitals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72"/>
        <w:gridCol w:w="2552"/>
        <w:gridCol w:w="2409"/>
      </w:tblGrid>
      <w:tr w:rsidR="006409FC" w14:paraId="4C4F7B6B" w14:textId="77777777" w:rsidTr="00A05941">
        <w:trPr>
          <w:trHeight w:val="394"/>
        </w:trPr>
        <w:tc>
          <w:tcPr>
            <w:tcW w:w="2972" w:type="dxa"/>
            <w:tcBorders>
              <w:top w:val="single" w:sz="4" w:space="0" w:color="auto"/>
              <w:left w:val="nil"/>
              <w:right w:val="single" w:sz="4" w:space="0" w:color="auto"/>
            </w:tcBorders>
            <w:noWrap/>
            <w:hideMark/>
          </w:tcPr>
          <w:p w14:paraId="43E5C17C" w14:textId="77777777" w:rsidR="006409FC" w:rsidRPr="001157F2" w:rsidRDefault="006409FC" w:rsidP="008F1189">
            <w:pPr>
              <w:spacing w:line="276" w:lineRule="auto"/>
              <w:jc w:val="both"/>
            </w:pPr>
            <w:r w:rsidRPr="001157F2">
              <w:rPr>
                <w:b/>
                <w:bCs/>
              </w:rPr>
              <w:t>Input</w:t>
            </w:r>
            <w:r>
              <w:rPr>
                <w:b/>
                <w:bCs/>
              </w:rPr>
              <w:t xml:space="preserve"> slacks</w:t>
            </w:r>
          </w:p>
        </w:tc>
        <w:tc>
          <w:tcPr>
            <w:tcW w:w="2552" w:type="dxa"/>
            <w:tcBorders>
              <w:top w:val="single" w:sz="4" w:space="0" w:color="auto"/>
              <w:left w:val="single" w:sz="4" w:space="0" w:color="auto"/>
              <w:right w:val="single" w:sz="4" w:space="0" w:color="auto"/>
            </w:tcBorders>
            <w:noWrap/>
            <w:hideMark/>
          </w:tcPr>
          <w:p w14:paraId="603C8FC8" w14:textId="77777777" w:rsidR="006409FC" w:rsidRPr="001157F2" w:rsidRDefault="006409FC" w:rsidP="008F1189">
            <w:pPr>
              <w:spacing w:line="276" w:lineRule="auto"/>
              <w:jc w:val="both"/>
            </w:pPr>
            <w:r>
              <w:t>Mean (SD)</w:t>
            </w:r>
          </w:p>
        </w:tc>
        <w:tc>
          <w:tcPr>
            <w:tcW w:w="2409" w:type="dxa"/>
            <w:tcBorders>
              <w:top w:val="single" w:sz="4" w:space="0" w:color="auto"/>
              <w:left w:val="single" w:sz="4" w:space="0" w:color="auto"/>
              <w:right w:val="nil"/>
            </w:tcBorders>
            <w:noWrap/>
            <w:hideMark/>
          </w:tcPr>
          <w:p w14:paraId="0E64CE6A" w14:textId="77777777" w:rsidR="006409FC" w:rsidRPr="001157F2" w:rsidRDefault="006409FC" w:rsidP="008F1189">
            <w:pPr>
              <w:spacing w:line="276" w:lineRule="auto"/>
              <w:jc w:val="both"/>
            </w:pPr>
            <w:r>
              <w:t>Percentage of c</w:t>
            </w:r>
            <w:r w:rsidRPr="001157F2">
              <w:t>hange</w:t>
            </w:r>
          </w:p>
        </w:tc>
      </w:tr>
      <w:tr w:rsidR="006409FC" w14:paraId="548B2972" w14:textId="77777777" w:rsidTr="00A05941">
        <w:trPr>
          <w:trHeight w:val="300"/>
        </w:trPr>
        <w:tc>
          <w:tcPr>
            <w:tcW w:w="2972" w:type="dxa"/>
            <w:tcBorders>
              <w:top w:val="single" w:sz="4" w:space="0" w:color="auto"/>
              <w:left w:val="nil"/>
              <w:right w:val="single" w:sz="4" w:space="0" w:color="auto"/>
            </w:tcBorders>
            <w:noWrap/>
            <w:hideMark/>
          </w:tcPr>
          <w:p w14:paraId="203E9994" w14:textId="77777777" w:rsidR="006409FC" w:rsidRPr="001157F2" w:rsidRDefault="006409FC" w:rsidP="008F1189">
            <w:pPr>
              <w:spacing w:line="276" w:lineRule="auto"/>
              <w:jc w:val="both"/>
            </w:pPr>
            <w:r w:rsidRPr="001157F2">
              <w:t>Hospital beds</w:t>
            </w:r>
          </w:p>
        </w:tc>
        <w:tc>
          <w:tcPr>
            <w:tcW w:w="2552" w:type="dxa"/>
            <w:tcBorders>
              <w:top w:val="single" w:sz="4" w:space="0" w:color="auto"/>
              <w:left w:val="single" w:sz="4" w:space="0" w:color="auto"/>
              <w:right w:val="single" w:sz="4" w:space="0" w:color="auto"/>
            </w:tcBorders>
            <w:noWrap/>
            <w:hideMark/>
          </w:tcPr>
          <w:p w14:paraId="1C969736" w14:textId="77777777" w:rsidR="006409FC" w:rsidRPr="001157F2" w:rsidRDefault="006409FC" w:rsidP="008F1189">
            <w:pPr>
              <w:spacing w:line="276" w:lineRule="auto"/>
              <w:jc w:val="both"/>
            </w:pPr>
            <w:r w:rsidRPr="001157F2">
              <w:t>48.</w:t>
            </w:r>
            <w:r>
              <w:t>4 (</w:t>
            </w:r>
            <w:r w:rsidRPr="00216395">
              <w:t>76.</w:t>
            </w:r>
            <w:r>
              <w:t>6)</w:t>
            </w:r>
          </w:p>
        </w:tc>
        <w:tc>
          <w:tcPr>
            <w:tcW w:w="2409" w:type="dxa"/>
            <w:tcBorders>
              <w:top w:val="single" w:sz="4" w:space="0" w:color="auto"/>
              <w:left w:val="single" w:sz="4" w:space="0" w:color="auto"/>
              <w:right w:val="nil"/>
            </w:tcBorders>
            <w:noWrap/>
            <w:hideMark/>
          </w:tcPr>
          <w:p w14:paraId="5833C14A" w14:textId="77777777" w:rsidR="006409FC" w:rsidRPr="001157F2" w:rsidRDefault="006409FC" w:rsidP="008F1189">
            <w:pPr>
              <w:spacing w:line="276" w:lineRule="auto"/>
              <w:jc w:val="both"/>
            </w:pPr>
            <w:r w:rsidRPr="001157F2">
              <w:t>-20.</w:t>
            </w:r>
            <w:r>
              <w:t>4</w:t>
            </w:r>
            <w:r w:rsidRPr="001157F2">
              <w:t>%</w:t>
            </w:r>
          </w:p>
        </w:tc>
      </w:tr>
      <w:tr w:rsidR="006409FC" w14:paraId="187A1823" w14:textId="77777777" w:rsidTr="00A05941">
        <w:trPr>
          <w:trHeight w:val="300"/>
        </w:trPr>
        <w:tc>
          <w:tcPr>
            <w:tcW w:w="2972" w:type="dxa"/>
            <w:tcBorders>
              <w:left w:val="nil"/>
              <w:right w:val="single" w:sz="4" w:space="0" w:color="auto"/>
            </w:tcBorders>
            <w:noWrap/>
            <w:hideMark/>
          </w:tcPr>
          <w:p w14:paraId="79C1D406" w14:textId="77777777" w:rsidR="006409FC" w:rsidRPr="001157F2" w:rsidRDefault="006409FC" w:rsidP="008F1189">
            <w:pPr>
              <w:spacing w:line="276" w:lineRule="auto"/>
              <w:jc w:val="both"/>
            </w:pPr>
            <w:r w:rsidRPr="001157F2">
              <w:t>Physicians</w:t>
            </w:r>
          </w:p>
        </w:tc>
        <w:tc>
          <w:tcPr>
            <w:tcW w:w="2552" w:type="dxa"/>
            <w:tcBorders>
              <w:left w:val="single" w:sz="4" w:space="0" w:color="auto"/>
              <w:right w:val="single" w:sz="4" w:space="0" w:color="auto"/>
            </w:tcBorders>
            <w:noWrap/>
            <w:hideMark/>
          </w:tcPr>
          <w:p w14:paraId="1BEFF3AD" w14:textId="77777777" w:rsidR="006409FC" w:rsidRPr="001157F2" w:rsidRDefault="006409FC" w:rsidP="008F1189">
            <w:pPr>
              <w:spacing w:line="276" w:lineRule="auto"/>
              <w:jc w:val="both"/>
            </w:pPr>
            <w:r w:rsidRPr="001157F2">
              <w:t>47.5</w:t>
            </w:r>
            <w:r>
              <w:t xml:space="preserve"> (72.6)</w:t>
            </w:r>
          </w:p>
        </w:tc>
        <w:tc>
          <w:tcPr>
            <w:tcW w:w="2409" w:type="dxa"/>
            <w:tcBorders>
              <w:left w:val="single" w:sz="4" w:space="0" w:color="auto"/>
              <w:right w:val="nil"/>
            </w:tcBorders>
            <w:noWrap/>
            <w:hideMark/>
          </w:tcPr>
          <w:p w14:paraId="5F63F34F" w14:textId="77777777" w:rsidR="006409FC" w:rsidRPr="001157F2" w:rsidRDefault="006409FC" w:rsidP="008F1189">
            <w:pPr>
              <w:spacing w:line="276" w:lineRule="auto"/>
              <w:jc w:val="both"/>
            </w:pPr>
            <w:r w:rsidRPr="001157F2">
              <w:t>-22.</w:t>
            </w:r>
            <w:r>
              <w:t>4</w:t>
            </w:r>
            <w:r w:rsidRPr="001157F2">
              <w:t>%</w:t>
            </w:r>
          </w:p>
        </w:tc>
      </w:tr>
      <w:tr w:rsidR="006409FC" w14:paraId="180DE1E1" w14:textId="77777777" w:rsidTr="00A05941">
        <w:trPr>
          <w:trHeight w:val="300"/>
        </w:trPr>
        <w:tc>
          <w:tcPr>
            <w:tcW w:w="2972" w:type="dxa"/>
            <w:tcBorders>
              <w:left w:val="nil"/>
              <w:right w:val="single" w:sz="4" w:space="0" w:color="auto"/>
            </w:tcBorders>
            <w:noWrap/>
            <w:hideMark/>
          </w:tcPr>
          <w:p w14:paraId="1EFCA28D" w14:textId="77777777" w:rsidR="006409FC" w:rsidRPr="001157F2" w:rsidRDefault="006409FC" w:rsidP="008F1189">
            <w:pPr>
              <w:spacing w:line="276" w:lineRule="auto"/>
              <w:jc w:val="both"/>
            </w:pPr>
            <w:r w:rsidRPr="001157F2">
              <w:t>Nurses</w:t>
            </w:r>
          </w:p>
        </w:tc>
        <w:tc>
          <w:tcPr>
            <w:tcW w:w="2552" w:type="dxa"/>
            <w:tcBorders>
              <w:left w:val="single" w:sz="4" w:space="0" w:color="auto"/>
              <w:right w:val="single" w:sz="4" w:space="0" w:color="auto"/>
            </w:tcBorders>
            <w:noWrap/>
            <w:hideMark/>
          </w:tcPr>
          <w:p w14:paraId="5CF4B8AA" w14:textId="77777777" w:rsidR="006409FC" w:rsidRPr="001157F2" w:rsidRDefault="006409FC" w:rsidP="008F1189">
            <w:pPr>
              <w:spacing w:line="276" w:lineRule="auto"/>
              <w:jc w:val="both"/>
            </w:pPr>
            <w:r w:rsidRPr="001157F2">
              <w:t>102.</w:t>
            </w:r>
            <w:r>
              <w:t>9 (173.1)</w:t>
            </w:r>
          </w:p>
        </w:tc>
        <w:tc>
          <w:tcPr>
            <w:tcW w:w="2409" w:type="dxa"/>
            <w:tcBorders>
              <w:left w:val="single" w:sz="4" w:space="0" w:color="auto"/>
              <w:right w:val="nil"/>
            </w:tcBorders>
            <w:noWrap/>
            <w:hideMark/>
          </w:tcPr>
          <w:p w14:paraId="335D2980" w14:textId="77777777" w:rsidR="006409FC" w:rsidRPr="001157F2" w:rsidRDefault="006409FC" w:rsidP="008F1189">
            <w:pPr>
              <w:spacing w:line="276" w:lineRule="auto"/>
              <w:jc w:val="both"/>
            </w:pPr>
            <w:r w:rsidRPr="001157F2">
              <w:t>-20.</w:t>
            </w:r>
            <w:r>
              <w:t>8</w:t>
            </w:r>
            <w:r w:rsidRPr="001157F2">
              <w:t>%</w:t>
            </w:r>
          </w:p>
        </w:tc>
      </w:tr>
      <w:tr w:rsidR="006409FC" w14:paraId="66705C44" w14:textId="77777777" w:rsidTr="00A05941">
        <w:trPr>
          <w:trHeight w:val="300"/>
        </w:trPr>
        <w:tc>
          <w:tcPr>
            <w:tcW w:w="2972" w:type="dxa"/>
            <w:tcBorders>
              <w:left w:val="nil"/>
              <w:bottom w:val="single" w:sz="4" w:space="0" w:color="auto"/>
              <w:right w:val="single" w:sz="4" w:space="0" w:color="auto"/>
            </w:tcBorders>
            <w:noWrap/>
            <w:hideMark/>
          </w:tcPr>
          <w:p w14:paraId="679F2810" w14:textId="77777777" w:rsidR="006409FC" w:rsidRPr="001157F2" w:rsidRDefault="006409FC" w:rsidP="008F1189">
            <w:pPr>
              <w:spacing w:line="276" w:lineRule="auto"/>
              <w:jc w:val="both"/>
            </w:pPr>
            <w:r w:rsidRPr="001157F2">
              <w:t>Allied Health Personnel</w:t>
            </w:r>
          </w:p>
        </w:tc>
        <w:tc>
          <w:tcPr>
            <w:tcW w:w="2552" w:type="dxa"/>
            <w:tcBorders>
              <w:left w:val="single" w:sz="4" w:space="0" w:color="auto"/>
              <w:bottom w:val="single" w:sz="4" w:space="0" w:color="auto"/>
              <w:right w:val="single" w:sz="4" w:space="0" w:color="auto"/>
            </w:tcBorders>
            <w:noWrap/>
            <w:hideMark/>
          </w:tcPr>
          <w:p w14:paraId="5FD0D7E9" w14:textId="77777777" w:rsidR="006409FC" w:rsidRPr="001157F2" w:rsidRDefault="006409FC" w:rsidP="008F1189">
            <w:pPr>
              <w:spacing w:line="276" w:lineRule="auto"/>
              <w:jc w:val="both"/>
            </w:pPr>
            <w:r w:rsidRPr="001157F2">
              <w:t>58.38</w:t>
            </w:r>
            <w:r>
              <w:t xml:space="preserve"> (98.3)</w:t>
            </w:r>
          </w:p>
        </w:tc>
        <w:tc>
          <w:tcPr>
            <w:tcW w:w="2409" w:type="dxa"/>
            <w:tcBorders>
              <w:left w:val="single" w:sz="4" w:space="0" w:color="auto"/>
              <w:bottom w:val="single" w:sz="4" w:space="0" w:color="auto"/>
              <w:right w:val="nil"/>
            </w:tcBorders>
            <w:noWrap/>
            <w:hideMark/>
          </w:tcPr>
          <w:p w14:paraId="69F7E746" w14:textId="77777777" w:rsidR="006409FC" w:rsidRPr="001157F2" w:rsidRDefault="006409FC" w:rsidP="008F1189">
            <w:pPr>
              <w:spacing w:line="276" w:lineRule="auto"/>
              <w:jc w:val="both"/>
            </w:pPr>
            <w:r w:rsidRPr="001157F2">
              <w:t>-20.84%</w:t>
            </w:r>
          </w:p>
        </w:tc>
      </w:tr>
      <w:tr w:rsidR="006409FC" w14:paraId="4BC81912" w14:textId="77777777" w:rsidTr="00A05941">
        <w:trPr>
          <w:trHeight w:val="300"/>
        </w:trPr>
        <w:tc>
          <w:tcPr>
            <w:tcW w:w="2972" w:type="dxa"/>
            <w:tcBorders>
              <w:top w:val="single" w:sz="4" w:space="0" w:color="auto"/>
              <w:left w:val="nil"/>
              <w:bottom w:val="single" w:sz="4" w:space="0" w:color="auto"/>
              <w:right w:val="single" w:sz="4" w:space="0" w:color="auto"/>
            </w:tcBorders>
            <w:noWrap/>
            <w:hideMark/>
          </w:tcPr>
          <w:p w14:paraId="7F9095DC" w14:textId="77777777" w:rsidR="006409FC" w:rsidRPr="001157F2" w:rsidRDefault="006409FC" w:rsidP="008F1189">
            <w:pPr>
              <w:spacing w:line="276" w:lineRule="auto"/>
              <w:jc w:val="both"/>
              <w:rPr>
                <w:b/>
                <w:bCs/>
              </w:rPr>
            </w:pPr>
            <w:r w:rsidRPr="001157F2">
              <w:rPr>
                <w:b/>
                <w:bCs/>
              </w:rPr>
              <w:t>Output</w:t>
            </w:r>
            <w:r>
              <w:rPr>
                <w:b/>
                <w:bCs/>
              </w:rPr>
              <w:t xml:space="preserve"> slacks</w:t>
            </w:r>
          </w:p>
        </w:tc>
        <w:tc>
          <w:tcPr>
            <w:tcW w:w="2552" w:type="dxa"/>
            <w:tcBorders>
              <w:top w:val="single" w:sz="4" w:space="0" w:color="auto"/>
              <w:left w:val="single" w:sz="4" w:space="0" w:color="auto"/>
              <w:bottom w:val="single" w:sz="4" w:space="0" w:color="auto"/>
              <w:right w:val="single" w:sz="4" w:space="0" w:color="auto"/>
            </w:tcBorders>
            <w:noWrap/>
            <w:hideMark/>
          </w:tcPr>
          <w:p w14:paraId="68D20E1C" w14:textId="77777777" w:rsidR="006409FC" w:rsidRPr="001157F2" w:rsidRDefault="006409FC" w:rsidP="008F1189">
            <w:pPr>
              <w:spacing w:line="276" w:lineRule="auto"/>
              <w:jc w:val="both"/>
              <w:rPr>
                <w:b/>
                <w:bCs/>
              </w:rPr>
            </w:pPr>
          </w:p>
        </w:tc>
        <w:tc>
          <w:tcPr>
            <w:tcW w:w="2409" w:type="dxa"/>
            <w:tcBorders>
              <w:top w:val="single" w:sz="4" w:space="0" w:color="auto"/>
              <w:left w:val="single" w:sz="4" w:space="0" w:color="auto"/>
              <w:bottom w:val="single" w:sz="4" w:space="0" w:color="auto"/>
              <w:right w:val="nil"/>
            </w:tcBorders>
            <w:noWrap/>
            <w:hideMark/>
          </w:tcPr>
          <w:p w14:paraId="5D74254E" w14:textId="77777777" w:rsidR="006409FC" w:rsidRPr="001157F2" w:rsidRDefault="006409FC" w:rsidP="008F1189">
            <w:pPr>
              <w:spacing w:line="276" w:lineRule="auto"/>
              <w:jc w:val="both"/>
            </w:pPr>
          </w:p>
        </w:tc>
      </w:tr>
      <w:tr w:rsidR="006409FC" w14:paraId="7D7725A9" w14:textId="77777777" w:rsidTr="00A05941">
        <w:trPr>
          <w:trHeight w:val="300"/>
        </w:trPr>
        <w:tc>
          <w:tcPr>
            <w:tcW w:w="2972" w:type="dxa"/>
            <w:tcBorders>
              <w:top w:val="single" w:sz="4" w:space="0" w:color="auto"/>
              <w:left w:val="nil"/>
              <w:right w:val="single" w:sz="4" w:space="0" w:color="auto"/>
            </w:tcBorders>
            <w:noWrap/>
            <w:hideMark/>
          </w:tcPr>
          <w:p w14:paraId="5676AB6B" w14:textId="77777777" w:rsidR="006409FC" w:rsidRPr="001157F2" w:rsidRDefault="006409FC" w:rsidP="008F1189">
            <w:pPr>
              <w:spacing w:line="276" w:lineRule="auto"/>
              <w:jc w:val="both"/>
            </w:pPr>
            <w:r w:rsidRPr="001157F2">
              <w:t>Outpatient visits</w:t>
            </w:r>
          </w:p>
        </w:tc>
        <w:tc>
          <w:tcPr>
            <w:tcW w:w="2552" w:type="dxa"/>
            <w:tcBorders>
              <w:top w:val="single" w:sz="4" w:space="0" w:color="auto"/>
              <w:left w:val="single" w:sz="4" w:space="0" w:color="auto"/>
              <w:right w:val="single" w:sz="4" w:space="0" w:color="auto"/>
            </w:tcBorders>
            <w:noWrap/>
            <w:hideMark/>
          </w:tcPr>
          <w:p w14:paraId="219B0695" w14:textId="77777777" w:rsidR="006409FC" w:rsidRPr="001157F2" w:rsidRDefault="006409FC" w:rsidP="008F1189">
            <w:pPr>
              <w:spacing w:line="276" w:lineRule="auto"/>
              <w:jc w:val="both"/>
            </w:pPr>
            <w:r w:rsidRPr="001157F2">
              <w:t>8866.1</w:t>
            </w:r>
            <w:r>
              <w:t xml:space="preserve"> (23712)</w:t>
            </w:r>
          </w:p>
        </w:tc>
        <w:tc>
          <w:tcPr>
            <w:tcW w:w="2409" w:type="dxa"/>
            <w:tcBorders>
              <w:top w:val="single" w:sz="4" w:space="0" w:color="auto"/>
              <w:left w:val="single" w:sz="4" w:space="0" w:color="auto"/>
              <w:right w:val="nil"/>
            </w:tcBorders>
            <w:noWrap/>
            <w:hideMark/>
          </w:tcPr>
          <w:p w14:paraId="53584C62" w14:textId="77777777" w:rsidR="006409FC" w:rsidRPr="001157F2" w:rsidRDefault="006409FC" w:rsidP="008F1189">
            <w:pPr>
              <w:spacing w:line="276" w:lineRule="auto"/>
              <w:jc w:val="both"/>
            </w:pPr>
            <w:r w:rsidRPr="001157F2">
              <w:t>12.</w:t>
            </w:r>
            <w:r>
              <w:t>2</w:t>
            </w:r>
            <w:r w:rsidRPr="001157F2">
              <w:t>%</w:t>
            </w:r>
          </w:p>
        </w:tc>
      </w:tr>
      <w:tr w:rsidR="006409FC" w14:paraId="7F7346F2" w14:textId="77777777" w:rsidTr="00A05941">
        <w:trPr>
          <w:trHeight w:val="300"/>
        </w:trPr>
        <w:tc>
          <w:tcPr>
            <w:tcW w:w="2972" w:type="dxa"/>
            <w:tcBorders>
              <w:left w:val="nil"/>
              <w:right w:val="single" w:sz="4" w:space="0" w:color="auto"/>
            </w:tcBorders>
            <w:noWrap/>
            <w:hideMark/>
          </w:tcPr>
          <w:p w14:paraId="5EECD155" w14:textId="77777777" w:rsidR="006409FC" w:rsidRPr="001157F2" w:rsidRDefault="006409FC" w:rsidP="008F1189">
            <w:pPr>
              <w:spacing w:line="276" w:lineRule="auto"/>
              <w:jc w:val="both"/>
            </w:pPr>
            <w:r w:rsidRPr="0023024D">
              <w:t>Discharged patients</w:t>
            </w:r>
          </w:p>
        </w:tc>
        <w:tc>
          <w:tcPr>
            <w:tcW w:w="2552" w:type="dxa"/>
            <w:tcBorders>
              <w:left w:val="single" w:sz="4" w:space="0" w:color="auto"/>
              <w:right w:val="single" w:sz="4" w:space="0" w:color="auto"/>
            </w:tcBorders>
            <w:noWrap/>
            <w:hideMark/>
          </w:tcPr>
          <w:p w14:paraId="3E279D58" w14:textId="77777777" w:rsidR="006409FC" w:rsidRPr="001157F2" w:rsidRDefault="006409FC" w:rsidP="008F1189">
            <w:pPr>
              <w:spacing w:line="276" w:lineRule="auto"/>
              <w:jc w:val="both"/>
            </w:pPr>
            <w:r w:rsidRPr="001157F2">
              <w:t>3700.6</w:t>
            </w:r>
            <w:r>
              <w:t xml:space="preserve"> (</w:t>
            </w:r>
            <w:r w:rsidRPr="00216395">
              <w:t>8214.2</w:t>
            </w:r>
            <w:r>
              <w:t>)</w:t>
            </w:r>
          </w:p>
        </w:tc>
        <w:tc>
          <w:tcPr>
            <w:tcW w:w="2409" w:type="dxa"/>
            <w:tcBorders>
              <w:left w:val="single" w:sz="4" w:space="0" w:color="auto"/>
              <w:right w:val="nil"/>
            </w:tcBorders>
            <w:noWrap/>
            <w:hideMark/>
          </w:tcPr>
          <w:p w14:paraId="10CC0F4A" w14:textId="77777777" w:rsidR="006409FC" w:rsidRPr="001157F2" w:rsidRDefault="006409FC" w:rsidP="008F1189">
            <w:pPr>
              <w:spacing w:line="276" w:lineRule="auto"/>
              <w:jc w:val="both"/>
            </w:pPr>
            <w:r w:rsidRPr="001157F2">
              <w:t>14.2%</w:t>
            </w:r>
          </w:p>
        </w:tc>
      </w:tr>
      <w:tr w:rsidR="006409FC" w14:paraId="3191EDD2" w14:textId="77777777" w:rsidTr="00A05941">
        <w:trPr>
          <w:trHeight w:val="300"/>
        </w:trPr>
        <w:tc>
          <w:tcPr>
            <w:tcW w:w="2972" w:type="dxa"/>
            <w:tcBorders>
              <w:left w:val="nil"/>
              <w:right w:val="single" w:sz="4" w:space="0" w:color="auto"/>
            </w:tcBorders>
            <w:noWrap/>
            <w:hideMark/>
          </w:tcPr>
          <w:p w14:paraId="0475B38B" w14:textId="77777777" w:rsidR="006409FC" w:rsidRPr="001157F2" w:rsidRDefault="006409FC" w:rsidP="008F1189">
            <w:pPr>
              <w:spacing w:line="276" w:lineRule="auto"/>
              <w:jc w:val="both"/>
            </w:pPr>
            <w:r w:rsidRPr="001157F2">
              <w:t>Surgical operations</w:t>
            </w:r>
          </w:p>
        </w:tc>
        <w:tc>
          <w:tcPr>
            <w:tcW w:w="2552" w:type="dxa"/>
            <w:tcBorders>
              <w:left w:val="single" w:sz="4" w:space="0" w:color="auto"/>
              <w:right w:val="single" w:sz="4" w:space="0" w:color="auto"/>
            </w:tcBorders>
            <w:noWrap/>
            <w:hideMark/>
          </w:tcPr>
          <w:p w14:paraId="32759844" w14:textId="77777777" w:rsidR="006409FC" w:rsidRPr="001157F2" w:rsidRDefault="006409FC" w:rsidP="008F1189">
            <w:pPr>
              <w:spacing w:line="276" w:lineRule="auto"/>
              <w:jc w:val="both"/>
            </w:pPr>
            <w:r w:rsidRPr="001157F2">
              <w:t>282.6</w:t>
            </w:r>
            <w:r>
              <w:t xml:space="preserve"> (730.9)</w:t>
            </w:r>
          </w:p>
        </w:tc>
        <w:tc>
          <w:tcPr>
            <w:tcW w:w="2409" w:type="dxa"/>
            <w:tcBorders>
              <w:left w:val="single" w:sz="4" w:space="0" w:color="auto"/>
              <w:right w:val="nil"/>
            </w:tcBorders>
            <w:noWrap/>
            <w:hideMark/>
          </w:tcPr>
          <w:p w14:paraId="645F2817" w14:textId="77777777" w:rsidR="006409FC" w:rsidRPr="001157F2" w:rsidRDefault="006409FC" w:rsidP="008F1189">
            <w:pPr>
              <w:spacing w:line="276" w:lineRule="auto"/>
              <w:jc w:val="both"/>
            </w:pPr>
            <w:r w:rsidRPr="001157F2">
              <w:t>10.7%</w:t>
            </w:r>
          </w:p>
        </w:tc>
      </w:tr>
      <w:tr w:rsidR="006409FC" w14:paraId="6EE261B6" w14:textId="77777777" w:rsidTr="00A05941">
        <w:trPr>
          <w:trHeight w:val="300"/>
        </w:trPr>
        <w:tc>
          <w:tcPr>
            <w:tcW w:w="2972" w:type="dxa"/>
            <w:tcBorders>
              <w:left w:val="nil"/>
              <w:right w:val="single" w:sz="4" w:space="0" w:color="auto"/>
            </w:tcBorders>
            <w:noWrap/>
            <w:hideMark/>
          </w:tcPr>
          <w:p w14:paraId="465D679B" w14:textId="77777777" w:rsidR="006409FC" w:rsidRPr="001157F2" w:rsidRDefault="006409FC" w:rsidP="008F1189">
            <w:pPr>
              <w:spacing w:line="276" w:lineRule="auto"/>
              <w:jc w:val="both"/>
            </w:pPr>
            <w:r w:rsidRPr="001157F2">
              <w:t>Laboratory tests</w:t>
            </w:r>
          </w:p>
        </w:tc>
        <w:tc>
          <w:tcPr>
            <w:tcW w:w="2552" w:type="dxa"/>
            <w:tcBorders>
              <w:left w:val="single" w:sz="4" w:space="0" w:color="auto"/>
              <w:right w:val="single" w:sz="4" w:space="0" w:color="auto"/>
            </w:tcBorders>
            <w:noWrap/>
            <w:hideMark/>
          </w:tcPr>
          <w:p w14:paraId="085C88BE" w14:textId="77777777" w:rsidR="006409FC" w:rsidRPr="001157F2" w:rsidRDefault="006409FC" w:rsidP="008F1189">
            <w:pPr>
              <w:spacing w:line="276" w:lineRule="auto"/>
              <w:jc w:val="both"/>
            </w:pPr>
            <w:r w:rsidRPr="001157F2">
              <w:t>66105.6</w:t>
            </w:r>
            <w:r>
              <w:t xml:space="preserve"> (</w:t>
            </w:r>
            <w:r w:rsidRPr="00216395">
              <w:t>140332.4</w:t>
            </w:r>
            <w:r>
              <w:t>)</w:t>
            </w:r>
          </w:p>
        </w:tc>
        <w:tc>
          <w:tcPr>
            <w:tcW w:w="2409" w:type="dxa"/>
            <w:tcBorders>
              <w:left w:val="single" w:sz="4" w:space="0" w:color="auto"/>
              <w:right w:val="nil"/>
            </w:tcBorders>
            <w:noWrap/>
            <w:hideMark/>
          </w:tcPr>
          <w:p w14:paraId="60F695EC" w14:textId="77777777" w:rsidR="006409FC" w:rsidRPr="001157F2" w:rsidRDefault="006409FC" w:rsidP="008F1189">
            <w:pPr>
              <w:spacing w:line="276" w:lineRule="auto"/>
              <w:jc w:val="both"/>
            </w:pPr>
            <w:r w:rsidRPr="001157F2">
              <w:t>6.8</w:t>
            </w:r>
            <w:r>
              <w:t>%</w:t>
            </w:r>
          </w:p>
        </w:tc>
      </w:tr>
      <w:tr w:rsidR="006409FC" w14:paraId="054B469B" w14:textId="77777777" w:rsidTr="00A05941">
        <w:trPr>
          <w:trHeight w:val="300"/>
        </w:trPr>
        <w:tc>
          <w:tcPr>
            <w:tcW w:w="2972" w:type="dxa"/>
            <w:tcBorders>
              <w:left w:val="nil"/>
              <w:right w:val="single" w:sz="4" w:space="0" w:color="auto"/>
            </w:tcBorders>
            <w:noWrap/>
            <w:hideMark/>
          </w:tcPr>
          <w:p w14:paraId="7DCB814B" w14:textId="77777777" w:rsidR="006409FC" w:rsidRPr="001157F2" w:rsidRDefault="006409FC" w:rsidP="008F1189">
            <w:pPr>
              <w:spacing w:line="276" w:lineRule="auto"/>
              <w:jc w:val="both"/>
            </w:pPr>
            <w:r w:rsidRPr="001157F2">
              <w:t>Radiology Investigations</w:t>
            </w:r>
          </w:p>
        </w:tc>
        <w:tc>
          <w:tcPr>
            <w:tcW w:w="2552" w:type="dxa"/>
            <w:tcBorders>
              <w:left w:val="single" w:sz="4" w:space="0" w:color="auto"/>
              <w:right w:val="single" w:sz="4" w:space="0" w:color="auto"/>
            </w:tcBorders>
            <w:noWrap/>
            <w:hideMark/>
          </w:tcPr>
          <w:p w14:paraId="032C15F5" w14:textId="77777777" w:rsidR="006409FC" w:rsidRPr="001157F2" w:rsidRDefault="006409FC" w:rsidP="008F1189">
            <w:pPr>
              <w:spacing w:line="276" w:lineRule="auto"/>
              <w:jc w:val="both"/>
            </w:pPr>
            <w:r w:rsidRPr="001157F2">
              <w:t>2204.6</w:t>
            </w:r>
            <w:r>
              <w:t xml:space="preserve"> (</w:t>
            </w:r>
            <w:r w:rsidRPr="00216395">
              <w:t>6944.</w:t>
            </w:r>
            <w:r>
              <w:t>1)</w:t>
            </w:r>
          </w:p>
        </w:tc>
        <w:tc>
          <w:tcPr>
            <w:tcW w:w="2409" w:type="dxa"/>
            <w:tcBorders>
              <w:left w:val="single" w:sz="4" w:space="0" w:color="auto"/>
              <w:right w:val="nil"/>
            </w:tcBorders>
            <w:noWrap/>
            <w:hideMark/>
          </w:tcPr>
          <w:p w14:paraId="4D530748" w14:textId="77777777" w:rsidR="006409FC" w:rsidRPr="001157F2" w:rsidRDefault="006409FC" w:rsidP="008F1189">
            <w:pPr>
              <w:spacing w:line="276" w:lineRule="auto"/>
              <w:jc w:val="both"/>
            </w:pPr>
            <w:r w:rsidRPr="001157F2">
              <w:t>4.1</w:t>
            </w:r>
            <w:r>
              <w:t>%</w:t>
            </w:r>
          </w:p>
        </w:tc>
      </w:tr>
      <w:tr w:rsidR="006409FC" w14:paraId="166B755E" w14:textId="77777777" w:rsidTr="00A05941">
        <w:trPr>
          <w:trHeight w:val="315"/>
        </w:trPr>
        <w:tc>
          <w:tcPr>
            <w:tcW w:w="2972" w:type="dxa"/>
            <w:tcBorders>
              <w:left w:val="nil"/>
              <w:bottom w:val="single" w:sz="4" w:space="0" w:color="auto"/>
              <w:right w:val="single" w:sz="4" w:space="0" w:color="auto"/>
            </w:tcBorders>
            <w:noWrap/>
            <w:hideMark/>
          </w:tcPr>
          <w:p w14:paraId="33E04C93" w14:textId="77777777" w:rsidR="006409FC" w:rsidRPr="001157F2" w:rsidRDefault="006409FC" w:rsidP="008F1189">
            <w:pPr>
              <w:spacing w:line="276" w:lineRule="auto"/>
              <w:jc w:val="both"/>
            </w:pPr>
            <w:r w:rsidRPr="001157F2">
              <w:t>Mortality rate</w:t>
            </w:r>
          </w:p>
        </w:tc>
        <w:tc>
          <w:tcPr>
            <w:tcW w:w="2552" w:type="dxa"/>
            <w:tcBorders>
              <w:left w:val="single" w:sz="4" w:space="0" w:color="auto"/>
              <w:bottom w:val="single" w:sz="4" w:space="0" w:color="auto"/>
              <w:right w:val="single" w:sz="4" w:space="0" w:color="auto"/>
            </w:tcBorders>
            <w:noWrap/>
            <w:hideMark/>
          </w:tcPr>
          <w:p w14:paraId="3EE679F2" w14:textId="77777777" w:rsidR="006409FC" w:rsidRPr="001157F2" w:rsidRDefault="006409FC" w:rsidP="008F1189">
            <w:pPr>
              <w:spacing w:line="276" w:lineRule="auto"/>
              <w:jc w:val="both"/>
            </w:pPr>
            <w:r>
              <w:t>0.006 (0.014)</w:t>
            </w:r>
          </w:p>
        </w:tc>
        <w:tc>
          <w:tcPr>
            <w:tcW w:w="2409" w:type="dxa"/>
            <w:tcBorders>
              <w:left w:val="single" w:sz="4" w:space="0" w:color="auto"/>
              <w:bottom w:val="single" w:sz="4" w:space="0" w:color="auto"/>
              <w:right w:val="nil"/>
            </w:tcBorders>
            <w:noWrap/>
            <w:hideMark/>
          </w:tcPr>
          <w:p w14:paraId="2AE10AE3" w14:textId="77777777" w:rsidR="006409FC" w:rsidRPr="001157F2" w:rsidRDefault="006409FC" w:rsidP="008F1189">
            <w:pPr>
              <w:spacing w:line="276" w:lineRule="auto"/>
              <w:jc w:val="both"/>
            </w:pPr>
            <w:r w:rsidRPr="001157F2">
              <w:t>21.7</w:t>
            </w:r>
            <w:r>
              <w:t>%</w:t>
            </w:r>
          </w:p>
        </w:tc>
      </w:tr>
    </w:tbl>
    <w:p w14:paraId="27F46E26" w14:textId="77777777" w:rsidR="00C61D32" w:rsidRDefault="00C61D32" w:rsidP="008F1189">
      <w:pPr>
        <w:spacing w:line="360" w:lineRule="auto"/>
        <w:jc w:val="both"/>
        <w:rPr>
          <w:rFonts w:ascii="Calibri" w:hAnsi="Calibri"/>
          <w:sz w:val="24"/>
          <w:szCs w:val="24"/>
        </w:rPr>
      </w:pPr>
    </w:p>
    <w:p w14:paraId="106E6876" w14:textId="5608B8FC" w:rsidR="007775CD" w:rsidRPr="00643BB7" w:rsidRDefault="00D50F81" w:rsidP="008F1189">
      <w:pPr>
        <w:spacing w:line="360" w:lineRule="auto"/>
        <w:jc w:val="both"/>
        <w:rPr>
          <w:rFonts w:ascii="Calibri" w:hAnsi="Calibri"/>
          <w:sz w:val="24"/>
          <w:szCs w:val="24"/>
        </w:rPr>
      </w:pPr>
      <w:r>
        <w:rPr>
          <w:rFonts w:ascii="Calibri" w:hAnsi="Calibri"/>
          <w:sz w:val="24"/>
          <w:szCs w:val="24"/>
        </w:rPr>
        <w:t>In terms of input</w:t>
      </w:r>
      <w:r w:rsidR="00175E2B">
        <w:rPr>
          <w:rFonts w:ascii="Calibri" w:hAnsi="Calibri"/>
          <w:sz w:val="24"/>
          <w:szCs w:val="24"/>
        </w:rPr>
        <w:t>s</w:t>
      </w:r>
      <w:r w:rsidR="005548AD" w:rsidRPr="00A05373">
        <w:rPr>
          <w:rFonts w:ascii="Calibri" w:hAnsi="Calibri"/>
          <w:sz w:val="24"/>
          <w:szCs w:val="24"/>
        </w:rPr>
        <w:t xml:space="preserve">, results </w:t>
      </w:r>
      <w:r>
        <w:rPr>
          <w:rFonts w:ascii="Calibri" w:hAnsi="Calibri"/>
          <w:sz w:val="24"/>
          <w:szCs w:val="24"/>
        </w:rPr>
        <w:t>show</w:t>
      </w:r>
      <w:r w:rsidR="005548AD" w:rsidRPr="00A05373">
        <w:rPr>
          <w:rFonts w:ascii="Calibri" w:hAnsi="Calibri"/>
          <w:sz w:val="24"/>
          <w:szCs w:val="24"/>
        </w:rPr>
        <w:t xml:space="preserve"> that </w:t>
      </w:r>
      <w:r>
        <w:rPr>
          <w:rFonts w:ascii="Calibri" w:hAnsi="Calibri"/>
          <w:sz w:val="24"/>
          <w:szCs w:val="24"/>
        </w:rPr>
        <w:t>an</w:t>
      </w:r>
      <w:r w:rsidR="005548AD" w:rsidRPr="00A05373">
        <w:rPr>
          <w:rFonts w:ascii="Calibri" w:hAnsi="Calibri"/>
          <w:sz w:val="24"/>
          <w:szCs w:val="24"/>
        </w:rPr>
        <w:t xml:space="preserve"> excess of physicians </w:t>
      </w:r>
      <w:r w:rsidR="00F463A1" w:rsidRPr="00A05373">
        <w:rPr>
          <w:rFonts w:ascii="Calibri" w:hAnsi="Calibri"/>
          <w:sz w:val="24"/>
          <w:szCs w:val="24"/>
        </w:rPr>
        <w:t>was</w:t>
      </w:r>
      <w:r w:rsidR="005548AD" w:rsidRPr="00A05373">
        <w:rPr>
          <w:rFonts w:ascii="Calibri" w:hAnsi="Calibri"/>
          <w:sz w:val="24"/>
          <w:szCs w:val="24"/>
        </w:rPr>
        <w:t xml:space="preserve"> the </w:t>
      </w:r>
      <w:r w:rsidR="00A03DA4">
        <w:rPr>
          <w:rFonts w:ascii="Calibri" w:hAnsi="Calibri"/>
          <w:sz w:val="24"/>
          <w:szCs w:val="24"/>
        </w:rPr>
        <w:t>leading</w:t>
      </w:r>
      <w:r w:rsidR="00A03DA4" w:rsidRPr="00A05373">
        <w:rPr>
          <w:rFonts w:ascii="Calibri" w:hAnsi="Calibri"/>
          <w:sz w:val="24"/>
          <w:szCs w:val="24"/>
        </w:rPr>
        <w:t xml:space="preserve"> </w:t>
      </w:r>
      <w:r w:rsidR="005548AD" w:rsidRPr="00A05373">
        <w:rPr>
          <w:rFonts w:ascii="Calibri" w:hAnsi="Calibri"/>
          <w:sz w:val="24"/>
          <w:szCs w:val="24"/>
        </w:rPr>
        <w:t xml:space="preserve">cause of inefficiencies </w:t>
      </w:r>
      <w:r w:rsidR="005548AD">
        <w:rPr>
          <w:rFonts w:ascii="Calibri" w:hAnsi="Calibri"/>
          <w:sz w:val="24"/>
          <w:szCs w:val="24"/>
        </w:rPr>
        <w:t xml:space="preserve">in </w:t>
      </w:r>
      <w:r w:rsidR="005548AD" w:rsidRPr="00A05373">
        <w:rPr>
          <w:rFonts w:ascii="Calibri" w:hAnsi="Calibri"/>
          <w:sz w:val="24"/>
          <w:szCs w:val="24"/>
        </w:rPr>
        <w:t>public hospitals</w:t>
      </w:r>
      <w:bookmarkEnd w:id="29"/>
      <w:r w:rsidR="00966AB7" w:rsidRPr="00A05373">
        <w:rPr>
          <w:rFonts w:ascii="Calibri" w:hAnsi="Calibri"/>
          <w:sz w:val="24"/>
          <w:szCs w:val="24"/>
        </w:rPr>
        <w:t xml:space="preserve">. </w:t>
      </w:r>
      <w:r w:rsidR="005548AD" w:rsidRPr="00A05373">
        <w:rPr>
          <w:rFonts w:ascii="Calibri" w:hAnsi="Calibri"/>
          <w:sz w:val="24"/>
          <w:szCs w:val="24"/>
        </w:rPr>
        <w:t>A feasible</w:t>
      </w:r>
      <w:r>
        <w:rPr>
          <w:rFonts w:ascii="Calibri" w:hAnsi="Calibri"/>
          <w:sz w:val="24"/>
          <w:szCs w:val="24"/>
        </w:rPr>
        <w:t>, achievable</w:t>
      </w:r>
      <w:r w:rsidR="005548AD" w:rsidRPr="00A05373">
        <w:rPr>
          <w:rFonts w:ascii="Calibri" w:hAnsi="Calibri"/>
          <w:sz w:val="24"/>
          <w:szCs w:val="24"/>
        </w:rPr>
        <w:t xml:space="preserve"> reduction in the number of physicians</w:t>
      </w:r>
      <w:r>
        <w:rPr>
          <w:rFonts w:ascii="Calibri" w:hAnsi="Calibri"/>
          <w:sz w:val="24"/>
          <w:szCs w:val="24"/>
        </w:rPr>
        <w:t xml:space="preserve"> </w:t>
      </w:r>
      <w:r w:rsidR="005548AD">
        <w:rPr>
          <w:rFonts w:ascii="Calibri" w:hAnsi="Calibri"/>
          <w:sz w:val="24"/>
          <w:szCs w:val="24"/>
        </w:rPr>
        <w:t>wa</w:t>
      </w:r>
      <w:r w:rsidR="005548AD" w:rsidRPr="00A05373">
        <w:rPr>
          <w:rFonts w:ascii="Calibri" w:hAnsi="Calibri"/>
          <w:sz w:val="24"/>
          <w:szCs w:val="24"/>
        </w:rPr>
        <w:t>s</w:t>
      </w:r>
      <w:r w:rsidR="00A03DA4">
        <w:rPr>
          <w:rFonts w:ascii="Calibri" w:hAnsi="Calibri"/>
          <w:sz w:val="24"/>
          <w:szCs w:val="24"/>
        </w:rPr>
        <w:t>,</w:t>
      </w:r>
      <w:r w:rsidR="00D65F0D">
        <w:rPr>
          <w:rFonts w:ascii="Calibri" w:hAnsi="Calibri"/>
          <w:sz w:val="24"/>
          <w:szCs w:val="24"/>
        </w:rPr>
        <w:t xml:space="preserve"> on average</w:t>
      </w:r>
      <w:r w:rsidR="00A03DA4">
        <w:rPr>
          <w:rFonts w:ascii="Calibri" w:hAnsi="Calibri"/>
          <w:sz w:val="24"/>
          <w:szCs w:val="24"/>
        </w:rPr>
        <w:t>,</w:t>
      </w:r>
      <w:r w:rsidR="005548AD">
        <w:rPr>
          <w:rFonts w:ascii="Calibri" w:hAnsi="Calibri"/>
          <w:sz w:val="24"/>
          <w:szCs w:val="24"/>
        </w:rPr>
        <w:t xml:space="preserve"> </w:t>
      </w:r>
      <w:r w:rsidR="005548AD" w:rsidRPr="00A05373">
        <w:rPr>
          <w:rFonts w:ascii="Calibri" w:hAnsi="Calibri"/>
          <w:sz w:val="24"/>
          <w:szCs w:val="24"/>
        </w:rPr>
        <w:t>2</w:t>
      </w:r>
      <w:r w:rsidR="00966AB7" w:rsidRPr="00A05373">
        <w:rPr>
          <w:rFonts w:ascii="Calibri" w:hAnsi="Calibri"/>
          <w:sz w:val="24"/>
          <w:szCs w:val="24"/>
        </w:rPr>
        <w:t>2.38</w:t>
      </w:r>
      <w:r w:rsidR="005548AD" w:rsidRPr="00A05373">
        <w:rPr>
          <w:rFonts w:ascii="Calibri" w:hAnsi="Calibri"/>
          <w:sz w:val="24"/>
          <w:szCs w:val="24"/>
        </w:rPr>
        <w:t xml:space="preserve"> %</w:t>
      </w:r>
      <w:r w:rsidR="00966AB7" w:rsidRPr="00A05373">
        <w:rPr>
          <w:rFonts w:ascii="Calibri" w:hAnsi="Calibri"/>
          <w:sz w:val="24"/>
          <w:szCs w:val="24"/>
        </w:rPr>
        <w:t xml:space="preserve"> of the current values</w:t>
      </w:r>
      <w:r w:rsidR="005548AD">
        <w:rPr>
          <w:rFonts w:ascii="Calibri" w:hAnsi="Calibri"/>
          <w:sz w:val="24"/>
          <w:szCs w:val="24"/>
        </w:rPr>
        <w:t xml:space="preserve"> (</w:t>
      </w:r>
      <w:r>
        <w:rPr>
          <w:rFonts w:ascii="Calibri" w:hAnsi="Calibri"/>
          <w:sz w:val="24"/>
          <w:szCs w:val="24"/>
        </w:rPr>
        <w:t>compared</w:t>
      </w:r>
      <w:r w:rsidR="005548AD">
        <w:rPr>
          <w:rFonts w:ascii="Calibri" w:hAnsi="Calibri"/>
          <w:sz w:val="24"/>
          <w:szCs w:val="24"/>
        </w:rPr>
        <w:t xml:space="preserve"> with the amount</w:t>
      </w:r>
      <w:r>
        <w:rPr>
          <w:rFonts w:ascii="Calibri" w:hAnsi="Calibri"/>
          <w:sz w:val="24"/>
          <w:szCs w:val="24"/>
        </w:rPr>
        <w:t>s given</w:t>
      </w:r>
      <w:r w:rsidR="005548AD">
        <w:rPr>
          <w:rFonts w:ascii="Calibri" w:hAnsi="Calibri"/>
          <w:sz w:val="24"/>
          <w:szCs w:val="24"/>
        </w:rPr>
        <w:t xml:space="preserve"> in </w:t>
      </w:r>
      <w:r>
        <w:rPr>
          <w:rFonts w:ascii="Calibri" w:hAnsi="Calibri"/>
          <w:sz w:val="24"/>
          <w:szCs w:val="24"/>
        </w:rPr>
        <w:t>T</w:t>
      </w:r>
      <w:r w:rsidR="005548AD">
        <w:rPr>
          <w:rFonts w:ascii="Calibri" w:hAnsi="Calibri"/>
          <w:sz w:val="24"/>
          <w:szCs w:val="24"/>
        </w:rPr>
        <w:t>able 2)</w:t>
      </w:r>
      <w:r w:rsidR="00966AB7" w:rsidRPr="00A05373">
        <w:rPr>
          <w:rFonts w:ascii="Calibri" w:hAnsi="Calibri"/>
          <w:sz w:val="24"/>
          <w:szCs w:val="24"/>
        </w:rPr>
        <w:t xml:space="preserve">. </w:t>
      </w:r>
      <w:r w:rsidR="005548AD">
        <w:rPr>
          <w:rFonts w:ascii="Calibri" w:hAnsi="Calibri"/>
          <w:sz w:val="24"/>
          <w:szCs w:val="24"/>
        </w:rPr>
        <w:t xml:space="preserve">The next most </w:t>
      </w:r>
      <w:r>
        <w:rPr>
          <w:rFonts w:ascii="Calibri" w:hAnsi="Calibri"/>
          <w:sz w:val="24"/>
          <w:szCs w:val="24"/>
        </w:rPr>
        <w:t>substantial</w:t>
      </w:r>
      <w:r w:rsidR="005548AD">
        <w:rPr>
          <w:rFonts w:ascii="Calibri" w:hAnsi="Calibri"/>
          <w:sz w:val="24"/>
          <w:szCs w:val="24"/>
        </w:rPr>
        <w:t xml:space="preserve"> slack was observed in</w:t>
      </w:r>
      <w:r w:rsidR="003255F4">
        <w:rPr>
          <w:rFonts w:ascii="Calibri" w:hAnsi="Calibri"/>
          <w:sz w:val="24"/>
          <w:szCs w:val="24"/>
        </w:rPr>
        <w:t xml:space="preserve"> </w:t>
      </w:r>
      <w:r w:rsidR="005548AD" w:rsidRPr="00A05373">
        <w:rPr>
          <w:rFonts w:ascii="Calibri" w:hAnsi="Calibri"/>
          <w:sz w:val="24"/>
          <w:szCs w:val="24"/>
        </w:rPr>
        <w:t>allied health personnel</w:t>
      </w:r>
      <w:r w:rsidR="004B3C82">
        <w:rPr>
          <w:rFonts w:ascii="Calibri" w:hAnsi="Calibri"/>
          <w:sz w:val="24"/>
          <w:szCs w:val="24"/>
        </w:rPr>
        <w:t>,</w:t>
      </w:r>
      <w:r w:rsidR="005548AD" w:rsidRPr="00A05373">
        <w:rPr>
          <w:rFonts w:ascii="Calibri" w:hAnsi="Calibri"/>
          <w:sz w:val="24"/>
          <w:szCs w:val="24"/>
        </w:rPr>
        <w:t xml:space="preserve"> </w:t>
      </w:r>
      <w:r w:rsidR="004B3C82">
        <w:rPr>
          <w:rFonts w:ascii="Calibri" w:hAnsi="Calibri"/>
          <w:sz w:val="24"/>
          <w:szCs w:val="24"/>
        </w:rPr>
        <w:t>at</w:t>
      </w:r>
      <w:r w:rsidR="005548AD">
        <w:rPr>
          <w:rFonts w:ascii="Calibri" w:hAnsi="Calibri"/>
          <w:sz w:val="24"/>
          <w:szCs w:val="24"/>
        </w:rPr>
        <w:t xml:space="preserve"> </w:t>
      </w:r>
      <w:r w:rsidR="00966AB7" w:rsidRPr="00A05373">
        <w:rPr>
          <w:rFonts w:ascii="Calibri" w:hAnsi="Calibri"/>
          <w:sz w:val="24"/>
          <w:szCs w:val="24"/>
        </w:rPr>
        <w:t>20.84%</w:t>
      </w:r>
      <w:r w:rsidR="005548AD" w:rsidRPr="00A05373">
        <w:rPr>
          <w:rFonts w:ascii="Calibri" w:hAnsi="Calibri"/>
          <w:sz w:val="24"/>
          <w:szCs w:val="24"/>
        </w:rPr>
        <w:t xml:space="preserve">. </w:t>
      </w:r>
      <w:r>
        <w:rPr>
          <w:rFonts w:ascii="Calibri" w:hAnsi="Calibri"/>
          <w:sz w:val="24"/>
          <w:szCs w:val="24"/>
        </w:rPr>
        <w:t>S</w:t>
      </w:r>
      <w:r w:rsidR="005548AD" w:rsidRPr="00A05373">
        <w:rPr>
          <w:rFonts w:ascii="Calibri" w:hAnsi="Calibri"/>
          <w:sz w:val="24"/>
          <w:szCs w:val="24"/>
        </w:rPr>
        <w:t>urplus</w:t>
      </w:r>
      <w:r>
        <w:rPr>
          <w:rFonts w:ascii="Calibri" w:hAnsi="Calibri"/>
          <w:sz w:val="24"/>
          <w:szCs w:val="24"/>
        </w:rPr>
        <w:t>es</w:t>
      </w:r>
      <w:r w:rsidR="005548AD" w:rsidRPr="00A05373">
        <w:rPr>
          <w:rFonts w:ascii="Calibri" w:hAnsi="Calibri"/>
          <w:sz w:val="24"/>
          <w:szCs w:val="24"/>
        </w:rPr>
        <w:t xml:space="preserve"> of hospital beds </w:t>
      </w:r>
      <w:r w:rsidR="00966AB7" w:rsidRPr="00A05373">
        <w:rPr>
          <w:rFonts w:ascii="Calibri" w:hAnsi="Calibri"/>
          <w:sz w:val="24"/>
          <w:szCs w:val="24"/>
        </w:rPr>
        <w:t xml:space="preserve">and nurses </w:t>
      </w:r>
      <w:r w:rsidR="00F463A1" w:rsidRPr="00A05373">
        <w:rPr>
          <w:rFonts w:ascii="Calibri" w:hAnsi="Calibri"/>
          <w:sz w:val="24"/>
          <w:szCs w:val="24"/>
        </w:rPr>
        <w:t>were</w:t>
      </w:r>
      <w:r w:rsidR="009102CC" w:rsidRPr="00A05373">
        <w:rPr>
          <w:rFonts w:ascii="Calibri" w:hAnsi="Calibri"/>
          <w:sz w:val="24"/>
          <w:szCs w:val="24"/>
        </w:rPr>
        <w:t xml:space="preserve"> </w:t>
      </w:r>
      <w:r w:rsidR="005548AD">
        <w:rPr>
          <w:rFonts w:ascii="Calibri" w:hAnsi="Calibri"/>
          <w:sz w:val="24"/>
          <w:szCs w:val="24"/>
        </w:rPr>
        <w:t>also importa</w:t>
      </w:r>
      <w:r w:rsidR="009102CC" w:rsidRPr="00A05373">
        <w:rPr>
          <w:rFonts w:ascii="Calibri" w:hAnsi="Calibri"/>
          <w:sz w:val="24"/>
          <w:szCs w:val="24"/>
        </w:rPr>
        <w:t xml:space="preserve">nt causes of </w:t>
      </w:r>
      <w:r w:rsidR="003C4D08" w:rsidRPr="00A05373">
        <w:rPr>
          <w:rFonts w:ascii="Calibri" w:hAnsi="Calibri"/>
          <w:sz w:val="24"/>
          <w:szCs w:val="24"/>
        </w:rPr>
        <w:t>inefficiency</w:t>
      </w:r>
      <w:r w:rsidR="003C4D08">
        <w:rPr>
          <w:rFonts w:ascii="Calibri" w:hAnsi="Calibri"/>
          <w:sz w:val="24"/>
          <w:szCs w:val="24"/>
        </w:rPr>
        <w:t xml:space="preserve"> and</w:t>
      </w:r>
      <w:r w:rsidR="009102CC" w:rsidRPr="00A05373">
        <w:rPr>
          <w:rFonts w:ascii="Calibri" w:hAnsi="Calibri"/>
          <w:sz w:val="24"/>
          <w:szCs w:val="24"/>
        </w:rPr>
        <w:t xml:space="preserve"> should be reduced</w:t>
      </w:r>
      <w:r w:rsidR="00B46E85">
        <w:rPr>
          <w:rFonts w:ascii="Calibri" w:hAnsi="Calibri"/>
          <w:sz w:val="24"/>
          <w:szCs w:val="24"/>
        </w:rPr>
        <w:t xml:space="preserve"> on average</w:t>
      </w:r>
      <w:r w:rsidR="009102CC" w:rsidRPr="00A05373">
        <w:rPr>
          <w:rFonts w:ascii="Calibri" w:hAnsi="Calibri"/>
          <w:sz w:val="24"/>
          <w:szCs w:val="24"/>
        </w:rPr>
        <w:t xml:space="preserve"> by 20.44% and 20.77%</w:t>
      </w:r>
      <w:r w:rsidR="003255F4">
        <w:rPr>
          <w:rFonts w:ascii="Calibri" w:hAnsi="Calibri"/>
          <w:sz w:val="24"/>
          <w:szCs w:val="24"/>
        </w:rPr>
        <w:t>,</w:t>
      </w:r>
      <w:r w:rsidR="009102CC" w:rsidRPr="00A05373">
        <w:rPr>
          <w:rFonts w:ascii="Calibri" w:hAnsi="Calibri"/>
          <w:sz w:val="24"/>
          <w:szCs w:val="24"/>
        </w:rPr>
        <w:t xml:space="preserve"> respectively. </w:t>
      </w:r>
      <w:r w:rsidR="00997AED">
        <w:rPr>
          <w:rFonts w:ascii="Calibri" w:hAnsi="Calibri"/>
          <w:sz w:val="24"/>
          <w:szCs w:val="24"/>
        </w:rPr>
        <w:t xml:space="preserve">In addition to the input reduction, </w:t>
      </w:r>
      <w:r w:rsidR="0023024D" w:rsidRPr="00A05373">
        <w:rPr>
          <w:rFonts w:ascii="Calibri" w:hAnsi="Calibri"/>
          <w:sz w:val="24"/>
          <w:szCs w:val="24"/>
        </w:rPr>
        <w:t>t</w:t>
      </w:r>
      <w:r w:rsidR="00CE4E5F" w:rsidRPr="00A05373">
        <w:rPr>
          <w:rFonts w:ascii="Calibri" w:hAnsi="Calibri"/>
          <w:sz w:val="24"/>
          <w:szCs w:val="24"/>
        </w:rPr>
        <w:t xml:space="preserve">he average number of </w:t>
      </w:r>
      <w:r w:rsidR="00997AED">
        <w:rPr>
          <w:rFonts w:ascii="Calibri" w:hAnsi="Calibri"/>
          <w:sz w:val="24"/>
          <w:szCs w:val="24"/>
        </w:rPr>
        <w:t>services should</w:t>
      </w:r>
      <w:r w:rsidR="00CE4E5F" w:rsidRPr="00A05373">
        <w:rPr>
          <w:rFonts w:ascii="Calibri" w:hAnsi="Calibri"/>
          <w:sz w:val="24"/>
          <w:szCs w:val="24"/>
        </w:rPr>
        <w:t xml:space="preserve"> be increased </w:t>
      </w:r>
      <w:r w:rsidR="005548AD">
        <w:rPr>
          <w:rFonts w:ascii="Calibri" w:hAnsi="Calibri"/>
          <w:sz w:val="24"/>
          <w:szCs w:val="24"/>
        </w:rPr>
        <w:t>to meet target</w:t>
      </w:r>
      <w:r w:rsidR="004E2A4D">
        <w:rPr>
          <w:rFonts w:ascii="Calibri" w:hAnsi="Calibri"/>
          <w:sz w:val="24"/>
          <w:szCs w:val="24"/>
        </w:rPr>
        <w:t>s</w:t>
      </w:r>
      <w:r w:rsidR="00CE4E5F" w:rsidRPr="00A05373">
        <w:rPr>
          <w:rFonts w:ascii="Calibri" w:hAnsi="Calibri"/>
          <w:sz w:val="24"/>
          <w:szCs w:val="24"/>
        </w:rPr>
        <w:t>.</w:t>
      </w:r>
      <w:r w:rsidR="00CA60D2" w:rsidRPr="00A05373">
        <w:rPr>
          <w:rFonts w:ascii="Calibri" w:hAnsi="Calibri"/>
          <w:sz w:val="24"/>
          <w:szCs w:val="24"/>
        </w:rPr>
        <w:t xml:space="preserve"> </w:t>
      </w:r>
      <w:r w:rsidR="004E2A4D">
        <w:rPr>
          <w:rFonts w:ascii="Calibri" w:hAnsi="Calibri"/>
          <w:sz w:val="24"/>
          <w:szCs w:val="24"/>
        </w:rPr>
        <w:t>Furthermore</w:t>
      </w:r>
      <w:r w:rsidR="0023024D" w:rsidRPr="00A05373">
        <w:rPr>
          <w:rFonts w:ascii="Calibri" w:hAnsi="Calibri"/>
          <w:sz w:val="24"/>
          <w:szCs w:val="24"/>
        </w:rPr>
        <w:t xml:space="preserve">, the quality of health services in public hospitals </w:t>
      </w:r>
      <w:r w:rsidR="004E2A4D">
        <w:rPr>
          <w:rFonts w:ascii="Calibri" w:hAnsi="Calibri"/>
          <w:sz w:val="24"/>
          <w:szCs w:val="24"/>
        </w:rPr>
        <w:t xml:space="preserve">would have improved </w:t>
      </w:r>
      <w:r w:rsidR="00CA5F26">
        <w:rPr>
          <w:rFonts w:ascii="Calibri" w:hAnsi="Calibri"/>
          <w:sz w:val="24"/>
          <w:szCs w:val="24"/>
        </w:rPr>
        <w:t xml:space="preserve">with </w:t>
      </w:r>
      <w:r w:rsidR="004E2A4D">
        <w:rPr>
          <w:rFonts w:ascii="Calibri" w:hAnsi="Calibri"/>
          <w:sz w:val="24"/>
          <w:szCs w:val="24"/>
        </w:rPr>
        <w:t>a decrease in</w:t>
      </w:r>
      <w:r w:rsidR="000A08CA" w:rsidRPr="00A05373">
        <w:rPr>
          <w:rFonts w:ascii="Calibri" w:hAnsi="Calibri"/>
          <w:sz w:val="24"/>
          <w:szCs w:val="24"/>
        </w:rPr>
        <w:t xml:space="preserve"> </w:t>
      </w:r>
      <w:r w:rsidR="005548AD">
        <w:rPr>
          <w:rFonts w:ascii="Calibri" w:hAnsi="Calibri"/>
          <w:sz w:val="24"/>
          <w:szCs w:val="24"/>
        </w:rPr>
        <w:t xml:space="preserve">the </w:t>
      </w:r>
      <w:r w:rsidR="004E2A4D">
        <w:rPr>
          <w:rFonts w:ascii="Calibri" w:hAnsi="Calibri"/>
          <w:sz w:val="24"/>
          <w:szCs w:val="24"/>
        </w:rPr>
        <w:t xml:space="preserve">hospital </w:t>
      </w:r>
      <w:r w:rsidR="000A08CA" w:rsidRPr="00A05373">
        <w:rPr>
          <w:rFonts w:ascii="Calibri" w:hAnsi="Calibri"/>
          <w:sz w:val="24"/>
          <w:szCs w:val="24"/>
        </w:rPr>
        <w:t>mortality rate</w:t>
      </w:r>
      <w:r w:rsidR="00F904A2" w:rsidRPr="00A05373">
        <w:rPr>
          <w:rFonts w:ascii="Calibri" w:hAnsi="Calibri"/>
          <w:sz w:val="24"/>
          <w:szCs w:val="24"/>
        </w:rPr>
        <w:t xml:space="preserve">. </w:t>
      </w:r>
    </w:p>
    <w:p w14:paraId="35AE2269" w14:textId="77777777" w:rsidR="00284BCD" w:rsidRPr="003C4D08" w:rsidRDefault="005548AD" w:rsidP="008F1189">
      <w:pPr>
        <w:pStyle w:val="Heading1"/>
        <w:spacing w:line="360" w:lineRule="auto"/>
        <w:jc w:val="both"/>
        <w:rPr>
          <w:sz w:val="28"/>
          <w:szCs w:val="28"/>
        </w:rPr>
      </w:pPr>
      <w:r w:rsidRPr="003C4D08">
        <w:rPr>
          <w:sz w:val="28"/>
          <w:szCs w:val="28"/>
        </w:rPr>
        <w:lastRenderedPageBreak/>
        <w:t xml:space="preserve">Discussion </w:t>
      </w:r>
    </w:p>
    <w:p w14:paraId="6BA43639" w14:textId="1711DE9C" w:rsidR="00A03DA4" w:rsidRDefault="005548AD" w:rsidP="008F1189">
      <w:pPr>
        <w:spacing w:line="360" w:lineRule="auto"/>
        <w:jc w:val="both"/>
        <w:rPr>
          <w:rFonts w:ascii="Calibri" w:hAnsi="Calibri"/>
          <w:sz w:val="24"/>
          <w:szCs w:val="24"/>
        </w:rPr>
      </w:pPr>
      <w:r w:rsidRPr="00A05373">
        <w:rPr>
          <w:sz w:val="24"/>
        </w:rPr>
        <w:t>This study evaluate</w:t>
      </w:r>
      <w:r w:rsidR="004E2A4D">
        <w:rPr>
          <w:sz w:val="24"/>
        </w:rPr>
        <w:t>d</w:t>
      </w:r>
      <w:r w:rsidRPr="00A05373">
        <w:rPr>
          <w:sz w:val="24"/>
        </w:rPr>
        <w:t xml:space="preserve"> the technical efficiency of public hospitals affiliated to the </w:t>
      </w:r>
      <w:r w:rsidR="004E2A4D">
        <w:rPr>
          <w:sz w:val="24"/>
        </w:rPr>
        <w:t xml:space="preserve">KSA’s </w:t>
      </w:r>
      <w:r w:rsidR="00481AF3">
        <w:rPr>
          <w:sz w:val="24"/>
        </w:rPr>
        <w:t>MOH</w:t>
      </w:r>
      <w:r w:rsidR="004E2A4D">
        <w:rPr>
          <w:sz w:val="24"/>
        </w:rPr>
        <w:t>,</w:t>
      </w:r>
      <w:r w:rsidRPr="00A05373">
        <w:rPr>
          <w:sz w:val="24"/>
        </w:rPr>
        <w:t xml:space="preserve"> using </w:t>
      </w:r>
      <w:r w:rsidR="004E2A4D">
        <w:rPr>
          <w:sz w:val="24"/>
        </w:rPr>
        <w:t>d</w:t>
      </w:r>
      <w:r w:rsidRPr="00A05373">
        <w:rPr>
          <w:sz w:val="24"/>
        </w:rPr>
        <w:t xml:space="preserve">ata </w:t>
      </w:r>
      <w:r w:rsidR="004E2A4D">
        <w:rPr>
          <w:sz w:val="24"/>
        </w:rPr>
        <w:t>e</w:t>
      </w:r>
      <w:r w:rsidRPr="00A05373">
        <w:rPr>
          <w:sz w:val="24"/>
        </w:rPr>
        <w:t xml:space="preserve">nvelopment </w:t>
      </w:r>
      <w:r w:rsidR="004E2A4D">
        <w:rPr>
          <w:sz w:val="24"/>
        </w:rPr>
        <w:t>a</w:t>
      </w:r>
      <w:r w:rsidRPr="00A05373">
        <w:rPr>
          <w:sz w:val="24"/>
        </w:rPr>
        <w:t xml:space="preserve">nalysis. </w:t>
      </w:r>
      <w:r w:rsidR="00A03DA4">
        <w:rPr>
          <w:rFonts w:ascii="Calibri" w:hAnsi="Calibri"/>
          <w:sz w:val="24"/>
          <w:szCs w:val="24"/>
        </w:rPr>
        <w:t>The a</w:t>
      </w:r>
      <w:r w:rsidR="00A03DA4" w:rsidRPr="00A05373">
        <w:rPr>
          <w:rFonts w:ascii="Calibri" w:hAnsi="Calibri"/>
          <w:sz w:val="24"/>
          <w:szCs w:val="24"/>
        </w:rPr>
        <w:t xml:space="preserve">nalysis </w:t>
      </w:r>
      <w:r w:rsidR="004E2A4D">
        <w:rPr>
          <w:rFonts w:ascii="Calibri" w:hAnsi="Calibri"/>
          <w:sz w:val="24"/>
          <w:szCs w:val="24"/>
        </w:rPr>
        <w:t>showed</w:t>
      </w:r>
      <w:r w:rsidR="00662855" w:rsidRPr="00A05373">
        <w:rPr>
          <w:rFonts w:ascii="Calibri" w:hAnsi="Calibri"/>
          <w:sz w:val="24"/>
          <w:szCs w:val="24"/>
        </w:rPr>
        <w:t xml:space="preserve"> </w:t>
      </w:r>
      <w:bookmarkStart w:id="30" w:name="_Hlk5973924"/>
      <w:r w:rsidR="00A03DA4">
        <w:rPr>
          <w:rFonts w:ascii="Calibri" w:hAnsi="Calibri"/>
          <w:sz w:val="24"/>
          <w:szCs w:val="24"/>
        </w:rPr>
        <w:t xml:space="preserve">that </w:t>
      </w:r>
      <w:r w:rsidRPr="00A05373">
        <w:rPr>
          <w:rFonts w:ascii="Calibri" w:hAnsi="Calibri"/>
          <w:sz w:val="24"/>
          <w:szCs w:val="24"/>
        </w:rPr>
        <w:t>75</w:t>
      </w:r>
      <w:r w:rsidR="00662855" w:rsidRPr="00A05373">
        <w:rPr>
          <w:rFonts w:ascii="Calibri" w:hAnsi="Calibri"/>
          <w:sz w:val="24"/>
          <w:szCs w:val="24"/>
        </w:rPr>
        <w:t xml:space="preserve">% of </w:t>
      </w:r>
      <w:r w:rsidR="007E7FAC" w:rsidRPr="00A05373">
        <w:rPr>
          <w:rFonts w:ascii="Calibri" w:hAnsi="Calibri"/>
          <w:sz w:val="24"/>
          <w:szCs w:val="24"/>
        </w:rPr>
        <w:t xml:space="preserve">sample </w:t>
      </w:r>
      <w:r w:rsidR="00662855" w:rsidRPr="00A05373">
        <w:rPr>
          <w:rFonts w:ascii="Calibri" w:hAnsi="Calibri"/>
          <w:sz w:val="24"/>
          <w:szCs w:val="24"/>
        </w:rPr>
        <w:t>hospitals</w:t>
      </w:r>
      <w:r w:rsidR="00516C38" w:rsidRPr="00A05373">
        <w:rPr>
          <w:rFonts w:ascii="Calibri" w:hAnsi="Calibri"/>
          <w:sz w:val="24"/>
          <w:szCs w:val="24"/>
        </w:rPr>
        <w:t xml:space="preserve"> </w:t>
      </w:r>
      <w:r w:rsidR="00CA5F26">
        <w:rPr>
          <w:rFonts w:ascii="Calibri" w:hAnsi="Calibri"/>
          <w:sz w:val="24"/>
          <w:szCs w:val="24"/>
        </w:rPr>
        <w:t xml:space="preserve">could not </w:t>
      </w:r>
      <w:r w:rsidR="00662855" w:rsidRPr="00A05373">
        <w:rPr>
          <w:rFonts w:ascii="Calibri" w:hAnsi="Calibri"/>
          <w:sz w:val="24"/>
          <w:szCs w:val="24"/>
        </w:rPr>
        <w:t xml:space="preserve">utilize their intact resources </w:t>
      </w:r>
      <w:r w:rsidR="004E2A4D">
        <w:rPr>
          <w:rFonts w:ascii="Calibri" w:hAnsi="Calibri"/>
          <w:sz w:val="24"/>
          <w:szCs w:val="24"/>
        </w:rPr>
        <w:t>to generate</w:t>
      </w:r>
      <w:r w:rsidR="00516C38" w:rsidRPr="00A05373">
        <w:rPr>
          <w:rFonts w:ascii="Calibri" w:hAnsi="Calibri"/>
          <w:sz w:val="24"/>
          <w:szCs w:val="24"/>
        </w:rPr>
        <w:t xml:space="preserve"> </w:t>
      </w:r>
      <w:r w:rsidR="004E2A4D">
        <w:rPr>
          <w:rFonts w:ascii="Calibri" w:hAnsi="Calibri"/>
          <w:sz w:val="24"/>
          <w:szCs w:val="24"/>
        </w:rPr>
        <w:t>specified</w:t>
      </w:r>
      <w:r w:rsidR="00662855" w:rsidRPr="00A05373">
        <w:rPr>
          <w:rFonts w:ascii="Calibri" w:hAnsi="Calibri"/>
          <w:sz w:val="24"/>
          <w:szCs w:val="24"/>
        </w:rPr>
        <w:t xml:space="preserve"> outputs. </w:t>
      </w:r>
      <w:r w:rsidR="00F21C40">
        <w:rPr>
          <w:rFonts w:ascii="Calibri" w:hAnsi="Calibri"/>
          <w:sz w:val="24"/>
          <w:szCs w:val="24"/>
        </w:rPr>
        <w:t>T</w:t>
      </w:r>
      <w:r w:rsidR="00626A84" w:rsidRPr="00A05373">
        <w:rPr>
          <w:rFonts w:ascii="Calibri" w:hAnsi="Calibri"/>
          <w:sz w:val="24"/>
          <w:szCs w:val="24"/>
        </w:rPr>
        <w:t xml:space="preserve">he average </w:t>
      </w:r>
      <w:r w:rsidR="00B329A0">
        <w:rPr>
          <w:rFonts w:ascii="Calibri" w:hAnsi="Calibri"/>
          <w:sz w:val="24"/>
          <w:szCs w:val="24"/>
        </w:rPr>
        <w:t xml:space="preserve">CRS </w:t>
      </w:r>
      <w:r w:rsidR="00626A84" w:rsidRPr="00A05373">
        <w:rPr>
          <w:rFonts w:ascii="Calibri" w:hAnsi="Calibri"/>
          <w:sz w:val="24"/>
          <w:szCs w:val="24"/>
        </w:rPr>
        <w:t>technical efficiency score w</w:t>
      </w:r>
      <w:r w:rsidR="00F21C40">
        <w:rPr>
          <w:rFonts w:ascii="Calibri" w:hAnsi="Calibri"/>
          <w:sz w:val="24"/>
          <w:szCs w:val="24"/>
        </w:rPr>
        <w:t xml:space="preserve">as </w:t>
      </w:r>
      <w:r w:rsidR="00626A84" w:rsidRPr="00A05373">
        <w:rPr>
          <w:rFonts w:ascii="Calibri" w:hAnsi="Calibri"/>
          <w:sz w:val="24"/>
          <w:szCs w:val="24"/>
        </w:rPr>
        <w:t>0.76, indicating th</w:t>
      </w:r>
      <w:r w:rsidR="00F21C40">
        <w:rPr>
          <w:rFonts w:ascii="Calibri" w:hAnsi="Calibri"/>
          <w:sz w:val="24"/>
          <w:szCs w:val="24"/>
        </w:rPr>
        <w:t>at</w:t>
      </w:r>
      <w:r w:rsidR="00626A84" w:rsidRPr="00A05373">
        <w:rPr>
          <w:rFonts w:ascii="Calibri" w:hAnsi="Calibri"/>
          <w:sz w:val="24"/>
          <w:szCs w:val="24"/>
        </w:rPr>
        <w:t xml:space="preserve"> hospitals could produce their current level of outputs with </w:t>
      </w:r>
      <w:r w:rsidR="004B0EC1" w:rsidRPr="00A05373">
        <w:rPr>
          <w:rFonts w:ascii="Calibri" w:hAnsi="Calibri"/>
          <w:sz w:val="24"/>
          <w:szCs w:val="24"/>
        </w:rPr>
        <w:t xml:space="preserve">76% </w:t>
      </w:r>
      <w:bookmarkEnd w:id="30"/>
      <w:r w:rsidR="004B0EC1" w:rsidRPr="00A05373">
        <w:rPr>
          <w:rFonts w:ascii="Calibri" w:hAnsi="Calibri"/>
          <w:sz w:val="24"/>
          <w:szCs w:val="24"/>
        </w:rPr>
        <w:t>of</w:t>
      </w:r>
      <w:r w:rsidR="00626A84" w:rsidRPr="00A05373">
        <w:rPr>
          <w:rFonts w:ascii="Calibri" w:hAnsi="Calibri"/>
          <w:sz w:val="24"/>
          <w:szCs w:val="24"/>
        </w:rPr>
        <w:t xml:space="preserve"> inputs </w:t>
      </w:r>
      <w:r w:rsidR="00F21C40">
        <w:rPr>
          <w:rFonts w:ascii="Calibri" w:hAnsi="Calibri"/>
          <w:sz w:val="24"/>
          <w:szCs w:val="24"/>
        </w:rPr>
        <w:t xml:space="preserve">currently </w:t>
      </w:r>
      <w:r w:rsidR="00626A84" w:rsidRPr="00A05373">
        <w:rPr>
          <w:rFonts w:ascii="Calibri" w:hAnsi="Calibri"/>
          <w:sz w:val="24"/>
          <w:szCs w:val="24"/>
        </w:rPr>
        <w:t>used</w:t>
      </w:r>
      <w:r w:rsidR="00F21C40">
        <w:rPr>
          <w:rFonts w:ascii="Calibri" w:hAnsi="Calibri"/>
          <w:sz w:val="24"/>
          <w:szCs w:val="24"/>
        </w:rPr>
        <w:t>, and thereby</w:t>
      </w:r>
      <w:r w:rsidR="00662855" w:rsidRPr="00A05373">
        <w:rPr>
          <w:rFonts w:ascii="Calibri" w:hAnsi="Calibri"/>
          <w:sz w:val="24"/>
          <w:szCs w:val="24"/>
        </w:rPr>
        <w:t xml:space="preserve"> </w:t>
      </w:r>
      <w:r w:rsidR="00F21C40">
        <w:rPr>
          <w:rFonts w:ascii="Calibri" w:hAnsi="Calibri"/>
          <w:sz w:val="24"/>
          <w:szCs w:val="24"/>
        </w:rPr>
        <w:t>achieve efficiency</w:t>
      </w:r>
      <w:r w:rsidR="00662855" w:rsidRPr="00A05373">
        <w:rPr>
          <w:rFonts w:ascii="Calibri" w:hAnsi="Calibri"/>
          <w:sz w:val="24"/>
          <w:szCs w:val="24"/>
        </w:rPr>
        <w:t>.</w:t>
      </w:r>
      <w:r w:rsidR="00516C38" w:rsidRPr="00A05373">
        <w:rPr>
          <w:rFonts w:ascii="Calibri" w:hAnsi="Calibri"/>
          <w:sz w:val="24"/>
          <w:szCs w:val="24"/>
        </w:rPr>
        <w:t xml:space="preserve"> </w:t>
      </w:r>
      <w:r w:rsidR="00F21C40">
        <w:rPr>
          <w:rFonts w:ascii="Calibri" w:hAnsi="Calibri"/>
          <w:sz w:val="24"/>
          <w:szCs w:val="24"/>
        </w:rPr>
        <w:t>E</w:t>
      </w:r>
      <w:r w:rsidR="007E7FAC" w:rsidRPr="00A05373">
        <w:rPr>
          <w:rFonts w:ascii="Calibri" w:hAnsi="Calibri"/>
          <w:sz w:val="24"/>
          <w:szCs w:val="24"/>
        </w:rPr>
        <w:t>fficiency scores ranged from</w:t>
      </w:r>
      <w:r w:rsidR="00FB40FC" w:rsidRPr="00A05373">
        <w:rPr>
          <w:rFonts w:ascii="Calibri" w:hAnsi="Calibri"/>
          <w:sz w:val="24"/>
          <w:szCs w:val="24"/>
        </w:rPr>
        <w:t xml:space="preserve"> </w:t>
      </w:r>
      <w:r w:rsidR="00481AF3">
        <w:rPr>
          <w:rFonts w:ascii="Calibri" w:hAnsi="Calibri"/>
          <w:sz w:val="24"/>
          <w:szCs w:val="24"/>
        </w:rPr>
        <w:t>0.</w:t>
      </w:r>
      <w:r w:rsidR="007E7FAC" w:rsidRPr="00A05373">
        <w:rPr>
          <w:rFonts w:ascii="Calibri" w:hAnsi="Calibri"/>
          <w:sz w:val="24"/>
          <w:szCs w:val="24"/>
        </w:rPr>
        <w:t>11 to 1</w:t>
      </w:r>
      <w:r w:rsidR="00481AF3">
        <w:rPr>
          <w:rFonts w:ascii="Calibri" w:hAnsi="Calibri"/>
          <w:sz w:val="24"/>
          <w:szCs w:val="24"/>
        </w:rPr>
        <w:t>.</w:t>
      </w:r>
      <w:r w:rsidR="00E15D35" w:rsidRPr="00A05373">
        <w:rPr>
          <w:rFonts w:ascii="Calibri" w:hAnsi="Calibri"/>
          <w:sz w:val="24"/>
          <w:szCs w:val="24"/>
        </w:rPr>
        <w:t>00</w:t>
      </w:r>
      <w:r w:rsidR="00F21C40">
        <w:rPr>
          <w:rFonts w:ascii="Calibri" w:hAnsi="Calibri"/>
          <w:sz w:val="24"/>
          <w:szCs w:val="24"/>
        </w:rPr>
        <w:t xml:space="preserve"> (F</w:t>
      </w:r>
      <w:r w:rsidR="00FB40FC" w:rsidRPr="00A05373">
        <w:rPr>
          <w:rFonts w:ascii="Calibri" w:hAnsi="Calibri"/>
          <w:sz w:val="24"/>
          <w:szCs w:val="24"/>
        </w:rPr>
        <w:t>igure 2</w:t>
      </w:r>
      <w:r w:rsidR="00F21C40">
        <w:rPr>
          <w:rFonts w:ascii="Calibri" w:hAnsi="Calibri"/>
          <w:sz w:val="24"/>
          <w:szCs w:val="24"/>
        </w:rPr>
        <w:t>)</w:t>
      </w:r>
      <w:r w:rsidR="00FB40FC" w:rsidRPr="00A05373">
        <w:rPr>
          <w:rFonts w:ascii="Calibri" w:hAnsi="Calibri"/>
          <w:sz w:val="24"/>
          <w:szCs w:val="24"/>
        </w:rPr>
        <w:t xml:space="preserve">, </w:t>
      </w:r>
      <w:r w:rsidR="007E7FAC" w:rsidRPr="00A05373">
        <w:rPr>
          <w:rFonts w:ascii="Calibri" w:hAnsi="Calibri"/>
          <w:sz w:val="24"/>
          <w:szCs w:val="24"/>
        </w:rPr>
        <w:t>revealing considerable variations in efficiency scores among hospitals</w:t>
      </w:r>
      <w:r w:rsidR="00A03DA4" w:rsidRPr="00A05373">
        <w:rPr>
          <w:rFonts w:ascii="Calibri" w:hAnsi="Calibri"/>
          <w:sz w:val="24"/>
          <w:szCs w:val="24"/>
        </w:rPr>
        <w:t>.</w:t>
      </w:r>
    </w:p>
    <w:p w14:paraId="7FAB0090" w14:textId="49301FB9" w:rsidR="00485A6A" w:rsidRPr="0001390D" w:rsidRDefault="006406B3" w:rsidP="008F1189">
      <w:pPr>
        <w:spacing w:line="360" w:lineRule="auto"/>
        <w:jc w:val="both"/>
        <w:rPr>
          <w:rFonts w:ascii="Calibri" w:hAnsi="Calibri"/>
          <w:sz w:val="24"/>
          <w:szCs w:val="24"/>
        </w:rPr>
      </w:pPr>
      <w:r w:rsidRPr="00A05373">
        <w:rPr>
          <w:rFonts w:ascii="Calibri" w:hAnsi="Calibri"/>
          <w:sz w:val="24"/>
          <w:szCs w:val="24"/>
        </w:rPr>
        <w:t xml:space="preserve">Moreover, the average </w:t>
      </w:r>
      <w:r w:rsidR="00DF583E">
        <w:rPr>
          <w:rFonts w:ascii="Calibri" w:hAnsi="Calibri"/>
          <w:sz w:val="24"/>
          <w:szCs w:val="24"/>
        </w:rPr>
        <w:t xml:space="preserve">VRS </w:t>
      </w:r>
      <w:r w:rsidR="00B329A0">
        <w:rPr>
          <w:rFonts w:ascii="Calibri" w:hAnsi="Calibri"/>
          <w:sz w:val="24"/>
          <w:szCs w:val="24"/>
        </w:rPr>
        <w:t xml:space="preserve">technical </w:t>
      </w:r>
      <w:r w:rsidR="00DF583E">
        <w:rPr>
          <w:rFonts w:ascii="Calibri" w:hAnsi="Calibri"/>
          <w:sz w:val="24"/>
          <w:szCs w:val="24"/>
        </w:rPr>
        <w:t>efficiency</w:t>
      </w:r>
      <w:r w:rsidR="00B329A0">
        <w:rPr>
          <w:rFonts w:ascii="Calibri" w:hAnsi="Calibri"/>
          <w:sz w:val="24"/>
          <w:szCs w:val="24"/>
        </w:rPr>
        <w:t xml:space="preserve"> </w:t>
      </w:r>
      <w:r w:rsidRPr="00A05373">
        <w:rPr>
          <w:rFonts w:ascii="Calibri" w:hAnsi="Calibri"/>
          <w:sz w:val="24"/>
          <w:szCs w:val="24"/>
        </w:rPr>
        <w:t xml:space="preserve">and scale efficiency scores were both </w:t>
      </w:r>
      <w:r w:rsidR="00481AF3">
        <w:rPr>
          <w:rFonts w:ascii="Calibri" w:hAnsi="Calibri"/>
          <w:sz w:val="24"/>
          <w:szCs w:val="24"/>
        </w:rPr>
        <w:t>0.</w:t>
      </w:r>
      <w:r w:rsidRPr="00A05373">
        <w:rPr>
          <w:rFonts w:ascii="Calibri" w:hAnsi="Calibri"/>
          <w:sz w:val="24"/>
          <w:szCs w:val="24"/>
        </w:rPr>
        <w:t xml:space="preserve">87. </w:t>
      </w:r>
      <w:bookmarkStart w:id="31" w:name="_Hlk2783026"/>
      <w:r w:rsidR="00B26B6E" w:rsidRPr="00A05373">
        <w:rPr>
          <w:rFonts w:ascii="Calibri" w:hAnsi="Calibri"/>
          <w:sz w:val="24"/>
          <w:szCs w:val="24"/>
        </w:rPr>
        <w:t>T</w:t>
      </w:r>
      <w:r w:rsidR="00B26B6E">
        <w:rPr>
          <w:rFonts w:ascii="Calibri" w:hAnsi="Calibri"/>
          <w:sz w:val="24"/>
          <w:szCs w:val="24"/>
        </w:rPr>
        <w:t xml:space="preserve">his </w:t>
      </w:r>
      <w:r w:rsidRPr="00A05373">
        <w:rPr>
          <w:rFonts w:ascii="Calibri" w:hAnsi="Calibri"/>
          <w:sz w:val="24"/>
          <w:szCs w:val="24"/>
        </w:rPr>
        <w:t>indicat</w:t>
      </w:r>
      <w:r w:rsidR="00481AF3">
        <w:rPr>
          <w:rFonts w:ascii="Calibri" w:hAnsi="Calibri"/>
          <w:sz w:val="24"/>
          <w:szCs w:val="24"/>
        </w:rPr>
        <w:t>ed</w:t>
      </w:r>
      <w:r w:rsidRPr="00A05373">
        <w:rPr>
          <w:rFonts w:ascii="Calibri" w:hAnsi="Calibri"/>
          <w:sz w:val="24"/>
          <w:szCs w:val="24"/>
        </w:rPr>
        <w:t xml:space="preserve"> that inefficiency </w:t>
      </w:r>
      <w:r w:rsidR="00AD3A5F">
        <w:rPr>
          <w:rFonts w:ascii="Calibri" w:hAnsi="Calibri"/>
          <w:sz w:val="24"/>
          <w:szCs w:val="24"/>
        </w:rPr>
        <w:t>might be</w:t>
      </w:r>
      <w:r w:rsidR="00AD3A5F" w:rsidRPr="00A05373">
        <w:rPr>
          <w:rFonts w:ascii="Calibri" w:hAnsi="Calibri"/>
          <w:sz w:val="24"/>
          <w:szCs w:val="24"/>
        </w:rPr>
        <w:t xml:space="preserve"> </w:t>
      </w:r>
      <w:r w:rsidR="00481AF3">
        <w:rPr>
          <w:rFonts w:ascii="Calibri" w:hAnsi="Calibri"/>
          <w:sz w:val="24"/>
          <w:szCs w:val="24"/>
        </w:rPr>
        <w:t>due to</w:t>
      </w:r>
      <w:r w:rsidRPr="00A05373">
        <w:rPr>
          <w:rFonts w:ascii="Calibri" w:hAnsi="Calibri"/>
          <w:sz w:val="24"/>
          <w:szCs w:val="24"/>
        </w:rPr>
        <w:t xml:space="preserve"> administrative </w:t>
      </w:r>
      <w:r w:rsidR="00B442EA">
        <w:rPr>
          <w:rFonts w:ascii="Calibri" w:hAnsi="Calibri"/>
          <w:sz w:val="24"/>
          <w:szCs w:val="24"/>
        </w:rPr>
        <w:t>gaps</w:t>
      </w:r>
      <w:r w:rsidRPr="00A05373">
        <w:rPr>
          <w:rFonts w:ascii="Calibri" w:hAnsi="Calibri"/>
          <w:sz w:val="24"/>
          <w:szCs w:val="24"/>
        </w:rPr>
        <w:t xml:space="preserve"> to overcome external environmental factors and </w:t>
      </w:r>
      <w:r w:rsidR="00AD3A5F">
        <w:rPr>
          <w:rFonts w:ascii="Calibri" w:hAnsi="Calibri"/>
          <w:sz w:val="24"/>
          <w:szCs w:val="24"/>
        </w:rPr>
        <w:t xml:space="preserve">limitations in </w:t>
      </w:r>
      <w:r w:rsidRPr="00A05373">
        <w:rPr>
          <w:rFonts w:ascii="Calibri" w:hAnsi="Calibri"/>
          <w:sz w:val="24"/>
          <w:szCs w:val="24"/>
        </w:rPr>
        <w:t>manag</w:t>
      </w:r>
      <w:r w:rsidR="00AD3A5F">
        <w:rPr>
          <w:rFonts w:ascii="Calibri" w:hAnsi="Calibri"/>
          <w:sz w:val="24"/>
          <w:szCs w:val="24"/>
        </w:rPr>
        <w:t>ing</w:t>
      </w:r>
      <w:r w:rsidRPr="00A05373">
        <w:rPr>
          <w:rFonts w:ascii="Calibri" w:hAnsi="Calibri"/>
          <w:sz w:val="24"/>
          <w:szCs w:val="24"/>
        </w:rPr>
        <w:t xml:space="preserve"> internal operations in the hospitals. </w:t>
      </w:r>
      <w:bookmarkEnd w:id="31"/>
      <w:r w:rsidR="00D079A3">
        <w:rPr>
          <w:rFonts w:ascii="Calibri" w:hAnsi="Calibri"/>
          <w:sz w:val="24"/>
          <w:szCs w:val="24"/>
        </w:rPr>
        <w:t>Notably</w:t>
      </w:r>
      <w:r w:rsidR="00D079A3" w:rsidRPr="00A05373">
        <w:rPr>
          <w:rFonts w:ascii="Calibri" w:hAnsi="Calibri"/>
          <w:sz w:val="24"/>
          <w:szCs w:val="24"/>
        </w:rPr>
        <w:t xml:space="preserve">, </w:t>
      </w:r>
      <w:proofErr w:type="spellStart"/>
      <w:r w:rsidR="00D079A3" w:rsidRPr="00A05373">
        <w:rPr>
          <w:rFonts w:ascii="Calibri" w:hAnsi="Calibri"/>
          <w:sz w:val="24"/>
          <w:szCs w:val="24"/>
        </w:rPr>
        <w:t>Helal</w:t>
      </w:r>
      <w:proofErr w:type="spellEnd"/>
      <w:r w:rsidR="00AB7219" w:rsidRPr="00A05373">
        <w:rPr>
          <w:rFonts w:ascii="Calibri" w:hAnsi="Calibri"/>
          <w:sz w:val="24"/>
          <w:szCs w:val="24"/>
        </w:rPr>
        <w:t xml:space="preserve"> </w:t>
      </w:r>
      <w:r w:rsidR="008E10E9">
        <w:rPr>
          <w:rFonts w:ascii="Calibri" w:hAnsi="Calibri"/>
          <w:sz w:val="24"/>
          <w:szCs w:val="24"/>
        </w:rPr>
        <w:t>and</w:t>
      </w:r>
      <w:r w:rsidR="00AB7219" w:rsidRPr="00A05373">
        <w:rPr>
          <w:rFonts w:ascii="Calibri" w:hAnsi="Calibri"/>
          <w:sz w:val="24"/>
          <w:szCs w:val="24"/>
        </w:rPr>
        <w:t xml:space="preserve"> </w:t>
      </w:r>
      <w:proofErr w:type="spellStart"/>
      <w:r w:rsidR="00AB7219" w:rsidRPr="00A05373">
        <w:rPr>
          <w:rFonts w:ascii="Calibri" w:hAnsi="Calibri"/>
          <w:sz w:val="24"/>
          <w:szCs w:val="24"/>
        </w:rPr>
        <w:t>Elimam</w:t>
      </w:r>
      <w:proofErr w:type="spellEnd"/>
      <w:r w:rsidR="00C976D8">
        <w:rPr>
          <w:rFonts w:ascii="Calibri" w:hAnsi="Calibri"/>
          <w:sz w:val="24"/>
          <w:szCs w:val="24"/>
          <w:vertAlign w:val="superscript"/>
        </w:rPr>
        <w:t xml:space="preserve"> </w:t>
      </w:r>
      <w:r w:rsidR="00DC0B44">
        <w:rPr>
          <w:rFonts w:ascii="Calibri" w:hAnsi="Calibri"/>
          <w:sz w:val="24"/>
          <w:szCs w:val="24"/>
          <w:vertAlign w:val="superscript"/>
        </w:rPr>
        <w:t>15</w:t>
      </w:r>
      <w:r w:rsidR="00C976D8">
        <w:rPr>
          <w:rFonts w:ascii="Calibri" w:hAnsi="Calibri"/>
          <w:sz w:val="24"/>
          <w:szCs w:val="24"/>
          <w:vertAlign w:val="superscript"/>
        </w:rPr>
        <w:t xml:space="preserve"> </w:t>
      </w:r>
      <w:r w:rsidR="00B329A0" w:rsidRPr="00D84107">
        <w:rPr>
          <w:rFonts w:ascii="Calibri" w:hAnsi="Calibri"/>
          <w:sz w:val="24"/>
          <w:szCs w:val="24"/>
        </w:rPr>
        <w:t>in 2017</w:t>
      </w:r>
      <w:r w:rsidR="00AB7219" w:rsidRPr="00A05373">
        <w:rPr>
          <w:rFonts w:ascii="Calibri" w:hAnsi="Calibri"/>
          <w:sz w:val="24"/>
          <w:szCs w:val="24"/>
        </w:rPr>
        <w:t>, assessed the efficiency of health services at district</w:t>
      </w:r>
      <w:r w:rsidR="000E5121">
        <w:rPr>
          <w:rFonts w:ascii="Calibri" w:hAnsi="Calibri"/>
          <w:sz w:val="24"/>
          <w:szCs w:val="24"/>
        </w:rPr>
        <w:t>s</w:t>
      </w:r>
      <w:r w:rsidR="00AB7219" w:rsidRPr="00A05373">
        <w:rPr>
          <w:rFonts w:ascii="Calibri" w:hAnsi="Calibri"/>
          <w:sz w:val="24"/>
          <w:szCs w:val="24"/>
        </w:rPr>
        <w:t xml:space="preserve"> level in </w:t>
      </w:r>
      <w:r w:rsidR="008E10E9">
        <w:rPr>
          <w:rFonts w:ascii="Calibri" w:hAnsi="Calibri"/>
          <w:sz w:val="24"/>
          <w:szCs w:val="24"/>
        </w:rPr>
        <w:t>K</w:t>
      </w:r>
      <w:r w:rsidR="00AB7219" w:rsidRPr="00A05373">
        <w:rPr>
          <w:rFonts w:ascii="Calibri" w:hAnsi="Calibri"/>
          <w:sz w:val="24"/>
          <w:szCs w:val="24"/>
        </w:rPr>
        <w:t>SA</w:t>
      </w:r>
      <w:r w:rsidR="003B298E" w:rsidRPr="00A05373">
        <w:rPr>
          <w:rFonts w:ascii="Calibri" w:hAnsi="Calibri"/>
          <w:sz w:val="24"/>
          <w:szCs w:val="24"/>
        </w:rPr>
        <w:t xml:space="preserve"> </w:t>
      </w:r>
      <w:r w:rsidR="00B329A0">
        <w:rPr>
          <w:rFonts w:ascii="Calibri" w:hAnsi="Calibri"/>
          <w:sz w:val="24"/>
          <w:szCs w:val="24"/>
        </w:rPr>
        <w:t>based on</w:t>
      </w:r>
      <w:r w:rsidR="00CA5F26">
        <w:rPr>
          <w:rFonts w:ascii="Calibri" w:hAnsi="Calibri"/>
          <w:sz w:val="24"/>
          <w:szCs w:val="24"/>
        </w:rPr>
        <w:t xml:space="preserve"> </w:t>
      </w:r>
      <w:r w:rsidR="003B298E" w:rsidRPr="00A05373">
        <w:rPr>
          <w:rFonts w:ascii="Calibri" w:hAnsi="Calibri"/>
          <w:sz w:val="24"/>
          <w:szCs w:val="24"/>
        </w:rPr>
        <w:t>MOH data</w:t>
      </w:r>
      <w:r w:rsidR="008E10E9">
        <w:rPr>
          <w:rFonts w:ascii="Calibri" w:hAnsi="Calibri"/>
          <w:sz w:val="24"/>
          <w:szCs w:val="24"/>
        </w:rPr>
        <w:t xml:space="preserve"> </w:t>
      </w:r>
      <w:r w:rsidR="003B298E" w:rsidRPr="00A05373">
        <w:rPr>
          <w:rFonts w:ascii="Calibri" w:hAnsi="Calibri"/>
          <w:sz w:val="24"/>
          <w:szCs w:val="24"/>
        </w:rPr>
        <w:t>2014</w:t>
      </w:r>
      <w:r w:rsidR="00AB7219" w:rsidRPr="00A05373">
        <w:rPr>
          <w:rFonts w:ascii="Calibri" w:hAnsi="Calibri"/>
          <w:sz w:val="24"/>
          <w:szCs w:val="24"/>
        </w:rPr>
        <w:t xml:space="preserve">, found </w:t>
      </w:r>
      <w:r w:rsidR="008E10E9">
        <w:rPr>
          <w:rFonts w:ascii="Calibri" w:hAnsi="Calibri"/>
          <w:sz w:val="24"/>
          <w:szCs w:val="24"/>
        </w:rPr>
        <w:t xml:space="preserve">an </w:t>
      </w:r>
      <w:r w:rsidR="00AB7219" w:rsidRPr="00A05373">
        <w:rPr>
          <w:rFonts w:ascii="Calibri" w:hAnsi="Calibri"/>
          <w:sz w:val="24"/>
          <w:szCs w:val="24"/>
        </w:rPr>
        <w:t xml:space="preserve">average efficiency </w:t>
      </w:r>
      <w:r w:rsidR="003B298E" w:rsidRPr="00A05373">
        <w:rPr>
          <w:rFonts w:ascii="Calibri" w:hAnsi="Calibri"/>
          <w:sz w:val="24"/>
          <w:szCs w:val="24"/>
        </w:rPr>
        <w:t xml:space="preserve">score </w:t>
      </w:r>
      <w:r w:rsidR="008E10E9">
        <w:rPr>
          <w:rFonts w:ascii="Calibri" w:hAnsi="Calibri"/>
          <w:sz w:val="24"/>
          <w:szCs w:val="24"/>
        </w:rPr>
        <w:t>of</w:t>
      </w:r>
      <w:r w:rsidR="00AB7219" w:rsidRPr="00A05373">
        <w:rPr>
          <w:rFonts w:ascii="Calibri" w:hAnsi="Calibri"/>
          <w:sz w:val="24"/>
          <w:szCs w:val="24"/>
        </w:rPr>
        <w:t xml:space="preserve"> 0.92, and 45% of the districts </w:t>
      </w:r>
      <w:r w:rsidR="003B298E" w:rsidRPr="00A05373">
        <w:rPr>
          <w:rFonts w:ascii="Calibri" w:hAnsi="Calibri"/>
          <w:sz w:val="24"/>
          <w:szCs w:val="24"/>
        </w:rPr>
        <w:t>achieved the technical efficiency score.</w:t>
      </w:r>
      <w:r w:rsidR="003D2F59" w:rsidRPr="00A05373">
        <w:rPr>
          <w:rFonts w:ascii="Calibri" w:hAnsi="Calibri"/>
          <w:sz w:val="24"/>
          <w:szCs w:val="24"/>
        </w:rPr>
        <w:t xml:space="preserve"> </w:t>
      </w:r>
      <w:r w:rsidR="00A03DA4">
        <w:rPr>
          <w:rFonts w:ascii="Calibri" w:hAnsi="Calibri"/>
          <w:sz w:val="24"/>
          <w:szCs w:val="24"/>
        </w:rPr>
        <w:t>E</w:t>
      </w:r>
      <w:r w:rsidR="00420FBE" w:rsidRPr="00A05373">
        <w:rPr>
          <w:rFonts w:ascii="Calibri" w:hAnsi="Calibri"/>
          <w:sz w:val="24"/>
          <w:szCs w:val="24"/>
        </w:rPr>
        <w:t>fficiency analysis of 20 public hospitals</w:t>
      </w:r>
      <w:r w:rsidR="00CA5F26">
        <w:rPr>
          <w:rFonts w:ascii="Calibri" w:hAnsi="Calibri"/>
          <w:sz w:val="24"/>
          <w:szCs w:val="24"/>
        </w:rPr>
        <w:t>,</w:t>
      </w:r>
      <w:r w:rsidR="00420FBE" w:rsidRPr="00A05373">
        <w:rPr>
          <w:rFonts w:ascii="Calibri" w:hAnsi="Calibri"/>
          <w:sz w:val="24"/>
          <w:szCs w:val="24"/>
        </w:rPr>
        <w:t xml:space="preserve"> under private sector management in </w:t>
      </w:r>
      <w:r w:rsidR="008E10E9">
        <w:rPr>
          <w:rFonts w:ascii="Calibri" w:hAnsi="Calibri"/>
          <w:sz w:val="24"/>
          <w:szCs w:val="24"/>
        </w:rPr>
        <w:t>K</w:t>
      </w:r>
      <w:r w:rsidR="00420FBE" w:rsidRPr="00A05373">
        <w:rPr>
          <w:rFonts w:ascii="Calibri" w:hAnsi="Calibri"/>
          <w:sz w:val="24"/>
          <w:szCs w:val="24"/>
        </w:rPr>
        <w:t xml:space="preserve">SA, found </w:t>
      </w:r>
      <w:r w:rsidR="00A03C4E" w:rsidRPr="00A05373">
        <w:rPr>
          <w:rFonts w:ascii="Calibri" w:hAnsi="Calibri"/>
          <w:sz w:val="24"/>
          <w:szCs w:val="24"/>
        </w:rPr>
        <w:t xml:space="preserve">that </w:t>
      </w:r>
      <w:r w:rsidR="00420FBE" w:rsidRPr="00A05373">
        <w:rPr>
          <w:rFonts w:ascii="Calibri" w:hAnsi="Calibri"/>
          <w:sz w:val="24"/>
          <w:szCs w:val="24"/>
        </w:rPr>
        <w:t xml:space="preserve">60% of the study sample had not achieved the efficient score, with </w:t>
      </w:r>
      <w:r w:rsidR="008E10E9">
        <w:rPr>
          <w:rFonts w:ascii="Calibri" w:hAnsi="Calibri"/>
          <w:sz w:val="24"/>
          <w:szCs w:val="24"/>
        </w:rPr>
        <w:t xml:space="preserve">an </w:t>
      </w:r>
      <w:r w:rsidR="00420FBE" w:rsidRPr="00A05373">
        <w:rPr>
          <w:rFonts w:ascii="Calibri" w:hAnsi="Calibri"/>
          <w:sz w:val="24"/>
          <w:szCs w:val="24"/>
        </w:rPr>
        <w:t>average score of 0.84</w:t>
      </w:r>
      <w:r w:rsidR="0047528D">
        <w:rPr>
          <w:rFonts w:ascii="Calibri" w:hAnsi="Calibri"/>
          <w:sz w:val="24"/>
          <w:szCs w:val="24"/>
        </w:rPr>
        <w:t>.</w:t>
      </w:r>
      <w:r w:rsidR="00DC0B44">
        <w:rPr>
          <w:rFonts w:ascii="Calibri" w:hAnsi="Calibri"/>
          <w:sz w:val="24"/>
          <w:szCs w:val="24"/>
          <w:vertAlign w:val="superscript"/>
        </w:rPr>
        <w:t>16</w:t>
      </w:r>
      <w:r w:rsidR="00420FBE" w:rsidRPr="00A05373">
        <w:rPr>
          <w:rFonts w:ascii="Calibri" w:hAnsi="Calibri"/>
          <w:sz w:val="24"/>
          <w:szCs w:val="24"/>
        </w:rPr>
        <w:t xml:space="preserve"> </w:t>
      </w:r>
    </w:p>
    <w:p w14:paraId="2A706DA1" w14:textId="245F4763" w:rsidR="00CA5F26" w:rsidRPr="00A05373" w:rsidRDefault="00732905" w:rsidP="008F1189">
      <w:pPr>
        <w:spacing w:line="360" w:lineRule="auto"/>
        <w:jc w:val="both"/>
        <w:rPr>
          <w:rFonts w:ascii="Calibri" w:hAnsi="Calibri"/>
          <w:sz w:val="24"/>
          <w:szCs w:val="24"/>
        </w:rPr>
      </w:pPr>
      <w:r>
        <w:rPr>
          <w:rFonts w:ascii="Calibri" w:hAnsi="Calibri"/>
          <w:sz w:val="24"/>
          <w:szCs w:val="24"/>
        </w:rPr>
        <w:t>The r</w:t>
      </w:r>
      <w:r w:rsidR="005F6696">
        <w:rPr>
          <w:rFonts w:ascii="Calibri" w:hAnsi="Calibri"/>
          <w:sz w:val="24"/>
          <w:szCs w:val="24"/>
        </w:rPr>
        <w:t>esults of the study presented here suggest that</w:t>
      </w:r>
      <w:r w:rsidR="005548AD" w:rsidRPr="00A05373">
        <w:rPr>
          <w:rFonts w:ascii="Calibri" w:hAnsi="Calibri"/>
          <w:sz w:val="24"/>
          <w:szCs w:val="24"/>
        </w:rPr>
        <w:t xml:space="preserve"> small hospitals </w:t>
      </w:r>
      <w:r w:rsidR="00B26B6E">
        <w:rPr>
          <w:rFonts w:ascii="Calibri" w:hAnsi="Calibri"/>
          <w:sz w:val="24"/>
          <w:szCs w:val="24"/>
        </w:rPr>
        <w:t>we</w:t>
      </w:r>
      <w:r w:rsidR="005548AD" w:rsidRPr="00A05373">
        <w:rPr>
          <w:rFonts w:ascii="Calibri" w:hAnsi="Calibri"/>
          <w:sz w:val="24"/>
          <w:szCs w:val="24"/>
        </w:rPr>
        <w:t xml:space="preserve">re relatively more </w:t>
      </w:r>
      <w:r w:rsidR="00904174" w:rsidRPr="00A05373">
        <w:rPr>
          <w:rFonts w:ascii="Calibri" w:hAnsi="Calibri"/>
          <w:sz w:val="24"/>
          <w:szCs w:val="24"/>
        </w:rPr>
        <w:t>technical</w:t>
      </w:r>
      <w:r w:rsidR="007F3B3B" w:rsidRPr="00A05373">
        <w:rPr>
          <w:rFonts w:ascii="Calibri" w:hAnsi="Calibri"/>
          <w:sz w:val="24"/>
          <w:szCs w:val="24"/>
        </w:rPr>
        <w:t>ly</w:t>
      </w:r>
      <w:r w:rsidR="00904174" w:rsidRPr="00A05373">
        <w:rPr>
          <w:rFonts w:ascii="Calibri" w:hAnsi="Calibri"/>
          <w:sz w:val="24"/>
          <w:szCs w:val="24"/>
        </w:rPr>
        <w:t xml:space="preserve"> </w:t>
      </w:r>
      <w:r w:rsidR="005548AD" w:rsidRPr="00A05373">
        <w:rPr>
          <w:rFonts w:ascii="Calibri" w:hAnsi="Calibri"/>
          <w:sz w:val="24"/>
          <w:szCs w:val="24"/>
        </w:rPr>
        <w:t xml:space="preserve">efficient </w:t>
      </w:r>
      <w:r w:rsidR="00904174" w:rsidRPr="00A05373">
        <w:rPr>
          <w:rFonts w:ascii="Calibri" w:hAnsi="Calibri"/>
          <w:sz w:val="24"/>
          <w:szCs w:val="24"/>
        </w:rPr>
        <w:t>than medium</w:t>
      </w:r>
      <w:r w:rsidR="005F6696">
        <w:rPr>
          <w:rFonts w:ascii="Calibri" w:hAnsi="Calibri"/>
          <w:sz w:val="24"/>
          <w:szCs w:val="24"/>
        </w:rPr>
        <w:t>-sized</w:t>
      </w:r>
      <w:r w:rsidR="00904174" w:rsidRPr="00A05373">
        <w:rPr>
          <w:rFonts w:ascii="Calibri" w:hAnsi="Calibri"/>
          <w:sz w:val="24"/>
          <w:szCs w:val="24"/>
        </w:rPr>
        <w:t xml:space="preserve"> and large hospitals</w:t>
      </w:r>
      <w:r w:rsidR="005F6696">
        <w:rPr>
          <w:rFonts w:ascii="Calibri" w:hAnsi="Calibri"/>
          <w:sz w:val="24"/>
          <w:szCs w:val="24"/>
        </w:rPr>
        <w:t xml:space="preserve"> (Table 2)</w:t>
      </w:r>
      <w:r w:rsidR="00904174" w:rsidRPr="00A05373">
        <w:rPr>
          <w:rFonts w:ascii="Calibri" w:hAnsi="Calibri"/>
          <w:sz w:val="24"/>
          <w:szCs w:val="24"/>
        </w:rPr>
        <w:t>.</w:t>
      </w:r>
      <w:r w:rsidR="005548AD" w:rsidRPr="00A05373">
        <w:rPr>
          <w:rFonts w:ascii="Calibri" w:hAnsi="Calibri"/>
          <w:sz w:val="24"/>
          <w:szCs w:val="24"/>
        </w:rPr>
        <w:t xml:space="preserve"> </w:t>
      </w:r>
      <w:r w:rsidR="005F6696">
        <w:rPr>
          <w:rFonts w:ascii="Calibri" w:hAnsi="Calibri"/>
          <w:sz w:val="24"/>
          <w:szCs w:val="24"/>
        </w:rPr>
        <w:t>O</w:t>
      </w:r>
      <w:r w:rsidR="007F3B3B" w:rsidRPr="00A05373">
        <w:rPr>
          <w:rFonts w:ascii="Calibri" w:hAnsi="Calibri"/>
          <w:sz w:val="24"/>
          <w:szCs w:val="24"/>
        </w:rPr>
        <w:t>ther efficiency studies</w:t>
      </w:r>
      <w:r w:rsidR="005F6696">
        <w:rPr>
          <w:rFonts w:ascii="Calibri" w:hAnsi="Calibri"/>
          <w:sz w:val="24"/>
          <w:szCs w:val="24"/>
        </w:rPr>
        <w:t xml:space="preserve"> have reported similar findings: </w:t>
      </w:r>
      <w:proofErr w:type="spellStart"/>
      <w:r w:rsidR="007F3B3B" w:rsidRPr="00A05373">
        <w:rPr>
          <w:rFonts w:ascii="Calibri" w:hAnsi="Calibri"/>
          <w:sz w:val="24"/>
          <w:szCs w:val="24"/>
        </w:rPr>
        <w:t>Gok</w:t>
      </w:r>
      <w:proofErr w:type="spellEnd"/>
      <w:r w:rsidR="00821119" w:rsidRPr="00821119">
        <w:rPr>
          <w:rFonts w:ascii="Calibri" w:hAnsi="Calibri"/>
          <w:sz w:val="24"/>
          <w:szCs w:val="24"/>
          <w:vertAlign w:val="superscript"/>
        </w:rPr>
        <w:t xml:space="preserve"> </w:t>
      </w:r>
      <w:r w:rsidR="00FB0C4E">
        <w:rPr>
          <w:rFonts w:ascii="Calibri" w:hAnsi="Calibri"/>
          <w:sz w:val="24"/>
          <w:szCs w:val="24"/>
          <w:vertAlign w:val="superscript"/>
        </w:rPr>
        <w:t>2</w:t>
      </w:r>
      <w:r w:rsidR="00C976D8">
        <w:rPr>
          <w:rFonts w:ascii="Calibri" w:hAnsi="Calibri"/>
          <w:sz w:val="24"/>
          <w:szCs w:val="24"/>
          <w:vertAlign w:val="superscript"/>
        </w:rPr>
        <w:t>7</w:t>
      </w:r>
      <w:r w:rsidR="007F3B3B" w:rsidRPr="00A05373">
        <w:rPr>
          <w:rFonts w:ascii="Calibri" w:hAnsi="Calibri"/>
          <w:sz w:val="24"/>
          <w:szCs w:val="24"/>
        </w:rPr>
        <w:t xml:space="preserve"> found that small hospitals </w:t>
      </w:r>
      <w:r w:rsidR="001D197B" w:rsidRPr="00A05373">
        <w:rPr>
          <w:rFonts w:ascii="Calibri" w:hAnsi="Calibri"/>
          <w:sz w:val="24"/>
          <w:szCs w:val="24"/>
        </w:rPr>
        <w:t>achieved</w:t>
      </w:r>
      <w:r w:rsidR="007F3B3B" w:rsidRPr="00A05373">
        <w:rPr>
          <w:rFonts w:ascii="Calibri" w:hAnsi="Calibri"/>
          <w:sz w:val="24"/>
          <w:szCs w:val="24"/>
        </w:rPr>
        <w:t xml:space="preserve"> </w:t>
      </w:r>
      <w:r w:rsidR="000E25EE" w:rsidRPr="00A05373">
        <w:rPr>
          <w:rFonts w:ascii="Calibri" w:hAnsi="Calibri"/>
          <w:sz w:val="24"/>
          <w:szCs w:val="24"/>
        </w:rPr>
        <w:t>higher</w:t>
      </w:r>
      <w:r w:rsidR="007F3B3B" w:rsidRPr="00A05373">
        <w:rPr>
          <w:rFonts w:ascii="Calibri" w:hAnsi="Calibri"/>
          <w:sz w:val="24"/>
          <w:szCs w:val="24"/>
        </w:rPr>
        <w:t xml:space="preserve"> efficiency scores than medium</w:t>
      </w:r>
      <w:r w:rsidR="005F6696">
        <w:rPr>
          <w:rFonts w:ascii="Calibri" w:hAnsi="Calibri"/>
          <w:sz w:val="24"/>
          <w:szCs w:val="24"/>
        </w:rPr>
        <w:t>-sized</w:t>
      </w:r>
      <w:r w:rsidR="007F3B3B" w:rsidRPr="00A05373">
        <w:rPr>
          <w:rFonts w:ascii="Calibri" w:hAnsi="Calibri"/>
          <w:sz w:val="24"/>
          <w:szCs w:val="24"/>
        </w:rPr>
        <w:t xml:space="preserve"> and large ones. </w:t>
      </w:r>
      <w:r w:rsidR="00CA5F26">
        <w:rPr>
          <w:rFonts w:ascii="Calibri" w:hAnsi="Calibri"/>
          <w:sz w:val="24"/>
          <w:szCs w:val="24"/>
        </w:rPr>
        <w:t xml:space="preserve">This </w:t>
      </w:r>
      <w:r w:rsidR="00F05A81" w:rsidRPr="00A05373">
        <w:rPr>
          <w:rFonts w:ascii="Calibri" w:hAnsi="Calibri"/>
          <w:sz w:val="24"/>
          <w:szCs w:val="24"/>
        </w:rPr>
        <w:t xml:space="preserve">might be </w:t>
      </w:r>
      <w:r w:rsidR="00CA5F26">
        <w:rPr>
          <w:rFonts w:ascii="Calibri" w:hAnsi="Calibri"/>
          <w:sz w:val="24"/>
          <w:szCs w:val="24"/>
        </w:rPr>
        <w:t xml:space="preserve">due to </w:t>
      </w:r>
      <w:r w:rsidR="00F05A81" w:rsidRPr="00A05373">
        <w:rPr>
          <w:rFonts w:ascii="Calibri" w:hAnsi="Calibri"/>
          <w:sz w:val="24"/>
          <w:szCs w:val="24"/>
        </w:rPr>
        <w:t xml:space="preserve">the </w:t>
      </w:r>
      <w:r w:rsidR="00A03DA4" w:rsidRPr="00A05373">
        <w:rPr>
          <w:rFonts w:ascii="Calibri" w:hAnsi="Calibri"/>
          <w:sz w:val="24"/>
          <w:szCs w:val="24"/>
        </w:rPr>
        <w:t>differ</w:t>
      </w:r>
      <w:r w:rsidR="00A03DA4">
        <w:rPr>
          <w:rFonts w:ascii="Calibri" w:hAnsi="Calibri"/>
          <w:sz w:val="24"/>
          <w:szCs w:val="24"/>
        </w:rPr>
        <w:t>ent</w:t>
      </w:r>
      <w:r w:rsidR="00A03DA4" w:rsidRPr="00A05373">
        <w:rPr>
          <w:rFonts w:ascii="Calibri" w:hAnsi="Calibri"/>
          <w:sz w:val="24"/>
          <w:szCs w:val="24"/>
        </w:rPr>
        <w:t xml:space="preserve"> </w:t>
      </w:r>
      <w:r w:rsidR="00132FDB" w:rsidRPr="00A05373">
        <w:rPr>
          <w:rFonts w:ascii="Calibri" w:hAnsi="Calibri"/>
          <w:sz w:val="24"/>
          <w:szCs w:val="24"/>
        </w:rPr>
        <w:t xml:space="preserve">locations and </w:t>
      </w:r>
      <w:r w:rsidR="00F05A81" w:rsidRPr="00A05373">
        <w:rPr>
          <w:rFonts w:ascii="Calibri" w:hAnsi="Calibri"/>
          <w:sz w:val="24"/>
          <w:szCs w:val="24"/>
        </w:rPr>
        <w:t>missions of small and</w:t>
      </w:r>
      <w:r w:rsidR="00132FDB" w:rsidRPr="00A05373">
        <w:rPr>
          <w:rFonts w:ascii="Calibri" w:hAnsi="Calibri"/>
          <w:sz w:val="24"/>
          <w:szCs w:val="24"/>
        </w:rPr>
        <w:t xml:space="preserve"> l</w:t>
      </w:r>
      <w:r w:rsidR="00F05A81" w:rsidRPr="00A05373">
        <w:rPr>
          <w:rFonts w:ascii="Calibri" w:hAnsi="Calibri"/>
          <w:sz w:val="24"/>
          <w:szCs w:val="24"/>
        </w:rPr>
        <w:t>arge hospitals</w:t>
      </w:r>
      <w:r w:rsidR="00705306">
        <w:rPr>
          <w:rFonts w:ascii="Calibri" w:hAnsi="Calibri"/>
          <w:sz w:val="24"/>
          <w:szCs w:val="24"/>
        </w:rPr>
        <w:t>.</w:t>
      </w:r>
      <w:r w:rsidR="00FB0C4E">
        <w:rPr>
          <w:rFonts w:ascii="Calibri" w:hAnsi="Calibri"/>
          <w:sz w:val="24"/>
          <w:szCs w:val="24"/>
          <w:vertAlign w:val="superscript"/>
        </w:rPr>
        <w:t>2</w:t>
      </w:r>
      <w:r w:rsidR="00C976D8">
        <w:rPr>
          <w:rFonts w:ascii="Calibri" w:hAnsi="Calibri"/>
          <w:sz w:val="24"/>
          <w:szCs w:val="24"/>
          <w:vertAlign w:val="superscript"/>
        </w:rPr>
        <w:t>7,36</w:t>
      </w:r>
      <w:r w:rsidR="00132FDB" w:rsidRPr="00A05373">
        <w:rPr>
          <w:rFonts w:ascii="Calibri" w:hAnsi="Calibri"/>
          <w:sz w:val="24"/>
          <w:szCs w:val="24"/>
        </w:rPr>
        <w:t xml:space="preserve"> </w:t>
      </w:r>
      <w:r w:rsidR="005F6696">
        <w:rPr>
          <w:rFonts w:ascii="Calibri" w:hAnsi="Calibri"/>
          <w:sz w:val="24"/>
          <w:szCs w:val="24"/>
        </w:rPr>
        <w:t>In this study’s sample, s</w:t>
      </w:r>
      <w:r w:rsidR="00132FDB" w:rsidRPr="00A05373">
        <w:rPr>
          <w:rFonts w:ascii="Calibri" w:hAnsi="Calibri"/>
          <w:sz w:val="24"/>
          <w:szCs w:val="24"/>
        </w:rPr>
        <w:t xml:space="preserve">mall hospitals </w:t>
      </w:r>
      <w:r w:rsidR="00B26B6E">
        <w:rPr>
          <w:rFonts w:ascii="Calibri" w:hAnsi="Calibri"/>
          <w:sz w:val="24"/>
          <w:szCs w:val="24"/>
        </w:rPr>
        <w:t xml:space="preserve">were </w:t>
      </w:r>
      <w:r w:rsidR="00132FDB" w:rsidRPr="00A05373">
        <w:rPr>
          <w:rFonts w:ascii="Calibri" w:hAnsi="Calibri"/>
          <w:sz w:val="24"/>
          <w:szCs w:val="24"/>
        </w:rPr>
        <w:t>mainly in peripheral cities and towns</w:t>
      </w:r>
      <w:r w:rsidR="00FB5609">
        <w:rPr>
          <w:rFonts w:ascii="Calibri" w:hAnsi="Calibri"/>
          <w:sz w:val="24"/>
          <w:szCs w:val="24"/>
        </w:rPr>
        <w:t xml:space="preserve"> in KSA</w:t>
      </w:r>
      <w:r w:rsidR="00132FDB" w:rsidRPr="00A05373">
        <w:rPr>
          <w:rFonts w:ascii="Calibri" w:hAnsi="Calibri"/>
          <w:sz w:val="24"/>
          <w:szCs w:val="24"/>
        </w:rPr>
        <w:t xml:space="preserve">, </w:t>
      </w:r>
      <w:r w:rsidR="00B26B6E">
        <w:rPr>
          <w:rFonts w:ascii="Calibri" w:hAnsi="Calibri"/>
          <w:sz w:val="24"/>
          <w:szCs w:val="24"/>
        </w:rPr>
        <w:t>wh</w:t>
      </w:r>
      <w:r w:rsidR="005F6696">
        <w:rPr>
          <w:rFonts w:ascii="Calibri" w:hAnsi="Calibri"/>
          <w:sz w:val="24"/>
          <w:szCs w:val="24"/>
        </w:rPr>
        <w:t>ich lacked</w:t>
      </w:r>
      <w:r w:rsidR="00B26B6E">
        <w:rPr>
          <w:rFonts w:ascii="Calibri" w:hAnsi="Calibri"/>
          <w:sz w:val="24"/>
          <w:szCs w:val="24"/>
        </w:rPr>
        <w:t xml:space="preserve"> </w:t>
      </w:r>
      <w:r w:rsidR="00132FDB" w:rsidRPr="00A05373">
        <w:rPr>
          <w:rFonts w:ascii="Calibri" w:hAnsi="Calibri"/>
          <w:sz w:val="24"/>
          <w:szCs w:val="24"/>
        </w:rPr>
        <w:t xml:space="preserve">other </w:t>
      </w:r>
      <w:r w:rsidR="005F6696">
        <w:rPr>
          <w:rFonts w:ascii="Calibri" w:hAnsi="Calibri"/>
          <w:sz w:val="24"/>
          <w:szCs w:val="24"/>
        </w:rPr>
        <w:t>sources</w:t>
      </w:r>
      <w:r w:rsidR="00132FDB" w:rsidRPr="00A05373">
        <w:rPr>
          <w:rFonts w:ascii="Calibri" w:hAnsi="Calibri"/>
          <w:sz w:val="24"/>
          <w:szCs w:val="24"/>
        </w:rPr>
        <w:t xml:space="preserve"> of </w:t>
      </w:r>
      <w:r w:rsidR="005F6696">
        <w:rPr>
          <w:rFonts w:ascii="Calibri" w:hAnsi="Calibri"/>
          <w:sz w:val="24"/>
          <w:szCs w:val="24"/>
        </w:rPr>
        <w:t xml:space="preserve">public or private </w:t>
      </w:r>
      <w:r w:rsidR="00132FDB" w:rsidRPr="00A05373">
        <w:rPr>
          <w:rFonts w:ascii="Calibri" w:hAnsi="Calibri"/>
          <w:sz w:val="24"/>
          <w:szCs w:val="24"/>
        </w:rPr>
        <w:t>healthcare</w:t>
      </w:r>
      <w:r w:rsidR="00B26B6E">
        <w:rPr>
          <w:rFonts w:ascii="Calibri" w:hAnsi="Calibri"/>
          <w:sz w:val="24"/>
          <w:szCs w:val="24"/>
        </w:rPr>
        <w:t xml:space="preserve">. </w:t>
      </w:r>
      <w:r w:rsidR="005F6696">
        <w:rPr>
          <w:rFonts w:ascii="Calibri" w:hAnsi="Calibri"/>
          <w:sz w:val="24"/>
          <w:szCs w:val="24"/>
        </w:rPr>
        <w:t>S</w:t>
      </w:r>
      <w:r w:rsidR="00132FDB" w:rsidRPr="00A05373">
        <w:rPr>
          <w:rFonts w:ascii="Calibri" w:hAnsi="Calibri"/>
          <w:sz w:val="24"/>
          <w:szCs w:val="24"/>
        </w:rPr>
        <w:t>ervice provision</w:t>
      </w:r>
      <w:r w:rsidR="00B26B6E">
        <w:rPr>
          <w:rFonts w:ascii="Calibri" w:hAnsi="Calibri"/>
          <w:sz w:val="24"/>
          <w:szCs w:val="24"/>
        </w:rPr>
        <w:t xml:space="preserve"> in those hospitals</w:t>
      </w:r>
      <w:r w:rsidR="00132FDB" w:rsidRPr="00A05373">
        <w:rPr>
          <w:rFonts w:ascii="Calibri" w:hAnsi="Calibri"/>
          <w:sz w:val="24"/>
          <w:szCs w:val="24"/>
        </w:rPr>
        <w:t xml:space="preserve"> </w:t>
      </w:r>
      <w:r w:rsidR="00B00533" w:rsidRPr="00A05373">
        <w:rPr>
          <w:rFonts w:ascii="Calibri" w:hAnsi="Calibri"/>
          <w:sz w:val="24"/>
          <w:szCs w:val="24"/>
        </w:rPr>
        <w:t>might be</w:t>
      </w:r>
      <w:r w:rsidR="00132FDB" w:rsidRPr="00A05373">
        <w:rPr>
          <w:rFonts w:ascii="Calibri" w:hAnsi="Calibri"/>
          <w:sz w:val="24"/>
          <w:szCs w:val="24"/>
        </w:rPr>
        <w:t xml:space="preserve"> relatively high compar</w:t>
      </w:r>
      <w:r w:rsidR="00B00533" w:rsidRPr="00A05373">
        <w:rPr>
          <w:rFonts w:ascii="Calibri" w:hAnsi="Calibri"/>
          <w:sz w:val="24"/>
          <w:szCs w:val="24"/>
        </w:rPr>
        <w:t>ed to</w:t>
      </w:r>
      <w:r w:rsidR="00132FDB" w:rsidRPr="00A05373">
        <w:rPr>
          <w:rFonts w:ascii="Calibri" w:hAnsi="Calibri"/>
          <w:sz w:val="24"/>
          <w:szCs w:val="24"/>
        </w:rPr>
        <w:t xml:space="preserve"> </w:t>
      </w:r>
      <w:r w:rsidR="00B26B6E">
        <w:rPr>
          <w:rFonts w:ascii="Calibri" w:hAnsi="Calibri"/>
          <w:sz w:val="24"/>
          <w:szCs w:val="24"/>
        </w:rPr>
        <w:t xml:space="preserve">the </w:t>
      </w:r>
      <w:r w:rsidR="00132FDB" w:rsidRPr="00A05373">
        <w:rPr>
          <w:rFonts w:ascii="Calibri" w:hAnsi="Calibri"/>
          <w:sz w:val="24"/>
          <w:szCs w:val="24"/>
        </w:rPr>
        <w:t xml:space="preserve">health resources used. </w:t>
      </w:r>
      <w:r w:rsidR="00B91AFF">
        <w:rPr>
          <w:rFonts w:ascii="Calibri" w:hAnsi="Calibri"/>
          <w:sz w:val="24"/>
          <w:szCs w:val="24"/>
        </w:rPr>
        <w:t>Large</w:t>
      </w:r>
      <w:r w:rsidR="00132FDB" w:rsidRPr="00A05373">
        <w:rPr>
          <w:rFonts w:ascii="Calibri" w:hAnsi="Calibri"/>
          <w:sz w:val="24"/>
          <w:szCs w:val="24"/>
        </w:rPr>
        <w:t xml:space="preserve"> hospitals (500 or more</w:t>
      </w:r>
      <w:r w:rsidR="005F6696">
        <w:rPr>
          <w:rFonts w:ascii="Calibri" w:hAnsi="Calibri"/>
          <w:sz w:val="24"/>
          <w:szCs w:val="24"/>
        </w:rPr>
        <w:t xml:space="preserve"> beds</w:t>
      </w:r>
      <w:r w:rsidR="00132FDB" w:rsidRPr="00A05373">
        <w:rPr>
          <w:rFonts w:ascii="Calibri" w:hAnsi="Calibri"/>
          <w:sz w:val="24"/>
          <w:szCs w:val="24"/>
        </w:rPr>
        <w:t xml:space="preserve">) </w:t>
      </w:r>
      <w:r w:rsidR="00CA5F26">
        <w:rPr>
          <w:rFonts w:ascii="Calibri" w:hAnsi="Calibri"/>
          <w:sz w:val="24"/>
          <w:szCs w:val="24"/>
        </w:rPr>
        <w:t xml:space="preserve">tended to be </w:t>
      </w:r>
      <w:r w:rsidR="009514E5">
        <w:rPr>
          <w:rFonts w:ascii="Calibri" w:hAnsi="Calibri"/>
          <w:sz w:val="24"/>
          <w:szCs w:val="24"/>
        </w:rPr>
        <w:t>in larger cities in urban areas</w:t>
      </w:r>
      <w:r w:rsidR="00132FDB" w:rsidRPr="00A05373">
        <w:rPr>
          <w:rFonts w:ascii="Calibri" w:hAnsi="Calibri"/>
          <w:sz w:val="24"/>
          <w:szCs w:val="24"/>
        </w:rPr>
        <w:t>, where many other health providers</w:t>
      </w:r>
      <w:r w:rsidR="00B26B6E">
        <w:rPr>
          <w:rFonts w:ascii="Calibri" w:hAnsi="Calibri"/>
          <w:sz w:val="24"/>
          <w:szCs w:val="24"/>
        </w:rPr>
        <w:t xml:space="preserve"> </w:t>
      </w:r>
      <w:r w:rsidR="00132FDB" w:rsidRPr="00A05373">
        <w:rPr>
          <w:rFonts w:ascii="Calibri" w:hAnsi="Calibri"/>
          <w:sz w:val="24"/>
          <w:szCs w:val="24"/>
        </w:rPr>
        <w:t>share</w:t>
      </w:r>
      <w:r w:rsidR="00B26B6E">
        <w:rPr>
          <w:rFonts w:ascii="Calibri" w:hAnsi="Calibri"/>
          <w:sz w:val="24"/>
          <w:szCs w:val="24"/>
        </w:rPr>
        <w:t>d</w:t>
      </w:r>
      <w:r w:rsidR="005F6696">
        <w:rPr>
          <w:rFonts w:ascii="Calibri" w:hAnsi="Calibri"/>
          <w:sz w:val="24"/>
          <w:szCs w:val="24"/>
        </w:rPr>
        <w:t xml:space="preserve"> the</w:t>
      </w:r>
      <w:r w:rsidR="00132FDB" w:rsidRPr="00A05373">
        <w:rPr>
          <w:rFonts w:ascii="Calibri" w:hAnsi="Calibri"/>
          <w:sz w:val="24"/>
          <w:szCs w:val="24"/>
        </w:rPr>
        <w:t xml:space="preserve"> health</w:t>
      </w:r>
      <w:r w:rsidR="005F6696">
        <w:rPr>
          <w:rFonts w:ascii="Calibri" w:hAnsi="Calibri"/>
          <w:sz w:val="24"/>
          <w:szCs w:val="24"/>
        </w:rPr>
        <w:t>care</w:t>
      </w:r>
      <w:r w:rsidR="00132FDB" w:rsidRPr="00A05373">
        <w:rPr>
          <w:rFonts w:ascii="Calibri" w:hAnsi="Calibri"/>
          <w:sz w:val="24"/>
          <w:szCs w:val="24"/>
        </w:rPr>
        <w:t xml:space="preserve"> of </w:t>
      </w:r>
      <w:r w:rsidR="005F6696">
        <w:rPr>
          <w:rFonts w:ascii="Calibri" w:hAnsi="Calibri"/>
          <w:sz w:val="24"/>
          <w:szCs w:val="24"/>
        </w:rPr>
        <w:t>much of the urban</w:t>
      </w:r>
      <w:r w:rsidR="00132FDB" w:rsidRPr="00A05373">
        <w:rPr>
          <w:rFonts w:ascii="Calibri" w:hAnsi="Calibri"/>
          <w:sz w:val="24"/>
          <w:szCs w:val="24"/>
        </w:rPr>
        <w:t xml:space="preserve"> population</w:t>
      </w:r>
      <w:r w:rsidR="005F6696">
        <w:rPr>
          <w:rFonts w:ascii="Calibri" w:hAnsi="Calibri"/>
          <w:sz w:val="24"/>
          <w:szCs w:val="24"/>
        </w:rPr>
        <w:t>, which</w:t>
      </w:r>
      <w:r w:rsidR="0036765F" w:rsidRPr="00A05373">
        <w:rPr>
          <w:rFonts w:ascii="Calibri" w:hAnsi="Calibri"/>
          <w:sz w:val="24"/>
          <w:szCs w:val="24"/>
        </w:rPr>
        <w:t xml:space="preserve"> </w:t>
      </w:r>
      <w:r w:rsidR="00B00533" w:rsidRPr="00A05373">
        <w:rPr>
          <w:rFonts w:ascii="Calibri" w:hAnsi="Calibri"/>
          <w:sz w:val="24"/>
          <w:szCs w:val="24"/>
        </w:rPr>
        <w:t xml:space="preserve">might </w:t>
      </w:r>
      <w:r w:rsidR="005F6696">
        <w:rPr>
          <w:rFonts w:ascii="Calibri" w:hAnsi="Calibri"/>
          <w:sz w:val="24"/>
          <w:szCs w:val="24"/>
        </w:rPr>
        <w:t>generate a</w:t>
      </w:r>
      <w:r w:rsidR="00B26B6E">
        <w:rPr>
          <w:rFonts w:ascii="Calibri" w:hAnsi="Calibri"/>
          <w:sz w:val="24"/>
          <w:szCs w:val="24"/>
        </w:rPr>
        <w:t xml:space="preserve"> </w:t>
      </w:r>
      <w:r w:rsidR="0036765F" w:rsidRPr="00A05373">
        <w:rPr>
          <w:rFonts w:ascii="Calibri" w:hAnsi="Calibri"/>
          <w:sz w:val="24"/>
          <w:szCs w:val="24"/>
        </w:rPr>
        <w:t>relatively decrease</w:t>
      </w:r>
      <w:r w:rsidR="00B26B6E">
        <w:rPr>
          <w:rFonts w:ascii="Calibri" w:hAnsi="Calibri"/>
          <w:sz w:val="24"/>
          <w:szCs w:val="24"/>
        </w:rPr>
        <w:t>d</w:t>
      </w:r>
      <w:r w:rsidR="0036765F" w:rsidRPr="00A05373">
        <w:rPr>
          <w:rFonts w:ascii="Calibri" w:hAnsi="Calibri"/>
          <w:sz w:val="24"/>
          <w:szCs w:val="24"/>
        </w:rPr>
        <w:t xml:space="preserve"> </w:t>
      </w:r>
      <w:r w:rsidR="00B26B6E">
        <w:rPr>
          <w:rFonts w:ascii="Calibri" w:hAnsi="Calibri"/>
          <w:sz w:val="24"/>
          <w:szCs w:val="24"/>
        </w:rPr>
        <w:t>level of</w:t>
      </w:r>
      <w:r w:rsidR="000E129A">
        <w:rPr>
          <w:rFonts w:ascii="Calibri" w:hAnsi="Calibri"/>
          <w:sz w:val="24"/>
          <w:szCs w:val="24"/>
        </w:rPr>
        <w:t xml:space="preserve"> health services</w:t>
      </w:r>
      <w:r w:rsidR="00B26B6E" w:rsidRPr="00A05373">
        <w:rPr>
          <w:rFonts w:ascii="Calibri" w:hAnsi="Calibri"/>
          <w:sz w:val="24"/>
          <w:szCs w:val="24"/>
        </w:rPr>
        <w:t xml:space="preserve"> </w:t>
      </w:r>
      <w:r w:rsidR="0036765F" w:rsidRPr="00A05373">
        <w:rPr>
          <w:rFonts w:ascii="Calibri" w:hAnsi="Calibri"/>
          <w:sz w:val="24"/>
          <w:szCs w:val="24"/>
        </w:rPr>
        <w:t xml:space="preserve">production in respect </w:t>
      </w:r>
      <w:r w:rsidR="005F6696">
        <w:rPr>
          <w:rFonts w:ascii="Calibri" w:hAnsi="Calibri"/>
          <w:sz w:val="24"/>
          <w:szCs w:val="24"/>
        </w:rPr>
        <w:t>of</w:t>
      </w:r>
      <w:r w:rsidR="0036765F" w:rsidRPr="00A05373">
        <w:rPr>
          <w:rFonts w:ascii="Calibri" w:hAnsi="Calibri"/>
          <w:sz w:val="24"/>
          <w:szCs w:val="24"/>
        </w:rPr>
        <w:t xml:space="preserve"> </w:t>
      </w:r>
      <w:r w:rsidR="00EE5E04" w:rsidRPr="00A05373">
        <w:rPr>
          <w:rFonts w:ascii="Calibri" w:hAnsi="Calibri"/>
          <w:sz w:val="24"/>
          <w:szCs w:val="24"/>
        </w:rPr>
        <w:t xml:space="preserve">inputs </w:t>
      </w:r>
      <w:r w:rsidR="0036765F" w:rsidRPr="00A05373">
        <w:rPr>
          <w:rFonts w:ascii="Calibri" w:hAnsi="Calibri"/>
          <w:sz w:val="24"/>
          <w:szCs w:val="24"/>
        </w:rPr>
        <w:t>used</w:t>
      </w:r>
      <w:r w:rsidR="00132FDB" w:rsidRPr="00A05373">
        <w:rPr>
          <w:rFonts w:ascii="Calibri" w:hAnsi="Calibri"/>
          <w:sz w:val="24"/>
          <w:szCs w:val="24"/>
        </w:rPr>
        <w:t>.</w:t>
      </w:r>
    </w:p>
    <w:p w14:paraId="11D2F564" w14:textId="182B9617" w:rsidR="0001390D" w:rsidRDefault="005F6696" w:rsidP="008F1189">
      <w:pPr>
        <w:spacing w:line="360" w:lineRule="auto"/>
        <w:jc w:val="both"/>
        <w:rPr>
          <w:rFonts w:ascii="Calibri" w:hAnsi="Calibri"/>
          <w:sz w:val="24"/>
          <w:szCs w:val="24"/>
          <w:vertAlign w:val="superscript"/>
        </w:rPr>
      </w:pPr>
      <w:r>
        <w:rPr>
          <w:rFonts w:ascii="Calibri" w:hAnsi="Calibri"/>
          <w:sz w:val="24"/>
          <w:szCs w:val="24"/>
        </w:rPr>
        <w:t>R</w:t>
      </w:r>
      <w:r w:rsidR="0036765F" w:rsidRPr="00A05373">
        <w:rPr>
          <w:rFonts w:ascii="Calibri" w:hAnsi="Calibri"/>
          <w:sz w:val="24"/>
          <w:szCs w:val="24"/>
        </w:rPr>
        <w:t>egard</w:t>
      </w:r>
      <w:r w:rsidR="00B00533" w:rsidRPr="00A05373">
        <w:rPr>
          <w:rFonts w:ascii="Calibri" w:hAnsi="Calibri"/>
          <w:sz w:val="24"/>
          <w:szCs w:val="24"/>
        </w:rPr>
        <w:t>ing</w:t>
      </w:r>
      <w:r w:rsidR="0036765F" w:rsidRPr="00A05373">
        <w:rPr>
          <w:rFonts w:ascii="Calibri" w:hAnsi="Calibri"/>
          <w:sz w:val="24"/>
          <w:szCs w:val="24"/>
        </w:rPr>
        <w:t xml:space="preserve"> the different mission</w:t>
      </w:r>
      <w:r w:rsidR="00620E18">
        <w:rPr>
          <w:rFonts w:ascii="Calibri" w:hAnsi="Calibri"/>
          <w:sz w:val="24"/>
          <w:szCs w:val="24"/>
        </w:rPr>
        <w:t>s</w:t>
      </w:r>
      <w:r w:rsidR="000E129A">
        <w:rPr>
          <w:rFonts w:ascii="Calibri" w:hAnsi="Calibri"/>
          <w:sz w:val="24"/>
          <w:szCs w:val="24"/>
        </w:rPr>
        <w:t>,</w:t>
      </w:r>
      <w:r w:rsidR="0036765F" w:rsidRPr="00A05373">
        <w:rPr>
          <w:rFonts w:ascii="Calibri" w:hAnsi="Calibri"/>
          <w:sz w:val="24"/>
          <w:szCs w:val="24"/>
        </w:rPr>
        <w:t xml:space="preserve"> large hospitals consume</w:t>
      </w:r>
      <w:r w:rsidR="000F6E24">
        <w:rPr>
          <w:rFonts w:ascii="Calibri" w:hAnsi="Calibri"/>
          <w:sz w:val="24"/>
          <w:szCs w:val="24"/>
        </w:rPr>
        <w:t>d</w:t>
      </w:r>
      <w:r w:rsidR="0036765F" w:rsidRPr="00A05373">
        <w:rPr>
          <w:rFonts w:ascii="Calibri" w:hAnsi="Calibri"/>
          <w:sz w:val="24"/>
          <w:szCs w:val="24"/>
        </w:rPr>
        <w:t xml:space="preserve"> a high amount of health resources to meet the </w:t>
      </w:r>
      <w:r w:rsidR="00EE5E04" w:rsidRPr="00A05373">
        <w:rPr>
          <w:rFonts w:ascii="Calibri" w:hAnsi="Calibri"/>
          <w:sz w:val="24"/>
          <w:szCs w:val="24"/>
        </w:rPr>
        <w:t>various</w:t>
      </w:r>
      <w:r w:rsidR="0036765F" w:rsidRPr="00A05373">
        <w:rPr>
          <w:rFonts w:ascii="Calibri" w:hAnsi="Calibri"/>
          <w:sz w:val="24"/>
          <w:szCs w:val="24"/>
        </w:rPr>
        <w:t xml:space="preserve"> requirements of comprehensive care.</w:t>
      </w:r>
      <w:r w:rsidR="00654353">
        <w:rPr>
          <w:rFonts w:ascii="Calibri" w:hAnsi="Calibri"/>
          <w:sz w:val="24"/>
          <w:szCs w:val="24"/>
          <w:vertAlign w:val="superscript"/>
        </w:rPr>
        <w:t>2</w:t>
      </w:r>
      <w:r w:rsidR="00C976D8">
        <w:rPr>
          <w:rFonts w:ascii="Calibri" w:hAnsi="Calibri"/>
          <w:sz w:val="24"/>
          <w:szCs w:val="24"/>
          <w:vertAlign w:val="superscript"/>
        </w:rPr>
        <w:t>7</w:t>
      </w:r>
      <w:r w:rsidR="0036765F" w:rsidRPr="00A05373">
        <w:rPr>
          <w:rFonts w:ascii="Calibri" w:hAnsi="Calibri"/>
          <w:sz w:val="24"/>
          <w:szCs w:val="24"/>
        </w:rPr>
        <w:t xml:space="preserve"> Since some of these </w:t>
      </w:r>
      <w:r w:rsidR="000F6E24">
        <w:rPr>
          <w:rFonts w:ascii="Calibri" w:hAnsi="Calibri"/>
          <w:sz w:val="24"/>
          <w:szCs w:val="24"/>
        </w:rPr>
        <w:t>we</w:t>
      </w:r>
      <w:r w:rsidR="0036765F" w:rsidRPr="00A05373">
        <w:rPr>
          <w:rFonts w:ascii="Calibri" w:hAnsi="Calibri"/>
          <w:sz w:val="24"/>
          <w:szCs w:val="24"/>
        </w:rPr>
        <w:t>re</w:t>
      </w:r>
      <w:r w:rsidR="00EE5E04" w:rsidRPr="00A05373">
        <w:rPr>
          <w:rFonts w:ascii="Calibri" w:hAnsi="Calibri"/>
          <w:sz w:val="24"/>
          <w:szCs w:val="24"/>
        </w:rPr>
        <w:t xml:space="preserve"> </w:t>
      </w:r>
      <w:r w:rsidR="0036765F" w:rsidRPr="00A05373">
        <w:rPr>
          <w:rFonts w:ascii="Calibri" w:hAnsi="Calibri"/>
          <w:sz w:val="24"/>
          <w:szCs w:val="24"/>
        </w:rPr>
        <w:t xml:space="preserve">teaching hospitals, </w:t>
      </w:r>
      <w:r w:rsidR="00EE5E04" w:rsidRPr="00A05373">
        <w:rPr>
          <w:rFonts w:ascii="Calibri" w:hAnsi="Calibri"/>
          <w:sz w:val="24"/>
          <w:szCs w:val="24"/>
        </w:rPr>
        <w:t xml:space="preserve">however, </w:t>
      </w:r>
      <w:r w:rsidR="00E80852" w:rsidRPr="00A05373">
        <w:rPr>
          <w:rFonts w:ascii="Calibri" w:hAnsi="Calibri"/>
          <w:sz w:val="24"/>
          <w:szCs w:val="24"/>
        </w:rPr>
        <w:t xml:space="preserve">teaching activities </w:t>
      </w:r>
      <w:r w:rsidR="000F6E24">
        <w:rPr>
          <w:rFonts w:ascii="Calibri" w:hAnsi="Calibri"/>
          <w:sz w:val="24"/>
          <w:szCs w:val="24"/>
        </w:rPr>
        <w:t>were</w:t>
      </w:r>
      <w:r w:rsidR="00E80852" w:rsidRPr="00A05373">
        <w:rPr>
          <w:rFonts w:ascii="Calibri" w:hAnsi="Calibri"/>
          <w:sz w:val="24"/>
          <w:szCs w:val="24"/>
        </w:rPr>
        <w:t xml:space="preserve"> not count</w:t>
      </w:r>
      <w:r w:rsidR="000F6E24">
        <w:rPr>
          <w:rFonts w:ascii="Calibri" w:hAnsi="Calibri"/>
          <w:sz w:val="24"/>
          <w:szCs w:val="24"/>
        </w:rPr>
        <w:t>ed</w:t>
      </w:r>
      <w:r w:rsidR="00E80852" w:rsidRPr="00A05373">
        <w:rPr>
          <w:rFonts w:ascii="Calibri" w:hAnsi="Calibri"/>
          <w:sz w:val="24"/>
          <w:szCs w:val="24"/>
        </w:rPr>
        <w:t xml:space="preserve"> in </w:t>
      </w:r>
      <w:r w:rsidR="000F6E24">
        <w:rPr>
          <w:rFonts w:ascii="Calibri" w:hAnsi="Calibri"/>
          <w:sz w:val="24"/>
          <w:szCs w:val="24"/>
        </w:rPr>
        <w:t xml:space="preserve">the </w:t>
      </w:r>
      <w:r w:rsidR="00E80852" w:rsidRPr="00A05373">
        <w:rPr>
          <w:rFonts w:ascii="Calibri" w:hAnsi="Calibri"/>
          <w:sz w:val="24"/>
          <w:szCs w:val="24"/>
        </w:rPr>
        <w:t xml:space="preserve">outcome </w:t>
      </w:r>
      <w:r w:rsidR="00E80852" w:rsidRPr="00A05373">
        <w:rPr>
          <w:rFonts w:ascii="Calibri" w:hAnsi="Calibri"/>
          <w:sz w:val="24"/>
          <w:szCs w:val="24"/>
        </w:rPr>
        <w:lastRenderedPageBreak/>
        <w:t>measurements</w:t>
      </w:r>
      <w:r w:rsidR="00DA277A">
        <w:rPr>
          <w:rFonts w:ascii="Calibri" w:hAnsi="Calibri"/>
          <w:sz w:val="24"/>
          <w:szCs w:val="24"/>
        </w:rPr>
        <w:t>.</w:t>
      </w:r>
      <w:r w:rsidR="00654353">
        <w:rPr>
          <w:rFonts w:ascii="Calibri" w:hAnsi="Calibri"/>
          <w:sz w:val="24"/>
          <w:szCs w:val="24"/>
          <w:vertAlign w:val="superscript"/>
        </w:rPr>
        <w:t>2</w:t>
      </w:r>
      <w:r w:rsidR="00C976D8">
        <w:rPr>
          <w:rFonts w:ascii="Calibri" w:hAnsi="Calibri"/>
          <w:sz w:val="24"/>
          <w:szCs w:val="24"/>
          <w:vertAlign w:val="superscript"/>
        </w:rPr>
        <w:t>7</w:t>
      </w:r>
      <w:r w:rsidR="00654353">
        <w:rPr>
          <w:rFonts w:ascii="Calibri" w:hAnsi="Calibri"/>
          <w:sz w:val="24"/>
          <w:szCs w:val="24"/>
          <w:vertAlign w:val="superscript"/>
        </w:rPr>
        <w:t>,</w:t>
      </w:r>
      <w:r w:rsidR="00C976D8">
        <w:rPr>
          <w:rFonts w:ascii="Calibri" w:hAnsi="Calibri"/>
          <w:sz w:val="24"/>
          <w:szCs w:val="24"/>
          <w:vertAlign w:val="superscript"/>
        </w:rPr>
        <w:t>28</w:t>
      </w:r>
      <w:r w:rsidR="00E80852" w:rsidRPr="00A05373">
        <w:rPr>
          <w:rFonts w:ascii="Calibri" w:hAnsi="Calibri"/>
          <w:sz w:val="24"/>
          <w:szCs w:val="24"/>
        </w:rPr>
        <w:t xml:space="preserve"> </w:t>
      </w:r>
      <w:r w:rsidR="00620E18">
        <w:rPr>
          <w:rFonts w:ascii="Calibri" w:hAnsi="Calibri"/>
          <w:sz w:val="24"/>
          <w:szCs w:val="24"/>
        </w:rPr>
        <w:t>I</w:t>
      </w:r>
      <w:r w:rsidR="000F6E24">
        <w:rPr>
          <w:rFonts w:ascii="Calibri" w:hAnsi="Calibri"/>
          <w:sz w:val="24"/>
          <w:szCs w:val="24"/>
        </w:rPr>
        <w:t>n such large hospitals</w:t>
      </w:r>
      <w:r w:rsidR="000F6E24" w:rsidRPr="00A05373">
        <w:rPr>
          <w:rFonts w:ascii="Calibri" w:hAnsi="Calibri"/>
          <w:sz w:val="24"/>
          <w:szCs w:val="24"/>
        </w:rPr>
        <w:t xml:space="preserve">, </w:t>
      </w:r>
      <w:r w:rsidR="0036765F" w:rsidRPr="00A05373">
        <w:rPr>
          <w:rFonts w:ascii="Calibri" w:hAnsi="Calibri"/>
          <w:sz w:val="24"/>
          <w:szCs w:val="24"/>
        </w:rPr>
        <w:t>treatment process</w:t>
      </w:r>
      <w:r w:rsidR="00620E18">
        <w:rPr>
          <w:rFonts w:ascii="Calibri" w:hAnsi="Calibri"/>
          <w:sz w:val="24"/>
          <w:szCs w:val="24"/>
        </w:rPr>
        <w:t>es</w:t>
      </w:r>
      <w:r w:rsidR="0036765F" w:rsidRPr="00A05373">
        <w:rPr>
          <w:rFonts w:ascii="Calibri" w:hAnsi="Calibri"/>
          <w:sz w:val="24"/>
          <w:szCs w:val="24"/>
        </w:rPr>
        <w:t xml:space="preserve"> might be more complicated, and some of the productions</w:t>
      </w:r>
      <w:r w:rsidR="00E80852" w:rsidRPr="00A05373">
        <w:rPr>
          <w:rFonts w:ascii="Calibri" w:hAnsi="Calibri"/>
          <w:sz w:val="24"/>
          <w:szCs w:val="24"/>
        </w:rPr>
        <w:t xml:space="preserve"> </w:t>
      </w:r>
      <w:r w:rsidR="0036765F" w:rsidRPr="00A05373">
        <w:rPr>
          <w:rFonts w:ascii="Calibri" w:hAnsi="Calibri"/>
          <w:sz w:val="24"/>
          <w:szCs w:val="24"/>
        </w:rPr>
        <w:t>of these hospitals could not be assessed</w:t>
      </w:r>
      <w:r w:rsidR="00E80852" w:rsidRPr="00A05373">
        <w:rPr>
          <w:rFonts w:ascii="Calibri" w:hAnsi="Calibri"/>
          <w:sz w:val="24"/>
          <w:szCs w:val="24"/>
        </w:rPr>
        <w:t xml:space="preserve"> </w:t>
      </w:r>
      <w:r w:rsidR="0036765F" w:rsidRPr="00A05373">
        <w:rPr>
          <w:rFonts w:ascii="Calibri" w:hAnsi="Calibri"/>
          <w:sz w:val="24"/>
          <w:szCs w:val="24"/>
        </w:rPr>
        <w:t xml:space="preserve">in the </w:t>
      </w:r>
      <w:r w:rsidR="00E80852" w:rsidRPr="00A05373">
        <w:rPr>
          <w:rFonts w:ascii="Calibri" w:hAnsi="Calibri"/>
          <w:sz w:val="24"/>
          <w:szCs w:val="24"/>
        </w:rPr>
        <w:t xml:space="preserve">hospital </w:t>
      </w:r>
      <w:r w:rsidR="0036765F" w:rsidRPr="00A05373">
        <w:rPr>
          <w:rFonts w:ascii="Calibri" w:hAnsi="Calibri"/>
          <w:sz w:val="24"/>
          <w:szCs w:val="24"/>
        </w:rPr>
        <w:t>outcome</w:t>
      </w:r>
      <w:r w:rsidR="00E80852" w:rsidRPr="00A05373">
        <w:rPr>
          <w:rFonts w:ascii="Calibri" w:hAnsi="Calibri"/>
          <w:sz w:val="24"/>
          <w:szCs w:val="24"/>
        </w:rPr>
        <w:t>s</w:t>
      </w:r>
      <w:r w:rsidR="00F42D58">
        <w:rPr>
          <w:rFonts w:ascii="Calibri" w:hAnsi="Calibri"/>
          <w:sz w:val="24"/>
          <w:szCs w:val="24"/>
        </w:rPr>
        <w:t>.</w:t>
      </w:r>
      <w:r w:rsidR="00C976D8">
        <w:rPr>
          <w:rFonts w:ascii="Calibri" w:hAnsi="Calibri"/>
          <w:sz w:val="24"/>
          <w:szCs w:val="24"/>
          <w:vertAlign w:val="superscript"/>
        </w:rPr>
        <w:t>42</w:t>
      </w:r>
    </w:p>
    <w:p w14:paraId="4D129A7B" w14:textId="7AFA3D5F" w:rsidR="00A67E4B" w:rsidRDefault="005548AD" w:rsidP="008F1189">
      <w:pPr>
        <w:spacing w:line="360" w:lineRule="auto"/>
        <w:jc w:val="both"/>
        <w:rPr>
          <w:rFonts w:ascii="Calibri" w:hAnsi="Calibri"/>
          <w:sz w:val="24"/>
          <w:szCs w:val="24"/>
        </w:rPr>
      </w:pPr>
      <w:r w:rsidRPr="00A05373">
        <w:rPr>
          <w:rFonts w:ascii="Calibri" w:hAnsi="Calibri"/>
          <w:sz w:val="24"/>
          <w:szCs w:val="24"/>
        </w:rPr>
        <w:t>T</w:t>
      </w:r>
      <w:r w:rsidR="00967B9F">
        <w:rPr>
          <w:rFonts w:ascii="Calibri" w:hAnsi="Calibri"/>
          <w:sz w:val="24"/>
          <w:szCs w:val="24"/>
        </w:rPr>
        <w:t xml:space="preserve">his study </w:t>
      </w:r>
      <w:r w:rsidR="00CA5F26">
        <w:rPr>
          <w:rFonts w:ascii="Calibri" w:hAnsi="Calibri"/>
          <w:sz w:val="24"/>
          <w:szCs w:val="24"/>
        </w:rPr>
        <w:t>found</w:t>
      </w:r>
      <w:r w:rsidRPr="00A05373">
        <w:rPr>
          <w:rFonts w:ascii="Calibri" w:hAnsi="Calibri"/>
          <w:sz w:val="24"/>
          <w:szCs w:val="24"/>
        </w:rPr>
        <w:t xml:space="preserve"> 57 hospitals (62.6%) operating on non-optimal scale size; 44% were operating on </w:t>
      </w:r>
      <w:r w:rsidR="00423EFB">
        <w:rPr>
          <w:rFonts w:ascii="Calibri" w:hAnsi="Calibri"/>
          <w:sz w:val="24"/>
          <w:szCs w:val="24"/>
        </w:rPr>
        <w:t xml:space="preserve">the </w:t>
      </w:r>
      <w:r w:rsidRPr="00A05373">
        <w:rPr>
          <w:rFonts w:ascii="Calibri" w:hAnsi="Calibri"/>
          <w:sz w:val="24"/>
          <w:szCs w:val="24"/>
        </w:rPr>
        <w:t>IRS, while 18.6% showed DRS (</w:t>
      </w:r>
      <w:r w:rsidR="00967B9F">
        <w:rPr>
          <w:rFonts w:ascii="Calibri" w:hAnsi="Calibri"/>
          <w:sz w:val="24"/>
          <w:szCs w:val="24"/>
        </w:rPr>
        <w:t>T</w:t>
      </w:r>
      <w:r w:rsidRPr="00A05373">
        <w:rPr>
          <w:rFonts w:ascii="Calibri" w:hAnsi="Calibri"/>
          <w:sz w:val="24"/>
          <w:szCs w:val="24"/>
        </w:rPr>
        <w:t>able 3). This indicate</w:t>
      </w:r>
      <w:r w:rsidR="00423EFB">
        <w:rPr>
          <w:rFonts w:ascii="Calibri" w:hAnsi="Calibri"/>
          <w:sz w:val="24"/>
          <w:szCs w:val="24"/>
        </w:rPr>
        <w:t>d that the efficiency of health</w:t>
      </w:r>
      <w:r w:rsidR="00967B9F">
        <w:rPr>
          <w:rFonts w:ascii="Calibri" w:hAnsi="Calibri"/>
          <w:sz w:val="24"/>
          <w:szCs w:val="24"/>
        </w:rPr>
        <w:t>care</w:t>
      </w:r>
      <w:r w:rsidR="00423EFB">
        <w:rPr>
          <w:rFonts w:ascii="Calibri" w:hAnsi="Calibri"/>
          <w:sz w:val="24"/>
          <w:szCs w:val="24"/>
        </w:rPr>
        <w:t xml:space="preserve"> in </w:t>
      </w:r>
      <w:r w:rsidR="00967B9F">
        <w:rPr>
          <w:rFonts w:ascii="Calibri" w:hAnsi="Calibri"/>
          <w:sz w:val="24"/>
          <w:szCs w:val="24"/>
        </w:rPr>
        <w:t>K</w:t>
      </w:r>
      <w:r w:rsidR="00423EFB">
        <w:rPr>
          <w:rFonts w:ascii="Calibri" w:hAnsi="Calibri"/>
          <w:sz w:val="24"/>
          <w:szCs w:val="24"/>
        </w:rPr>
        <w:t>SA</w:t>
      </w:r>
      <w:r w:rsidR="00967B9F">
        <w:rPr>
          <w:rFonts w:ascii="Calibri" w:hAnsi="Calibri"/>
          <w:sz w:val="24"/>
          <w:szCs w:val="24"/>
        </w:rPr>
        <w:t xml:space="preserve"> might be improved through</w:t>
      </w:r>
      <w:r w:rsidR="00423EFB">
        <w:rPr>
          <w:rFonts w:ascii="Calibri" w:hAnsi="Calibri"/>
          <w:sz w:val="24"/>
          <w:szCs w:val="24"/>
        </w:rPr>
        <w:t xml:space="preserve"> </w:t>
      </w:r>
      <w:r w:rsidR="00732905">
        <w:rPr>
          <w:rFonts w:ascii="Calibri" w:hAnsi="Calibri"/>
          <w:sz w:val="24"/>
          <w:szCs w:val="24"/>
        </w:rPr>
        <w:t xml:space="preserve">the </w:t>
      </w:r>
      <w:r w:rsidR="00423EFB">
        <w:rPr>
          <w:rFonts w:ascii="Calibri" w:hAnsi="Calibri"/>
          <w:sz w:val="24"/>
          <w:szCs w:val="24"/>
        </w:rPr>
        <w:t xml:space="preserve">downsizing of hospitals on DRS and reallocating these inputs </w:t>
      </w:r>
      <w:r w:rsidR="00967B9F">
        <w:rPr>
          <w:rFonts w:ascii="Calibri" w:hAnsi="Calibri"/>
          <w:sz w:val="24"/>
          <w:szCs w:val="24"/>
        </w:rPr>
        <w:t>to</w:t>
      </w:r>
      <w:r w:rsidR="00423EFB">
        <w:rPr>
          <w:rFonts w:ascii="Calibri" w:hAnsi="Calibri"/>
          <w:sz w:val="24"/>
          <w:szCs w:val="24"/>
        </w:rPr>
        <w:t xml:space="preserve"> the hospitals operating in the IRS. </w:t>
      </w:r>
      <w:r w:rsidR="00424703" w:rsidRPr="00A05373">
        <w:rPr>
          <w:rFonts w:ascii="Calibri" w:hAnsi="Calibri"/>
          <w:sz w:val="24"/>
          <w:szCs w:val="24"/>
        </w:rPr>
        <w:t>Moreover, f</w:t>
      </w:r>
      <w:r w:rsidR="0019039B" w:rsidRPr="00A05373">
        <w:rPr>
          <w:rFonts w:ascii="Calibri" w:hAnsi="Calibri"/>
          <w:sz w:val="24"/>
          <w:szCs w:val="24"/>
        </w:rPr>
        <w:t>ive out of eight large hospitals (500 or more beds) were operati</w:t>
      </w:r>
      <w:r w:rsidR="006F7E0A" w:rsidRPr="00A05373">
        <w:rPr>
          <w:rFonts w:ascii="Calibri" w:hAnsi="Calibri"/>
          <w:sz w:val="24"/>
          <w:szCs w:val="24"/>
        </w:rPr>
        <w:t>ng</w:t>
      </w:r>
      <w:r w:rsidR="0019039B" w:rsidRPr="00A05373">
        <w:rPr>
          <w:rFonts w:ascii="Calibri" w:hAnsi="Calibri"/>
          <w:sz w:val="24"/>
          <w:szCs w:val="24"/>
        </w:rPr>
        <w:t xml:space="preserve"> on DRS, </w:t>
      </w:r>
      <w:r w:rsidR="006F7E0A" w:rsidRPr="00A05373">
        <w:rPr>
          <w:rFonts w:ascii="Calibri" w:hAnsi="Calibri"/>
          <w:sz w:val="24"/>
          <w:szCs w:val="24"/>
        </w:rPr>
        <w:t>implying</w:t>
      </w:r>
      <w:r w:rsidR="0019039B" w:rsidRPr="00A05373">
        <w:rPr>
          <w:rFonts w:ascii="Calibri" w:hAnsi="Calibri"/>
          <w:sz w:val="24"/>
          <w:szCs w:val="24"/>
        </w:rPr>
        <w:t xml:space="preserve"> that </w:t>
      </w:r>
      <w:r w:rsidR="006F7E0A" w:rsidRPr="00A05373">
        <w:rPr>
          <w:rFonts w:ascii="Calibri" w:hAnsi="Calibri"/>
          <w:sz w:val="24"/>
          <w:szCs w:val="24"/>
        </w:rPr>
        <w:t xml:space="preserve">to improve efficiency, </w:t>
      </w:r>
      <w:bookmarkStart w:id="32" w:name="_Hlk2783453"/>
      <w:r w:rsidR="0019039B" w:rsidRPr="00A05373">
        <w:rPr>
          <w:rFonts w:ascii="Calibri" w:hAnsi="Calibri"/>
          <w:sz w:val="24"/>
          <w:szCs w:val="24"/>
        </w:rPr>
        <w:t>they need</w:t>
      </w:r>
      <w:r w:rsidR="00423EFB">
        <w:rPr>
          <w:rFonts w:ascii="Calibri" w:hAnsi="Calibri"/>
          <w:sz w:val="24"/>
          <w:szCs w:val="24"/>
        </w:rPr>
        <w:t>ed</w:t>
      </w:r>
      <w:r w:rsidR="0019039B" w:rsidRPr="00A05373">
        <w:rPr>
          <w:rFonts w:ascii="Calibri" w:hAnsi="Calibri"/>
          <w:sz w:val="24"/>
          <w:szCs w:val="24"/>
        </w:rPr>
        <w:t xml:space="preserve"> to reduce their production capacity</w:t>
      </w:r>
      <w:bookmarkEnd w:id="32"/>
      <w:r w:rsidR="00423EFB">
        <w:rPr>
          <w:rFonts w:ascii="Calibri" w:hAnsi="Calibri"/>
          <w:sz w:val="24"/>
          <w:szCs w:val="24"/>
        </w:rPr>
        <w:t xml:space="preserve">. </w:t>
      </w:r>
      <w:r w:rsidR="00967B9F">
        <w:rPr>
          <w:rFonts w:ascii="Calibri" w:hAnsi="Calibri"/>
          <w:sz w:val="24"/>
          <w:szCs w:val="24"/>
        </w:rPr>
        <w:t>This is</w:t>
      </w:r>
      <w:r w:rsidR="00423EFB">
        <w:rPr>
          <w:rFonts w:ascii="Calibri" w:hAnsi="Calibri"/>
          <w:sz w:val="24"/>
          <w:szCs w:val="24"/>
        </w:rPr>
        <w:t xml:space="preserve"> supported </w:t>
      </w:r>
      <w:r w:rsidR="00B00533" w:rsidRPr="00A05373">
        <w:rPr>
          <w:rFonts w:ascii="Calibri" w:hAnsi="Calibri"/>
          <w:sz w:val="24"/>
          <w:szCs w:val="24"/>
        </w:rPr>
        <w:t>by</w:t>
      </w:r>
      <w:r w:rsidR="00423EFB">
        <w:rPr>
          <w:rFonts w:ascii="Calibri" w:hAnsi="Calibri"/>
          <w:sz w:val="24"/>
          <w:szCs w:val="24"/>
        </w:rPr>
        <w:t xml:space="preserve"> </w:t>
      </w:r>
      <w:r w:rsidR="00967B9F">
        <w:rPr>
          <w:rFonts w:ascii="Calibri" w:hAnsi="Calibri"/>
          <w:sz w:val="24"/>
          <w:szCs w:val="24"/>
        </w:rPr>
        <w:t>other</w:t>
      </w:r>
      <w:r w:rsidR="00423EFB">
        <w:rPr>
          <w:rFonts w:ascii="Calibri" w:hAnsi="Calibri"/>
          <w:sz w:val="24"/>
          <w:szCs w:val="24"/>
        </w:rPr>
        <w:t xml:space="preserve"> </w:t>
      </w:r>
      <w:r w:rsidR="00967B9F">
        <w:rPr>
          <w:rFonts w:ascii="Calibri" w:hAnsi="Calibri"/>
          <w:sz w:val="24"/>
          <w:szCs w:val="24"/>
        </w:rPr>
        <w:t xml:space="preserve">research </w:t>
      </w:r>
      <w:r w:rsidR="00423EFB">
        <w:rPr>
          <w:rFonts w:ascii="Calibri" w:hAnsi="Calibri"/>
          <w:sz w:val="24"/>
          <w:szCs w:val="24"/>
        </w:rPr>
        <w:t>findings</w:t>
      </w:r>
      <w:r w:rsidR="00BB39C9">
        <w:rPr>
          <w:rFonts w:ascii="Calibri" w:hAnsi="Calibri"/>
          <w:sz w:val="24"/>
          <w:szCs w:val="24"/>
        </w:rPr>
        <w:t>.</w:t>
      </w:r>
      <w:r w:rsidR="00654353">
        <w:rPr>
          <w:rFonts w:ascii="Calibri" w:hAnsi="Calibri"/>
          <w:sz w:val="24"/>
          <w:szCs w:val="24"/>
          <w:vertAlign w:val="superscript"/>
        </w:rPr>
        <w:t>4</w:t>
      </w:r>
      <w:r w:rsidR="00C976D8">
        <w:rPr>
          <w:rFonts w:ascii="Calibri" w:hAnsi="Calibri"/>
          <w:sz w:val="24"/>
          <w:szCs w:val="24"/>
          <w:vertAlign w:val="superscript"/>
        </w:rPr>
        <w:t>3</w:t>
      </w:r>
      <w:r w:rsidR="006F7E0A" w:rsidRPr="00A05373">
        <w:rPr>
          <w:rFonts w:ascii="Calibri" w:hAnsi="Calibri"/>
          <w:sz w:val="24"/>
          <w:szCs w:val="24"/>
        </w:rPr>
        <w:t xml:space="preserve"> </w:t>
      </w:r>
    </w:p>
    <w:p w14:paraId="01346588" w14:textId="55AD504F" w:rsidR="00A67E4B" w:rsidRDefault="00967B9F" w:rsidP="008F1189">
      <w:pPr>
        <w:spacing w:line="360" w:lineRule="auto"/>
        <w:jc w:val="both"/>
        <w:rPr>
          <w:rFonts w:ascii="Calibri" w:hAnsi="Calibri"/>
          <w:sz w:val="24"/>
          <w:szCs w:val="24"/>
        </w:rPr>
      </w:pPr>
      <w:r>
        <w:rPr>
          <w:rFonts w:ascii="Calibri" w:hAnsi="Calibri"/>
          <w:sz w:val="24"/>
          <w:szCs w:val="24"/>
        </w:rPr>
        <w:t>This study</w:t>
      </w:r>
      <w:r w:rsidR="006F7E0A" w:rsidRPr="00A05373">
        <w:rPr>
          <w:rFonts w:ascii="Calibri" w:hAnsi="Calibri"/>
          <w:sz w:val="24"/>
          <w:szCs w:val="24"/>
        </w:rPr>
        <w:t xml:space="preserve"> found that 61.5% of small hospitals ha</w:t>
      </w:r>
      <w:r w:rsidR="0093331B">
        <w:rPr>
          <w:rFonts w:ascii="Calibri" w:hAnsi="Calibri"/>
          <w:sz w:val="24"/>
          <w:szCs w:val="24"/>
        </w:rPr>
        <w:t>d</w:t>
      </w:r>
      <w:r w:rsidR="006F7E0A" w:rsidRPr="00A05373">
        <w:rPr>
          <w:rFonts w:ascii="Calibri" w:hAnsi="Calibri"/>
          <w:sz w:val="24"/>
          <w:szCs w:val="24"/>
        </w:rPr>
        <w:t xml:space="preserve"> been operating on IRS,</w:t>
      </w:r>
      <w:r w:rsidR="00060551">
        <w:rPr>
          <w:rFonts w:ascii="Calibri" w:hAnsi="Calibri"/>
          <w:sz w:val="24"/>
          <w:szCs w:val="24"/>
        </w:rPr>
        <w:t xml:space="preserve"> none</w:t>
      </w:r>
      <w:r w:rsidR="007D6670">
        <w:rPr>
          <w:rFonts w:ascii="Calibri" w:hAnsi="Calibri"/>
          <w:sz w:val="24"/>
          <w:szCs w:val="24"/>
        </w:rPr>
        <w:t xml:space="preserve"> </w:t>
      </w:r>
      <w:r w:rsidR="00060551">
        <w:rPr>
          <w:rFonts w:ascii="Calibri" w:hAnsi="Calibri"/>
          <w:sz w:val="24"/>
          <w:szCs w:val="24"/>
        </w:rPr>
        <w:t>was on</w:t>
      </w:r>
      <w:r w:rsidR="006F7E0A" w:rsidRPr="00A05373">
        <w:rPr>
          <w:rFonts w:ascii="Calibri" w:hAnsi="Calibri"/>
          <w:sz w:val="24"/>
          <w:szCs w:val="24"/>
        </w:rPr>
        <w:t xml:space="preserve"> </w:t>
      </w:r>
      <w:r w:rsidR="0093331B">
        <w:rPr>
          <w:rFonts w:ascii="Calibri" w:hAnsi="Calibri"/>
          <w:sz w:val="24"/>
          <w:szCs w:val="24"/>
        </w:rPr>
        <w:t>D</w:t>
      </w:r>
      <w:r w:rsidR="006F7E0A" w:rsidRPr="00A05373">
        <w:rPr>
          <w:rFonts w:ascii="Calibri" w:hAnsi="Calibri"/>
          <w:sz w:val="24"/>
          <w:szCs w:val="24"/>
        </w:rPr>
        <w:t>RS</w:t>
      </w:r>
      <w:r w:rsidR="006E5944">
        <w:rPr>
          <w:rFonts w:ascii="Calibri" w:hAnsi="Calibri"/>
          <w:sz w:val="24"/>
          <w:szCs w:val="24"/>
        </w:rPr>
        <w:t xml:space="preserve">. It can thus be argued, like </w:t>
      </w:r>
      <w:proofErr w:type="spellStart"/>
      <w:r w:rsidR="007751B1">
        <w:rPr>
          <w:rFonts w:ascii="Calibri" w:hAnsi="Calibri"/>
          <w:sz w:val="24"/>
          <w:szCs w:val="24"/>
        </w:rPr>
        <w:t>Kiadaliri</w:t>
      </w:r>
      <w:proofErr w:type="spellEnd"/>
      <w:r w:rsidR="007751B1">
        <w:rPr>
          <w:rFonts w:ascii="Calibri" w:hAnsi="Calibri"/>
          <w:sz w:val="24"/>
          <w:szCs w:val="24"/>
        </w:rPr>
        <w:t xml:space="preserve"> and colleagues (2011), that </w:t>
      </w:r>
      <w:r w:rsidR="00060551">
        <w:rPr>
          <w:rFonts w:ascii="Calibri" w:hAnsi="Calibri"/>
          <w:sz w:val="24"/>
          <w:szCs w:val="24"/>
        </w:rPr>
        <w:t xml:space="preserve">the </w:t>
      </w:r>
      <w:r w:rsidR="006F7E0A" w:rsidRPr="00A05373">
        <w:rPr>
          <w:rFonts w:ascii="Calibri" w:hAnsi="Calibri"/>
          <w:sz w:val="24"/>
          <w:szCs w:val="24"/>
        </w:rPr>
        <w:t xml:space="preserve">increase </w:t>
      </w:r>
      <w:r w:rsidR="00060551">
        <w:rPr>
          <w:rFonts w:ascii="Calibri" w:hAnsi="Calibri"/>
          <w:sz w:val="24"/>
          <w:szCs w:val="24"/>
        </w:rPr>
        <w:t xml:space="preserve">of capacity (inputs) </w:t>
      </w:r>
      <w:r w:rsidR="006F7E0A" w:rsidRPr="00A05373">
        <w:rPr>
          <w:rFonts w:ascii="Calibri" w:hAnsi="Calibri"/>
          <w:sz w:val="24"/>
          <w:szCs w:val="24"/>
        </w:rPr>
        <w:t>of this category</w:t>
      </w:r>
      <w:r w:rsidR="00060551">
        <w:rPr>
          <w:rFonts w:ascii="Calibri" w:hAnsi="Calibri"/>
          <w:sz w:val="24"/>
          <w:szCs w:val="24"/>
        </w:rPr>
        <w:t xml:space="preserve"> </w:t>
      </w:r>
      <w:r w:rsidR="00A15FB5">
        <w:rPr>
          <w:rFonts w:ascii="Calibri" w:hAnsi="Calibri"/>
          <w:sz w:val="24"/>
          <w:szCs w:val="24"/>
        </w:rPr>
        <w:t>should be increased by reallocating resources from the larger hospitals</w:t>
      </w:r>
      <w:r w:rsidR="007751B1">
        <w:rPr>
          <w:rFonts w:ascii="Calibri" w:hAnsi="Calibri"/>
          <w:sz w:val="24"/>
          <w:szCs w:val="24"/>
        </w:rPr>
        <w:t xml:space="preserve"> for improving </w:t>
      </w:r>
      <w:r w:rsidR="00A15FB5">
        <w:rPr>
          <w:rFonts w:ascii="Calibri" w:hAnsi="Calibri"/>
          <w:sz w:val="24"/>
          <w:szCs w:val="24"/>
        </w:rPr>
        <w:t>efficiency</w:t>
      </w:r>
      <w:r w:rsidR="00175E2B">
        <w:rPr>
          <w:rFonts w:ascii="Calibri" w:hAnsi="Calibri"/>
          <w:sz w:val="24"/>
          <w:szCs w:val="24"/>
        </w:rPr>
        <w:t>.</w:t>
      </w:r>
      <w:r w:rsidR="007751B1" w:rsidRPr="007751B1">
        <w:rPr>
          <w:rFonts w:ascii="Calibri" w:hAnsi="Calibri"/>
          <w:sz w:val="24"/>
          <w:szCs w:val="24"/>
          <w:vertAlign w:val="superscript"/>
        </w:rPr>
        <w:t>4</w:t>
      </w:r>
      <w:r w:rsidR="00C976D8">
        <w:rPr>
          <w:rFonts w:ascii="Calibri" w:hAnsi="Calibri"/>
          <w:sz w:val="24"/>
          <w:szCs w:val="24"/>
          <w:vertAlign w:val="superscript"/>
        </w:rPr>
        <w:t>3</w:t>
      </w:r>
      <w:r w:rsidR="006F7E0A" w:rsidRPr="00A05373">
        <w:rPr>
          <w:rFonts w:ascii="Calibri" w:hAnsi="Calibri"/>
          <w:sz w:val="24"/>
          <w:szCs w:val="24"/>
        </w:rPr>
        <w:t xml:space="preserve"> </w:t>
      </w:r>
      <w:r w:rsidR="00A67E4B">
        <w:rPr>
          <w:rFonts w:ascii="Calibri" w:hAnsi="Calibri"/>
          <w:sz w:val="24"/>
          <w:szCs w:val="24"/>
        </w:rPr>
        <w:t>The</w:t>
      </w:r>
      <w:r w:rsidR="006F7E0A" w:rsidRPr="00A05373">
        <w:rPr>
          <w:rFonts w:ascii="Calibri" w:hAnsi="Calibri"/>
          <w:sz w:val="24"/>
          <w:szCs w:val="24"/>
        </w:rPr>
        <w:t xml:space="preserve"> efficient scale of </w:t>
      </w:r>
      <w:r w:rsidR="00B00533" w:rsidRPr="00A05373">
        <w:rPr>
          <w:rFonts w:ascii="Calibri" w:hAnsi="Calibri"/>
          <w:sz w:val="24"/>
          <w:szCs w:val="24"/>
        </w:rPr>
        <w:t xml:space="preserve">public </w:t>
      </w:r>
      <w:r w:rsidR="006F7E0A" w:rsidRPr="00A05373">
        <w:rPr>
          <w:rFonts w:ascii="Calibri" w:hAnsi="Calibri"/>
          <w:sz w:val="24"/>
          <w:szCs w:val="24"/>
        </w:rPr>
        <w:t xml:space="preserve">hospitals </w:t>
      </w:r>
      <w:r w:rsidR="007D6670" w:rsidRPr="00A05373">
        <w:rPr>
          <w:rFonts w:ascii="Calibri" w:hAnsi="Calibri"/>
          <w:sz w:val="24"/>
          <w:szCs w:val="24"/>
        </w:rPr>
        <w:t>w</w:t>
      </w:r>
      <w:r w:rsidR="007D6670">
        <w:rPr>
          <w:rFonts w:ascii="Calibri" w:hAnsi="Calibri"/>
          <w:sz w:val="24"/>
          <w:szCs w:val="24"/>
        </w:rPr>
        <w:t>as</w:t>
      </w:r>
      <w:r w:rsidR="0084281B">
        <w:rPr>
          <w:rFonts w:ascii="Calibri" w:hAnsi="Calibri"/>
          <w:sz w:val="24"/>
          <w:szCs w:val="24"/>
        </w:rPr>
        <w:t xml:space="preserve"> </w:t>
      </w:r>
      <w:r w:rsidR="007046CA" w:rsidRPr="00A05373">
        <w:rPr>
          <w:rFonts w:ascii="Calibri" w:hAnsi="Calibri"/>
          <w:sz w:val="24"/>
          <w:szCs w:val="24"/>
        </w:rPr>
        <w:t>in medium</w:t>
      </w:r>
      <w:r>
        <w:rPr>
          <w:rFonts w:ascii="Calibri" w:hAnsi="Calibri"/>
          <w:sz w:val="24"/>
          <w:szCs w:val="24"/>
        </w:rPr>
        <w:t>-</w:t>
      </w:r>
      <w:r w:rsidR="007046CA" w:rsidRPr="00A05373">
        <w:rPr>
          <w:rFonts w:ascii="Calibri" w:hAnsi="Calibri"/>
          <w:sz w:val="24"/>
          <w:szCs w:val="24"/>
        </w:rPr>
        <w:t>size</w:t>
      </w:r>
      <w:r>
        <w:rPr>
          <w:rFonts w:ascii="Calibri" w:hAnsi="Calibri"/>
          <w:sz w:val="24"/>
          <w:szCs w:val="24"/>
        </w:rPr>
        <w:t>d</w:t>
      </w:r>
      <w:r w:rsidR="007046CA" w:rsidRPr="00A05373">
        <w:rPr>
          <w:rFonts w:ascii="Calibri" w:hAnsi="Calibri"/>
          <w:sz w:val="24"/>
          <w:szCs w:val="24"/>
        </w:rPr>
        <w:t xml:space="preserve"> </w:t>
      </w:r>
      <w:r w:rsidR="00A67E4B">
        <w:rPr>
          <w:rFonts w:ascii="Calibri" w:hAnsi="Calibri"/>
          <w:sz w:val="24"/>
          <w:szCs w:val="24"/>
        </w:rPr>
        <w:t>establishments</w:t>
      </w:r>
      <w:r w:rsidR="0084281B">
        <w:rPr>
          <w:rFonts w:ascii="Calibri" w:hAnsi="Calibri"/>
          <w:sz w:val="24"/>
          <w:szCs w:val="24"/>
        </w:rPr>
        <w:t xml:space="preserve"> (</w:t>
      </w:r>
      <w:r w:rsidR="007046CA" w:rsidRPr="00A05373">
        <w:rPr>
          <w:rFonts w:ascii="Calibri" w:hAnsi="Calibri"/>
          <w:sz w:val="24"/>
          <w:szCs w:val="24"/>
        </w:rPr>
        <w:t>200</w:t>
      </w:r>
      <w:r w:rsidR="00A67E4B">
        <w:rPr>
          <w:rFonts w:ascii="Calibri" w:hAnsi="Calibri"/>
          <w:sz w:val="24"/>
          <w:szCs w:val="24"/>
        </w:rPr>
        <w:t xml:space="preserve"> to </w:t>
      </w:r>
      <w:r w:rsidR="007046CA" w:rsidRPr="00A05373">
        <w:rPr>
          <w:rFonts w:ascii="Calibri" w:hAnsi="Calibri"/>
          <w:sz w:val="24"/>
          <w:szCs w:val="24"/>
        </w:rPr>
        <w:t>499 beds</w:t>
      </w:r>
      <w:r w:rsidR="0084281B">
        <w:rPr>
          <w:rFonts w:ascii="Calibri" w:hAnsi="Calibri"/>
          <w:sz w:val="24"/>
          <w:szCs w:val="24"/>
        </w:rPr>
        <w:t>)</w:t>
      </w:r>
      <w:r w:rsidR="007046CA" w:rsidRPr="00A05373">
        <w:rPr>
          <w:rFonts w:ascii="Calibri" w:hAnsi="Calibri"/>
          <w:sz w:val="24"/>
          <w:szCs w:val="24"/>
        </w:rPr>
        <w:t>.</w:t>
      </w:r>
      <w:r w:rsidR="00246FC8" w:rsidRPr="00A05373">
        <w:rPr>
          <w:rFonts w:ascii="Calibri" w:hAnsi="Calibri"/>
          <w:sz w:val="24"/>
          <w:szCs w:val="24"/>
        </w:rPr>
        <w:t xml:space="preserve"> </w:t>
      </w:r>
      <w:r w:rsidR="00A67E4B">
        <w:rPr>
          <w:rFonts w:ascii="Calibri" w:hAnsi="Calibri"/>
          <w:sz w:val="24"/>
          <w:szCs w:val="24"/>
        </w:rPr>
        <w:t>A</w:t>
      </w:r>
      <w:r w:rsidR="000D1447" w:rsidRPr="00A05373">
        <w:rPr>
          <w:rFonts w:ascii="Calibri" w:hAnsi="Calibri"/>
          <w:sz w:val="24"/>
          <w:szCs w:val="24"/>
        </w:rPr>
        <w:t xml:space="preserve">lthough </w:t>
      </w:r>
      <w:r w:rsidR="00246FC8" w:rsidRPr="00A05373">
        <w:rPr>
          <w:rFonts w:ascii="Calibri" w:hAnsi="Calibri"/>
          <w:sz w:val="24"/>
          <w:szCs w:val="24"/>
        </w:rPr>
        <w:t xml:space="preserve">half of </w:t>
      </w:r>
      <w:r w:rsidR="0032328E" w:rsidRPr="00A05373">
        <w:rPr>
          <w:rFonts w:ascii="Calibri" w:hAnsi="Calibri"/>
          <w:sz w:val="24"/>
          <w:szCs w:val="24"/>
        </w:rPr>
        <w:t xml:space="preserve">the </w:t>
      </w:r>
      <w:r w:rsidR="00246FC8" w:rsidRPr="00A05373">
        <w:rPr>
          <w:rFonts w:ascii="Calibri" w:hAnsi="Calibri"/>
          <w:sz w:val="24"/>
          <w:szCs w:val="24"/>
        </w:rPr>
        <w:t>hospitals located in</w:t>
      </w:r>
      <w:r>
        <w:rPr>
          <w:rFonts w:ascii="Calibri" w:hAnsi="Calibri"/>
          <w:sz w:val="24"/>
          <w:szCs w:val="24"/>
        </w:rPr>
        <w:t xml:space="preserve"> the east</w:t>
      </w:r>
      <w:r w:rsidR="00246FC8" w:rsidRPr="00A05373">
        <w:rPr>
          <w:rFonts w:ascii="Calibri" w:hAnsi="Calibri"/>
          <w:sz w:val="24"/>
          <w:szCs w:val="24"/>
        </w:rPr>
        <w:t xml:space="preserve"> </w:t>
      </w:r>
      <w:r w:rsidR="000D1447" w:rsidRPr="00A05373">
        <w:rPr>
          <w:rFonts w:ascii="Calibri" w:hAnsi="Calibri"/>
          <w:sz w:val="24"/>
          <w:szCs w:val="24"/>
        </w:rPr>
        <w:t>were</w:t>
      </w:r>
      <w:r w:rsidR="00246FC8" w:rsidRPr="00A05373">
        <w:rPr>
          <w:rFonts w:ascii="Calibri" w:hAnsi="Calibri"/>
          <w:sz w:val="24"/>
          <w:szCs w:val="24"/>
        </w:rPr>
        <w:t xml:space="preserve"> operating on the most productive scale size (CRS), </w:t>
      </w:r>
      <w:r w:rsidR="000D1447" w:rsidRPr="00A05373">
        <w:rPr>
          <w:rFonts w:ascii="Calibri" w:hAnsi="Calibri"/>
          <w:sz w:val="24"/>
          <w:szCs w:val="24"/>
        </w:rPr>
        <w:t>three</w:t>
      </w:r>
      <w:r w:rsidR="00246FC8" w:rsidRPr="00A05373">
        <w:rPr>
          <w:rFonts w:ascii="Calibri" w:hAnsi="Calibri"/>
          <w:sz w:val="24"/>
          <w:szCs w:val="24"/>
        </w:rPr>
        <w:t xml:space="preserve"> </w:t>
      </w:r>
      <w:r w:rsidR="000D1447" w:rsidRPr="00A05373">
        <w:rPr>
          <w:rFonts w:ascii="Calibri" w:hAnsi="Calibri"/>
          <w:sz w:val="24"/>
          <w:szCs w:val="24"/>
        </w:rPr>
        <w:t>were</w:t>
      </w:r>
      <w:r w:rsidR="00246FC8" w:rsidRPr="00A05373">
        <w:rPr>
          <w:rFonts w:ascii="Calibri" w:hAnsi="Calibri"/>
          <w:sz w:val="24"/>
          <w:szCs w:val="24"/>
        </w:rPr>
        <w:t xml:space="preserve"> operating on DRS</w:t>
      </w:r>
      <w:r w:rsidR="000D1447" w:rsidRPr="00A05373">
        <w:rPr>
          <w:rFonts w:ascii="Calibri" w:hAnsi="Calibri"/>
          <w:sz w:val="24"/>
          <w:szCs w:val="24"/>
        </w:rPr>
        <w:t xml:space="preserve">. Around 53% of </w:t>
      </w:r>
      <w:r w:rsidR="00626A43">
        <w:rPr>
          <w:rFonts w:ascii="Calibri" w:hAnsi="Calibri"/>
          <w:sz w:val="24"/>
          <w:szCs w:val="24"/>
        </w:rPr>
        <w:t xml:space="preserve">the </w:t>
      </w:r>
      <w:r w:rsidR="000D1447" w:rsidRPr="00A05373">
        <w:rPr>
          <w:rFonts w:ascii="Calibri" w:hAnsi="Calibri"/>
          <w:sz w:val="24"/>
          <w:szCs w:val="24"/>
        </w:rPr>
        <w:t xml:space="preserve">hospitals in </w:t>
      </w:r>
      <w:r>
        <w:rPr>
          <w:rFonts w:ascii="Calibri" w:hAnsi="Calibri"/>
          <w:sz w:val="24"/>
          <w:szCs w:val="24"/>
        </w:rPr>
        <w:t>the north</w:t>
      </w:r>
      <w:r w:rsidR="000D1447" w:rsidRPr="00A05373">
        <w:rPr>
          <w:rFonts w:ascii="Calibri" w:hAnsi="Calibri"/>
          <w:sz w:val="24"/>
          <w:szCs w:val="24"/>
        </w:rPr>
        <w:t xml:space="preserve"> were operating on IRS, whereas 30% of </w:t>
      </w:r>
      <w:r>
        <w:rPr>
          <w:rFonts w:ascii="Calibri" w:hAnsi="Calibri"/>
          <w:sz w:val="24"/>
          <w:szCs w:val="24"/>
        </w:rPr>
        <w:t>western region</w:t>
      </w:r>
      <w:r w:rsidR="000D1447" w:rsidRPr="00A05373">
        <w:rPr>
          <w:rFonts w:ascii="Calibri" w:hAnsi="Calibri"/>
          <w:sz w:val="24"/>
          <w:szCs w:val="24"/>
        </w:rPr>
        <w:t xml:space="preserve"> hospitals, which reported </w:t>
      </w:r>
      <w:r>
        <w:rPr>
          <w:rFonts w:ascii="Calibri" w:hAnsi="Calibri"/>
          <w:sz w:val="24"/>
          <w:szCs w:val="24"/>
        </w:rPr>
        <w:t xml:space="preserve">the </w:t>
      </w:r>
      <w:r w:rsidR="000D1447" w:rsidRPr="00A05373">
        <w:rPr>
          <w:rFonts w:ascii="Calibri" w:hAnsi="Calibri"/>
          <w:sz w:val="24"/>
          <w:szCs w:val="24"/>
        </w:rPr>
        <w:t>lowest efficiency scores, were operating on DRS</w:t>
      </w:r>
      <w:r w:rsidR="00246FC8" w:rsidRPr="00A05373">
        <w:rPr>
          <w:rFonts w:ascii="Calibri" w:hAnsi="Calibri"/>
          <w:sz w:val="24"/>
          <w:szCs w:val="24"/>
        </w:rPr>
        <w:t xml:space="preserve">. </w:t>
      </w:r>
    </w:p>
    <w:p w14:paraId="7D26FA94" w14:textId="7DE64C4B" w:rsidR="00AC18F4" w:rsidRDefault="007751B1" w:rsidP="008F1189">
      <w:pPr>
        <w:spacing w:line="360" w:lineRule="auto"/>
        <w:jc w:val="both"/>
        <w:rPr>
          <w:rFonts w:ascii="Calibri" w:hAnsi="Calibri"/>
          <w:sz w:val="24"/>
          <w:szCs w:val="24"/>
        </w:rPr>
      </w:pPr>
      <w:r>
        <w:rPr>
          <w:rFonts w:ascii="Calibri" w:hAnsi="Calibri"/>
          <w:sz w:val="24"/>
          <w:szCs w:val="24"/>
        </w:rPr>
        <w:t>Our analysis found that hospital</w:t>
      </w:r>
      <w:r w:rsidR="005E56B0">
        <w:rPr>
          <w:rFonts w:ascii="Calibri" w:hAnsi="Calibri"/>
          <w:sz w:val="24"/>
          <w:szCs w:val="24"/>
        </w:rPr>
        <w:t>s</w:t>
      </w:r>
      <w:r>
        <w:rPr>
          <w:rFonts w:ascii="Calibri" w:hAnsi="Calibri"/>
          <w:sz w:val="24"/>
          <w:szCs w:val="24"/>
        </w:rPr>
        <w:t xml:space="preserve"> located in </w:t>
      </w:r>
      <w:r w:rsidR="005E56B0">
        <w:rPr>
          <w:rFonts w:ascii="Calibri" w:hAnsi="Calibri"/>
          <w:sz w:val="24"/>
          <w:szCs w:val="24"/>
        </w:rPr>
        <w:t xml:space="preserve">the </w:t>
      </w:r>
      <w:r>
        <w:rPr>
          <w:rFonts w:ascii="Calibri" w:hAnsi="Calibri"/>
          <w:sz w:val="24"/>
          <w:szCs w:val="24"/>
        </w:rPr>
        <w:t>west</w:t>
      </w:r>
      <w:r w:rsidR="00A03DA4">
        <w:rPr>
          <w:rFonts w:ascii="Calibri" w:hAnsi="Calibri"/>
          <w:sz w:val="24"/>
          <w:szCs w:val="24"/>
        </w:rPr>
        <w:t>ern</w:t>
      </w:r>
      <w:r>
        <w:rPr>
          <w:rFonts w:ascii="Calibri" w:hAnsi="Calibri"/>
          <w:sz w:val="24"/>
          <w:szCs w:val="24"/>
        </w:rPr>
        <w:t xml:space="preserve"> region were relatively less efficient than hospital</w:t>
      </w:r>
      <w:r w:rsidR="005E56B0">
        <w:rPr>
          <w:rFonts w:ascii="Calibri" w:hAnsi="Calibri"/>
          <w:sz w:val="24"/>
          <w:szCs w:val="24"/>
        </w:rPr>
        <w:t>s</w:t>
      </w:r>
      <w:r>
        <w:rPr>
          <w:rFonts w:ascii="Calibri" w:hAnsi="Calibri"/>
          <w:sz w:val="24"/>
          <w:szCs w:val="24"/>
        </w:rPr>
        <w:t xml:space="preserve"> located in other regions</w:t>
      </w:r>
      <w:r w:rsidR="005E56B0">
        <w:rPr>
          <w:rFonts w:ascii="Calibri" w:hAnsi="Calibri"/>
          <w:sz w:val="24"/>
          <w:szCs w:val="24"/>
        </w:rPr>
        <w:t xml:space="preserve">. The </w:t>
      </w:r>
      <w:r>
        <w:rPr>
          <w:rFonts w:ascii="Calibri" w:hAnsi="Calibri"/>
          <w:sz w:val="24"/>
          <w:szCs w:val="24"/>
        </w:rPr>
        <w:t>central region hospital</w:t>
      </w:r>
      <w:r w:rsidR="005E56B0">
        <w:rPr>
          <w:rFonts w:ascii="Calibri" w:hAnsi="Calibri"/>
          <w:sz w:val="24"/>
          <w:szCs w:val="24"/>
        </w:rPr>
        <w:t xml:space="preserve">s appeared to be </w:t>
      </w:r>
      <w:r w:rsidR="00A03DA4">
        <w:rPr>
          <w:rFonts w:ascii="Calibri" w:hAnsi="Calibri"/>
          <w:sz w:val="24"/>
          <w:szCs w:val="24"/>
        </w:rPr>
        <w:t xml:space="preserve">the most </w:t>
      </w:r>
      <w:r w:rsidR="005E56B0">
        <w:rPr>
          <w:rFonts w:ascii="Calibri" w:hAnsi="Calibri"/>
          <w:sz w:val="24"/>
          <w:szCs w:val="24"/>
        </w:rPr>
        <w:t xml:space="preserve">efficient. </w:t>
      </w:r>
      <w:r w:rsidR="00CB70DF" w:rsidRPr="00A05373">
        <w:rPr>
          <w:rFonts w:ascii="Calibri" w:hAnsi="Calibri"/>
          <w:sz w:val="24"/>
          <w:szCs w:val="24"/>
        </w:rPr>
        <w:t>Atılgan</w:t>
      </w:r>
      <w:r w:rsidR="00654353">
        <w:rPr>
          <w:rFonts w:ascii="Calibri" w:hAnsi="Calibri"/>
          <w:sz w:val="24"/>
          <w:szCs w:val="24"/>
          <w:vertAlign w:val="superscript"/>
        </w:rPr>
        <w:t>4</w:t>
      </w:r>
      <w:r w:rsidR="00C976D8">
        <w:rPr>
          <w:rFonts w:ascii="Calibri" w:hAnsi="Calibri"/>
          <w:sz w:val="24"/>
          <w:szCs w:val="24"/>
          <w:vertAlign w:val="superscript"/>
        </w:rPr>
        <w:t>4</w:t>
      </w:r>
      <w:r w:rsidR="00CB70DF" w:rsidRPr="00A05373">
        <w:rPr>
          <w:rFonts w:ascii="Calibri" w:hAnsi="Calibri"/>
          <w:sz w:val="24"/>
          <w:szCs w:val="24"/>
        </w:rPr>
        <w:t xml:space="preserve"> reported </w:t>
      </w:r>
      <w:r w:rsidR="005E56B0">
        <w:rPr>
          <w:rFonts w:ascii="Calibri" w:hAnsi="Calibri"/>
          <w:sz w:val="24"/>
          <w:szCs w:val="24"/>
        </w:rPr>
        <w:t xml:space="preserve">in the same line as our findings, i.e. </w:t>
      </w:r>
      <w:r w:rsidR="00AC18F4">
        <w:rPr>
          <w:rFonts w:ascii="Calibri" w:hAnsi="Calibri"/>
          <w:sz w:val="24"/>
          <w:szCs w:val="24"/>
        </w:rPr>
        <w:t>location-specific</w:t>
      </w:r>
      <w:r w:rsidR="00CB70DF" w:rsidRPr="00A05373">
        <w:rPr>
          <w:rFonts w:ascii="Calibri" w:hAnsi="Calibri"/>
          <w:sz w:val="24"/>
          <w:szCs w:val="24"/>
        </w:rPr>
        <w:t xml:space="preserve"> difference</w:t>
      </w:r>
      <w:r w:rsidR="00577D7E" w:rsidRPr="00A05373">
        <w:rPr>
          <w:rFonts w:ascii="Calibri" w:hAnsi="Calibri"/>
          <w:sz w:val="24"/>
          <w:szCs w:val="24"/>
        </w:rPr>
        <w:t>s</w:t>
      </w:r>
      <w:r w:rsidR="005E56B0">
        <w:rPr>
          <w:rFonts w:ascii="Calibri" w:hAnsi="Calibri"/>
          <w:sz w:val="24"/>
          <w:szCs w:val="24"/>
        </w:rPr>
        <w:t xml:space="preserve"> </w:t>
      </w:r>
      <w:r w:rsidR="00CB70DF" w:rsidRPr="00A05373">
        <w:rPr>
          <w:rFonts w:ascii="Calibri" w:hAnsi="Calibri"/>
          <w:sz w:val="24"/>
          <w:szCs w:val="24"/>
        </w:rPr>
        <w:t xml:space="preserve">in efficiency scores </w:t>
      </w:r>
      <w:r w:rsidR="00AC18F4">
        <w:rPr>
          <w:rFonts w:ascii="Calibri" w:hAnsi="Calibri"/>
          <w:sz w:val="24"/>
          <w:szCs w:val="24"/>
        </w:rPr>
        <w:t xml:space="preserve">for </w:t>
      </w:r>
      <w:r w:rsidR="00577D7E" w:rsidRPr="00A05373">
        <w:rPr>
          <w:rFonts w:ascii="Calibri" w:hAnsi="Calibri"/>
          <w:sz w:val="24"/>
          <w:szCs w:val="24"/>
        </w:rPr>
        <w:t>general MOH hospitals in Turk</w:t>
      </w:r>
      <w:r w:rsidR="0047528D">
        <w:rPr>
          <w:rFonts w:ascii="Calibri" w:hAnsi="Calibri"/>
          <w:sz w:val="24"/>
          <w:szCs w:val="24"/>
        </w:rPr>
        <w:t>ey</w:t>
      </w:r>
      <w:r w:rsidR="00577D7E" w:rsidRPr="00A05373">
        <w:rPr>
          <w:rFonts w:ascii="Calibri" w:hAnsi="Calibri"/>
          <w:sz w:val="24"/>
          <w:szCs w:val="24"/>
        </w:rPr>
        <w:t>.</w:t>
      </w:r>
      <w:r w:rsidR="00175E2B">
        <w:rPr>
          <w:rFonts w:ascii="Calibri" w:hAnsi="Calibri"/>
          <w:sz w:val="24"/>
          <w:szCs w:val="24"/>
        </w:rPr>
        <w:t xml:space="preserve"> </w:t>
      </w:r>
      <w:r w:rsidR="00A15FB5">
        <w:rPr>
          <w:rFonts w:ascii="Calibri" w:hAnsi="Calibri"/>
          <w:sz w:val="24"/>
          <w:szCs w:val="24"/>
          <w:vertAlign w:val="superscript"/>
        </w:rPr>
        <w:t xml:space="preserve"> </w:t>
      </w:r>
      <w:proofErr w:type="spellStart"/>
      <w:r w:rsidR="00175E2B" w:rsidRPr="00A05373">
        <w:rPr>
          <w:rFonts w:ascii="Calibri" w:hAnsi="Calibri"/>
          <w:sz w:val="24"/>
          <w:szCs w:val="24"/>
        </w:rPr>
        <w:t>Atılgan</w:t>
      </w:r>
      <w:proofErr w:type="spellEnd"/>
      <w:r w:rsidR="005E56B0">
        <w:rPr>
          <w:rFonts w:ascii="Calibri" w:hAnsi="Calibri"/>
          <w:sz w:val="24"/>
          <w:szCs w:val="24"/>
        </w:rPr>
        <w:t xml:space="preserve"> argued that</w:t>
      </w:r>
      <w:r w:rsidR="005E56B0" w:rsidRPr="005E56B0">
        <w:rPr>
          <w:rFonts w:ascii="Calibri" w:hAnsi="Calibri"/>
          <w:sz w:val="24"/>
          <w:szCs w:val="24"/>
        </w:rPr>
        <w:t xml:space="preserve"> </w:t>
      </w:r>
      <w:r w:rsidR="005E56B0">
        <w:rPr>
          <w:rFonts w:ascii="Calibri" w:hAnsi="Calibri"/>
          <w:sz w:val="24"/>
          <w:szCs w:val="24"/>
        </w:rPr>
        <w:t>t</w:t>
      </w:r>
      <w:r w:rsidR="00577D7E" w:rsidRPr="00A05373">
        <w:rPr>
          <w:rFonts w:ascii="Calibri" w:hAnsi="Calibri"/>
          <w:sz w:val="24"/>
          <w:szCs w:val="24"/>
        </w:rPr>
        <w:t>his could be due to case</w:t>
      </w:r>
      <w:r w:rsidR="00AC18F4">
        <w:rPr>
          <w:rFonts w:ascii="Calibri" w:hAnsi="Calibri"/>
          <w:sz w:val="24"/>
          <w:szCs w:val="24"/>
        </w:rPr>
        <w:t xml:space="preserve"> </w:t>
      </w:r>
      <w:r w:rsidR="00577D7E" w:rsidRPr="00A05373">
        <w:rPr>
          <w:rFonts w:ascii="Calibri" w:hAnsi="Calibri"/>
          <w:sz w:val="24"/>
          <w:szCs w:val="24"/>
        </w:rPr>
        <w:t xml:space="preserve">mix and/or case severity differences </w:t>
      </w:r>
      <w:r w:rsidR="00AC18F4">
        <w:rPr>
          <w:rFonts w:ascii="Calibri" w:hAnsi="Calibri"/>
          <w:sz w:val="24"/>
          <w:szCs w:val="24"/>
        </w:rPr>
        <w:t>between</w:t>
      </w:r>
      <w:r w:rsidR="00577D7E" w:rsidRPr="00A05373">
        <w:rPr>
          <w:rFonts w:ascii="Calibri" w:hAnsi="Calibri"/>
          <w:sz w:val="24"/>
          <w:szCs w:val="24"/>
        </w:rPr>
        <w:t xml:space="preserve"> hospitals</w:t>
      </w:r>
      <w:r w:rsidR="005E56B0">
        <w:rPr>
          <w:rFonts w:ascii="Calibri" w:hAnsi="Calibri"/>
          <w:sz w:val="24"/>
          <w:szCs w:val="24"/>
        </w:rPr>
        <w:t xml:space="preserve">. </w:t>
      </w:r>
      <w:r w:rsidR="004D3056">
        <w:rPr>
          <w:rFonts w:ascii="Calibri" w:hAnsi="Calibri"/>
          <w:sz w:val="24"/>
          <w:szCs w:val="24"/>
        </w:rPr>
        <w:t xml:space="preserve">We observed that </w:t>
      </w:r>
      <w:r w:rsidR="00886413">
        <w:rPr>
          <w:rFonts w:ascii="Calibri" w:hAnsi="Calibri"/>
          <w:sz w:val="24"/>
          <w:szCs w:val="24"/>
        </w:rPr>
        <w:t>five</w:t>
      </w:r>
      <w:r w:rsidR="004D3056">
        <w:rPr>
          <w:rFonts w:ascii="Calibri" w:hAnsi="Calibri"/>
          <w:sz w:val="24"/>
          <w:szCs w:val="24"/>
        </w:rPr>
        <w:t xml:space="preserve"> out of </w:t>
      </w:r>
      <w:r w:rsidR="00886413">
        <w:rPr>
          <w:rFonts w:ascii="Calibri" w:hAnsi="Calibri"/>
          <w:sz w:val="24"/>
          <w:szCs w:val="24"/>
        </w:rPr>
        <w:t>eight</w:t>
      </w:r>
      <w:r w:rsidR="004D3056">
        <w:rPr>
          <w:rFonts w:ascii="Calibri" w:hAnsi="Calibri"/>
          <w:sz w:val="24"/>
          <w:szCs w:val="24"/>
        </w:rPr>
        <w:t xml:space="preserve"> large hospitals </w:t>
      </w:r>
      <w:r w:rsidR="00886413">
        <w:rPr>
          <w:rFonts w:ascii="Calibri" w:hAnsi="Calibri"/>
          <w:sz w:val="24"/>
          <w:szCs w:val="24"/>
        </w:rPr>
        <w:t xml:space="preserve">in our sample </w:t>
      </w:r>
      <w:proofErr w:type="gramStart"/>
      <w:r w:rsidR="004D3056">
        <w:rPr>
          <w:rFonts w:ascii="Calibri" w:hAnsi="Calibri"/>
          <w:sz w:val="24"/>
          <w:szCs w:val="24"/>
        </w:rPr>
        <w:t>are located in</w:t>
      </w:r>
      <w:proofErr w:type="gramEnd"/>
      <w:r w:rsidR="004D3056">
        <w:rPr>
          <w:rFonts w:ascii="Calibri" w:hAnsi="Calibri"/>
          <w:sz w:val="24"/>
          <w:szCs w:val="24"/>
        </w:rPr>
        <w:t xml:space="preserve"> the west region. </w:t>
      </w:r>
      <w:r w:rsidR="005E56B0">
        <w:rPr>
          <w:rFonts w:ascii="Calibri" w:hAnsi="Calibri"/>
          <w:sz w:val="24"/>
          <w:szCs w:val="24"/>
        </w:rPr>
        <w:t xml:space="preserve">We can argue </w:t>
      </w:r>
      <w:r w:rsidR="00626A43">
        <w:rPr>
          <w:rFonts w:ascii="Calibri" w:hAnsi="Calibri"/>
          <w:sz w:val="24"/>
          <w:szCs w:val="24"/>
        </w:rPr>
        <w:t xml:space="preserve">that </w:t>
      </w:r>
      <w:r w:rsidR="007268E8" w:rsidRPr="00A05373">
        <w:rPr>
          <w:rFonts w:ascii="Calibri" w:hAnsi="Calibri"/>
          <w:sz w:val="24"/>
          <w:szCs w:val="24"/>
        </w:rPr>
        <w:t xml:space="preserve">hospitals </w:t>
      </w:r>
      <w:r w:rsidR="00AC18F4">
        <w:rPr>
          <w:rFonts w:ascii="Calibri" w:hAnsi="Calibri"/>
          <w:sz w:val="24"/>
          <w:szCs w:val="24"/>
        </w:rPr>
        <w:t xml:space="preserve">in the west region </w:t>
      </w:r>
      <w:r w:rsidR="007D6670">
        <w:rPr>
          <w:rFonts w:ascii="Calibri" w:hAnsi="Calibri"/>
          <w:sz w:val="24"/>
          <w:szCs w:val="24"/>
        </w:rPr>
        <w:t xml:space="preserve">might </w:t>
      </w:r>
      <w:r w:rsidR="007D6670" w:rsidRPr="00A05373">
        <w:rPr>
          <w:rFonts w:ascii="Calibri" w:hAnsi="Calibri"/>
          <w:sz w:val="24"/>
          <w:szCs w:val="24"/>
        </w:rPr>
        <w:t>be</w:t>
      </w:r>
      <w:r w:rsidR="007268E8" w:rsidRPr="00A05373">
        <w:rPr>
          <w:rFonts w:ascii="Calibri" w:hAnsi="Calibri"/>
          <w:sz w:val="24"/>
          <w:szCs w:val="24"/>
        </w:rPr>
        <w:t xml:space="preserve"> treat</w:t>
      </w:r>
      <w:r w:rsidR="00626A43">
        <w:rPr>
          <w:rFonts w:ascii="Calibri" w:hAnsi="Calibri"/>
          <w:sz w:val="24"/>
          <w:szCs w:val="24"/>
        </w:rPr>
        <w:t>ing</w:t>
      </w:r>
      <w:r w:rsidR="007268E8" w:rsidRPr="00A05373">
        <w:rPr>
          <w:rFonts w:ascii="Calibri" w:hAnsi="Calibri"/>
          <w:sz w:val="24"/>
          <w:szCs w:val="24"/>
        </w:rPr>
        <w:t xml:space="preserve"> more severe cases</w:t>
      </w:r>
      <w:r>
        <w:rPr>
          <w:rFonts w:ascii="Calibri" w:hAnsi="Calibri"/>
          <w:sz w:val="24"/>
          <w:szCs w:val="24"/>
        </w:rPr>
        <w:t xml:space="preserve"> than hospitals in other regions</w:t>
      </w:r>
      <w:r w:rsidR="005E56B0">
        <w:rPr>
          <w:rFonts w:ascii="Calibri" w:hAnsi="Calibri"/>
          <w:sz w:val="24"/>
          <w:szCs w:val="24"/>
        </w:rPr>
        <w:t xml:space="preserve"> in KSA, which might have led to different levels of efficiency scores in hospitals across regions</w:t>
      </w:r>
      <w:r w:rsidR="00577D7E" w:rsidRPr="003F2005">
        <w:rPr>
          <w:rFonts w:ascii="Calibri" w:hAnsi="Calibri"/>
          <w:sz w:val="24"/>
          <w:szCs w:val="24"/>
        </w:rPr>
        <w:t>.</w:t>
      </w:r>
      <w:r w:rsidR="00DC0B44">
        <w:rPr>
          <w:rFonts w:ascii="Calibri" w:hAnsi="Calibri"/>
          <w:sz w:val="24"/>
          <w:szCs w:val="24"/>
          <w:vertAlign w:val="superscript"/>
        </w:rPr>
        <w:t>18</w:t>
      </w:r>
      <w:r w:rsidR="00577D7E" w:rsidRPr="00A05373">
        <w:rPr>
          <w:rFonts w:ascii="Calibri" w:hAnsi="Calibri"/>
          <w:sz w:val="24"/>
          <w:szCs w:val="24"/>
        </w:rPr>
        <w:t xml:space="preserve"> </w:t>
      </w:r>
      <w:r w:rsidR="003E3F1F" w:rsidRPr="00A05373">
        <w:rPr>
          <w:rFonts w:ascii="Calibri" w:hAnsi="Calibri"/>
          <w:sz w:val="24"/>
          <w:szCs w:val="24"/>
        </w:rPr>
        <w:t xml:space="preserve">Another explanation </w:t>
      </w:r>
      <w:r w:rsidR="00260751">
        <w:rPr>
          <w:rFonts w:ascii="Calibri" w:hAnsi="Calibri"/>
          <w:sz w:val="24"/>
          <w:szCs w:val="24"/>
        </w:rPr>
        <w:t>could be</w:t>
      </w:r>
      <w:r w:rsidR="003E3F1F" w:rsidRPr="00A05373">
        <w:rPr>
          <w:rFonts w:ascii="Calibri" w:hAnsi="Calibri"/>
          <w:sz w:val="24"/>
          <w:szCs w:val="24"/>
        </w:rPr>
        <w:t xml:space="preserve"> that h</w:t>
      </w:r>
      <w:r w:rsidR="007268E8" w:rsidRPr="00A05373">
        <w:rPr>
          <w:rFonts w:ascii="Calibri" w:hAnsi="Calibri"/>
          <w:sz w:val="24"/>
          <w:szCs w:val="24"/>
        </w:rPr>
        <w:t>ospitals in this region consum</w:t>
      </w:r>
      <w:r w:rsidR="00260751">
        <w:rPr>
          <w:rFonts w:ascii="Calibri" w:hAnsi="Calibri"/>
          <w:sz w:val="24"/>
          <w:szCs w:val="24"/>
        </w:rPr>
        <w:t>ed</w:t>
      </w:r>
      <w:r w:rsidR="007268E8" w:rsidRPr="00A05373">
        <w:rPr>
          <w:rFonts w:ascii="Calibri" w:hAnsi="Calibri"/>
          <w:sz w:val="24"/>
          <w:szCs w:val="24"/>
        </w:rPr>
        <w:t xml:space="preserve"> </w:t>
      </w:r>
      <w:r w:rsidR="003E3F1F" w:rsidRPr="00A05373">
        <w:rPr>
          <w:rFonts w:ascii="Calibri" w:hAnsi="Calibri"/>
          <w:sz w:val="24"/>
          <w:szCs w:val="24"/>
        </w:rPr>
        <w:t xml:space="preserve">more inputs </w:t>
      </w:r>
      <w:r w:rsidR="00AC18F4">
        <w:rPr>
          <w:rFonts w:ascii="Calibri" w:hAnsi="Calibri"/>
          <w:sz w:val="24"/>
          <w:szCs w:val="24"/>
        </w:rPr>
        <w:t>in anticipation of the annual</w:t>
      </w:r>
      <w:r w:rsidR="003E3F1F" w:rsidRPr="00A05373">
        <w:rPr>
          <w:rFonts w:ascii="Calibri" w:hAnsi="Calibri"/>
          <w:sz w:val="24"/>
          <w:szCs w:val="24"/>
        </w:rPr>
        <w:t xml:space="preserve"> pilgrimage season, </w:t>
      </w:r>
      <w:r w:rsidR="00AC18F4">
        <w:rPr>
          <w:rFonts w:ascii="Calibri" w:hAnsi="Calibri"/>
          <w:sz w:val="24"/>
          <w:szCs w:val="24"/>
        </w:rPr>
        <w:t>for which</w:t>
      </w:r>
      <w:r w:rsidR="00424703" w:rsidRPr="00A05373">
        <w:rPr>
          <w:rFonts w:ascii="Calibri" w:hAnsi="Calibri"/>
          <w:sz w:val="24"/>
          <w:szCs w:val="24"/>
        </w:rPr>
        <w:t xml:space="preserve"> </w:t>
      </w:r>
      <w:r w:rsidR="00732905">
        <w:rPr>
          <w:rFonts w:ascii="Calibri" w:hAnsi="Calibri"/>
          <w:sz w:val="24"/>
          <w:szCs w:val="24"/>
        </w:rPr>
        <w:t xml:space="preserve">the </w:t>
      </w:r>
      <w:r w:rsidR="003E3F1F" w:rsidRPr="00A05373">
        <w:rPr>
          <w:rFonts w:ascii="Calibri" w:hAnsi="Calibri"/>
          <w:sz w:val="24"/>
          <w:szCs w:val="24"/>
        </w:rPr>
        <w:t xml:space="preserve">government </w:t>
      </w:r>
      <w:r w:rsidR="001F0AE6">
        <w:rPr>
          <w:rFonts w:ascii="Calibri" w:hAnsi="Calibri"/>
          <w:sz w:val="24"/>
          <w:szCs w:val="24"/>
        </w:rPr>
        <w:t xml:space="preserve">of KSA </w:t>
      </w:r>
      <w:r w:rsidR="003E3F1F" w:rsidRPr="00A05373">
        <w:rPr>
          <w:rFonts w:ascii="Calibri" w:hAnsi="Calibri"/>
          <w:sz w:val="24"/>
          <w:szCs w:val="24"/>
        </w:rPr>
        <w:t>allocate</w:t>
      </w:r>
      <w:r w:rsidR="00AC18F4">
        <w:rPr>
          <w:rFonts w:ascii="Calibri" w:hAnsi="Calibri"/>
          <w:sz w:val="24"/>
          <w:szCs w:val="24"/>
        </w:rPr>
        <w:t>s</w:t>
      </w:r>
      <w:r w:rsidR="003E3F1F" w:rsidRPr="00A05373">
        <w:rPr>
          <w:rFonts w:ascii="Calibri" w:hAnsi="Calibri"/>
          <w:sz w:val="24"/>
          <w:szCs w:val="24"/>
        </w:rPr>
        <w:t xml:space="preserve"> more </w:t>
      </w:r>
      <w:r w:rsidR="00DD4D92">
        <w:rPr>
          <w:rFonts w:ascii="Calibri" w:hAnsi="Calibri"/>
          <w:sz w:val="24"/>
          <w:szCs w:val="24"/>
        </w:rPr>
        <w:t>resources</w:t>
      </w:r>
      <w:r w:rsidR="003E3F1F" w:rsidRPr="00A05373">
        <w:rPr>
          <w:rFonts w:ascii="Calibri" w:hAnsi="Calibri"/>
          <w:sz w:val="24"/>
          <w:szCs w:val="24"/>
        </w:rPr>
        <w:t xml:space="preserve"> </w:t>
      </w:r>
      <w:r w:rsidR="00AC18F4">
        <w:rPr>
          <w:rFonts w:ascii="Calibri" w:hAnsi="Calibri"/>
          <w:sz w:val="24"/>
          <w:szCs w:val="24"/>
        </w:rPr>
        <w:t>to</w:t>
      </w:r>
      <w:r w:rsidR="003E3F1F" w:rsidRPr="00A05373">
        <w:rPr>
          <w:rFonts w:ascii="Calibri" w:hAnsi="Calibri"/>
          <w:sz w:val="24"/>
          <w:szCs w:val="24"/>
        </w:rPr>
        <w:t xml:space="preserve"> such hospitals.</w:t>
      </w:r>
      <w:r w:rsidR="007268E8" w:rsidRPr="00A05373">
        <w:rPr>
          <w:rFonts w:ascii="Calibri" w:hAnsi="Calibri"/>
          <w:sz w:val="24"/>
          <w:szCs w:val="24"/>
        </w:rPr>
        <w:t xml:space="preserve"> </w:t>
      </w:r>
    </w:p>
    <w:p w14:paraId="545D6D9B" w14:textId="7EC9877A" w:rsidR="00A67E4B" w:rsidRPr="00A05373" w:rsidRDefault="00AC18F4" w:rsidP="008F1189">
      <w:pPr>
        <w:spacing w:line="360" w:lineRule="auto"/>
        <w:jc w:val="both"/>
        <w:rPr>
          <w:sz w:val="24"/>
          <w:szCs w:val="24"/>
        </w:rPr>
      </w:pPr>
      <w:r>
        <w:rPr>
          <w:rFonts w:ascii="Calibri" w:hAnsi="Calibri"/>
          <w:sz w:val="24"/>
          <w:szCs w:val="24"/>
        </w:rPr>
        <w:lastRenderedPageBreak/>
        <w:t xml:space="preserve">Regardless of </w:t>
      </w:r>
      <w:r w:rsidR="0079754A">
        <w:rPr>
          <w:rFonts w:ascii="Calibri" w:hAnsi="Calibri"/>
          <w:sz w:val="24"/>
          <w:szCs w:val="24"/>
        </w:rPr>
        <w:t xml:space="preserve">the </w:t>
      </w:r>
      <w:r>
        <w:rPr>
          <w:rFonts w:ascii="Calibri" w:hAnsi="Calibri"/>
          <w:sz w:val="24"/>
          <w:szCs w:val="24"/>
        </w:rPr>
        <w:t>capacity or location-based performance variations,</w:t>
      </w:r>
      <w:r w:rsidR="00246FC8" w:rsidRPr="00A05373">
        <w:rPr>
          <w:rFonts w:ascii="Calibri" w:hAnsi="Calibri"/>
          <w:sz w:val="24"/>
          <w:szCs w:val="24"/>
        </w:rPr>
        <w:t xml:space="preserve"> </w:t>
      </w:r>
      <w:bookmarkStart w:id="33" w:name="_Hlk2873963"/>
      <w:r w:rsidR="00246FC8" w:rsidRPr="00D57CD6">
        <w:rPr>
          <w:rFonts w:ascii="Calibri" w:hAnsi="Calibri"/>
          <w:sz w:val="24"/>
          <w:szCs w:val="24"/>
        </w:rPr>
        <w:t xml:space="preserve">improving </w:t>
      </w:r>
      <w:r>
        <w:rPr>
          <w:rFonts w:ascii="Calibri" w:hAnsi="Calibri"/>
          <w:sz w:val="24"/>
          <w:szCs w:val="24"/>
        </w:rPr>
        <w:t xml:space="preserve">the </w:t>
      </w:r>
      <w:r w:rsidR="00246FC8" w:rsidRPr="00D57CD6">
        <w:rPr>
          <w:rFonts w:ascii="Calibri" w:hAnsi="Calibri"/>
          <w:sz w:val="24"/>
          <w:szCs w:val="24"/>
        </w:rPr>
        <w:t xml:space="preserve">scale efficiency of hospitals </w:t>
      </w:r>
      <w:r w:rsidR="00260751" w:rsidRPr="00D57CD6">
        <w:rPr>
          <w:rFonts w:ascii="Calibri" w:hAnsi="Calibri"/>
          <w:sz w:val="24"/>
          <w:szCs w:val="24"/>
        </w:rPr>
        <w:t xml:space="preserve">would </w:t>
      </w:r>
      <w:r w:rsidR="00246FC8" w:rsidRPr="00D57CD6">
        <w:rPr>
          <w:rFonts w:ascii="Calibri" w:hAnsi="Calibri"/>
          <w:sz w:val="24"/>
          <w:szCs w:val="24"/>
        </w:rPr>
        <w:t>require long-term effort</w:t>
      </w:r>
      <w:r w:rsidR="00A67E4B">
        <w:rPr>
          <w:rFonts w:ascii="Calibri" w:hAnsi="Calibri"/>
          <w:sz w:val="24"/>
          <w:szCs w:val="24"/>
        </w:rPr>
        <w:t>,</w:t>
      </w:r>
      <w:r w:rsidR="00260751" w:rsidRPr="00D57CD6">
        <w:rPr>
          <w:rFonts w:ascii="Calibri" w:hAnsi="Calibri"/>
          <w:sz w:val="24"/>
          <w:szCs w:val="24"/>
        </w:rPr>
        <w:t xml:space="preserve"> </w:t>
      </w:r>
      <w:r>
        <w:rPr>
          <w:rFonts w:ascii="Calibri" w:hAnsi="Calibri"/>
          <w:sz w:val="24"/>
          <w:szCs w:val="24"/>
        </w:rPr>
        <w:t>reflected in</w:t>
      </w:r>
      <w:r w:rsidR="00260751" w:rsidRPr="00D57CD6">
        <w:rPr>
          <w:rFonts w:ascii="Calibri" w:hAnsi="Calibri"/>
          <w:sz w:val="24"/>
          <w:szCs w:val="24"/>
        </w:rPr>
        <w:t xml:space="preserve"> amendments </w:t>
      </w:r>
      <w:r>
        <w:rPr>
          <w:rFonts w:ascii="Calibri" w:hAnsi="Calibri"/>
          <w:sz w:val="24"/>
          <w:szCs w:val="24"/>
        </w:rPr>
        <w:t>to</w:t>
      </w:r>
      <w:r w:rsidR="00260751" w:rsidRPr="00D57CD6">
        <w:rPr>
          <w:rFonts w:ascii="Calibri" w:hAnsi="Calibri"/>
          <w:sz w:val="24"/>
          <w:szCs w:val="24"/>
        </w:rPr>
        <w:t xml:space="preserve"> </w:t>
      </w:r>
      <w:r w:rsidR="00246FC8" w:rsidRPr="00D57CD6">
        <w:rPr>
          <w:rFonts w:ascii="Calibri" w:hAnsi="Calibri"/>
          <w:sz w:val="24"/>
          <w:szCs w:val="24"/>
        </w:rPr>
        <w:t>health policies</w:t>
      </w:r>
      <w:r w:rsidR="0032328E" w:rsidRPr="00D57CD6">
        <w:rPr>
          <w:rFonts w:ascii="Calibri" w:hAnsi="Calibri"/>
          <w:sz w:val="24"/>
          <w:szCs w:val="24"/>
        </w:rPr>
        <w:t>,</w:t>
      </w:r>
      <w:r w:rsidR="00246FC8" w:rsidRPr="00D57CD6">
        <w:rPr>
          <w:rFonts w:ascii="Calibri" w:hAnsi="Calibri"/>
          <w:sz w:val="24"/>
          <w:szCs w:val="24"/>
        </w:rPr>
        <w:t xml:space="preserve"> strategic plans</w:t>
      </w:r>
      <w:r w:rsidR="0032328E" w:rsidRPr="00D57CD6">
        <w:rPr>
          <w:rFonts w:ascii="Calibri" w:hAnsi="Calibri"/>
          <w:sz w:val="24"/>
          <w:szCs w:val="24"/>
        </w:rPr>
        <w:t xml:space="preserve"> and </w:t>
      </w:r>
      <w:r>
        <w:rPr>
          <w:rFonts w:ascii="Calibri" w:hAnsi="Calibri"/>
          <w:sz w:val="24"/>
          <w:szCs w:val="24"/>
        </w:rPr>
        <w:t>the autonomy of</w:t>
      </w:r>
      <w:r w:rsidR="00260751" w:rsidRPr="00D57CD6">
        <w:rPr>
          <w:rFonts w:ascii="Calibri" w:hAnsi="Calibri"/>
          <w:sz w:val="24"/>
          <w:szCs w:val="24"/>
        </w:rPr>
        <w:t xml:space="preserve"> </w:t>
      </w:r>
      <w:r w:rsidR="00424703" w:rsidRPr="00D57CD6">
        <w:rPr>
          <w:rFonts w:ascii="Calibri" w:hAnsi="Calibri"/>
          <w:sz w:val="24"/>
          <w:szCs w:val="24"/>
        </w:rPr>
        <w:t>hospital-</w:t>
      </w:r>
      <w:r w:rsidR="0032328E" w:rsidRPr="00D57CD6">
        <w:rPr>
          <w:rFonts w:ascii="Calibri" w:hAnsi="Calibri"/>
          <w:sz w:val="24"/>
          <w:szCs w:val="24"/>
        </w:rPr>
        <w:t>managers</w:t>
      </w:r>
      <w:r w:rsidR="00246FC8" w:rsidRPr="00D57CD6">
        <w:rPr>
          <w:rFonts w:ascii="Calibri" w:hAnsi="Calibri"/>
          <w:sz w:val="24"/>
          <w:szCs w:val="24"/>
        </w:rPr>
        <w:t>.</w:t>
      </w:r>
      <w:r w:rsidR="0047528D" w:rsidRPr="00E050F6">
        <w:rPr>
          <w:rFonts w:ascii="Calibri" w:hAnsi="Calibri"/>
          <w:sz w:val="24"/>
          <w:szCs w:val="24"/>
          <w:vertAlign w:val="superscript"/>
        </w:rPr>
        <w:t>4</w:t>
      </w:r>
      <w:r w:rsidR="00C976D8">
        <w:rPr>
          <w:rFonts w:ascii="Calibri" w:hAnsi="Calibri"/>
          <w:sz w:val="24"/>
          <w:szCs w:val="24"/>
          <w:vertAlign w:val="superscript"/>
        </w:rPr>
        <w:t>3</w:t>
      </w:r>
      <w:r w:rsidR="00424703" w:rsidRPr="00D57CD6">
        <w:rPr>
          <w:sz w:val="24"/>
          <w:szCs w:val="24"/>
        </w:rPr>
        <w:t xml:space="preserve"> </w:t>
      </w:r>
      <w:r>
        <w:rPr>
          <w:sz w:val="24"/>
          <w:szCs w:val="24"/>
        </w:rPr>
        <w:t>T</w:t>
      </w:r>
      <w:r w:rsidR="00260751" w:rsidRPr="00D57CD6">
        <w:rPr>
          <w:sz w:val="24"/>
          <w:szCs w:val="24"/>
        </w:rPr>
        <w:t>he prevailing a</w:t>
      </w:r>
      <w:r>
        <w:rPr>
          <w:sz w:val="24"/>
          <w:szCs w:val="24"/>
        </w:rPr>
        <w:t>bility</w:t>
      </w:r>
      <w:r w:rsidR="00260751" w:rsidRPr="00D57CD6">
        <w:rPr>
          <w:sz w:val="24"/>
          <w:szCs w:val="24"/>
        </w:rPr>
        <w:t xml:space="preserve"> of patients to </w:t>
      </w:r>
      <w:r>
        <w:rPr>
          <w:sz w:val="24"/>
          <w:szCs w:val="24"/>
        </w:rPr>
        <w:t>access</w:t>
      </w:r>
      <w:r w:rsidR="00260751" w:rsidRPr="00D57CD6">
        <w:rPr>
          <w:sz w:val="24"/>
          <w:szCs w:val="24"/>
        </w:rPr>
        <w:t xml:space="preserve"> health services should not be </w:t>
      </w:r>
      <w:r>
        <w:rPr>
          <w:sz w:val="24"/>
          <w:szCs w:val="24"/>
        </w:rPr>
        <w:t>compromised</w:t>
      </w:r>
      <w:r w:rsidR="006C2EE6" w:rsidRPr="00D57CD6">
        <w:rPr>
          <w:sz w:val="24"/>
          <w:szCs w:val="24"/>
        </w:rPr>
        <w:t xml:space="preserve"> </w:t>
      </w:r>
      <w:r w:rsidR="00260751" w:rsidRPr="00D57CD6">
        <w:rPr>
          <w:sz w:val="24"/>
          <w:szCs w:val="24"/>
        </w:rPr>
        <w:t xml:space="preserve">while reallocating </w:t>
      </w:r>
      <w:r w:rsidR="006C2EE6" w:rsidRPr="00D57CD6">
        <w:rPr>
          <w:sz w:val="24"/>
          <w:szCs w:val="24"/>
        </w:rPr>
        <w:t xml:space="preserve">the </w:t>
      </w:r>
      <w:r w:rsidR="00260751" w:rsidRPr="00D57CD6">
        <w:rPr>
          <w:sz w:val="24"/>
          <w:szCs w:val="24"/>
        </w:rPr>
        <w:t>resources to the other hospitals</w:t>
      </w:r>
      <w:r w:rsidR="00F27BD9" w:rsidRPr="00D57CD6">
        <w:rPr>
          <w:sz w:val="24"/>
          <w:szCs w:val="24"/>
        </w:rPr>
        <w:t xml:space="preserve"> until</w:t>
      </w:r>
      <w:r w:rsidR="00260751" w:rsidRPr="00D57CD6">
        <w:rPr>
          <w:sz w:val="24"/>
          <w:szCs w:val="24"/>
        </w:rPr>
        <w:t xml:space="preserve"> </w:t>
      </w:r>
      <w:r>
        <w:rPr>
          <w:sz w:val="24"/>
          <w:szCs w:val="24"/>
        </w:rPr>
        <w:t>P</w:t>
      </w:r>
      <w:r w:rsidR="00260751" w:rsidRPr="00D57CD6">
        <w:rPr>
          <w:sz w:val="24"/>
          <w:szCs w:val="24"/>
        </w:rPr>
        <w:t>areto optimal</w:t>
      </w:r>
      <w:r w:rsidR="00F27BD9" w:rsidRPr="00D57CD6">
        <w:rPr>
          <w:sz w:val="24"/>
          <w:szCs w:val="24"/>
        </w:rPr>
        <w:t>i</w:t>
      </w:r>
      <w:r w:rsidR="00260751" w:rsidRPr="00D57CD6">
        <w:rPr>
          <w:sz w:val="24"/>
          <w:szCs w:val="24"/>
        </w:rPr>
        <w:t>ty</w:t>
      </w:r>
      <w:r w:rsidR="00F27BD9" w:rsidRPr="00D57CD6">
        <w:rPr>
          <w:sz w:val="24"/>
          <w:szCs w:val="24"/>
        </w:rPr>
        <w:t xml:space="preserve"> </w:t>
      </w:r>
      <w:r>
        <w:rPr>
          <w:sz w:val="24"/>
          <w:szCs w:val="24"/>
        </w:rPr>
        <w:t>i</w:t>
      </w:r>
      <w:r w:rsidR="00F27BD9" w:rsidRPr="00D57CD6">
        <w:rPr>
          <w:sz w:val="24"/>
          <w:szCs w:val="24"/>
        </w:rPr>
        <w:t>s achieved</w:t>
      </w:r>
      <w:r w:rsidR="00260751" w:rsidRPr="00D57CD6">
        <w:rPr>
          <w:sz w:val="24"/>
          <w:szCs w:val="24"/>
        </w:rPr>
        <w:t>.</w:t>
      </w:r>
      <w:r w:rsidR="00DC0B44">
        <w:rPr>
          <w:sz w:val="24"/>
          <w:szCs w:val="24"/>
          <w:vertAlign w:val="superscript"/>
        </w:rPr>
        <w:t>9</w:t>
      </w:r>
      <w:r w:rsidR="00260751">
        <w:rPr>
          <w:sz w:val="24"/>
          <w:szCs w:val="24"/>
        </w:rPr>
        <w:t xml:space="preserve"> </w:t>
      </w:r>
    </w:p>
    <w:bookmarkEnd w:id="33"/>
    <w:p w14:paraId="41EE6528" w14:textId="699D057F" w:rsidR="00D079A3" w:rsidRDefault="00AC18F4" w:rsidP="008F1189">
      <w:pPr>
        <w:spacing w:line="360" w:lineRule="auto"/>
        <w:jc w:val="both"/>
        <w:rPr>
          <w:rFonts w:ascii="Calibri" w:hAnsi="Calibri"/>
          <w:color w:val="000000" w:themeColor="text1"/>
          <w:sz w:val="24"/>
          <w:szCs w:val="24"/>
        </w:rPr>
      </w:pPr>
      <w:r>
        <w:rPr>
          <w:rFonts w:ascii="Calibri" w:hAnsi="Calibri"/>
          <w:color w:val="000000" w:themeColor="text1"/>
          <w:sz w:val="24"/>
          <w:szCs w:val="24"/>
        </w:rPr>
        <w:t xml:space="preserve">The use of </w:t>
      </w:r>
      <w:r w:rsidR="00A20AA6" w:rsidRPr="00A05373">
        <w:rPr>
          <w:rFonts w:ascii="Calibri" w:hAnsi="Calibri"/>
          <w:color w:val="000000" w:themeColor="text1"/>
          <w:sz w:val="24"/>
          <w:szCs w:val="24"/>
        </w:rPr>
        <w:t xml:space="preserve">DEA </w:t>
      </w:r>
      <w:r w:rsidR="007D6670">
        <w:rPr>
          <w:rFonts w:ascii="Calibri" w:hAnsi="Calibri"/>
          <w:color w:val="000000" w:themeColor="text1"/>
          <w:sz w:val="24"/>
          <w:szCs w:val="24"/>
        </w:rPr>
        <w:t>can identify</w:t>
      </w:r>
      <w:r w:rsidR="003546FE" w:rsidRPr="00A05373">
        <w:rPr>
          <w:rFonts w:ascii="Calibri" w:hAnsi="Calibri"/>
          <w:color w:val="000000" w:themeColor="text1"/>
          <w:sz w:val="24"/>
          <w:szCs w:val="24"/>
        </w:rPr>
        <w:t xml:space="preserve"> source</w:t>
      </w:r>
      <w:r>
        <w:rPr>
          <w:rFonts w:ascii="Calibri" w:hAnsi="Calibri"/>
          <w:color w:val="000000" w:themeColor="text1"/>
          <w:sz w:val="24"/>
          <w:szCs w:val="24"/>
        </w:rPr>
        <w:t>s</w:t>
      </w:r>
      <w:r w:rsidR="003546FE" w:rsidRPr="00A05373">
        <w:rPr>
          <w:rFonts w:ascii="Calibri" w:hAnsi="Calibri"/>
          <w:color w:val="000000" w:themeColor="text1"/>
          <w:sz w:val="24"/>
          <w:szCs w:val="24"/>
        </w:rPr>
        <w:t xml:space="preserve"> of inefficiency, </w:t>
      </w:r>
      <w:r>
        <w:rPr>
          <w:rFonts w:ascii="Calibri" w:hAnsi="Calibri"/>
          <w:color w:val="000000" w:themeColor="text1"/>
          <w:sz w:val="24"/>
          <w:szCs w:val="24"/>
        </w:rPr>
        <w:t xml:space="preserve">helping </w:t>
      </w:r>
      <w:r w:rsidR="003546FE" w:rsidRPr="00A05373">
        <w:rPr>
          <w:rFonts w:ascii="Calibri" w:hAnsi="Calibri"/>
          <w:color w:val="000000" w:themeColor="text1"/>
          <w:sz w:val="24"/>
          <w:szCs w:val="24"/>
        </w:rPr>
        <w:t xml:space="preserve">hospital managers </w:t>
      </w:r>
      <w:r w:rsidR="00A20AA6" w:rsidRPr="00A05373">
        <w:rPr>
          <w:rFonts w:ascii="Calibri" w:hAnsi="Calibri"/>
          <w:color w:val="000000" w:themeColor="text1"/>
          <w:sz w:val="24"/>
          <w:szCs w:val="24"/>
        </w:rPr>
        <w:t>and health policy</w:t>
      </w:r>
      <w:r w:rsidR="00062CDA">
        <w:rPr>
          <w:rFonts w:ascii="Calibri" w:hAnsi="Calibri"/>
          <w:color w:val="000000" w:themeColor="text1"/>
          <w:sz w:val="24"/>
          <w:szCs w:val="24"/>
        </w:rPr>
        <w:t>-</w:t>
      </w:r>
      <w:r w:rsidR="00A20AA6" w:rsidRPr="00A05373">
        <w:rPr>
          <w:rFonts w:ascii="Calibri" w:hAnsi="Calibri"/>
          <w:color w:val="000000" w:themeColor="text1"/>
          <w:sz w:val="24"/>
          <w:szCs w:val="24"/>
        </w:rPr>
        <w:t xml:space="preserve">makers </w:t>
      </w:r>
      <w:r w:rsidR="003546FE" w:rsidRPr="00A05373">
        <w:rPr>
          <w:rFonts w:ascii="Calibri" w:hAnsi="Calibri"/>
          <w:color w:val="000000" w:themeColor="text1"/>
          <w:sz w:val="24"/>
          <w:szCs w:val="24"/>
        </w:rPr>
        <w:t xml:space="preserve">to </w:t>
      </w:r>
      <w:r>
        <w:rPr>
          <w:rFonts w:ascii="Calibri" w:hAnsi="Calibri"/>
          <w:color w:val="000000" w:themeColor="text1"/>
          <w:sz w:val="24"/>
          <w:szCs w:val="24"/>
        </w:rPr>
        <w:t>reach</w:t>
      </w:r>
      <w:r w:rsidR="003546FE" w:rsidRPr="00A05373">
        <w:rPr>
          <w:rFonts w:ascii="Calibri" w:hAnsi="Calibri"/>
          <w:color w:val="000000" w:themeColor="text1"/>
          <w:sz w:val="24"/>
          <w:szCs w:val="24"/>
        </w:rPr>
        <w:t xml:space="preserve"> </w:t>
      </w:r>
      <w:r w:rsidR="00A20AA6" w:rsidRPr="00A05373">
        <w:rPr>
          <w:rFonts w:ascii="Calibri" w:hAnsi="Calibri"/>
          <w:color w:val="000000" w:themeColor="text1"/>
          <w:sz w:val="24"/>
          <w:szCs w:val="24"/>
        </w:rPr>
        <w:t>informed</w:t>
      </w:r>
      <w:r w:rsidR="003546FE" w:rsidRPr="00A05373">
        <w:rPr>
          <w:rFonts w:ascii="Calibri" w:hAnsi="Calibri"/>
          <w:color w:val="000000" w:themeColor="text1"/>
          <w:sz w:val="24"/>
          <w:szCs w:val="24"/>
        </w:rPr>
        <w:t xml:space="preserve"> </w:t>
      </w:r>
      <w:r w:rsidR="00062CDA">
        <w:rPr>
          <w:rFonts w:ascii="Calibri" w:hAnsi="Calibri"/>
          <w:color w:val="000000" w:themeColor="text1"/>
          <w:sz w:val="24"/>
          <w:szCs w:val="24"/>
        </w:rPr>
        <w:t>decisions</w:t>
      </w:r>
      <w:r w:rsidR="00A20AA6" w:rsidRPr="00A05373">
        <w:rPr>
          <w:rFonts w:ascii="Calibri" w:hAnsi="Calibri"/>
          <w:color w:val="000000" w:themeColor="text1"/>
          <w:sz w:val="24"/>
          <w:szCs w:val="24"/>
        </w:rPr>
        <w:t>.</w:t>
      </w:r>
      <w:r w:rsidR="00C976D8">
        <w:rPr>
          <w:rFonts w:ascii="Calibri" w:hAnsi="Calibri"/>
          <w:color w:val="000000" w:themeColor="text1"/>
          <w:sz w:val="24"/>
          <w:szCs w:val="24"/>
          <w:vertAlign w:val="superscript"/>
        </w:rPr>
        <w:t>36</w:t>
      </w:r>
      <w:r w:rsidR="00A20AA6" w:rsidRPr="00A05373">
        <w:rPr>
          <w:rFonts w:ascii="Calibri" w:hAnsi="Calibri"/>
          <w:color w:val="000000" w:themeColor="text1"/>
          <w:sz w:val="24"/>
          <w:szCs w:val="24"/>
        </w:rPr>
        <w:t xml:space="preserve"> </w:t>
      </w:r>
      <w:r>
        <w:rPr>
          <w:rFonts w:ascii="Calibri" w:hAnsi="Calibri"/>
          <w:color w:val="000000" w:themeColor="text1"/>
          <w:sz w:val="24"/>
          <w:szCs w:val="24"/>
        </w:rPr>
        <w:t>T</w:t>
      </w:r>
      <w:r w:rsidR="00A20AA6" w:rsidRPr="00A05373">
        <w:rPr>
          <w:rFonts w:ascii="Calibri" w:hAnsi="Calibri"/>
          <w:color w:val="000000" w:themeColor="text1"/>
          <w:sz w:val="24"/>
          <w:szCs w:val="24"/>
        </w:rPr>
        <w:t>he analysis</w:t>
      </w:r>
      <w:r>
        <w:rPr>
          <w:rFonts w:ascii="Calibri" w:hAnsi="Calibri"/>
          <w:color w:val="000000" w:themeColor="text1"/>
          <w:sz w:val="24"/>
          <w:szCs w:val="24"/>
        </w:rPr>
        <w:t xml:space="preserve"> showed</w:t>
      </w:r>
      <w:r w:rsidR="00A20AA6" w:rsidRPr="00A05373">
        <w:rPr>
          <w:rFonts w:ascii="Calibri" w:hAnsi="Calibri"/>
          <w:color w:val="000000" w:themeColor="text1"/>
          <w:sz w:val="24"/>
          <w:szCs w:val="24"/>
        </w:rPr>
        <w:t xml:space="preserve"> that the number of full-time physicians </w:t>
      </w:r>
      <w:r w:rsidR="00062CDA">
        <w:rPr>
          <w:rFonts w:ascii="Calibri" w:hAnsi="Calibri"/>
          <w:color w:val="000000" w:themeColor="text1"/>
          <w:sz w:val="24"/>
          <w:szCs w:val="24"/>
        </w:rPr>
        <w:t>wa</w:t>
      </w:r>
      <w:r w:rsidR="00935866" w:rsidRPr="00A05373">
        <w:rPr>
          <w:rFonts w:ascii="Calibri" w:hAnsi="Calibri"/>
          <w:color w:val="000000" w:themeColor="text1"/>
          <w:sz w:val="24"/>
          <w:szCs w:val="24"/>
        </w:rPr>
        <w:t xml:space="preserve">s </w:t>
      </w:r>
      <w:r w:rsidR="00A03DA4">
        <w:rPr>
          <w:rFonts w:ascii="Calibri" w:hAnsi="Calibri"/>
          <w:color w:val="000000" w:themeColor="text1"/>
          <w:sz w:val="24"/>
          <w:szCs w:val="24"/>
        </w:rPr>
        <w:t xml:space="preserve">a </w:t>
      </w:r>
      <w:r w:rsidR="004D3056">
        <w:rPr>
          <w:rFonts w:ascii="Calibri" w:hAnsi="Calibri"/>
          <w:color w:val="000000" w:themeColor="text1"/>
          <w:sz w:val="24"/>
          <w:szCs w:val="24"/>
        </w:rPr>
        <w:t>slightly larger</w:t>
      </w:r>
      <w:r w:rsidR="00935866" w:rsidRPr="00A05373">
        <w:rPr>
          <w:rFonts w:ascii="Calibri" w:hAnsi="Calibri"/>
          <w:color w:val="000000" w:themeColor="text1"/>
          <w:sz w:val="24"/>
          <w:szCs w:val="24"/>
        </w:rPr>
        <w:t xml:space="preserve"> </w:t>
      </w:r>
      <w:r>
        <w:rPr>
          <w:rFonts w:ascii="Calibri" w:hAnsi="Calibri"/>
          <w:color w:val="000000" w:themeColor="text1"/>
          <w:sz w:val="24"/>
          <w:szCs w:val="24"/>
        </w:rPr>
        <w:t>notable</w:t>
      </w:r>
      <w:r w:rsidR="00935866" w:rsidRPr="00A05373">
        <w:rPr>
          <w:rFonts w:ascii="Calibri" w:hAnsi="Calibri"/>
          <w:color w:val="000000" w:themeColor="text1"/>
          <w:sz w:val="24"/>
          <w:szCs w:val="24"/>
        </w:rPr>
        <w:t xml:space="preserve"> </w:t>
      </w:r>
      <w:r w:rsidR="00062CDA">
        <w:rPr>
          <w:rFonts w:ascii="Calibri" w:hAnsi="Calibri"/>
          <w:color w:val="000000" w:themeColor="text1"/>
          <w:sz w:val="24"/>
          <w:szCs w:val="24"/>
        </w:rPr>
        <w:t xml:space="preserve">reason for </w:t>
      </w:r>
      <w:r w:rsidR="00935866" w:rsidRPr="00A05373">
        <w:rPr>
          <w:rFonts w:ascii="Calibri" w:hAnsi="Calibri"/>
          <w:color w:val="000000" w:themeColor="text1"/>
          <w:sz w:val="24"/>
          <w:szCs w:val="24"/>
        </w:rPr>
        <w:t>inefficiency</w:t>
      </w:r>
      <w:r w:rsidR="004D3056">
        <w:rPr>
          <w:rFonts w:ascii="Calibri" w:hAnsi="Calibri"/>
          <w:color w:val="000000" w:themeColor="text1"/>
          <w:sz w:val="24"/>
          <w:szCs w:val="24"/>
        </w:rPr>
        <w:t xml:space="preserve"> than the other factors</w:t>
      </w:r>
      <w:r>
        <w:rPr>
          <w:rFonts w:ascii="Calibri" w:hAnsi="Calibri"/>
          <w:color w:val="000000" w:themeColor="text1"/>
          <w:sz w:val="24"/>
          <w:szCs w:val="24"/>
        </w:rPr>
        <w:t>,</w:t>
      </w:r>
      <w:r w:rsidR="00A7574D" w:rsidRPr="00A05373">
        <w:rPr>
          <w:rFonts w:ascii="Calibri" w:hAnsi="Calibri"/>
          <w:color w:val="000000" w:themeColor="text1"/>
          <w:sz w:val="24"/>
          <w:szCs w:val="24"/>
        </w:rPr>
        <w:t xml:space="preserve"> with an average excess of 22</w:t>
      </w:r>
      <w:r w:rsidR="00062CDA">
        <w:rPr>
          <w:rFonts w:ascii="Calibri" w:hAnsi="Calibri"/>
          <w:color w:val="000000" w:themeColor="text1"/>
          <w:sz w:val="24"/>
          <w:szCs w:val="24"/>
        </w:rPr>
        <w:t>.4</w:t>
      </w:r>
      <w:r w:rsidR="00A7574D" w:rsidRPr="00A05373">
        <w:rPr>
          <w:rFonts w:ascii="Calibri" w:hAnsi="Calibri"/>
          <w:color w:val="000000" w:themeColor="text1"/>
          <w:sz w:val="24"/>
          <w:szCs w:val="24"/>
        </w:rPr>
        <w:t>%</w:t>
      </w:r>
      <w:r w:rsidR="00935866" w:rsidRPr="00A05373">
        <w:rPr>
          <w:rFonts w:ascii="Calibri" w:hAnsi="Calibri"/>
          <w:color w:val="000000" w:themeColor="text1"/>
          <w:sz w:val="24"/>
          <w:szCs w:val="24"/>
        </w:rPr>
        <w:t>, f</w:t>
      </w:r>
      <w:r w:rsidR="00A20AA6" w:rsidRPr="00A05373">
        <w:rPr>
          <w:rFonts w:ascii="Calibri" w:hAnsi="Calibri"/>
          <w:color w:val="000000" w:themeColor="text1"/>
          <w:sz w:val="24"/>
          <w:szCs w:val="24"/>
        </w:rPr>
        <w:t>rom an input perspective</w:t>
      </w:r>
      <w:r w:rsidR="00935866" w:rsidRPr="00A05373">
        <w:rPr>
          <w:rFonts w:ascii="Calibri" w:hAnsi="Calibri"/>
          <w:color w:val="000000" w:themeColor="text1"/>
          <w:sz w:val="24"/>
          <w:szCs w:val="24"/>
        </w:rPr>
        <w:t xml:space="preserve">. Other inputs </w:t>
      </w:r>
      <w:r w:rsidR="0002129C" w:rsidRPr="00A05373">
        <w:rPr>
          <w:rFonts w:ascii="Calibri" w:hAnsi="Calibri"/>
          <w:color w:val="000000" w:themeColor="text1"/>
          <w:sz w:val="24"/>
          <w:szCs w:val="24"/>
        </w:rPr>
        <w:t>among</w:t>
      </w:r>
      <w:r w:rsidR="00935866" w:rsidRPr="00A05373">
        <w:rPr>
          <w:rFonts w:ascii="Calibri" w:hAnsi="Calibri"/>
          <w:color w:val="000000" w:themeColor="text1"/>
          <w:sz w:val="24"/>
          <w:szCs w:val="24"/>
        </w:rPr>
        <w:t xml:space="preserve"> labour variables that showed a surplus in use were </w:t>
      </w:r>
      <w:r w:rsidR="00062CDA">
        <w:rPr>
          <w:rFonts w:ascii="Calibri" w:hAnsi="Calibri"/>
          <w:color w:val="000000" w:themeColor="text1"/>
          <w:sz w:val="24"/>
          <w:szCs w:val="24"/>
        </w:rPr>
        <w:t>the</w:t>
      </w:r>
      <w:r w:rsidR="00935866" w:rsidRPr="00A05373">
        <w:rPr>
          <w:rFonts w:ascii="Calibri" w:hAnsi="Calibri"/>
          <w:color w:val="000000" w:themeColor="text1"/>
          <w:sz w:val="24"/>
          <w:szCs w:val="24"/>
        </w:rPr>
        <w:t xml:space="preserve"> number of nurses and </w:t>
      </w:r>
      <w:r w:rsidR="00062CDA">
        <w:rPr>
          <w:rFonts w:ascii="Calibri" w:hAnsi="Calibri"/>
          <w:color w:val="000000" w:themeColor="text1"/>
          <w:sz w:val="24"/>
          <w:szCs w:val="24"/>
        </w:rPr>
        <w:t xml:space="preserve">the number of </w:t>
      </w:r>
      <w:r w:rsidR="00935866" w:rsidRPr="00A05373">
        <w:rPr>
          <w:rFonts w:ascii="Calibri" w:hAnsi="Calibri"/>
          <w:color w:val="000000" w:themeColor="text1"/>
          <w:sz w:val="24"/>
          <w:szCs w:val="24"/>
        </w:rPr>
        <w:t>allied health personnel</w:t>
      </w:r>
      <w:r w:rsidR="00A7574D" w:rsidRPr="00A05373">
        <w:rPr>
          <w:rFonts w:ascii="Calibri" w:hAnsi="Calibri"/>
          <w:color w:val="000000" w:themeColor="text1"/>
          <w:sz w:val="24"/>
          <w:szCs w:val="24"/>
        </w:rPr>
        <w:t xml:space="preserve">, in addition to </w:t>
      </w:r>
      <w:r w:rsidR="00A03DA4">
        <w:rPr>
          <w:rFonts w:ascii="Calibri" w:hAnsi="Calibri"/>
          <w:color w:val="000000" w:themeColor="text1"/>
          <w:sz w:val="24"/>
          <w:szCs w:val="24"/>
        </w:rPr>
        <w:t xml:space="preserve">the </w:t>
      </w:r>
      <w:r w:rsidR="00A7574D" w:rsidRPr="00A05373">
        <w:rPr>
          <w:rFonts w:ascii="Calibri" w:hAnsi="Calibri"/>
          <w:color w:val="000000" w:themeColor="text1"/>
          <w:sz w:val="24"/>
          <w:szCs w:val="24"/>
        </w:rPr>
        <w:t>excess number of hospital beds (capital</w:t>
      </w:r>
      <w:r w:rsidR="00155B48">
        <w:rPr>
          <w:rFonts w:ascii="Calibri" w:hAnsi="Calibri"/>
          <w:color w:val="000000" w:themeColor="text1"/>
          <w:sz w:val="24"/>
          <w:szCs w:val="24"/>
        </w:rPr>
        <w:t xml:space="preserve"> variable</w:t>
      </w:r>
      <w:r w:rsidR="00A7574D" w:rsidRPr="00A05373">
        <w:rPr>
          <w:rFonts w:ascii="Calibri" w:hAnsi="Calibri"/>
          <w:color w:val="000000" w:themeColor="text1"/>
          <w:sz w:val="24"/>
          <w:szCs w:val="24"/>
        </w:rPr>
        <w:t xml:space="preserve">). </w:t>
      </w:r>
      <w:r w:rsidR="00A03DA4">
        <w:rPr>
          <w:rFonts w:ascii="Calibri" w:hAnsi="Calibri"/>
          <w:color w:val="000000" w:themeColor="text1"/>
          <w:sz w:val="24"/>
          <w:szCs w:val="24"/>
        </w:rPr>
        <w:t>The a</w:t>
      </w:r>
      <w:r w:rsidR="00A03DA4" w:rsidRPr="00A05373">
        <w:rPr>
          <w:rFonts w:ascii="Calibri" w:hAnsi="Calibri"/>
          <w:color w:val="000000" w:themeColor="text1"/>
          <w:sz w:val="24"/>
          <w:szCs w:val="24"/>
        </w:rPr>
        <w:t xml:space="preserve">nalysis </w:t>
      </w:r>
      <w:r w:rsidR="0002129C" w:rsidRPr="00A05373">
        <w:rPr>
          <w:rFonts w:ascii="Calibri" w:hAnsi="Calibri"/>
          <w:color w:val="000000" w:themeColor="text1"/>
          <w:sz w:val="24"/>
          <w:szCs w:val="24"/>
        </w:rPr>
        <w:t>revealed a shortage of outputs production, e.g.</w:t>
      </w:r>
      <w:r w:rsidR="00590ABE" w:rsidRPr="00A05373">
        <w:rPr>
          <w:rFonts w:ascii="Calibri" w:hAnsi="Calibri"/>
          <w:color w:val="000000" w:themeColor="text1"/>
          <w:sz w:val="24"/>
          <w:szCs w:val="24"/>
        </w:rPr>
        <w:t xml:space="preserve"> </w:t>
      </w:r>
      <w:r w:rsidR="0002129C" w:rsidRPr="00A05373">
        <w:rPr>
          <w:rFonts w:ascii="Calibri" w:hAnsi="Calibri"/>
          <w:color w:val="000000" w:themeColor="text1"/>
          <w:sz w:val="24"/>
          <w:szCs w:val="24"/>
        </w:rPr>
        <w:t>hospitals need</w:t>
      </w:r>
      <w:r w:rsidR="00062CDA">
        <w:rPr>
          <w:rFonts w:ascii="Calibri" w:hAnsi="Calibri"/>
          <w:color w:val="000000" w:themeColor="text1"/>
          <w:sz w:val="24"/>
          <w:szCs w:val="24"/>
        </w:rPr>
        <w:t>ed</w:t>
      </w:r>
      <w:r w:rsidR="0002129C" w:rsidRPr="00A05373">
        <w:rPr>
          <w:rFonts w:ascii="Calibri" w:hAnsi="Calibri"/>
          <w:color w:val="000000" w:themeColor="text1"/>
          <w:sz w:val="24"/>
          <w:szCs w:val="24"/>
        </w:rPr>
        <w:t xml:space="preserve"> to increase the number of outpatients and hospitalized inpatient services </w:t>
      </w:r>
      <w:r w:rsidR="00696749">
        <w:rPr>
          <w:rFonts w:ascii="Calibri" w:hAnsi="Calibri"/>
          <w:color w:val="000000" w:themeColor="text1"/>
          <w:sz w:val="24"/>
          <w:szCs w:val="24"/>
        </w:rPr>
        <w:t xml:space="preserve">on average </w:t>
      </w:r>
      <w:r w:rsidR="0002129C" w:rsidRPr="00A05373">
        <w:rPr>
          <w:rFonts w:ascii="Calibri" w:hAnsi="Calibri"/>
          <w:color w:val="000000" w:themeColor="text1"/>
          <w:sz w:val="24"/>
          <w:szCs w:val="24"/>
        </w:rPr>
        <w:t>by 12.</w:t>
      </w:r>
      <w:r w:rsidR="00062CDA">
        <w:rPr>
          <w:rFonts w:ascii="Calibri" w:hAnsi="Calibri"/>
          <w:color w:val="000000" w:themeColor="text1"/>
          <w:sz w:val="24"/>
          <w:szCs w:val="24"/>
        </w:rPr>
        <w:t>2</w:t>
      </w:r>
      <w:r w:rsidR="0002129C" w:rsidRPr="00A05373">
        <w:rPr>
          <w:rFonts w:ascii="Calibri" w:hAnsi="Calibri"/>
          <w:color w:val="000000" w:themeColor="text1"/>
          <w:sz w:val="24"/>
          <w:szCs w:val="24"/>
        </w:rPr>
        <w:t>% and 14.2% respectively</w:t>
      </w:r>
      <w:r>
        <w:rPr>
          <w:rFonts w:ascii="Calibri" w:hAnsi="Calibri"/>
          <w:color w:val="000000" w:themeColor="text1"/>
          <w:sz w:val="24"/>
          <w:szCs w:val="24"/>
        </w:rPr>
        <w:t>,</w:t>
      </w:r>
      <w:r w:rsidR="00590ABE" w:rsidRPr="00A05373">
        <w:rPr>
          <w:rFonts w:ascii="Calibri" w:hAnsi="Calibri"/>
          <w:color w:val="000000" w:themeColor="text1"/>
          <w:sz w:val="24"/>
          <w:szCs w:val="24"/>
        </w:rPr>
        <w:t xml:space="preserve"> to be efficient. </w:t>
      </w:r>
    </w:p>
    <w:p w14:paraId="5B1EB4A1" w14:textId="29970956" w:rsidR="00F60AE1" w:rsidRDefault="00AC18F4" w:rsidP="008F1189">
      <w:pPr>
        <w:spacing w:line="360" w:lineRule="auto"/>
        <w:jc w:val="both"/>
        <w:rPr>
          <w:rFonts w:ascii="Calibri" w:hAnsi="Calibri"/>
          <w:color w:val="000000" w:themeColor="text1"/>
          <w:sz w:val="24"/>
          <w:szCs w:val="24"/>
        </w:rPr>
      </w:pPr>
      <w:r>
        <w:rPr>
          <w:rFonts w:ascii="Calibri" w:hAnsi="Calibri"/>
          <w:color w:val="000000" w:themeColor="text1"/>
          <w:sz w:val="24"/>
          <w:szCs w:val="24"/>
        </w:rPr>
        <w:t>Given</w:t>
      </w:r>
      <w:r w:rsidR="00590ABE" w:rsidRPr="00A05373">
        <w:rPr>
          <w:rFonts w:ascii="Calibri" w:hAnsi="Calibri"/>
          <w:color w:val="000000" w:themeColor="text1"/>
          <w:sz w:val="24"/>
          <w:szCs w:val="24"/>
        </w:rPr>
        <w:t xml:space="preserve"> </w:t>
      </w:r>
      <w:r w:rsidR="004A55F8">
        <w:rPr>
          <w:rFonts w:ascii="Calibri" w:hAnsi="Calibri"/>
          <w:color w:val="000000" w:themeColor="text1"/>
          <w:sz w:val="24"/>
          <w:szCs w:val="24"/>
        </w:rPr>
        <w:t xml:space="preserve">our </w:t>
      </w:r>
      <w:r w:rsidR="00590ABE" w:rsidRPr="00A05373">
        <w:rPr>
          <w:rFonts w:ascii="Calibri" w:hAnsi="Calibri"/>
          <w:color w:val="000000" w:themeColor="text1"/>
          <w:sz w:val="24"/>
          <w:szCs w:val="24"/>
        </w:rPr>
        <w:t xml:space="preserve">findings, </w:t>
      </w:r>
      <w:r w:rsidR="00101715" w:rsidRPr="00A05373">
        <w:rPr>
          <w:rFonts w:ascii="Calibri" w:hAnsi="Calibri"/>
          <w:color w:val="000000" w:themeColor="text1"/>
          <w:sz w:val="24"/>
          <w:szCs w:val="24"/>
        </w:rPr>
        <w:t>h</w:t>
      </w:r>
      <w:r w:rsidR="007F175B" w:rsidRPr="00A05373">
        <w:rPr>
          <w:rFonts w:ascii="Calibri" w:hAnsi="Calibri"/>
          <w:color w:val="000000" w:themeColor="text1"/>
          <w:sz w:val="24"/>
          <w:szCs w:val="24"/>
        </w:rPr>
        <w:t>ealth</w:t>
      </w:r>
      <w:r w:rsidR="00062CDA">
        <w:rPr>
          <w:rFonts w:ascii="Calibri" w:hAnsi="Calibri"/>
          <w:color w:val="000000" w:themeColor="text1"/>
          <w:sz w:val="24"/>
          <w:szCs w:val="24"/>
        </w:rPr>
        <w:t xml:space="preserve"> </w:t>
      </w:r>
      <w:r w:rsidR="007F175B" w:rsidRPr="00A05373">
        <w:rPr>
          <w:rFonts w:ascii="Calibri" w:hAnsi="Calibri"/>
          <w:color w:val="000000" w:themeColor="text1"/>
          <w:sz w:val="24"/>
          <w:szCs w:val="24"/>
        </w:rPr>
        <w:t>policy</w:t>
      </w:r>
      <w:r w:rsidR="00062CDA">
        <w:rPr>
          <w:rFonts w:ascii="Calibri" w:hAnsi="Calibri"/>
          <w:color w:val="000000" w:themeColor="text1"/>
          <w:sz w:val="24"/>
          <w:szCs w:val="24"/>
        </w:rPr>
        <w:t>-</w:t>
      </w:r>
      <w:r w:rsidR="007F175B" w:rsidRPr="00A05373">
        <w:rPr>
          <w:rFonts w:ascii="Calibri" w:hAnsi="Calibri"/>
          <w:color w:val="000000" w:themeColor="text1"/>
          <w:sz w:val="24"/>
          <w:szCs w:val="24"/>
        </w:rPr>
        <w:t>makers m</w:t>
      </w:r>
      <w:r w:rsidR="004A55F8">
        <w:rPr>
          <w:rFonts w:ascii="Calibri" w:hAnsi="Calibri"/>
          <w:color w:val="000000" w:themeColor="text1"/>
          <w:sz w:val="24"/>
          <w:szCs w:val="24"/>
        </w:rPr>
        <w:t>ay</w:t>
      </w:r>
      <w:r w:rsidR="007F175B" w:rsidRPr="00A05373">
        <w:rPr>
          <w:rFonts w:ascii="Calibri" w:hAnsi="Calibri"/>
          <w:color w:val="000000" w:themeColor="text1"/>
          <w:sz w:val="24"/>
          <w:szCs w:val="24"/>
        </w:rPr>
        <w:t xml:space="preserve"> consider </w:t>
      </w:r>
      <w:r w:rsidR="00D30DC6">
        <w:rPr>
          <w:rFonts w:ascii="Calibri" w:hAnsi="Calibri"/>
          <w:color w:val="000000" w:themeColor="text1"/>
          <w:sz w:val="24"/>
          <w:szCs w:val="24"/>
        </w:rPr>
        <w:t>redeploying</w:t>
      </w:r>
      <w:r w:rsidR="007F175B" w:rsidRPr="00A05373">
        <w:rPr>
          <w:rFonts w:ascii="Calibri" w:hAnsi="Calibri"/>
          <w:color w:val="000000" w:themeColor="text1"/>
          <w:sz w:val="24"/>
          <w:szCs w:val="24"/>
        </w:rPr>
        <w:t xml:space="preserve"> their </w:t>
      </w:r>
      <w:r w:rsidR="00590ABE" w:rsidRPr="00A05373">
        <w:rPr>
          <w:rFonts w:ascii="Calibri" w:hAnsi="Calibri"/>
          <w:color w:val="000000" w:themeColor="text1"/>
          <w:sz w:val="24"/>
          <w:szCs w:val="24"/>
        </w:rPr>
        <w:t>labour forces</w:t>
      </w:r>
      <w:r w:rsidR="007F175B" w:rsidRPr="00A05373">
        <w:rPr>
          <w:rFonts w:ascii="Calibri" w:hAnsi="Calibri"/>
          <w:color w:val="000000" w:themeColor="text1"/>
          <w:sz w:val="24"/>
          <w:szCs w:val="24"/>
        </w:rPr>
        <w:t xml:space="preserve"> from </w:t>
      </w:r>
      <w:r w:rsidR="00101715" w:rsidRPr="00A05373">
        <w:rPr>
          <w:rFonts w:ascii="Calibri" w:hAnsi="Calibri"/>
          <w:color w:val="000000" w:themeColor="text1"/>
          <w:sz w:val="24"/>
          <w:szCs w:val="24"/>
        </w:rPr>
        <w:t>inefficient hospitals to more efficient ones</w:t>
      </w:r>
      <w:r w:rsidR="007F175B" w:rsidRPr="00A05373">
        <w:rPr>
          <w:rFonts w:ascii="Calibri" w:hAnsi="Calibri"/>
          <w:color w:val="000000" w:themeColor="text1"/>
          <w:sz w:val="24"/>
          <w:szCs w:val="24"/>
        </w:rPr>
        <w:t>.</w:t>
      </w:r>
      <w:r w:rsidR="00C976D8">
        <w:rPr>
          <w:rFonts w:ascii="Calibri" w:hAnsi="Calibri"/>
          <w:color w:val="000000" w:themeColor="text1"/>
          <w:sz w:val="24"/>
          <w:szCs w:val="24"/>
          <w:vertAlign w:val="superscript"/>
        </w:rPr>
        <w:t>36</w:t>
      </w:r>
      <w:r w:rsidR="0047528D">
        <w:rPr>
          <w:rFonts w:ascii="Calibri" w:hAnsi="Calibri"/>
          <w:color w:val="000000" w:themeColor="text1"/>
          <w:sz w:val="24"/>
          <w:szCs w:val="24"/>
          <w:vertAlign w:val="superscript"/>
        </w:rPr>
        <w:t>,4</w:t>
      </w:r>
      <w:r w:rsidR="00C976D8">
        <w:rPr>
          <w:rFonts w:ascii="Calibri" w:hAnsi="Calibri"/>
          <w:color w:val="000000" w:themeColor="text1"/>
          <w:sz w:val="24"/>
          <w:szCs w:val="24"/>
          <w:vertAlign w:val="superscript"/>
        </w:rPr>
        <w:t>3</w:t>
      </w:r>
      <w:r w:rsidR="00155B48">
        <w:rPr>
          <w:sz w:val="24"/>
          <w:szCs w:val="24"/>
        </w:rPr>
        <w:t xml:space="preserve"> </w:t>
      </w:r>
      <w:r w:rsidR="00A67E4B">
        <w:rPr>
          <w:rFonts w:ascii="Calibri" w:hAnsi="Calibri"/>
          <w:color w:val="000000" w:themeColor="text1"/>
          <w:sz w:val="24"/>
          <w:szCs w:val="24"/>
        </w:rPr>
        <w:t>P</w:t>
      </w:r>
      <w:r w:rsidR="00590ABE" w:rsidRPr="00A05373">
        <w:rPr>
          <w:rFonts w:ascii="Calibri" w:hAnsi="Calibri"/>
          <w:color w:val="000000" w:themeColor="text1"/>
          <w:sz w:val="24"/>
          <w:szCs w:val="24"/>
        </w:rPr>
        <w:t xml:space="preserve">ublic hospitals </w:t>
      </w:r>
      <w:r w:rsidR="004A55F8">
        <w:rPr>
          <w:rFonts w:ascii="Calibri" w:hAnsi="Calibri"/>
          <w:color w:val="000000" w:themeColor="text1"/>
          <w:sz w:val="24"/>
          <w:szCs w:val="24"/>
        </w:rPr>
        <w:t>can consider</w:t>
      </w:r>
      <w:r w:rsidR="00590ABE" w:rsidRPr="00A05373">
        <w:rPr>
          <w:rFonts w:ascii="Calibri" w:hAnsi="Calibri"/>
          <w:color w:val="000000" w:themeColor="text1"/>
          <w:sz w:val="24"/>
          <w:szCs w:val="24"/>
        </w:rPr>
        <w:t xml:space="preserve"> </w:t>
      </w:r>
      <w:r w:rsidR="004A55F8">
        <w:rPr>
          <w:rFonts w:ascii="Calibri" w:hAnsi="Calibri"/>
          <w:color w:val="000000" w:themeColor="text1"/>
          <w:sz w:val="24"/>
          <w:szCs w:val="24"/>
        </w:rPr>
        <w:t xml:space="preserve">taking measures for </w:t>
      </w:r>
      <w:r w:rsidR="00590ABE" w:rsidRPr="00A05373">
        <w:rPr>
          <w:rFonts w:ascii="Calibri" w:hAnsi="Calibri"/>
          <w:color w:val="000000" w:themeColor="text1"/>
          <w:sz w:val="24"/>
          <w:szCs w:val="24"/>
        </w:rPr>
        <w:t>utiliz</w:t>
      </w:r>
      <w:r w:rsidR="004A55F8">
        <w:rPr>
          <w:rFonts w:ascii="Calibri" w:hAnsi="Calibri"/>
          <w:color w:val="000000" w:themeColor="text1"/>
          <w:sz w:val="24"/>
          <w:szCs w:val="24"/>
        </w:rPr>
        <w:t>ing</w:t>
      </w:r>
      <w:r w:rsidR="00590ABE" w:rsidRPr="00A05373">
        <w:rPr>
          <w:rFonts w:ascii="Calibri" w:hAnsi="Calibri"/>
          <w:color w:val="000000" w:themeColor="text1"/>
          <w:sz w:val="24"/>
          <w:szCs w:val="24"/>
        </w:rPr>
        <w:t xml:space="preserve"> existing beds </w:t>
      </w:r>
      <w:r w:rsidR="004A55F8" w:rsidRPr="00A05373">
        <w:rPr>
          <w:rFonts w:ascii="Calibri" w:hAnsi="Calibri"/>
          <w:color w:val="000000" w:themeColor="text1"/>
          <w:sz w:val="24"/>
          <w:szCs w:val="24"/>
        </w:rPr>
        <w:t xml:space="preserve">effectively </w:t>
      </w:r>
      <w:r w:rsidR="00590ABE" w:rsidRPr="00A05373">
        <w:rPr>
          <w:rFonts w:ascii="Calibri" w:hAnsi="Calibri"/>
          <w:color w:val="000000" w:themeColor="text1"/>
          <w:sz w:val="24"/>
          <w:szCs w:val="24"/>
        </w:rPr>
        <w:t>to increase efficiency.</w:t>
      </w:r>
      <w:r w:rsidR="007F175B" w:rsidRPr="00A05373">
        <w:rPr>
          <w:rFonts w:ascii="Calibri" w:hAnsi="Calibri"/>
          <w:color w:val="000000" w:themeColor="text1"/>
          <w:sz w:val="24"/>
          <w:szCs w:val="24"/>
        </w:rPr>
        <w:t xml:space="preserve"> </w:t>
      </w:r>
      <w:r w:rsidR="00590ABE" w:rsidRPr="00A05373">
        <w:rPr>
          <w:rFonts w:ascii="Calibri" w:hAnsi="Calibri"/>
          <w:color w:val="000000" w:themeColor="text1"/>
          <w:sz w:val="24"/>
          <w:szCs w:val="24"/>
        </w:rPr>
        <w:t>For examp</w:t>
      </w:r>
      <w:r w:rsidR="00A67E4B">
        <w:rPr>
          <w:rFonts w:ascii="Calibri" w:hAnsi="Calibri"/>
          <w:color w:val="000000" w:themeColor="text1"/>
          <w:sz w:val="24"/>
          <w:szCs w:val="24"/>
        </w:rPr>
        <w:t>le, in this study</w:t>
      </w:r>
      <w:r w:rsidR="00A03DA4">
        <w:rPr>
          <w:rFonts w:ascii="Calibri" w:hAnsi="Calibri"/>
          <w:color w:val="000000" w:themeColor="text1"/>
          <w:sz w:val="24"/>
          <w:szCs w:val="24"/>
        </w:rPr>
        <w:t>,</w:t>
      </w:r>
      <w:r w:rsidR="00A67E4B">
        <w:rPr>
          <w:rFonts w:ascii="Calibri" w:hAnsi="Calibri"/>
          <w:color w:val="000000" w:themeColor="text1"/>
          <w:sz w:val="24"/>
          <w:szCs w:val="24"/>
        </w:rPr>
        <w:t xml:space="preserve"> </w:t>
      </w:r>
      <w:r w:rsidR="00590ABE" w:rsidRPr="00A05373">
        <w:rPr>
          <w:rFonts w:ascii="Calibri" w:hAnsi="Calibri"/>
          <w:color w:val="000000" w:themeColor="text1"/>
          <w:sz w:val="24"/>
          <w:szCs w:val="24"/>
        </w:rPr>
        <w:t>many large hospitals ha</w:t>
      </w:r>
      <w:r w:rsidR="00062CDA">
        <w:rPr>
          <w:rFonts w:ascii="Calibri" w:hAnsi="Calibri"/>
          <w:color w:val="000000" w:themeColor="text1"/>
          <w:sz w:val="24"/>
          <w:szCs w:val="24"/>
        </w:rPr>
        <w:t>d</w:t>
      </w:r>
      <w:r w:rsidR="00590ABE" w:rsidRPr="00A05373">
        <w:rPr>
          <w:rFonts w:ascii="Calibri" w:hAnsi="Calibri"/>
          <w:color w:val="000000" w:themeColor="text1"/>
          <w:sz w:val="24"/>
          <w:szCs w:val="24"/>
        </w:rPr>
        <w:t xml:space="preserve"> been operating on DRS; however, </w:t>
      </w:r>
      <w:r w:rsidR="00D30DC6">
        <w:rPr>
          <w:rFonts w:ascii="Calibri" w:hAnsi="Calibri"/>
          <w:color w:val="000000" w:themeColor="text1"/>
          <w:sz w:val="24"/>
          <w:szCs w:val="24"/>
        </w:rPr>
        <w:t>most</w:t>
      </w:r>
      <w:r w:rsidR="00590ABE" w:rsidRPr="00A05373">
        <w:rPr>
          <w:rFonts w:ascii="Calibri" w:hAnsi="Calibri"/>
          <w:color w:val="000000" w:themeColor="text1"/>
          <w:sz w:val="24"/>
          <w:szCs w:val="24"/>
        </w:rPr>
        <w:t xml:space="preserve"> of the small hospitals </w:t>
      </w:r>
      <w:r w:rsidR="00062CDA">
        <w:rPr>
          <w:rFonts w:ascii="Calibri" w:hAnsi="Calibri"/>
          <w:color w:val="000000" w:themeColor="text1"/>
          <w:sz w:val="24"/>
          <w:szCs w:val="24"/>
        </w:rPr>
        <w:t xml:space="preserve">were </w:t>
      </w:r>
      <w:r w:rsidR="00590ABE" w:rsidRPr="00A05373">
        <w:rPr>
          <w:rFonts w:ascii="Calibri" w:hAnsi="Calibri"/>
          <w:color w:val="000000" w:themeColor="text1"/>
          <w:sz w:val="24"/>
          <w:szCs w:val="24"/>
        </w:rPr>
        <w:t>operat</w:t>
      </w:r>
      <w:r w:rsidR="00062CDA">
        <w:rPr>
          <w:rFonts w:ascii="Calibri" w:hAnsi="Calibri"/>
          <w:color w:val="000000" w:themeColor="text1"/>
          <w:sz w:val="24"/>
          <w:szCs w:val="24"/>
        </w:rPr>
        <w:t>ing</w:t>
      </w:r>
      <w:r w:rsidR="00590ABE" w:rsidRPr="00A05373">
        <w:rPr>
          <w:rFonts w:ascii="Calibri" w:hAnsi="Calibri"/>
          <w:color w:val="000000" w:themeColor="text1"/>
          <w:sz w:val="24"/>
          <w:szCs w:val="24"/>
        </w:rPr>
        <w:t xml:space="preserve"> on </w:t>
      </w:r>
      <w:r w:rsidR="00A03DA4">
        <w:rPr>
          <w:rFonts w:ascii="Calibri" w:hAnsi="Calibri"/>
          <w:color w:val="000000" w:themeColor="text1"/>
          <w:sz w:val="24"/>
          <w:szCs w:val="24"/>
        </w:rPr>
        <w:t xml:space="preserve">the </w:t>
      </w:r>
      <w:r w:rsidR="00590ABE" w:rsidRPr="00A05373">
        <w:rPr>
          <w:rFonts w:ascii="Calibri" w:hAnsi="Calibri"/>
          <w:color w:val="000000" w:themeColor="text1"/>
          <w:sz w:val="24"/>
          <w:szCs w:val="24"/>
        </w:rPr>
        <w:t xml:space="preserve">IRS. </w:t>
      </w:r>
      <w:r w:rsidR="00D30DC6">
        <w:rPr>
          <w:rFonts w:ascii="Calibri" w:hAnsi="Calibri"/>
          <w:sz w:val="24"/>
          <w:szCs w:val="24"/>
        </w:rPr>
        <w:t>H</w:t>
      </w:r>
      <w:r w:rsidR="005548AD" w:rsidRPr="00A05373">
        <w:rPr>
          <w:rFonts w:ascii="Calibri" w:hAnsi="Calibri"/>
          <w:sz w:val="24"/>
          <w:szCs w:val="24"/>
        </w:rPr>
        <w:t>ealthcare administrators should assess the legal</w:t>
      </w:r>
      <w:r w:rsidR="00A7574D" w:rsidRPr="00A05373">
        <w:rPr>
          <w:rFonts w:ascii="Calibri" w:hAnsi="Calibri"/>
          <w:sz w:val="24"/>
          <w:szCs w:val="24"/>
        </w:rPr>
        <w:t xml:space="preserve"> </w:t>
      </w:r>
      <w:r w:rsidR="005548AD" w:rsidRPr="00A05373">
        <w:rPr>
          <w:rFonts w:ascii="Calibri" w:hAnsi="Calibri"/>
          <w:sz w:val="24"/>
          <w:szCs w:val="24"/>
        </w:rPr>
        <w:t>conditions and regulations for the effective u</w:t>
      </w:r>
      <w:r w:rsidR="00D30DC6">
        <w:rPr>
          <w:rFonts w:ascii="Calibri" w:hAnsi="Calibri"/>
          <w:sz w:val="24"/>
          <w:szCs w:val="24"/>
        </w:rPr>
        <w:t>se</w:t>
      </w:r>
      <w:r w:rsidR="005548AD" w:rsidRPr="00A05373">
        <w:rPr>
          <w:rFonts w:ascii="Calibri" w:hAnsi="Calibri"/>
          <w:sz w:val="24"/>
          <w:szCs w:val="24"/>
        </w:rPr>
        <w:t xml:space="preserve"> of</w:t>
      </w:r>
      <w:r w:rsidR="00A7574D" w:rsidRPr="00A05373">
        <w:rPr>
          <w:rFonts w:ascii="Calibri" w:hAnsi="Calibri"/>
          <w:sz w:val="24"/>
          <w:szCs w:val="24"/>
        </w:rPr>
        <w:t xml:space="preserve"> </w:t>
      </w:r>
      <w:r w:rsidR="005548AD" w:rsidRPr="00A05373">
        <w:rPr>
          <w:rFonts w:ascii="Calibri" w:hAnsi="Calibri"/>
          <w:sz w:val="24"/>
          <w:szCs w:val="24"/>
        </w:rPr>
        <w:t xml:space="preserve">medical capacity </w:t>
      </w:r>
      <w:proofErr w:type="gramStart"/>
      <w:r w:rsidR="00D30DC6">
        <w:rPr>
          <w:rFonts w:ascii="Calibri" w:hAnsi="Calibri"/>
          <w:sz w:val="24"/>
          <w:szCs w:val="24"/>
        </w:rPr>
        <w:t>in light of</w:t>
      </w:r>
      <w:proofErr w:type="gramEnd"/>
      <w:r w:rsidR="00A91250">
        <w:rPr>
          <w:rFonts w:ascii="Calibri" w:hAnsi="Calibri"/>
          <w:sz w:val="24"/>
          <w:szCs w:val="24"/>
        </w:rPr>
        <w:t xml:space="preserve"> the</w:t>
      </w:r>
      <w:r w:rsidR="005548AD" w:rsidRPr="00A05373">
        <w:rPr>
          <w:rFonts w:ascii="Calibri" w:hAnsi="Calibri"/>
          <w:sz w:val="24"/>
          <w:szCs w:val="24"/>
        </w:rPr>
        <w:t xml:space="preserve"> findings </w:t>
      </w:r>
      <w:r w:rsidR="00A91250">
        <w:rPr>
          <w:rFonts w:ascii="Calibri" w:hAnsi="Calibri"/>
          <w:sz w:val="24"/>
          <w:szCs w:val="24"/>
        </w:rPr>
        <w:t>of</w:t>
      </w:r>
      <w:r w:rsidR="005548AD" w:rsidRPr="00A05373">
        <w:rPr>
          <w:rFonts w:ascii="Calibri" w:hAnsi="Calibri"/>
          <w:sz w:val="24"/>
          <w:szCs w:val="24"/>
        </w:rPr>
        <w:t xml:space="preserve"> </w:t>
      </w:r>
      <w:r w:rsidR="00A91250">
        <w:rPr>
          <w:rFonts w:ascii="Calibri" w:hAnsi="Calibri"/>
          <w:sz w:val="24"/>
          <w:szCs w:val="24"/>
        </w:rPr>
        <w:t>this</w:t>
      </w:r>
      <w:r w:rsidR="00A91250" w:rsidRPr="00A05373">
        <w:rPr>
          <w:rFonts w:ascii="Calibri" w:hAnsi="Calibri"/>
          <w:sz w:val="24"/>
          <w:szCs w:val="24"/>
        </w:rPr>
        <w:t xml:space="preserve"> </w:t>
      </w:r>
      <w:r w:rsidR="005548AD" w:rsidRPr="00A05373">
        <w:rPr>
          <w:rFonts w:ascii="Calibri" w:hAnsi="Calibri"/>
          <w:sz w:val="24"/>
          <w:szCs w:val="24"/>
        </w:rPr>
        <w:t>slack</w:t>
      </w:r>
      <w:r w:rsidR="00A7574D" w:rsidRPr="00A05373">
        <w:rPr>
          <w:rFonts w:ascii="Calibri" w:hAnsi="Calibri"/>
          <w:sz w:val="24"/>
          <w:szCs w:val="24"/>
        </w:rPr>
        <w:t xml:space="preserve"> </w:t>
      </w:r>
      <w:r w:rsidR="005548AD" w:rsidRPr="00A05373">
        <w:rPr>
          <w:rFonts w:ascii="Calibri" w:hAnsi="Calibri"/>
          <w:sz w:val="24"/>
          <w:szCs w:val="24"/>
        </w:rPr>
        <w:t>analysis.</w:t>
      </w:r>
      <w:r w:rsidR="004A55F8">
        <w:rPr>
          <w:rFonts w:ascii="Calibri" w:hAnsi="Calibri"/>
          <w:sz w:val="24"/>
          <w:szCs w:val="24"/>
        </w:rPr>
        <w:t xml:space="preserve"> </w:t>
      </w:r>
      <w:r w:rsidR="007F175B" w:rsidRPr="00A05373">
        <w:rPr>
          <w:rFonts w:ascii="Calibri" w:hAnsi="Calibri"/>
          <w:color w:val="000000" w:themeColor="text1"/>
          <w:sz w:val="24"/>
          <w:szCs w:val="24"/>
        </w:rPr>
        <w:t xml:space="preserve"> </w:t>
      </w:r>
    </w:p>
    <w:p w14:paraId="5A3E95F2" w14:textId="47E8CB41" w:rsidR="00D079A3" w:rsidRDefault="00D079A3" w:rsidP="008F1189">
      <w:pPr>
        <w:spacing w:line="360" w:lineRule="auto"/>
        <w:jc w:val="both"/>
        <w:rPr>
          <w:rFonts w:ascii="Calibri" w:hAnsi="Calibri"/>
          <w:sz w:val="24"/>
          <w:szCs w:val="24"/>
        </w:rPr>
      </w:pPr>
      <w:r w:rsidRPr="00A05373">
        <w:rPr>
          <w:rFonts w:ascii="Calibri" w:hAnsi="Calibri"/>
          <w:sz w:val="24"/>
          <w:szCs w:val="24"/>
        </w:rPr>
        <w:t>It ha</w:t>
      </w:r>
      <w:r>
        <w:rPr>
          <w:rFonts w:ascii="Calibri" w:hAnsi="Calibri"/>
          <w:sz w:val="24"/>
          <w:szCs w:val="24"/>
        </w:rPr>
        <w:t>d</w:t>
      </w:r>
      <w:r w:rsidRPr="00A05373">
        <w:rPr>
          <w:rFonts w:ascii="Calibri" w:hAnsi="Calibri"/>
          <w:sz w:val="24"/>
          <w:szCs w:val="24"/>
        </w:rPr>
        <w:t xml:space="preserve"> been argued by Afzali</w:t>
      </w:r>
      <w:r w:rsidR="00C976D8">
        <w:rPr>
          <w:rFonts w:ascii="Calibri" w:hAnsi="Calibri"/>
          <w:sz w:val="24"/>
          <w:szCs w:val="24"/>
          <w:vertAlign w:val="superscript"/>
        </w:rPr>
        <w:t>28</w:t>
      </w:r>
      <w:r w:rsidRPr="00A05373">
        <w:rPr>
          <w:rFonts w:ascii="Calibri" w:hAnsi="Calibri"/>
          <w:sz w:val="24"/>
          <w:szCs w:val="24"/>
        </w:rPr>
        <w:t xml:space="preserve"> and Hollingsworth</w:t>
      </w:r>
      <w:r w:rsidRPr="007316F8">
        <w:rPr>
          <w:rFonts w:ascii="Calibri" w:hAnsi="Calibri"/>
          <w:sz w:val="24"/>
          <w:szCs w:val="24"/>
          <w:vertAlign w:val="superscript"/>
        </w:rPr>
        <w:t>1</w:t>
      </w:r>
      <w:r w:rsidR="00DC0B44">
        <w:rPr>
          <w:rFonts w:ascii="Calibri" w:hAnsi="Calibri"/>
          <w:sz w:val="24"/>
          <w:szCs w:val="24"/>
          <w:vertAlign w:val="superscript"/>
        </w:rPr>
        <w:t>2</w:t>
      </w:r>
      <w:r w:rsidRPr="00A05373">
        <w:rPr>
          <w:rFonts w:ascii="Calibri" w:hAnsi="Calibri"/>
          <w:sz w:val="24"/>
          <w:szCs w:val="24"/>
        </w:rPr>
        <w:t xml:space="preserve"> that many hospital databases </w:t>
      </w:r>
      <w:r>
        <w:rPr>
          <w:rFonts w:ascii="Calibri" w:hAnsi="Calibri"/>
          <w:sz w:val="24"/>
          <w:szCs w:val="24"/>
        </w:rPr>
        <w:t>are compromised by</w:t>
      </w:r>
      <w:r w:rsidRPr="00A05373">
        <w:rPr>
          <w:rFonts w:ascii="Calibri" w:hAnsi="Calibri"/>
          <w:sz w:val="24"/>
          <w:szCs w:val="24"/>
        </w:rPr>
        <w:t xml:space="preserve"> insufficient data </w:t>
      </w:r>
      <w:r>
        <w:rPr>
          <w:rFonts w:ascii="Calibri" w:hAnsi="Calibri"/>
          <w:sz w:val="24"/>
          <w:szCs w:val="24"/>
        </w:rPr>
        <w:t>on</w:t>
      </w:r>
      <w:r w:rsidRPr="00A05373">
        <w:rPr>
          <w:rFonts w:ascii="Calibri" w:hAnsi="Calibri"/>
          <w:sz w:val="24"/>
          <w:szCs w:val="24"/>
        </w:rPr>
        <w:t xml:space="preserve"> a broad range of hospital functions and care, e.g. preventive care, health promotion, staff development activities.</w:t>
      </w:r>
      <w:r>
        <w:rPr>
          <w:rFonts w:ascii="Calibri" w:hAnsi="Calibri"/>
          <w:sz w:val="24"/>
          <w:szCs w:val="24"/>
          <w:vertAlign w:val="superscript"/>
        </w:rPr>
        <w:t xml:space="preserve"> </w:t>
      </w:r>
      <w:r w:rsidRPr="00A05373">
        <w:rPr>
          <w:rFonts w:ascii="Calibri" w:hAnsi="Calibri"/>
          <w:sz w:val="24"/>
          <w:szCs w:val="24"/>
        </w:rPr>
        <w:t xml:space="preserve">Thus, improving hospital's databases through </w:t>
      </w:r>
      <w:r w:rsidR="00A03DA4">
        <w:rPr>
          <w:rFonts w:ascii="Calibri" w:hAnsi="Calibri"/>
          <w:sz w:val="24"/>
          <w:szCs w:val="24"/>
        </w:rPr>
        <w:t>high-</w:t>
      </w:r>
      <w:r w:rsidRPr="00A05373">
        <w:rPr>
          <w:rFonts w:ascii="Calibri" w:hAnsi="Calibri"/>
          <w:sz w:val="24"/>
          <w:szCs w:val="24"/>
        </w:rPr>
        <w:t>quality data collection and processing techniques</w:t>
      </w:r>
      <w:r>
        <w:rPr>
          <w:rFonts w:ascii="Calibri" w:hAnsi="Calibri"/>
          <w:sz w:val="24"/>
          <w:szCs w:val="24"/>
        </w:rPr>
        <w:t xml:space="preserve"> —</w:t>
      </w:r>
      <w:r w:rsidRPr="00A05373">
        <w:rPr>
          <w:rFonts w:ascii="Calibri" w:hAnsi="Calibri"/>
          <w:sz w:val="24"/>
          <w:szCs w:val="24"/>
        </w:rPr>
        <w:t xml:space="preserve"> including data from different health provision levels, capturing valid data that reflect</w:t>
      </w:r>
      <w:r>
        <w:rPr>
          <w:rFonts w:ascii="Calibri" w:hAnsi="Calibri"/>
          <w:sz w:val="24"/>
          <w:szCs w:val="24"/>
        </w:rPr>
        <w:t>s</w:t>
      </w:r>
      <w:r w:rsidRPr="00A05373">
        <w:rPr>
          <w:rFonts w:ascii="Calibri" w:hAnsi="Calibri"/>
          <w:sz w:val="24"/>
          <w:szCs w:val="24"/>
        </w:rPr>
        <w:t xml:space="preserve"> </w:t>
      </w:r>
      <w:r w:rsidRPr="006A2061">
        <w:rPr>
          <w:rFonts w:ascii="Calibri" w:hAnsi="Calibri"/>
          <w:sz w:val="24"/>
          <w:szCs w:val="24"/>
        </w:rPr>
        <w:t>the severity of cases and related health services</w:t>
      </w:r>
      <w:r w:rsidRPr="00A05373">
        <w:rPr>
          <w:rFonts w:ascii="Calibri" w:hAnsi="Calibri"/>
          <w:sz w:val="24"/>
          <w:szCs w:val="24"/>
        </w:rPr>
        <w:t>, quality of care and pattern of activities</w:t>
      </w:r>
      <w:r>
        <w:rPr>
          <w:rFonts w:ascii="Calibri" w:hAnsi="Calibri"/>
          <w:sz w:val="24"/>
          <w:szCs w:val="24"/>
        </w:rPr>
        <w:t xml:space="preserve"> —</w:t>
      </w:r>
      <w:r w:rsidRPr="00A05373">
        <w:rPr>
          <w:rFonts w:ascii="Calibri" w:hAnsi="Calibri"/>
          <w:sz w:val="24"/>
          <w:szCs w:val="24"/>
        </w:rPr>
        <w:t xml:space="preserve"> </w:t>
      </w:r>
      <w:r>
        <w:rPr>
          <w:rFonts w:ascii="Calibri" w:hAnsi="Calibri"/>
          <w:sz w:val="24"/>
          <w:szCs w:val="24"/>
        </w:rPr>
        <w:t>is very</w:t>
      </w:r>
      <w:r w:rsidRPr="00A05373">
        <w:rPr>
          <w:rFonts w:ascii="Calibri" w:hAnsi="Calibri"/>
          <w:sz w:val="24"/>
          <w:szCs w:val="24"/>
        </w:rPr>
        <w:t xml:space="preserve"> </w:t>
      </w:r>
      <w:r>
        <w:rPr>
          <w:rFonts w:ascii="Calibri" w:hAnsi="Calibri"/>
          <w:sz w:val="24"/>
          <w:szCs w:val="24"/>
        </w:rPr>
        <w:t>important</w:t>
      </w:r>
      <w:r w:rsidRPr="00A05373">
        <w:rPr>
          <w:rFonts w:ascii="Calibri" w:hAnsi="Calibri"/>
          <w:sz w:val="24"/>
          <w:szCs w:val="24"/>
        </w:rPr>
        <w:t>.</w:t>
      </w:r>
      <w:r w:rsidR="00C976D8">
        <w:rPr>
          <w:rFonts w:ascii="Calibri" w:hAnsi="Calibri"/>
          <w:sz w:val="24"/>
          <w:szCs w:val="24"/>
          <w:vertAlign w:val="superscript"/>
        </w:rPr>
        <w:t>29</w:t>
      </w:r>
      <w:r w:rsidRPr="00E050F6">
        <w:rPr>
          <w:rFonts w:ascii="Calibri" w:hAnsi="Calibri"/>
          <w:sz w:val="24"/>
          <w:szCs w:val="24"/>
          <w:vertAlign w:val="superscript"/>
        </w:rPr>
        <w:t>,</w:t>
      </w:r>
      <w:r>
        <w:rPr>
          <w:rFonts w:ascii="Calibri" w:hAnsi="Calibri"/>
          <w:sz w:val="24"/>
          <w:szCs w:val="24"/>
          <w:vertAlign w:val="superscript"/>
        </w:rPr>
        <w:t>4</w:t>
      </w:r>
      <w:r w:rsidR="00C976D8">
        <w:rPr>
          <w:rFonts w:ascii="Calibri" w:hAnsi="Calibri"/>
          <w:sz w:val="24"/>
          <w:szCs w:val="24"/>
          <w:vertAlign w:val="superscript"/>
        </w:rPr>
        <w:t>4</w:t>
      </w:r>
      <w:r w:rsidRPr="00A05373">
        <w:rPr>
          <w:rFonts w:ascii="Calibri" w:hAnsi="Calibri"/>
          <w:sz w:val="24"/>
          <w:szCs w:val="24"/>
        </w:rPr>
        <w:t xml:space="preserve"> </w:t>
      </w:r>
      <w:r w:rsidRPr="00D57CD6">
        <w:rPr>
          <w:rFonts w:ascii="Calibri" w:hAnsi="Calibri"/>
          <w:sz w:val="24"/>
          <w:szCs w:val="24"/>
        </w:rPr>
        <w:t>Such improvement would facilitate further efficiency research by indicating weaknesses in healthcare production process</w:t>
      </w:r>
      <w:r>
        <w:rPr>
          <w:rFonts w:ascii="Calibri" w:hAnsi="Calibri"/>
          <w:sz w:val="24"/>
          <w:szCs w:val="24"/>
        </w:rPr>
        <w:t>es</w:t>
      </w:r>
      <w:r w:rsidRPr="00D57CD6">
        <w:rPr>
          <w:rFonts w:ascii="Calibri" w:hAnsi="Calibri"/>
          <w:sz w:val="24"/>
          <w:szCs w:val="24"/>
        </w:rPr>
        <w:t xml:space="preserve"> and</w:t>
      </w:r>
      <w:r>
        <w:rPr>
          <w:rFonts w:ascii="Calibri" w:hAnsi="Calibri"/>
          <w:sz w:val="24"/>
          <w:szCs w:val="24"/>
        </w:rPr>
        <w:t xml:space="preserve"> consequently</w:t>
      </w:r>
      <w:r w:rsidRPr="00D57CD6">
        <w:rPr>
          <w:rFonts w:ascii="Calibri" w:hAnsi="Calibri"/>
          <w:sz w:val="24"/>
          <w:szCs w:val="24"/>
        </w:rPr>
        <w:t xml:space="preserve"> would guide policy-makers </w:t>
      </w:r>
      <w:r>
        <w:rPr>
          <w:rFonts w:ascii="Calibri" w:hAnsi="Calibri"/>
          <w:sz w:val="24"/>
          <w:szCs w:val="24"/>
        </w:rPr>
        <w:t>in</w:t>
      </w:r>
      <w:r w:rsidRPr="00D57CD6">
        <w:rPr>
          <w:rFonts w:ascii="Calibri" w:hAnsi="Calibri"/>
          <w:sz w:val="24"/>
          <w:szCs w:val="24"/>
        </w:rPr>
        <w:t xml:space="preserve"> potential reforms of health polic</w:t>
      </w:r>
      <w:r>
        <w:rPr>
          <w:rFonts w:ascii="Calibri" w:hAnsi="Calibri"/>
          <w:sz w:val="24"/>
          <w:szCs w:val="24"/>
        </w:rPr>
        <w:t>y</w:t>
      </w:r>
      <w:r w:rsidRPr="00D57CD6">
        <w:rPr>
          <w:rFonts w:ascii="Calibri" w:hAnsi="Calibri"/>
          <w:sz w:val="24"/>
          <w:szCs w:val="24"/>
        </w:rPr>
        <w:t xml:space="preserve"> and directives.</w:t>
      </w:r>
    </w:p>
    <w:p w14:paraId="7FFFC15E" w14:textId="48CA4897" w:rsidR="00FB5609" w:rsidRPr="003D2D86" w:rsidRDefault="00FB5609" w:rsidP="008F1189">
      <w:pPr>
        <w:pStyle w:val="NormalWeb"/>
        <w:spacing w:before="0" w:beforeAutospacing="0" w:after="160" w:afterAutospacing="0" w:line="360" w:lineRule="auto"/>
        <w:jc w:val="both"/>
        <w:rPr>
          <w:rFonts w:ascii="Calibri" w:hAnsi="Calibri"/>
          <w:color w:val="000000" w:themeColor="text1"/>
        </w:rPr>
      </w:pPr>
      <w:r w:rsidRPr="003D2D86">
        <w:rPr>
          <w:rFonts w:ascii="Calibri" w:eastAsiaTheme="minorHAnsi" w:hAnsi="Calibri" w:cstheme="minorBidi"/>
          <w:color w:val="000000" w:themeColor="text1"/>
          <w:lang w:eastAsia="en-US" w:bidi="ar-SA"/>
        </w:rPr>
        <w:lastRenderedPageBreak/>
        <w:t xml:space="preserve">In recent years, KSA has been facing the global trends of rising healthcare costs in addition to </w:t>
      </w:r>
      <w:r w:rsidR="00A03DA4">
        <w:rPr>
          <w:rFonts w:ascii="Calibri" w:eastAsiaTheme="minorHAnsi" w:hAnsi="Calibri" w:cstheme="minorBidi"/>
          <w:color w:val="000000" w:themeColor="text1"/>
          <w:lang w:eastAsia="en-US" w:bidi="ar-SA"/>
        </w:rPr>
        <w:t xml:space="preserve">the </w:t>
      </w:r>
      <w:r w:rsidRPr="003D2D86">
        <w:rPr>
          <w:rFonts w:ascii="Calibri" w:eastAsiaTheme="minorHAnsi" w:hAnsi="Calibri" w:cstheme="minorBidi"/>
          <w:color w:val="000000" w:themeColor="text1"/>
          <w:lang w:eastAsia="en-US" w:bidi="ar-SA"/>
        </w:rPr>
        <w:t>high growth rate of population and high prevalence of chronic diseases. The government thus realized that the existing healthcare financing system with oil revenue is unsustainable</w:t>
      </w:r>
      <w:r w:rsidR="00175E2B">
        <w:rPr>
          <w:rFonts w:ascii="Calibri" w:eastAsiaTheme="minorHAnsi" w:hAnsi="Calibri" w:cstheme="minorBidi"/>
          <w:color w:val="000000" w:themeColor="text1"/>
          <w:lang w:eastAsia="en-US" w:bidi="ar-SA"/>
        </w:rPr>
        <w:t>.</w:t>
      </w:r>
      <w:r w:rsidRPr="003D2D86">
        <w:rPr>
          <w:rFonts w:ascii="Calibri" w:eastAsiaTheme="minorHAnsi" w:hAnsi="Calibri" w:cstheme="minorBidi"/>
          <w:color w:val="000000" w:themeColor="text1"/>
          <w:vertAlign w:val="superscript"/>
          <w:lang w:eastAsia="en-US" w:bidi="ar-SA"/>
        </w:rPr>
        <w:t>45</w:t>
      </w:r>
      <w:r w:rsidRPr="003D2D86">
        <w:rPr>
          <w:rFonts w:ascii="Calibri" w:eastAsiaTheme="minorHAnsi" w:hAnsi="Calibri" w:cstheme="minorBidi"/>
          <w:color w:val="000000" w:themeColor="text1"/>
          <w:lang w:eastAsia="en-US" w:bidi="ar-SA"/>
        </w:rPr>
        <w:t xml:space="preserve"> It thus can be argued that optimum use of existing health resources, which is a fundamental requirement for achieving universal health coverage as advised by the World Health organization</w:t>
      </w:r>
      <w:r w:rsidRPr="003D2D86">
        <w:rPr>
          <w:rFonts w:ascii="Calibri" w:eastAsiaTheme="minorHAnsi" w:hAnsi="Calibri" w:cstheme="minorBidi"/>
          <w:color w:val="000000" w:themeColor="text1"/>
          <w:vertAlign w:val="superscript"/>
          <w:lang w:eastAsia="en-US" w:bidi="ar-SA"/>
        </w:rPr>
        <w:t>46</w:t>
      </w:r>
      <w:r w:rsidRPr="003D2D86">
        <w:rPr>
          <w:rFonts w:ascii="Calibri" w:eastAsiaTheme="minorHAnsi" w:hAnsi="Calibri" w:cstheme="minorBidi"/>
          <w:color w:val="000000" w:themeColor="text1"/>
          <w:lang w:eastAsia="en-US" w:bidi="ar-SA"/>
        </w:rPr>
        <w:t xml:space="preserve"> can appropriately be applied for KSA. </w:t>
      </w:r>
      <w:r>
        <w:rPr>
          <w:rFonts w:ascii="Calibri" w:eastAsiaTheme="minorHAnsi" w:hAnsi="Calibri" w:cstheme="minorBidi"/>
          <w:color w:val="000000" w:themeColor="text1"/>
          <w:lang w:eastAsia="en-US" w:bidi="ar-SA"/>
        </w:rPr>
        <w:t>An</w:t>
      </w:r>
      <w:r w:rsidRPr="003D2D86">
        <w:rPr>
          <w:rFonts w:ascii="Calibri" w:eastAsiaTheme="minorHAnsi" w:hAnsi="Calibri" w:cstheme="minorBidi"/>
          <w:color w:val="000000" w:themeColor="text1"/>
          <w:lang w:eastAsia="en-US" w:bidi="ar-SA"/>
        </w:rPr>
        <w:t xml:space="preserve"> </w:t>
      </w:r>
      <w:r>
        <w:rPr>
          <w:rFonts w:ascii="Calibri" w:eastAsiaTheme="minorHAnsi" w:hAnsi="Calibri" w:cstheme="minorBidi"/>
          <w:color w:val="000000" w:themeColor="text1"/>
          <w:lang w:eastAsia="en-US" w:bidi="ar-SA"/>
        </w:rPr>
        <w:t>application</w:t>
      </w:r>
      <w:r w:rsidRPr="003D2D86">
        <w:rPr>
          <w:rFonts w:ascii="Calibri" w:eastAsiaTheme="minorHAnsi" w:hAnsi="Calibri" w:cstheme="minorBidi"/>
          <w:color w:val="000000" w:themeColor="text1"/>
          <w:lang w:eastAsia="en-US" w:bidi="ar-SA"/>
        </w:rPr>
        <w:t xml:space="preserve"> of </w:t>
      </w:r>
      <w:r>
        <w:rPr>
          <w:rFonts w:ascii="Calibri" w:eastAsiaTheme="minorHAnsi" w:hAnsi="Calibri" w:cstheme="minorBidi"/>
          <w:color w:val="000000" w:themeColor="text1"/>
          <w:lang w:eastAsia="en-US" w:bidi="ar-SA"/>
        </w:rPr>
        <w:t>these</w:t>
      </w:r>
      <w:r w:rsidRPr="003D2D86">
        <w:rPr>
          <w:rFonts w:ascii="Calibri" w:eastAsiaTheme="minorHAnsi" w:hAnsi="Calibri" w:cstheme="minorBidi"/>
          <w:color w:val="000000" w:themeColor="text1"/>
          <w:lang w:eastAsia="en-US" w:bidi="ar-SA"/>
        </w:rPr>
        <w:t xml:space="preserve"> </w:t>
      </w:r>
      <w:r>
        <w:rPr>
          <w:rFonts w:ascii="Calibri" w:eastAsiaTheme="minorHAnsi" w:hAnsi="Calibri" w:cstheme="minorBidi"/>
          <w:color w:val="000000" w:themeColor="text1"/>
          <w:lang w:eastAsia="en-US" w:bidi="ar-SA"/>
        </w:rPr>
        <w:t>findings</w:t>
      </w:r>
      <w:r w:rsidRPr="003D2D86">
        <w:rPr>
          <w:rFonts w:ascii="Calibri" w:eastAsiaTheme="minorHAnsi" w:hAnsi="Calibri" w:cstheme="minorBidi"/>
          <w:color w:val="000000" w:themeColor="text1"/>
          <w:lang w:eastAsia="en-US" w:bidi="ar-SA"/>
        </w:rPr>
        <w:t xml:space="preserve"> </w:t>
      </w:r>
      <w:r w:rsidR="00A03DA4">
        <w:rPr>
          <w:rFonts w:ascii="Calibri" w:eastAsiaTheme="minorHAnsi" w:hAnsi="Calibri" w:cstheme="minorBidi"/>
          <w:color w:val="000000" w:themeColor="text1"/>
          <w:lang w:eastAsia="en-US" w:bidi="ar-SA"/>
        </w:rPr>
        <w:t>is</w:t>
      </w:r>
      <w:r w:rsidR="00A03DA4" w:rsidRPr="003D2D86">
        <w:rPr>
          <w:rFonts w:ascii="Calibri" w:eastAsiaTheme="minorHAnsi" w:hAnsi="Calibri" w:cstheme="minorBidi"/>
          <w:color w:val="000000" w:themeColor="text1"/>
          <w:lang w:eastAsia="en-US" w:bidi="ar-SA"/>
        </w:rPr>
        <w:t xml:space="preserve"> </w:t>
      </w:r>
      <w:r w:rsidRPr="003D2D86">
        <w:rPr>
          <w:rFonts w:ascii="Calibri" w:eastAsiaTheme="minorHAnsi" w:hAnsi="Calibri" w:cstheme="minorBidi"/>
          <w:color w:val="000000" w:themeColor="text1"/>
          <w:lang w:eastAsia="en-US" w:bidi="ar-SA"/>
        </w:rPr>
        <w:t>useful for high income</w:t>
      </w:r>
      <w:r>
        <w:rPr>
          <w:rFonts w:ascii="Calibri" w:eastAsiaTheme="minorHAnsi" w:hAnsi="Calibri" w:cstheme="minorBidi"/>
          <w:color w:val="000000" w:themeColor="text1"/>
          <w:lang w:eastAsia="en-US" w:bidi="ar-SA"/>
        </w:rPr>
        <w:t>,</w:t>
      </w:r>
      <w:r w:rsidRPr="003D2D86">
        <w:rPr>
          <w:rFonts w:ascii="Calibri" w:eastAsiaTheme="minorHAnsi" w:hAnsi="Calibri" w:cstheme="minorBidi"/>
          <w:color w:val="000000" w:themeColor="text1"/>
          <w:lang w:eastAsia="en-US" w:bidi="ar-SA"/>
        </w:rPr>
        <w:t xml:space="preserve"> and Gulf </w:t>
      </w:r>
      <w:proofErr w:type="gramStart"/>
      <w:r w:rsidRPr="003D2D86">
        <w:rPr>
          <w:rFonts w:ascii="Calibri" w:eastAsiaTheme="minorHAnsi" w:hAnsi="Calibri" w:cstheme="minorBidi"/>
          <w:color w:val="000000" w:themeColor="text1"/>
          <w:lang w:eastAsia="en-US" w:bidi="ar-SA"/>
        </w:rPr>
        <w:t>countries in particular, which</w:t>
      </w:r>
      <w:proofErr w:type="gramEnd"/>
      <w:r w:rsidRPr="003D2D86">
        <w:rPr>
          <w:rFonts w:ascii="Calibri" w:eastAsiaTheme="minorHAnsi" w:hAnsi="Calibri" w:cstheme="minorBidi"/>
          <w:color w:val="000000" w:themeColor="text1"/>
          <w:lang w:eastAsia="en-US" w:bidi="ar-SA"/>
        </w:rPr>
        <w:t xml:space="preserve"> </w:t>
      </w:r>
      <w:r>
        <w:rPr>
          <w:rFonts w:ascii="Calibri" w:eastAsiaTheme="minorHAnsi" w:hAnsi="Calibri" w:cstheme="minorBidi"/>
          <w:color w:val="000000" w:themeColor="text1"/>
          <w:lang w:eastAsia="en-US" w:bidi="ar-SA"/>
        </w:rPr>
        <w:t>have</w:t>
      </w:r>
      <w:r w:rsidRPr="003D2D86">
        <w:rPr>
          <w:rFonts w:ascii="Calibri" w:eastAsiaTheme="minorHAnsi" w:hAnsi="Calibri" w:cstheme="minorBidi"/>
          <w:color w:val="000000" w:themeColor="text1"/>
          <w:lang w:eastAsia="en-US" w:bidi="ar-SA"/>
        </w:rPr>
        <w:t xml:space="preserve"> </w:t>
      </w:r>
      <w:r>
        <w:rPr>
          <w:rFonts w:ascii="Calibri" w:eastAsiaTheme="minorHAnsi" w:hAnsi="Calibri" w:cstheme="minorBidi"/>
          <w:color w:val="000000" w:themeColor="text1"/>
          <w:lang w:eastAsia="en-US" w:bidi="ar-SA"/>
        </w:rPr>
        <w:t>the same</w:t>
      </w:r>
      <w:r w:rsidRPr="003D2D86">
        <w:rPr>
          <w:rFonts w:ascii="Calibri" w:eastAsiaTheme="minorHAnsi" w:hAnsi="Calibri" w:cstheme="minorBidi"/>
          <w:color w:val="000000" w:themeColor="text1"/>
          <w:lang w:eastAsia="en-US" w:bidi="ar-SA"/>
        </w:rPr>
        <w:t xml:space="preserve"> health financing systems and comparable demand for health services.</w:t>
      </w:r>
      <w:r w:rsidRPr="003D2D86">
        <w:rPr>
          <w:rFonts w:ascii="Calibri" w:eastAsiaTheme="minorHAnsi" w:hAnsi="Calibri" w:cstheme="minorBidi"/>
          <w:color w:val="000000" w:themeColor="text1"/>
          <w:vertAlign w:val="superscript"/>
          <w:lang w:eastAsia="en-US" w:bidi="ar-SA"/>
        </w:rPr>
        <w:t>2,3</w:t>
      </w:r>
      <w:r>
        <w:rPr>
          <w:rFonts w:ascii="Calibri" w:eastAsiaTheme="minorHAnsi" w:hAnsi="Calibri" w:cstheme="minorBidi"/>
          <w:color w:val="000000" w:themeColor="text1"/>
          <w:vertAlign w:val="superscript"/>
          <w:lang w:eastAsia="en-US" w:bidi="ar-SA"/>
        </w:rPr>
        <w:t>,1</w:t>
      </w:r>
      <w:r w:rsidR="00DC0B44">
        <w:rPr>
          <w:rFonts w:ascii="Calibri" w:eastAsiaTheme="minorHAnsi" w:hAnsi="Calibri" w:cstheme="minorBidi"/>
          <w:color w:val="000000" w:themeColor="text1"/>
          <w:vertAlign w:val="superscript"/>
          <w:lang w:eastAsia="en-US" w:bidi="ar-SA"/>
        </w:rPr>
        <w:t>4</w:t>
      </w:r>
      <w:r w:rsidRPr="003D2D86">
        <w:rPr>
          <w:rFonts w:ascii="Calibri" w:eastAsiaTheme="minorHAnsi" w:hAnsi="Calibri" w:cstheme="minorBidi"/>
          <w:color w:val="000000" w:themeColor="text1"/>
          <w:lang w:eastAsia="en-US" w:bidi="ar-SA"/>
        </w:rPr>
        <w:t xml:space="preserve"> Our findings from this current analysis of KSA public hospitals indicated that there is </w:t>
      </w:r>
      <w:r w:rsidR="0001443B">
        <w:rPr>
          <w:rFonts w:ascii="Calibri" w:eastAsiaTheme="minorHAnsi" w:hAnsi="Calibri" w:cstheme="minorBidi"/>
          <w:color w:val="000000" w:themeColor="text1"/>
          <w:lang w:eastAsia="en-US" w:bidi="ar-SA"/>
        </w:rPr>
        <w:t xml:space="preserve">a </w:t>
      </w:r>
      <w:r w:rsidRPr="003D2D86">
        <w:rPr>
          <w:rFonts w:ascii="Calibri" w:eastAsiaTheme="minorHAnsi" w:hAnsi="Calibri" w:cstheme="minorBidi"/>
          <w:color w:val="000000" w:themeColor="text1"/>
          <w:lang w:eastAsia="en-US" w:bidi="ar-SA"/>
        </w:rPr>
        <w:t xml:space="preserve">large scope for improving efficiency in utilizing healthcare resources. We recommend the policy-makers to consider </w:t>
      </w:r>
      <w:r>
        <w:rPr>
          <w:rFonts w:ascii="Calibri" w:eastAsiaTheme="minorHAnsi" w:hAnsi="Calibri" w:cstheme="minorBidi"/>
          <w:color w:val="000000" w:themeColor="text1"/>
          <w:lang w:eastAsia="en-US" w:bidi="ar-SA"/>
        </w:rPr>
        <w:t xml:space="preserve">the </w:t>
      </w:r>
      <w:r w:rsidRPr="003D2D86">
        <w:rPr>
          <w:rFonts w:ascii="Calibri" w:eastAsiaTheme="minorHAnsi" w:hAnsi="Calibri" w:cstheme="minorBidi"/>
          <w:color w:val="000000" w:themeColor="text1"/>
          <w:lang w:eastAsia="en-US" w:bidi="ar-SA"/>
        </w:rPr>
        <w:t>appropriate use of resources within hospitals as well as reallocate resources across hospitals</w:t>
      </w:r>
      <w:r>
        <w:rPr>
          <w:rFonts w:ascii="Calibri" w:eastAsiaTheme="minorHAnsi" w:hAnsi="Calibri" w:cstheme="minorBidi"/>
          <w:color w:val="000000" w:themeColor="text1"/>
          <w:lang w:eastAsia="en-US" w:bidi="ar-SA"/>
        </w:rPr>
        <w:t>, given the findings of this research. Thus, to meet</w:t>
      </w:r>
      <w:r w:rsidRPr="003D2D86">
        <w:rPr>
          <w:rFonts w:ascii="Calibri" w:eastAsiaTheme="minorHAnsi" w:hAnsi="Calibri" w:cstheme="minorBidi"/>
          <w:color w:val="000000" w:themeColor="text1"/>
          <w:lang w:eastAsia="en-US" w:bidi="ar-SA"/>
        </w:rPr>
        <w:t xml:space="preserve"> the efficient use </w:t>
      </w:r>
      <w:r>
        <w:rPr>
          <w:rFonts w:ascii="Calibri" w:eastAsiaTheme="minorHAnsi" w:hAnsi="Calibri" w:cstheme="minorBidi"/>
          <w:color w:val="000000" w:themeColor="text1"/>
          <w:lang w:eastAsia="en-US" w:bidi="ar-SA"/>
        </w:rPr>
        <w:t xml:space="preserve">of health resources </w:t>
      </w:r>
      <w:r w:rsidRPr="003D2D86">
        <w:rPr>
          <w:rFonts w:ascii="Calibri" w:eastAsiaTheme="minorHAnsi" w:hAnsi="Calibri" w:cstheme="minorBidi"/>
          <w:color w:val="000000" w:themeColor="text1"/>
          <w:lang w:eastAsia="en-US" w:bidi="ar-SA"/>
        </w:rPr>
        <w:t xml:space="preserve">to ensure the maximum value for money, which is expected to contribute significantly towards achieving universal health coverage in KSA.         </w:t>
      </w:r>
    </w:p>
    <w:p w14:paraId="7169D0AA" w14:textId="134FA9BE" w:rsidR="00D079A3" w:rsidRDefault="00D079A3" w:rsidP="008F1189">
      <w:pPr>
        <w:spacing w:line="360" w:lineRule="auto"/>
        <w:contextualSpacing/>
        <w:jc w:val="both"/>
        <w:rPr>
          <w:sz w:val="24"/>
          <w:szCs w:val="24"/>
        </w:rPr>
      </w:pPr>
      <w:r w:rsidRPr="00886413">
        <w:rPr>
          <w:rFonts w:ascii="Calibri" w:hAnsi="Calibri"/>
          <w:sz w:val="24"/>
          <w:szCs w:val="24"/>
        </w:rPr>
        <w:t xml:space="preserve">The study faced the challenges of finding data on economic values of the inputs, also </w:t>
      </w:r>
      <w:r w:rsidR="00A03DA4">
        <w:rPr>
          <w:rFonts w:ascii="Calibri" w:hAnsi="Calibri"/>
          <w:sz w:val="24"/>
          <w:szCs w:val="24"/>
        </w:rPr>
        <w:t xml:space="preserve">the </w:t>
      </w:r>
      <w:r w:rsidRPr="00886413">
        <w:rPr>
          <w:rFonts w:ascii="Calibri" w:hAnsi="Calibri"/>
          <w:sz w:val="24"/>
          <w:szCs w:val="24"/>
        </w:rPr>
        <w:t xml:space="preserve">severity of cases and </w:t>
      </w:r>
      <w:r w:rsidR="00732905">
        <w:rPr>
          <w:rFonts w:ascii="Calibri" w:hAnsi="Calibri"/>
          <w:sz w:val="24"/>
          <w:szCs w:val="24"/>
        </w:rPr>
        <w:t xml:space="preserve">the </w:t>
      </w:r>
      <w:r w:rsidRPr="00886413">
        <w:rPr>
          <w:rFonts w:ascii="Calibri" w:hAnsi="Calibri"/>
          <w:sz w:val="24"/>
          <w:szCs w:val="24"/>
        </w:rPr>
        <w:t>quality of services of the outputs.</w:t>
      </w:r>
      <w:r>
        <w:rPr>
          <w:rFonts w:ascii="Calibri" w:hAnsi="Calibri"/>
          <w:sz w:val="24"/>
          <w:szCs w:val="24"/>
        </w:rPr>
        <w:t xml:space="preserve"> We, however, could use the mortality rate as the proxy for </w:t>
      </w:r>
      <w:r w:rsidR="00732905">
        <w:rPr>
          <w:rFonts w:ascii="Calibri" w:hAnsi="Calibri"/>
          <w:sz w:val="24"/>
          <w:szCs w:val="24"/>
        </w:rPr>
        <w:t xml:space="preserve">the </w:t>
      </w:r>
      <w:r>
        <w:rPr>
          <w:rFonts w:ascii="Calibri" w:hAnsi="Calibri"/>
          <w:sz w:val="24"/>
          <w:szCs w:val="24"/>
        </w:rPr>
        <w:t xml:space="preserve">quality of services.  </w:t>
      </w:r>
      <w:r w:rsidR="00DD4D92" w:rsidRPr="00D84107">
        <w:rPr>
          <w:sz w:val="24"/>
          <w:szCs w:val="24"/>
        </w:rPr>
        <w:t>The performance assessment is devoted on how to utilize the resources of the health sector</w:t>
      </w:r>
      <w:r w:rsidR="00A03DA4" w:rsidRPr="00A03DA4">
        <w:t xml:space="preserve"> </w:t>
      </w:r>
      <w:r w:rsidR="00A03DA4" w:rsidRPr="00A03DA4">
        <w:rPr>
          <w:sz w:val="24"/>
          <w:szCs w:val="24"/>
        </w:rPr>
        <w:t>optimally</w:t>
      </w:r>
      <w:r w:rsidR="00DD4D92" w:rsidRPr="00D84107">
        <w:rPr>
          <w:sz w:val="24"/>
          <w:szCs w:val="24"/>
        </w:rPr>
        <w:t xml:space="preserve"> in order to provide the given levels of health services. Thus, we rationally adopted input orientation in the assessment. However, </w:t>
      </w:r>
      <w:r w:rsidR="0001443B">
        <w:rPr>
          <w:sz w:val="24"/>
          <w:szCs w:val="24"/>
        </w:rPr>
        <w:t xml:space="preserve">the </w:t>
      </w:r>
      <w:r w:rsidR="00DD4D92" w:rsidRPr="00D84107">
        <w:rPr>
          <w:sz w:val="24"/>
          <w:szCs w:val="24"/>
        </w:rPr>
        <w:t xml:space="preserve">DEA methodology also permits the </w:t>
      </w:r>
      <w:r w:rsidRPr="00D84107">
        <w:rPr>
          <w:sz w:val="24"/>
          <w:szCs w:val="24"/>
        </w:rPr>
        <w:t>assumption</w:t>
      </w:r>
      <w:r w:rsidR="00DD4D92" w:rsidRPr="00D84107">
        <w:rPr>
          <w:sz w:val="24"/>
          <w:szCs w:val="24"/>
        </w:rPr>
        <w:t xml:space="preserve"> of output orientation. We did not apply </w:t>
      </w:r>
      <w:r w:rsidRPr="00D079A3">
        <w:rPr>
          <w:sz w:val="24"/>
          <w:szCs w:val="24"/>
        </w:rPr>
        <w:t>output-oriented</w:t>
      </w:r>
      <w:r w:rsidR="00DD4D92" w:rsidRPr="00D84107">
        <w:rPr>
          <w:sz w:val="24"/>
          <w:szCs w:val="24"/>
        </w:rPr>
        <w:t xml:space="preserve"> DEA models because outputs of </w:t>
      </w:r>
      <w:r w:rsidR="00732905">
        <w:rPr>
          <w:sz w:val="24"/>
          <w:szCs w:val="24"/>
        </w:rPr>
        <w:t xml:space="preserve">a </w:t>
      </w:r>
      <w:r w:rsidR="00DD4D92" w:rsidRPr="00D84107">
        <w:rPr>
          <w:sz w:val="24"/>
          <w:szCs w:val="24"/>
        </w:rPr>
        <w:t xml:space="preserve">different type than the ones used in the current study would need to be available. </w:t>
      </w:r>
    </w:p>
    <w:p w14:paraId="284A0727" w14:textId="64DB9022" w:rsidR="00F748D9" w:rsidRPr="00D84107" w:rsidRDefault="00DD4D92" w:rsidP="008F1189">
      <w:pPr>
        <w:spacing w:line="360" w:lineRule="auto"/>
        <w:contextualSpacing/>
        <w:jc w:val="both"/>
        <w:rPr>
          <w:rFonts w:ascii="Calibri" w:hAnsi="Calibri"/>
          <w:sz w:val="24"/>
          <w:szCs w:val="24"/>
        </w:rPr>
      </w:pPr>
      <w:r w:rsidRPr="00D84107">
        <w:rPr>
          <w:sz w:val="24"/>
          <w:szCs w:val="24"/>
        </w:rPr>
        <w:t>In this study</w:t>
      </w:r>
      <w:r w:rsidR="00A03DA4">
        <w:rPr>
          <w:sz w:val="24"/>
          <w:szCs w:val="24"/>
        </w:rPr>
        <w:t>,</w:t>
      </w:r>
      <w:r w:rsidRPr="00D84107">
        <w:rPr>
          <w:sz w:val="24"/>
          <w:szCs w:val="24"/>
        </w:rPr>
        <w:t xml:space="preserve"> we provide the optimal levels of resources that render efficient each </w:t>
      </w:r>
      <w:r w:rsidR="00D079A3" w:rsidRPr="00D84107">
        <w:rPr>
          <w:sz w:val="24"/>
          <w:szCs w:val="24"/>
        </w:rPr>
        <w:t>hospital given</w:t>
      </w:r>
      <w:r w:rsidRPr="00D84107">
        <w:rPr>
          <w:sz w:val="24"/>
          <w:szCs w:val="24"/>
        </w:rPr>
        <w:t xml:space="preserve"> the health services levels that each one of them provides. Further to estimating the optimal levels of resources, a different yet important assessment is to examine the </w:t>
      </w:r>
      <w:r w:rsidR="00D079A3" w:rsidRPr="00D84107">
        <w:rPr>
          <w:sz w:val="24"/>
          <w:szCs w:val="24"/>
        </w:rPr>
        <w:t>allocation of</w:t>
      </w:r>
      <w:r w:rsidRPr="00D84107">
        <w:rPr>
          <w:sz w:val="24"/>
          <w:szCs w:val="24"/>
        </w:rPr>
        <w:t xml:space="preserve"> these resources among the hospitals. This extension is left for future research.</w:t>
      </w:r>
      <w:r w:rsidR="00D079A3">
        <w:rPr>
          <w:rFonts w:ascii="Calibri" w:hAnsi="Calibri"/>
          <w:sz w:val="24"/>
          <w:szCs w:val="24"/>
        </w:rPr>
        <w:t xml:space="preserve"> </w:t>
      </w:r>
      <w:r w:rsidR="00331458" w:rsidRPr="00A05373">
        <w:rPr>
          <w:rFonts w:ascii="Calibri" w:hAnsi="Calibri"/>
          <w:sz w:val="24"/>
          <w:szCs w:val="24"/>
        </w:rPr>
        <w:t>Despite a few limitations, the study site (</w:t>
      </w:r>
      <w:r w:rsidR="00D30DC6">
        <w:rPr>
          <w:rFonts w:ascii="Calibri" w:hAnsi="Calibri"/>
          <w:sz w:val="24"/>
          <w:szCs w:val="24"/>
        </w:rPr>
        <w:t>KSA</w:t>
      </w:r>
      <w:r w:rsidR="00331458" w:rsidRPr="00A05373">
        <w:rPr>
          <w:rFonts w:ascii="Calibri" w:hAnsi="Calibri"/>
          <w:sz w:val="24"/>
          <w:szCs w:val="24"/>
        </w:rPr>
        <w:t>)</w:t>
      </w:r>
      <w:r w:rsidR="00E128F5" w:rsidRPr="00A05373">
        <w:rPr>
          <w:rFonts w:ascii="Calibri" w:hAnsi="Calibri"/>
          <w:sz w:val="24"/>
          <w:szCs w:val="24"/>
        </w:rPr>
        <w:t>, and data sources</w:t>
      </w:r>
      <w:r w:rsidR="00331458" w:rsidRPr="00A05373">
        <w:rPr>
          <w:rFonts w:ascii="Calibri" w:hAnsi="Calibri"/>
          <w:sz w:val="24"/>
          <w:szCs w:val="24"/>
        </w:rPr>
        <w:t xml:space="preserve"> m</w:t>
      </w:r>
      <w:r w:rsidR="005548AD">
        <w:rPr>
          <w:rFonts w:ascii="Calibri" w:hAnsi="Calibri"/>
          <w:sz w:val="24"/>
          <w:szCs w:val="24"/>
        </w:rPr>
        <w:t>ight</w:t>
      </w:r>
      <w:r w:rsidR="00331458" w:rsidRPr="00A05373">
        <w:rPr>
          <w:rFonts w:ascii="Calibri" w:hAnsi="Calibri"/>
          <w:sz w:val="24"/>
          <w:szCs w:val="24"/>
        </w:rPr>
        <w:t xml:space="preserve"> create</w:t>
      </w:r>
      <w:r w:rsidR="00D30DC6">
        <w:rPr>
          <w:rFonts w:ascii="Calibri" w:hAnsi="Calibri"/>
          <w:sz w:val="24"/>
          <w:szCs w:val="24"/>
        </w:rPr>
        <w:t xml:space="preserve"> </w:t>
      </w:r>
      <w:r w:rsidR="00331458" w:rsidRPr="00A05373">
        <w:rPr>
          <w:rFonts w:ascii="Calibri" w:hAnsi="Calibri"/>
          <w:sz w:val="24"/>
          <w:szCs w:val="24"/>
        </w:rPr>
        <w:t>strong interest among policy-makers, stakeholders, researchers</w:t>
      </w:r>
      <w:r w:rsidR="00732905">
        <w:rPr>
          <w:rFonts w:ascii="Calibri" w:hAnsi="Calibri"/>
          <w:sz w:val="24"/>
          <w:szCs w:val="24"/>
        </w:rPr>
        <w:t>,</w:t>
      </w:r>
      <w:r w:rsidR="00331458" w:rsidRPr="00A05373">
        <w:rPr>
          <w:rFonts w:ascii="Calibri" w:hAnsi="Calibri"/>
          <w:sz w:val="24"/>
          <w:szCs w:val="24"/>
        </w:rPr>
        <w:t xml:space="preserve"> and academics. </w:t>
      </w:r>
      <w:r w:rsidR="00D30DC6">
        <w:rPr>
          <w:rFonts w:ascii="Calibri" w:hAnsi="Calibri"/>
          <w:sz w:val="24"/>
          <w:szCs w:val="24"/>
        </w:rPr>
        <w:t>T</w:t>
      </w:r>
      <w:r w:rsidR="00E128F5" w:rsidRPr="00A05373">
        <w:rPr>
          <w:rFonts w:ascii="Calibri" w:hAnsi="Calibri"/>
          <w:sz w:val="24"/>
          <w:szCs w:val="24"/>
        </w:rPr>
        <w:t xml:space="preserve">his is the first research </w:t>
      </w:r>
      <w:r w:rsidR="00D30DC6">
        <w:rPr>
          <w:rFonts w:ascii="Calibri" w:hAnsi="Calibri"/>
          <w:sz w:val="24"/>
          <w:szCs w:val="24"/>
        </w:rPr>
        <w:t xml:space="preserve">study </w:t>
      </w:r>
      <w:r w:rsidR="00E128F5" w:rsidRPr="00A05373">
        <w:rPr>
          <w:rFonts w:ascii="Calibri" w:hAnsi="Calibri"/>
          <w:sz w:val="24"/>
          <w:szCs w:val="24"/>
        </w:rPr>
        <w:t xml:space="preserve">of technical efficiency based on official data </w:t>
      </w:r>
      <w:r w:rsidR="00D30DC6">
        <w:rPr>
          <w:rFonts w:ascii="Calibri" w:hAnsi="Calibri"/>
          <w:sz w:val="24"/>
          <w:szCs w:val="24"/>
        </w:rPr>
        <w:t>from KSA, that</w:t>
      </w:r>
      <w:r w:rsidR="00E128F5" w:rsidRPr="00A05373">
        <w:rPr>
          <w:rFonts w:ascii="Calibri" w:hAnsi="Calibri"/>
          <w:sz w:val="24"/>
          <w:szCs w:val="24"/>
        </w:rPr>
        <w:t xml:space="preserve"> </w:t>
      </w:r>
      <w:r w:rsidR="00D30DC6">
        <w:rPr>
          <w:rFonts w:ascii="Calibri" w:hAnsi="Calibri"/>
          <w:sz w:val="24"/>
          <w:szCs w:val="24"/>
        </w:rPr>
        <w:t xml:space="preserve">has </w:t>
      </w:r>
      <w:r w:rsidR="00E128F5" w:rsidRPr="00A05373">
        <w:rPr>
          <w:rFonts w:ascii="Calibri" w:hAnsi="Calibri"/>
          <w:sz w:val="24"/>
          <w:szCs w:val="24"/>
        </w:rPr>
        <w:t>consider</w:t>
      </w:r>
      <w:r w:rsidR="00F82E16" w:rsidRPr="00A05373">
        <w:rPr>
          <w:rFonts w:ascii="Calibri" w:hAnsi="Calibri"/>
          <w:sz w:val="24"/>
          <w:szCs w:val="24"/>
        </w:rPr>
        <w:t>ed</w:t>
      </w:r>
      <w:r w:rsidR="00E128F5" w:rsidRPr="00A05373">
        <w:rPr>
          <w:rFonts w:ascii="Calibri" w:hAnsi="Calibri"/>
          <w:sz w:val="24"/>
          <w:szCs w:val="24"/>
        </w:rPr>
        <w:t xml:space="preserve"> </w:t>
      </w:r>
      <w:r w:rsidR="009C3778">
        <w:rPr>
          <w:rFonts w:ascii="Calibri" w:hAnsi="Calibri"/>
          <w:sz w:val="24"/>
          <w:szCs w:val="24"/>
        </w:rPr>
        <w:t>public</w:t>
      </w:r>
      <w:r w:rsidR="00D30DC6">
        <w:rPr>
          <w:rFonts w:ascii="Calibri" w:hAnsi="Calibri"/>
          <w:sz w:val="24"/>
          <w:szCs w:val="24"/>
        </w:rPr>
        <w:t xml:space="preserve"> </w:t>
      </w:r>
      <w:r w:rsidR="00E128F5" w:rsidRPr="00A05373">
        <w:rPr>
          <w:rFonts w:ascii="Calibri" w:hAnsi="Calibri"/>
          <w:sz w:val="24"/>
          <w:szCs w:val="24"/>
        </w:rPr>
        <w:t xml:space="preserve">hospital capacities and geographical locations. </w:t>
      </w:r>
      <w:r w:rsidR="00474C59" w:rsidRPr="00D84107">
        <w:rPr>
          <w:rFonts w:ascii="Calibri" w:hAnsi="Calibri"/>
          <w:sz w:val="24"/>
          <w:szCs w:val="24"/>
        </w:rPr>
        <w:t xml:space="preserve"> </w:t>
      </w:r>
    </w:p>
    <w:p w14:paraId="3B0131C5" w14:textId="0B2AC45B" w:rsidR="00FF0281" w:rsidRPr="0080415B" w:rsidRDefault="005548AD" w:rsidP="008F1189">
      <w:pPr>
        <w:pStyle w:val="Heading1"/>
        <w:jc w:val="both"/>
        <w:rPr>
          <w:sz w:val="28"/>
          <w:szCs w:val="28"/>
        </w:rPr>
      </w:pPr>
      <w:r w:rsidRPr="0080415B">
        <w:rPr>
          <w:sz w:val="28"/>
          <w:szCs w:val="28"/>
        </w:rPr>
        <w:lastRenderedPageBreak/>
        <w:t>Conclu</w:t>
      </w:r>
      <w:r w:rsidR="004D3056" w:rsidRPr="0080415B">
        <w:rPr>
          <w:sz w:val="28"/>
          <w:szCs w:val="28"/>
        </w:rPr>
        <w:t>sions</w:t>
      </w:r>
    </w:p>
    <w:p w14:paraId="3A46E2EF" w14:textId="722F8C2D" w:rsidR="007E78AC" w:rsidRDefault="005548AD" w:rsidP="008F1189">
      <w:pPr>
        <w:spacing w:line="360" w:lineRule="auto"/>
        <w:jc w:val="both"/>
        <w:rPr>
          <w:rFonts w:ascii="Calibri" w:hAnsi="Calibri"/>
          <w:b/>
          <w:sz w:val="24"/>
        </w:rPr>
      </w:pPr>
      <w:r w:rsidRPr="00A05373">
        <w:rPr>
          <w:rFonts w:ascii="Calibri" w:hAnsi="Calibri"/>
          <w:sz w:val="24"/>
          <w:szCs w:val="24"/>
        </w:rPr>
        <w:t>Given the scarcity of resources</w:t>
      </w:r>
      <w:r>
        <w:rPr>
          <w:rFonts w:ascii="Calibri" w:hAnsi="Calibri"/>
          <w:sz w:val="24"/>
          <w:szCs w:val="24"/>
        </w:rPr>
        <w:t xml:space="preserve">, </w:t>
      </w:r>
      <w:r w:rsidRPr="00A05373">
        <w:rPr>
          <w:rFonts w:ascii="Calibri" w:hAnsi="Calibri"/>
          <w:sz w:val="24"/>
          <w:szCs w:val="24"/>
        </w:rPr>
        <w:t xml:space="preserve">growing expenditure </w:t>
      </w:r>
      <w:r w:rsidR="00F8551F">
        <w:rPr>
          <w:rFonts w:ascii="Calibri" w:hAnsi="Calibri"/>
          <w:sz w:val="24"/>
          <w:szCs w:val="24"/>
        </w:rPr>
        <w:t xml:space="preserve">on health </w:t>
      </w:r>
      <w:r w:rsidRPr="00A05373">
        <w:rPr>
          <w:rFonts w:ascii="Calibri" w:hAnsi="Calibri"/>
          <w:sz w:val="24"/>
          <w:szCs w:val="24"/>
        </w:rPr>
        <w:t xml:space="preserve">and demand </w:t>
      </w:r>
      <w:r>
        <w:rPr>
          <w:rFonts w:ascii="Calibri" w:hAnsi="Calibri"/>
          <w:sz w:val="24"/>
          <w:szCs w:val="24"/>
        </w:rPr>
        <w:t>for</w:t>
      </w:r>
      <w:r w:rsidRPr="00A05373">
        <w:rPr>
          <w:rFonts w:ascii="Calibri" w:hAnsi="Calibri"/>
          <w:sz w:val="24"/>
          <w:szCs w:val="24"/>
        </w:rPr>
        <w:t xml:space="preserve"> health </w:t>
      </w:r>
      <w:r>
        <w:rPr>
          <w:rFonts w:ascii="Calibri" w:hAnsi="Calibri"/>
          <w:sz w:val="24"/>
          <w:szCs w:val="24"/>
        </w:rPr>
        <w:t>services</w:t>
      </w:r>
      <w:r w:rsidRPr="00A05373">
        <w:rPr>
          <w:rFonts w:ascii="Calibri" w:hAnsi="Calibri"/>
          <w:sz w:val="24"/>
          <w:szCs w:val="24"/>
        </w:rPr>
        <w:t xml:space="preserve">, more attention should be </w:t>
      </w:r>
      <w:r w:rsidR="000A3448">
        <w:rPr>
          <w:rFonts w:ascii="Calibri" w:hAnsi="Calibri"/>
          <w:sz w:val="24"/>
          <w:szCs w:val="24"/>
        </w:rPr>
        <w:t>p</w:t>
      </w:r>
      <w:r w:rsidR="00F8551F">
        <w:rPr>
          <w:rFonts w:ascii="Calibri" w:hAnsi="Calibri"/>
          <w:sz w:val="24"/>
          <w:szCs w:val="24"/>
        </w:rPr>
        <w:t>aid to</w:t>
      </w:r>
      <w:r w:rsidRPr="00A05373">
        <w:rPr>
          <w:rFonts w:ascii="Calibri" w:hAnsi="Calibri"/>
          <w:sz w:val="24"/>
          <w:szCs w:val="24"/>
        </w:rPr>
        <w:t xml:space="preserve"> improving the efficiency of healthcare </w:t>
      </w:r>
      <w:r>
        <w:rPr>
          <w:rFonts w:ascii="Calibri" w:hAnsi="Calibri"/>
          <w:sz w:val="24"/>
          <w:szCs w:val="24"/>
        </w:rPr>
        <w:t>by</w:t>
      </w:r>
      <w:r w:rsidRPr="00A05373">
        <w:rPr>
          <w:rFonts w:ascii="Calibri" w:hAnsi="Calibri"/>
          <w:sz w:val="24"/>
          <w:szCs w:val="24"/>
        </w:rPr>
        <w:t xml:space="preserve"> better utilization </w:t>
      </w:r>
      <w:r>
        <w:rPr>
          <w:rFonts w:ascii="Calibri" w:hAnsi="Calibri"/>
          <w:sz w:val="24"/>
          <w:szCs w:val="24"/>
        </w:rPr>
        <w:t xml:space="preserve">of </w:t>
      </w:r>
      <w:r w:rsidRPr="00A05373">
        <w:rPr>
          <w:rFonts w:ascii="Calibri" w:hAnsi="Calibri"/>
          <w:sz w:val="24"/>
          <w:szCs w:val="24"/>
        </w:rPr>
        <w:t>current resources</w:t>
      </w:r>
      <w:r>
        <w:rPr>
          <w:rFonts w:ascii="Calibri" w:hAnsi="Calibri"/>
          <w:sz w:val="24"/>
          <w:szCs w:val="24"/>
        </w:rPr>
        <w:t xml:space="preserve">. </w:t>
      </w:r>
      <w:r w:rsidR="00A67E4B">
        <w:rPr>
          <w:rFonts w:ascii="Calibri" w:hAnsi="Calibri"/>
          <w:sz w:val="24"/>
          <w:szCs w:val="24"/>
        </w:rPr>
        <w:t xml:space="preserve">In this study, </w:t>
      </w:r>
      <w:r w:rsidR="004D52D0" w:rsidRPr="004D52D0">
        <w:rPr>
          <w:rFonts w:ascii="Calibri" w:hAnsi="Calibri"/>
          <w:sz w:val="24"/>
          <w:szCs w:val="24"/>
        </w:rPr>
        <w:t>inefficiency exist</w:t>
      </w:r>
      <w:r w:rsidR="00A67E4B">
        <w:rPr>
          <w:rFonts w:ascii="Calibri" w:hAnsi="Calibri"/>
          <w:sz w:val="24"/>
          <w:szCs w:val="24"/>
        </w:rPr>
        <w:t>ed</w:t>
      </w:r>
      <w:r w:rsidR="004D52D0" w:rsidRPr="004D52D0">
        <w:rPr>
          <w:rFonts w:ascii="Calibri" w:hAnsi="Calibri"/>
          <w:sz w:val="24"/>
          <w:szCs w:val="24"/>
        </w:rPr>
        <w:t xml:space="preserve"> in </w:t>
      </w:r>
      <w:r w:rsidR="004D52D0">
        <w:rPr>
          <w:rFonts w:ascii="Calibri" w:hAnsi="Calibri"/>
          <w:sz w:val="24"/>
          <w:szCs w:val="24"/>
        </w:rPr>
        <w:t>most public hospital</w:t>
      </w:r>
      <w:r w:rsidR="00A67E4B">
        <w:rPr>
          <w:rFonts w:ascii="Calibri" w:hAnsi="Calibri"/>
          <w:sz w:val="24"/>
          <w:szCs w:val="24"/>
        </w:rPr>
        <w:t>s</w:t>
      </w:r>
      <w:r w:rsidR="004D52D0">
        <w:rPr>
          <w:rFonts w:ascii="Calibri" w:hAnsi="Calibri"/>
          <w:sz w:val="24"/>
          <w:szCs w:val="24"/>
        </w:rPr>
        <w:t>, and the</w:t>
      </w:r>
      <w:r w:rsidR="00A67E4B">
        <w:rPr>
          <w:rFonts w:ascii="Calibri" w:hAnsi="Calibri"/>
          <w:sz w:val="24"/>
          <w:szCs w:val="24"/>
        </w:rPr>
        <w:t>se</w:t>
      </w:r>
      <w:r w:rsidR="004D52D0">
        <w:rPr>
          <w:rFonts w:ascii="Calibri" w:hAnsi="Calibri"/>
          <w:sz w:val="24"/>
          <w:szCs w:val="24"/>
        </w:rPr>
        <w:t xml:space="preserve"> </w:t>
      </w:r>
      <w:r w:rsidR="00F65887" w:rsidRPr="002B6933">
        <w:rPr>
          <w:rFonts w:ascii="Calibri" w:hAnsi="Calibri"/>
          <w:sz w:val="24"/>
          <w:szCs w:val="24"/>
        </w:rPr>
        <w:t xml:space="preserve">could reduce their inputs by 24% without any reduction </w:t>
      </w:r>
      <w:r w:rsidR="00CF0427">
        <w:rPr>
          <w:rFonts w:ascii="Calibri" w:hAnsi="Calibri"/>
          <w:sz w:val="24"/>
          <w:szCs w:val="24"/>
        </w:rPr>
        <w:t>in</w:t>
      </w:r>
      <w:r w:rsidR="00F65887" w:rsidRPr="002B6933">
        <w:rPr>
          <w:rFonts w:ascii="Calibri" w:hAnsi="Calibri"/>
          <w:sz w:val="24"/>
          <w:szCs w:val="24"/>
        </w:rPr>
        <w:t xml:space="preserve"> service provision.</w:t>
      </w:r>
      <w:r w:rsidR="007B254C" w:rsidRPr="002B6933">
        <w:rPr>
          <w:rFonts w:ascii="Calibri" w:hAnsi="Calibri"/>
          <w:sz w:val="24"/>
          <w:szCs w:val="24"/>
        </w:rPr>
        <w:t xml:space="preserve"> </w:t>
      </w:r>
      <w:r w:rsidR="00CF0427">
        <w:rPr>
          <w:rFonts w:ascii="Calibri" w:hAnsi="Calibri"/>
          <w:sz w:val="24"/>
          <w:szCs w:val="24"/>
        </w:rPr>
        <w:t>Small</w:t>
      </w:r>
      <w:r w:rsidR="007B254C" w:rsidRPr="002B6933">
        <w:rPr>
          <w:rFonts w:ascii="Calibri" w:hAnsi="Calibri"/>
          <w:sz w:val="24"/>
          <w:szCs w:val="24"/>
        </w:rPr>
        <w:t xml:space="preserve"> hospitals </w:t>
      </w:r>
      <w:r w:rsidR="000A3448">
        <w:rPr>
          <w:rFonts w:ascii="Calibri" w:hAnsi="Calibri"/>
          <w:sz w:val="24"/>
          <w:szCs w:val="24"/>
        </w:rPr>
        <w:t>and hospitals in the</w:t>
      </w:r>
      <w:r w:rsidR="00CF0427">
        <w:rPr>
          <w:rFonts w:ascii="Calibri" w:hAnsi="Calibri"/>
          <w:sz w:val="24"/>
          <w:szCs w:val="24"/>
        </w:rPr>
        <w:t xml:space="preserve"> central region of KSA</w:t>
      </w:r>
      <w:r w:rsidR="000A3448">
        <w:rPr>
          <w:rFonts w:ascii="Calibri" w:hAnsi="Calibri"/>
          <w:sz w:val="24"/>
          <w:szCs w:val="24"/>
        </w:rPr>
        <w:t xml:space="preserve"> </w:t>
      </w:r>
      <w:r w:rsidR="0023285E">
        <w:rPr>
          <w:rFonts w:ascii="Calibri" w:hAnsi="Calibri"/>
          <w:sz w:val="24"/>
          <w:szCs w:val="24"/>
        </w:rPr>
        <w:t xml:space="preserve">were </w:t>
      </w:r>
      <w:r w:rsidR="004D52D0">
        <w:rPr>
          <w:rFonts w:ascii="Calibri" w:hAnsi="Calibri"/>
          <w:sz w:val="24"/>
          <w:szCs w:val="24"/>
        </w:rPr>
        <w:t xml:space="preserve">relatively </w:t>
      </w:r>
      <w:r w:rsidR="0023285E">
        <w:rPr>
          <w:rFonts w:ascii="Calibri" w:hAnsi="Calibri"/>
          <w:sz w:val="24"/>
          <w:szCs w:val="24"/>
        </w:rPr>
        <w:t>more efficient</w:t>
      </w:r>
      <w:r w:rsidR="000A3448">
        <w:rPr>
          <w:rFonts w:ascii="Calibri" w:hAnsi="Calibri"/>
          <w:sz w:val="24"/>
          <w:szCs w:val="24"/>
        </w:rPr>
        <w:t xml:space="preserve">. </w:t>
      </w:r>
      <w:r w:rsidR="00CF0427">
        <w:rPr>
          <w:rFonts w:ascii="Calibri" w:hAnsi="Calibri"/>
          <w:sz w:val="24"/>
          <w:szCs w:val="24"/>
        </w:rPr>
        <w:t>A</w:t>
      </w:r>
      <w:r w:rsidR="007B254C" w:rsidRPr="002B6933">
        <w:rPr>
          <w:rFonts w:ascii="Calibri" w:hAnsi="Calibri"/>
          <w:sz w:val="24"/>
          <w:szCs w:val="24"/>
        </w:rPr>
        <w:t xml:space="preserve"> high proportion of hospitals were operating </w:t>
      </w:r>
      <w:r w:rsidR="00CF0427">
        <w:rPr>
          <w:rFonts w:ascii="Calibri" w:hAnsi="Calibri"/>
          <w:sz w:val="24"/>
          <w:szCs w:val="24"/>
        </w:rPr>
        <w:t>at</w:t>
      </w:r>
      <w:r w:rsidR="007B254C" w:rsidRPr="002B6933">
        <w:rPr>
          <w:rFonts w:ascii="Calibri" w:hAnsi="Calibri"/>
          <w:sz w:val="24"/>
          <w:szCs w:val="24"/>
        </w:rPr>
        <w:t xml:space="preserve"> non-optimal scale size</w:t>
      </w:r>
      <w:r w:rsidR="000A3448">
        <w:rPr>
          <w:rFonts w:ascii="Calibri" w:hAnsi="Calibri"/>
          <w:sz w:val="24"/>
          <w:szCs w:val="24"/>
        </w:rPr>
        <w:t>,</w:t>
      </w:r>
      <w:r w:rsidR="007B254C" w:rsidRPr="002B6933">
        <w:rPr>
          <w:rFonts w:ascii="Calibri" w:hAnsi="Calibri"/>
          <w:sz w:val="24"/>
          <w:szCs w:val="24"/>
        </w:rPr>
        <w:t xml:space="preserve"> </w:t>
      </w:r>
      <w:r w:rsidR="000A3448">
        <w:rPr>
          <w:rFonts w:ascii="Calibri" w:hAnsi="Calibri"/>
          <w:sz w:val="24"/>
          <w:szCs w:val="24"/>
        </w:rPr>
        <w:t>while</w:t>
      </w:r>
      <w:r w:rsidR="007B254C" w:rsidRPr="002B6933">
        <w:rPr>
          <w:rFonts w:ascii="Calibri" w:hAnsi="Calibri"/>
          <w:sz w:val="24"/>
          <w:szCs w:val="24"/>
        </w:rPr>
        <w:t xml:space="preserve"> </w:t>
      </w:r>
      <w:r w:rsidR="00CF0427">
        <w:rPr>
          <w:rFonts w:ascii="Calibri" w:hAnsi="Calibri"/>
          <w:sz w:val="24"/>
          <w:szCs w:val="24"/>
        </w:rPr>
        <w:t>an</w:t>
      </w:r>
      <w:r w:rsidR="007B254C" w:rsidRPr="002B6933">
        <w:rPr>
          <w:rFonts w:ascii="Calibri" w:hAnsi="Calibri"/>
          <w:sz w:val="24"/>
          <w:szCs w:val="24"/>
        </w:rPr>
        <w:t xml:space="preserve"> efficient scale</w:t>
      </w:r>
      <w:r w:rsidR="0023285E">
        <w:rPr>
          <w:rFonts w:ascii="Calibri" w:hAnsi="Calibri"/>
          <w:sz w:val="24"/>
          <w:szCs w:val="24"/>
        </w:rPr>
        <w:t xml:space="preserve"> of </w:t>
      </w:r>
      <w:r w:rsidR="00A03DA4">
        <w:rPr>
          <w:rFonts w:ascii="Calibri" w:hAnsi="Calibri"/>
          <w:sz w:val="24"/>
          <w:szCs w:val="24"/>
        </w:rPr>
        <w:t xml:space="preserve">the </w:t>
      </w:r>
      <w:r w:rsidR="0023285E">
        <w:rPr>
          <w:rFonts w:ascii="Calibri" w:hAnsi="Calibri"/>
          <w:sz w:val="24"/>
          <w:szCs w:val="24"/>
        </w:rPr>
        <w:t>operation</w:t>
      </w:r>
      <w:r w:rsidR="007B254C" w:rsidRPr="002B6933">
        <w:rPr>
          <w:rFonts w:ascii="Calibri" w:hAnsi="Calibri"/>
          <w:sz w:val="24"/>
          <w:szCs w:val="24"/>
        </w:rPr>
        <w:t xml:space="preserve"> was </w:t>
      </w:r>
      <w:r w:rsidR="000A3448">
        <w:rPr>
          <w:rFonts w:ascii="Calibri" w:hAnsi="Calibri"/>
          <w:sz w:val="24"/>
          <w:szCs w:val="24"/>
        </w:rPr>
        <w:t xml:space="preserve">observed </w:t>
      </w:r>
      <w:r w:rsidR="007B254C" w:rsidRPr="002B6933">
        <w:rPr>
          <w:rFonts w:ascii="Calibri" w:hAnsi="Calibri"/>
          <w:sz w:val="24"/>
          <w:szCs w:val="24"/>
        </w:rPr>
        <w:t>in</w:t>
      </w:r>
      <w:r w:rsidR="000A3448">
        <w:rPr>
          <w:rFonts w:ascii="Calibri" w:hAnsi="Calibri"/>
          <w:sz w:val="24"/>
          <w:szCs w:val="24"/>
        </w:rPr>
        <w:t xml:space="preserve"> </w:t>
      </w:r>
      <w:r w:rsidR="007B254C" w:rsidRPr="002B6933">
        <w:rPr>
          <w:rFonts w:ascii="Calibri" w:hAnsi="Calibri"/>
          <w:sz w:val="24"/>
          <w:szCs w:val="24"/>
        </w:rPr>
        <w:t>medium</w:t>
      </w:r>
      <w:r w:rsidR="00CF0427">
        <w:rPr>
          <w:rFonts w:ascii="Calibri" w:hAnsi="Calibri"/>
          <w:sz w:val="24"/>
          <w:szCs w:val="24"/>
        </w:rPr>
        <w:t>-sized</w:t>
      </w:r>
      <w:r w:rsidR="007B254C" w:rsidRPr="002B6933">
        <w:rPr>
          <w:rFonts w:ascii="Calibri" w:hAnsi="Calibri"/>
          <w:sz w:val="24"/>
          <w:szCs w:val="24"/>
        </w:rPr>
        <w:t xml:space="preserve"> hospitals. Th</w:t>
      </w:r>
      <w:r w:rsidR="00D079A3">
        <w:rPr>
          <w:rFonts w:ascii="Calibri" w:hAnsi="Calibri"/>
          <w:sz w:val="24"/>
          <w:szCs w:val="24"/>
        </w:rPr>
        <w:t>e</w:t>
      </w:r>
      <w:r w:rsidR="007B254C" w:rsidRPr="002B6933">
        <w:rPr>
          <w:rFonts w:ascii="Calibri" w:hAnsi="Calibri"/>
          <w:sz w:val="24"/>
          <w:szCs w:val="24"/>
        </w:rPr>
        <w:t xml:space="preserve"> finding</w:t>
      </w:r>
      <w:r w:rsidR="00CF0427">
        <w:rPr>
          <w:rFonts w:ascii="Calibri" w:hAnsi="Calibri"/>
          <w:sz w:val="24"/>
          <w:szCs w:val="24"/>
        </w:rPr>
        <w:t xml:space="preserve"> suggests</w:t>
      </w:r>
      <w:r w:rsidR="00CE79C1">
        <w:rPr>
          <w:rFonts w:ascii="Calibri" w:hAnsi="Calibri"/>
          <w:sz w:val="24"/>
          <w:szCs w:val="24"/>
        </w:rPr>
        <w:t xml:space="preserve"> that</w:t>
      </w:r>
      <w:r w:rsidR="00CF0427">
        <w:rPr>
          <w:rFonts w:ascii="Calibri" w:hAnsi="Calibri"/>
          <w:sz w:val="24"/>
          <w:szCs w:val="24"/>
        </w:rPr>
        <w:t xml:space="preserve"> it would be helpful</w:t>
      </w:r>
      <w:r w:rsidR="007B254C" w:rsidRPr="002B6933">
        <w:rPr>
          <w:rFonts w:ascii="Calibri" w:hAnsi="Calibri"/>
          <w:sz w:val="24"/>
          <w:szCs w:val="24"/>
        </w:rPr>
        <w:t xml:space="preserve"> to </w:t>
      </w:r>
      <w:r w:rsidR="00CF0427">
        <w:rPr>
          <w:rFonts w:ascii="Calibri" w:hAnsi="Calibri"/>
          <w:sz w:val="24"/>
          <w:szCs w:val="24"/>
        </w:rPr>
        <w:t>adjust</w:t>
      </w:r>
      <w:r w:rsidR="007B254C" w:rsidRPr="002B6933">
        <w:rPr>
          <w:rFonts w:ascii="Calibri" w:hAnsi="Calibri"/>
          <w:sz w:val="24"/>
          <w:szCs w:val="24"/>
        </w:rPr>
        <w:t xml:space="preserve"> production capacity by downsizing hospitals </w:t>
      </w:r>
      <w:r w:rsidR="004D52D0">
        <w:rPr>
          <w:rFonts w:ascii="Calibri" w:hAnsi="Calibri"/>
          <w:sz w:val="24"/>
          <w:szCs w:val="24"/>
        </w:rPr>
        <w:t xml:space="preserve">operating </w:t>
      </w:r>
      <w:r w:rsidR="007B254C" w:rsidRPr="002B6933">
        <w:rPr>
          <w:rFonts w:ascii="Calibri" w:hAnsi="Calibri"/>
          <w:sz w:val="24"/>
          <w:szCs w:val="24"/>
        </w:rPr>
        <w:t xml:space="preserve">on DRS and reallocating </w:t>
      </w:r>
      <w:r w:rsidR="000A3448">
        <w:rPr>
          <w:rFonts w:ascii="Calibri" w:hAnsi="Calibri"/>
          <w:sz w:val="24"/>
          <w:szCs w:val="24"/>
        </w:rPr>
        <w:t xml:space="preserve">the </w:t>
      </w:r>
      <w:r w:rsidR="007B254C" w:rsidRPr="002B6933">
        <w:rPr>
          <w:rFonts w:ascii="Calibri" w:hAnsi="Calibri"/>
          <w:sz w:val="24"/>
          <w:szCs w:val="24"/>
        </w:rPr>
        <w:t xml:space="preserve">resources </w:t>
      </w:r>
      <w:r w:rsidR="00CF0427">
        <w:rPr>
          <w:rFonts w:ascii="Calibri" w:hAnsi="Calibri"/>
          <w:sz w:val="24"/>
          <w:szCs w:val="24"/>
        </w:rPr>
        <w:t>to</w:t>
      </w:r>
      <w:r w:rsidR="007B254C" w:rsidRPr="002B6933">
        <w:rPr>
          <w:rFonts w:ascii="Calibri" w:hAnsi="Calibri"/>
          <w:sz w:val="24"/>
          <w:szCs w:val="24"/>
        </w:rPr>
        <w:t xml:space="preserve"> hospitals </w:t>
      </w:r>
      <w:r w:rsidR="000A3448">
        <w:rPr>
          <w:rFonts w:ascii="Calibri" w:hAnsi="Calibri"/>
          <w:sz w:val="24"/>
          <w:szCs w:val="24"/>
        </w:rPr>
        <w:t>o</w:t>
      </w:r>
      <w:r w:rsidR="007B254C" w:rsidRPr="002B6933">
        <w:rPr>
          <w:rFonts w:ascii="Calibri" w:hAnsi="Calibri"/>
          <w:sz w:val="24"/>
          <w:szCs w:val="24"/>
        </w:rPr>
        <w:t>n the IRS</w:t>
      </w:r>
      <w:r w:rsidR="00CF0427">
        <w:rPr>
          <w:rFonts w:ascii="Calibri" w:hAnsi="Calibri"/>
          <w:sz w:val="24"/>
          <w:szCs w:val="24"/>
        </w:rPr>
        <w:t>,</w:t>
      </w:r>
      <w:r w:rsidR="000A3448">
        <w:rPr>
          <w:rFonts w:ascii="Calibri" w:hAnsi="Calibri"/>
          <w:sz w:val="24"/>
          <w:szCs w:val="24"/>
        </w:rPr>
        <w:t xml:space="preserve"> as </w:t>
      </w:r>
      <w:r w:rsidR="007B254C" w:rsidRPr="002B6933">
        <w:rPr>
          <w:rFonts w:ascii="Calibri" w:hAnsi="Calibri"/>
          <w:sz w:val="24"/>
          <w:szCs w:val="24"/>
        </w:rPr>
        <w:t>reflect</w:t>
      </w:r>
      <w:r w:rsidR="000A3448">
        <w:rPr>
          <w:rFonts w:ascii="Calibri" w:hAnsi="Calibri"/>
          <w:sz w:val="24"/>
          <w:szCs w:val="24"/>
        </w:rPr>
        <w:t>ed</w:t>
      </w:r>
      <w:r w:rsidR="007B254C" w:rsidRPr="002B6933">
        <w:rPr>
          <w:rFonts w:ascii="Calibri" w:hAnsi="Calibri"/>
          <w:sz w:val="24"/>
          <w:szCs w:val="24"/>
        </w:rPr>
        <w:t xml:space="preserve"> </w:t>
      </w:r>
      <w:r w:rsidR="000A3448">
        <w:rPr>
          <w:rFonts w:ascii="Calibri" w:hAnsi="Calibri"/>
          <w:sz w:val="24"/>
          <w:szCs w:val="24"/>
        </w:rPr>
        <w:t xml:space="preserve">in </w:t>
      </w:r>
      <w:r w:rsidR="007B254C" w:rsidRPr="002B6933">
        <w:rPr>
          <w:rFonts w:ascii="Calibri" w:hAnsi="Calibri"/>
          <w:sz w:val="24"/>
          <w:szCs w:val="24"/>
        </w:rPr>
        <w:t xml:space="preserve">the scale analysis. </w:t>
      </w:r>
      <w:r w:rsidR="00D079A3">
        <w:rPr>
          <w:rFonts w:ascii="Calibri" w:hAnsi="Calibri"/>
          <w:sz w:val="24"/>
          <w:szCs w:val="24"/>
        </w:rPr>
        <w:t xml:space="preserve">Performance analysis </w:t>
      </w:r>
      <w:r w:rsidR="00236496">
        <w:rPr>
          <w:rFonts w:ascii="Calibri" w:hAnsi="Calibri"/>
          <w:sz w:val="24"/>
          <w:szCs w:val="24"/>
        </w:rPr>
        <w:t>shows</w:t>
      </w:r>
      <w:r w:rsidR="007B254C" w:rsidRPr="002B6933">
        <w:rPr>
          <w:rFonts w:ascii="Calibri" w:hAnsi="Calibri"/>
          <w:sz w:val="24"/>
          <w:szCs w:val="24"/>
        </w:rPr>
        <w:t xml:space="preserve"> </w:t>
      </w:r>
      <w:r w:rsidR="000A3448">
        <w:rPr>
          <w:rFonts w:ascii="Calibri" w:hAnsi="Calibri"/>
          <w:sz w:val="24"/>
          <w:szCs w:val="24"/>
        </w:rPr>
        <w:t xml:space="preserve">the </w:t>
      </w:r>
      <w:r w:rsidR="007B254C" w:rsidRPr="002B6933">
        <w:rPr>
          <w:rFonts w:ascii="Calibri" w:hAnsi="Calibri"/>
          <w:sz w:val="24"/>
          <w:szCs w:val="24"/>
        </w:rPr>
        <w:t xml:space="preserve">surplus of </w:t>
      </w:r>
      <w:r w:rsidR="00D079A3">
        <w:rPr>
          <w:rFonts w:ascii="Calibri" w:hAnsi="Calibri"/>
          <w:sz w:val="24"/>
          <w:szCs w:val="24"/>
        </w:rPr>
        <w:t xml:space="preserve">the health workers </w:t>
      </w:r>
      <w:r w:rsidR="007B254C" w:rsidRPr="002B6933">
        <w:rPr>
          <w:rFonts w:ascii="Calibri" w:hAnsi="Calibri"/>
          <w:sz w:val="24"/>
          <w:szCs w:val="24"/>
        </w:rPr>
        <w:t xml:space="preserve">and a shortage of </w:t>
      </w:r>
      <w:r w:rsidR="00D079A3">
        <w:rPr>
          <w:rFonts w:ascii="Calibri" w:hAnsi="Calibri"/>
          <w:sz w:val="24"/>
          <w:szCs w:val="24"/>
        </w:rPr>
        <w:t>health services</w:t>
      </w:r>
      <w:r>
        <w:rPr>
          <w:rFonts w:ascii="Calibri" w:hAnsi="Calibri"/>
          <w:sz w:val="24"/>
          <w:szCs w:val="24"/>
        </w:rPr>
        <w:t xml:space="preserve"> </w:t>
      </w:r>
      <w:r w:rsidR="00236496">
        <w:rPr>
          <w:rFonts w:ascii="Calibri" w:hAnsi="Calibri"/>
          <w:sz w:val="24"/>
          <w:szCs w:val="24"/>
        </w:rPr>
        <w:t>to be</w:t>
      </w:r>
      <w:r w:rsidR="007B254C" w:rsidRPr="002B6933">
        <w:rPr>
          <w:rFonts w:ascii="Calibri" w:hAnsi="Calibri"/>
          <w:sz w:val="24"/>
          <w:szCs w:val="24"/>
        </w:rPr>
        <w:t xml:space="preserve"> </w:t>
      </w:r>
      <w:r w:rsidR="00A03DA4">
        <w:rPr>
          <w:rFonts w:ascii="Calibri" w:hAnsi="Calibri"/>
          <w:sz w:val="24"/>
          <w:szCs w:val="24"/>
        </w:rPr>
        <w:t>significant</w:t>
      </w:r>
      <w:r w:rsidR="00A03DA4" w:rsidRPr="002B6933">
        <w:rPr>
          <w:rFonts w:ascii="Calibri" w:hAnsi="Calibri"/>
          <w:sz w:val="24"/>
          <w:szCs w:val="24"/>
        </w:rPr>
        <w:t xml:space="preserve"> </w:t>
      </w:r>
      <w:r w:rsidR="007B254C" w:rsidRPr="002B6933">
        <w:rPr>
          <w:rFonts w:ascii="Calibri" w:hAnsi="Calibri"/>
          <w:sz w:val="24"/>
          <w:szCs w:val="24"/>
        </w:rPr>
        <w:t>causes of inefficiency, implying that</w:t>
      </w:r>
      <w:r w:rsidR="0023285E">
        <w:rPr>
          <w:rFonts w:ascii="Calibri" w:hAnsi="Calibri"/>
          <w:sz w:val="24"/>
          <w:szCs w:val="24"/>
        </w:rPr>
        <w:t xml:space="preserve"> health</w:t>
      </w:r>
      <w:r w:rsidR="007B254C" w:rsidRPr="002B6933">
        <w:rPr>
          <w:rFonts w:ascii="Calibri" w:hAnsi="Calibri"/>
          <w:sz w:val="24"/>
          <w:szCs w:val="24"/>
        </w:rPr>
        <w:t xml:space="preserve"> regulators </w:t>
      </w:r>
      <w:r w:rsidR="00236496">
        <w:rPr>
          <w:rFonts w:ascii="Calibri" w:hAnsi="Calibri"/>
          <w:color w:val="000000" w:themeColor="text1"/>
          <w:sz w:val="24"/>
          <w:szCs w:val="24"/>
        </w:rPr>
        <w:t>might redeploy</w:t>
      </w:r>
      <w:r w:rsidR="007B254C" w:rsidRPr="002B6933">
        <w:rPr>
          <w:rFonts w:ascii="Calibri" w:hAnsi="Calibri"/>
          <w:color w:val="000000" w:themeColor="text1"/>
          <w:sz w:val="24"/>
          <w:szCs w:val="24"/>
        </w:rPr>
        <w:t xml:space="preserve"> their labour forces</w:t>
      </w:r>
      <w:r w:rsidR="007B254C" w:rsidRPr="002B6933">
        <w:rPr>
          <w:rFonts w:ascii="Calibri" w:hAnsi="Calibri"/>
          <w:sz w:val="24"/>
          <w:szCs w:val="24"/>
        </w:rPr>
        <w:t xml:space="preserve"> for effective utilization of medical capacity</w:t>
      </w:r>
      <w:r w:rsidR="0023285E">
        <w:rPr>
          <w:rFonts w:ascii="Calibri" w:hAnsi="Calibri"/>
          <w:sz w:val="24"/>
          <w:szCs w:val="24"/>
        </w:rPr>
        <w:t xml:space="preserve">. </w:t>
      </w:r>
      <w:r w:rsidR="00DC5BF0">
        <w:rPr>
          <w:rFonts w:ascii="Calibri" w:hAnsi="Calibri"/>
          <w:sz w:val="24"/>
          <w:szCs w:val="24"/>
        </w:rPr>
        <w:t xml:space="preserve">A </w:t>
      </w:r>
      <w:r w:rsidR="00155B48">
        <w:rPr>
          <w:rFonts w:ascii="Calibri" w:hAnsi="Calibri"/>
          <w:sz w:val="24"/>
          <w:szCs w:val="24"/>
        </w:rPr>
        <w:t xml:space="preserve">possible reallocation of </w:t>
      </w:r>
      <w:r w:rsidR="00A03DA4">
        <w:rPr>
          <w:rFonts w:ascii="Calibri" w:hAnsi="Calibri"/>
          <w:sz w:val="24"/>
          <w:szCs w:val="24"/>
        </w:rPr>
        <w:t xml:space="preserve">the </w:t>
      </w:r>
      <w:r w:rsidR="00155B48">
        <w:rPr>
          <w:rFonts w:ascii="Calibri" w:hAnsi="Calibri"/>
          <w:sz w:val="24"/>
          <w:szCs w:val="24"/>
        </w:rPr>
        <w:t>resource</w:t>
      </w:r>
      <w:r w:rsidR="0023285E">
        <w:rPr>
          <w:rFonts w:ascii="Calibri" w:hAnsi="Calibri"/>
          <w:sz w:val="24"/>
          <w:szCs w:val="24"/>
        </w:rPr>
        <w:t xml:space="preserve"> </w:t>
      </w:r>
      <w:r>
        <w:rPr>
          <w:rFonts w:ascii="Calibri" w:hAnsi="Calibri"/>
          <w:sz w:val="24"/>
          <w:szCs w:val="24"/>
        </w:rPr>
        <w:t>must</w:t>
      </w:r>
      <w:r w:rsidR="0023285E">
        <w:rPr>
          <w:rFonts w:ascii="Calibri" w:hAnsi="Calibri"/>
          <w:sz w:val="24"/>
          <w:szCs w:val="24"/>
        </w:rPr>
        <w:t xml:space="preserve"> </w:t>
      </w:r>
      <w:r w:rsidR="00236496">
        <w:rPr>
          <w:rFonts w:ascii="Calibri" w:hAnsi="Calibri"/>
          <w:sz w:val="24"/>
          <w:szCs w:val="24"/>
        </w:rPr>
        <w:t xml:space="preserve">take place without compromising patients’ current access to public-funded health services. </w:t>
      </w:r>
    </w:p>
    <w:p w14:paraId="6857531F" w14:textId="77777777" w:rsidR="004D3E97" w:rsidRDefault="004D3E97" w:rsidP="008F1189">
      <w:pPr>
        <w:spacing w:line="360" w:lineRule="auto"/>
        <w:jc w:val="both"/>
        <w:rPr>
          <w:rFonts w:ascii="Calibri" w:hAnsi="Calibri"/>
          <w:b/>
          <w:sz w:val="24"/>
        </w:rPr>
      </w:pPr>
    </w:p>
    <w:p w14:paraId="0328180F" w14:textId="55F66396" w:rsidR="000368E3" w:rsidRPr="000368E3" w:rsidRDefault="000368E3" w:rsidP="008F1189">
      <w:pPr>
        <w:spacing w:line="360" w:lineRule="auto"/>
        <w:jc w:val="both"/>
        <w:rPr>
          <w:rFonts w:ascii="Calibri" w:hAnsi="Calibri"/>
          <w:b/>
          <w:sz w:val="24"/>
        </w:rPr>
      </w:pPr>
      <w:r w:rsidRPr="000368E3">
        <w:rPr>
          <w:rFonts w:ascii="Calibri" w:hAnsi="Calibri"/>
          <w:b/>
          <w:sz w:val="24"/>
        </w:rPr>
        <w:t>Acknowledgement</w:t>
      </w:r>
    </w:p>
    <w:p w14:paraId="6AAE7A2D" w14:textId="2521965B" w:rsidR="0018381C" w:rsidRDefault="000368E3" w:rsidP="008F1189">
      <w:pPr>
        <w:spacing w:line="360" w:lineRule="auto"/>
        <w:jc w:val="both"/>
        <w:rPr>
          <w:rFonts w:ascii="Calibri" w:hAnsi="Calibri"/>
          <w:sz w:val="24"/>
        </w:rPr>
      </w:pPr>
      <w:r w:rsidRPr="000368E3">
        <w:rPr>
          <w:rFonts w:ascii="Calibri" w:hAnsi="Calibri"/>
          <w:sz w:val="24"/>
        </w:rPr>
        <w:t xml:space="preserve">We are </w:t>
      </w:r>
      <w:r w:rsidR="00581656" w:rsidRPr="000368E3">
        <w:rPr>
          <w:rFonts w:ascii="Calibri" w:hAnsi="Calibri"/>
          <w:sz w:val="24"/>
        </w:rPr>
        <w:t>grateful</w:t>
      </w:r>
      <w:r w:rsidRPr="000368E3">
        <w:rPr>
          <w:rFonts w:ascii="Calibri" w:hAnsi="Calibri"/>
          <w:sz w:val="24"/>
        </w:rPr>
        <w:t xml:space="preserve"> for the Ministry of Education and the government of Saudi Arabia for unlimited support. The authors would like to thank the Administration of Statistics and Information and the Administration of Research and Studies in the Ministry of Health for providing access to the hospital's databases. Special gratitude to Mr</w:t>
      </w:r>
      <w:r w:rsidR="00732905">
        <w:rPr>
          <w:rFonts w:ascii="Calibri" w:hAnsi="Calibri"/>
          <w:sz w:val="24"/>
        </w:rPr>
        <w:t>.</w:t>
      </w:r>
      <w:r w:rsidRPr="000368E3">
        <w:rPr>
          <w:rFonts w:ascii="Calibri" w:hAnsi="Calibri"/>
          <w:sz w:val="24"/>
        </w:rPr>
        <w:t xml:space="preserve"> Nabil A. Othman and Ms</w:t>
      </w:r>
      <w:r w:rsidR="00732905">
        <w:rPr>
          <w:rFonts w:ascii="Calibri" w:hAnsi="Calibri"/>
          <w:sz w:val="24"/>
        </w:rPr>
        <w:t>.</w:t>
      </w:r>
      <w:r w:rsidRPr="000368E3">
        <w:rPr>
          <w:rFonts w:ascii="Calibri" w:hAnsi="Calibri"/>
          <w:sz w:val="24"/>
        </w:rPr>
        <w:t xml:space="preserve"> </w:t>
      </w:r>
      <w:proofErr w:type="spellStart"/>
      <w:r w:rsidRPr="000368E3">
        <w:rPr>
          <w:rFonts w:ascii="Calibri" w:hAnsi="Calibri"/>
          <w:sz w:val="24"/>
        </w:rPr>
        <w:t>Nuwayyir</w:t>
      </w:r>
      <w:proofErr w:type="spellEnd"/>
      <w:r w:rsidRPr="000368E3">
        <w:rPr>
          <w:rFonts w:ascii="Calibri" w:hAnsi="Calibri"/>
          <w:sz w:val="24"/>
        </w:rPr>
        <w:t xml:space="preserve"> </w:t>
      </w:r>
      <w:proofErr w:type="spellStart"/>
      <w:r w:rsidRPr="000368E3">
        <w:rPr>
          <w:rFonts w:ascii="Calibri" w:hAnsi="Calibri"/>
          <w:sz w:val="24"/>
        </w:rPr>
        <w:t>Alshalawi</w:t>
      </w:r>
      <w:proofErr w:type="spellEnd"/>
      <w:r w:rsidRPr="000368E3">
        <w:rPr>
          <w:rFonts w:ascii="Calibri" w:hAnsi="Calibri"/>
          <w:sz w:val="24"/>
        </w:rPr>
        <w:t xml:space="preserve"> at Administration of Statistics and Information for their contributions through permitting to use the administration’s access to the necessary databases to complete the data collection.</w:t>
      </w:r>
    </w:p>
    <w:p w14:paraId="41262944" w14:textId="77777777" w:rsidR="00A71E25" w:rsidRPr="00A71E25" w:rsidRDefault="00A71E25" w:rsidP="008F1189">
      <w:pPr>
        <w:spacing w:line="360" w:lineRule="auto"/>
        <w:jc w:val="both"/>
        <w:rPr>
          <w:rFonts w:ascii="Calibri" w:hAnsi="Calibri"/>
          <w:b/>
          <w:sz w:val="24"/>
        </w:rPr>
      </w:pPr>
      <w:r w:rsidRPr="00A71E25">
        <w:rPr>
          <w:rFonts w:ascii="Calibri" w:hAnsi="Calibri"/>
          <w:b/>
          <w:sz w:val="24"/>
        </w:rPr>
        <w:t>Contributors</w:t>
      </w:r>
    </w:p>
    <w:p w14:paraId="7009E25A" w14:textId="665588C6" w:rsidR="00A71E25" w:rsidRPr="00A71E25" w:rsidRDefault="00A71E25" w:rsidP="008F1189">
      <w:pPr>
        <w:spacing w:line="360" w:lineRule="auto"/>
        <w:jc w:val="both"/>
        <w:rPr>
          <w:rFonts w:ascii="Calibri" w:hAnsi="Calibri"/>
          <w:sz w:val="24"/>
        </w:rPr>
      </w:pPr>
      <w:r w:rsidRPr="00A71E25">
        <w:rPr>
          <w:rFonts w:ascii="Calibri" w:hAnsi="Calibri"/>
          <w:sz w:val="24"/>
        </w:rPr>
        <w:t xml:space="preserve">AA, LN and JK contributed to conceptualizing the research question, study design and settings and literature search. AA contributed to data collection and variable extraction. AA and JK conducted the data analysis, interpretation, and writing </w:t>
      </w:r>
      <w:r w:rsidR="00732905">
        <w:rPr>
          <w:rFonts w:ascii="Calibri" w:hAnsi="Calibri"/>
          <w:sz w:val="24"/>
        </w:rPr>
        <w:t xml:space="preserve">of </w:t>
      </w:r>
      <w:r w:rsidRPr="00A71E25">
        <w:rPr>
          <w:rFonts w:ascii="Calibri" w:hAnsi="Calibri"/>
          <w:sz w:val="24"/>
        </w:rPr>
        <w:t>the manuscript. AA,</w:t>
      </w:r>
      <w:r w:rsidR="00DC1885">
        <w:rPr>
          <w:rFonts w:ascii="Calibri" w:hAnsi="Calibri"/>
          <w:sz w:val="24"/>
        </w:rPr>
        <w:t xml:space="preserve"> </w:t>
      </w:r>
      <w:r w:rsidRPr="00A71E25">
        <w:rPr>
          <w:rFonts w:ascii="Calibri" w:hAnsi="Calibri"/>
          <w:sz w:val="24"/>
        </w:rPr>
        <w:t>LN and JK contributed to writing, reviewing and revising the manuscript. All authors finally reviewed the manuscript critically and approved the final version for submission</w:t>
      </w:r>
      <w:r>
        <w:rPr>
          <w:rFonts w:ascii="Calibri" w:hAnsi="Calibri"/>
          <w:sz w:val="24"/>
        </w:rPr>
        <w:t>.</w:t>
      </w:r>
    </w:p>
    <w:p w14:paraId="4EC3F14B" w14:textId="77777777" w:rsidR="00A71E25" w:rsidRPr="00A71E25" w:rsidRDefault="00A71E25" w:rsidP="008F1189">
      <w:pPr>
        <w:spacing w:line="360" w:lineRule="auto"/>
        <w:jc w:val="both"/>
        <w:rPr>
          <w:rFonts w:ascii="Calibri" w:hAnsi="Calibri"/>
          <w:b/>
          <w:sz w:val="24"/>
        </w:rPr>
      </w:pPr>
      <w:r w:rsidRPr="00A71E25">
        <w:rPr>
          <w:rFonts w:ascii="Calibri" w:hAnsi="Calibri"/>
          <w:b/>
          <w:sz w:val="24"/>
        </w:rPr>
        <w:lastRenderedPageBreak/>
        <w:t>Funding</w:t>
      </w:r>
    </w:p>
    <w:p w14:paraId="4E0C9EB1" w14:textId="77777777" w:rsidR="00A71E25" w:rsidRPr="00A71E25" w:rsidRDefault="00A71E25" w:rsidP="008F1189">
      <w:pPr>
        <w:spacing w:line="360" w:lineRule="auto"/>
        <w:jc w:val="both"/>
        <w:rPr>
          <w:rFonts w:ascii="Calibri" w:hAnsi="Calibri"/>
          <w:sz w:val="24"/>
        </w:rPr>
      </w:pPr>
      <w:r w:rsidRPr="00A71E25">
        <w:rPr>
          <w:rFonts w:ascii="Calibri" w:hAnsi="Calibri"/>
          <w:sz w:val="24"/>
        </w:rPr>
        <w:t>There is no funding agency in the public, commercial or not-for-profit sectors to report for this submission.</w:t>
      </w:r>
    </w:p>
    <w:p w14:paraId="5530BAF9" w14:textId="77777777" w:rsidR="00A71E25" w:rsidRPr="00A71E25" w:rsidRDefault="00A71E25" w:rsidP="008F1189">
      <w:pPr>
        <w:spacing w:line="360" w:lineRule="auto"/>
        <w:jc w:val="both"/>
        <w:rPr>
          <w:rFonts w:ascii="Calibri" w:hAnsi="Calibri"/>
          <w:b/>
          <w:sz w:val="24"/>
        </w:rPr>
      </w:pPr>
      <w:r w:rsidRPr="00A71E25">
        <w:rPr>
          <w:rFonts w:ascii="Calibri" w:hAnsi="Calibri"/>
          <w:b/>
          <w:sz w:val="24"/>
        </w:rPr>
        <w:t>Competing interest</w:t>
      </w:r>
    </w:p>
    <w:p w14:paraId="4981D805" w14:textId="77777777" w:rsidR="00A71E25" w:rsidRPr="00A71E25" w:rsidRDefault="00A71E25" w:rsidP="008F1189">
      <w:pPr>
        <w:spacing w:line="360" w:lineRule="auto"/>
        <w:jc w:val="both"/>
        <w:rPr>
          <w:rFonts w:ascii="Calibri" w:hAnsi="Calibri"/>
          <w:sz w:val="24"/>
        </w:rPr>
      </w:pPr>
      <w:r w:rsidRPr="00A71E25">
        <w:rPr>
          <w:rFonts w:ascii="Calibri" w:hAnsi="Calibri"/>
          <w:sz w:val="24"/>
        </w:rPr>
        <w:t>None declared.</w:t>
      </w:r>
    </w:p>
    <w:p w14:paraId="1549116F" w14:textId="77777777" w:rsidR="00A71E25" w:rsidRPr="00A71E25" w:rsidRDefault="00A71E25" w:rsidP="008F1189">
      <w:pPr>
        <w:spacing w:line="360" w:lineRule="auto"/>
        <w:jc w:val="both"/>
        <w:rPr>
          <w:rFonts w:ascii="Calibri" w:hAnsi="Calibri"/>
          <w:b/>
          <w:sz w:val="24"/>
        </w:rPr>
      </w:pPr>
      <w:r w:rsidRPr="00A71E25">
        <w:rPr>
          <w:rFonts w:ascii="Calibri" w:hAnsi="Calibri"/>
          <w:b/>
          <w:sz w:val="24"/>
        </w:rPr>
        <w:t>Data sharing statement</w:t>
      </w:r>
    </w:p>
    <w:p w14:paraId="2F2E8C18" w14:textId="77777777" w:rsidR="00A71E25" w:rsidRPr="00A71E25" w:rsidRDefault="00A71E25" w:rsidP="008F1189">
      <w:pPr>
        <w:spacing w:line="360" w:lineRule="auto"/>
        <w:jc w:val="both"/>
        <w:rPr>
          <w:rFonts w:ascii="Calibri" w:hAnsi="Calibri"/>
          <w:sz w:val="24"/>
        </w:rPr>
      </w:pPr>
      <w:r w:rsidRPr="00A71E25">
        <w:rPr>
          <w:rFonts w:ascii="Calibri" w:hAnsi="Calibri"/>
          <w:sz w:val="24"/>
        </w:rPr>
        <w:t>Data were extracted from the hospital databases at Administration of Statistics and Information in The Ministry of Health. Additional data are available if requested.</w:t>
      </w:r>
    </w:p>
    <w:p w14:paraId="27C1341C" w14:textId="77777777" w:rsidR="00A71E25" w:rsidRPr="00A71E25" w:rsidRDefault="00A71E25" w:rsidP="008F1189">
      <w:pPr>
        <w:spacing w:line="360" w:lineRule="auto"/>
        <w:jc w:val="both"/>
        <w:rPr>
          <w:rFonts w:ascii="Calibri" w:hAnsi="Calibri"/>
          <w:b/>
          <w:sz w:val="24"/>
        </w:rPr>
      </w:pPr>
      <w:r w:rsidRPr="00A71E25">
        <w:rPr>
          <w:rFonts w:ascii="Calibri" w:hAnsi="Calibri"/>
          <w:b/>
          <w:sz w:val="24"/>
        </w:rPr>
        <w:t xml:space="preserve">Ethics approval </w:t>
      </w:r>
    </w:p>
    <w:p w14:paraId="6B699258" w14:textId="1C33CAC0" w:rsidR="000368E3" w:rsidRDefault="00A71E25" w:rsidP="008F1189">
      <w:pPr>
        <w:spacing w:line="360" w:lineRule="auto"/>
        <w:jc w:val="both"/>
        <w:rPr>
          <w:rFonts w:ascii="Calibri" w:hAnsi="Calibri"/>
          <w:sz w:val="24"/>
        </w:rPr>
      </w:pPr>
      <w:r w:rsidRPr="00A71E25">
        <w:rPr>
          <w:rFonts w:ascii="Calibri" w:hAnsi="Calibri"/>
          <w:sz w:val="24"/>
        </w:rPr>
        <w:t>Ethics approval was obtained from the Ethics Committee of Institutional Review Board (IRB) of King Fahad Medical City, the Ministry of Health in Saudi Arabia (IRB log No. 18-166E).</w:t>
      </w:r>
    </w:p>
    <w:p w14:paraId="1D9A73E7" w14:textId="77777777" w:rsidR="00A71E25" w:rsidRDefault="00A71E25" w:rsidP="008F1189">
      <w:pPr>
        <w:spacing w:line="360" w:lineRule="auto"/>
        <w:jc w:val="both"/>
        <w:rPr>
          <w:rFonts w:ascii="Calibri" w:hAnsi="Calibri"/>
          <w:sz w:val="24"/>
        </w:rPr>
      </w:pPr>
      <w:r w:rsidRPr="00A71E25">
        <w:rPr>
          <w:rFonts w:ascii="Calibri" w:hAnsi="Calibri"/>
          <w:b/>
          <w:sz w:val="24"/>
        </w:rPr>
        <w:t>Patient consent for publication</w:t>
      </w:r>
      <w:r w:rsidRPr="00A71E25">
        <w:rPr>
          <w:rFonts w:ascii="Calibri" w:hAnsi="Calibri"/>
          <w:sz w:val="24"/>
        </w:rPr>
        <w:t xml:space="preserve"> </w:t>
      </w:r>
    </w:p>
    <w:p w14:paraId="5DB8E1B3" w14:textId="7BEACD38" w:rsidR="007E78AC" w:rsidRDefault="00A71E25" w:rsidP="008F1189">
      <w:pPr>
        <w:spacing w:line="360" w:lineRule="auto"/>
        <w:jc w:val="both"/>
      </w:pPr>
      <w:r w:rsidRPr="00A71E25">
        <w:rPr>
          <w:rFonts w:ascii="Calibri" w:hAnsi="Calibri"/>
          <w:sz w:val="24"/>
        </w:rPr>
        <w:t>Not required.</w:t>
      </w:r>
      <w:bookmarkStart w:id="34" w:name="_Hlk7303613"/>
    </w:p>
    <w:p w14:paraId="42920CE1" w14:textId="34068C46" w:rsidR="0018381C" w:rsidRDefault="005548AD" w:rsidP="008F1189">
      <w:pPr>
        <w:pStyle w:val="Heading1"/>
        <w:jc w:val="both"/>
      </w:pPr>
      <w:r w:rsidRPr="003C4D08">
        <w:rPr>
          <w:sz w:val="28"/>
          <w:szCs w:val="28"/>
        </w:rPr>
        <w:t>References</w:t>
      </w:r>
    </w:p>
    <w:p w14:paraId="7804E93A" w14:textId="70B4D8AF" w:rsidR="00CF405F" w:rsidRPr="00E050F6" w:rsidRDefault="005548AD"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 xml:space="preserve">Khoja T, </w:t>
      </w:r>
      <w:proofErr w:type="spellStart"/>
      <w:r w:rsidRPr="00E050F6">
        <w:rPr>
          <w:rFonts w:cstheme="minorHAnsi"/>
          <w:sz w:val="24"/>
          <w:szCs w:val="24"/>
        </w:rPr>
        <w:t>Rawaf</w:t>
      </w:r>
      <w:proofErr w:type="spellEnd"/>
      <w:r w:rsidRPr="00E050F6">
        <w:rPr>
          <w:rFonts w:cstheme="minorHAnsi"/>
          <w:sz w:val="24"/>
          <w:szCs w:val="24"/>
        </w:rPr>
        <w:t xml:space="preserve"> S, </w:t>
      </w:r>
      <w:proofErr w:type="spellStart"/>
      <w:r w:rsidRPr="00E050F6">
        <w:rPr>
          <w:rFonts w:cstheme="minorHAnsi"/>
          <w:sz w:val="24"/>
          <w:szCs w:val="24"/>
        </w:rPr>
        <w:t>Qidwai</w:t>
      </w:r>
      <w:proofErr w:type="spellEnd"/>
      <w:r w:rsidRPr="00E050F6">
        <w:rPr>
          <w:rFonts w:cstheme="minorHAnsi"/>
          <w:sz w:val="24"/>
          <w:szCs w:val="24"/>
        </w:rPr>
        <w:t xml:space="preserve"> W </w:t>
      </w:r>
      <w:bookmarkStart w:id="35" w:name="_Hlk510169234"/>
      <w:r w:rsidRPr="00E050F6">
        <w:rPr>
          <w:rFonts w:cstheme="minorHAnsi"/>
          <w:i/>
          <w:sz w:val="24"/>
          <w:szCs w:val="24"/>
        </w:rPr>
        <w:t>et al</w:t>
      </w:r>
      <w:r w:rsidRPr="00E050F6">
        <w:rPr>
          <w:rFonts w:cstheme="minorHAnsi"/>
          <w:sz w:val="24"/>
          <w:szCs w:val="24"/>
        </w:rPr>
        <w:t xml:space="preserve">. </w:t>
      </w:r>
      <w:bookmarkEnd w:id="35"/>
      <w:r w:rsidRPr="00E050F6">
        <w:rPr>
          <w:rFonts w:cstheme="minorHAnsi"/>
          <w:sz w:val="24"/>
          <w:szCs w:val="24"/>
        </w:rPr>
        <w:t xml:space="preserve">Health </w:t>
      </w:r>
      <w:r w:rsidR="00925F14">
        <w:rPr>
          <w:rFonts w:cstheme="minorHAnsi"/>
          <w:sz w:val="24"/>
          <w:szCs w:val="24"/>
        </w:rPr>
        <w:t>c</w:t>
      </w:r>
      <w:r w:rsidRPr="00E050F6">
        <w:rPr>
          <w:rFonts w:cstheme="minorHAnsi"/>
          <w:sz w:val="24"/>
          <w:szCs w:val="24"/>
        </w:rPr>
        <w:t xml:space="preserve">are in Gulf Cooperation Council </w:t>
      </w:r>
      <w:r w:rsidR="00925F14">
        <w:rPr>
          <w:rFonts w:cstheme="minorHAnsi"/>
          <w:sz w:val="24"/>
          <w:szCs w:val="24"/>
        </w:rPr>
        <w:t>c</w:t>
      </w:r>
      <w:r w:rsidRPr="00E050F6">
        <w:rPr>
          <w:rFonts w:cstheme="minorHAnsi"/>
          <w:sz w:val="24"/>
          <w:szCs w:val="24"/>
        </w:rPr>
        <w:t xml:space="preserve">ountries: </w:t>
      </w:r>
      <w:r w:rsidR="00925F14">
        <w:rPr>
          <w:rFonts w:cstheme="minorHAnsi"/>
          <w:sz w:val="24"/>
          <w:szCs w:val="24"/>
        </w:rPr>
        <w:t>a</w:t>
      </w:r>
      <w:r w:rsidRPr="00E050F6">
        <w:rPr>
          <w:rFonts w:cstheme="minorHAnsi"/>
          <w:sz w:val="24"/>
          <w:szCs w:val="24"/>
        </w:rPr>
        <w:t xml:space="preserve"> </w:t>
      </w:r>
      <w:r w:rsidR="00925F14">
        <w:rPr>
          <w:rFonts w:cstheme="minorHAnsi"/>
          <w:sz w:val="24"/>
          <w:szCs w:val="24"/>
        </w:rPr>
        <w:t>r</w:t>
      </w:r>
      <w:r w:rsidRPr="00E050F6">
        <w:rPr>
          <w:rFonts w:cstheme="minorHAnsi"/>
          <w:sz w:val="24"/>
          <w:szCs w:val="24"/>
        </w:rPr>
        <w:t xml:space="preserve">eview of </w:t>
      </w:r>
      <w:r w:rsidR="00925F14">
        <w:rPr>
          <w:rFonts w:cstheme="minorHAnsi"/>
          <w:sz w:val="24"/>
          <w:szCs w:val="24"/>
        </w:rPr>
        <w:t>c</w:t>
      </w:r>
      <w:r w:rsidRPr="00E050F6">
        <w:rPr>
          <w:rFonts w:cstheme="minorHAnsi"/>
          <w:sz w:val="24"/>
          <w:szCs w:val="24"/>
        </w:rPr>
        <w:t xml:space="preserve">hallenges and </w:t>
      </w:r>
      <w:r w:rsidR="00925F14">
        <w:rPr>
          <w:rFonts w:cstheme="minorHAnsi"/>
          <w:sz w:val="24"/>
          <w:szCs w:val="24"/>
        </w:rPr>
        <w:t>o</w:t>
      </w:r>
      <w:r w:rsidRPr="00E050F6">
        <w:rPr>
          <w:rFonts w:cstheme="minorHAnsi"/>
          <w:sz w:val="24"/>
          <w:szCs w:val="24"/>
        </w:rPr>
        <w:t xml:space="preserve">pportunities. </w:t>
      </w:r>
      <w:proofErr w:type="spellStart"/>
      <w:r w:rsidRPr="00E050F6">
        <w:rPr>
          <w:rFonts w:cstheme="minorHAnsi"/>
          <w:i/>
          <w:sz w:val="24"/>
          <w:szCs w:val="24"/>
        </w:rPr>
        <w:t>Cureus</w:t>
      </w:r>
      <w:proofErr w:type="spellEnd"/>
      <w:r w:rsidR="00925F14">
        <w:rPr>
          <w:rFonts w:cstheme="minorHAnsi"/>
          <w:sz w:val="24"/>
          <w:szCs w:val="24"/>
        </w:rPr>
        <w:t xml:space="preserve"> 2017;</w:t>
      </w:r>
      <w:r w:rsidRPr="00E050F6">
        <w:rPr>
          <w:rFonts w:cstheme="minorHAnsi"/>
          <w:sz w:val="24"/>
          <w:szCs w:val="24"/>
        </w:rPr>
        <w:t>9(8</w:t>
      </w:r>
      <w:proofErr w:type="gramStart"/>
      <w:r w:rsidRPr="00E050F6">
        <w:rPr>
          <w:rFonts w:cstheme="minorHAnsi"/>
          <w:sz w:val="24"/>
          <w:szCs w:val="24"/>
        </w:rPr>
        <w:t>):e</w:t>
      </w:r>
      <w:proofErr w:type="gramEnd"/>
      <w:r w:rsidRPr="00E050F6">
        <w:rPr>
          <w:rFonts w:cstheme="minorHAnsi"/>
          <w:sz w:val="24"/>
          <w:szCs w:val="24"/>
        </w:rPr>
        <w:t>1586. DOI 10.7759/cureus.1586.</w:t>
      </w:r>
    </w:p>
    <w:p w14:paraId="6F745FF0" w14:textId="735BDC37" w:rsidR="00CF405F" w:rsidRPr="00E050F6" w:rsidRDefault="005548AD" w:rsidP="008F1189">
      <w:pPr>
        <w:pStyle w:val="ListParagraph"/>
        <w:numPr>
          <w:ilvl w:val="0"/>
          <w:numId w:val="2"/>
        </w:numPr>
        <w:spacing w:line="360" w:lineRule="auto"/>
        <w:jc w:val="both"/>
        <w:rPr>
          <w:rFonts w:cstheme="minorHAnsi"/>
          <w:sz w:val="24"/>
          <w:szCs w:val="24"/>
        </w:rPr>
      </w:pPr>
      <w:bookmarkStart w:id="36" w:name="_Hlk507506291"/>
      <w:r w:rsidRPr="00E050F6">
        <w:rPr>
          <w:rFonts w:cstheme="minorHAnsi"/>
          <w:sz w:val="24"/>
          <w:szCs w:val="24"/>
        </w:rPr>
        <w:t xml:space="preserve">Ardent Advisory &amp; Accounting. </w:t>
      </w:r>
      <w:r w:rsidRPr="00E050F6">
        <w:rPr>
          <w:rFonts w:cstheme="minorHAnsi"/>
          <w:i/>
          <w:sz w:val="24"/>
          <w:szCs w:val="24"/>
        </w:rPr>
        <w:t>GCC healthcare sector report</w:t>
      </w:r>
      <w:bookmarkEnd w:id="36"/>
      <w:r w:rsidRPr="00E050F6">
        <w:rPr>
          <w:rFonts w:cstheme="minorHAnsi"/>
          <w:i/>
          <w:sz w:val="24"/>
          <w:szCs w:val="24"/>
        </w:rPr>
        <w:t>. A focus area for governments.</w:t>
      </w:r>
      <w:r w:rsidRPr="00E050F6">
        <w:rPr>
          <w:rFonts w:cstheme="minorHAnsi"/>
          <w:sz w:val="24"/>
          <w:szCs w:val="24"/>
        </w:rPr>
        <w:t xml:space="preserve"> Abu Dhabi, UAE</w:t>
      </w:r>
      <w:r w:rsidR="00925F14">
        <w:rPr>
          <w:rFonts w:cstheme="minorHAnsi"/>
          <w:sz w:val="24"/>
          <w:szCs w:val="24"/>
        </w:rPr>
        <w:t>, 2015</w:t>
      </w:r>
      <w:r w:rsidRPr="00E050F6">
        <w:rPr>
          <w:rFonts w:cstheme="minorHAnsi"/>
          <w:sz w:val="24"/>
          <w:szCs w:val="24"/>
        </w:rPr>
        <w:t xml:space="preserve"> Accessed: January 2018: DOI:  http://www.ardentadvisory.com/files/GCC-Healthcare-Sector-Report.pdf</w:t>
      </w:r>
    </w:p>
    <w:p w14:paraId="5E915C6B" w14:textId="77777777" w:rsidR="00CF405F" w:rsidRPr="00E050F6" w:rsidRDefault="005548AD" w:rsidP="008F1189">
      <w:pPr>
        <w:pStyle w:val="ListParagraph"/>
        <w:numPr>
          <w:ilvl w:val="0"/>
          <w:numId w:val="2"/>
        </w:numPr>
        <w:spacing w:line="360" w:lineRule="auto"/>
        <w:jc w:val="both"/>
        <w:rPr>
          <w:rFonts w:cstheme="minorHAnsi"/>
          <w:sz w:val="24"/>
          <w:szCs w:val="24"/>
        </w:rPr>
      </w:pPr>
      <w:r w:rsidRPr="00E050F6">
        <w:rPr>
          <w:rFonts w:cstheme="minorHAnsi"/>
          <w:noProof/>
          <w:sz w:val="24"/>
          <w:szCs w:val="24"/>
        </w:rPr>
        <w:t xml:space="preserve">Ram P. Management of </w:t>
      </w:r>
      <w:r w:rsidR="00925F14">
        <w:rPr>
          <w:rFonts w:cstheme="minorHAnsi"/>
          <w:noProof/>
          <w:sz w:val="24"/>
          <w:szCs w:val="24"/>
        </w:rPr>
        <w:t>h</w:t>
      </w:r>
      <w:r w:rsidRPr="00E050F6">
        <w:rPr>
          <w:rFonts w:cstheme="minorHAnsi"/>
          <w:noProof/>
          <w:sz w:val="24"/>
          <w:szCs w:val="24"/>
        </w:rPr>
        <w:t>ealthcare in the Gulf Cooperation Council (GCC) countries with special reference to Saudi Arabia.</w:t>
      </w:r>
      <w:r w:rsidRPr="00E050F6">
        <w:rPr>
          <w:rFonts w:cstheme="minorHAnsi"/>
          <w:sz w:val="24"/>
          <w:szCs w:val="24"/>
        </w:rPr>
        <w:t xml:space="preserve"> </w:t>
      </w:r>
      <w:r w:rsidRPr="00E050F6">
        <w:rPr>
          <w:rFonts w:cstheme="minorHAnsi"/>
          <w:i/>
          <w:noProof/>
          <w:sz w:val="24"/>
          <w:szCs w:val="24"/>
        </w:rPr>
        <w:t>International Journal of Academic Research in Business and Social Sciences</w:t>
      </w:r>
      <w:r w:rsidR="00925F14">
        <w:rPr>
          <w:rFonts w:cstheme="minorHAnsi"/>
          <w:noProof/>
          <w:sz w:val="24"/>
          <w:szCs w:val="24"/>
        </w:rPr>
        <w:t xml:space="preserve"> 2014;</w:t>
      </w:r>
      <w:r w:rsidRPr="00E050F6">
        <w:rPr>
          <w:rFonts w:cstheme="minorHAnsi"/>
          <w:noProof/>
          <w:sz w:val="24"/>
          <w:szCs w:val="24"/>
        </w:rPr>
        <w:t xml:space="preserve"> 4</w:t>
      </w:r>
      <w:r w:rsidRPr="00E050F6">
        <w:rPr>
          <w:rFonts w:cstheme="minorHAnsi"/>
          <w:sz w:val="24"/>
          <w:szCs w:val="24"/>
        </w:rPr>
        <w:t>(12). DOI: 10.6007/IJARBSS/v4-i11/1326.</w:t>
      </w:r>
    </w:p>
    <w:p w14:paraId="723394F4" w14:textId="77777777" w:rsidR="00DC0B44" w:rsidRPr="00E050F6" w:rsidRDefault="00DC0B44"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The World Bank</w:t>
      </w:r>
      <w:r>
        <w:rPr>
          <w:rFonts w:cstheme="minorHAnsi"/>
          <w:sz w:val="24"/>
          <w:szCs w:val="24"/>
        </w:rPr>
        <w:t>.</w:t>
      </w:r>
      <w:r w:rsidRPr="00E050F6">
        <w:rPr>
          <w:rFonts w:cstheme="minorHAnsi"/>
          <w:sz w:val="24"/>
          <w:szCs w:val="24"/>
        </w:rPr>
        <w:t xml:space="preserve"> </w:t>
      </w:r>
      <w:r w:rsidRPr="00E050F6">
        <w:rPr>
          <w:rFonts w:cstheme="minorHAnsi"/>
          <w:i/>
          <w:sz w:val="24"/>
          <w:szCs w:val="24"/>
        </w:rPr>
        <w:t>2019 Country Data</w:t>
      </w:r>
      <w:r w:rsidRPr="00E050F6">
        <w:rPr>
          <w:rFonts w:cstheme="minorHAnsi"/>
          <w:sz w:val="24"/>
          <w:szCs w:val="24"/>
        </w:rPr>
        <w:t>. Available at: https://data.worldbank.org/country/saudi-arabia (</w:t>
      </w:r>
      <w:r>
        <w:rPr>
          <w:rFonts w:cstheme="minorHAnsi"/>
          <w:sz w:val="24"/>
          <w:szCs w:val="24"/>
        </w:rPr>
        <w:t>a</w:t>
      </w:r>
      <w:r w:rsidRPr="00E050F6">
        <w:rPr>
          <w:rFonts w:cstheme="minorHAnsi"/>
          <w:sz w:val="24"/>
          <w:szCs w:val="24"/>
        </w:rPr>
        <w:t xml:space="preserve">ccessed </w:t>
      </w:r>
      <w:r>
        <w:rPr>
          <w:rFonts w:cstheme="minorHAnsi"/>
          <w:sz w:val="24"/>
          <w:szCs w:val="24"/>
        </w:rPr>
        <w:t>January</w:t>
      </w:r>
      <w:r w:rsidRPr="00E050F6">
        <w:rPr>
          <w:rFonts w:cstheme="minorHAnsi"/>
          <w:sz w:val="24"/>
          <w:szCs w:val="24"/>
        </w:rPr>
        <w:t xml:space="preserve"> 2019).</w:t>
      </w:r>
    </w:p>
    <w:p w14:paraId="0034F41F" w14:textId="77777777" w:rsidR="00DC0B44" w:rsidRPr="00E050F6" w:rsidRDefault="00DC0B44"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MOH portal.com</w:t>
      </w:r>
      <w:r>
        <w:rPr>
          <w:rFonts w:cstheme="minorHAnsi"/>
          <w:sz w:val="24"/>
          <w:szCs w:val="24"/>
        </w:rPr>
        <w:t>.</w:t>
      </w:r>
      <w:r w:rsidRPr="00E050F6">
        <w:rPr>
          <w:rFonts w:cstheme="minorHAnsi"/>
          <w:sz w:val="24"/>
          <w:szCs w:val="24"/>
        </w:rPr>
        <w:t xml:space="preserve"> </w:t>
      </w:r>
      <w:r w:rsidRPr="00E050F6">
        <w:rPr>
          <w:rFonts w:cstheme="minorHAnsi"/>
          <w:i/>
          <w:sz w:val="24"/>
          <w:szCs w:val="24"/>
        </w:rPr>
        <w:t>2017</w:t>
      </w:r>
      <w:r>
        <w:rPr>
          <w:rFonts w:cstheme="minorHAnsi"/>
          <w:i/>
          <w:sz w:val="24"/>
          <w:szCs w:val="24"/>
        </w:rPr>
        <w:t xml:space="preserve"> Annual Statistical Book</w:t>
      </w:r>
      <w:r w:rsidRPr="00E050F6">
        <w:rPr>
          <w:rFonts w:cstheme="minorHAnsi"/>
          <w:i/>
          <w:sz w:val="24"/>
          <w:szCs w:val="24"/>
        </w:rPr>
        <w:t xml:space="preserve">  </w:t>
      </w:r>
      <w:r w:rsidRPr="00E050F6">
        <w:rPr>
          <w:rFonts w:cstheme="minorHAnsi"/>
          <w:sz w:val="24"/>
          <w:szCs w:val="24"/>
        </w:rPr>
        <w:t>Available</w:t>
      </w:r>
      <w:r>
        <w:rPr>
          <w:rFonts w:cstheme="minorHAnsi"/>
          <w:sz w:val="24"/>
          <w:szCs w:val="24"/>
        </w:rPr>
        <w:t xml:space="preserve"> </w:t>
      </w:r>
      <w:r w:rsidRPr="00E050F6">
        <w:rPr>
          <w:rFonts w:cstheme="minorHAnsi"/>
          <w:sz w:val="24"/>
          <w:szCs w:val="24"/>
        </w:rPr>
        <w:t xml:space="preserve">at: </w:t>
      </w:r>
      <w:hyperlink r:id="rId16" w:history="1">
        <w:r w:rsidRPr="00BC6E56">
          <w:rPr>
            <w:rStyle w:val="Hyperlink"/>
            <w:rFonts w:cstheme="minorHAnsi"/>
            <w:sz w:val="24"/>
            <w:szCs w:val="24"/>
          </w:rPr>
          <w:t>https://www.moh.gov.sa/en/Ministry/Statistics/book/Documents/ANNUAL-STATISTICAL-BOOK-1438H.pdf</w:t>
        </w:r>
      </w:hyperlink>
      <w:r>
        <w:rPr>
          <w:rFonts w:cstheme="minorHAnsi"/>
          <w:sz w:val="24"/>
          <w:szCs w:val="24"/>
        </w:rPr>
        <w:t xml:space="preserve"> </w:t>
      </w:r>
      <w:r w:rsidRPr="00E050F6">
        <w:rPr>
          <w:rFonts w:cstheme="minorHAnsi"/>
          <w:sz w:val="24"/>
          <w:szCs w:val="24"/>
        </w:rPr>
        <w:t>(Accessed Oct. 2018).</w:t>
      </w:r>
      <w:r>
        <w:rPr>
          <w:rFonts w:cstheme="minorHAnsi"/>
          <w:sz w:val="24"/>
          <w:szCs w:val="24"/>
        </w:rPr>
        <w:t xml:space="preserve"> </w:t>
      </w:r>
    </w:p>
    <w:p w14:paraId="2E722C6F" w14:textId="77777777" w:rsidR="00DC0B44" w:rsidRPr="00E050F6" w:rsidRDefault="00DC0B44" w:rsidP="008F1189">
      <w:pPr>
        <w:pStyle w:val="ListParagraph"/>
        <w:numPr>
          <w:ilvl w:val="0"/>
          <w:numId w:val="2"/>
        </w:numPr>
        <w:spacing w:line="360" w:lineRule="auto"/>
        <w:jc w:val="both"/>
        <w:rPr>
          <w:rFonts w:cstheme="minorHAnsi"/>
          <w:sz w:val="24"/>
          <w:szCs w:val="24"/>
        </w:rPr>
      </w:pPr>
      <w:proofErr w:type="spellStart"/>
      <w:r w:rsidRPr="00E050F6">
        <w:rPr>
          <w:rFonts w:cstheme="minorHAnsi"/>
          <w:sz w:val="24"/>
          <w:szCs w:val="24"/>
        </w:rPr>
        <w:lastRenderedPageBreak/>
        <w:t>Mourshed</w:t>
      </w:r>
      <w:proofErr w:type="spellEnd"/>
      <w:r w:rsidRPr="00E050F6">
        <w:rPr>
          <w:rFonts w:cstheme="minorHAnsi"/>
          <w:sz w:val="24"/>
          <w:szCs w:val="24"/>
        </w:rPr>
        <w:t xml:space="preserve"> M, </w:t>
      </w:r>
      <w:proofErr w:type="spellStart"/>
      <w:r w:rsidRPr="00E050F6">
        <w:rPr>
          <w:rFonts w:cstheme="minorHAnsi"/>
          <w:sz w:val="24"/>
          <w:szCs w:val="24"/>
        </w:rPr>
        <w:t>Hedig</w:t>
      </w:r>
      <w:r>
        <w:rPr>
          <w:rFonts w:cstheme="minorHAnsi"/>
          <w:sz w:val="24"/>
          <w:szCs w:val="24"/>
        </w:rPr>
        <w:t>e</w:t>
      </w:r>
      <w:r w:rsidRPr="00E050F6">
        <w:rPr>
          <w:rFonts w:cstheme="minorHAnsi"/>
          <w:sz w:val="24"/>
          <w:szCs w:val="24"/>
        </w:rPr>
        <w:t>r</w:t>
      </w:r>
      <w:proofErr w:type="spellEnd"/>
      <w:r w:rsidRPr="00E050F6">
        <w:rPr>
          <w:rFonts w:cstheme="minorHAnsi"/>
          <w:sz w:val="24"/>
          <w:szCs w:val="24"/>
        </w:rPr>
        <w:t xml:space="preserve"> V</w:t>
      </w:r>
      <w:r>
        <w:rPr>
          <w:rFonts w:cstheme="minorHAnsi"/>
          <w:sz w:val="24"/>
          <w:szCs w:val="24"/>
        </w:rPr>
        <w:t>,</w:t>
      </w:r>
      <w:r w:rsidRPr="00E050F6">
        <w:rPr>
          <w:rFonts w:cstheme="minorHAnsi"/>
          <w:sz w:val="24"/>
          <w:szCs w:val="24"/>
        </w:rPr>
        <w:t xml:space="preserve"> Lambert T. Gulf Cooperation Council healthcare: challenges and opportunities. </w:t>
      </w:r>
      <w:r>
        <w:rPr>
          <w:rFonts w:cstheme="minorHAnsi"/>
          <w:sz w:val="24"/>
          <w:szCs w:val="24"/>
        </w:rPr>
        <w:t xml:space="preserve">2007; </w:t>
      </w:r>
      <w:r w:rsidRPr="00E050F6">
        <w:rPr>
          <w:rFonts w:cstheme="minorHAnsi"/>
          <w:i/>
          <w:sz w:val="24"/>
          <w:szCs w:val="24"/>
        </w:rPr>
        <w:t>Arab World Competitiveness Report (Part 5)</w:t>
      </w:r>
      <w:r w:rsidRPr="00E050F6">
        <w:rPr>
          <w:rFonts w:cstheme="minorHAnsi"/>
          <w:sz w:val="24"/>
          <w:szCs w:val="24"/>
        </w:rPr>
        <w:t>;55–64, World Economic Forum, Geneva, Switzerland 2007. DOI: http://citeseerx.ist.psu.edu/viewdoc/download?doi=10.1.1.183.7279&amp;rep=rep1&amp;type=pdf</w:t>
      </w:r>
    </w:p>
    <w:p w14:paraId="036DA848" w14:textId="77777777" w:rsidR="00DC0B44" w:rsidRPr="00E050F6" w:rsidDel="004B5F33" w:rsidRDefault="00DC0B44" w:rsidP="008F1189">
      <w:pPr>
        <w:pStyle w:val="ListParagraph"/>
        <w:numPr>
          <w:ilvl w:val="0"/>
          <w:numId w:val="2"/>
        </w:numPr>
        <w:spacing w:line="360" w:lineRule="auto"/>
        <w:jc w:val="both"/>
        <w:rPr>
          <w:rFonts w:cstheme="minorHAnsi"/>
          <w:sz w:val="24"/>
          <w:szCs w:val="24"/>
        </w:rPr>
      </w:pPr>
      <w:r w:rsidRPr="00E050F6" w:rsidDel="004B5F33">
        <w:rPr>
          <w:rFonts w:cstheme="minorHAnsi"/>
          <w:sz w:val="24"/>
          <w:szCs w:val="24"/>
        </w:rPr>
        <w:t>MOH</w:t>
      </w:r>
      <w:r>
        <w:rPr>
          <w:rFonts w:cstheme="minorHAnsi"/>
          <w:sz w:val="24"/>
          <w:szCs w:val="24"/>
        </w:rPr>
        <w:t xml:space="preserve"> portal</w:t>
      </w:r>
      <w:r w:rsidRPr="00E050F6" w:rsidDel="004B5F33">
        <w:rPr>
          <w:rFonts w:cstheme="minorHAnsi"/>
          <w:sz w:val="24"/>
          <w:szCs w:val="24"/>
        </w:rPr>
        <w:t xml:space="preserve">.com. </w:t>
      </w:r>
      <w:r w:rsidRPr="00E050F6" w:rsidDel="004B5F33">
        <w:rPr>
          <w:rFonts w:cstheme="minorHAnsi"/>
          <w:i/>
          <w:noProof/>
          <w:sz w:val="24"/>
          <w:szCs w:val="24"/>
        </w:rPr>
        <w:t>Ministry</w:t>
      </w:r>
      <w:r w:rsidRPr="00E050F6" w:rsidDel="004B5F33">
        <w:rPr>
          <w:rFonts w:cstheme="minorHAnsi"/>
          <w:i/>
          <w:sz w:val="24"/>
          <w:szCs w:val="24"/>
        </w:rPr>
        <w:t xml:space="preserve"> of Health Strategic Plan 2010</w:t>
      </w:r>
      <w:r w:rsidRPr="00E050F6">
        <w:rPr>
          <w:rFonts w:cstheme="minorHAnsi"/>
          <w:i/>
          <w:sz w:val="24"/>
          <w:szCs w:val="24"/>
        </w:rPr>
        <w:t>–</w:t>
      </w:r>
      <w:r w:rsidRPr="00E050F6" w:rsidDel="004B5F33">
        <w:rPr>
          <w:rFonts w:cstheme="minorHAnsi"/>
          <w:i/>
          <w:sz w:val="24"/>
          <w:szCs w:val="24"/>
        </w:rPr>
        <w:t>2020</w:t>
      </w:r>
      <w:r w:rsidRPr="00E050F6" w:rsidDel="004B5F33">
        <w:rPr>
          <w:rFonts w:cstheme="minorHAnsi"/>
          <w:sz w:val="24"/>
          <w:szCs w:val="24"/>
        </w:rPr>
        <w:t>. Available</w:t>
      </w:r>
      <w:r>
        <w:rPr>
          <w:rFonts w:cstheme="minorHAnsi"/>
          <w:sz w:val="24"/>
          <w:szCs w:val="24"/>
        </w:rPr>
        <w:t xml:space="preserve"> </w:t>
      </w:r>
      <w:r w:rsidRPr="00E050F6" w:rsidDel="004B5F33">
        <w:rPr>
          <w:rFonts w:cstheme="minorHAnsi"/>
          <w:sz w:val="24"/>
          <w:szCs w:val="24"/>
        </w:rPr>
        <w:t xml:space="preserve">at: </w:t>
      </w:r>
      <w:r>
        <w:rPr>
          <w:rFonts w:cstheme="minorHAnsi"/>
          <w:sz w:val="24"/>
          <w:szCs w:val="24"/>
        </w:rPr>
        <w:t xml:space="preserve"> </w:t>
      </w:r>
      <w:r w:rsidRPr="00757BFE">
        <w:rPr>
          <w:rFonts w:cstheme="minorHAnsi"/>
          <w:sz w:val="24"/>
          <w:szCs w:val="24"/>
        </w:rPr>
        <w:t>https://www.moh.gov.sa/Portal/WhatsNew/Documents/OKIstragi260p.pdf</w:t>
      </w:r>
      <w:r>
        <w:rPr>
          <w:rFonts w:cstheme="minorHAnsi"/>
          <w:sz w:val="24"/>
          <w:szCs w:val="24"/>
        </w:rPr>
        <w:t>.</w:t>
      </w:r>
      <w:r w:rsidRPr="00E050F6" w:rsidDel="004B5F33">
        <w:rPr>
          <w:rFonts w:cstheme="minorHAnsi"/>
          <w:sz w:val="24"/>
          <w:szCs w:val="24"/>
        </w:rPr>
        <w:t>(Accessed Oct</w:t>
      </w:r>
      <w:r>
        <w:rPr>
          <w:rFonts w:cstheme="minorHAnsi"/>
          <w:sz w:val="24"/>
          <w:szCs w:val="24"/>
        </w:rPr>
        <w:t>ober</w:t>
      </w:r>
      <w:r w:rsidRPr="00E050F6" w:rsidDel="004B5F33">
        <w:rPr>
          <w:rFonts w:cstheme="minorHAnsi"/>
          <w:sz w:val="24"/>
          <w:szCs w:val="24"/>
        </w:rPr>
        <w:t xml:space="preserve"> 2018).</w:t>
      </w:r>
    </w:p>
    <w:p w14:paraId="099353CF" w14:textId="7DF4FA6B" w:rsidR="00CF405F" w:rsidRPr="00E050F6" w:rsidRDefault="005548AD" w:rsidP="008F1189">
      <w:pPr>
        <w:pStyle w:val="ListParagraph"/>
        <w:numPr>
          <w:ilvl w:val="0"/>
          <w:numId w:val="2"/>
        </w:numPr>
        <w:spacing w:line="360" w:lineRule="auto"/>
        <w:jc w:val="both"/>
        <w:rPr>
          <w:rFonts w:cstheme="minorHAnsi"/>
          <w:sz w:val="24"/>
          <w:szCs w:val="24"/>
        </w:rPr>
      </w:pPr>
      <w:proofErr w:type="spellStart"/>
      <w:r w:rsidRPr="00E050F6">
        <w:rPr>
          <w:rFonts w:cstheme="minorHAnsi"/>
          <w:sz w:val="24"/>
          <w:szCs w:val="24"/>
        </w:rPr>
        <w:t>Albejaidi</w:t>
      </w:r>
      <w:proofErr w:type="spellEnd"/>
      <w:r w:rsidRPr="00E050F6">
        <w:rPr>
          <w:rFonts w:cstheme="minorHAnsi"/>
          <w:sz w:val="24"/>
          <w:szCs w:val="24"/>
        </w:rPr>
        <w:t xml:space="preserve"> F. Healthcare </w:t>
      </w:r>
      <w:r w:rsidR="00925F14">
        <w:rPr>
          <w:rFonts w:cstheme="minorHAnsi"/>
          <w:sz w:val="24"/>
          <w:szCs w:val="24"/>
        </w:rPr>
        <w:t>s</w:t>
      </w:r>
      <w:r w:rsidRPr="00E050F6">
        <w:rPr>
          <w:rFonts w:cstheme="minorHAnsi"/>
          <w:sz w:val="24"/>
          <w:szCs w:val="24"/>
        </w:rPr>
        <w:t xml:space="preserve">ystem in Saudi Arabia: </w:t>
      </w:r>
      <w:r w:rsidR="00925F14">
        <w:rPr>
          <w:rFonts w:cstheme="minorHAnsi"/>
          <w:sz w:val="24"/>
          <w:szCs w:val="24"/>
        </w:rPr>
        <w:t>a</w:t>
      </w:r>
      <w:r w:rsidRPr="00E050F6">
        <w:rPr>
          <w:rFonts w:cstheme="minorHAnsi"/>
          <w:sz w:val="24"/>
          <w:szCs w:val="24"/>
        </w:rPr>
        <w:t xml:space="preserve">n </w:t>
      </w:r>
      <w:r w:rsidR="00925F14">
        <w:rPr>
          <w:rFonts w:cstheme="minorHAnsi"/>
          <w:sz w:val="24"/>
          <w:szCs w:val="24"/>
        </w:rPr>
        <w:t>a</w:t>
      </w:r>
      <w:r w:rsidRPr="00E050F6">
        <w:rPr>
          <w:rFonts w:cstheme="minorHAnsi"/>
          <w:sz w:val="24"/>
          <w:szCs w:val="24"/>
        </w:rPr>
        <w:t xml:space="preserve">nalysis of </w:t>
      </w:r>
      <w:r w:rsidR="00925F14">
        <w:rPr>
          <w:rFonts w:cstheme="minorHAnsi"/>
          <w:sz w:val="24"/>
          <w:szCs w:val="24"/>
        </w:rPr>
        <w:t>s</w:t>
      </w:r>
      <w:r w:rsidRPr="00E050F6">
        <w:rPr>
          <w:rFonts w:cstheme="minorHAnsi"/>
          <w:sz w:val="24"/>
          <w:szCs w:val="24"/>
        </w:rPr>
        <w:t xml:space="preserve">tructure, </w:t>
      </w:r>
      <w:r w:rsidR="00925F14">
        <w:rPr>
          <w:rFonts w:cstheme="minorHAnsi"/>
          <w:sz w:val="24"/>
          <w:szCs w:val="24"/>
        </w:rPr>
        <w:t>t</w:t>
      </w:r>
      <w:r w:rsidRPr="00E050F6">
        <w:rPr>
          <w:rFonts w:cstheme="minorHAnsi"/>
          <w:sz w:val="24"/>
          <w:szCs w:val="24"/>
        </w:rPr>
        <w:t xml:space="preserve">otal </w:t>
      </w:r>
      <w:r w:rsidR="00925F14">
        <w:rPr>
          <w:rFonts w:cstheme="minorHAnsi"/>
          <w:sz w:val="24"/>
          <w:szCs w:val="24"/>
        </w:rPr>
        <w:t>q</w:t>
      </w:r>
      <w:r w:rsidRPr="00E050F6">
        <w:rPr>
          <w:rFonts w:cstheme="minorHAnsi"/>
          <w:sz w:val="24"/>
          <w:szCs w:val="24"/>
        </w:rPr>
        <w:t xml:space="preserve">uality </w:t>
      </w:r>
      <w:r w:rsidR="00925F14">
        <w:rPr>
          <w:rFonts w:cstheme="minorHAnsi"/>
          <w:sz w:val="24"/>
          <w:szCs w:val="24"/>
        </w:rPr>
        <w:t>m</w:t>
      </w:r>
      <w:r w:rsidRPr="00E050F6">
        <w:rPr>
          <w:rFonts w:cstheme="minorHAnsi"/>
          <w:sz w:val="24"/>
          <w:szCs w:val="24"/>
        </w:rPr>
        <w:t xml:space="preserve">anagement and </w:t>
      </w:r>
      <w:r w:rsidR="00925F14">
        <w:rPr>
          <w:rFonts w:cstheme="minorHAnsi"/>
          <w:sz w:val="24"/>
          <w:szCs w:val="24"/>
        </w:rPr>
        <w:t>f</w:t>
      </w:r>
      <w:r w:rsidRPr="00E050F6">
        <w:rPr>
          <w:rFonts w:cstheme="minorHAnsi"/>
          <w:sz w:val="24"/>
          <w:szCs w:val="24"/>
        </w:rPr>
        <w:t xml:space="preserve">uture </w:t>
      </w:r>
      <w:r w:rsidR="00925F14">
        <w:rPr>
          <w:rFonts w:cstheme="minorHAnsi"/>
          <w:sz w:val="24"/>
          <w:szCs w:val="24"/>
        </w:rPr>
        <w:t>c</w:t>
      </w:r>
      <w:r w:rsidRPr="00E050F6">
        <w:rPr>
          <w:rFonts w:cstheme="minorHAnsi"/>
          <w:sz w:val="24"/>
          <w:szCs w:val="24"/>
        </w:rPr>
        <w:t xml:space="preserve">hallenges. </w:t>
      </w:r>
      <w:r w:rsidRPr="00E050F6">
        <w:rPr>
          <w:rFonts w:cstheme="minorHAnsi"/>
          <w:i/>
          <w:sz w:val="24"/>
          <w:szCs w:val="24"/>
        </w:rPr>
        <w:t xml:space="preserve">Journal of Alternative </w:t>
      </w:r>
      <w:r w:rsidRPr="00E050F6">
        <w:rPr>
          <w:rFonts w:cstheme="minorHAnsi"/>
          <w:i/>
          <w:noProof/>
          <w:sz w:val="24"/>
          <w:szCs w:val="24"/>
        </w:rPr>
        <w:t>Perspectives in the Social Sciences</w:t>
      </w:r>
      <w:r w:rsidRPr="00E050F6">
        <w:rPr>
          <w:rFonts w:cstheme="minorHAnsi"/>
          <w:noProof/>
          <w:sz w:val="24"/>
          <w:szCs w:val="24"/>
        </w:rPr>
        <w:t xml:space="preserve"> </w:t>
      </w:r>
      <w:r w:rsidR="00925F14">
        <w:rPr>
          <w:rFonts w:cstheme="minorHAnsi"/>
          <w:noProof/>
          <w:sz w:val="24"/>
          <w:szCs w:val="24"/>
        </w:rPr>
        <w:t>2010;</w:t>
      </w:r>
      <w:r w:rsidRPr="00E050F6">
        <w:rPr>
          <w:rFonts w:cstheme="minorHAnsi"/>
          <w:noProof/>
          <w:sz w:val="24"/>
          <w:szCs w:val="24"/>
        </w:rPr>
        <w:t>2(2):794-818.</w:t>
      </w:r>
    </w:p>
    <w:p w14:paraId="69FE3B03" w14:textId="77777777" w:rsidR="00DC0B44" w:rsidRPr="00E050F6" w:rsidRDefault="00DC0B44"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Jacobs R, Smith P</w:t>
      </w:r>
      <w:r>
        <w:rPr>
          <w:rFonts w:cstheme="minorHAnsi"/>
          <w:sz w:val="24"/>
          <w:szCs w:val="24"/>
        </w:rPr>
        <w:t>,</w:t>
      </w:r>
      <w:r w:rsidRPr="00E050F6">
        <w:rPr>
          <w:rFonts w:cstheme="minorHAnsi"/>
          <w:sz w:val="24"/>
          <w:szCs w:val="24"/>
        </w:rPr>
        <w:t xml:space="preserve"> Street A. </w:t>
      </w:r>
      <w:r w:rsidRPr="00E050F6">
        <w:rPr>
          <w:rFonts w:cstheme="minorHAnsi"/>
          <w:i/>
          <w:noProof/>
          <w:sz w:val="24"/>
          <w:szCs w:val="24"/>
        </w:rPr>
        <w:t>Measuring efficiency in health care: analytic techniques and health policy.</w:t>
      </w:r>
      <w:r w:rsidRPr="00E050F6">
        <w:rPr>
          <w:rFonts w:cstheme="minorHAnsi"/>
          <w:sz w:val="24"/>
          <w:szCs w:val="24"/>
        </w:rPr>
        <w:t xml:space="preserve"> Cambridge; Cambridge University, p3</w:t>
      </w:r>
      <w:r>
        <w:rPr>
          <w:rFonts w:cstheme="minorHAnsi"/>
          <w:sz w:val="24"/>
          <w:szCs w:val="24"/>
        </w:rPr>
        <w:t>–</w:t>
      </w:r>
      <w:r w:rsidRPr="00E050F6">
        <w:rPr>
          <w:rFonts w:cstheme="minorHAnsi"/>
          <w:sz w:val="24"/>
          <w:szCs w:val="24"/>
        </w:rPr>
        <w:t>3</w:t>
      </w:r>
      <w:r>
        <w:rPr>
          <w:rFonts w:cstheme="minorHAnsi"/>
          <w:sz w:val="24"/>
          <w:szCs w:val="24"/>
        </w:rPr>
        <w:t>9/91-127, 2006.</w:t>
      </w:r>
    </w:p>
    <w:p w14:paraId="0B6DD2DC" w14:textId="77777777" w:rsidR="00DC0B44" w:rsidRPr="00E050F6" w:rsidRDefault="00DC0B44"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 xml:space="preserve">Farrell MJ. </w:t>
      </w:r>
      <w:r w:rsidRPr="00E050F6">
        <w:rPr>
          <w:rFonts w:cstheme="minorHAnsi"/>
          <w:noProof/>
          <w:sz w:val="24"/>
          <w:szCs w:val="24"/>
        </w:rPr>
        <w:t>The Measurement</w:t>
      </w:r>
      <w:r w:rsidRPr="00E050F6">
        <w:rPr>
          <w:rFonts w:cstheme="minorHAnsi"/>
          <w:sz w:val="24"/>
          <w:szCs w:val="24"/>
        </w:rPr>
        <w:t xml:space="preserve"> of Productive Efficiency. </w:t>
      </w:r>
      <w:r w:rsidRPr="00E050F6">
        <w:rPr>
          <w:rFonts w:cstheme="minorHAnsi"/>
          <w:i/>
          <w:sz w:val="24"/>
          <w:szCs w:val="24"/>
        </w:rPr>
        <w:t>Journal of the Royal Statistical Society</w:t>
      </w:r>
      <w:r>
        <w:rPr>
          <w:rFonts w:cstheme="minorHAnsi"/>
          <w:sz w:val="24"/>
          <w:szCs w:val="24"/>
        </w:rPr>
        <w:t xml:space="preserve"> 1957;</w:t>
      </w:r>
      <w:r w:rsidRPr="00E050F6">
        <w:rPr>
          <w:rFonts w:cstheme="minorHAnsi"/>
          <w:sz w:val="24"/>
          <w:szCs w:val="24"/>
        </w:rPr>
        <w:t>120(3):253–290.</w:t>
      </w:r>
    </w:p>
    <w:p w14:paraId="0F3EE943" w14:textId="77777777" w:rsidR="00DC0B44" w:rsidRPr="00E050F6" w:rsidRDefault="00DC0B44"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Hanson K</w:t>
      </w:r>
      <w:r>
        <w:rPr>
          <w:rFonts w:cstheme="minorHAnsi"/>
          <w:sz w:val="24"/>
          <w:szCs w:val="24"/>
        </w:rPr>
        <w:t xml:space="preserve">, </w:t>
      </w:r>
      <w:proofErr w:type="spellStart"/>
      <w:r w:rsidRPr="000A6BDD">
        <w:rPr>
          <w:rFonts w:cstheme="minorHAnsi"/>
          <w:sz w:val="24"/>
          <w:szCs w:val="24"/>
        </w:rPr>
        <w:t>Atuyambe</w:t>
      </w:r>
      <w:proofErr w:type="spellEnd"/>
      <w:r>
        <w:rPr>
          <w:rFonts w:cstheme="minorHAnsi"/>
          <w:sz w:val="24"/>
          <w:szCs w:val="24"/>
        </w:rPr>
        <w:t xml:space="preserve"> L, </w:t>
      </w:r>
      <w:proofErr w:type="spellStart"/>
      <w:r w:rsidRPr="000A6BDD">
        <w:rPr>
          <w:rFonts w:cstheme="minorHAnsi"/>
          <w:sz w:val="24"/>
          <w:szCs w:val="24"/>
        </w:rPr>
        <w:t>Kamwanga</w:t>
      </w:r>
      <w:proofErr w:type="spellEnd"/>
      <w:r>
        <w:rPr>
          <w:rFonts w:cstheme="minorHAnsi"/>
          <w:sz w:val="24"/>
          <w:szCs w:val="24"/>
        </w:rPr>
        <w:t xml:space="preserve"> J</w:t>
      </w:r>
      <w:r w:rsidRPr="00E050F6">
        <w:rPr>
          <w:rFonts w:cstheme="minorHAnsi"/>
          <w:sz w:val="24"/>
          <w:szCs w:val="24"/>
        </w:rPr>
        <w:t xml:space="preserve"> </w:t>
      </w:r>
      <w:r w:rsidRPr="00E050F6">
        <w:rPr>
          <w:rFonts w:cstheme="minorHAnsi"/>
          <w:i/>
          <w:sz w:val="24"/>
          <w:szCs w:val="24"/>
        </w:rPr>
        <w:t>et al</w:t>
      </w:r>
      <w:r w:rsidRPr="00E050F6">
        <w:rPr>
          <w:rFonts w:cstheme="minorHAnsi"/>
          <w:sz w:val="24"/>
          <w:szCs w:val="24"/>
        </w:rPr>
        <w:t xml:space="preserve">. Towards improving hospital performance in Uganda and Zambia: reflections and opportunities for autonomy. </w:t>
      </w:r>
      <w:r w:rsidRPr="00E050F6">
        <w:rPr>
          <w:rFonts w:cstheme="minorHAnsi"/>
          <w:i/>
          <w:sz w:val="24"/>
          <w:szCs w:val="24"/>
        </w:rPr>
        <w:t>Health Policy</w:t>
      </w:r>
      <w:r>
        <w:rPr>
          <w:rFonts w:cstheme="minorHAnsi"/>
          <w:sz w:val="24"/>
          <w:szCs w:val="24"/>
        </w:rPr>
        <w:t xml:space="preserve"> 2002;</w:t>
      </w:r>
      <w:r w:rsidRPr="00E050F6">
        <w:rPr>
          <w:rFonts w:cstheme="minorHAnsi"/>
          <w:sz w:val="24"/>
          <w:szCs w:val="24"/>
        </w:rPr>
        <w:t>61, 73–94.</w:t>
      </w:r>
    </w:p>
    <w:p w14:paraId="7B8770AD" w14:textId="77777777" w:rsidR="00DC0B44" w:rsidRPr="00E050F6" w:rsidRDefault="00DC0B44"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 xml:space="preserve">Hollingworth B. Non-parametric and parametric </w:t>
      </w:r>
      <w:r w:rsidRPr="00E050F6">
        <w:rPr>
          <w:rFonts w:cstheme="minorHAnsi"/>
          <w:noProof/>
          <w:sz w:val="24"/>
          <w:szCs w:val="24"/>
        </w:rPr>
        <w:t>applications</w:t>
      </w:r>
      <w:r w:rsidRPr="00E050F6">
        <w:rPr>
          <w:rFonts w:cstheme="minorHAnsi"/>
          <w:sz w:val="24"/>
          <w:szCs w:val="24"/>
        </w:rPr>
        <w:t xml:space="preserve"> measuring efficiency in health care. </w:t>
      </w:r>
      <w:r w:rsidRPr="00E050F6">
        <w:rPr>
          <w:rFonts w:cstheme="minorHAnsi"/>
          <w:i/>
          <w:sz w:val="24"/>
          <w:szCs w:val="24"/>
        </w:rPr>
        <w:t>Healthcare Management Science</w:t>
      </w:r>
      <w:r>
        <w:rPr>
          <w:rFonts w:cstheme="minorHAnsi"/>
          <w:sz w:val="24"/>
          <w:szCs w:val="24"/>
        </w:rPr>
        <w:t xml:space="preserve"> </w:t>
      </w:r>
      <w:proofErr w:type="gramStart"/>
      <w:r>
        <w:rPr>
          <w:rFonts w:cstheme="minorHAnsi"/>
          <w:sz w:val="24"/>
          <w:szCs w:val="24"/>
        </w:rPr>
        <w:t>2003;</w:t>
      </w:r>
      <w:r w:rsidRPr="00E050F6">
        <w:rPr>
          <w:rFonts w:cstheme="minorHAnsi"/>
          <w:sz w:val="24"/>
          <w:szCs w:val="24"/>
        </w:rPr>
        <w:t>6:203</w:t>
      </w:r>
      <w:proofErr w:type="gramEnd"/>
      <w:r w:rsidRPr="00E050F6">
        <w:rPr>
          <w:rFonts w:cstheme="minorHAnsi"/>
          <w:sz w:val="24"/>
          <w:szCs w:val="24"/>
        </w:rPr>
        <w:t>–218.</w:t>
      </w:r>
    </w:p>
    <w:p w14:paraId="15FA85AD" w14:textId="77777777" w:rsidR="00DC0B44" w:rsidRPr="00E050F6" w:rsidRDefault="00DC0B44"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 xml:space="preserve">Kelly E, </w:t>
      </w:r>
      <w:proofErr w:type="spellStart"/>
      <w:r w:rsidRPr="00E050F6">
        <w:rPr>
          <w:rFonts w:cstheme="minorHAnsi"/>
          <w:sz w:val="24"/>
          <w:szCs w:val="24"/>
        </w:rPr>
        <w:t>Stoye</w:t>
      </w:r>
      <w:proofErr w:type="spellEnd"/>
      <w:r w:rsidRPr="00E050F6">
        <w:rPr>
          <w:rFonts w:cstheme="minorHAnsi"/>
          <w:sz w:val="24"/>
          <w:szCs w:val="24"/>
        </w:rPr>
        <w:t xml:space="preserve"> G</w:t>
      </w:r>
      <w:r>
        <w:rPr>
          <w:rFonts w:cstheme="minorHAnsi"/>
          <w:sz w:val="24"/>
          <w:szCs w:val="24"/>
        </w:rPr>
        <w:t>,</w:t>
      </w:r>
      <w:r w:rsidRPr="00E050F6">
        <w:rPr>
          <w:rFonts w:cstheme="minorHAnsi"/>
          <w:sz w:val="24"/>
          <w:szCs w:val="24"/>
        </w:rPr>
        <w:t xml:space="preserve"> Vera-Hernández M. Public </w:t>
      </w:r>
      <w:r>
        <w:rPr>
          <w:rFonts w:cstheme="minorHAnsi"/>
          <w:sz w:val="24"/>
          <w:szCs w:val="24"/>
        </w:rPr>
        <w:t>h</w:t>
      </w:r>
      <w:r w:rsidRPr="00E050F6">
        <w:rPr>
          <w:rFonts w:cstheme="minorHAnsi"/>
          <w:sz w:val="24"/>
          <w:szCs w:val="24"/>
        </w:rPr>
        <w:t xml:space="preserve">ospital </w:t>
      </w:r>
      <w:r>
        <w:rPr>
          <w:rFonts w:cstheme="minorHAnsi"/>
          <w:sz w:val="24"/>
          <w:szCs w:val="24"/>
        </w:rPr>
        <w:t>s</w:t>
      </w:r>
      <w:r w:rsidRPr="00E050F6">
        <w:rPr>
          <w:rFonts w:cstheme="minorHAnsi"/>
          <w:sz w:val="24"/>
          <w:szCs w:val="24"/>
        </w:rPr>
        <w:t xml:space="preserve">pending in England: </w:t>
      </w:r>
      <w:r>
        <w:rPr>
          <w:rFonts w:cstheme="minorHAnsi"/>
          <w:sz w:val="24"/>
          <w:szCs w:val="24"/>
        </w:rPr>
        <w:t>e</w:t>
      </w:r>
      <w:r w:rsidRPr="00E050F6">
        <w:rPr>
          <w:rFonts w:cstheme="minorHAnsi"/>
          <w:sz w:val="24"/>
          <w:szCs w:val="24"/>
        </w:rPr>
        <w:t xml:space="preserve">vidence from National Health Service </w:t>
      </w:r>
      <w:r>
        <w:rPr>
          <w:rFonts w:cstheme="minorHAnsi"/>
          <w:sz w:val="24"/>
          <w:szCs w:val="24"/>
        </w:rPr>
        <w:t>a</w:t>
      </w:r>
      <w:r w:rsidRPr="00E050F6">
        <w:rPr>
          <w:rFonts w:cstheme="minorHAnsi"/>
          <w:sz w:val="24"/>
          <w:szCs w:val="24"/>
        </w:rPr>
        <w:t xml:space="preserve">dministrative </w:t>
      </w:r>
      <w:r>
        <w:rPr>
          <w:rFonts w:cstheme="minorHAnsi"/>
          <w:sz w:val="24"/>
          <w:szCs w:val="24"/>
        </w:rPr>
        <w:t>r</w:t>
      </w:r>
      <w:r w:rsidRPr="00E050F6">
        <w:rPr>
          <w:rFonts w:cstheme="minorHAnsi"/>
          <w:sz w:val="24"/>
          <w:szCs w:val="24"/>
        </w:rPr>
        <w:t xml:space="preserve">ecords. </w:t>
      </w:r>
      <w:r w:rsidRPr="00E050F6">
        <w:rPr>
          <w:rFonts w:cstheme="minorHAnsi"/>
          <w:i/>
          <w:sz w:val="24"/>
          <w:szCs w:val="24"/>
        </w:rPr>
        <w:t>Fiscal Studies</w:t>
      </w:r>
      <w:r>
        <w:rPr>
          <w:rFonts w:cstheme="minorHAnsi"/>
          <w:sz w:val="24"/>
          <w:szCs w:val="24"/>
        </w:rPr>
        <w:t xml:space="preserve"> 2016;</w:t>
      </w:r>
      <w:r w:rsidRPr="00E050F6">
        <w:rPr>
          <w:rFonts w:cstheme="minorHAnsi"/>
          <w:sz w:val="24"/>
          <w:szCs w:val="24"/>
        </w:rPr>
        <w:t>37(3-4), pp.433</w:t>
      </w:r>
      <w:r>
        <w:rPr>
          <w:rFonts w:cstheme="minorHAnsi"/>
          <w:sz w:val="24"/>
          <w:szCs w:val="24"/>
        </w:rPr>
        <w:t>–</w:t>
      </w:r>
      <w:r w:rsidRPr="00E050F6">
        <w:rPr>
          <w:rFonts w:cstheme="minorHAnsi"/>
          <w:sz w:val="24"/>
          <w:szCs w:val="24"/>
        </w:rPr>
        <w:t>459.</w:t>
      </w:r>
    </w:p>
    <w:p w14:paraId="46E6F5D2" w14:textId="77777777" w:rsidR="00DC0B44" w:rsidRDefault="00DC0B44" w:rsidP="008F1189">
      <w:pPr>
        <w:pStyle w:val="ListParagraph"/>
        <w:numPr>
          <w:ilvl w:val="0"/>
          <w:numId w:val="2"/>
        </w:numPr>
        <w:spacing w:line="360" w:lineRule="auto"/>
        <w:jc w:val="both"/>
        <w:rPr>
          <w:rFonts w:cstheme="minorHAnsi"/>
          <w:sz w:val="24"/>
          <w:szCs w:val="24"/>
        </w:rPr>
      </w:pPr>
      <w:r>
        <w:rPr>
          <w:rFonts w:cstheme="minorHAnsi"/>
          <w:sz w:val="24"/>
          <w:szCs w:val="24"/>
        </w:rPr>
        <w:t xml:space="preserve">Alatawi A, Ahmed S, Niessen L </w:t>
      </w:r>
      <w:r>
        <w:rPr>
          <w:rFonts w:cstheme="minorHAnsi"/>
          <w:i/>
          <w:sz w:val="24"/>
          <w:szCs w:val="24"/>
        </w:rPr>
        <w:t>and Khan J</w:t>
      </w:r>
      <w:r>
        <w:rPr>
          <w:rFonts w:cstheme="minorHAnsi"/>
          <w:sz w:val="24"/>
          <w:szCs w:val="24"/>
        </w:rPr>
        <w:t xml:space="preserve">. Systematic review and meta-analysis of public hospital efficiency studies in Gulf region and selected countries in similar settings. </w:t>
      </w:r>
      <w:r w:rsidRPr="00C265CB">
        <w:rPr>
          <w:rFonts w:cstheme="minorHAnsi"/>
          <w:sz w:val="24"/>
          <w:szCs w:val="24"/>
        </w:rPr>
        <w:t>Cost Effectiveness and Resource Allocation</w:t>
      </w:r>
      <w:r>
        <w:rPr>
          <w:rFonts w:cstheme="minorHAnsi"/>
          <w:sz w:val="24"/>
          <w:szCs w:val="24"/>
        </w:rPr>
        <w:t xml:space="preserve"> 2019;17(17).</w:t>
      </w:r>
      <w:r>
        <w:t xml:space="preserve"> </w:t>
      </w:r>
      <w:r>
        <w:rPr>
          <w:rFonts w:cstheme="minorHAnsi"/>
          <w:sz w:val="24"/>
          <w:szCs w:val="24"/>
        </w:rPr>
        <w:t xml:space="preserve"> D</w:t>
      </w:r>
      <w:r w:rsidRPr="00C265CB">
        <w:rPr>
          <w:rFonts w:cstheme="minorHAnsi"/>
          <w:sz w:val="24"/>
          <w:szCs w:val="24"/>
        </w:rPr>
        <w:t>oi.org/10.1186/s12962-019-0185-4</w:t>
      </w:r>
    </w:p>
    <w:p w14:paraId="25714711" w14:textId="77777777" w:rsidR="00DC0B44" w:rsidRPr="00C03233" w:rsidRDefault="00DC0B44" w:rsidP="008F1189">
      <w:pPr>
        <w:pStyle w:val="ListParagraph"/>
        <w:numPr>
          <w:ilvl w:val="0"/>
          <w:numId w:val="2"/>
        </w:numPr>
        <w:spacing w:line="360" w:lineRule="auto"/>
        <w:jc w:val="both"/>
        <w:rPr>
          <w:rFonts w:cstheme="minorHAnsi"/>
          <w:sz w:val="24"/>
          <w:szCs w:val="24"/>
        </w:rPr>
      </w:pPr>
      <w:proofErr w:type="spellStart"/>
      <w:r w:rsidRPr="00C03233">
        <w:rPr>
          <w:rFonts w:cstheme="minorHAnsi"/>
          <w:sz w:val="24"/>
          <w:szCs w:val="24"/>
        </w:rPr>
        <w:t>Helal</w:t>
      </w:r>
      <w:proofErr w:type="spellEnd"/>
      <w:r w:rsidRPr="00C03233">
        <w:rPr>
          <w:rFonts w:cstheme="minorHAnsi"/>
          <w:sz w:val="24"/>
          <w:szCs w:val="24"/>
        </w:rPr>
        <w:t xml:space="preserve"> S</w:t>
      </w:r>
      <w:r>
        <w:rPr>
          <w:rFonts w:cstheme="minorHAnsi"/>
          <w:sz w:val="24"/>
          <w:szCs w:val="24"/>
        </w:rPr>
        <w:t>,</w:t>
      </w:r>
      <w:r w:rsidRPr="00C03233">
        <w:rPr>
          <w:rFonts w:cstheme="minorHAnsi"/>
          <w:sz w:val="24"/>
          <w:szCs w:val="24"/>
        </w:rPr>
        <w:t xml:space="preserve"> </w:t>
      </w:r>
      <w:proofErr w:type="spellStart"/>
      <w:r w:rsidRPr="00C03233">
        <w:rPr>
          <w:rFonts w:cstheme="minorHAnsi"/>
          <w:sz w:val="24"/>
          <w:szCs w:val="24"/>
        </w:rPr>
        <w:t>Elimam</w:t>
      </w:r>
      <w:proofErr w:type="spellEnd"/>
      <w:r w:rsidRPr="00C03233">
        <w:rPr>
          <w:rFonts w:cstheme="minorHAnsi"/>
          <w:sz w:val="24"/>
          <w:szCs w:val="24"/>
        </w:rPr>
        <w:t xml:space="preserve"> H. Measuring the efficiency of health services areas in Kingdom of Saudi Arabia using data envelopment analysis (DEA): a comparative study between the years 2014 and 2006.</w:t>
      </w:r>
      <w:r w:rsidRPr="00E050F6">
        <w:rPr>
          <w:rFonts w:cstheme="minorHAnsi"/>
          <w:i/>
          <w:sz w:val="24"/>
          <w:szCs w:val="24"/>
        </w:rPr>
        <w:t xml:space="preserve"> International Journal of Economics and Finance</w:t>
      </w:r>
      <w:r w:rsidRPr="00C03233">
        <w:rPr>
          <w:rFonts w:cstheme="minorHAnsi"/>
          <w:sz w:val="24"/>
          <w:szCs w:val="24"/>
        </w:rPr>
        <w:t xml:space="preserve"> 2017;9(4) pp172</w:t>
      </w:r>
      <w:r>
        <w:rPr>
          <w:rFonts w:cstheme="minorHAnsi"/>
          <w:sz w:val="24"/>
          <w:szCs w:val="24"/>
        </w:rPr>
        <w:t>–</w:t>
      </w:r>
      <w:r w:rsidRPr="00C03233">
        <w:rPr>
          <w:rFonts w:cstheme="minorHAnsi"/>
          <w:sz w:val="24"/>
          <w:szCs w:val="24"/>
        </w:rPr>
        <w:t>184.</w:t>
      </w:r>
    </w:p>
    <w:p w14:paraId="05C01F7C" w14:textId="77777777" w:rsidR="00DC0B44" w:rsidRPr="00E050F6" w:rsidRDefault="00DC0B44" w:rsidP="008F1189">
      <w:pPr>
        <w:pStyle w:val="ListParagraph"/>
        <w:numPr>
          <w:ilvl w:val="0"/>
          <w:numId w:val="2"/>
        </w:numPr>
        <w:spacing w:line="360" w:lineRule="auto"/>
        <w:jc w:val="both"/>
        <w:rPr>
          <w:rFonts w:cstheme="minorHAnsi"/>
          <w:sz w:val="24"/>
          <w:szCs w:val="24"/>
        </w:rPr>
      </w:pPr>
      <w:proofErr w:type="spellStart"/>
      <w:r w:rsidRPr="00C03233">
        <w:rPr>
          <w:rFonts w:cstheme="minorHAnsi"/>
          <w:sz w:val="24"/>
          <w:szCs w:val="24"/>
        </w:rPr>
        <w:lastRenderedPageBreak/>
        <w:t>Abou</w:t>
      </w:r>
      <w:proofErr w:type="spellEnd"/>
      <w:r w:rsidRPr="00C03233">
        <w:rPr>
          <w:rFonts w:cstheme="minorHAnsi"/>
          <w:sz w:val="24"/>
          <w:szCs w:val="24"/>
        </w:rPr>
        <w:t xml:space="preserve"> El-</w:t>
      </w:r>
      <w:proofErr w:type="spellStart"/>
      <w:r w:rsidRPr="00C03233">
        <w:rPr>
          <w:rFonts w:cstheme="minorHAnsi"/>
          <w:sz w:val="24"/>
          <w:szCs w:val="24"/>
        </w:rPr>
        <w:t>Seoud</w:t>
      </w:r>
      <w:proofErr w:type="spellEnd"/>
      <w:r w:rsidRPr="00C03233">
        <w:rPr>
          <w:rFonts w:cstheme="minorHAnsi"/>
          <w:sz w:val="24"/>
          <w:szCs w:val="24"/>
        </w:rPr>
        <w:t xml:space="preserve"> M. Measuring </w:t>
      </w:r>
      <w:r>
        <w:rPr>
          <w:rFonts w:cstheme="minorHAnsi"/>
          <w:sz w:val="24"/>
          <w:szCs w:val="24"/>
        </w:rPr>
        <w:t>e</w:t>
      </w:r>
      <w:r w:rsidRPr="00C03233">
        <w:rPr>
          <w:rFonts w:cstheme="minorHAnsi"/>
          <w:sz w:val="24"/>
          <w:szCs w:val="24"/>
        </w:rPr>
        <w:t xml:space="preserve">fficiency of </w:t>
      </w:r>
      <w:r>
        <w:rPr>
          <w:rFonts w:cstheme="minorHAnsi"/>
          <w:sz w:val="24"/>
          <w:szCs w:val="24"/>
        </w:rPr>
        <w:t>r</w:t>
      </w:r>
      <w:r w:rsidRPr="00C03233">
        <w:rPr>
          <w:rFonts w:cstheme="minorHAnsi"/>
          <w:sz w:val="24"/>
          <w:szCs w:val="24"/>
        </w:rPr>
        <w:t xml:space="preserve">eformed </w:t>
      </w:r>
      <w:r>
        <w:rPr>
          <w:rFonts w:cstheme="minorHAnsi"/>
          <w:sz w:val="24"/>
          <w:szCs w:val="24"/>
        </w:rPr>
        <w:t>p</w:t>
      </w:r>
      <w:r w:rsidRPr="00C03233">
        <w:rPr>
          <w:rFonts w:cstheme="minorHAnsi"/>
          <w:sz w:val="24"/>
          <w:szCs w:val="24"/>
        </w:rPr>
        <w:t xml:space="preserve">ublic </w:t>
      </w:r>
      <w:r>
        <w:rPr>
          <w:rFonts w:cstheme="minorHAnsi"/>
          <w:sz w:val="24"/>
          <w:szCs w:val="24"/>
        </w:rPr>
        <w:t>h</w:t>
      </w:r>
      <w:r w:rsidRPr="00C03233">
        <w:rPr>
          <w:rFonts w:cstheme="minorHAnsi"/>
          <w:sz w:val="24"/>
          <w:szCs w:val="24"/>
        </w:rPr>
        <w:t xml:space="preserve">ospitals in Saudi Arabia: An </w:t>
      </w:r>
      <w:r>
        <w:rPr>
          <w:rFonts w:cstheme="minorHAnsi"/>
          <w:sz w:val="24"/>
          <w:szCs w:val="24"/>
        </w:rPr>
        <w:t>a</w:t>
      </w:r>
      <w:r w:rsidRPr="00C03233">
        <w:rPr>
          <w:rFonts w:cstheme="minorHAnsi"/>
          <w:sz w:val="24"/>
          <w:szCs w:val="24"/>
        </w:rPr>
        <w:t xml:space="preserve">pplication of </w:t>
      </w:r>
      <w:r>
        <w:rPr>
          <w:rFonts w:cstheme="minorHAnsi"/>
          <w:sz w:val="24"/>
          <w:szCs w:val="24"/>
        </w:rPr>
        <w:t>d</w:t>
      </w:r>
      <w:r w:rsidRPr="00C03233">
        <w:rPr>
          <w:rFonts w:cstheme="minorHAnsi"/>
          <w:sz w:val="24"/>
          <w:szCs w:val="24"/>
        </w:rPr>
        <w:t xml:space="preserve">ata </w:t>
      </w:r>
      <w:r>
        <w:rPr>
          <w:rFonts w:cstheme="minorHAnsi"/>
          <w:sz w:val="24"/>
          <w:szCs w:val="24"/>
        </w:rPr>
        <w:t>e</w:t>
      </w:r>
      <w:r w:rsidRPr="00C03233">
        <w:rPr>
          <w:rFonts w:cstheme="minorHAnsi"/>
          <w:sz w:val="24"/>
          <w:szCs w:val="24"/>
        </w:rPr>
        <w:t xml:space="preserve">nvelopment </w:t>
      </w:r>
      <w:r>
        <w:rPr>
          <w:rFonts w:cstheme="minorHAnsi"/>
          <w:sz w:val="24"/>
          <w:szCs w:val="24"/>
        </w:rPr>
        <w:t>a</w:t>
      </w:r>
      <w:r w:rsidRPr="00C03233">
        <w:rPr>
          <w:rFonts w:cstheme="minorHAnsi"/>
          <w:sz w:val="24"/>
          <w:szCs w:val="24"/>
        </w:rPr>
        <w:t xml:space="preserve">nalysis. </w:t>
      </w:r>
      <w:r w:rsidRPr="00E050F6">
        <w:rPr>
          <w:rFonts w:cstheme="minorHAnsi"/>
          <w:i/>
          <w:sz w:val="24"/>
          <w:szCs w:val="24"/>
        </w:rPr>
        <w:t>International Journal of Economics and Management Sciences</w:t>
      </w:r>
      <w:r>
        <w:rPr>
          <w:rFonts w:cstheme="minorHAnsi"/>
          <w:sz w:val="24"/>
          <w:szCs w:val="24"/>
        </w:rPr>
        <w:t xml:space="preserve"> 2013;</w:t>
      </w:r>
      <w:r w:rsidRPr="00C03233">
        <w:rPr>
          <w:rFonts w:cstheme="minorHAnsi"/>
          <w:sz w:val="24"/>
          <w:szCs w:val="24"/>
        </w:rPr>
        <w:t>2(9)</w:t>
      </w:r>
      <w:r>
        <w:rPr>
          <w:rFonts w:cstheme="minorHAnsi"/>
          <w:sz w:val="24"/>
          <w:szCs w:val="24"/>
        </w:rPr>
        <w:t>:</w:t>
      </w:r>
      <w:r w:rsidRPr="00C03233">
        <w:rPr>
          <w:rFonts w:cstheme="minorHAnsi"/>
          <w:sz w:val="24"/>
          <w:szCs w:val="24"/>
        </w:rPr>
        <w:t>44–53.</w:t>
      </w:r>
    </w:p>
    <w:p w14:paraId="36849663" w14:textId="77777777" w:rsidR="00DC0B44" w:rsidRDefault="00DC0B44"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 xml:space="preserve">Hussey P, de Vries H, </w:t>
      </w:r>
      <w:proofErr w:type="spellStart"/>
      <w:r w:rsidRPr="00E050F6">
        <w:rPr>
          <w:rFonts w:cstheme="minorHAnsi"/>
          <w:sz w:val="24"/>
          <w:szCs w:val="24"/>
        </w:rPr>
        <w:t>Romley</w:t>
      </w:r>
      <w:proofErr w:type="spellEnd"/>
      <w:r w:rsidRPr="00E050F6">
        <w:rPr>
          <w:rFonts w:cstheme="minorHAnsi"/>
          <w:sz w:val="24"/>
          <w:szCs w:val="24"/>
        </w:rPr>
        <w:t xml:space="preserve"> J </w:t>
      </w:r>
      <w:r w:rsidRPr="00E050F6">
        <w:rPr>
          <w:rFonts w:cstheme="minorHAnsi"/>
          <w:i/>
          <w:sz w:val="24"/>
          <w:szCs w:val="24"/>
        </w:rPr>
        <w:t>et al</w:t>
      </w:r>
      <w:r w:rsidRPr="00E050F6">
        <w:rPr>
          <w:rFonts w:cstheme="minorHAnsi"/>
          <w:noProof/>
          <w:sz w:val="24"/>
          <w:szCs w:val="24"/>
        </w:rPr>
        <w:t xml:space="preserve">. A systematic review of health care efficiency measures. </w:t>
      </w:r>
      <w:r w:rsidRPr="00E050F6">
        <w:rPr>
          <w:rFonts w:cstheme="minorHAnsi"/>
          <w:i/>
          <w:noProof/>
          <w:sz w:val="24"/>
          <w:szCs w:val="24"/>
        </w:rPr>
        <w:t>Health Services Research</w:t>
      </w:r>
      <w:r>
        <w:rPr>
          <w:rFonts w:cstheme="minorHAnsi"/>
          <w:noProof/>
          <w:sz w:val="24"/>
          <w:szCs w:val="24"/>
        </w:rPr>
        <w:t xml:space="preserve"> </w:t>
      </w:r>
      <w:r w:rsidRPr="00E050F6">
        <w:rPr>
          <w:rFonts w:cstheme="minorHAnsi"/>
          <w:i/>
          <w:noProof/>
          <w:sz w:val="24"/>
          <w:szCs w:val="24"/>
        </w:rPr>
        <w:t>and Educational Trust</w:t>
      </w:r>
      <w:r>
        <w:rPr>
          <w:rFonts w:cstheme="minorHAnsi"/>
          <w:noProof/>
          <w:sz w:val="24"/>
          <w:szCs w:val="24"/>
        </w:rPr>
        <w:t xml:space="preserve"> 2009;</w:t>
      </w:r>
      <w:r w:rsidRPr="00E050F6">
        <w:rPr>
          <w:rFonts w:cstheme="minorHAnsi"/>
          <w:noProof/>
          <w:sz w:val="24"/>
          <w:szCs w:val="24"/>
        </w:rPr>
        <w:t xml:space="preserve"> 44</w:t>
      </w:r>
      <w:r w:rsidRPr="00E050F6">
        <w:rPr>
          <w:rFonts w:cstheme="minorHAnsi"/>
          <w:sz w:val="24"/>
          <w:szCs w:val="24"/>
        </w:rPr>
        <w:t>(3):784–805.</w:t>
      </w:r>
      <w:r>
        <w:rPr>
          <w:rFonts w:cstheme="minorHAnsi"/>
          <w:sz w:val="24"/>
          <w:szCs w:val="24"/>
        </w:rPr>
        <w:t xml:space="preserve"> </w:t>
      </w:r>
      <w:r w:rsidRPr="00F625E7">
        <w:rPr>
          <w:rFonts w:cstheme="minorHAnsi"/>
          <w:sz w:val="24"/>
          <w:szCs w:val="24"/>
        </w:rPr>
        <w:t>DOI: 10.1111/j.1475-6773.2008.00942.</w:t>
      </w:r>
    </w:p>
    <w:p w14:paraId="178A329A" w14:textId="77777777" w:rsidR="00DC0B44" w:rsidRPr="0092141D" w:rsidRDefault="00DC0B44" w:rsidP="008F1189">
      <w:pPr>
        <w:pStyle w:val="ListParagraph"/>
        <w:numPr>
          <w:ilvl w:val="0"/>
          <w:numId w:val="2"/>
        </w:numPr>
        <w:spacing w:line="360" w:lineRule="auto"/>
        <w:jc w:val="both"/>
        <w:rPr>
          <w:rFonts w:cstheme="minorHAnsi"/>
          <w:sz w:val="24"/>
          <w:szCs w:val="24"/>
        </w:rPr>
      </w:pPr>
      <w:proofErr w:type="spellStart"/>
      <w:r w:rsidRPr="0092141D">
        <w:rPr>
          <w:rFonts w:cstheme="minorHAnsi"/>
          <w:sz w:val="24"/>
          <w:szCs w:val="24"/>
        </w:rPr>
        <w:t>Kiadaliri</w:t>
      </w:r>
      <w:proofErr w:type="spellEnd"/>
      <w:r w:rsidRPr="0092141D">
        <w:rPr>
          <w:rFonts w:cstheme="minorHAnsi"/>
          <w:sz w:val="24"/>
          <w:szCs w:val="24"/>
        </w:rPr>
        <w:t xml:space="preserve"> A, Jafari M,</w:t>
      </w:r>
      <w:r>
        <w:rPr>
          <w:rFonts w:cstheme="minorHAnsi"/>
          <w:sz w:val="24"/>
          <w:szCs w:val="24"/>
        </w:rPr>
        <w:t xml:space="preserve"> </w:t>
      </w:r>
      <w:proofErr w:type="spellStart"/>
      <w:r w:rsidRPr="0092141D">
        <w:rPr>
          <w:rFonts w:cstheme="minorHAnsi"/>
          <w:sz w:val="24"/>
          <w:szCs w:val="24"/>
        </w:rPr>
        <w:t>Gerdtham</w:t>
      </w:r>
      <w:proofErr w:type="spellEnd"/>
      <w:r w:rsidRPr="0092141D">
        <w:rPr>
          <w:rFonts w:cstheme="minorHAnsi"/>
          <w:sz w:val="24"/>
          <w:szCs w:val="24"/>
        </w:rPr>
        <w:t xml:space="preserve"> U. Frontier-based techniques in measuring hospital efficiency in Iran: a systematic review and meta-regression analysis. </w:t>
      </w:r>
      <w:r w:rsidRPr="00E050F6">
        <w:rPr>
          <w:rFonts w:cstheme="minorHAnsi"/>
          <w:i/>
          <w:sz w:val="24"/>
          <w:szCs w:val="24"/>
        </w:rPr>
        <w:t>BMC Health</w:t>
      </w:r>
      <w:r w:rsidRPr="0092141D">
        <w:rPr>
          <w:rFonts w:cstheme="minorHAnsi"/>
          <w:sz w:val="24"/>
          <w:szCs w:val="24"/>
        </w:rPr>
        <w:t xml:space="preserve"> </w:t>
      </w:r>
      <w:r w:rsidRPr="00E050F6">
        <w:rPr>
          <w:rFonts w:cstheme="minorHAnsi"/>
          <w:i/>
          <w:sz w:val="24"/>
          <w:szCs w:val="24"/>
        </w:rPr>
        <w:t>Services Research</w:t>
      </w:r>
      <w:r w:rsidRPr="0092141D">
        <w:rPr>
          <w:rFonts w:cstheme="minorHAnsi"/>
          <w:sz w:val="24"/>
          <w:szCs w:val="24"/>
        </w:rPr>
        <w:t xml:space="preserve"> </w:t>
      </w:r>
      <w:proofErr w:type="gramStart"/>
      <w:r w:rsidRPr="0092141D">
        <w:rPr>
          <w:rFonts w:cstheme="minorHAnsi"/>
          <w:sz w:val="24"/>
          <w:szCs w:val="24"/>
        </w:rPr>
        <w:t>2013;13:312</w:t>
      </w:r>
      <w:proofErr w:type="gramEnd"/>
      <w:r w:rsidRPr="0092141D">
        <w:rPr>
          <w:rFonts w:cstheme="minorHAnsi"/>
          <w:sz w:val="24"/>
          <w:szCs w:val="24"/>
        </w:rPr>
        <w:t>.</w:t>
      </w:r>
      <w:r>
        <w:rPr>
          <w:rFonts w:cstheme="minorHAnsi"/>
          <w:sz w:val="24"/>
          <w:szCs w:val="24"/>
        </w:rPr>
        <w:t xml:space="preserve"> </w:t>
      </w:r>
      <w:r w:rsidRPr="00F625E7">
        <w:rPr>
          <w:rFonts w:cstheme="minorHAnsi"/>
          <w:sz w:val="24"/>
          <w:szCs w:val="24"/>
        </w:rPr>
        <w:t>http://www.biomedcentral.com/1472-6963/13/312</w:t>
      </w:r>
    </w:p>
    <w:p w14:paraId="2BC4013C" w14:textId="77777777" w:rsidR="00DC0B44" w:rsidRPr="00E050F6" w:rsidRDefault="00DC0B44" w:rsidP="008F1189">
      <w:pPr>
        <w:pStyle w:val="ListParagraph"/>
        <w:numPr>
          <w:ilvl w:val="0"/>
          <w:numId w:val="2"/>
        </w:numPr>
        <w:spacing w:line="360" w:lineRule="auto"/>
        <w:jc w:val="both"/>
        <w:rPr>
          <w:rFonts w:cstheme="minorHAnsi"/>
          <w:sz w:val="24"/>
          <w:szCs w:val="24"/>
        </w:rPr>
      </w:pPr>
      <w:r w:rsidRPr="00E050F6">
        <w:rPr>
          <w:rFonts w:cstheme="minorHAnsi"/>
          <w:noProof/>
          <w:sz w:val="24"/>
          <w:szCs w:val="24"/>
        </w:rPr>
        <w:t xml:space="preserve">Hollingsworth B. The measurement of efficiency and productivity of health care delivery. </w:t>
      </w:r>
      <w:r w:rsidRPr="00E050F6">
        <w:rPr>
          <w:rFonts w:cstheme="minorHAnsi"/>
          <w:i/>
          <w:noProof/>
          <w:sz w:val="24"/>
          <w:szCs w:val="24"/>
        </w:rPr>
        <w:t>Health Economics</w:t>
      </w:r>
      <w:r w:rsidRPr="00E050F6">
        <w:rPr>
          <w:rFonts w:cstheme="minorHAnsi"/>
          <w:noProof/>
          <w:sz w:val="24"/>
          <w:szCs w:val="24"/>
        </w:rPr>
        <w:t xml:space="preserve"> </w:t>
      </w:r>
      <w:proofErr w:type="gramStart"/>
      <w:r w:rsidRPr="00E050F6">
        <w:rPr>
          <w:rFonts w:cstheme="minorHAnsi"/>
          <w:noProof/>
          <w:sz w:val="24"/>
          <w:szCs w:val="24"/>
        </w:rPr>
        <w:t>2008;17:</w:t>
      </w:r>
      <w:r w:rsidRPr="00E050F6">
        <w:rPr>
          <w:rFonts w:cstheme="minorHAnsi"/>
          <w:sz w:val="24"/>
          <w:szCs w:val="24"/>
        </w:rPr>
        <w:t>1107</w:t>
      </w:r>
      <w:proofErr w:type="gramEnd"/>
      <w:r w:rsidRPr="00E050F6">
        <w:rPr>
          <w:rFonts w:cstheme="minorHAnsi"/>
          <w:sz w:val="24"/>
          <w:szCs w:val="24"/>
        </w:rPr>
        <w:t>–28.</w:t>
      </w:r>
      <w:r>
        <w:rPr>
          <w:rFonts w:cstheme="minorHAnsi"/>
          <w:sz w:val="24"/>
          <w:szCs w:val="24"/>
        </w:rPr>
        <w:t xml:space="preserve"> </w:t>
      </w:r>
      <w:r w:rsidRPr="00F625E7">
        <w:rPr>
          <w:rFonts w:cstheme="minorHAnsi"/>
          <w:sz w:val="24"/>
          <w:szCs w:val="24"/>
        </w:rPr>
        <w:t>DOI: 10.1002/hec.1391</w:t>
      </w:r>
    </w:p>
    <w:p w14:paraId="1970129F" w14:textId="77777777" w:rsidR="00DC0B44" w:rsidRDefault="00DC0B44" w:rsidP="008F1189">
      <w:pPr>
        <w:pStyle w:val="ListParagraph"/>
        <w:numPr>
          <w:ilvl w:val="0"/>
          <w:numId w:val="2"/>
        </w:numPr>
        <w:spacing w:line="360" w:lineRule="auto"/>
        <w:jc w:val="both"/>
        <w:rPr>
          <w:rFonts w:cstheme="minorHAnsi"/>
          <w:sz w:val="24"/>
          <w:szCs w:val="24"/>
        </w:rPr>
      </w:pPr>
      <w:proofErr w:type="spellStart"/>
      <w:r w:rsidRPr="00E050F6">
        <w:rPr>
          <w:rFonts w:cstheme="minorHAnsi"/>
          <w:sz w:val="24"/>
          <w:szCs w:val="24"/>
        </w:rPr>
        <w:t>Varabyova</w:t>
      </w:r>
      <w:proofErr w:type="spellEnd"/>
      <w:r w:rsidRPr="00E050F6">
        <w:rPr>
          <w:rFonts w:cstheme="minorHAnsi"/>
          <w:sz w:val="24"/>
          <w:szCs w:val="24"/>
        </w:rPr>
        <w:t xml:space="preserve"> Y</w:t>
      </w:r>
      <w:r>
        <w:rPr>
          <w:rFonts w:cstheme="minorHAnsi"/>
          <w:sz w:val="24"/>
          <w:szCs w:val="24"/>
        </w:rPr>
        <w:t>,</w:t>
      </w:r>
      <w:r w:rsidRPr="00E050F6">
        <w:rPr>
          <w:rFonts w:cstheme="minorHAnsi"/>
          <w:sz w:val="24"/>
          <w:szCs w:val="24"/>
        </w:rPr>
        <w:t xml:space="preserve"> Müller JM. The efficiency of </w:t>
      </w:r>
      <w:r w:rsidRPr="00E050F6">
        <w:rPr>
          <w:rFonts w:cstheme="minorHAnsi"/>
          <w:noProof/>
          <w:sz w:val="24"/>
          <w:szCs w:val="24"/>
        </w:rPr>
        <w:t xml:space="preserve">health care production in OECD countries: </w:t>
      </w:r>
      <w:r>
        <w:rPr>
          <w:rFonts w:cstheme="minorHAnsi"/>
          <w:noProof/>
          <w:sz w:val="24"/>
          <w:szCs w:val="24"/>
        </w:rPr>
        <w:t>a</w:t>
      </w:r>
      <w:r w:rsidRPr="00E050F6">
        <w:rPr>
          <w:rFonts w:cstheme="minorHAnsi"/>
          <w:noProof/>
          <w:sz w:val="24"/>
          <w:szCs w:val="24"/>
        </w:rPr>
        <w:t xml:space="preserve"> systematic</w:t>
      </w:r>
      <w:r w:rsidRPr="00E050F6">
        <w:rPr>
          <w:rFonts w:cstheme="minorHAnsi"/>
          <w:sz w:val="24"/>
          <w:szCs w:val="24"/>
        </w:rPr>
        <w:t xml:space="preserve"> review and meta-analysis of cross-country </w:t>
      </w:r>
      <w:r>
        <w:rPr>
          <w:rFonts w:cstheme="minorHAnsi"/>
          <w:sz w:val="24"/>
          <w:szCs w:val="24"/>
        </w:rPr>
        <w:t>c</w:t>
      </w:r>
      <w:r w:rsidRPr="00E050F6">
        <w:rPr>
          <w:rFonts w:cstheme="minorHAnsi"/>
          <w:sz w:val="24"/>
          <w:szCs w:val="24"/>
        </w:rPr>
        <w:t xml:space="preserve">omparisons. </w:t>
      </w:r>
      <w:r w:rsidRPr="00E050F6">
        <w:rPr>
          <w:rFonts w:cstheme="minorHAnsi"/>
          <w:i/>
          <w:sz w:val="24"/>
          <w:szCs w:val="24"/>
        </w:rPr>
        <w:t>Health Policy</w:t>
      </w:r>
      <w:r>
        <w:rPr>
          <w:rFonts w:cstheme="minorHAnsi"/>
          <w:sz w:val="24"/>
          <w:szCs w:val="24"/>
        </w:rPr>
        <w:t xml:space="preserve"> 2016;120</w:t>
      </w:r>
      <w:r w:rsidRPr="00E050F6">
        <w:rPr>
          <w:rFonts w:cstheme="minorHAnsi"/>
          <w:sz w:val="24"/>
          <w:szCs w:val="24"/>
        </w:rPr>
        <w:t>(</w:t>
      </w:r>
      <w:r>
        <w:rPr>
          <w:rFonts w:cstheme="minorHAnsi"/>
          <w:sz w:val="24"/>
          <w:szCs w:val="24"/>
        </w:rPr>
        <w:t>3</w:t>
      </w:r>
      <w:r w:rsidRPr="00E050F6">
        <w:rPr>
          <w:rFonts w:cstheme="minorHAnsi"/>
          <w:sz w:val="24"/>
          <w:szCs w:val="24"/>
        </w:rPr>
        <w:t>) 252–263.</w:t>
      </w:r>
      <w:r>
        <w:rPr>
          <w:rFonts w:cstheme="minorHAnsi"/>
          <w:sz w:val="24"/>
          <w:szCs w:val="24"/>
        </w:rPr>
        <w:t xml:space="preserve"> </w:t>
      </w:r>
      <w:hyperlink r:id="rId17" w:history="1">
        <w:r w:rsidRPr="00587BCD">
          <w:rPr>
            <w:rStyle w:val="Hyperlink"/>
            <w:rFonts w:cstheme="minorHAnsi"/>
            <w:sz w:val="24"/>
            <w:szCs w:val="24"/>
          </w:rPr>
          <w:t>http://dx.doi.org/10.1016/j.healthpol.2015.12.005</w:t>
        </w:r>
      </w:hyperlink>
    </w:p>
    <w:p w14:paraId="7402E4FE" w14:textId="11891A73" w:rsidR="00224367" w:rsidRPr="00E050F6" w:rsidRDefault="005548AD" w:rsidP="008F1189">
      <w:pPr>
        <w:pStyle w:val="ListParagraph"/>
        <w:numPr>
          <w:ilvl w:val="0"/>
          <w:numId w:val="2"/>
        </w:numPr>
        <w:spacing w:after="0" w:line="360" w:lineRule="auto"/>
        <w:jc w:val="both"/>
        <w:rPr>
          <w:rFonts w:cstheme="minorHAnsi"/>
          <w:color w:val="000000"/>
          <w:sz w:val="24"/>
          <w:szCs w:val="24"/>
        </w:rPr>
      </w:pPr>
      <w:r w:rsidRPr="00E050F6">
        <w:rPr>
          <w:rFonts w:cstheme="minorHAnsi"/>
          <w:color w:val="000000"/>
          <w:sz w:val="24"/>
          <w:szCs w:val="24"/>
        </w:rPr>
        <w:t>Al-</w:t>
      </w:r>
      <w:proofErr w:type="spellStart"/>
      <w:r w:rsidRPr="00E050F6">
        <w:rPr>
          <w:rFonts w:cstheme="minorHAnsi"/>
          <w:color w:val="000000"/>
          <w:sz w:val="24"/>
          <w:szCs w:val="24"/>
        </w:rPr>
        <w:t>Homayan</w:t>
      </w:r>
      <w:proofErr w:type="spellEnd"/>
      <w:r w:rsidRPr="00E050F6">
        <w:rPr>
          <w:rFonts w:cstheme="minorHAnsi"/>
          <w:color w:val="000000"/>
          <w:sz w:val="24"/>
          <w:szCs w:val="24"/>
        </w:rPr>
        <w:t xml:space="preserve"> A, </w:t>
      </w:r>
      <w:proofErr w:type="spellStart"/>
      <w:r w:rsidRPr="00E050F6">
        <w:rPr>
          <w:rFonts w:cstheme="minorHAnsi"/>
          <w:color w:val="000000"/>
          <w:sz w:val="24"/>
          <w:szCs w:val="24"/>
        </w:rPr>
        <w:t>Shamsudin</w:t>
      </w:r>
      <w:proofErr w:type="spellEnd"/>
      <w:r w:rsidR="00925F14">
        <w:rPr>
          <w:rFonts w:cstheme="minorHAnsi"/>
          <w:color w:val="000000"/>
          <w:sz w:val="24"/>
          <w:szCs w:val="24"/>
        </w:rPr>
        <w:t xml:space="preserve"> </w:t>
      </w:r>
      <w:r w:rsidRPr="00E050F6">
        <w:rPr>
          <w:rFonts w:cstheme="minorHAnsi"/>
          <w:color w:val="000000"/>
          <w:sz w:val="24"/>
          <w:szCs w:val="24"/>
        </w:rPr>
        <w:t xml:space="preserve">F, </w:t>
      </w:r>
      <w:r w:rsidR="005821C2" w:rsidRPr="005821C2">
        <w:rPr>
          <w:rFonts w:cstheme="minorHAnsi"/>
          <w:color w:val="000000"/>
          <w:sz w:val="24"/>
          <w:szCs w:val="24"/>
        </w:rPr>
        <w:t>Subramaniam</w:t>
      </w:r>
      <w:r w:rsidR="005821C2">
        <w:rPr>
          <w:rFonts w:cstheme="minorHAnsi"/>
          <w:color w:val="000000"/>
          <w:sz w:val="24"/>
          <w:szCs w:val="24"/>
        </w:rPr>
        <w:t xml:space="preserve"> C</w:t>
      </w:r>
      <w:r w:rsidR="00D73A62">
        <w:rPr>
          <w:rFonts w:cstheme="minorHAnsi"/>
          <w:color w:val="000000"/>
          <w:sz w:val="24"/>
          <w:szCs w:val="24"/>
        </w:rPr>
        <w:t>,</w:t>
      </w:r>
      <w:r w:rsidR="00426C11">
        <w:rPr>
          <w:rFonts w:cstheme="minorHAnsi"/>
          <w:color w:val="000000"/>
          <w:sz w:val="24"/>
          <w:szCs w:val="24"/>
        </w:rPr>
        <w:t xml:space="preserve"> </w:t>
      </w:r>
      <w:r w:rsidRPr="00E050F6">
        <w:rPr>
          <w:rFonts w:cstheme="minorHAnsi"/>
          <w:color w:val="000000"/>
          <w:sz w:val="24"/>
          <w:szCs w:val="24"/>
        </w:rPr>
        <w:t xml:space="preserve">Islam </w:t>
      </w:r>
      <w:r w:rsidR="005821C2">
        <w:rPr>
          <w:rFonts w:cstheme="minorHAnsi"/>
          <w:color w:val="000000"/>
          <w:sz w:val="24"/>
          <w:szCs w:val="24"/>
        </w:rPr>
        <w:t>R</w:t>
      </w:r>
      <w:r w:rsidRPr="00E050F6">
        <w:rPr>
          <w:rFonts w:cstheme="minorHAnsi"/>
          <w:color w:val="000000"/>
          <w:sz w:val="24"/>
          <w:szCs w:val="24"/>
        </w:rPr>
        <w:t xml:space="preserve">. Analysis of </w:t>
      </w:r>
      <w:r w:rsidR="00925F14">
        <w:rPr>
          <w:rFonts w:cstheme="minorHAnsi"/>
          <w:color w:val="000000"/>
          <w:sz w:val="24"/>
          <w:szCs w:val="24"/>
        </w:rPr>
        <w:t>h</w:t>
      </w:r>
      <w:r w:rsidRPr="00E050F6">
        <w:rPr>
          <w:rFonts w:cstheme="minorHAnsi"/>
          <w:color w:val="000000"/>
          <w:sz w:val="24"/>
          <w:szCs w:val="24"/>
        </w:rPr>
        <w:t xml:space="preserve">ealth </w:t>
      </w:r>
      <w:r w:rsidR="00925F14">
        <w:rPr>
          <w:rFonts w:cstheme="minorHAnsi"/>
          <w:color w:val="000000"/>
          <w:sz w:val="24"/>
          <w:szCs w:val="24"/>
        </w:rPr>
        <w:t>c</w:t>
      </w:r>
      <w:r w:rsidRPr="00E050F6">
        <w:rPr>
          <w:rFonts w:cstheme="minorHAnsi"/>
          <w:color w:val="000000"/>
          <w:sz w:val="24"/>
          <w:szCs w:val="24"/>
        </w:rPr>
        <w:t xml:space="preserve">are </w:t>
      </w:r>
      <w:r w:rsidR="00925F14">
        <w:rPr>
          <w:rFonts w:cstheme="minorHAnsi"/>
          <w:color w:val="000000"/>
          <w:sz w:val="24"/>
          <w:szCs w:val="24"/>
        </w:rPr>
        <w:t>s</w:t>
      </w:r>
      <w:r w:rsidRPr="00E050F6">
        <w:rPr>
          <w:rFonts w:cstheme="minorHAnsi"/>
          <w:color w:val="000000"/>
          <w:sz w:val="24"/>
          <w:szCs w:val="24"/>
        </w:rPr>
        <w:t xml:space="preserve">ystem </w:t>
      </w:r>
      <w:r w:rsidR="00925F14">
        <w:rPr>
          <w:rFonts w:cstheme="minorHAnsi"/>
          <w:color w:val="000000"/>
          <w:sz w:val="24"/>
          <w:szCs w:val="24"/>
        </w:rPr>
        <w:t>—</w:t>
      </w:r>
      <w:r w:rsidRPr="00E050F6">
        <w:rPr>
          <w:rFonts w:cstheme="minorHAnsi"/>
          <w:color w:val="000000"/>
          <w:sz w:val="24"/>
          <w:szCs w:val="24"/>
        </w:rPr>
        <w:t xml:space="preserve"> </w:t>
      </w:r>
      <w:r w:rsidR="00925F14">
        <w:rPr>
          <w:rFonts w:cstheme="minorHAnsi"/>
          <w:color w:val="000000"/>
          <w:sz w:val="24"/>
          <w:szCs w:val="24"/>
        </w:rPr>
        <w:t>r</w:t>
      </w:r>
      <w:r w:rsidRPr="00E050F6">
        <w:rPr>
          <w:rFonts w:cstheme="minorHAnsi"/>
          <w:color w:val="000000"/>
          <w:sz w:val="24"/>
          <w:szCs w:val="24"/>
        </w:rPr>
        <w:t xml:space="preserve">esources and </w:t>
      </w:r>
      <w:r w:rsidR="00925F14">
        <w:rPr>
          <w:rFonts w:cstheme="minorHAnsi"/>
          <w:color w:val="000000"/>
          <w:sz w:val="24"/>
          <w:szCs w:val="24"/>
        </w:rPr>
        <w:t>n</w:t>
      </w:r>
      <w:r w:rsidRPr="00E050F6">
        <w:rPr>
          <w:rFonts w:cstheme="minorHAnsi"/>
          <w:color w:val="000000"/>
          <w:sz w:val="24"/>
          <w:szCs w:val="24"/>
        </w:rPr>
        <w:t xml:space="preserve">ursing </w:t>
      </w:r>
      <w:r w:rsidR="00925F14">
        <w:rPr>
          <w:rFonts w:cstheme="minorHAnsi"/>
          <w:color w:val="000000"/>
          <w:sz w:val="24"/>
          <w:szCs w:val="24"/>
        </w:rPr>
        <w:t>s</w:t>
      </w:r>
      <w:r w:rsidRPr="00E050F6">
        <w:rPr>
          <w:rFonts w:cstheme="minorHAnsi"/>
          <w:color w:val="000000"/>
          <w:sz w:val="24"/>
          <w:szCs w:val="24"/>
        </w:rPr>
        <w:t xml:space="preserve">ector in Saudi Arabia. </w:t>
      </w:r>
      <w:r w:rsidRPr="00E050F6">
        <w:rPr>
          <w:rFonts w:cstheme="minorHAnsi"/>
          <w:i/>
          <w:iCs/>
          <w:color w:val="000000"/>
          <w:sz w:val="24"/>
          <w:szCs w:val="24"/>
        </w:rPr>
        <w:t>Advances in Environmental Biology</w:t>
      </w:r>
      <w:r w:rsidR="00925F14">
        <w:rPr>
          <w:rFonts w:cstheme="minorHAnsi"/>
          <w:color w:val="000000"/>
          <w:sz w:val="24"/>
          <w:szCs w:val="24"/>
        </w:rPr>
        <w:t xml:space="preserve"> 2013;</w:t>
      </w:r>
      <w:r w:rsidRPr="00E050F6">
        <w:rPr>
          <w:rFonts w:cstheme="minorHAnsi"/>
          <w:color w:val="000000"/>
          <w:sz w:val="24"/>
          <w:szCs w:val="24"/>
        </w:rPr>
        <w:t>7(9), pp. 2584-2592.</w:t>
      </w:r>
    </w:p>
    <w:p w14:paraId="63D34304" w14:textId="3A42E60A" w:rsidR="00F36A1A" w:rsidRPr="00E050F6" w:rsidRDefault="005548AD" w:rsidP="008F1189">
      <w:pPr>
        <w:pStyle w:val="ListParagraph"/>
        <w:numPr>
          <w:ilvl w:val="0"/>
          <w:numId w:val="2"/>
        </w:numPr>
        <w:spacing w:after="0" w:line="360" w:lineRule="auto"/>
        <w:jc w:val="both"/>
        <w:rPr>
          <w:rFonts w:cstheme="minorHAnsi"/>
          <w:b/>
          <w:bCs/>
          <w:sz w:val="24"/>
          <w:szCs w:val="24"/>
        </w:rPr>
      </w:pPr>
      <w:proofErr w:type="spellStart"/>
      <w:r w:rsidRPr="00E050F6">
        <w:rPr>
          <w:rFonts w:eastAsia="Times New Roman" w:cstheme="minorHAnsi"/>
          <w:sz w:val="24"/>
          <w:szCs w:val="24"/>
        </w:rPr>
        <w:t>Almalki</w:t>
      </w:r>
      <w:proofErr w:type="spellEnd"/>
      <w:r w:rsidRPr="00E050F6">
        <w:rPr>
          <w:rFonts w:eastAsia="Times New Roman" w:cstheme="minorHAnsi"/>
          <w:sz w:val="24"/>
          <w:szCs w:val="24"/>
        </w:rPr>
        <w:t xml:space="preserve"> M, FitzGerald G</w:t>
      </w:r>
      <w:r w:rsidR="00D73A62">
        <w:rPr>
          <w:rFonts w:eastAsia="Times New Roman" w:cstheme="minorHAnsi"/>
          <w:sz w:val="24"/>
          <w:szCs w:val="24"/>
        </w:rPr>
        <w:t>,</w:t>
      </w:r>
      <w:r w:rsidRPr="00E050F6">
        <w:rPr>
          <w:rFonts w:eastAsia="Times New Roman" w:cstheme="minorHAnsi"/>
          <w:sz w:val="24"/>
          <w:szCs w:val="24"/>
        </w:rPr>
        <w:t xml:space="preserve"> Clark M. Health care system in Saudi Arabia: an overview. </w:t>
      </w:r>
      <w:r w:rsidRPr="00E050F6">
        <w:rPr>
          <w:rFonts w:eastAsia="Times New Roman" w:cstheme="minorHAnsi"/>
          <w:i/>
          <w:iCs/>
          <w:sz w:val="24"/>
          <w:szCs w:val="24"/>
        </w:rPr>
        <w:t>Eastern Mediterranean Health Journal</w:t>
      </w:r>
      <w:r w:rsidR="00925F14">
        <w:rPr>
          <w:rFonts w:eastAsia="Times New Roman" w:cstheme="minorHAnsi"/>
          <w:sz w:val="24"/>
          <w:szCs w:val="24"/>
        </w:rPr>
        <w:t xml:space="preserve"> 2011;</w:t>
      </w:r>
      <w:r w:rsidRPr="00E050F6">
        <w:rPr>
          <w:rFonts w:eastAsia="Times New Roman" w:cstheme="minorHAnsi"/>
          <w:sz w:val="24"/>
          <w:szCs w:val="24"/>
        </w:rPr>
        <w:t>17(10).</w:t>
      </w:r>
    </w:p>
    <w:p w14:paraId="3ABEE03F" w14:textId="301EC6B2" w:rsidR="008A0DDB" w:rsidRDefault="005548AD" w:rsidP="008F1189">
      <w:pPr>
        <w:pStyle w:val="ListParagraph"/>
        <w:numPr>
          <w:ilvl w:val="0"/>
          <w:numId w:val="2"/>
        </w:numPr>
        <w:spacing w:line="360" w:lineRule="auto"/>
        <w:jc w:val="both"/>
        <w:rPr>
          <w:rFonts w:cstheme="minorHAnsi"/>
          <w:sz w:val="24"/>
          <w:szCs w:val="24"/>
        </w:rPr>
      </w:pPr>
      <w:r w:rsidRPr="00E050F6">
        <w:rPr>
          <w:rFonts w:cstheme="minorHAnsi"/>
          <w:sz w:val="24"/>
          <w:szCs w:val="24"/>
        </w:rPr>
        <w:t>MOH portal.com</w:t>
      </w:r>
      <w:r w:rsidR="00D86E74">
        <w:rPr>
          <w:rFonts w:cstheme="minorHAnsi"/>
          <w:sz w:val="24"/>
          <w:szCs w:val="24"/>
        </w:rPr>
        <w:t>.</w:t>
      </w:r>
      <w:r w:rsidRPr="00E050F6">
        <w:rPr>
          <w:rFonts w:cstheme="minorHAnsi"/>
          <w:sz w:val="24"/>
          <w:szCs w:val="24"/>
        </w:rPr>
        <w:t xml:space="preserve"> </w:t>
      </w:r>
      <w:r w:rsidRPr="00E050F6">
        <w:rPr>
          <w:rFonts w:cstheme="minorHAnsi"/>
          <w:i/>
          <w:sz w:val="24"/>
          <w:szCs w:val="24"/>
        </w:rPr>
        <w:t xml:space="preserve">2015 </w:t>
      </w:r>
      <w:r w:rsidR="00757BFE">
        <w:rPr>
          <w:rFonts w:cstheme="minorHAnsi"/>
          <w:i/>
          <w:sz w:val="24"/>
          <w:szCs w:val="24"/>
        </w:rPr>
        <w:t xml:space="preserve">Annual </w:t>
      </w:r>
      <w:r w:rsidRPr="00E050F6">
        <w:rPr>
          <w:rFonts w:cstheme="minorHAnsi"/>
          <w:i/>
          <w:sz w:val="24"/>
          <w:szCs w:val="24"/>
        </w:rPr>
        <w:t>Statistic</w:t>
      </w:r>
      <w:r w:rsidR="00757BFE">
        <w:rPr>
          <w:rFonts w:cstheme="minorHAnsi"/>
          <w:i/>
          <w:sz w:val="24"/>
          <w:szCs w:val="24"/>
        </w:rPr>
        <w:t>al</w:t>
      </w:r>
      <w:r w:rsidRPr="00E050F6">
        <w:rPr>
          <w:rFonts w:cstheme="minorHAnsi"/>
          <w:i/>
          <w:sz w:val="24"/>
          <w:szCs w:val="24"/>
        </w:rPr>
        <w:t xml:space="preserve"> Book</w:t>
      </w:r>
      <w:r w:rsidRPr="00E050F6">
        <w:rPr>
          <w:rFonts w:cstheme="minorHAnsi"/>
          <w:sz w:val="24"/>
          <w:szCs w:val="24"/>
        </w:rPr>
        <w:t xml:space="preserve">. Available at: </w:t>
      </w:r>
      <w:hyperlink r:id="rId18" w:history="1">
        <w:r w:rsidR="007E7EA3" w:rsidRPr="00587BCD">
          <w:rPr>
            <w:rStyle w:val="Hyperlink"/>
            <w:rFonts w:cstheme="minorHAnsi"/>
            <w:sz w:val="24"/>
            <w:szCs w:val="24"/>
          </w:rPr>
          <w:t>https://www.moh.gov.sa/en/Ministry/Statistics/book/Documents/StatisticalBook-1436.pdf</w:t>
        </w:r>
      </w:hyperlink>
      <w:r w:rsidR="007E7EA3">
        <w:rPr>
          <w:rFonts w:cstheme="minorHAnsi"/>
          <w:sz w:val="24"/>
          <w:szCs w:val="24"/>
        </w:rPr>
        <w:t>.</w:t>
      </w:r>
    </w:p>
    <w:p w14:paraId="73438051" w14:textId="79CFDE84" w:rsidR="007E7EA3" w:rsidRPr="00D84107" w:rsidRDefault="007E7EA3" w:rsidP="008F1189">
      <w:pPr>
        <w:pStyle w:val="ListParagraph"/>
        <w:numPr>
          <w:ilvl w:val="0"/>
          <w:numId w:val="2"/>
        </w:numPr>
        <w:spacing w:line="360" w:lineRule="auto"/>
        <w:jc w:val="both"/>
        <w:rPr>
          <w:rFonts w:cstheme="minorHAnsi"/>
          <w:sz w:val="24"/>
          <w:szCs w:val="24"/>
        </w:rPr>
      </w:pPr>
      <w:proofErr w:type="spellStart"/>
      <w:r w:rsidRPr="00C03233">
        <w:rPr>
          <w:rFonts w:cstheme="minorHAnsi"/>
          <w:sz w:val="24"/>
          <w:szCs w:val="24"/>
        </w:rPr>
        <w:t>Atilgan</w:t>
      </w:r>
      <w:proofErr w:type="spellEnd"/>
      <w:r w:rsidRPr="00C03233">
        <w:rPr>
          <w:rFonts w:cstheme="minorHAnsi"/>
          <w:sz w:val="24"/>
          <w:szCs w:val="24"/>
        </w:rPr>
        <w:t xml:space="preserve"> E. The technical efficiency of hospital inpatient care services: an application for Turkish public hospitals. </w:t>
      </w:r>
      <w:proofErr w:type="spellStart"/>
      <w:r w:rsidRPr="00E050F6">
        <w:rPr>
          <w:rFonts w:cstheme="minorHAnsi"/>
          <w:i/>
          <w:sz w:val="24"/>
          <w:szCs w:val="24"/>
        </w:rPr>
        <w:t>Isletme</w:t>
      </w:r>
      <w:proofErr w:type="spellEnd"/>
      <w:r w:rsidRPr="00E050F6">
        <w:rPr>
          <w:rFonts w:cstheme="minorHAnsi"/>
          <w:i/>
          <w:sz w:val="24"/>
          <w:szCs w:val="24"/>
        </w:rPr>
        <w:t xml:space="preserve"> </w:t>
      </w:r>
      <w:proofErr w:type="spellStart"/>
      <w:r w:rsidRPr="00E050F6">
        <w:rPr>
          <w:rFonts w:cstheme="minorHAnsi"/>
          <w:i/>
          <w:sz w:val="24"/>
          <w:szCs w:val="24"/>
        </w:rPr>
        <w:t>ve</w:t>
      </w:r>
      <w:proofErr w:type="spellEnd"/>
      <w:r w:rsidRPr="00E050F6">
        <w:rPr>
          <w:rFonts w:cstheme="minorHAnsi"/>
          <w:i/>
          <w:sz w:val="24"/>
          <w:szCs w:val="24"/>
        </w:rPr>
        <w:t xml:space="preserve"> </w:t>
      </w:r>
      <w:proofErr w:type="spellStart"/>
      <w:r w:rsidRPr="00E050F6">
        <w:rPr>
          <w:rFonts w:cstheme="minorHAnsi"/>
          <w:i/>
          <w:sz w:val="24"/>
          <w:szCs w:val="24"/>
        </w:rPr>
        <w:t>Ekonomi</w:t>
      </w:r>
      <w:proofErr w:type="spellEnd"/>
      <w:r w:rsidRPr="00E050F6">
        <w:rPr>
          <w:rFonts w:cstheme="minorHAnsi"/>
          <w:i/>
          <w:sz w:val="24"/>
          <w:szCs w:val="24"/>
        </w:rPr>
        <w:t xml:space="preserve"> </w:t>
      </w:r>
      <w:proofErr w:type="spellStart"/>
      <w:r w:rsidRPr="00E050F6">
        <w:rPr>
          <w:rFonts w:cstheme="minorHAnsi"/>
          <w:i/>
          <w:sz w:val="24"/>
          <w:szCs w:val="24"/>
        </w:rPr>
        <w:t>Arastirmalari</w:t>
      </w:r>
      <w:proofErr w:type="spellEnd"/>
      <w:r w:rsidRPr="00E050F6">
        <w:rPr>
          <w:rFonts w:cstheme="minorHAnsi"/>
          <w:i/>
          <w:sz w:val="24"/>
          <w:szCs w:val="24"/>
        </w:rPr>
        <w:t xml:space="preserve"> </w:t>
      </w:r>
      <w:proofErr w:type="spellStart"/>
      <w:r w:rsidRPr="00E050F6">
        <w:rPr>
          <w:rFonts w:cstheme="minorHAnsi"/>
          <w:i/>
          <w:sz w:val="24"/>
          <w:szCs w:val="24"/>
        </w:rPr>
        <w:t>Dergisi</w:t>
      </w:r>
      <w:proofErr w:type="spellEnd"/>
      <w:r w:rsidRPr="00E050F6">
        <w:rPr>
          <w:rFonts w:cstheme="minorHAnsi"/>
          <w:i/>
          <w:sz w:val="24"/>
          <w:szCs w:val="24"/>
        </w:rPr>
        <w:t>/Business and Economics Research Journal</w:t>
      </w:r>
      <w:r w:rsidRPr="00C03233">
        <w:rPr>
          <w:rFonts w:cstheme="minorHAnsi"/>
          <w:sz w:val="24"/>
          <w:szCs w:val="24"/>
        </w:rPr>
        <w:t xml:space="preserve"> 2016;7(2)</w:t>
      </w:r>
      <w:r>
        <w:rPr>
          <w:rFonts w:cstheme="minorHAnsi"/>
          <w:sz w:val="24"/>
          <w:szCs w:val="24"/>
        </w:rPr>
        <w:t>:</w:t>
      </w:r>
      <w:r w:rsidRPr="00C03233">
        <w:rPr>
          <w:rFonts w:cstheme="minorHAnsi"/>
          <w:sz w:val="24"/>
          <w:szCs w:val="24"/>
        </w:rPr>
        <w:t xml:space="preserve"> 203–214.</w:t>
      </w:r>
      <w:r>
        <w:rPr>
          <w:rFonts w:cstheme="minorHAnsi"/>
          <w:sz w:val="24"/>
          <w:szCs w:val="24"/>
        </w:rPr>
        <w:t xml:space="preserve"> </w:t>
      </w:r>
      <w:r w:rsidRPr="00CF2690">
        <w:rPr>
          <w:rFonts w:cstheme="minorHAnsi"/>
          <w:sz w:val="24"/>
          <w:szCs w:val="24"/>
        </w:rPr>
        <w:t>DOI: 10.20409/berj.2016217537</w:t>
      </w:r>
      <w:r>
        <w:rPr>
          <w:rFonts w:cstheme="minorHAnsi"/>
          <w:sz w:val="24"/>
          <w:szCs w:val="24"/>
        </w:rPr>
        <w:t>.</w:t>
      </w:r>
    </w:p>
    <w:p w14:paraId="51A815C5" w14:textId="12068883" w:rsidR="007E7EA3" w:rsidRPr="00D84107" w:rsidRDefault="007E7EA3" w:rsidP="008F1189">
      <w:pPr>
        <w:pStyle w:val="ListParagraph"/>
        <w:numPr>
          <w:ilvl w:val="0"/>
          <w:numId w:val="2"/>
        </w:numPr>
        <w:spacing w:line="360" w:lineRule="auto"/>
        <w:jc w:val="both"/>
        <w:rPr>
          <w:rFonts w:cstheme="minorHAnsi"/>
          <w:sz w:val="24"/>
          <w:szCs w:val="24"/>
        </w:rPr>
      </w:pPr>
      <w:proofErr w:type="spellStart"/>
      <w:r w:rsidRPr="0031395E">
        <w:rPr>
          <w:rFonts w:cstheme="minorHAnsi"/>
          <w:sz w:val="24"/>
          <w:szCs w:val="24"/>
        </w:rPr>
        <w:t>Pelone</w:t>
      </w:r>
      <w:proofErr w:type="spellEnd"/>
      <w:r w:rsidRPr="0031395E">
        <w:rPr>
          <w:rFonts w:cstheme="minorHAnsi"/>
          <w:sz w:val="24"/>
          <w:szCs w:val="24"/>
        </w:rPr>
        <w:t xml:space="preserve"> F, Kringos, DF, </w:t>
      </w:r>
      <w:proofErr w:type="spellStart"/>
      <w:r w:rsidRPr="0031395E">
        <w:rPr>
          <w:rFonts w:cstheme="minorHAnsi"/>
          <w:sz w:val="24"/>
          <w:szCs w:val="24"/>
        </w:rPr>
        <w:t>Romaniello</w:t>
      </w:r>
      <w:proofErr w:type="spellEnd"/>
      <w:r w:rsidRPr="0031395E">
        <w:rPr>
          <w:rFonts w:cstheme="minorHAnsi"/>
          <w:sz w:val="24"/>
          <w:szCs w:val="24"/>
        </w:rPr>
        <w:t xml:space="preserve"> A</w:t>
      </w:r>
      <w:r>
        <w:rPr>
          <w:rFonts w:cstheme="minorHAnsi"/>
          <w:sz w:val="24"/>
          <w:szCs w:val="24"/>
        </w:rPr>
        <w:t xml:space="preserve"> </w:t>
      </w:r>
      <w:r w:rsidRPr="00E050F6">
        <w:rPr>
          <w:rFonts w:cstheme="minorHAnsi"/>
          <w:i/>
          <w:sz w:val="24"/>
          <w:szCs w:val="24"/>
        </w:rPr>
        <w:t>et al</w:t>
      </w:r>
      <w:r w:rsidRPr="0031395E">
        <w:rPr>
          <w:rFonts w:cstheme="minorHAnsi"/>
          <w:sz w:val="24"/>
          <w:szCs w:val="24"/>
        </w:rPr>
        <w:t xml:space="preserve">. Primary care efficiency measurement using data envelopment analysis: a systematic review. </w:t>
      </w:r>
      <w:r w:rsidRPr="00E050F6">
        <w:rPr>
          <w:rFonts w:cstheme="minorHAnsi"/>
          <w:i/>
          <w:sz w:val="24"/>
          <w:szCs w:val="24"/>
        </w:rPr>
        <w:t>Journal of Medical Systems</w:t>
      </w:r>
      <w:r w:rsidRPr="0031395E">
        <w:rPr>
          <w:rFonts w:cstheme="minorHAnsi"/>
          <w:sz w:val="24"/>
          <w:szCs w:val="24"/>
        </w:rPr>
        <w:t xml:space="preserve"> </w:t>
      </w:r>
      <w:proofErr w:type="gramStart"/>
      <w:r w:rsidRPr="0031395E">
        <w:rPr>
          <w:rFonts w:cstheme="minorHAnsi"/>
          <w:sz w:val="24"/>
          <w:szCs w:val="24"/>
        </w:rPr>
        <w:t>2015;,</w:t>
      </w:r>
      <w:proofErr w:type="gramEnd"/>
      <w:r w:rsidRPr="0031395E">
        <w:rPr>
          <w:rFonts w:cstheme="minorHAnsi"/>
          <w:sz w:val="24"/>
          <w:szCs w:val="24"/>
        </w:rPr>
        <w:t xml:space="preserve"> 39</w:t>
      </w:r>
      <w:r>
        <w:rPr>
          <w:rFonts w:cstheme="minorHAnsi"/>
          <w:sz w:val="24"/>
          <w:szCs w:val="24"/>
        </w:rPr>
        <w:t>(1):</w:t>
      </w:r>
      <w:r w:rsidRPr="0031395E">
        <w:rPr>
          <w:rFonts w:cstheme="minorHAnsi"/>
          <w:sz w:val="24"/>
          <w:szCs w:val="24"/>
        </w:rPr>
        <w:t>156.</w:t>
      </w:r>
      <w:r>
        <w:rPr>
          <w:rFonts w:ascii="MS Gothic" w:eastAsia="MS Gothic" w:hAnsi="MS Gothic" w:cstheme="minorHAnsi"/>
          <w:sz w:val="24"/>
          <w:szCs w:val="24"/>
        </w:rPr>
        <w:t xml:space="preserve"> </w:t>
      </w:r>
    </w:p>
    <w:p w14:paraId="37A94296" w14:textId="3D2F02C2" w:rsidR="007E7EA3" w:rsidRDefault="007E7EA3" w:rsidP="008F1189">
      <w:pPr>
        <w:pStyle w:val="ListParagraph"/>
        <w:numPr>
          <w:ilvl w:val="0"/>
          <w:numId w:val="2"/>
        </w:numPr>
        <w:spacing w:line="360" w:lineRule="auto"/>
        <w:jc w:val="both"/>
        <w:rPr>
          <w:rFonts w:cstheme="minorHAnsi"/>
          <w:sz w:val="24"/>
          <w:szCs w:val="24"/>
        </w:rPr>
      </w:pPr>
      <w:r w:rsidRPr="008C3082">
        <w:rPr>
          <w:rFonts w:cstheme="minorHAnsi"/>
          <w:sz w:val="24"/>
          <w:szCs w:val="24"/>
        </w:rPr>
        <w:t xml:space="preserve">Cooper W, </w:t>
      </w:r>
      <w:proofErr w:type="spellStart"/>
      <w:r w:rsidRPr="008C3082">
        <w:rPr>
          <w:rFonts w:cstheme="minorHAnsi"/>
          <w:sz w:val="24"/>
          <w:szCs w:val="24"/>
        </w:rPr>
        <w:t>Seiford</w:t>
      </w:r>
      <w:proofErr w:type="spellEnd"/>
      <w:r w:rsidRPr="008C3082">
        <w:rPr>
          <w:rFonts w:cstheme="minorHAnsi"/>
          <w:sz w:val="24"/>
          <w:szCs w:val="24"/>
        </w:rPr>
        <w:t xml:space="preserve"> L,</w:t>
      </w:r>
      <w:r>
        <w:rPr>
          <w:rFonts w:cstheme="minorHAnsi"/>
          <w:sz w:val="24"/>
          <w:szCs w:val="24"/>
        </w:rPr>
        <w:t xml:space="preserve"> </w:t>
      </w:r>
      <w:r w:rsidRPr="008C3082">
        <w:rPr>
          <w:rFonts w:cstheme="minorHAnsi"/>
          <w:sz w:val="24"/>
          <w:szCs w:val="24"/>
        </w:rPr>
        <w:t xml:space="preserve">Tone K. Data envelopment analysis: a comprehensive text with models, applications, references and DEA-solver software. Springer, New York, </w:t>
      </w:r>
      <w:r>
        <w:rPr>
          <w:rFonts w:cstheme="minorHAnsi"/>
          <w:sz w:val="24"/>
          <w:szCs w:val="24"/>
        </w:rPr>
        <w:t xml:space="preserve">p1-85, </w:t>
      </w:r>
      <w:r w:rsidRPr="008C3082">
        <w:rPr>
          <w:rFonts w:cstheme="minorHAnsi"/>
          <w:sz w:val="24"/>
          <w:szCs w:val="24"/>
        </w:rPr>
        <w:t>2007.</w:t>
      </w:r>
      <w:r>
        <w:rPr>
          <w:rFonts w:cstheme="minorHAnsi"/>
          <w:sz w:val="24"/>
          <w:szCs w:val="24"/>
        </w:rPr>
        <w:t xml:space="preserve"> </w:t>
      </w:r>
      <w:r w:rsidRPr="007D5835">
        <w:rPr>
          <w:rFonts w:cstheme="minorHAnsi"/>
          <w:sz w:val="24"/>
          <w:szCs w:val="24"/>
        </w:rPr>
        <w:t>DOI</w:t>
      </w:r>
      <w:r>
        <w:rPr>
          <w:rFonts w:cstheme="minorHAnsi"/>
          <w:sz w:val="24"/>
          <w:szCs w:val="24"/>
        </w:rPr>
        <w:t xml:space="preserve">: </w:t>
      </w:r>
      <w:r w:rsidRPr="00E050F6">
        <w:rPr>
          <w:rFonts w:cstheme="minorHAnsi"/>
          <w:sz w:val="24"/>
          <w:szCs w:val="24"/>
        </w:rPr>
        <w:t>10.1007/978-0-387-45283-8</w:t>
      </w:r>
    </w:p>
    <w:p w14:paraId="65993281" w14:textId="1FAFBB0B" w:rsidR="007E7EA3" w:rsidRDefault="007E7EA3" w:rsidP="008F1189">
      <w:pPr>
        <w:pStyle w:val="ListParagraph"/>
        <w:numPr>
          <w:ilvl w:val="0"/>
          <w:numId w:val="2"/>
        </w:numPr>
        <w:spacing w:line="360" w:lineRule="auto"/>
        <w:jc w:val="both"/>
        <w:rPr>
          <w:rFonts w:cstheme="minorHAnsi"/>
          <w:sz w:val="24"/>
          <w:szCs w:val="24"/>
        </w:rPr>
      </w:pPr>
      <w:proofErr w:type="spellStart"/>
      <w:r w:rsidRPr="00F83A11">
        <w:rPr>
          <w:rFonts w:cstheme="minorHAnsi"/>
          <w:sz w:val="24"/>
          <w:szCs w:val="24"/>
        </w:rPr>
        <w:lastRenderedPageBreak/>
        <w:t>Gok</w:t>
      </w:r>
      <w:proofErr w:type="spellEnd"/>
      <w:r w:rsidRPr="00F83A11">
        <w:rPr>
          <w:rFonts w:cstheme="minorHAnsi"/>
          <w:sz w:val="24"/>
          <w:szCs w:val="24"/>
        </w:rPr>
        <w:t xml:space="preserve"> MS</w:t>
      </w:r>
      <w:r>
        <w:rPr>
          <w:rFonts w:cstheme="minorHAnsi"/>
          <w:sz w:val="24"/>
          <w:szCs w:val="24"/>
        </w:rPr>
        <w:t>,</w:t>
      </w:r>
      <w:r w:rsidRPr="00F83A11">
        <w:rPr>
          <w:rFonts w:cstheme="minorHAnsi"/>
          <w:sz w:val="24"/>
          <w:szCs w:val="24"/>
        </w:rPr>
        <w:t xml:space="preserve"> </w:t>
      </w:r>
      <w:proofErr w:type="spellStart"/>
      <w:r w:rsidRPr="00F83A11">
        <w:rPr>
          <w:rFonts w:cstheme="minorHAnsi"/>
          <w:sz w:val="24"/>
          <w:szCs w:val="24"/>
        </w:rPr>
        <w:t>Sezen</w:t>
      </w:r>
      <w:proofErr w:type="spellEnd"/>
      <w:r w:rsidRPr="00F83A11">
        <w:rPr>
          <w:rFonts w:cstheme="minorHAnsi"/>
          <w:sz w:val="24"/>
          <w:szCs w:val="24"/>
        </w:rPr>
        <w:t xml:space="preserve"> B. </w:t>
      </w:r>
      <w:proofErr w:type="spellStart"/>
      <w:r w:rsidRPr="00F83A11">
        <w:rPr>
          <w:rFonts w:cstheme="minorHAnsi"/>
          <w:sz w:val="24"/>
          <w:szCs w:val="24"/>
        </w:rPr>
        <w:t>Analyzing</w:t>
      </w:r>
      <w:proofErr w:type="spellEnd"/>
      <w:r w:rsidRPr="00F83A11">
        <w:rPr>
          <w:rFonts w:cstheme="minorHAnsi"/>
          <w:sz w:val="24"/>
          <w:szCs w:val="24"/>
        </w:rPr>
        <w:t xml:space="preserve"> the ambiguous relationship between efficiency, quality and patient satisfaction in healthcare services: the case of public hospitals in Turkey. </w:t>
      </w:r>
      <w:r w:rsidRPr="00E050F6">
        <w:rPr>
          <w:rFonts w:cstheme="minorHAnsi"/>
          <w:i/>
          <w:sz w:val="24"/>
          <w:szCs w:val="24"/>
        </w:rPr>
        <w:t>Health Policy</w:t>
      </w:r>
      <w:r w:rsidRPr="00F83A11">
        <w:rPr>
          <w:rFonts w:cstheme="minorHAnsi"/>
          <w:sz w:val="24"/>
          <w:szCs w:val="24"/>
        </w:rPr>
        <w:t xml:space="preserve"> 2013;111(3), pp 290-300.</w:t>
      </w:r>
      <w:r>
        <w:rPr>
          <w:rFonts w:cstheme="minorHAnsi"/>
          <w:sz w:val="24"/>
          <w:szCs w:val="24"/>
        </w:rPr>
        <w:t xml:space="preserve"> </w:t>
      </w:r>
      <w:hyperlink r:id="rId19" w:history="1">
        <w:r w:rsidRPr="00587BCD">
          <w:rPr>
            <w:rStyle w:val="Hyperlink"/>
            <w:rFonts w:cstheme="minorHAnsi"/>
            <w:sz w:val="24"/>
            <w:szCs w:val="24"/>
          </w:rPr>
          <w:t>http://dx.doi.org/10.1016/j.healthpol.2013.05.010</w:t>
        </w:r>
      </w:hyperlink>
    </w:p>
    <w:p w14:paraId="04FAD21E" w14:textId="77777777" w:rsidR="007E7EA3" w:rsidRDefault="007E7EA3" w:rsidP="008F1189">
      <w:pPr>
        <w:pStyle w:val="ListParagraph"/>
        <w:numPr>
          <w:ilvl w:val="0"/>
          <w:numId w:val="2"/>
        </w:numPr>
        <w:spacing w:line="360" w:lineRule="auto"/>
        <w:jc w:val="both"/>
        <w:rPr>
          <w:rFonts w:cstheme="minorHAnsi"/>
          <w:sz w:val="24"/>
          <w:szCs w:val="24"/>
        </w:rPr>
      </w:pPr>
      <w:proofErr w:type="spellStart"/>
      <w:r w:rsidRPr="00C03233">
        <w:rPr>
          <w:rFonts w:cstheme="minorHAnsi"/>
          <w:sz w:val="24"/>
          <w:szCs w:val="24"/>
        </w:rPr>
        <w:t>Afzali</w:t>
      </w:r>
      <w:proofErr w:type="spellEnd"/>
      <w:r w:rsidRPr="00C03233">
        <w:rPr>
          <w:rFonts w:cstheme="minorHAnsi"/>
          <w:sz w:val="24"/>
          <w:szCs w:val="24"/>
        </w:rPr>
        <w:t xml:space="preserve"> HH, Moss JR, Mahmood MA. A conceptual framework for selecting the most appropriate variables for measuring hospital efficiency with a focus on Iranian public hospitals. </w:t>
      </w:r>
      <w:r w:rsidRPr="00E050F6">
        <w:rPr>
          <w:rFonts w:cstheme="minorHAnsi"/>
          <w:i/>
          <w:sz w:val="24"/>
          <w:szCs w:val="24"/>
        </w:rPr>
        <w:t>Health Services Management Research</w:t>
      </w:r>
      <w:r w:rsidRPr="00C03233">
        <w:rPr>
          <w:rFonts w:cstheme="minorHAnsi"/>
          <w:sz w:val="24"/>
          <w:szCs w:val="24"/>
        </w:rPr>
        <w:t xml:space="preserve"> 2009;22(2):81–91.</w:t>
      </w:r>
      <w:r>
        <w:rPr>
          <w:rFonts w:cstheme="minorHAnsi"/>
          <w:sz w:val="24"/>
          <w:szCs w:val="24"/>
        </w:rPr>
        <w:t xml:space="preserve"> </w:t>
      </w:r>
      <w:r w:rsidRPr="002377FB">
        <w:rPr>
          <w:rFonts w:cstheme="minorHAnsi"/>
          <w:sz w:val="24"/>
          <w:szCs w:val="24"/>
        </w:rPr>
        <w:t>DOI: 10.1258/hsmr.2008.008020</w:t>
      </w:r>
      <w:r>
        <w:rPr>
          <w:rFonts w:cstheme="minorHAnsi"/>
          <w:sz w:val="24"/>
          <w:szCs w:val="24"/>
        </w:rPr>
        <w:t xml:space="preserve"> </w:t>
      </w:r>
    </w:p>
    <w:p w14:paraId="360CA98D" w14:textId="249E1F81" w:rsidR="007E7EA3" w:rsidRDefault="007E7EA3" w:rsidP="008F1189">
      <w:pPr>
        <w:pStyle w:val="ListParagraph"/>
        <w:numPr>
          <w:ilvl w:val="0"/>
          <w:numId w:val="2"/>
        </w:numPr>
        <w:spacing w:line="360" w:lineRule="auto"/>
        <w:jc w:val="both"/>
        <w:rPr>
          <w:rFonts w:cstheme="minorHAnsi"/>
          <w:sz w:val="24"/>
          <w:szCs w:val="24"/>
        </w:rPr>
      </w:pPr>
      <w:proofErr w:type="spellStart"/>
      <w:r w:rsidRPr="00C03233">
        <w:rPr>
          <w:rFonts w:cstheme="minorHAnsi"/>
          <w:sz w:val="24"/>
          <w:szCs w:val="24"/>
        </w:rPr>
        <w:t>Sahin</w:t>
      </w:r>
      <w:proofErr w:type="spellEnd"/>
      <w:r w:rsidRPr="00C03233">
        <w:rPr>
          <w:rFonts w:cstheme="minorHAnsi"/>
          <w:sz w:val="24"/>
          <w:szCs w:val="24"/>
        </w:rPr>
        <w:t xml:space="preserve"> I</w:t>
      </w:r>
      <w:r>
        <w:rPr>
          <w:rFonts w:cstheme="minorHAnsi"/>
          <w:sz w:val="24"/>
          <w:szCs w:val="24"/>
        </w:rPr>
        <w:t>,</w:t>
      </w:r>
      <w:r w:rsidRPr="00C03233">
        <w:rPr>
          <w:rFonts w:cstheme="minorHAnsi"/>
          <w:sz w:val="24"/>
          <w:szCs w:val="24"/>
        </w:rPr>
        <w:t xml:space="preserve"> </w:t>
      </w:r>
      <w:proofErr w:type="spellStart"/>
      <w:r w:rsidRPr="00C03233">
        <w:rPr>
          <w:rFonts w:cstheme="minorHAnsi"/>
          <w:sz w:val="24"/>
          <w:szCs w:val="24"/>
        </w:rPr>
        <w:t>Ozcan</w:t>
      </w:r>
      <w:proofErr w:type="spellEnd"/>
      <w:r w:rsidRPr="00C03233">
        <w:rPr>
          <w:rFonts w:cstheme="minorHAnsi"/>
          <w:sz w:val="24"/>
          <w:szCs w:val="24"/>
        </w:rPr>
        <w:t xml:space="preserve"> YA. Public sector hospital efficiency for provincial markets in Turkey. </w:t>
      </w:r>
      <w:r w:rsidRPr="00E050F6">
        <w:rPr>
          <w:rFonts w:cstheme="minorHAnsi"/>
          <w:i/>
          <w:sz w:val="24"/>
          <w:szCs w:val="24"/>
        </w:rPr>
        <w:t>Journal of Medical Systems</w:t>
      </w:r>
      <w:r w:rsidRPr="00C03233">
        <w:rPr>
          <w:rFonts w:cstheme="minorHAnsi"/>
          <w:sz w:val="24"/>
          <w:szCs w:val="24"/>
        </w:rPr>
        <w:t xml:space="preserve"> 2000;24(6), pp 307–320.</w:t>
      </w:r>
      <w:r>
        <w:rPr>
          <w:rFonts w:cstheme="minorHAnsi"/>
          <w:sz w:val="24"/>
          <w:szCs w:val="24"/>
        </w:rPr>
        <w:t xml:space="preserve"> </w:t>
      </w:r>
    </w:p>
    <w:p w14:paraId="360F481E" w14:textId="7AC015AE" w:rsidR="007E7EA3" w:rsidRDefault="007E7EA3" w:rsidP="008F1189">
      <w:pPr>
        <w:pStyle w:val="ListParagraph"/>
        <w:numPr>
          <w:ilvl w:val="0"/>
          <w:numId w:val="2"/>
        </w:numPr>
        <w:spacing w:line="360" w:lineRule="auto"/>
        <w:jc w:val="both"/>
        <w:rPr>
          <w:rFonts w:cstheme="minorHAnsi"/>
          <w:sz w:val="24"/>
          <w:szCs w:val="24"/>
        </w:rPr>
      </w:pPr>
      <w:r w:rsidRPr="00453312">
        <w:rPr>
          <w:rFonts w:cstheme="minorHAnsi"/>
          <w:sz w:val="24"/>
          <w:szCs w:val="24"/>
        </w:rPr>
        <w:t>Ahmed S, Hasan MZ,</w:t>
      </w:r>
      <w:r>
        <w:rPr>
          <w:rFonts w:cstheme="minorHAnsi"/>
          <w:sz w:val="24"/>
          <w:szCs w:val="24"/>
        </w:rPr>
        <w:t xml:space="preserve"> </w:t>
      </w:r>
      <w:r w:rsidRPr="00A20ED6">
        <w:rPr>
          <w:rFonts w:cstheme="minorHAnsi"/>
          <w:sz w:val="24"/>
          <w:szCs w:val="24"/>
        </w:rPr>
        <w:t>MacLennan M, et al. Measuring</w:t>
      </w:r>
      <w:r>
        <w:rPr>
          <w:rFonts w:cstheme="minorHAnsi"/>
          <w:sz w:val="24"/>
          <w:szCs w:val="24"/>
        </w:rPr>
        <w:t xml:space="preserve"> </w:t>
      </w:r>
      <w:r w:rsidRPr="00A20ED6">
        <w:rPr>
          <w:rFonts w:cstheme="minorHAnsi"/>
          <w:sz w:val="24"/>
          <w:szCs w:val="24"/>
        </w:rPr>
        <w:t>the efficiency of health systems in Asia: a data envelopment analysis. BMJ Open 2019;</w:t>
      </w:r>
      <w:r w:rsidRPr="00453312">
        <w:rPr>
          <w:rFonts w:cstheme="minorHAnsi"/>
          <w:sz w:val="24"/>
          <w:szCs w:val="24"/>
        </w:rPr>
        <w:t>9: e</w:t>
      </w:r>
      <w:r w:rsidRPr="00A20ED6">
        <w:rPr>
          <w:rFonts w:cstheme="minorHAnsi"/>
          <w:sz w:val="24"/>
          <w:szCs w:val="24"/>
        </w:rPr>
        <w:t>022155. doi:10.1136/bmjopen-2018-022155</w:t>
      </w:r>
    </w:p>
    <w:p w14:paraId="4F89B0A8" w14:textId="6DA75969" w:rsidR="007E7EA3" w:rsidRPr="007E7EA3" w:rsidRDefault="007E7EA3" w:rsidP="008F1189">
      <w:pPr>
        <w:pStyle w:val="ListParagraph"/>
        <w:numPr>
          <w:ilvl w:val="0"/>
          <w:numId w:val="2"/>
        </w:numPr>
        <w:spacing w:line="360" w:lineRule="auto"/>
        <w:jc w:val="both"/>
      </w:pPr>
      <w:r w:rsidRPr="00C03233">
        <w:rPr>
          <w:rFonts w:cstheme="minorHAnsi"/>
          <w:sz w:val="24"/>
          <w:szCs w:val="24"/>
        </w:rPr>
        <w:t xml:space="preserve">Dyson R, Allen R, </w:t>
      </w:r>
      <w:proofErr w:type="spellStart"/>
      <w:r w:rsidRPr="00C03233">
        <w:rPr>
          <w:rFonts w:cstheme="minorHAnsi"/>
          <w:sz w:val="24"/>
          <w:szCs w:val="24"/>
        </w:rPr>
        <w:t>Camanho</w:t>
      </w:r>
      <w:proofErr w:type="spellEnd"/>
      <w:r w:rsidRPr="00C03233">
        <w:rPr>
          <w:rFonts w:cstheme="minorHAnsi"/>
          <w:sz w:val="24"/>
          <w:szCs w:val="24"/>
        </w:rPr>
        <w:t xml:space="preserve"> A </w:t>
      </w:r>
      <w:r w:rsidRPr="00E050F6">
        <w:rPr>
          <w:rFonts w:cstheme="minorHAnsi"/>
          <w:i/>
          <w:sz w:val="24"/>
          <w:szCs w:val="24"/>
        </w:rPr>
        <w:t>et al</w:t>
      </w:r>
      <w:r w:rsidRPr="00C03233">
        <w:rPr>
          <w:rFonts w:cstheme="minorHAnsi"/>
          <w:sz w:val="24"/>
          <w:szCs w:val="24"/>
        </w:rPr>
        <w:t>. Pitfalls and protocols in DEA. Eur</w:t>
      </w:r>
      <w:r>
        <w:rPr>
          <w:rFonts w:cstheme="minorHAnsi"/>
          <w:sz w:val="24"/>
          <w:szCs w:val="24"/>
        </w:rPr>
        <w:t xml:space="preserve">opean </w:t>
      </w:r>
      <w:r w:rsidRPr="00E050F6">
        <w:rPr>
          <w:rFonts w:cstheme="minorHAnsi"/>
          <w:i/>
          <w:sz w:val="24"/>
          <w:szCs w:val="24"/>
        </w:rPr>
        <w:t>Journal of Operational Research</w:t>
      </w:r>
      <w:r w:rsidRPr="00C03233">
        <w:rPr>
          <w:rFonts w:cstheme="minorHAnsi"/>
          <w:sz w:val="24"/>
          <w:szCs w:val="24"/>
        </w:rPr>
        <w:t xml:space="preserve"> 2001;132(2):245–259.</w:t>
      </w:r>
    </w:p>
    <w:p w14:paraId="0BFE1708" w14:textId="3B841B85" w:rsidR="008C3082" w:rsidRDefault="008C3082" w:rsidP="008F1189">
      <w:pPr>
        <w:pStyle w:val="ListParagraph"/>
        <w:numPr>
          <w:ilvl w:val="0"/>
          <w:numId w:val="2"/>
        </w:numPr>
        <w:spacing w:line="360" w:lineRule="auto"/>
        <w:jc w:val="both"/>
        <w:rPr>
          <w:rFonts w:cstheme="minorHAnsi"/>
          <w:sz w:val="24"/>
          <w:szCs w:val="24"/>
        </w:rPr>
      </w:pPr>
      <w:r w:rsidRPr="00CE2EC9">
        <w:rPr>
          <w:rFonts w:cstheme="minorHAnsi"/>
          <w:sz w:val="24"/>
          <w:szCs w:val="24"/>
        </w:rPr>
        <w:t xml:space="preserve">Hollingsworth B. </w:t>
      </w:r>
      <w:r w:rsidRPr="00CE2EC9">
        <w:rPr>
          <w:rFonts w:cstheme="minorHAnsi"/>
          <w:noProof/>
          <w:sz w:val="24"/>
          <w:szCs w:val="24"/>
        </w:rPr>
        <w:t xml:space="preserve">Evaluating </w:t>
      </w:r>
      <w:r>
        <w:rPr>
          <w:rFonts w:cstheme="minorHAnsi"/>
          <w:noProof/>
          <w:sz w:val="24"/>
          <w:szCs w:val="24"/>
        </w:rPr>
        <w:t>e</w:t>
      </w:r>
      <w:r w:rsidRPr="00CE2EC9">
        <w:rPr>
          <w:rFonts w:cstheme="minorHAnsi"/>
          <w:noProof/>
          <w:sz w:val="24"/>
          <w:szCs w:val="24"/>
        </w:rPr>
        <w:t xml:space="preserve">fficiency of a </w:t>
      </w:r>
      <w:r>
        <w:rPr>
          <w:rFonts w:cstheme="minorHAnsi"/>
          <w:noProof/>
          <w:sz w:val="24"/>
          <w:szCs w:val="24"/>
        </w:rPr>
        <w:t>h</w:t>
      </w:r>
      <w:r w:rsidRPr="00CE2EC9">
        <w:rPr>
          <w:rFonts w:cstheme="minorHAnsi"/>
          <w:noProof/>
          <w:sz w:val="24"/>
          <w:szCs w:val="24"/>
        </w:rPr>
        <w:t xml:space="preserve">ealth </w:t>
      </w:r>
      <w:r>
        <w:rPr>
          <w:rFonts w:cstheme="minorHAnsi"/>
          <w:noProof/>
          <w:sz w:val="24"/>
          <w:szCs w:val="24"/>
        </w:rPr>
        <w:t>c</w:t>
      </w:r>
      <w:r w:rsidRPr="00CE2EC9">
        <w:rPr>
          <w:rFonts w:cstheme="minorHAnsi"/>
          <w:noProof/>
          <w:sz w:val="24"/>
          <w:szCs w:val="24"/>
        </w:rPr>
        <w:t xml:space="preserve">are </w:t>
      </w:r>
      <w:r>
        <w:rPr>
          <w:rFonts w:cstheme="minorHAnsi"/>
          <w:noProof/>
          <w:sz w:val="24"/>
          <w:szCs w:val="24"/>
        </w:rPr>
        <w:t>s</w:t>
      </w:r>
      <w:r w:rsidRPr="00CE2EC9">
        <w:rPr>
          <w:rFonts w:cstheme="minorHAnsi"/>
          <w:noProof/>
          <w:sz w:val="24"/>
          <w:szCs w:val="24"/>
        </w:rPr>
        <w:t xml:space="preserve">ystem in the </w:t>
      </w:r>
      <w:r>
        <w:rPr>
          <w:rFonts w:cstheme="minorHAnsi"/>
          <w:noProof/>
          <w:sz w:val="24"/>
          <w:szCs w:val="24"/>
        </w:rPr>
        <w:t>d</w:t>
      </w:r>
      <w:r w:rsidRPr="00CE2EC9">
        <w:rPr>
          <w:rFonts w:cstheme="minorHAnsi"/>
          <w:noProof/>
          <w:sz w:val="24"/>
          <w:szCs w:val="24"/>
        </w:rPr>
        <w:t xml:space="preserve">eveloped </w:t>
      </w:r>
      <w:r>
        <w:rPr>
          <w:rFonts w:cstheme="minorHAnsi"/>
          <w:noProof/>
          <w:sz w:val="24"/>
          <w:szCs w:val="24"/>
        </w:rPr>
        <w:t>w</w:t>
      </w:r>
      <w:r w:rsidRPr="00CE2EC9">
        <w:rPr>
          <w:rFonts w:cstheme="minorHAnsi"/>
          <w:noProof/>
          <w:sz w:val="24"/>
          <w:szCs w:val="24"/>
        </w:rPr>
        <w:t>orld.</w:t>
      </w:r>
      <w:r w:rsidRPr="00CE2EC9">
        <w:rPr>
          <w:rFonts w:cstheme="minorHAnsi"/>
          <w:sz w:val="24"/>
          <w:szCs w:val="24"/>
        </w:rPr>
        <w:t xml:space="preserve"> </w:t>
      </w:r>
      <w:proofErr w:type="spellStart"/>
      <w:r w:rsidRPr="00CE2EC9">
        <w:rPr>
          <w:rFonts w:cstheme="minorHAnsi"/>
          <w:i/>
          <w:sz w:val="24"/>
          <w:szCs w:val="24"/>
        </w:rPr>
        <w:t>Encyclopedia</w:t>
      </w:r>
      <w:proofErr w:type="spellEnd"/>
      <w:r w:rsidRPr="00CE2EC9">
        <w:rPr>
          <w:rFonts w:cstheme="minorHAnsi"/>
          <w:i/>
          <w:sz w:val="24"/>
          <w:szCs w:val="24"/>
        </w:rPr>
        <w:t xml:space="preserve"> of Health </w:t>
      </w:r>
      <w:r w:rsidRPr="00CE2EC9">
        <w:rPr>
          <w:rFonts w:cstheme="minorHAnsi"/>
          <w:i/>
          <w:noProof/>
          <w:sz w:val="24"/>
          <w:szCs w:val="24"/>
        </w:rPr>
        <w:t>Economics</w:t>
      </w:r>
      <w:r>
        <w:rPr>
          <w:rFonts w:cstheme="minorHAnsi"/>
          <w:sz w:val="24"/>
          <w:szCs w:val="24"/>
        </w:rPr>
        <w:t xml:space="preserve"> 2014;</w:t>
      </w:r>
      <w:r w:rsidRPr="00CE2EC9">
        <w:rPr>
          <w:rFonts w:cstheme="minorHAnsi"/>
          <w:sz w:val="24"/>
          <w:szCs w:val="24"/>
        </w:rPr>
        <w:t>1(18) pp.292-299.</w:t>
      </w:r>
    </w:p>
    <w:p w14:paraId="6CF94E6E" w14:textId="249E63A9" w:rsidR="00F83A11" w:rsidRPr="00F83A11" w:rsidRDefault="00F83A11" w:rsidP="008F1189">
      <w:pPr>
        <w:pStyle w:val="ListParagraph"/>
        <w:numPr>
          <w:ilvl w:val="0"/>
          <w:numId w:val="2"/>
        </w:numPr>
        <w:spacing w:line="360" w:lineRule="auto"/>
        <w:jc w:val="both"/>
        <w:rPr>
          <w:rFonts w:cstheme="minorHAnsi"/>
          <w:sz w:val="24"/>
          <w:szCs w:val="24"/>
        </w:rPr>
      </w:pPr>
      <w:proofErr w:type="spellStart"/>
      <w:r w:rsidRPr="00F83A11">
        <w:rPr>
          <w:rFonts w:cstheme="minorHAnsi"/>
          <w:sz w:val="24"/>
          <w:szCs w:val="24"/>
        </w:rPr>
        <w:t>Charnes</w:t>
      </w:r>
      <w:proofErr w:type="spellEnd"/>
      <w:r w:rsidRPr="00F83A11">
        <w:rPr>
          <w:rFonts w:cstheme="minorHAnsi"/>
          <w:sz w:val="24"/>
          <w:szCs w:val="24"/>
        </w:rPr>
        <w:t xml:space="preserve"> A, Cooper W</w:t>
      </w:r>
      <w:r w:rsidR="00D73A62">
        <w:rPr>
          <w:rFonts w:cstheme="minorHAnsi"/>
          <w:sz w:val="24"/>
          <w:szCs w:val="24"/>
        </w:rPr>
        <w:t>,</w:t>
      </w:r>
      <w:r w:rsidRPr="00F83A11">
        <w:rPr>
          <w:rFonts w:cstheme="minorHAnsi"/>
          <w:sz w:val="24"/>
          <w:szCs w:val="24"/>
        </w:rPr>
        <w:t xml:space="preserve"> Rhodes E. Measuring the efficiency of decision-making units. </w:t>
      </w:r>
      <w:r w:rsidR="00CF2690" w:rsidRPr="00E050F6">
        <w:rPr>
          <w:rFonts w:cstheme="minorHAnsi"/>
          <w:i/>
          <w:sz w:val="24"/>
          <w:szCs w:val="24"/>
        </w:rPr>
        <w:t>European Journal of Operational Research</w:t>
      </w:r>
      <w:r w:rsidR="00CF2690">
        <w:rPr>
          <w:rFonts w:cstheme="minorHAnsi"/>
          <w:sz w:val="24"/>
          <w:szCs w:val="24"/>
        </w:rPr>
        <w:t xml:space="preserve"> </w:t>
      </w:r>
      <w:r w:rsidRPr="00F83A11">
        <w:rPr>
          <w:rFonts w:cstheme="minorHAnsi"/>
          <w:sz w:val="24"/>
          <w:szCs w:val="24"/>
        </w:rPr>
        <w:t>1978;2(6), 429–444 (1978)</w:t>
      </w:r>
    </w:p>
    <w:p w14:paraId="3342B1A5" w14:textId="5F3D52DD" w:rsidR="00F83A11" w:rsidRPr="00F83A11" w:rsidRDefault="00F83A11" w:rsidP="008F1189">
      <w:pPr>
        <w:pStyle w:val="ListParagraph"/>
        <w:numPr>
          <w:ilvl w:val="0"/>
          <w:numId w:val="2"/>
        </w:numPr>
        <w:spacing w:line="360" w:lineRule="auto"/>
        <w:jc w:val="both"/>
        <w:rPr>
          <w:rFonts w:cstheme="minorHAnsi"/>
          <w:sz w:val="24"/>
          <w:szCs w:val="24"/>
        </w:rPr>
      </w:pPr>
      <w:r w:rsidRPr="00F83A11">
        <w:rPr>
          <w:rFonts w:cstheme="minorHAnsi"/>
          <w:sz w:val="24"/>
          <w:szCs w:val="24"/>
        </w:rPr>
        <w:t xml:space="preserve">Banker R, </w:t>
      </w:r>
      <w:proofErr w:type="spellStart"/>
      <w:r w:rsidRPr="00F83A11">
        <w:rPr>
          <w:rFonts w:cstheme="minorHAnsi"/>
          <w:sz w:val="24"/>
          <w:szCs w:val="24"/>
        </w:rPr>
        <w:t>Charnes</w:t>
      </w:r>
      <w:proofErr w:type="spellEnd"/>
      <w:r w:rsidRPr="00F83A11">
        <w:rPr>
          <w:rFonts w:cstheme="minorHAnsi"/>
          <w:sz w:val="24"/>
          <w:szCs w:val="24"/>
        </w:rPr>
        <w:t xml:space="preserve"> A</w:t>
      </w:r>
      <w:r w:rsidR="007D5835">
        <w:rPr>
          <w:rFonts w:cstheme="minorHAnsi"/>
          <w:sz w:val="24"/>
          <w:szCs w:val="24"/>
        </w:rPr>
        <w:t>,</w:t>
      </w:r>
      <w:r w:rsidRPr="00F83A11">
        <w:rPr>
          <w:rFonts w:cstheme="minorHAnsi"/>
          <w:sz w:val="24"/>
          <w:szCs w:val="24"/>
        </w:rPr>
        <w:t xml:space="preserve"> Cooper W. Some models for estimating technical and scale inefficiencies in data envelopment analysis. </w:t>
      </w:r>
      <w:r w:rsidR="00CF2690" w:rsidRPr="00E050F6">
        <w:rPr>
          <w:rFonts w:cstheme="minorHAnsi"/>
          <w:i/>
          <w:sz w:val="24"/>
          <w:szCs w:val="24"/>
        </w:rPr>
        <w:t>Management Science</w:t>
      </w:r>
      <w:r w:rsidRPr="00F83A11">
        <w:rPr>
          <w:rFonts w:cstheme="minorHAnsi"/>
          <w:sz w:val="24"/>
          <w:szCs w:val="24"/>
        </w:rPr>
        <w:t xml:space="preserve"> 1984;30(9), 1078–1092 </w:t>
      </w:r>
    </w:p>
    <w:p w14:paraId="47CB7016" w14:textId="4E7F525B" w:rsidR="0031395E" w:rsidRPr="0031395E" w:rsidRDefault="0031395E" w:rsidP="008F1189">
      <w:pPr>
        <w:pStyle w:val="ListParagraph"/>
        <w:numPr>
          <w:ilvl w:val="0"/>
          <w:numId w:val="2"/>
        </w:numPr>
        <w:spacing w:line="360" w:lineRule="auto"/>
        <w:jc w:val="both"/>
        <w:rPr>
          <w:rFonts w:cstheme="minorHAnsi"/>
          <w:sz w:val="24"/>
          <w:szCs w:val="24"/>
        </w:rPr>
      </w:pPr>
      <w:r w:rsidRPr="0031395E">
        <w:rPr>
          <w:rFonts w:cstheme="minorHAnsi"/>
          <w:sz w:val="24"/>
          <w:szCs w:val="24"/>
        </w:rPr>
        <w:t>Chuang CL, Chang PC,</w:t>
      </w:r>
      <w:r w:rsidR="00A36797">
        <w:rPr>
          <w:rFonts w:cstheme="minorHAnsi"/>
          <w:sz w:val="24"/>
          <w:szCs w:val="24"/>
        </w:rPr>
        <w:t xml:space="preserve"> </w:t>
      </w:r>
      <w:r w:rsidRPr="0031395E">
        <w:rPr>
          <w:rFonts w:cstheme="minorHAnsi"/>
          <w:sz w:val="24"/>
          <w:szCs w:val="24"/>
        </w:rPr>
        <w:t xml:space="preserve">Lin RH. An efficiency data envelopment analysis model reinforced by classification and regression tree for hospital performance evaluation. </w:t>
      </w:r>
      <w:r w:rsidR="00CF2690" w:rsidRPr="00E050F6">
        <w:rPr>
          <w:rFonts w:cstheme="minorHAnsi"/>
          <w:i/>
          <w:sz w:val="24"/>
          <w:szCs w:val="24"/>
        </w:rPr>
        <w:t>Journal</w:t>
      </w:r>
      <w:r w:rsidR="00A36797" w:rsidRPr="00E050F6">
        <w:rPr>
          <w:rFonts w:cstheme="minorHAnsi"/>
          <w:i/>
          <w:sz w:val="24"/>
          <w:szCs w:val="24"/>
        </w:rPr>
        <w:t xml:space="preserve"> of</w:t>
      </w:r>
      <w:r w:rsidRPr="00E050F6">
        <w:rPr>
          <w:rFonts w:cstheme="minorHAnsi"/>
          <w:i/>
          <w:sz w:val="24"/>
          <w:szCs w:val="24"/>
        </w:rPr>
        <w:t xml:space="preserve"> Med</w:t>
      </w:r>
      <w:r w:rsidR="00A36797" w:rsidRPr="00E050F6">
        <w:rPr>
          <w:rFonts w:cstheme="minorHAnsi"/>
          <w:i/>
          <w:sz w:val="24"/>
          <w:szCs w:val="24"/>
        </w:rPr>
        <w:t>ical</w:t>
      </w:r>
      <w:r w:rsidRPr="00E050F6">
        <w:rPr>
          <w:rFonts w:cstheme="minorHAnsi"/>
          <w:i/>
          <w:sz w:val="24"/>
          <w:szCs w:val="24"/>
        </w:rPr>
        <w:t xml:space="preserve"> Syst</w:t>
      </w:r>
      <w:r w:rsidR="00A36797" w:rsidRPr="00E050F6">
        <w:rPr>
          <w:rFonts w:cstheme="minorHAnsi"/>
          <w:i/>
          <w:sz w:val="24"/>
          <w:szCs w:val="24"/>
        </w:rPr>
        <w:t>ems</w:t>
      </w:r>
      <w:r w:rsidRPr="0031395E">
        <w:rPr>
          <w:rFonts w:cstheme="minorHAnsi"/>
          <w:sz w:val="24"/>
          <w:szCs w:val="24"/>
        </w:rPr>
        <w:t xml:space="preserve"> 2010;</w:t>
      </w:r>
      <w:r w:rsidR="00A36797" w:rsidRPr="00A36797">
        <w:rPr>
          <w:rFonts w:cstheme="minorHAnsi"/>
          <w:sz w:val="24"/>
          <w:szCs w:val="24"/>
        </w:rPr>
        <w:t>35(5):1075-83</w:t>
      </w:r>
      <w:r w:rsidR="00A36797">
        <w:rPr>
          <w:rFonts w:cstheme="minorHAnsi"/>
          <w:sz w:val="24"/>
          <w:szCs w:val="24"/>
        </w:rPr>
        <w:t>.</w:t>
      </w:r>
      <w:r w:rsidRPr="0031395E">
        <w:rPr>
          <w:rFonts w:cstheme="minorHAnsi"/>
          <w:sz w:val="24"/>
          <w:szCs w:val="24"/>
        </w:rPr>
        <w:t xml:space="preserve"> </w:t>
      </w:r>
      <w:r w:rsidR="00A36797" w:rsidRPr="0031395E">
        <w:rPr>
          <w:rFonts w:cstheme="minorHAnsi"/>
          <w:sz w:val="24"/>
          <w:szCs w:val="24"/>
        </w:rPr>
        <w:t>D</w:t>
      </w:r>
      <w:r w:rsidRPr="0031395E">
        <w:rPr>
          <w:rFonts w:cstheme="minorHAnsi"/>
          <w:sz w:val="24"/>
          <w:szCs w:val="24"/>
        </w:rPr>
        <w:t>oi:10.1007/s10916-010-9598-5.</w:t>
      </w:r>
    </w:p>
    <w:p w14:paraId="6740C629" w14:textId="02DBF029" w:rsidR="0031395E" w:rsidRPr="0031395E" w:rsidRDefault="0031395E" w:rsidP="008F1189">
      <w:pPr>
        <w:pStyle w:val="ListParagraph"/>
        <w:numPr>
          <w:ilvl w:val="0"/>
          <w:numId w:val="2"/>
        </w:numPr>
        <w:spacing w:line="360" w:lineRule="auto"/>
        <w:jc w:val="both"/>
        <w:rPr>
          <w:rFonts w:cstheme="minorHAnsi"/>
          <w:sz w:val="24"/>
          <w:szCs w:val="24"/>
        </w:rPr>
      </w:pPr>
      <w:proofErr w:type="spellStart"/>
      <w:r w:rsidRPr="0031395E">
        <w:rPr>
          <w:rFonts w:cstheme="minorHAnsi"/>
          <w:sz w:val="24"/>
          <w:szCs w:val="24"/>
        </w:rPr>
        <w:t>Gok</w:t>
      </w:r>
      <w:proofErr w:type="spellEnd"/>
      <w:r w:rsidRPr="0031395E">
        <w:rPr>
          <w:rFonts w:cstheme="minorHAnsi"/>
          <w:sz w:val="24"/>
          <w:szCs w:val="24"/>
        </w:rPr>
        <w:t xml:space="preserve"> MS</w:t>
      </w:r>
      <w:r w:rsidR="00A36797">
        <w:rPr>
          <w:rFonts w:cstheme="minorHAnsi"/>
          <w:sz w:val="24"/>
          <w:szCs w:val="24"/>
        </w:rPr>
        <w:t>,</w:t>
      </w:r>
      <w:r w:rsidRPr="0031395E">
        <w:rPr>
          <w:rFonts w:cstheme="minorHAnsi"/>
          <w:sz w:val="24"/>
          <w:szCs w:val="24"/>
        </w:rPr>
        <w:t xml:space="preserve"> </w:t>
      </w:r>
      <w:proofErr w:type="spellStart"/>
      <w:r w:rsidRPr="0031395E">
        <w:rPr>
          <w:rFonts w:cstheme="minorHAnsi"/>
          <w:sz w:val="24"/>
          <w:szCs w:val="24"/>
        </w:rPr>
        <w:t>Altindag</w:t>
      </w:r>
      <w:proofErr w:type="spellEnd"/>
      <w:r w:rsidRPr="0031395E">
        <w:rPr>
          <w:rFonts w:cstheme="minorHAnsi"/>
          <w:sz w:val="24"/>
          <w:szCs w:val="24"/>
        </w:rPr>
        <w:t xml:space="preserve"> E. Analysis of the cost and efficiency relationship: experience in the Turkish pay for performance system. </w:t>
      </w:r>
      <w:r w:rsidRPr="00E050F6">
        <w:rPr>
          <w:rFonts w:cstheme="minorHAnsi"/>
          <w:i/>
          <w:sz w:val="24"/>
          <w:szCs w:val="24"/>
        </w:rPr>
        <w:t>European Journal of Health Economics</w:t>
      </w:r>
      <w:r w:rsidRPr="0031395E">
        <w:rPr>
          <w:rFonts w:cstheme="minorHAnsi"/>
          <w:sz w:val="24"/>
          <w:szCs w:val="24"/>
        </w:rPr>
        <w:t xml:space="preserve"> 2015;16(5), pp 459–469.</w:t>
      </w:r>
      <w:r w:rsidR="00A36797">
        <w:rPr>
          <w:rFonts w:cstheme="minorHAnsi"/>
          <w:sz w:val="24"/>
          <w:szCs w:val="24"/>
        </w:rPr>
        <w:t xml:space="preserve"> </w:t>
      </w:r>
      <w:r w:rsidR="00A36797" w:rsidRPr="00A36797">
        <w:rPr>
          <w:rFonts w:cstheme="minorHAnsi"/>
          <w:sz w:val="24"/>
          <w:szCs w:val="24"/>
        </w:rPr>
        <w:t>DOI 10.1007/s10198-014-0584-6</w:t>
      </w:r>
    </w:p>
    <w:p w14:paraId="1743BBB5" w14:textId="06B219B8" w:rsidR="00877106" w:rsidRPr="00877106" w:rsidRDefault="00877106" w:rsidP="008F1189">
      <w:pPr>
        <w:pStyle w:val="ListParagraph"/>
        <w:numPr>
          <w:ilvl w:val="0"/>
          <w:numId w:val="2"/>
        </w:numPr>
        <w:spacing w:line="360" w:lineRule="auto"/>
        <w:jc w:val="both"/>
        <w:rPr>
          <w:rFonts w:cstheme="minorHAnsi"/>
          <w:sz w:val="24"/>
          <w:szCs w:val="24"/>
        </w:rPr>
      </w:pPr>
      <w:r w:rsidRPr="00877106">
        <w:rPr>
          <w:rFonts w:cstheme="minorHAnsi"/>
          <w:sz w:val="24"/>
          <w:szCs w:val="24"/>
        </w:rPr>
        <w:t xml:space="preserve">O’Neill L, </w:t>
      </w:r>
      <w:proofErr w:type="spellStart"/>
      <w:r w:rsidRPr="00877106">
        <w:rPr>
          <w:rFonts w:cstheme="minorHAnsi"/>
          <w:sz w:val="24"/>
          <w:szCs w:val="24"/>
        </w:rPr>
        <w:t>Rauner</w:t>
      </w:r>
      <w:proofErr w:type="spellEnd"/>
      <w:r w:rsidRPr="00877106">
        <w:rPr>
          <w:rFonts w:cstheme="minorHAnsi"/>
          <w:sz w:val="24"/>
          <w:szCs w:val="24"/>
        </w:rPr>
        <w:t xml:space="preserve"> M, </w:t>
      </w:r>
      <w:proofErr w:type="spellStart"/>
      <w:r w:rsidRPr="00877106">
        <w:rPr>
          <w:rFonts w:cstheme="minorHAnsi"/>
          <w:sz w:val="24"/>
          <w:szCs w:val="24"/>
        </w:rPr>
        <w:t>Heidenberger</w:t>
      </w:r>
      <w:proofErr w:type="spellEnd"/>
      <w:r w:rsidRPr="00877106">
        <w:rPr>
          <w:rFonts w:cstheme="minorHAnsi"/>
          <w:sz w:val="24"/>
          <w:szCs w:val="24"/>
        </w:rPr>
        <w:t xml:space="preserve"> K </w:t>
      </w:r>
      <w:r w:rsidR="00A25580" w:rsidRPr="00E050F6">
        <w:rPr>
          <w:rFonts w:cstheme="minorHAnsi"/>
          <w:i/>
          <w:sz w:val="24"/>
          <w:szCs w:val="24"/>
        </w:rPr>
        <w:t>et al</w:t>
      </w:r>
      <w:r w:rsidRPr="00877106">
        <w:rPr>
          <w:rFonts w:cstheme="minorHAnsi"/>
          <w:sz w:val="24"/>
          <w:szCs w:val="24"/>
        </w:rPr>
        <w:t xml:space="preserve">. A cross-national comparison and taxonomy of DEA-based hospital efficiency studies. </w:t>
      </w:r>
      <w:r w:rsidR="00A25580" w:rsidRPr="00E050F6">
        <w:rPr>
          <w:rFonts w:cstheme="minorHAnsi"/>
          <w:i/>
          <w:sz w:val="24"/>
          <w:szCs w:val="24"/>
        </w:rPr>
        <w:t>Socio-</w:t>
      </w:r>
      <w:r w:rsidR="00CF2690" w:rsidRPr="00E050F6">
        <w:rPr>
          <w:rFonts w:cstheme="minorHAnsi"/>
          <w:i/>
          <w:sz w:val="24"/>
          <w:szCs w:val="24"/>
        </w:rPr>
        <w:t>E</w:t>
      </w:r>
      <w:r w:rsidR="00A25580" w:rsidRPr="00E050F6">
        <w:rPr>
          <w:rFonts w:cstheme="minorHAnsi"/>
          <w:i/>
          <w:sz w:val="24"/>
          <w:szCs w:val="24"/>
        </w:rPr>
        <w:t xml:space="preserve">conomic </w:t>
      </w:r>
      <w:r w:rsidR="00CF2690" w:rsidRPr="00E050F6">
        <w:rPr>
          <w:rFonts w:cstheme="minorHAnsi"/>
          <w:i/>
          <w:sz w:val="24"/>
          <w:szCs w:val="24"/>
        </w:rPr>
        <w:t>P</w:t>
      </w:r>
      <w:r w:rsidR="00A25580" w:rsidRPr="00E050F6">
        <w:rPr>
          <w:rFonts w:cstheme="minorHAnsi"/>
          <w:i/>
          <w:sz w:val="24"/>
          <w:szCs w:val="24"/>
        </w:rPr>
        <w:t>lanning</w:t>
      </w:r>
      <w:r w:rsidR="00A25580">
        <w:rPr>
          <w:rFonts w:cstheme="minorHAnsi"/>
          <w:sz w:val="24"/>
          <w:szCs w:val="24"/>
        </w:rPr>
        <w:t xml:space="preserve"> </w:t>
      </w:r>
      <w:r w:rsidR="00CF2690" w:rsidRPr="00E050F6">
        <w:rPr>
          <w:rFonts w:cstheme="minorHAnsi"/>
          <w:i/>
          <w:sz w:val="24"/>
          <w:szCs w:val="24"/>
        </w:rPr>
        <w:t>S</w:t>
      </w:r>
      <w:r w:rsidR="00A25580" w:rsidRPr="00E050F6">
        <w:rPr>
          <w:rFonts w:cstheme="minorHAnsi"/>
          <w:i/>
          <w:sz w:val="24"/>
          <w:szCs w:val="24"/>
        </w:rPr>
        <w:t>ciences</w:t>
      </w:r>
      <w:r w:rsidR="00A25580">
        <w:rPr>
          <w:rFonts w:cstheme="minorHAnsi"/>
          <w:sz w:val="24"/>
          <w:szCs w:val="24"/>
        </w:rPr>
        <w:t xml:space="preserve"> </w:t>
      </w:r>
      <w:proofErr w:type="gramStart"/>
      <w:r w:rsidRPr="00877106">
        <w:rPr>
          <w:rFonts w:cstheme="minorHAnsi"/>
          <w:sz w:val="24"/>
          <w:szCs w:val="24"/>
        </w:rPr>
        <w:t>2008;42:158</w:t>
      </w:r>
      <w:proofErr w:type="gramEnd"/>
      <w:r w:rsidRPr="00877106">
        <w:rPr>
          <w:rFonts w:cstheme="minorHAnsi"/>
          <w:sz w:val="24"/>
          <w:szCs w:val="24"/>
        </w:rPr>
        <w:t>–189.</w:t>
      </w:r>
    </w:p>
    <w:p w14:paraId="458D1318" w14:textId="7063C4D3" w:rsidR="00877106" w:rsidRPr="00E050F6" w:rsidRDefault="00877106" w:rsidP="008F1189">
      <w:pPr>
        <w:pStyle w:val="ListParagraph"/>
        <w:numPr>
          <w:ilvl w:val="0"/>
          <w:numId w:val="2"/>
        </w:numPr>
        <w:spacing w:line="360" w:lineRule="auto"/>
        <w:jc w:val="both"/>
        <w:rPr>
          <w:rFonts w:cstheme="minorHAnsi"/>
          <w:sz w:val="24"/>
          <w:szCs w:val="24"/>
        </w:rPr>
      </w:pPr>
      <w:proofErr w:type="spellStart"/>
      <w:r w:rsidRPr="00877106">
        <w:rPr>
          <w:rFonts w:cstheme="minorHAnsi"/>
          <w:sz w:val="24"/>
          <w:szCs w:val="24"/>
        </w:rPr>
        <w:lastRenderedPageBreak/>
        <w:t>Mahate</w:t>
      </w:r>
      <w:proofErr w:type="spellEnd"/>
      <w:r w:rsidRPr="00877106">
        <w:rPr>
          <w:rFonts w:cstheme="minorHAnsi"/>
          <w:sz w:val="24"/>
          <w:szCs w:val="24"/>
        </w:rPr>
        <w:t xml:space="preserve"> A</w:t>
      </w:r>
      <w:r w:rsidR="002377FB">
        <w:rPr>
          <w:rFonts w:cstheme="minorHAnsi"/>
          <w:sz w:val="24"/>
          <w:szCs w:val="24"/>
        </w:rPr>
        <w:t>,</w:t>
      </w:r>
      <w:r w:rsidRPr="00877106">
        <w:rPr>
          <w:rFonts w:cstheme="minorHAnsi"/>
          <w:sz w:val="24"/>
          <w:szCs w:val="24"/>
        </w:rPr>
        <w:t xml:space="preserve"> Hamidi S. Frontier efficiency of hospitals in United Arab Emirates: An application of data envelopment analysis. </w:t>
      </w:r>
      <w:r w:rsidRPr="00E050F6">
        <w:rPr>
          <w:rFonts w:cstheme="minorHAnsi"/>
          <w:i/>
          <w:sz w:val="24"/>
          <w:szCs w:val="24"/>
        </w:rPr>
        <w:t>Journal of Hospital Administration</w:t>
      </w:r>
      <w:r w:rsidRPr="00877106">
        <w:rPr>
          <w:rFonts w:cstheme="minorHAnsi"/>
          <w:sz w:val="24"/>
          <w:szCs w:val="24"/>
        </w:rPr>
        <w:t xml:space="preserve"> 2016;5(1) pp7–16.</w:t>
      </w:r>
      <w:r w:rsidR="002377FB">
        <w:rPr>
          <w:rFonts w:cstheme="minorHAnsi"/>
          <w:sz w:val="24"/>
          <w:szCs w:val="24"/>
        </w:rPr>
        <w:t xml:space="preserve"> </w:t>
      </w:r>
      <w:r w:rsidR="002377FB" w:rsidRPr="002377FB">
        <w:rPr>
          <w:rFonts w:cstheme="minorHAnsi"/>
          <w:sz w:val="24"/>
          <w:szCs w:val="24"/>
        </w:rPr>
        <w:t xml:space="preserve">DOI: </w:t>
      </w:r>
      <w:r w:rsidR="002377FB" w:rsidRPr="00E050F6">
        <w:rPr>
          <w:rFonts w:cstheme="minorHAnsi"/>
          <w:sz w:val="24"/>
          <w:szCs w:val="24"/>
        </w:rPr>
        <w:t>10.1007/s10916-014-0156-4</w:t>
      </w:r>
    </w:p>
    <w:p w14:paraId="2731635C" w14:textId="778EC2E3" w:rsidR="00F83A11" w:rsidRDefault="00877106" w:rsidP="008F1189">
      <w:pPr>
        <w:pStyle w:val="ListParagraph"/>
        <w:numPr>
          <w:ilvl w:val="0"/>
          <w:numId w:val="2"/>
        </w:numPr>
        <w:spacing w:line="360" w:lineRule="auto"/>
        <w:jc w:val="both"/>
        <w:rPr>
          <w:rFonts w:cstheme="minorHAnsi"/>
          <w:sz w:val="24"/>
          <w:szCs w:val="24"/>
        </w:rPr>
      </w:pPr>
      <w:r w:rsidRPr="00877106">
        <w:rPr>
          <w:rFonts w:cstheme="minorHAnsi"/>
          <w:sz w:val="24"/>
          <w:szCs w:val="24"/>
        </w:rPr>
        <w:t xml:space="preserve">Ramanathan R. Operations assessment of hospitals in the Sultanate of Oman. </w:t>
      </w:r>
      <w:r w:rsidRPr="00E050F6">
        <w:rPr>
          <w:rFonts w:cstheme="minorHAnsi"/>
          <w:i/>
          <w:sz w:val="24"/>
          <w:szCs w:val="24"/>
        </w:rPr>
        <w:t>International Journal of Operations and Production Management</w:t>
      </w:r>
      <w:r w:rsidRPr="00877106">
        <w:rPr>
          <w:rFonts w:cstheme="minorHAnsi"/>
          <w:sz w:val="24"/>
          <w:szCs w:val="24"/>
        </w:rPr>
        <w:t>, 2005;25(1) pp 39-54.</w:t>
      </w:r>
      <w:r w:rsidR="002377FB">
        <w:rPr>
          <w:rFonts w:cstheme="minorHAnsi"/>
          <w:sz w:val="24"/>
          <w:szCs w:val="24"/>
        </w:rPr>
        <w:t xml:space="preserve"> </w:t>
      </w:r>
      <w:r w:rsidR="002377FB" w:rsidRPr="002377FB">
        <w:rPr>
          <w:rFonts w:cstheme="minorHAnsi"/>
          <w:sz w:val="24"/>
          <w:szCs w:val="24"/>
        </w:rPr>
        <w:t xml:space="preserve">DOI: </w:t>
      </w:r>
      <w:r w:rsidR="002377FB" w:rsidRPr="00E050F6">
        <w:rPr>
          <w:rFonts w:cstheme="minorHAnsi"/>
          <w:sz w:val="24"/>
          <w:szCs w:val="24"/>
        </w:rPr>
        <w:t>10.1007/s10916-014-0156-4</w:t>
      </w:r>
    </w:p>
    <w:p w14:paraId="3AD76471" w14:textId="7975370C" w:rsidR="007E7EA3" w:rsidRPr="00D84107" w:rsidRDefault="007E7EA3" w:rsidP="008F1189">
      <w:pPr>
        <w:pStyle w:val="ListParagraph"/>
        <w:numPr>
          <w:ilvl w:val="0"/>
          <w:numId w:val="2"/>
        </w:numPr>
        <w:spacing w:line="360" w:lineRule="auto"/>
        <w:jc w:val="both"/>
        <w:rPr>
          <w:rFonts w:cstheme="minorHAnsi"/>
          <w:sz w:val="24"/>
          <w:szCs w:val="24"/>
        </w:rPr>
      </w:pPr>
      <w:proofErr w:type="spellStart"/>
      <w:r w:rsidRPr="00A25725">
        <w:rPr>
          <w:rFonts w:cstheme="minorHAnsi"/>
          <w:sz w:val="24"/>
          <w:szCs w:val="24"/>
        </w:rPr>
        <w:t>Charnes</w:t>
      </w:r>
      <w:proofErr w:type="spellEnd"/>
      <w:r w:rsidRPr="00A25725">
        <w:rPr>
          <w:rFonts w:cstheme="minorHAnsi"/>
          <w:sz w:val="24"/>
          <w:szCs w:val="24"/>
        </w:rPr>
        <w:t>, A. and Cooper, W.W.</w:t>
      </w:r>
      <w:r>
        <w:rPr>
          <w:rFonts w:cstheme="minorHAnsi"/>
          <w:sz w:val="24"/>
          <w:szCs w:val="24"/>
        </w:rPr>
        <w:t xml:space="preserve"> </w:t>
      </w:r>
      <w:r w:rsidRPr="00A25725">
        <w:rPr>
          <w:rFonts w:cstheme="minorHAnsi"/>
          <w:sz w:val="24"/>
          <w:szCs w:val="24"/>
        </w:rPr>
        <w:t>Programming with Fractional Functions. Naval Research Logistic Quarterly</w:t>
      </w:r>
      <w:r>
        <w:rPr>
          <w:rFonts w:cstheme="minorHAnsi"/>
          <w:sz w:val="24"/>
          <w:szCs w:val="24"/>
        </w:rPr>
        <w:t xml:space="preserve"> </w:t>
      </w:r>
      <w:r w:rsidRPr="00A25725">
        <w:rPr>
          <w:rFonts w:cstheme="minorHAnsi"/>
          <w:sz w:val="24"/>
          <w:szCs w:val="24"/>
        </w:rPr>
        <w:t>(1962</w:t>
      </w:r>
      <w:r>
        <w:rPr>
          <w:rFonts w:cstheme="minorHAnsi"/>
          <w:sz w:val="24"/>
          <w:szCs w:val="24"/>
        </w:rPr>
        <w:t>;(</w:t>
      </w:r>
      <w:r w:rsidRPr="00A25725">
        <w:rPr>
          <w:rFonts w:cstheme="minorHAnsi"/>
          <w:sz w:val="24"/>
          <w:szCs w:val="24"/>
        </w:rPr>
        <w:t>9</w:t>
      </w:r>
      <w:r>
        <w:rPr>
          <w:rFonts w:cstheme="minorHAnsi"/>
          <w:sz w:val="24"/>
          <w:szCs w:val="24"/>
        </w:rPr>
        <w:t>):</w:t>
      </w:r>
      <w:r w:rsidRPr="00A25725">
        <w:rPr>
          <w:rFonts w:cstheme="minorHAnsi"/>
          <w:sz w:val="24"/>
          <w:szCs w:val="24"/>
        </w:rPr>
        <w:t xml:space="preserve"> 181-186.</w:t>
      </w:r>
      <w:r>
        <w:rPr>
          <w:rFonts w:cstheme="minorHAnsi"/>
          <w:sz w:val="24"/>
          <w:szCs w:val="24"/>
        </w:rPr>
        <w:t xml:space="preserve"> DOI: </w:t>
      </w:r>
      <w:r w:rsidRPr="00A20ED6">
        <w:rPr>
          <w:rFonts w:cstheme="minorHAnsi"/>
          <w:sz w:val="24"/>
          <w:szCs w:val="24"/>
        </w:rPr>
        <w:t>org/10.1002/nav.3800090303</w:t>
      </w:r>
    </w:p>
    <w:p w14:paraId="61991354" w14:textId="346CE7D6" w:rsidR="00DB2143" w:rsidRPr="00DB2143" w:rsidRDefault="00DB2143" w:rsidP="008F1189">
      <w:pPr>
        <w:pStyle w:val="ListParagraph"/>
        <w:numPr>
          <w:ilvl w:val="0"/>
          <w:numId w:val="2"/>
        </w:numPr>
        <w:spacing w:line="360" w:lineRule="auto"/>
        <w:jc w:val="both"/>
        <w:rPr>
          <w:rFonts w:cstheme="minorHAnsi"/>
          <w:sz w:val="24"/>
          <w:szCs w:val="24"/>
        </w:rPr>
      </w:pPr>
      <w:proofErr w:type="spellStart"/>
      <w:r w:rsidRPr="00DB2143">
        <w:rPr>
          <w:rFonts w:cstheme="minorHAnsi"/>
          <w:sz w:val="24"/>
          <w:szCs w:val="24"/>
        </w:rPr>
        <w:t>Emrouznejad</w:t>
      </w:r>
      <w:proofErr w:type="spellEnd"/>
      <w:r w:rsidRPr="00DB2143">
        <w:rPr>
          <w:rFonts w:cstheme="minorHAnsi"/>
          <w:sz w:val="24"/>
          <w:szCs w:val="24"/>
        </w:rPr>
        <w:t xml:space="preserve"> A</w:t>
      </w:r>
      <w:r w:rsidR="002377FB">
        <w:rPr>
          <w:rFonts w:cstheme="minorHAnsi"/>
          <w:sz w:val="24"/>
          <w:szCs w:val="24"/>
        </w:rPr>
        <w:t>,</w:t>
      </w:r>
      <w:r w:rsidRPr="00DB2143">
        <w:rPr>
          <w:rFonts w:cstheme="minorHAnsi"/>
          <w:sz w:val="24"/>
          <w:szCs w:val="24"/>
        </w:rPr>
        <w:t xml:space="preserve"> </w:t>
      </w:r>
      <w:proofErr w:type="spellStart"/>
      <w:r w:rsidRPr="00DB2143">
        <w:rPr>
          <w:rFonts w:cstheme="minorHAnsi"/>
          <w:sz w:val="24"/>
          <w:szCs w:val="24"/>
        </w:rPr>
        <w:t>Thanassoulis</w:t>
      </w:r>
      <w:proofErr w:type="spellEnd"/>
      <w:r w:rsidR="002377FB">
        <w:rPr>
          <w:rFonts w:cstheme="minorHAnsi"/>
          <w:sz w:val="24"/>
          <w:szCs w:val="24"/>
        </w:rPr>
        <w:t xml:space="preserve"> E.</w:t>
      </w:r>
      <w:r w:rsidRPr="00DB2143">
        <w:rPr>
          <w:rFonts w:cstheme="minorHAnsi"/>
          <w:sz w:val="24"/>
          <w:szCs w:val="24"/>
        </w:rPr>
        <w:t xml:space="preserve"> </w:t>
      </w:r>
      <w:r w:rsidRPr="00E050F6">
        <w:rPr>
          <w:rFonts w:cstheme="minorHAnsi"/>
          <w:i/>
          <w:sz w:val="24"/>
          <w:szCs w:val="24"/>
        </w:rPr>
        <w:t>Performance Improvement Management Software: PIM-DEAsoft-V3.0 User Guide</w:t>
      </w:r>
      <w:r w:rsidRPr="00DB2143">
        <w:rPr>
          <w:rFonts w:cstheme="minorHAnsi"/>
          <w:sz w:val="24"/>
          <w:szCs w:val="24"/>
        </w:rPr>
        <w:t xml:space="preserve"> May 2011</w:t>
      </w:r>
      <w:r w:rsidR="00D73A62">
        <w:rPr>
          <w:rFonts w:cstheme="minorHAnsi"/>
          <w:sz w:val="24"/>
          <w:szCs w:val="24"/>
        </w:rPr>
        <w:t>;</w:t>
      </w:r>
      <w:r w:rsidRPr="00DB2143">
        <w:rPr>
          <w:rFonts w:cstheme="minorHAnsi"/>
          <w:sz w:val="24"/>
          <w:szCs w:val="24"/>
        </w:rPr>
        <w:t xml:space="preserve"> www.DEAsoftware.co.uk,</w:t>
      </w:r>
      <w:r w:rsidR="00A03DA4">
        <w:rPr>
          <w:rFonts w:cstheme="minorHAnsi"/>
          <w:sz w:val="24"/>
          <w:szCs w:val="24"/>
        </w:rPr>
        <w:t xml:space="preserve"> </w:t>
      </w:r>
      <w:r w:rsidRPr="00DB2143">
        <w:rPr>
          <w:rFonts w:cstheme="minorHAnsi"/>
          <w:sz w:val="24"/>
          <w:szCs w:val="24"/>
        </w:rPr>
        <w:t xml:space="preserve">Performance Improvement Management Limited, UKISBN: 1-85449-412-2. </w:t>
      </w:r>
      <w:r w:rsidR="002377FB">
        <w:rPr>
          <w:rFonts w:cstheme="minorHAnsi"/>
          <w:sz w:val="24"/>
          <w:szCs w:val="24"/>
        </w:rPr>
        <w:t xml:space="preserve">Available at: </w:t>
      </w:r>
      <w:r w:rsidR="002377FB" w:rsidRPr="002377FB">
        <w:rPr>
          <w:rFonts w:cstheme="minorHAnsi"/>
          <w:sz w:val="24"/>
          <w:szCs w:val="24"/>
        </w:rPr>
        <w:t>https://deazone.com/en/software</w:t>
      </w:r>
    </w:p>
    <w:p w14:paraId="763C9FD2" w14:textId="6BB27E36" w:rsidR="00C03233" w:rsidRPr="00C03233" w:rsidRDefault="00C03233" w:rsidP="008F1189">
      <w:pPr>
        <w:pStyle w:val="ListParagraph"/>
        <w:numPr>
          <w:ilvl w:val="0"/>
          <w:numId w:val="2"/>
        </w:numPr>
        <w:spacing w:line="360" w:lineRule="auto"/>
        <w:jc w:val="both"/>
        <w:rPr>
          <w:rFonts w:cstheme="minorHAnsi"/>
          <w:sz w:val="24"/>
          <w:szCs w:val="24"/>
        </w:rPr>
      </w:pPr>
      <w:proofErr w:type="spellStart"/>
      <w:r w:rsidRPr="00C03233">
        <w:rPr>
          <w:rFonts w:cstheme="minorHAnsi"/>
          <w:sz w:val="24"/>
          <w:szCs w:val="24"/>
        </w:rPr>
        <w:t>Shahhoseini</w:t>
      </w:r>
      <w:proofErr w:type="spellEnd"/>
      <w:r w:rsidR="00CF2690">
        <w:rPr>
          <w:rFonts w:cstheme="minorHAnsi"/>
          <w:sz w:val="24"/>
          <w:szCs w:val="24"/>
        </w:rPr>
        <w:t xml:space="preserve"> </w:t>
      </w:r>
      <w:r w:rsidRPr="00C03233">
        <w:rPr>
          <w:rFonts w:cstheme="minorHAnsi"/>
          <w:sz w:val="24"/>
          <w:szCs w:val="24"/>
        </w:rPr>
        <w:t xml:space="preserve">R, </w:t>
      </w:r>
      <w:proofErr w:type="spellStart"/>
      <w:r w:rsidRPr="00C03233">
        <w:rPr>
          <w:rFonts w:cstheme="minorHAnsi"/>
          <w:sz w:val="24"/>
          <w:szCs w:val="24"/>
        </w:rPr>
        <w:t>Tofighi</w:t>
      </w:r>
      <w:proofErr w:type="spellEnd"/>
      <w:r w:rsidRPr="00C03233">
        <w:rPr>
          <w:rFonts w:cstheme="minorHAnsi"/>
          <w:sz w:val="24"/>
          <w:szCs w:val="24"/>
        </w:rPr>
        <w:t xml:space="preserve"> S, </w:t>
      </w:r>
      <w:proofErr w:type="spellStart"/>
      <w:r w:rsidRPr="00C03233">
        <w:rPr>
          <w:rFonts w:cstheme="minorHAnsi"/>
          <w:sz w:val="24"/>
          <w:szCs w:val="24"/>
        </w:rPr>
        <w:t>Jaafaripooyan</w:t>
      </w:r>
      <w:proofErr w:type="spellEnd"/>
      <w:r w:rsidRPr="00C03233">
        <w:rPr>
          <w:rFonts w:cstheme="minorHAnsi"/>
          <w:sz w:val="24"/>
          <w:szCs w:val="24"/>
        </w:rPr>
        <w:t xml:space="preserve"> E </w:t>
      </w:r>
      <w:r w:rsidR="00CF2690" w:rsidRPr="00E050F6">
        <w:rPr>
          <w:rFonts w:cstheme="minorHAnsi"/>
          <w:i/>
          <w:sz w:val="24"/>
          <w:szCs w:val="24"/>
        </w:rPr>
        <w:t>et al</w:t>
      </w:r>
      <w:r w:rsidR="00CF2690">
        <w:rPr>
          <w:rFonts w:cstheme="minorHAnsi"/>
          <w:sz w:val="24"/>
          <w:szCs w:val="24"/>
        </w:rPr>
        <w:t xml:space="preserve">. </w:t>
      </w:r>
      <w:r w:rsidRPr="00C03233">
        <w:rPr>
          <w:rFonts w:cstheme="minorHAnsi"/>
          <w:sz w:val="24"/>
          <w:szCs w:val="24"/>
        </w:rPr>
        <w:t xml:space="preserve">Efficiency measurement in developing countries: application of data envelopment analysis for Iranian hospitals. </w:t>
      </w:r>
      <w:r w:rsidRPr="00E050F6">
        <w:rPr>
          <w:rFonts w:cstheme="minorHAnsi"/>
          <w:i/>
          <w:sz w:val="24"/>
          <w:szCs w:val="24"/>
        </w:rPr>
        <w:t>Health Services</w:t>
      </w:r>
      <w:r w:rsidRPr="00C03233">
        <w:rPr>
          <w:rFonts w:cstheme="minorHAnsi"/>
          <w:sz w:val="24"/>
          <w:szCs w:val="24"/>
        </w:rPr>
        <w:t xml:space="preserve"> </w:t>
      </w:r>
      <w:r w:rsidRPr="00E050F6">
        <w:rPr>
          <w:rFonts w:cstheme="minorHAnsi"/>
          <w:i/>
          <w:sz w:val="24"/>
          <w:szCs w:val="24"/>
        </w:rPr>
        <w:t>Management Research</w:t>
      </w:r>
      <w:r w:rsidRPr="00C03233">
        <w:rPr>
          <w:rFonts w:cstheme="minorHAnsi"/>
          <w:sz w:val="24"/>
          <w:szCs w:val="24"/>
        </w:rPr>
        <w:t xml:space="preserve"> 2010;24(2)</w:t>
      </w:r>
      <w:r w:rsidR="00CF2690">
        <w:rPr>
          <w:rFonts w:cstheme="minorHAnsi"/>
          <w:sz w:val="24"/>
          <w:szCs w:val="24"/>
        </w:rPr>
        <w:t>:</w:t>
      </w:r>
      <w:r w:rsidRPr="00C03233">
        <w:rPr>
          <w:rFonts w:cstheme="minorHAnsi"/>
          <w:sz w:val="24"/>
          <w:szCs w:val="24"/>
        </w:rPr>
        <w:t>75-80.</w:t>
      </w:r>
      <w:r w:rsidR="00CF2690">
        <w:rPr>
          <w:rFonts w:cstheme="minorHAnsi"/>
          <w:sz w:val="24"/>
          <w:szCs w:val="24"/>
        </w:rPr>
        <w:t xml:space="preserve"> </w:t>
      </w:r>
      <w:r w:rsidR="00CF2690" w:rsidRPr="00CF2690">
        <w:rPr>
          <w:rFonts w:cstheme="minorHAnsi"/>
          <w:sz w:val="24"/>
          <w:szCs w:val="24"/>
        </w:rPr>
        <w:t>DOI: 10.1258/hsmr.2010.010017</w:t>
      </w:r>
    </w:p>
    <w:p w14:paraId="18702B9C" w14:textId="78B715B4" w:rsidR="00C03233" w:rsidRDefault="00C03233" w:rsidP="008F1189">
      <w:pPr>
        <w:pStyle w:val="ListParagraph"/>
        <w:numPr>
          <w:ilvl w:val="0"/>
          <w:numId w:val="2"/>
        </w:numPr>
        <w:spacing w:line="360" w:lineRule="auto"/>
        <w:jc w:val="both"/>
        <w:rPr>
          <w:rFonts w:cstheme="minorHAnsi"/>
          <w:sz w:val="24"/>
          <w:szCs w:val="24"/>
        </w:rPr>
      </w:pPr>
      <w:proofErr w:type="spellStart"/>
      <w:r w:rsidRPr="00C03233">
        <w:rPr>
          <w:rFonts w:cstheme="minorHAnsi"/>
          <w:sz w:val="24"/>
          <w:szCs w:val="24"/>
        </w:rPr>
        <w:t>Kiadaliri</w:t>
      </w:r>
      <w:proofErr w:type="spellEnd"/>
      <w:r w:rsidRPr="00C03233">
        <w:rPr>
          <w:rFonts w:cstheme="minorHAnsi"/>
          <w:sz w:val="24"/>
          <w:szCs w:val="24"/>
        </w:rPr>
        <w:t xml:space="preserve"> A, </w:t>
      </w:r>
      <w:proofErr w:type="spellStart"/>
      <w:r w:rsidRPr="00C03233">
        <w:rPr>
          <w:rFonts w:cstheme="minorHAnsi"/>
          <w:sz w:val="24"/>
          <w:szCs w:val="24"/>
        </w:rPr>
        <w:t>Haghparast-Bidgoli</w:t>
      </w:r>
      <w:proofErr w:type="spellEnd"/>
      <w:r w:rsidRPr="00C03233">
        <w:rPr>
          <w:rFonts w:cstheme="minorHAnsi"/>
          <w:sz w:val="24"/>
          <w:szCs w:val="24"/>
        </w:rPr>
        <w:t xml:space="preserve"> H</w:t>
      </w:r>
      <w:r w:rsidR="00CF2690">
        <w:rPr>
          <w:rFonts w:cstheme="minorHAnsi"/>
          <w:sz w:val="24"/>
          <w:szCs w:val="24"/>
        </w:rPr>
        <w:t>,</w:t>
      </w:r>
      <w:r w:rsidRPr="00C03233">
        <w:rPr>
          <w:rFonts w:cstheme="minorHAnsi"/>
          <w:sz w:val="24"/>
          <w:szCs w:val="24"/>
        </w:rPr>
        <w:t xml:space="preserve"> </w:t>
      </w:r>
      <w:proofErr w:type="spellStart"/>
      <w:r w:rsidRPr="00C03233">
        <w:rPr>
          <w:rFonts w:cstheme="minorHAnsi"/>
          <w:sz w:val="24"/>
          <w:szCs w:val="24"/>
        </w:rPr>
        <w:t>Zarei</w:t>
      </w:r>
      <w:proofErr w:type="spellEnd"/>
      <w:r w:rsidRPr="00C03233">
        <w:rPr>
          <w:rFonts w:cstheme="minorHAnsi"/>
          <w:sz w:val="24"/>
          <w:szCs w:val="24"/>
        </w:rPr>
        <w:t xml:space="preserve"> A. Measuring efficiency of general hospitals in the south of Iran. </w:t>
      </w:r>
      <w:r w:rsidRPr="00E050F6">
        <w:rPr>
          <w:rFonts w:cstheme="minorHAnsi"/>
          <w:i/>
          <w:sz w:val="24"/>
          <w:szCs w:val="24"/>
        </w:rPr>
        <w:t>World Applied Sciences Journal</w:t>
      </w:r>
      <w:r w:rsidRPr="00C03233">
        <w:rPr>
          <w:rFonts w:cstheme="minorHAnsi"/>
          <w:sz w:val="24"/>
          <w:szCs w:val="24"/>
        </w:rPr>
        <w:t xml:space="preserve"> 2011;13(6)</w:t>
      </w:r>
      <w:r w:rsidR="00CF2690">
        <w:rPr>
          <w:rFonts w:cstheme="minorHAnsi"/>
          <w:sz w:val="24"/>
          <w:szCs w:val="24"/>
        </w:rPr>
        <w:t>:</w:t>
      </w:r>
      <w:r w:rsidRPr="00C03233">
        <w:rPr>
          <w:rFonts w:cstheme="minorHAnsi"/>
          <w:sz w:val="24"/>
          <w:szCs w:val="24"/>
        </w:rPr>
        <w:t xml:space="preserve"> 1310–1316.</w:t>
      </w:r>
    </w:p>
    <w:p w14:paraId="22C8A54F" w14:textId="2C390163" w:rsidR="00C976D8" w:rsidRPr="00D84107" w:rsidRDefault="00C976D8" w:rsidP="008F1189">
      <w:pPr>
        <w:pStyle w:val="ListParagraph"/>
        <w:numPr>
          <w:ilvl w:val="0"/>
          <w:numId w:val="2"/>
        </w:numPr>
        <w:spacing w:line="360" w:lineRule="auto"/>
        <w:jc w:val="both"/>
        <w:rPr>
          <w:rFonts w:cstheme="minorHAnsi"/>
          <w:sz w:val="24"/>
          <w:szCs w:val="24"/>
        </w:rPr>
      </w:pPr>
      <w:proofErr w:type="spellStart"/>
      <w:r w:rsidRPr="00C03233">
        <w:rPr>
          <w:rFonts w:cstheme="minorHAnsi"/>
          <w:sz w:val="24"/>
          <w:szCs w:val="24"/>
        </w:rPr>
        <w:t>Afzali</w:t>
      </w:r>
      <w:proofErr w:type="spellEnd"/>
      <w:r w:rsidRPr="00C03233">
        <w:rPr>
          <w:rFonts w:cstheme="minorHAnsi"/>
          <w:sz w:val="24"/>
          <w:szCs w:val="24"/>
        </w:rPr>
        <w:t xml:space="preserve"> HH, Moss JR</w:t>
      </w:r>
      <w:r>
        <w:rPr>
          <w:rFonts w:cstheme="minorHAnsi"/>
          <w:sz w:val="24"/>
          <w:szCs w:val="24"/>
        </w:rPr>
        <w:t>,</w:t>
      </w:r>
      <w:r w:rsidRPr="00C03233">
        <w:rPr>
          <w:rFonts w:cstheme="minorHAnsi"/>
          <w:sz w:val="24"/>
          <w:szCs w:val="24"/>
        </w:rPr>
        <w:t xml:space="preserve"> Mahmood AM. Exploring health professionals’ perspectives on factors affecting Iranian hospital efficiency and suggestions for improvement. </w:t>
      </w:r>
      <w:r w:rsidRPr="00E050F6">
        <w:rPr>
          <w:rFonts w:cstheme="minorHAnsi"/>
          <w:i/>
          <w:sz w:val="24"/>
          <w:szCs w:val="24"/>
        </w:rPr>
        <w:t>International Journal of Health Planning and Management</w:t>
      </w:r>
      <w:r w:rsidRPr="00C03233">
        <w:rPr>
          <w:rFonts w:cstheme="minorHAnsi"/>
          <w:sz w:val="24"/>
          <w:szCs w:val="24"/>
        </w:rPr>
        <w:t xml:space="preserve"> 2011;26: e17–e29.</w:t>
      </w:r>
      <w:r>
        <w:rPr>
          <w:rFonts w:cstheme="minorHAnsi"/>
          <w:sz w:val="24"/>
          <w:szCs w:val="24"/>
        </w:rPr>
        <w:t xml:space="preserve"> </w:t>
      </w:r>
      <w:r w:rsidRPr="00CF2690">
        <w:rPr>
          <w:rFonts w:cstheme="minorHAnsi"/>
          <w:sz w:val="24"/>
          <w:szCs w:val="24"/>
        </w:rPr>
        <w:t>DOI: 10.1002/hpm.1035</w:t>
      </w:r>
    </w:p>
    <w:bookmarkEnd w:id="34"/>
    <w:p w14:paraId="0E9073B2" w14:textId="323BCC81" w:rsidR="00A87C6A" w:rsidRPr="00D84107" w:rsidRDefault="00A87C6A" w:rsidP="008F1189">
      <w:pPr>
        <w:pStyle w:val="ListParagraph"/>
        <w:numPr>
          <w:ilvl w:val="0"/>
          <w:numId w:val="2"/>
        </w:numPr>
        <w:spacing w:line="360" w:lineRule="auto"/>
        <w:jc w:val="both"/>
        <w:rPr>
          <w:rFonts w:cstheme="minorHAnsi"/>
          <w:color w:val="000000" w:themeColor="text1"/>
          <w:sz w:val="24"/>
          <w:szCs w:val="24"/>
        </w:rPr>
      </w:pPr>
      <w:r w:rsidRPr="00D84107">
        <w:rPr>
          <w:rFonts w:cstheme="minorHAnsi"/>
          <w:color w:val="000000" w:themeColor="text1"/>
          <w:sz w:val="24"/>
          <w:szCs w:val="24"/>
        </w:rPr>
        <w:t>Al-Salem AA. Renovation of financing healthcare services in Kingdom of Saudi Arabia, by implementing Nati</w:t>
      </w:r>
      <w:r w:rsidR="007F71FF" w:rsidRPr="00D84107">
        <w:rPr>
          <w:rFonts w:cstheme="minorHAnsi"/>
          <w:color w:val="000000" w:themeColor="text1"/>
          <w:sz w:val="24"/>
          <w:szCs w:val="24"/>
        </w:rPr>
        <w:t xml:space="preserve">onal Health Insurance (NHI). </w:t>
      </w:r>
      <w:r w:rsidR="007F71FF" w:rsidRPr="00D84107">
        <w:rPr>
          <w:rFonts w:cstheme="minorHAnsi"/>
          <w:i/>
          <w:iCs/>
          <w:color w:val="000000" w:themeColor="text1"/>
          <w:sz w:val="24"/>
          <w:szCs w:val="24"/>
        </w:rPr>
        <w:t>European Journal of Pharmaceutical and Medical Research</w:t>
      </w:r>
      <w:r w:rsidR="007F71FF" w:rsidRPr="00D84107">
        <w:rPr>
          <w:rFonts w:cstheme="minorHAnsi"/>
          <w:color w:val="000000" w:themeColor="text1"/>
          <w:sz w:val="24"/>
          <w:szCs w:val="24"/>
        </w:rPr>
        <w:t xml:space="preserve">, 2018,5(9), 439-448. </w:t>
      </w:r>
    </w:p>
    <w:p w14:paraId="7DBC2275" w14:textId="0E3A91AC" w:rsidR="00631F89" w:rsidRPr="00D84107" w:rsidRDefault="00631F89" w:rsidP="008F1189">
      <w:pPr>
        <w:pStyle w:val="ListParagraph"/>
        <w:numPr>
          <w:ilvl w:val="0"/>
          <w:numId w:val="2"/>
        </w:numPr>
        <w:spacing w:line="360" w:lineRule="auto"/>
        <w:jc w:val="both"/>
        <w:rPr>
          <w:rFonts w:cstheme="minorHAnsi"/>
          <w:color w:val="000000" w:themeColor="text1"/>
          <w:sz w:val="24"/>
          <w:szCs w:val="24"/>
        </w:rPr>
      </w:pPr>
      <w:r w:rsidRPr="00D84107">
        <w:rPr>
          <w:rFonts w:cstheme="minorHAnsi"/>
          <w:color w:val="000000" w:themeColor="text1"/>
          <w:sz w:val="24"/>
          <w:szCs w:val="24"/>
        </w:rPr>
        <w:t xml:space="preserve">World Health Organization. 2010. Health systems financing: the path to universal coverage, World Health Report 2010, Geneva. </w:t>
      </w:r>
    </w:p>
    <w:p w14:paraId="7D996460" w14:textId="77777777" w:rsidR="007E78AC" w:rsidRDefault="007E78AC" w:rsidP="008F1189">
      <w:pPr>
        <w:spacing w:line="360" w:lineRule="auto"/>
        <w:jc w:val="both"/>
        <w:rPr>
          <w:rFonts w:cstheme="minorHAnsi"/>
          <w:b/>
          <w:sz w:val="24"/>
          <w:szCs w:val="24"/>
        </w:rPr>
      </w:pPr>
    </w:p>
    <w:p w14:paraId="5A06C49B" w14:textId="00ACB74E" w:rsidR="005C3DF2" w:rsidRPr="008E46D7" w:rsidRDefault="008E46D7" w:rsidP="008F1189">
      <w:pPr>
        <w:spacing w:line="360" w:lineRule="auto"/>
        <w:ind w:left="360"/>
        <w:jc w:val="both"/>
        <w:rPr>
          <w:rFonts w:cstheme="minorHAnsi"/>
          <w:b/>
          <w:sz w:val="24"/>
          <w:szCs w:val="24"/>
        </w:rPr>
      </w:pPr>
      <w:r w:rsidRPr="008E46D7">
        <w:rPr>
          <w:rFonts w:cstheme="minorHAnsi"/>
          <w:b/>
          <w:sz w:val="24"/>
          <w:szCs w:val="24"/>
        </w:rPr>
        <w:t>Tables</w:t>
      </w:r>
    </w:p>
    <w:p w14:paraId="090B9681" w14:textId="368EAF42" w:rsidR="008E46D7" w:rsidRDefault="008E46D7" w:rsidP="008F1189">
      <w:pPr>
        <w:spacing w:line="360" w:lineRule="auto"/>
        <w:ind w:left="360"/>
        <w:jc w:val="both"/>
        <w:rPr>
          <w:rFonts w:cstheme="minorHAnsi"/>
          <w:sz w:val="24"/>
          <w:szCs w:val="24"/>
        </w:rPr>
      </w:pPr>
      <w:r w:rsidRPr="008E46D7">
        <w:rPr>
          <w:rFonts w:cstheme="minorHAnsi"/>
          <w:sz w:val="24"/>
          <w:szCs w:val="24"/>
        </w:rPr>
        <w:t>Table 1: Budget appropriations for the MOH with respect to government budget (SR = Saudi Riyal)</w:t>
      </w:r>
      <w:r w:rsidR="000D718D">
        <w:rPr>
          <w:rFonts w:cstheme="minorHAnsi"/>
          <w:sz w:val="24"/>
          <w:szCs w:val="24"/>
        </w:rPr>
        <w:t>.</w:t>
      </w:r>
    </w:p>
    <w:p w14:paraId="7EC8A0B3" w14:textId="1AE6516B" w:rsidR="008E46D7" w:rsidRDefault="008E46D7" w:rsidP="008F1189">
      <w:pPr>
        <w:spacing w:line="360" w:lineRule="auto"/>
        <w:ind w:left="360"/>
        <w:jc w:val="both"/>
        <w:rPr>
          <w:rFonts w:cstheme="minorHAnsi"/>
          <w:sz w:val="24"/>
          <w:szCs w:val="24"/>
        </w:rPr>
      </w:pPr>
      <w:r w:rsidRPr="008E46D7">
        <w:rPr>
          <w:rFonts w:cstheme="minorHAnsi"/>
          <w:sz w:val="24"/>
          <w:szCs w:val="24"/>
        </w:rPr>
        <w:lastRenderedPageBreak/>
        <w:t>Table 2: Descriptive statistics of the inputs and outputs of the 91 hospitals</w:t>
      </w:r>
      <w:r w:rsidR="000D718D">
        <w:rPr>
          <w:rFonts w:cstheme="minorHAnsi"/>
          <w:sz w:val="24"/>
          <w:szCs w:val="24"/>
        </w:rPr>
        <w:t>.</w:t>
      </w:r>
    </w:p>
    <w:p w14:paraId="5705ECFC" w14:textId="10CE3291" w:rsidR="007E78AC" w:rsidRPr="007E78AC" w:rsidRDefault="007E78AC" w:rsidP="008F1189">
      <w:pPr>
        <w:spacing w:line="360" w:lineRule="auto"/>
        <w:ind w:left="360"/>
        <w:jc w:val="both"/>
        <w:rPr>
          <w:rFonts w:cstheme="minorHAnsi"/>
          <w:sz w:val="24"/>
          <w:szCs w:val="24"/>
        </w:rPr>
      </w:pPr>
      <w:r w:rsidRPr="007E78AC">
        <w:rPr>
          <w:rFonts w:cstheme="minorHAnsi"/>
          <w:sz w:val="24"/>
          <w:szCs w:val="24"/>
        </w:rPr>
        <w:t>Table 3: Technical efficiency scores and return to the scale of the public hospitals in KSA</w:t>
      </w:r>
      <w:r w:rsidR="000D718D">
        <w:rPr>
          <w:rFonts w:cstheme="minorHAnsi"/>
          <w:sz w:val="24"/>
          <w:szCs w:val="24"/>
        </w:rPr>
        <w:t>.</w:t>
      </w:r>
    </w:p>
    <w:p w14:paraId="012860A6" w14:textId="51769D19" w:rsidR="007E78AC" w:rsidRDefault="007E78AC" w:rsidP="008F1189">
      <w:pPr>
        <w:spacing w:line="360" w:lineRule="auto"/>
        <w:ind w:left="360"/>
        <w:jc w:val="both"/>
        <w:rPr>
          <w:rFonts w:cstheme="minorHAnsi"/>
          <w:sz w:val="24"/>
          <w:szCs w:val="24"/>
        </w:rPr>
      </w:pPr>
      <w:r w:rsidRPr="007E78AC">
        <w:rPr>
          <w:rFonts w:cstheme="minorHAnsi"/>
          <w:sz w:val="24"/>
          <w:szCs w:val="24"/>
        </w:rPr>
        <w:t>Table 4 Technical efficiency scores and returns to the scale of the hospitals categorized by location</w:t>
      </w:r>
      <w:r w:rsidR="000D718D">
        <w:rPr>
          <w:rFonts w:cstheme="minorHAnsi"/>
          <w:sz w:val="24"/>
          <w:szCs w:val="24"/>
        </w:rPr>
        <w:t>.</w:t>
      </w:r>
    </w:p>
    <w:p w14:paraId="371D1E9E" w14:textId="4E75994E" w:rsidR="008E46D7" w:rsidRDefault="008E46D7" w:rsidP="008F1189">
      <w:pPr>
        <w:spacing w:line="360" w:lineRule="auto"/>
        <w:ind w:left="360"/>
        <w:jc w:val="both"/>
        <w:rPr>
          <w:rFonts w:cstheme="minorHAnsi"/>
          <w:sz w:val="24"/>
          <w:szCs w:val="24"/>
        </w:rPr>
      </w:pPr>
      <w:r w:rsidRPr="008E46D7">
        <w:rPr>
          <w:rFonts w:cstheme="minorHAnsi"/>
          <w:sz w:val="24"/>
          <w:szCs w:val="24"/>
        </w:rPr>
        <w:t>Table 5 Slacks evaluation for inefficient hospitals</w:t>
      </w:r>
      <w:r w:rsidR="000D718D">
        <w:rPr>
          <w:rFonts w:cstheme="minorHAnsi"/>
          <w:sz w:val="24"/>
          <w:szCs w:val="24"/>
        </w:rPr>
        <w:t>.</w:t>
      </w:r>
    </w:p>
    <w:p w14:paraId="68498A27" w14:textId="44F3AB23" w:rsidR="008E46D7" w:rsidRDefault="008E46D7" w:rsidP="008F1189">
      <w:pPr>
        <w:spacing w:line="360" w:lineRule="auto"/>
        <w:ind w:left="360"/>
        <w:jc w:val="both"/>
        <w:rPr>
          <w:rFonts w:cstheme="minorHAnsi"/>
          <w:b/>
          <w:sz w:val="24"/>
          <w:szCs w:val="24"/>
        </w:rPr>
      </w:pPr>
      <w:r w:rsidRPr="008E46D7">
        <w:rPr>
          <w:rFonts w:cstheme="minorHAnsi"/>
          <w:b/>
          <w:sz w:val="24"/>
          <w:szCs w:val="24"/>
        </w:rPr>
        <w:t>Figures</w:t>
      </w:r>
    </w:p>
    <w:p w14:paraId="1F090165" w14:textId="3774291F" w:rsidR="00CB3088" w:rsidRDefault="00CB3088" w:rsidP="00CB3088">
      <w:pPr>
        <w:rPr>
          <w:sz w:val="24"/>
          <w:szCs w:val="24"/>
        </w:rPr>
      </w:pPr>
      <w:r w:rsidRPr="00CB3088">
        <w:rPr>
          <w:sz w:val="24"/>
          <w:szCs w:val="24"/>
        </w:rPr>
        <w:t>Figure 1: Number of hospitals and hospital beds in each capacity and geographical location, 2017.</w:t>
      </w:r>
    </w:p>
    <w:p w14:paraId="7E5A5B8E" w14:textId="0A0EC235" w:rsidR="00CB3088" w:rsidRDefault="00CB3088" w:rsidP="00CB3088">
      <w:pPr>
        <w:rPr>
          <w:sz w:val="24"/>
          <w:szCs w:val="24"/>
        </w:rPr>
      </w:pPr>
      <w:r w:rsidRPr="00CB3088">
        <w:rPr>
          <w:sz w:val="24"/>
          <w:szCs w:val="24"/>
        </w:rPr>
        <w:t xml:space="preserve">Figure 2. Distribution of technical efficiency scores of the hospitals on technical (CRS), </w:t>
      </w:r>
      <w:proofErr w:type="gramStart"/>
      <w:r w:rsidRPr="00CB3088">
        <w:rPr>
          <w:sz w:val="24"/>
          <w:szCs w:val="24"/>
        </w:rPr>
        <w:t>pure</w:t>
      </w:r>
      <w:proofErr w:type="gramEnd"/>
      <w:r w:rsidRPr="00CB3088">
        <w:rPr>
          <w:sz w:val="24"/>
          <w:szCs w:val="24"/>
        </w:rPr>
        <w:t xml:space="preserve"> technical (VRS) and scale efficiencies.</w:t>
      </w:r>
    </w:p>
    <w:p w14:paraId="733D2E50" w14:textId="77777777" w:rsidR="00CB3088" w:rsidRDefault="00CB3088" w:rsidP="00CB3088">
      <w:pPr>
        <w:rPr>
          <w:sz w:val="24"/>
          <w:szCs w:val="24"/>
        </w:rPr>
      </w:pPr>
    </w:p>
    <w:p w14:paraId="5CBF2FC0" w14:textId="77777777" w:rsidR="00CB3088" w:rsidRPr="00674425" w:rsidRDefault="00CB3088" w:rsidP="00CB3088">
      <w:pPr>
        <w:rPr>
          <w:sz w:val="24"/>
          <w:szCs w:val="24"/>
        </w:rPr>
      </w:pPr>
    </w:p>
    <w:p w14:paraId="378741C7" w14:textId="77777777" w:rsidR="00CB3088" w:rsidRDefault="00CB3088" w:rsidP="00CB3088">
      <w:pPr>
        <w:keepNext/>
        <w:spacing w:line="360" w:lineRule="auto"/>
      </w:pPr>
      <w:r>
        <w:rPr>
          <w:noProof/>
          <w:sz w:val="24"/>
          <w:szCs w:val="24"/>
        </w:rPr>
        <w:drawing>
          <wp:inline distT="0" distB="0" distL="0" distR="0" wp14:anchorId="3F5CEAFB" wp14:editId="6AAF6EC1">
            <wp:extent cx="5702300" cy="326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_DEA_Alatawi, et al_.pdf"/>
                    <pic:cNvPicPr/>
                  </pic:nvPicPr>
                  <pic:blipFill>
                    <a:blip r:embed="rId20">
                      <a:extLst>
                        <a:ext uri="{28A0092B-C50C-407E-A947-70E740481C1C}">
                          <a14:useLocalDpi xmlns:a14="http://schemas.microsoft.com/office/drawing/2010/main" val="0"/>
                        </a:ext>
                      </a:extLst>
                    </a:blip>
                    <a:stretch>
                      <a:fillRect/>
                    </a:stretch>
                  </pic:blipFill>
                  <pic:spPr>
                    <a:xfrm>
                      <a:off x="0" y="0"/>
                      <a:ext cx="5702300" cy="3263900"/>
                    </a:xfrm>
                    <a:prstGeom prst="rect">
                      <a:avLst/>
                    </a:prstGeom>
                  </pic:spPr>
                </pic:pic>
              </a:graphicData>
            </a:graphic>
          </wp:inline>
        </w:drawing>
      </w:r>
    </w:p>
    <w:p w14:paraId="5AF35113" w14:textId="77777777" w:rsidR="00CB3088" w:rsidRPr="00EF690D" w:rsidRDefault="00CB3088" w:rsidP="00CB3088">
      <w:pPr>
        <w:pStyle w:val="Caption"/>
        <w:rPr>
          <w:i w:val="0"/>
          <w:color w:val="auto"/>
          <w:sz w:val="28"/>
          <w:szCs w:val="24"/>
        </w:rPr>
      </w:pPr>
      <w:r w:rsidRPr="00EF690D">
        <w:rPr>
          <w:i w:val="0"/>
          <w:color w:val="auto"/>
          <w:sz w:val="20"/>
        </w:rPr>
        <w:t>Figure 1: Number of hospitals and hospital beds in each capacity and geographical location, 2017.</w:t>
      </w:r>
    </w:p>
    <w:p w14:paraId="437A2151" w14:textId="77777777" w:rsidR="00CB3088" w:rsidRDefault="00CB3088" w:rsidP="00CB3088">
      <w:pPr>
        <w:spacing w:line="360" w:lineRule="auto"/>
        <w:rPr>
          <w:sz w:val="24"/>
          <w:szCs w:val="24"/>
        </w:rPr>
      </w:pPr>
    </w:p>
    <w:p w14:paraId="14DC22DC" w14:textId="77777777" w:rsidR="00CB3088" w:rsidRDefault="00CB3088" w:rsidP="00CB3088">
      <w:pPr>
        <w:keepNext/>
      </w:pPr>
      <w:r>
        <w:rPr>
          <w:noProof/>
        </w:rPr>
        <w:lastRenderedPageBreak/>
        <w:drawing>
          <wp:inline distT="0" distB="0" distL="0" distR="0" wp14:anchorId="2805F883" wp14:editId="081B8F89">
            <wp:extent cx="5676900"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df"/>
                    <pic:cNvPicPr/>
                  </pic:nvPicPr>
                  <pic:blipFill>
                    <a:blip r:embed="rId21">
                      <a:extLst>
                        <a:ext uri="{28A0092B-C50C-407E-A947-70E740481C1C}">
                          <a14:useLocalDpi xmlns:a14="http://schemas.microsoft.com/office/drawing/2010/main" val="0"/>
                        </a:ext>
                      </a:extLst>
                    </a:blip>
                    <a:stretch>
                      <a:fillRect/>
                    </a:stretch>
                  </pic:blipFill>
                  <pic:spPr>
                    <a:xfrm>
                      <a:off x="0" y="0"/>
                      <a:ext cx="5676900" cy="3238500"/>
                    </a:xfrm>
                    <a:prstGeom prst="rect">
                      <a:avLst/>
                    </a:prstGeom>
                  </pic:spPr>
                </pic:pic>
              </a:graphicData>
            </a:graphic>
          </wp:inline>
        </w:drawing>
      </w:r>
    </w:p>
    <w:p w14:paraId="5C320E9D" w14:textId="77777777" w:rsidR="00CB3088" w:rsidRPr="00412A5A" w:rsidRDefault="00CB3088" w:rsidP="00CB3088">
      <w:pPr>
        <w:pStyle w:val="Caption"/>
        <w:rPr>
          <w:i w:val="0"/>
          <w:color w:val="auto"/>
          <w:sz w:val="20"/>
        </w:rPr>
      </w:pPr>
      <w:r w:rsidRPr="00412A5A">
        <w:rPr>
          <w:i w:val="0"/>
          <w:color w:val="auto"/>
          <w:sz w:val="20"/>
        </w:rPr>
        <w:t xml:space="preserve">Figure 2. Distribution of technical efficiency scores of the hospitals on technical (CRS), </w:t>
      </w:r>
      <w:proofErr w:type="gramStart"/>
      <w:r w:rsidRPr="00412A5A">
        <w:rPr>
          <w:i w:val="0"/>
          <w:color w:val="auto"/>
          <w:sz w:val="20"/>
        </w:rPr>
        <w:t>pure</w:t>
      </w:r>
      <w:proofErr w:type="gramEnd"/>
      <w:r w:rsidRPr="00412A5A">
        <w:rPr>
          <w:i w:val="0"/>
          <w:color w:val="auto"/>
          <w:sz w:val="20"/>
        </w:rPr>
        <w:t xml:space="preserve"> technical (VRS) and scale efficiencies.</w:t>
      </w:r>
    </w:p>
    <w:p w14:paraId="07677BD3" w14:textId="77777777" w:rsidR="00CB3088" w:rsidRDefault="00CB3088" w:rsidP="00CB3088"/>
    <w:p w14:paraId="52F93D79" w14:textId="77777777" w:rsidR="00CB3088" w:rsidRPr="008E46D7" w:rsidRDefault="00CB3088" w:rsidP="00CB3088">
      <w:pPr>
        <w:spacing w:line="360" w:lineRule="auto"/>
        <w:jc w:val="both"/>
        <w:rPr>
          <w:rFonts w:cstheme="minorHAnsi"/>
          <w:b/>
          <w:sz w:val="24"/>
          <w:szCs w:val="24"/>
        </w:rPr>
      </w:pPr>
    </w:p>
    <w:p w14:paraId="13E20C78" w14:textId="77777777" w:rsidR="00CB3088" w:rsidRDefault="00CB3088" w:rsidP="008F1189">
      <w:pPr>
        <w:spacing w:line="360" w:lineRule="auto"/>
        <w:ind w:left="360"/>
        <w:jc w:val="both"/>
        <w:rPr>
          <w:rFonts w:cstheme="minorHAnsi"/>
          <w:sz w:val="24"/>
          <w:szCs w:val="24"/>
        </w:rPr>
      </w:pPr>
    </w:p>
    <w:p w14:paraId="77135CDF" w14:textId="77777777" w:rsidR="00CB3088" w:rsidRDefault="00CB3088" w:rsidP="008F1189">
      <w:pPr>
        <w:spacing w:line="360" w:lineRule="auto"/>
        <w:ind w:left="360"/>
        <w:jc w:val="both"/>
        <w:rPr>
          <w:rFonts w:cstheme="minorHAnsi"/>
          <w:sz w:val="24"/>
          <w:szCs w:val="24"/>
        </w:rPr>
      </w:pPr>
    </w:p>
    <w:sectPr w:rsidR="00CB308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2064" w14:textId="77777777" w:rsidR="004B1F07" w:rsidRDefault="004B1F07" w:rsidP="00EC7A8B">
      <w:pPr>
        <w:spacing w:after="0" w:line="240" w:lineRule="auto"/>
      </w:pPr>
      <w:r>
        <w:separator/>
      </w:r>
    </w:p>
  </w:endnote>
  <w:endnote w:type="continuationSeparator" w:id="0">
    <w:p w14:paraId="66EC6D40" w14:textId="77777777" w:rsidR="004B1F07" w:rsidRDefault="004B1F07" w:rsidP="00EC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294607"/>
      <w:docPartObj>
        <w:docPartGallery w:val="Page Numbers (Bottom of Page)"/>
        <w:docPartUnique/>
      </w:docPartObj>
    </w:sdtPr>
    <w:sdtEndPr>
      <w:rPr>
        <w:noProof/>
      </w:rPr>
    </w:sdtEndPr>
    <w:sdtContent>
      <w:p w14:paraId="52B296A8" w14:textId="51BAC3F0" w:rsidR="00DB64A1" w:rsidRDefault="00DB64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370D3" w14:textId="77777777" w:rsidR="00DB64A1" w:rsidRDefault="00DB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6D91" w14:textId="77777777" w:rsidR="004B1F07" w:rsidRDefault="004B1F07" w:rsidP="00EC7A8B">
      <w:pPr>
        <w:spacing w:after="0" w:line="240" w:lineRule="auto"/>
      </w:pPr>
      <w:r>
        <w:separator/>
      </w:r>
    </w:p>
  </w:footnote>
  <w:footnote w:type="continuationSeparator" w:id="0">
    <w:p w14:paraId="7733DAB7" w14:textId="77777777" w:rsidR="004B1F07" w:rsidRDefault="004B1F07" w:rsidP="00EC7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3E17"/>
    <w:multiLevelType w:val="hybridMultilevel"/>
    <w:tmpl w:val="66E82836"/>
    <w:lvl w:ilvl="0" w:tplc="292CF5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CA7"/>
    <w:multiLevelType w:val="hybridMultilevel"/>
    <w:tmpl w:val="DA884DB0"/>
    <w:lvl w:ilvl="0" w:tplc="654C7EA8">
      <w:start w:val="1"/>
      <w:numFmt w:val="decimal"/>
      <w:lvlText w:val="%1."/>
      <w:lvlJc w:val="left"/>
      <w:pPr>
        <w:ind w:left="720" w:hanging="360"/>
      </w:pPr>
    </w:lvl>
    <w:lvl w:ilvl="1" w:tplc="624C9C70" w:tentative="1">
      <w:start w:val="1"/>
      <w:numFmt w:val="lowerLetter"/>
      <w:lvlText w:val="%2."/>
      <w:lvlJc w:val="left"/>
      <w:pPr>
        <w:ind w:left="1440" w:hanging="360"/>
      </w:pPr>
    </w:lvl>
    <w:lvl w:ilvl="2" w:tplc="16225492" w:tentative="1">
      <w:start w:val="1"/>
      <w:numFmt w:val="lowerRoman"/>
      <w:lvlText w:val="%3."/>
      <w:lvlJc w:val="right"/>
      <w:pPr>
        <w:ind w:left="2160" w:hanging="180"/>
      </w:pPr>
    </w:lvl>
    <w:lvl w:ilvl="3" w:tplc="FB604F4A" w:tentative="1">
      <w:start w:val="1"/>
      <w:numFmt w:val="decimal"/>
      <w:lvlText w:val="%4."/>
      <w:lvlJc w:val="left"/>
      <w:pPr>
        <w:ind w:left="2880" w:hanging="360"/>
      </w:pPr>
    </w:lvl>
    <w:lvl w:ilvl="4" w:tplc="2700A3F0" w:tentative="1">
      <w:start w:val="1"/>
      <w:numFmt w:val="lowerLetter"/>
      <w:lvlText w:val="%5."/>
      <w:lvlJc w:val="left"/>
      <w:pPr>
        <w:ind w:left="3600" w:hanging="360"/>
      </w:pPr>
    </w:lvl>
    <w:lvl w:ilvl="5" w:tplc="B022960A" w:tentative="1">
      <w:start w:val="1"/>
      <w:numFmt w:val="lowerRoman"/>
      <w:lvlText w:val="%6."/>
      <w:lvlJc w:val="right"/>
      <w:pPr>
        <w:ind w:left="4320" w:hanging="180"/>
      </w:pPr>
    </w:lvl>
    <w:lvl w:ilvl="6" w:tplc="7B141DDC" w:tentative="1">
      <w:start w:val="1"/>
      <w:numFmt w:val="decimal"/>
      <w:lvlText w:val="%7."/>
      <w:lvlJc w:val="left"/>
      <w:pPr>
        <w:ind w:left="5040" w:hanging="360"/>
      </w:pPr>
    </w:lvl>
    <w:lvl w:ilvl="7" w:tplc="DFB269F8" w:tentative="1">
      <w:start w:val="1"/>
      <w:numFmt w:val="lowerLetter"/>
      <w:lvlText w:val="%8."/>
      <w:lvlJc w:val="left"/>
      <w:pPr>
        <w:ind w:left="5760" w:hanging="360"/>
      </w:pPr>
    </w:lvl>
    <w:lvl w:ilvl="8" w:tplc="C6F41204" w:tentative="1">
      <w:start w:val="1"/>
      <w:numFmt w:val="lowerRoman"/>
      <w:lvlText w:val="%9."/>
      <w:lvlJc w:val="right"/>
      <w:pPr>
        <w:ind w:left="6480" w:hanging="180"/>
      </w:pPr>
    </w:lvl>
  </w:abstractNum>
  <w:abstractNum w:abstractNumId="2" w15:restartNumberingAfterBreak="0">
    <w:nsid w:val="074D576C"/>
    <w:multiLevelType w:val="hybridMultilevel"/>
    <w:tmpl w:val="08CE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E3D45"/>
    <w:multiLevelType w:val="hybridMultilevel"/>
    <w:tmpl w:val="F71EF554"/>
    <w:lvl w:ilvl="0" w:tplc="14B848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817AE"/>
    <w:multiLevelType w:val="multilevel"/>
    <w:tmpl w:val="42DE9E08"/>
    <w:lvl w:ilvl="0">
      <w:start w:val="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1D68440B"/>
    <w:multiLevelType w:val="multilevel"/>
    <w:tmpl w:val="43766152"/>
    <w:lvl w:ilvl="0">
      <w:start w:val="1"/>
      <w:numFmt w:val="decimal"/>
      <w:lvlText w:val="%1."/>
      <w:lvlJc w:val="left"/>
      <w:pPr>
        <w:ind w:left="720" w:hanging="360"/>
      </w:pPr>
      <w:rPr>
        <w:b/>
        <w:bCs/>
      </w:r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6" w15:restartNumberingAfterBreak="0">
    <w:nsid w:val="237C7B4E"/>
    <w:multiLevelType w:val="hybridMultilevel"/>
    <w:tmpl w:val="7E866720"/>
    <w:lvl w:ilvl="0" w:tplc="F9E8BBCA">
      <w:numFmt w:val="bullet"/>
      <w:lvlText w:val="•"/>
      <w:lvlJc w:val="left"/>
      <w:pPr>
        <w:ind w:left="1080" w:hanging="720"/>
      </w:pPr>
      <w:rPr>
        <w:rFonts w:ascii="Calibri" w:eastAsiaTheme="minorHAnsi" w:hAnsi="Calibri" w:cstheme="minorBidi" w:hint="default"/>
      </w:rPr>
    </w:lvl>
    <w:lvl w:ilvl="1" w:tplc="A8C66500" w:tentative="1">
      <w:start w:val="1"/>
      <w:numFmt w:val="bullet"/>
      <w:lvlText w:val="o"/>
      <w:lvlJc w:val="left"/>
      <w:pPr>
        <w:ind w:left="1440" w:hanging="360"/>
      </w:pPr>
      <w:rPr>
        <w:rFonts w:ascii="Courier New" w:hAnsi="Courier New" w:cs="Courier New" w:hint="default"/>
      </w:rPr>
    </w:lvl>
    <w:lvl w:ilvl="2" w:tplc="32BCCF26" w:tentative="1">
      <w:start w:val="1"/>
      <w:numFmt w:val="bullet"/>
      <w:lvlText w:val=""/>
      <w:lvlJc w:val="left"/>
      <w:pPr>
        <w:ind w:left="2160" w:hanging="360"/>
      </w:pPr>
      <w:rPr>
        <w:rFonts w:ascii="Wingdings" w:hAnsi="Wingdings" w:hint="default"/>
      </w:rPr>
    </w:lvl>
    <w:lvl w:ilvl="3" w:tplc="67AA5C9C" w:tentative="1">
      <w:start w:val="1"/>
      <w:numFmt w:val="bullet"/>
      <w:lvlText w:val=""/>
      <w:lvlJc w:val="left"/>
      <w:pPr>
        <w:ind w:left="2880" w:hanging="360"/>
      </w:pPr>
      <w:rPr>
        <w:rFonts w:ascii="Symbol" w:hAnsi="Symbol" w:hint="default"/>
      </w:rPr>
    </w:lvl>
    <w:lvl w:ilvl="4" w:tplc="611CFCA8" w:tentative="1">
      <w:start w:val="1"/>
      <w:numFmt w:val="bullet"/>
      <w:lvlText w:val="o"/>
      <w:lvlJc w:val="left"/>
      <w:pPr>
        <w:ind w:left="3600" w:hanging="360"/>
      </w:pPr>
      <w:rPr>
        <w:rFonts w:ascii="Courier New" w:hAnsi="Courier New" w:cs="Courier New" w:hint="default"/>
      </w:rPr>
    </w:lvl>
    <w:lvl w:ilvl="5" w:tplc="3C201A4E" w:tentative="1">
      <w:start w:val="1"/>
      <w:numFmt w:val="bullet"/>
      <w:lvlText w:val=""/>
      <w:lvlJc w:val="left"/>
      <w:pPr>
        <w:ind w:left="4320" w:hanging="360"/>
      </w:pPr>
      <w:rPr>
        <w:rFonts w:ascii="Wingdings" w:hAnsi="Wingdings" w:hint="default"/>
      </w:rPr>
    </w:lvl>
    <w:lvl w:ilvl="6" w:tplc="8EA4BAC4" w:tentative="1">
      <w:start w:val="1"/>
      <w:numFmt w:val="bullet"/>
      <w:lvlText w:val=""/>
      <w:lvlJc w:val="left"/>
      <w:pPr>
        <w:ind w:left="5040" w:hanging="360"/>
      </w:pPr>
      <w:rPr>
        <w:rFonts w:ascii="Symbol" w:hAnsi="Symbol" w:hint="default"/>
      </w:rPr>
    </w:lvl>
    <w:lvl w:ilvl="7" w:tplc="85EAD9B4" w:tentative="1">
      <w:start w:val="1"/>
      <w:numFmt w:val="bullet"/>
      <w:lvlText w:val="o"/>
      <w:lvlJc w:val="left"/>
      <w:pPr>
        <w:ind w:left="5760" w:hanging="360"/>
      </w:pPr>
      <w:rPr>
        <w:rFonts w:ascii="Courier New" w:hAnsi="Courier New" w:cs="Courier New" w:hint="default"/>
      </w:rPr>
    </w:lvl>
    <w:lvl w:ilvl="8" w:tplc="87983E8E" w:tentative="1">
      <w:start w:val="1"/>
      <w:numFmt w:val="bullet"/>
      <w:lvlText w:val=""/>
      <w:lvlJc w:val="left"/>
      <w:pPr>
        <w:ind w:left="6480" w:hanging="360"/>
      </w:pPr>
      <w:rPr>
        <w:rFonts w:ascii="Wingdings" w:hAnsi="Wingdings" w:hint="default"/>
      </w:rPr>
    </w:lvl>
  </w:abstractNum>
  <w:abstractNum w:abstractNumId="7" w15:restartNumberingAfterBreak="0">
    <w:nsid w:val="37DD5983"/>
    <w:multiLevelType w:val="hybridMultilevel"/>
    <w:tmpl w:val="3D2C1858"/>
    <w:lvl w:ilvl="0" w:tplc="273A4964">
      <w:start w:val="1"/>
      <w:numFmt w:val="decimal"/>
      <w:lvlText w:val="%1."/>
      <w:lvlJc w:val="left"/>
      <w:pPr>
        <w:ind w:left="720" w:hanging="360"/>
      </w:pPr>
      <w:rPr>
        <w:b w:val="0"/>
      </w:rPr>
    </w:lvl>
    <w:lvl w:ilvl="1" w:tplc="A5621946" w:tentative="1">
      <w:start w:val="1"/>
      <w:numFmt w:val="lowerLetter"/>
      <w:lvlText w:val="%2."/>
      <w:lvlJc w:val="left"/>
      <w:pPr>
        <w:ind w:left="1440" w:hanging="360"/>
      </w:pPr>
    </w:lvl>
    <w:lvl w:ilvl="2" w:tplc="02222424" w:tentative="1">
      <w:start w:val="1"/>
      <w:numFmt w:val="lowerRoman"/>
      <w:lvlText w:val="%3."/>
      <w:lvlJc w:val="right"/>
      <w:pPr>
        <w:ind w:left="2160" w:hanging="180"/>
      </w:pPr>
    </w:lvl>
    <w:lvl w:ilvl="3" w:tplc="03AE9C7E" w:tentative="1">
      <w:start w:val="1"/>
      <w:numFmt w:val="decimal"/>
      <w:lvlText w:val="%4."/>
      <w:lvlJc w:val="left"/>
      <w:pPr>
        <w:ind w:left="2880" w:hanging="360"/>
      </w:pPr>
    </w:lvl>
    <w:lvl w:ilvl="4" w:tplc="3BD49AD4" w:tentative="1">
      <w:start w:val="1"/>
      <w:numFmt w:val="lowerLetter"/>
      <w:lvlText w:val="%5."/>
      <w:lvlJc w:val="left"/>
      <w:pPr>
        <w:ind w:left="3600" w:hanging="360"/>
      </w:pPr>
    </w:lvl>
    <w:lvl w:ilvl="5" w:tplc="427027CA" w:tentative="1">
      <w:start w:val="1"/>
      <w:numFmt w:val="lowerRoman"/>
      <w:lvlText w:val="%6."/>
      <w:lvlJc w:val="right"/>
      <w:pPr>
        <w:ind w:left="4320" w:hanging="180"/>
      </w:pPr>
    </w:lvl>
    <w:lvl w:ilvl="6" w:tplc="F9C475D2" w:tentative="1">
      <w:start w:val="1"/>
      <w:numFmt w:val="decimal"/>
      <w:lvlText w:val="%7."/>
      <w:lvlJc w:val="left"/>
      <w:pPr>
        <w:ind w:left="5040" w:hanging="360"/>
      </w:pPr>
    </w:lvl>
    <w:lvl w:ilvl="7" w:tplc="78F8365E" w:tentative="1">
      <w:start w:val="1"/>
      <w:numFmt w:val="lowerLetter"/>
      <w:lvlText w:val="%8."/>
      <w:lvlJc w:val="left"/>
      <w:pPr>
        <w:ind w:left="5760" w:hanging="360"/>
      </w:pPr>
    </w:lvl>
    <w:lvl w:ilvl="8" w:tplc="0086858C" w:tentative="1">
      <w:start w:val="1"/>
      <w:numFmt w:val="lowerRoman"/>
      <w:lvlText w:val="%9."/>
      <w:lvlJc w:val="right"/>
      <w:pPr>
        <w:ind w:left="6480" w:hanging="180"/>
      </w:pPr>
    </w:lvl>
  </w:abstractNum>
  <w:abstractNum w:abstractNumId="8" w15:restartNumberingAfterBreak="0">
    <w:nsid w:val="37F1697C"/>
    <w:multiLevelType w:val="hybridMultilevel"/>
    <w:tmpl w:val="0CF2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E0FC3"/>
    <w:multiLevelType w:val="hybridMultilevel"/>
    <w:tmpl w:val="DE62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73BD6"/>
    <w:multiLevelType w:val="hybridMultilevel"/>
    <w:tmpl w:val="8774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86E89"/>
    <w:multiLevelType w:val="hybridMultilevel"/>
    <w:tmpl w:val="11FE9D34"/>
    <w:lvl w:ilvl="0" w:tplc="E46A4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C3948"/>
    <w:multiLevelType w:val="hybridMultilevel"/>
    <w:tmpl w:val="6924FDA2"/>
    <w:lvl w:ilvl="0" w:tplc="7C624866">
      <w:start w:val="1"/>
      <w:numFmt w:val="bullet"/>
      <w:lvlText w:val=""/>
      <w:lvlJc w:val="left"/>
      <w:pPr>
        <w:ind w:left="720" w:hanging="360"/>
      </w:pPr>
      <w:rPr>
        <w:rFonts w:ascii="Symbol" w:hAnsi="Symbol" w:hint="default"/>
      </w:rPr>
    </w:lvl>
    <w:lvl w:ilvl="1" w:tplc="01BCEBE8" w:tentative="1">
      <w:start w:val="1"/>
      <w:numFmt w:val="bullet"/>
      <w:lvlText w:val="o"/>
      <w:lvlJc w:val="left"/>
      <w:pPr>
        <w:ind w:left="1440" w:hanging="360"/>
      </w:pPr>
      <w:rPr>
        <w:rFonts w:ascii="Courier New" w:hAnsi="Courier New" w:cs="Courier New" w:hint="default"/>
      </w:rPr>
    </w:lvl>
    <w:lvl w:ilvl="2" w:tplc="A01A93E4" w:tentative="1">
      <w:start w:val="1"/>
      <w:numFmt w:val="bullet"/>
      <w:lvlText w:val=""/>
      <w:lvlJc w:val="left"/>
      <w:pPr>
        <w:ind w:left="2160" w:hanging="360"/>
      </w:pPr>
      <w:rPr>
        <w:rFonts w:ascii="Wingdings" w:hAnsi="Wingdings" w:hint="default"/>
      </w:rPr>
    </w:lvl>
    <w:lvl w:ilvl="3" w:tplc="24DA1928" w:tentative="1">
      <w:start w:val="1"/>
      <w:numFmt w:val="bullet"/>
      <w:lvlText w:val=""/>
      <w:lvlJc w:val="left"/>
      <w:pPr>
        <w:ind w:left="2880" w:hanging="360"/>
      </w:pPr>
      <w:rPr>
        <w:rFonts w:ascii="Symbol" w:hAnsi="Symbol" w:hint="default"/>
      </w:rPr>
    </w:lvl>
    <w:lvl w:ilvl="4" w:tplc="91F606D6" w:tentative="1">
      <w:start w:val="1"/>
      <w:numFmt w:val="bullet"/>
      <w:lvlText w:val="o"/>
      <w:lvlJc w:val="left"/>
      <w:pPr>
        <w:ind w:left="3600" w:hanging="360"/>
      </w:pPr>
      <w:rPr>
        <w:rFonts w:ascii="Courier New" w:hAnsi="Courier New" w:cs="Courier New" w:hint="default"/>
      </w:rPr>
    </w:lvl>
    <w:lvl w:ilvl="5" w:tplc="A6F48560" w:tentative="1">
      <w:start w:val="1"/>
      <w:numFmt w:val="bullet"/>
      <w:lvlText w:val=""/>
      <w:lvlJc w:val="left"/>
      <w:pPr>
        <w:ind w:left="4320" w:hanging="360"/>
      </w:pPr>
      <w:rPr>
        <w:rFonts w:ascii="Wingdings" w:hAnsi="Wingdings" w:hint="default"/>
      </w:rPr>
    </w:lvl>
    <w:lvl w:ilvl="6" w:tplc="3E2C9104" w:tentative="1">
      <w:start w:val="1"/>
      <w:numFmt w:val="bullet"/>
      <w:lvlText w:val=""/>
      <w:lvlJc w:val="left"/>
      <w:pPr>
        <w:ind w:left="5040" w:hanging="360"/>
      </w:pPr>
      <w:rPr>
        <w:rFonts w:ascii="Symbol" w:hAnsi="Symbol" w:hint="default"/>
      </w:rPr>
    </w:lvl>
    <w:lvl w:ilvl="7" w:tplc="F4A87082" w:tentative="1">
      <w:start w:val="1"/>
      <w:numFmt w:val="bullet"/>
      <w:lvlText w:val="o"/>
      <w:lvlJc w:val="left"/>
      <w:pPr>
        <w:ind w:left="5760" w:hanging="360"/>
      </w:pPr>
      <w:rPr>
        <w:rFonts w:ascii="Courier New" w:hAnsi="Courier New" w:cs="Courier New" w:hint="default"/>
      </w:rPr>
    </w:lvl>
    <w:lvl w:ilvl="8" w:tplc="9286CA46" w:tentative="1">
      <w:start w:val="1"/>
      <w:numFmt w:val="bullet"/>
      <w:lvlText w:val=""/>
      <w:lvlJc w:val="left"/>
      <w:pPr>
        <w:ind w:left="6480" w:hanging="360"/>
      </w:pPr>
      <w:rPr>
        <w:rFonts w:ascii="Wingdings" w:hAnsi="Wingdings" w:hint="default"/>
      </w:rPr>
    </w:lvl>
  </w:abstractNum>
  <w:abstractNum w:abstractNumId="13" w15:restartNumberingAfterBreak="0">
    <w:nsid w:val="7029184E"/>
    <w:multiLevelType w:val="hybridMultilevel"/>
    <w:tmpl w:val="39D0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F53A2"/>
    <w:multiLevelType w:val="hybridMultilevel"/>
    <w:tmpl w:val="648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6"/>
  </w:num>
  <w:num w:numId="5">
    <w:abstractNumId w:val="11"/>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2"/>
  </w:num>
  <w:num w:numId="12">
    <w:abstractNumId w:val="9"/>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KwMDexMDAwNjS0NDBW0lEKTi0uzszPAykwM60FADP/32gtAAAA"/>
  </w:docVars>
  <w:rsids>
    <w:rsidRoot w:val="002F5D41"/>
    <w:rsid w:val="00006DB2"/>
    <w:rsid w:val="000077BB"/>
    <w:rsid w:val="0001203E"/>
    <w:rsid w:val="0001390D"/>
    <w:rsid w:val="0001392B"/>
    <w:rsid w:val="0001443B"/>
    <w:rsid w:val="00014B20"/>
    <w:rsid w:val="00017E0E"/>
    <w:rsid w:val="0002027B"/>
    <w:rsid w:val="0002129C"/>
    <w:rsid w:val="000222B9"/>
    <w:rsid w:val="0002395B"/>
    <w:rsid w:val="00024AE2"/>
    <w:rsid w:val="0002591B"/>
    <w:rsid w:val="00025ECB"/>
    <w:rsid w:val="000262AC"/>
    <w:rsid w:val="000300C5"/>
    <w:rsid w:val="00034095"/>
    <w:rsid w:val="000356ED"/>
    <w:rsid w:val="000358BF"/>
    <w:rsid w:val="000368E3"/>
    <w:rsid w:val="000404FF"/>
    <w:rsid w:val="000427F8"/>
    <w:rsid w:val="000431EA"/>
    <w:rsid w:val="00045009"/>
    <w:rsid w:val="00045527"/>
    <w:rsid w:val="00045DEA"/>
    <w:rsid w:val="0004657A"/>
    <w:rsid w:val="0004686E"/>
    <w:rsid w:val="00047545"/>
    <w:rsid w:val="00051436"/>
    <w:rsid w:val="00052FDF"/>
    <w:rsid w:val="00054CD2"/>
    <w:rsid w:val="00060551"/>
    <w:rsid w:val="000607EE"/>
    <w:rsid w:val="00062CDA"/>
    <w:rsid w:val="00073C5C"/>
    <w:rsid w:val="00074ECC"/>
    <w:rsid w:val="0007696B"/>
    <w:rsid w:val="00080615"/>
    <w:rsid w:val="00081D62"/>
    <w:rsid w:val="00083806"/>
    <w:rsid w:val="00090B67"/>
    <w:rsid w:val="00091DEA"/>
    <w:rsid w:val="00092E43"/>
    <w:rsid w:val="000933EE"/>
    <w:rsid w:val="00095E51"/>
    <w:rsid w:val="000A08CA"/>
    <w:rsid w:val="000A3448"/>
    <w:rsid w:val="000A3EEE"/>
    <w:rsid w:val="000A5513"/>
    <w:rsid w:val="000A6BDD"/>
    <w:rsid w:val="000A7436"/>
    <w:rsid w:val="000B1503"/>
    <w:rsid w:val="000B3BF2"/>
    <w:rsid w:val="000B4403"/>
    <w:rsid w:val="000B7161"/>
    <w:rsid w:val="000C0DE7"/>
    <w:rsid w:val="000C27EE"/>
    <w:rsid w:val="000C2DEA"/>
    <w:rsid w:val="000C72C4"/>
    <w:rsid w:val="000C7BA8"/>
    <w:rsid w:val="000D1447"/>
    <w:rsid w:val="000D36E0"/>
    <w:rsid w:val="000D6A88"/>
    <w:rsid w:val="000D718D"/>
    <w:rsid w:val="000D785A"/>
    <w:rsid w:val="000E07E4"/>
    <w:rsid w:val="000E129A"/>
    <w:rsid w:val="000E2506"/>
    <w:rsid w:val="000E25EE"/>
    <w:rsid w:val="000E5121"/>
    <w:rsid w:val="000E62C8"/>
    <w:rsid w:val="000F2F9C"/>
    <w:rsid w:val="000F38B8"/>
    <w:rsid w:val="000F6E24"/>
    <w:rsid w:val="00101715"/>
    <w:rsid w:val="00102018"/>
    <w:rsid w:val="00102155"/>
    <w:rsid w:val="00104EE8"/>
    <w:rsid w:val="00105780"/>
    <w:rsid w:val="001120A5"/>
    <w:rsid w:val="001120EF"/>
    <w:rsid w:val="00112DAE"/>
    <w:rsid w:val="00114124"/>
    <w:rsid w:val="001157F2"/>
    <w:rsid w:val="001218D3"/>
    <w:rsid w:val="001237F8"/>
    <w:rsid w:val="00126477"/>
    <w:rsid w:val="00127228"/>
    <w:rsid w:val="00130987"/>
    <w:rsid w:val="001323B6"/>
    <w:rsid w:val="00132FDB"/>
    <w:rsid w:val="00135688"/>
    <w:rsid w:val="00140102"/>
    <w:rsid w:val="0014032D"/>
    <w:rsid w:val="00140E77"/>
    <w:rsid w:val="00143525"/>
    <w:rsid w:val="00143573"/>
    <w:rsid w:val="00155B48"/>
    <w:rsid w:val="00156C82"/>
    <w:rsid w:val="001578F4"/>
    <w:rsid w:val="001600E7"/>
    <w:rsid w:val="00161CE8"/>
    <w:rsid w:val="00175E2B"/>
    <w:rsid w:val="001779BB"/>
    <w:rsid w:val="0018381C"/>
    <w:rsid w:val="00185D27"/>
    <w:rsid w:val="0019039B"/>
    <w:rsid w:val="00192402"/>
    <w:rsid w:val="00192CA4"/>
    <w:rsid w:val="001A35BD"/>
    <w:rsid w:val="001A3622"/>
    <w:rsid w:val="001B0FCA"/>
    <w:rsid w:val="001C3E93"/>
    <w:rsid w:val="001C752F"/>
    <w:rsid w:val="001C758E"/>
    <w:rsid w:val="001D08AA"/>
    <w:rsid w:val="001D197B"/>
    <w:rsid w:val="001D3E3B"/>
    <w:rsid w:val="001D41FA"/>
    <w:rsid w:val="001E2538"/>
    <w:rsid w:val="001E4B8F"/>
    <w:rsid w:val="001F0488"/>
    <w:rsid w:val="001F0AE6"/>
    <w:rsid w:val="001F327D"/>
    <w:rsid w:val="001F4564"/>
    <w:rsid w:val="001F7587"/>
    <w:rsid w:val="001F7B21"/>
    <w:rsid w:val="00202A5E"/>
    <w:rsid w:val="00204CF7"/>
    <w:rsid w:val="00206075"/>
    <w:rsid w:val="00210378"/>
    <w:rsid w:val="00212BDA"/>
    <w:rsid w:val="00214F04"/>
    <w:rsid w:val="00216395"/>
    <w:rsid w:val="00217901"/>
    <w:rsid w:val="00220639"/>
    <w:rsid w:val="00223256"/>
    <w:rsid w:val="00224367"/>
    <w:rsid w:val="00224431"/>
    <w:rsid w:val="0023024D"/>
    <w:rsid w:val="0023285E"/>
    <w:rsid w:val="002328D0"/>
    <w:rsid w:val="00235413"/>
    <w:rsid w:val="00235BDB"/>
    <w:rsid w:val="00236496"/>
    <w:rsid w:val="002377FB"/>
    <w:rsid w:val="00240FA0"/>
    <w:rsid w:val="00241E82"/>
    <w:rsid w:val="00242A6E"/>
    <w:rsid w:val="00246FC8"/>
    <w:rsid w:val="00252D0C"/>
    <w:rsid w:val="002551B0"/>
    <w:rsid w:val="002561CC"/>
    <w:rsid w:val="0025740A"/>
    <w:rsid w:val="00260751"/>
    <w:rsid w:val="00265725"/>
    <w:rsid w:val="002674D3"/>
    <w:rsid w:val="00270A51"/>
    <w:rsid w:val="002731EC"/>
    <w:rsid w:val="002750D7"/>
    <w:rsid w:val="00282C9E"/>
    <w:rsid w:val="00284BCD"/>
    <w:rsid w:val="00284F15"/>
    <w:rsid w:val="0029074E"/>
    <w:rsid w:val="002937C9"/>
    <w:rsid w:val="002A235E"/>
    <w:rsid w:val="002A55DC"/>
    <w:rsid w:val="002B10D0"/>
    <w:rsid w:val="002B18A9"/>
    <w:rsid w:val="002B226B"/>
    <w:rsid w:val="002B27A7"/>
    <w:rsid w:val="002B39B3"/>
    <w:rsid w:val="002B4CC1"/>
    <w:rsid w:val="002B6933"/>
    <w:rsid w:val="002B7923"/>
    <w:rsid w:val="002C36D4"/>
    <w:rsid w:val="002C4E71"/>
    <w:rsid w:val="002C73A2"/>
    <w:rsid w:val="002D045C"/>
    <w:rsid w:val="002D2632"/>
    <w:rsid w:val="002D3331"/>
    <w:rsid w:val="002D333E"/>
    <w:rsid w:val="002D565C"/>
    <w:rsid w:val="002E0D30"/>
    <w:rsid w:val="002E37F4"/>
    <w:rsid w:val="002E3B36"/>
    <w:rsid w:val="002E5F62"/>
    <w:rsid w:val="002F1BE9"/>
    <w:rsid w:val="002F235F"/>
    <w:rsid w:val="002F50F4"/>
    <w:rsid w:val="002F5603"/>
    <w:rsid w:val="002F5D41"/>
    <w:rsid w:val="002F7416"/>
    <w:rsid w:val="0030064D"/>
    <w:rsid w:val="003013B2"/>
    <w:rsid w:val="00302ABF"/>
    <w:rsid w:val="00306C13"/>
    <w:rsid w:val="00307EE5"/>
    <w:rsid w:val="003131EE"/>
    <w:rsid w:val="0031395E"/>
    <w:rsid w:val="00320DB0"/>
    <w:rsid w:val="00320EDA"/>
    <w:rsid w:val="0032328E"/>
    <w:rsid w:val="0032492F"/>
    <w:rsid w:val="00324F4C"/>
    <w:rsid w:val="003255F4"/>
    <w:rsid w:val="003268BB"/>
    <w:rsid w:val="003274EE"/>
    <w:rsid w:val="00331458"/>
    <w:rsid w:val="00333F42"/>
    <w:rsid w:val="0033741A"/>
    <w:rsid w:val="0034229C"/>
    <w:rsid w:val="003422CB"/>
    <w:rsid w:val="00345659"/>
    <w:rsid w:val="0034584B"/>
    <w:rsid w:val="00345D03"/>
    <w:rsid w:val="00345FC5"/>
    <w:rsid w:val="00346AB2"/>
    <w:rsid w:val="00347118"/>
    <w:rsid w:val="0035151D"/>
    <w:rsid w:val="0035162E"/>
    <w:rsid w:val="00351A9B"/>
    <w:rsid w:val="003546FE"/>
    <w:rsid w:val="003611FA"/>
    <w:rsid w:val="003625AA"/>
    <w:rsid w:val="003652FF"/>
    <w:rsid w:val="00366258"/>
    <w:rsid w:val="0036765F"/>
    <w:rsid w:val="00370C29"/>
    <w:rsid w:val="00373476"/>
    <w:rsid w:val="00374E92"/>
    <w:rsid w:val="003768E9"/>
    <w:rsid w:val="003840A9"/>
    <w:rsid w:val="003858DA"/>
    <w:rsid w:val="003860BF"/>
    <w:rsid w:val="003868C3"/>
    <w:rsid w:val="00395C2A"/>
    <w:rsid w:val="003A0133"/>
    <w:rsid w:val="003B03F0"/>
    <w:rsid w:val="003B298E"/>
    <w:rsid w:val="003B5A91"/>
    <w:rsid w:val="003B5B6D"/>
    <w:rsid w:val="003B610F"/>
    <w:rsid w:val="003C4D08"/>
    <w:rsid w:val="003D17EB"/>
    <w:rsid w:val="003D290A"/>
    <w:rsid w:val="003D2D86"/>
    <w:rsid w:val="003D2F59"/>
    <w:rsid w:val="003D416E"/>
    <w:rsid w:val="003D682F"/>
    <w:rsid w:val="003E3F1F"/>
    <w:rsid w:val="003E47E1"/>
    <w:rsid w:val="003F2005"/>
    <w:rsid w:val="003F4943"/>
    <w:rsid w:val="003F4BA9"/>
    <w:rsid w:val="003F74B1"/>
    <w:rsid w:val="00400ADD"/>
    <w:rsid w:val="0040192E"/>
    <w:rsid w:val="00404C18"/>
    <w:rsid w:val="00406CC9"/>
    <w:rsid w:val="00410BE6"/>
    <w:rsid w:val="0041266D"/>
    <w:rsid w:val="00415743"/>
    <w:rsid w:val="0041634C"/>
    <w:rsid w:val="00416E61"/>
    <w:rsid w:val="00420FBE"/>
    <w:rsid w:val="0042208D"/>
    <w:rsid w:val="00423EFB"/>
    <w:rsid w:val="00424703"/>
    <w:rsid w:val="00426C11"/>
    <w:rsid w:val="00431A55"/>
    <w:rsid w:val="00432CC3"/>
    <w:rsid w:val="004376B3"/>
    <w:rsid w:val="0043771A"/>
    <w:rsid w:val="00443821"/>
    <w:rsid w:val="00444963"/>
    <w:rsid w:val="00444EDC"/>
    <w:rsid w:val="00446E49"/>
    <w:rsid w:val="0045317F"/>
    <w:rsid w:val="00453312"/>
    <w:rsid w:val="004538CE"/>
    <w:rsid w:val="0045470E"/>
    <w:rsid w:val="00455AA1"/>
    <w:rsid w:val="00457E6A"/>
    <w:rsid w:val="00460B8C"/>
    <w:rsid w:val="0046207A"/>
    <w:rsid w:val="00464DF2"/>
    <w:rsid w:val="00470605"/>
    <w:rsid w:val="00472BBB"/>
    <w:rsid w:val="00474C59"/>
    <w:rsid w:val="004751EA"/>
    <w:rsid w:val="0047528D"/>
    <w:rsid w:val="004767AD"/>
    <w:rsid w:val="00480185"/>
    <w:rsid w:val="00481AF3"/>
    <w:rsid w:val="00482BDE"/>
    <w:rsid w:val="00485A6A"/>
    <w:rsid w:val="00485ED1"/>
    <w:rsid w:val="00490B25"/>
    <w:rsid w:val="004936F7"/>
    <w:rsid w:val="004956A7"/>
    <w:rsid w:val="00495C99"/>
    <w:rsid w:val="00497A05"/>
    <w:rsid w:val="004A01AB"/>
    <w:rsid w:val="004A1C21"/>
    <w:rsid w:val="004A293E"/>
    <w:rsid w:val="004A3474"/>
    <w:rsid w:val="004A3E9E"/>
    <w:rsid w:val="004A4252"/>
    <w:rsid w:val="004A55F8"/>
    <w:rsid w:val="004A641E"/>
    <w:rsid w:val="004B0EC1"/>
    <w:rsid w:val="004B1F07"/>
    <w:rsid w:val="004B2E63"/>
    <w:rsid w:val="004B3C82"/>
    <w:rsid w:val="004B5F33"/>
    <w:rsid w:val="004B743F"/>
    <w:rsid w:val="004C1A44"/>
    <w:rsid w:val="004C2CB4"/>
    <w:rsid w:val="004C4492"/>
    <w:rsid w:val="004C5E85"/>
    <w:rsid w:val="004C6421"/>
    <w:rsid w:val="004C7D44"/>
    <w:rsid w:val="004D2436"/>
    <w:rsid w:val="004D3056"/>
    <w:rsid w:val="004D3072"/>
    <w:rsid w:val="004D3E97"/>
    <w:rsid w:val="004D52D0"/>
    <w:rsid w:val="004D6660"/>
    <w:rsid w:val="004D7970"/>
    <w:rsid w:val="004E2A4D"/>
    <w:rsid w:val="004E5DE9"/>
    <w:rsid w:val="004F1011"/>
    <w:rsid w:val="004F10BA"/>
    <w:rsid w:val="004F3721"/>
    <w:rsid w:val="004F45FF"/>
    <w:rsid w:val="0050152F"/>
    <w:rsid w:val="00501D82"/>
    <w:rsid w:val="00516C38"/>
    <w:rsid w:val="00516FF6"/>
    <w:rsid w:val="0051717A"/>
    <w:rsid w:val="00525A61"/>
    <w:rsid w:val="00531B76"/>
    <w:rsid w:val="00534677"/>
    <w:rsid w:val="00542019"/>
    <w:rsid w:val="00545245"/>
    <w:rsid w:val="0054577E"/>
    <w:rsid w:val="0054676B"/>
    <w:rsid w:val="0055477A"/>
    <w:rsid w:val="005548AD"/>
    <w:rsid w:val="00554E1A"/>
    <w:rsid w:val="00560C80"/>
    <w:rsid w:val="00561985"/>
    <w:rsid w:val="005624E8"/>
    <w:rsid w:val="00566F11"/>
    <w:rsid w:val="005679ED"/>
    <w:rsid w:val="005724E2"/>
    <w:rsid w:val="0057332B"/>
    <w:rsid w:val="00575F0D"/>
    <w:rsid w:val="0057601C"/>
    <w:rsid w:val="00577D7E"/>
    <w:rsid w:val="00581656"/>
    <w:rsid w:val="00581AEE"/>
    <w:rsid w:val="005821C2"/>
    <w:rsid w:val="00584CA0"/>
    <w:rsid w:val="00584E5A"/>
    <w:rsid w:val="00585CA8"/>
    <w:rsid w:val="00590ABE"/>
    <w:rsid w:val="00590DD3"/>
    <w:rsid w:val="00590F8A"/>
    <w:rsid w:val="0059110E"/>
    <w:rsid w:val="00596BF7"/>
    <w:rsid w:val="005A002D"/>
    <w:rsid w:val="005A5AEF"/>
    <w:rsid w:val="005B284F"/>
    <w:rsid w:val="005B562C"/>
    <w:rsid w:val="005B71ED"/>
    <w:rsid w:val="005B7CE9"/>
    <w:rsid w:val="005C03BB"/>
    <w:rsid w:val="005C3DF2"/>
    <w:rsid w:val="005D28C8"/>
    <w:rsid w:val="005D2F79"/>
    <w:rsid w:val="005D749D"/>
    <w:rsid w:val="005E14DA"/>
    <w:rsid w:val="005E2EE0"/>
    <w:rsid w:val="005E41A7"/>
    <w:rsid w:val="005E56B0"/>
    <w:rsid w:val="005E5A88"/>
    <w:rsid w:val="005E73EA"/>
    <w:rsid w:val="005E7AA2"/>
    <w:rsid w:val="005F34FB"/>
    <w:rsid w:val="005F6696"/>
    <w:rsid w:val="00603DF8"/>
    <w:rsid w:val="006079D3"/>
    <w:rsid w:val="006168F6"/>
    <w:rsid w:val="006173F9"/>
    <w:rsid w:val="00620E18"/>
    <w:rsid w:val="006214BD"/>
    <w:rsid w:val="0062156E"/>
    <w:rsid w:val="00621DE6"/>
    <w:rsid w:val="00621E8A"/>
    <w:rsid w:val="00622DEC"/>
    <w:rsid w:val="00623D78"/>
    <w:rsid w:val="00626A43"/>
    <w:rsid w:val="00626A84"/>
    <w:rsid w:val="006274D8"/>
    <w:rsid w:val="00631F89"/>
    <w:rsid w:val="006406B3"/>
    <w:rsid w:val="006409FC"/>
    <w:rsid w:val="0064252A"/>
    <w:rsid w:val="00643BB7"/>
    <w:rsid w:val="00643F37"/>
    <w:rsid w:val="00646656"/>
    <w:rsid w:val="00654353"/>
    <w:rsid w:val="00654920"/>
    <w:rsid w:val="00662855"/>
    <w:rsid w:val="0066295A"/>
    <w:rsid w:val="00667AAF"/>
    <w:rsid w:val="00672032"/>
    <w:rsid w:val="00674FF5"/>
    <w:rsid w:val="006766C7"/>
    <w:rsid w:val="006801FF"/>
    <w:rsid w:val="00682268"/>
    <w:rsid w:val="00682C49"/>
    <w:rsid w:val="006842DA"/>
    <w:rsid w:val="006866B1"/>
    <w:rsid w:val="00686E3A"/>
    <w:rsid w:val="0068763B"/>
    <w:rsid w:val="00687A0E"/>
    <w:rsid w:val="0069030A"/>
    <w:rsid w:val="00696749"/>
    <w:rsid w:val="00696834"/>
    <w:rsid w:val="00697B6D"/>
    <w:rsid w:val="006A2061"/>
    <w:rsid w:val="006A2902"/>
    <w:rsid w:val="006A3F9F"/>
    <w:rsid w:val="006A57AE"/>
    <w:rsid w:val="006B48A6"/>
    <w:rsid w:val="006B5447"/>
    <w:rsid w:val="006B548A"/>
    <w:rsid w:val="006B6951"/>
    <w:rsid w:val="006B70E3"/>
    <w:rsid w:val="006C2EE6"/>
    <w:rsid w:val="006C33DE"/>
    <w:rsid w:val="006C3EED"/>
    <w:rsid w:val="006D08CF"/>
    <w:rsid w:val="006D3E8A"/>
    <w:rsid w:val="006E0AB6"/>
    <w:rsid w:val="006E5944"/>
    <w:rsid w:val="006F0D47"/>
    <w:rsid w:val="006F5360"/>
    <w:rsid w:val="006F7E0A"/>
    <w:rsid w:val="0070116F"/>
    <w:rsid w:val="00702D5C"/>
    <w:rsid w:val="0070306E"/>
    <w:rsid w:val="00703433"/>
    <w:rsid w:val="00704693"/>
    <w:rsid w:val="007046CA"/>
    <w:rsid w:val="00705306"/>
    <w:rsid w:val="00711A9C"/>
    <w:rsid w:val="00717F14"/>
    <w:rsid w:val="0072050D"/>
    <w:rsid w:val="00720B8E"/>
    <w:rsid w:val="0072199B"/>
    <w:rsid w:val="00722B3C"/>
    <w:rsid w:val="007268E8"/>
    <w:rsid w:val="00730561"/>
    <w:rsid w:val="0073131E"/>
    <w:rsid w:val="00732451"/>
    <w:rsid w:val="00732905"/>
    <w:rsid w:val="0073512A"/>
    <w:rsid w:val="007352E2"/>
    <w:rsid w:val="0074201C"/>
    <w:rsid w:val="0074799F"/>
    <w:rsid w:val="00751C28"/>
    <w:rsid w:val="00757BFE"/>
    <w:rsid w:val="0076294A"/>
    <w:rsid w:val="007637A7"/>
    <w:rsid w:val="00765C07"/>
    <w:rsid w:val="00771BD3"/>
    <w:rsid w:val="007751B1"/>
    <w:rsid w:val="0077631D"/>
    <w:rsid w:val="00776DC9"/>
    <w:rsid w:val="007775CD"/>
    <w:rsid w:val="007854EC"/>
    <w:rsid w:val="00786732"/>
    <w:rsid w:val="0078674E"/>
    <w:rsid w:val="007902A0"/>
    <w:rsid w:val="0079089A"/>
    <w:rsid w:val="0079754A"/>
    <w:rsid w:val="007A4CC8"/>
    <w:rsid w:val="007A60C5"/>
    <w:rsid w:val="007B254C"/>
    <w:rsid w:val="007B6A8E"/>
    <w:rsid w:val="007C289E"/>
    <w:rsid w:val="007C29FA"/>
    <w:rsid w:val="007D2D52"/>
    <w:rsid w:val="007D4313"/>
    <w:rsid w:val="007D5835"/>
    <w:rsid w:val="007D6670"/>
    <w:rsid w:val="007D7038"/>
    <w:rsid w:val="007E2B62"/>
    <w:rsid w:val="007E3B5B"/>
    <w:rsid w:val="007E457E"/>
    <w:rsid w:val="007E78AC"/>
    <w:rsid w:val="007E7EA3"/>
    <w:rsid w:val="007E7FAC"/>
    <w:rsid w:val="007F0B6D"/>
    <w:rsid w:val="007F175B"/>
    <w:rsid w:val="007F1B16"/>
    <w:rsid w:val="007F3B3B"/>
    <w:rsid w:val="007F4A01"/>
    <w:rsid w:val="007F71FF"/>
    <w:rsid w:val="007F78CF"/>
    <w:rsid w:val="00801760"/>
    <w:rsid w:val="00801E9E"/>
    <w:rsid w:val="0080415B"/>
    <w:rsid w:val="00805CAA"/>
    <w:rsid w:val="00806B25"/>
    <w:rsid w:val="008077D2"/>
    <w:rsid w:val="0081622A"/>
    <w:rsid w:val="00821119"/>
    <w:rsid w:val="008217F8"/>
    <w:rsid w:val="00823974"/>
    <w:rsid w:val="00827AC9"/>
    <w:rsid w:val="00830D35"/>
    <w:rsid w:val="008320EC"/>
    <w:rsid w:val="00833D01"/>
    <w:rsid w:val="00840006"/>
    <w:rsid w:val="0084281B"/>
    <w:rsid w:val="00843846"/>
    <w:rsid w:val="008518EC"/>
    <w:rsid w:val="00861824"/>
    <w:rsid w:val="00862490"/>
    <w:rsid w:val="00862CE4"/>
    <w:rsid w:val="00863399"/>
    <w:rsid w:val="00864281"/>
    <w:rsid w:val="00866EB4"/>
    <w:rsid w:val="008677F1"/>
    <w:rsid w:val="00871CB6"/>
    <w:rsid w:val="008724C4"/>
    <w:rsid w:val="00877106"/>
    <w:rsid w:val="008801CE"/>
    <w:rsid w:val="00881BEA"/>
    <w:rsid w:val="00884BD9"/>
    <w:rsid w:val="00885056"/>
    <w:rsid w:val="00886413"/>
    <w:rsid w:val="00892501"/>
    <w:rsid w:val="00892C90"/>
    <w:rsid w:val="00897143"/>
    <w:rsid w:val="008A0131"/>
    <w:rsid w:val="008A0DDB"/>
    <w:rsid w:val="008A4923"/>
    <w:rsid w:val="008B067F"/>
    <w:rsid w:val="008B3F06"/>
    <w:rsid w:val="008B6BC0"/>
    <w:rsid w:val="008B6EFA"/>
    <w:rsid w:val="008C0CC3"/>
    <w:rsid w:val="008C3021"/>
    <w:rsid w:val="008C3082"/>
    <w:rsid w:val="008C7163"/>
    <w:rsid w:val="008D0051"/>
    <w:rsid w:val="008D3E47"/>
    <w:rsid w:val="008D55C2"/>
    <w:rsid w:val="008D67D3"/>
    <w:rsid w:val="008E10E9"/>
    <w:rsid w:val="008E2E0D"/>
    <w:rsid w:val="008E46D7"/>
    <w:rsid w:val="008E4835"/>
    <w:rsid w:val="008F0A56"/>
    <w:rsid w:val="008F1189"/>
    <w:rsid w:val="008F64ED"/>
    <w:rsid w:val="0090339F"/>
    <w:rsid w:val="00904174"/>
    <w:rsid w:val="00904C87"/>
    <w:rsid w:val="009100AC"/>
    <w:rsid w:val="00910220"/>
    <w:rsid w:val="009102CC"/>
    <w:rsid w:val="009145BF"/>
    <w:rsid w:val="009156AC"/>
    <w:rsid w:val="0092141D"/>
    <w:rsid w:val="0092193D"/>
    <w:rsid w:val="00922211"/>
    <w:rsid w:val="00925F14"/>
    <w:rsid w:val="00927E2C"/>
    <w:rsid w:val="009310DD"/>
    <w:rsid w:val="009322E1"/>
    <w:rsid w:val="0093269A"/>
    <w:rsid w:val="0093331B"/>
    <w:rsid w:val="0093348C"/>
    <w:rsid w:val="00935866"/>
    <w:rsid w:val="009370CF"/>
    <w:rsid w:val="00937E0D"/>
    <w:rsid w:val="00940D36"/>
    <w:rsid w:val="0094221E"/>
    <w:rsid w:val="0094229D"/>
    <w:rsid w:val="00942A47"/>
    <w:rsid w:val="0094763E"/>
    <w:rsid w:val="00947D3D"/>
    <w:rsid w:val="0095010E"/>
    <w:rsid w:val="009514E5"/>
    <w:rsid w:val="00951692"/>
    <w:rsid w:val="00951B19"/>
    <w:rsid w:val="00951ECE"/>
    <w:rsid w:val="00964DE3"/>
    <w:rsid w:val="0096685D"/>
    <w:rsid w:val="00966AB7"/>
    <w:rsid w:val="00967607"/>
    <w:rsid w:val="00967B9F"/>
    <w:rsid w:val="00970C1B"/>
    <w:rsid w:val="0097407E"/>
    <w:rsid w:val="009744A7"/>
    <w:rsid w:val="0097601F"/>
    <w:rsid w:val="0098046A"/>
    <w:rsid w:val="0098098B"/>
    <w:rsid w:val="00983228"/>
    <w:rsid w:val="00983E9F"/>
    <w:rsid w:val="00984818"/>
    <w:rsid w:val="0098580A"/>
    <w:rsid w:val="009873DA"/>
    <w:rsid w:val="00991627"/>
    <w:rsid w:val="009924AD"/>
    <w:rsid w:val="009952FD"/>
    <w:rsid w:val="00997AED"/>
    <w:rsid w:val="009A1AD0"/>
    <w:rsid w:val="009A2EAA"/>
    <w:rsid w:val="009A5D0D"/>
    <w:rsid w:val="009A5DFC"/>
    <w:rsid w:val="009A7A95"/>
    <w:rsid w:val="009B0596"/>
    <w:rsid w:val="009B0691"/>
    <w:rsid w:val="009B0A05"/>
    <w:rsid w:val="009B5520"/>
    <w:rsid w:val="009C1849"/>
    <w:rsid w:val="009C3778"/>
    <w:rsid w:val="009C4195"/>
    <w:rsid w:val="009C554D"/>
    <w:rsid w:val="009C72B6"/>
    <w:rsid w:val="009D0D73"/>
    <w:rsid w:val="009D1D9F"/>
    <w:rsid w:val="009D2879"/>
    <w:rsid w:val="009D4777"/>
    <w:rsid w:val="009E2FC7"/>
    <w:rsid w:val="009E610F"/>
    <w:rsid w:val="009E65E7"/>
    <w:rsid w:val="009E70CD"/>
    <w:rsid w:val="009E7ADD"/>
    <w:rsid w:val="009F0E94"/>
    <w:rsid w:val="009F31B0"/>
    <w:rsid w:val="00A024FB"/>
    <w:rsid w:val="00A03C4E"/>
    <w:rsid w:val="00A03DA4"/>
    <w:rsid w:val="00A05373"/>
    <w:rsid w:val="00A05941"/>
    <w:rsid w:val="00A132EF"/>
    <w:rsid w:val="00A1384A"/>
    <w:rsid w:val="00A13C09"/>
    <w:rsid w:val="00A15FB5"/>
    <w:rsid w:val="00A16496"/>
    <w:rsid w:val="00A20AA6"/>
    <w:rsid w:val="00A217CB"/>
    <w:rsid w:val="00A25580"/>
    <w:rsid w:val="00A25725"/>
    <w:rsid w:val="00A27963"/>
    <w:rsid w:val="00A363BE"/>
    <w:rsid w:val="00A36797"/>
    <w:rsid w:val="00A37F41"/>
    <w:rsid w:val="00A424A9"/>
    <w:rsid w:val="00A45A72"/>
    <w:rsid w:val="00A472C3"/>
    <w:rsid w:val="00A501BA"/>
    <w:rsid w:val="00A51373"/>
    <w:rsid w:val="00A5161D"/>
    <w:rsid w:val="00A53C9B"/>
    <w:rsid w:val="00A53E9F"/>
    <w:rsid w:val="00A57A85"/>
    <w:rsid w:val="00A61342"/>
    <w:rsid w:val="00A642C8"/>
    <w:rsid w:val="00A6620F"/>
    <w:rsid w:val="00A668CE"/>
    <w:rsid w:val="00A67E4B"/>
    <w:rsid w:val="00A71E25"/>
    <w:rsid w:val="00A71F62"/>
    <w:rsid w:val="00A7574D"/>
    <w:rsid w:val="00A82259"/>
    <w:rsid w:val="00A87646"/>
    <w:rsid w:val="00A87C6A"/>
    <w:rsid w:val="00A90C5D"/>
    <w:rsid w:val="00A90C96"/>
    <w:rsid w:val="00A91250"/>
    <w:rsid w:val="00A917B1"/>
    <w:rsid w:val="00A96BA4"/>
    <w:rsid w:val="00A96C2B"/>
    <w:rsid w:val="00A9730F"/>
    <w:rsid w:val="00AA1AD4"/>
    <w:rsid w:val="00AA493A"/>
    <w:rsid w:val="00AA7DE9"/>
    <w:rsid w:val="00AB23BC"/>
    <w:rsid w:val="00AB4E25"/>
    <w:rsid w:val="00AB7219"/>
    <w:rsid w:val="00AC038C"/>
    <w:rsid w:val="00AC07A8"/>
    <w:rsid w:val="00AC0D85"/>
    <w:rsid w:val="00AC18F4"/>
    <w:rsid w:val="00AC2198"/>
    <w:rsid w:val="00AC468D"/>
    <w:rsid w:val="00AC4B85"/>
    <w:rsid w:val="00AC5FBE"/>
    <w:rsid w:val="00AD3A5F"/>
    <w:rsid w:val="00AD4043"/>
    <w:rsid w:val="00AD42FB"/>
    <w:rsid w:val="00AD4722"/>
    <w:rsid w:val="00AD4FF3"/>
    <w:rsid w:val="00AD64BB"/>
    <w:rsid w:val="00AD6BA8"/>
    <w:rsid w:val="00AE36F0"/>
    <w:rsid w:val="00AF20ED"/>
    <w:rsid w:val="00AF2192"/>
    <w:rsid w:val="00AF4229"/>
    <w:rsid w:val="00AF51DC"/>
    <w:rsid w:val="00AF5560"/>
    <w:rsid w:val="00AF64A1"/>
    <w:rsid w:val="00B00533"/>
    <w:rsid w:val="00B01A2D"/>
    <w:rsid w:val="00B10328"/>
    <w:rsid w:val="00B11447"/>
    <w:rsid w:val="00B11A36"/>
    <w:rsid w:val="00B14934"/>
    <w:rsid w:val="00B20F41"/>
    <w:rsid w:val="00B232D6"/>
    <w:rsid w:val="00B26B6E"/>
    <w:rsid w:val="00B2744F"/>
    <w:rsid w:val="00B27A2C"/>
    <w:rsid w:val="00B30023"/>
    <w:rsid w:val="00B30508"/>
    <w:rsid w:val="00B319FB"/>
    <w:rsid w:val="00B329A0"/>
    <w:rsid w:val="00B36D64"/>
    <w:rsid w:val="00B40DB2"/>
    <w:rsid w:val="00B43A42"/>
    <w:rsid w:val="00B442EA"/>
    <w:rsid w:val="00B44A25"/>
    <w:rsid w:val="00B46E85"/>
    <w:rsid w:val="00B479E5"/>
    <w:rsid w:val="00B50847"/>
    <w:rsid w:val="00B519CA"/>
    <w:rsid w:val="00B52B99"/>
    <w:rsid w:val="00B535A5"/>
    <w:rsid w:val="00B5394E"/>
    <w:rsid w:val="00B53D5C"/>
    <w:rsid w:val="00B540F5"/>
    <w:rsid w:val="00B616A6"/>
    <w:rsid w:val="00B65A74"/>
    <w:rsid w:val="00B67BCD"/>
    <w:rsid w:val="00B731ED"/>
    <w:rsid w:val="00B73B52"/>
    <w:rsid w:val="00B76986"/>
    <w:rsid w:val="00B812CE"/>
    <w:rsid w:val="00B82605"/>
    <w:rsid w:val="00B82FE8"/>
    <w:rsid w:val="00B8386E"/>
    <w:rsid w:val="00B84496"/>
    <w:rsid w:val="00B90F51"/>
    <w:rsid w:val="00B91AFF"/>
    <w:rsid w:val="00B928E1"/>
    <w:rsid w:val="00B95CE3"/>
    <w:rsid w:val="00BA17B2"/>
    <w:rsid w:val="00BA3900"/>
    <w:rsid w:val="00BA42D7"/>
    <w:rsid w:val="00BA4E04"/>
    <w:rsid w:val="00BA5945"/>
    <w:rsid w:val="00BA7BA3"/>
    <w:rsid w:val="00BB09FB"/>
    <w:rsid w:val="00BB1C1C"/>
    <w:rsid w:val="00BB39C9"/>
    <w:rsid w:val="00BB3C64"/>
    <w:rsid w:val="00BB579E"/>
    <w:rsid w:val="00BC1B58"/>
    <w:rsid w:val="00BC2C55"/>
    <w:rsid w:val="00BC4532"/>
    <w:rsid w:val="00BC45D0"/>
    <w:rsid w:val="00BC589E"/>
    <w:rsid w:val="00BC79BA"/>
    <w:rsid w:val="00BD10B8"/>
    <w:rsid w:val="00BD3948"/>
    <w:rsid w:val="00BE0F24"/>
    <w:rsid w:val="00BE0FA1"/>
    <w:rsid w:val="00BE1722"/>
    <w:rsid w:val="00BE2218"/>
    <w:rsid w:val="00BE33C2"/>
    <w:rsid w:val="00BE6192"/>
    <w:rsid w:val="00BF01EE"/>
    <w:rsid w:val="00BF28E6"/>
    <w:rsid w:val="00BF29BC"/>
    <w:rsid w:val="00BF4A33"/>
    <w:rsid w:val="00BF7564"/>
    <w:rsid w:val="00C014BC"/>
    <w:rsid w:val="00C03031"/>
    <w:rsid w:val="00C03159"/>
    <w:rsid w:val="00C03233"/>
    <w:rsid w:val="00C05E4C"/>
    <w:rsid w:val="00C1310D"/>
    <w:rsid w:val="00C13817"/>
    <w:rsid w:val="00C158A5"/>
    <w:rsid w:val="00C171F8"/>
    <w:rsid w:val="00C21045"/>
    <w:rsid w:val="00C24492"/>
    <w:rsid w:val="00C265CB"/>
    <w:rsid w:val="00C26D1A"/>
    <w:rsid w:val="00C3111F"/>
    <w:rsid w:val="00C313C8"/>
    <w:rsid w:val="00C3671B"/>
    <w:rsid w:val="00C37C8B"/>
    <w:rsid w:val="00C40D01"/>
    <w:rsid w:val="00C41AA9"/>
    <w:rsid w:val="00C43DD6"/>
    <w:rsid w:val="00C4597A"/>
    <w:rsid w:val="00C52E7B"/>
    <w:rsid w:val="00C55D0D"/>
    <w:rsid w:val="00C567C0"/>
    <w:rsid w:val="00C61D32"/>
    <w:rsid w:val="00C6421A"/>
    <w:rsid w:val="00C649D9"/>
    <w:rsid w:val="00C6763D"/>
    <w:rsid w:val="00C70380"/>
    <w:rsid w:val="00C70E33"/>
    <w:rsid w:val="00C74512"/>
    <w:rsid w:val="00C80AFA"/>
    <w:rsid w:val="00C832C3"/>
    <w:rsid w:val="00C86423"/>
    <w:rsid w:val="00C8793F"/>
    <w:rsid w:val="00C94BE5"/>
    <w:rsid w:val="00C959D8"/>
    <w:rsid w:val="00C96BE5"/>
    <w:rsid w:val="00C976D8"/>
    <w:rsid w:val="00CA2239"/>
    <w:rsid w:val="00CA2897"/>
    <w:rsid w:val="00CA332A"/>
    <w:rsid w:val="00CA5F26"/>
    <w:rsid w:val="00CA60D2"/>
    <w:rsid w:val="00CA62BB"/>
    <w:rsid w:val="00CA7DD4"/>
    <w:rsid w:val="00CB0287"/>
    <w:rsid w:val="00CB04F9"/>
    <w:rsid w:val="00CB3088"/>
    <w:rsid w:val="00CB6C56"/>
    <w:rsid w:val="00CB70DF"/>
    <w:rsid w:val="00CB7B1B"/>
    <w:rsid w:val="00CC1F71"/>
    <w:rsid w:val="00CC2343"/>
    <w:rsid w:val="00CC36A8"/>
    <w:rsid w:val="00CC5832"/>
    <w:rsid w:val="00CC7221"/>
    <w:rsid w:val="00CD154B"/>
    <w:rsid w:val="00CD27BB"/>
    <w:rsid w:val="00CD2AC2"/>
    <w:rsid w:val="00CD4954"/>
    <w:rsid w:val="00CD7F08"/>
    <w:rsid w:val="00CE2D69"/>
    <w:rsid w:val="00CE4E5F"/>
    <w:rsid w:val="00CE7794"/>
    <w:rsid w:val="00CE79C1"/>
    <w:rsid w:val="00CF0427"/>
    <w:rsid w:val="00CF1571"/>
    <w:rsid w:val="00CF1DF9"/>
    <w:rsid w:val="00CF2690"/>
    <w:rsid w:val="00CF405F"/>
    <w:rsid w:val="00CF40EF"/>
    <w:rsid w:val="00CF663C"/>
    <w:rsid w:val="00D018A7"/>
    <w:rsid w:val="00D074BB"/>
    <w:rsid w:val="00D079A3"/>
    <w:rsid w:val="00D10833"/>
    <w:rsid w:val="00D10A11"/>
    <w:rsid w:val="00D1235A"/>
    <w:rsid w:val="00D14BE2"/>
    <w:rsid w:val="00D15067"/>
    <w:rsid w:val="00D16020"/>
    <w:rsid w:val="00D17053"/>
    <w:rsid w:val="00D23DF8"/>
    <w:rsid w:val="00D2519D"/>
    <w:rsid w:val="00D27CA9"/>
    <w:rsid w:val="00D30DC6"/>
    <w:rsid w:val="00D322A4"/>
    <w:rsid w:val="00D435AE"/>
    <w:rsid w:val="00D45211"/>
    <w:rsid w:val="00D46A71"/>
    <w:rsid w:val="00D479AE"/>
    <w:rsid w:val="00D50F81"/>
    <w:rsid w:val="00D53486"/>
    <w:rsid w:val="00D53790"/>
    <w:rsid w:val="00D544CE"/>
    <w:rsid w:val="00D557F4"/>
    <w:rsid w:val="00D5596E"/>
    <w:rsid w:val="00D560F4"/>
    <w:rsid w:val="00D57CD6"/>
    <w:rsid w:val="00D63291"/>
    <w:rsid w:val="00D6356D"/>
    <w:rsid w:val="00D63E93"/>
    <w:rsid w:val="00D65F0D"/>
    <w:rsid w:val="00D71D4B"/>
    <w:rsid w:val="00D73395"/>
    <w:rsid w:val="00D73A62"/>
    <w:rsid w:val="00D73B37"/>
    <w:rsid w:val="00D84107"/>
    <w:rsid w:val="00D84803"/>
    <w:rsid w:val="00D86E74"/>
    <w:rsid w:val="00D95B35"/>
    <w:rsid w:val="00D978E8"/>
    <w:rsid w:val="00DA1D1B"/>
    <w:rsid w:val="00DA277A"/>
    <w:rsid w:val="00DA552E"/>
    <w:rsid w:val="00DB0E7A"/>
    <w:rsid w:val="00DB2143"/>
    <w:rsid w:val="00DB325F"/>
    <w:rsid w:val="00DB3AFC"/>
    <w:rsid w:val="00DB449F"/>
    <w:rsid w:val="00DB4EA4"/>
    <w:rsid w:val="00DB64A1"/>
    <w:rsid w:val="00DC0B44"/>
    <w:rsid w:val="00DC1885"/>
    <w:rsid w:val="00DC257A"/>
    <w:rsid w:val="00DC4075"/>
    <w:rsid w:val="00DC5BF0"/>
    <w:rsid w:val="00DC7272"/>
    <w:rsid w:val="00DD0E93"/>
    <w:rsid w:val="00DD1B7A"/>
    <w:rsid w:val="00DD4296"/>
    <w:rsid w:val="00DD4D92"/>
    <w:rsid w:val="00DD56B1"/>
    <w:rsid w:val="00DD730E"/>
    <w:rsid w:val="00DE08C8"/>
    <w:rsid w:val="00DE26BA"/>
    <w:rsid w:val="00DE3140"/>
    <w:rsid w:val="00DF108C"/>
    <w:rsid w:val="00DF36F3"/>
    <w:rsid w:val="00DF3D48"/>
    <w:rsid w:val="00DF3F53"/>
    <w:rsid w:val="00DF583E"/>
    <w:rsid w:val="00DF71A9"/>
    <w:rsid w:val="00DF762E"/>
    <w:rsid w:val="00DF7F36"/>
    <w:rsid w:val="00E020EB"/>
    <w:rsid w:val="00E050F6"/>
    <w:rsid w:val="00E067CF"/>
    <w:rsid w:val="00E10A69"/>
    <w:rsid w:val="00E128F5"/>
    <w:rsid w:val="00E136E0"/>
    <w:rsid w:val="00E15D35"/>
    <w:rsid w:val="00E20984"/>
    <w:rsid w:val="00E2232C"/>
    <w:rsid w:val="00E35343"/>
    <w:rsid w:val="00E355A9"/>
    <w:rsid w:val="00E35D03"/>
    <w:rsid w:val="00E36087"/>
    <w:rsid w:val="00E41B49"/>
    <w:rsid w:val="00E43AAF"/>
    <w:rsid w:val="00E4690A"/>
    <w:rsid w:val="00E515E6"/>
    <w:rsid w:val="00E66AB7"/>
    <w:rsid w:val="00E71950"/>
    <w:rsid w:val="00E728C2"/>
    <w:rsid w:val="00E80852"/>
    <w:rsid w:val="00E82028"/>
    <w:rsid w:val="00E82FE8"/>
    <w:rsid w:val="00E83C5D"/>
    <w:rsid w:val="00E85D52"/>
    <w:rsid w:val="00E8681B"/>
    <w:rsid w:val="00E86A84"/>
    <w:rsid w:val="00E87095"/>
    <w:rsid w:val="00E87D28"/>
    <w:rsid w:val="00E95DF3"/>
    <w:rsid w:val="00EA053B"/>
    <w:rsid w:val="00EA0A6D"/>
    <w:rsid w:val="00EA1891"/>
    <w:rsid w:val="00EA1D2F"/>
    <w:rsid w:val="00EA327F"/>
    <w:rsid w:val="00EA5793"/>
    <w:rsid w:val="00EB00D8"/>
    <w:rsid w:val="00EB06DA"/>
    <w:rsid w:val="00EB11AE"/>
    <w:rsid w:val="00EB1F49"/>
    <w:rsid w:val="00EC0808"/>
    <w:rsid w:val="00EC577F"/>
    <w:rsid w:val="00EC7A8B"/>
    <w:rsid w:val="00ED2A83"/>
    <w:rsid w:val="00ED372F"/>
    <w:rsid w:val="00ED547C"/>
    <w:rsid w:val="00ED6583"/>
    <w:rsid w:val="00ED735E"/>
    <w:rsid w:val="00EE442A"/>
    <w:rsid w:val="00EE5E04"/>
    <w:rsid w:val="00EF1981"/>
    <w:rsid w:val="00EF1A6A"/>
    <w:rsid w:val="00EF5B77"/>
    <w:rsid w:val="00EF68FB"/>
    <w:rsid w:val="00F03B81"/>
    <w:rsid w:val="00F05835"/>
    <w:rsid w:val="00F05A81"/>
    <w:rsid w:val="00F062E3"/>
    <w:rsid w:val="00F115A4"/>
    <w:rsid w:val="00F131E7"/>
    <w:rsid w:val="00F17136"/>
    <w:rsid w:val="00F21000"/>
    <w:rsid w:val="00F21C40"/>
    <w:rsid w:val="00F23082"/>
    <w:rsid w:val="00F242BD"/>
    <w:rsid w:val="00F24EDE"/>
    <w:rsid w:val="00F27BD9"/>
    <w:rsid w:val="00F36A1A"/>
    <w:rsid w:val="00F40257"/>
    <w:rsid w:val="00F402A6"/>
    <w:rsid w:val="00F40BAD"/>
    <w:rsid w:val="00F425B0"/>
    <w:rsid w:val="00F42D58"/>
    <w:rsid w:val="00F44261"/>
    <w:rsid w:val="00F444B8"/>
    <w:rsid w:val="00F463A1"/>
    <w:rsid w:val="00F53B23"/>
    <w:rsid w:val="00F54D72"/>
    <w:rsid w:val="00F60AE1"/>
    <w:rsid w:val="00F625E7"/>
    <w:rsid w:val="00F62EC1"/>
    <w:rsid w:val="00F64146"/>
    <w:rsid w:val="00F65887"/>
    <w:rsid w:val="00F662AB"/>
    <w:rsid w:val="00F6668D"/>
    <w:rsid w:val="00F6795B"/>
    <w:rsid w:val="00F726C2"/>
    <w:rsid w:val="00F748D9"/>
    <w:rsid w:val="00F74FD1"/>
    <w:rsid w:val="00F761A5"/>
    <w:rsid w:val="00F819FD"/>
    <w:rsid w:val="00F82793"/>
    <w:rsid w:val="00F82E16"/>
    <w:rsid w:val="00F83A11"/>
    <w:rsid w:val="00F8551F"/>
    <w:rsid w:val="00F86008"/>
    <w:rsid w:val="00F904A2"/>
    <w:rsid w:val="00F91606"/>
    <w:rsid w:val="00F92FC5"/>
    <w:rsid w:val="00F94B4F"/>
    <w:rsid w:val="00F958EF"/>
    <w:rsid w:val="00F9687F"/>
    <w:rsid w:val="00FA08B4"/>
    <w:rsid w:val="00FA28CD"/>
    <w:rsid w:val="00FA4EBB"/>
    <w:rsid w:val="00FA6CA2"/>
    <w:rsid w:val="00FB0C4E"/>
    <w:rsid w:val="00FB40FC"/>
    <w:rsid w:val="00FB5609"/>
    <w:rsid w:val="00FB6C3F"/>
    <w:rsid w:val="00FC466E"/>
    <w:rsid w:val="00FC601A"/>
    <w:rsid w:val="00FD37B3"/>
    <w:rsid w:val="00FD47F1"/>
    <w:rsid w:val="00FD6066"/>
    <w:rsid w:val="00FE0A9D"/>
    <w:rsid w:val="00FE3487"/>
    <w:rsid w:val="00FE5832"/>
    <w:rsid w:val="00FE7B25"/>
    <w:rsid w:val="00FF0281"/>
    <w:rsid w:val="00FF07CE"/>
    <w:rsid w:val="00FF12CC"/>
    <w:rsid w:val="00FF53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778ADE"/>
  <w15:chartTrackingRefBased/>
  <w15:docId w15:val="{B7A50CED-2246-4684-980F-84918D96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95"/>
  </w:style>
  <w:style w:type="paragraph" w:styleId="Heading1">
    <w:name w:val="heading 1"/>
    <w:basedOn w:val="Normal"/>
    <w:next w:val="Normal"/>
    <w:link w:val="Heading1Char"/>
    <w:uiPriority w:val="9"/>
    <w:qFormat/>
    <w:rsid w:val="00CA5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4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67A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290A"/>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93348C"/>
    <w:rPr>
      <w:color w:val="808080"/>
    </w:rPr>
  </w:style>
  <w:style w:type="paragraph" w:styleId="ListParagraph">
    <w:name w:val="List Paragraph"/>
    <w:basedOn w:val="Normal"/>
    <w:link w:val="ListParagraphChar"/>
    <w:uiPriority w:val="34"/>
    <w:qFormat/>
    <w:rsid w:val="008518EC"/>
    <w:pPr>
      <w:ind w:left="720"/>
      <w:contextualSpacing/>
    </w:pPr>
  </w:style>
  <w:style w:type="character" w:styleId="CommentReference">
    <w:name w:val="annotation reference"/>
    <w:basedOn w:val="DefaultParagraphFont"/>
    <w:uiPriority w:val="99"/>
    <w:semiHidden/>
    <w:unhideWhenUsed/>
    <w:rsid w:val="00DD730E"/>
    <w:rPr>
      <w:sz w:val="16"/>
      <w:szCs w:val="16"/>
    </w:rPr>
  </w:style>
  <w:style w:type="paragraph" w:styleId="CommentText">
    <w:name w:val="annotation text"/>
    <w:basedOn w:val="Normal"/>
    <w:link w:val="CommentTextChar"/>
    <w:uiPriority w:val="99"/>
    <w:unhideWhenUsed/>
    <w:rsid w:val="00DD730E"/>
    <w:pPr>
      <w:spacing w:line="240" w:lineRule="auto"/>
    </w:pPr>
    <w:rPr>
      <w:sz w:val="20"/>
      <w:szCs w:val="20"/>
    </w:rPr>
  </w:style>
  <w:style w:type="character" w:customStyle="1" w:styleId="CommentTextChar">
    <w:name w:val="Comment Text Char"/>
    <w:basedOn w:val="DefaultParagraphFont"/>
    <w:link w:val="CommentText"/>
    <w:uiPriority w:val="99"/>
    <w:rsid w:val="00DD730E"/>
    <w:rPr>
      <w:sz w:val="20"/>
      <w:szCs w:val="20"/>
    </w:rPr>
  </w:style>
  <w:style w:type="paragraph" w:styleId="CommentSubject">
    <w:name w:val="annotation subject"/>
    <w:basedOn w:val="CommentText"/>
    <w:next w:val="CommentText"/>
    <w:link w:val="CommentSubjectChar"/>
    <w:uiPriority w:val="99"/>
    <w:semiHidden/>
    <w:unhideWhenUsed/>
    <w:rsid w:val="00DD730E"/>
    <w:rPr>
      <w:b/>
      <w:bCs/>
    </w:rPr>
  </w:style>
  <w:style w:type="character" w:customStyle="1" w:styleId="CommentSubjectChar">
    <w:name w:val="Comment Subject Char"/>
    <w:basedOn w:val="CommentTextChar"/>
    <w:link w:val="CommentSubject"/>
    <w:uiPriority w:val="99"/>
    <w:semiHidden/>
    <w:rsid w:val="00DD730E"/>
    <w:rPr>
      <w:b/>
      <w:bCs/>
      <w:sz w:val="20"/>
      <w:szCs w:val="20"/>
    </w:rPr>
  </w:style>
  <w:style w:type="paragraph" w:styleId="BalloonText">
    <w:name w:val="Balloon Text"/>
    <w:basedOn w:val="Normal"/>
    <w:link w:val="BalloonTextChar"/>
    <w:uiPriority w:val="99"/>
    <w:semiHidden/>
    <w:unhideWhenUsed/>
    <w:rsid w:val="00DD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30E"/>
    <w:rPr>
      <w:rFonts w:ascii="Segoe UI" w:hAnsi="Segoe UI" w:cs="Segoe UI"/>
      <w:sz w:val="18"/>
      <w:szCs w:val="18"/>
    </w:rPr>
  </w:style>
  <w:style w:type="character" w:styleId="Hyperlink">
    <w:name w:val="Hyperlink"/>
    <w:basedOn w:val="DefaultParagraphFont"/>
    <w:uiPriority w:val="99"/>
    <w:unhideWhenUsed/>
    <w:rsid w:val="00BC1B58"/>
    <w:rPr>
      <w:color w:val="0563C1" w:themeColor="hyperlink"/>
      <w:u w:val="single"/>
    </w:rPr>
  </w:style>
  <w:style w:type="character" w:styleId="FollowedHyperlink">
    <w:name w:val="FollowedHyperlink"/>
    <w:basedOn w:val="DefaultParagraphFont"/>
    <w:uiPriority w:val="99"/>
    <w:semiHidden/>
    <w:unhideWhenUsed/>
    <w:rsid w:val="00BC1B58"/>
    <w:rPr>
      <w:color w:val="954F72" w:themeColor="followedHyperlink"/>
      <w:u w:val="single"/>
    </w:rPr>
  </w:style>
  <w:style w:type="character" w:customStyle="1" w:styleId="UnresolvedMention1">
    <w:name w:val="Unresolved Mention1"/>
    <w:basedOn w:val="DefaultParagraphFont"/>
    <w:uiPriority w:val="99"/>
    <w:rsid w:val="008A0DDB"/>
    <w:rPr>
      <w:color w:val="605E5C"/>
      <w:shd w:val="clear" w:color="auto" w:fill="E1DFDD"/>
    </w:rPr>
  </w:style>
  <w:style w:type="character" w:customStyle="1" w:styleId="uiqtextrenderedqtext">
    <w:name w:val="ui_qtext_rendered_qtext"/>
    <w:basedOn w:val="DefaultParagraphFont"/>
    <w:rsid w:val="000E07E4"/>
  </w:style>
  <w:style w:type="character" w:customStyle="1" w:styleId="tlid-translation">
    <w:name w:val="tlid-translation"/>
    <w:basedOn w:val="DefaultParagraphFont"/>
    <w:rsid w:val="005624E8"/>
  </w:style>
  <w:style w:type="character" w:customStyle="1" w:styleId="alt-edited">
    <w:name w:val="alt-edited"/>
    <w:basedOn w:val="DefaultParagraphFont"/>
    <w:rsid w:val="00444EDC"/>
  </w:style>
  <w:style w:type="paragraph" w:styleId="Revision">
    <w:name w:val="Revision"/>
    <w:hidden/>
    <w:uiPriority w:val="99"/>
    <w:semiHidden/>
    <w:rsid w:val="002A55DC"/>
    <w:pPr>
      <w:spacing w:after="0" w:line="240" w:lineRule="auto"/>
    </w:pPr>
  </w:style>
  <w:style w:type="character" w:customStyle="1" w:styleId="Heading2Char">
    <w:name w:val="Heading 2 Char"/>
    <w:basedOn w:val="DefaultParagraphFont"/>
    <w:link w:val="Heading2"/>
    <w:uiPriority w:val="9"/>
    <w:rsid w:val="002179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A5F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4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7A"/>
  </w:style>
  <w:style w:type="paragraph" w:styleId="Footer">
    <w:name w:val="footer"/>
    <w:basedOn w:val="Normal"/>
    <w:link w:val="FooterChar"/>
    <w:uiPriority w:val="99"/>
    <w:unhideWhenUsed/>
    <w:rsid w:val="00554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77A"/>
  </w:style>
  <w:style w:type="character" w:styleId="UnresolvedMention">
    <w:name w:val="Unresolved Mention"/>
    <w:basedOn w:val="DefaultParagraphFont"/>
    <w:uiPriority w:val="99"/>
    <w:rsid w:val="007D4313"/>
    <w:rPr>
      <w:color w:val="605E5C"/>
      <w:shd w:val="clear" w:color="auto" w:fill="E1DFDD"/>
    </w:rPr>
  </w:style>
  <w:style w:type="character" w:customStyle="1" w:styleId="Heading3Char">
    <w:name w:val="Heading 3 Char"/>
    <w:basedOn w:val="DefaultParagraphFont"/>
    <w:link w:val="Heading3"/>
    <w:uiPriority w:val="9"/>
    <w:rsid w:val="00284B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67AAF"/>
    <w:rPr>
      <w:rFonts w:asciiTheme="majorHAnsi" w:eastAsiaTheme="majorEastAsia" w:hAnsiTheme="majorHAnsi" w:cstheme="majorBidi"/>
      <w:i/>
      <w:iCs/>
      <w:color w:val="2F5496" w:themeColor="accent1" w:themeShade="BF"/>
    </w:rPr>
  </w:style>
  <w:style w:type="character" w:customStyle="1" w:styleId="ListParagraphChar">
    <w:name w:val="List Paragraph Char"/>
    <w:basedOn w:val="DefaultParagraphFont"/>
    <w:link w:val="ListParagraph"/>
    <w:uiPriority w:val="34"/>
    <w:locked/>
    <w:rsid w:val="00F05835"/>
  </w:style>
  <w:style w:type="paragraph" w:styleId="NormalWeb">
    <w:name w:val="Normal (Web)"/>
    <w:basedOn w:val="Normal"/>
    <w:uiPriority w:val="99"/>
    <w:unhideWhenUsed/>
    <w:rsid w:val="00A87C6A"/>
    <w:pPr>
      <w:spacing w:before="100" w:beforeAutospacing="1" w:after="100" w:afterAutospacing="1" w:line="240" w:lineRule="auto"/>
    </w:pPr>
    <w:rPr>
      <w:rFonts w:ascii="Times New Roman" w:eastAsia="Times New Roman" w:hAnsi="Times New Roman" w:cs="Times New Roman"/>
      <w:sz w:val="24"/>
      <w:szCs w:val="24"/>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5401">
      <w:bodyDiv w:val="1"/>
      <w:marLeft w:val="0"/>
      <w:marRight w:val="0"/>
      <w:marTop w:val="0"/>
      <w:marBottom w:val="0"/>
      <w:divBdr>
        <w:top w:val="none" w:sz="0" w:space="0" w:color="auto"/>
        <w:left w:val="none" w:sz="0" w:space="0" w:color="auto"/>
        <w:bottom w:val="none" w:sz="0" w:space="0" w:color="auto"/>
        <w:right w:val="none" w:sz="0" w:space="0" w:color="auto"/>
      </w:divBdr>
      <w:divsChild>
        <w:div w:id="164900531">
          <w:marLeft w:val="0"/>
          <w:marRight w:val="0"/>
          <w:marTop w:val="0"/>
          <w:marBottom w:val="0"/>
          <w:divBdr>
            <w:top w:val="none" w:sz="0" w:space="0" w:color="auto"/>
            <w:left w:val="none" w:sz="0" w:space="0" w:color="auto"/>
            <w:bottom w:val="none" w:sz="0" w:space="0" w:color="auto"/>
            <w:right w:val="none" w:sz="0" w:space="0" w:color="auto"/>
          </w:divBdr>
          <w:divsChild>
            <w:div w:id="598031291">
              <w:marLeft w:val="0"/>
              <w:marRight w:val="0"/>
              <w:marTop w:val="0"/>
              <w:marBottom w:val="0"/>
              <w:divBdr>
                <w:top w:val="none" w:sz="0" w:space="0" w:color="auto"/>
                <w:left w:val="none" w:sz="0" w:space="0" w:color="auto"/>
                <w:bottom w:val="none" w:sz="0" w:space="0" w:color="auto"/>
                <w:right w:val="none" w:sz="0" w:space="0" w:color="auto"/>
              </w:divBdr>
              <w:divsChild>
                <w:div w:id="275255121">
                  <w:marLeft w:val="0"/>
                  <w:marRight w:val="0"/>
                  <w:marTop w:val="0"/>
                  <w:marBottom w:val="0"/>
                  <w:divBdr>
                    <w:top w:val="none" w:sz="0" w:space="0" w:color="auto"/>
                    <w:left w:val="none" w:sz="0" w:space="0" w:color="auto"/>
                    <w:bottom w:val="none" w:sz="0" w:space="0" w:color="auto"/>
                    <w:right w:val="none" w:sz="0" w:space="0" w:color="auto"/>
                  </w:divBdr>
                  <w:divsChild>
                    <w:div w:id="14975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7705">
      <w:bodyDiv w:val="1"/>
      <w:marLeft w:val="0"/>
      <w:marRight w:val="0"/>
      <w:marTop w:val="0"/>
      <w:marBottom w:val="0"/>
      <w:divBdr>
        <w:top w:val="none" w:sz="0" w:space="0" w:color="auto"/>
        <w:left w:val="none" w:sz="0" w:space="0" w:color="auto"/>
        <w:bottom w:val="none" w:sz="0" w:space="0" w:color="auto"/>
        <w:right w:val="none" w:sz="0" w:space="0" w:color="auto"/>
      </w:divBdr>
      <w:divsChild>
        <w:div w:id="31081568">
          <w:marLeft w:val="0"/>
          <w:marRight w:val="0"/>
          <w:marTop w:val="0"/>
          <w:marBottom w:val="0"/>
          <w:divBdr>
            <w:top w:val="none" w:sz="0" w:space="0" w:color="auto"/>
            <w:left w:val="none" w:sz="0" w:space="0" w:color="auto"/>
            <w:bottom w:val="none" w:sz="0" w:space="0" w:color="auto"/>
            <w:right w:val="none" w:sz="0" w:space="0" w:color="auto"/>
          </w:divBdr>
          <w:divsChild>
            <w:div w:id="485047530">
              <w:marLeft w:val="0"/>
              <w:marRight w:val="0"/>
              <w:marTop w:val="0"/>
              <w:marBottom w:val="0"/>
              <w:divBdr>
                <w:top w:val="none" w:sz="0" w:space="0" w:color="auto"/>
                <w:left w:val="none" w:sz="0" w:space="0" w:color="auto"/>
                <w:bottom w:val="none" w:sz="0" w:space="0" w:color="auto"/>
                <w:right w:val="none" w:sz="0" w:space="0" w:color="auto"/>
              </w:divBdr>
              <w:divsChild>
                <w:div w:id="9863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alatawi@lstmed.ac.uk" TargetMode="External"/><Relationship Id="rId13" Type="http://schemas.openxmlformats.org/officeDocument/2006/relationships/oleObject" Target="embeddings/oleObject2.bin"/><Relationship Id="rId18" Type="http://schemas.openxmlformats.org/officeDocument/2006/relationships/hyperlink" Target="https://www.moh.gov.sa/en/Ministry/Statistics/book/Documents/StatisticalBook-1436.pdf"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dx.doi.org/10.1016/j.healthpol.2015.12.005" TargetMode="External"/><Relationship Id="rId2" Type="http://schemas.openxmlformats.org/officeDocument/2006/relationships/numbering" Target="numbering.xml"/><Relationship Id="rId16" Type="http://schemas.openxmlformats.org/officeDocument/2006/relationships/hyperlink" Target="https://www.moh.gov.sa/en/Ministry/Statistics/book/Documents/ANNUAL-STATISTICAL-BOOK-1438H.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hyperlink" Target="mailto:jahangir.khan@lstmed.ac.uk" TargetMode="External"/><Relationship Id="rId19" Type="http://schemas.openxmlformats.org/officeDocument/2006/relationships/hyperlink" Target="http://dx.doi.org/10.1016/j.healthpol.2013.05.010" TargetMode="External"/><Relationship Id="rId4" Type="http://schemas.openxmlformats.org/officeDocument/2006/relationships/settings" Target="settings.xml"/><Relationship Id="rId9" Type="http://schemas.openxmlformats.org/officeDocument/2006/relationships/hyperlink" Target="mailto:louis.niessen@lstmed.ac.uk" TargetMode="External"/><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6B6CB0-1620-48CD-B6F8-E425B908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8728</Words>
  <Characters>49755</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Alatawi</dc:creator>
  <cp:lastModifiedBy>Julie Franco</cp:lastModifiedBy>
  <cp:revision>2</cp:revision>
  <dcterms:created xsi:type="dcterms:W3CDTF">2020-01-14T15:14:00Z</dcterms:created>
  <dcterms:modified xsi:type="dcterms:W3CDTF">2020-01-14T15:14:00Z</dcterms:modified>
</cp:coreProperties>
</file>