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1FDBC" w14:textId="77777777" w:rsidR="00774CAC" w:rsidRPr="00F874F9" w:rsidRDefault="00774CAC" w:rsidP="00843C19">
      <w:pPr>
        <w:pStyle w:val="Heading1"/>
        <w:spacing w:before="0" w:line="480" w:lineRule="auto"/>
        <w:rPr>
          <w:rFonts w:asciiTheme="minorHAnsi" w:eastAsiaTheme="minorHAnsi" w:hAnsiTheme="minorHAnsi" w:cs="Corbel"/>
          <w:color w:val="auto"/>
          <w:sz w:val="22"/>
          <w:szCs w:val="22"/>
        </w:rPr>
      </w:pPr>
      <w:r w:rsidRPr="00F874F9">
        <w:rPr>
          <w:rFonts w:asciiTheme="minorHAnsi" w:hAnsiTheme="minorHAnsi"/>
          <w:b/>
          <w:color w:val="auto"/>
          <w:sz w:val="36"/>
          <w:szCs w:val="36"/>
        </w:rPr>
        <w:t>Title</w:t>
      </w:r>
    </w:p>
    <w:p w14:paraId="487009F6" w14:textId="41671AEE" w:rsidR="007D7AF5" w:rsidRDefault="007D7AF5" w:rsidP="00843C19">
      <w:pPr>
        <w:spacing w:after="0" w:line="480" w:lineRule="auto"/>
        <w:rPr>
          <w:rFonts w:cs="Corbel"/>
          <w:sz w:val="24"/>
          <w:szCs w:val="24"/>
        </w:rPr>
      </w:pPr>
      <w:r w:rsidRPr="005E49C7">
        <w:rPr>
          <w:rFonts w:cs="Corbel"/>
          <w:sz w:val="24"/>
          <w:szCs w:val="24"/>
        </w:rPr>
        <w:t xml:space="preserve">Strengthening capacity </w:t>
      </w:r>
      <w:r w:rsidR="004A292B">
        <w:rPr>
          <w:rFonts w:cs="Corbel"/>
          <w:sz w:val="24"/>
          <w:szCs w:val="24"/>
        </w:rPr>
        <w:t xml:space="preserve">for </w:t>
      </w:r>
      <w:r w:rsidR="00525882">
        <w:rPr>
          <w:rFonts w:cs="Corbel"/>
          <w:sz w:val="24"/>
          <w:szCs w:val="24"/>
        </w:rPr>
        <w:t xml:space="preserve">natural </w:t>
      </w:r>
      <w:r w:rsidR="004A292B" w:rsidRPr="005E49C7">
        <w:rPr>
          <w:rFonts w:cs="Corbel"/>
          <w:sz w:val="24"/>
          <w:szCs w:val="24"/>
        </w:rPr>
        <w:t>science</w:t>
      </w:r>
      <w:r w:rsidR="003B1023">
        <w:rPr>
          <w:rFonts w:cs="Corbel"/>
          <w:sz w:val="24"/>
          <w:szCs w:val="24"/>
        </w:rPr>
        <w:t>s</w:t>
      </w:r>
      <w:r w:rsidR="004A292B" w:rsidRPr="005E49C7">
        <w:rPr>
          <w:rFonts w:cs="Corbel"/>
          <w:sz w:val="24"/>
          <w:szCs w:val="24"/>
        </w:rPr>
        <w:t xml:space="preserve"> research</w:t>
      </w:r>
      <w:r w:rsidRPr="005E49C7">
        <w:rPr>
          <w:rFonts w:cs="Corbel"/>
          <w:sz w:val="24"/>
          <w:szCs w:val="24"/>
        </w:rPr>
        <w:t xml:space="preserve">: </w:t>
      </w:r>
      <w:bookmarkStart w:id="0" w:name="_Hlk14696552"/>
      <w:r w:rsidRPr="005E49C7">
        <w:rPr>
          <w:rFonts w:cs="Corbel"/>
          <w:sz w:val="24"/>
          <w:szCs w:val="24"/>
        </w:rPr>
        <w:t xml:space="preserve">a </w:t>
      </w:r>
      <w:r w:rsidR="006E0F68">
        <w:rPr>
          <w:rFonts w:cs="Corbel"/>
          <w:sz w:val="24"/>
          <w:szCs w:val="24"/>
        </w:rPr>
        <w:t>qualitative assessment</w:t>
      </w:r>
      <w:r w:rsidR="006E0F68" w:rsidRPr="005E49C7">
        <w:rPr>
          <w:rFonts w:cs="Corbel"/>
          <w:sz w:val="24"/>
          <w:szCs w:val="24"/>
        </w:rPr>
        <w:t xml:space="preserve"> </w:t>
      </w:r>
      <w:r w:rsidRPr="005E49C7">
        <w:rPr>
          <w:rFonts w:cs="Corbel"/>
          <w:sz w:val="24"/>
          <w:szCs w:val="24"/>
        </w:rPr>
        <w:t xml:space="preserve">to identify good practices, capacity </w:t>
      </w:r>
      <w:r w:rsidR="00D22396">
        <w:rPr>
          <w:rFonts w:cs="Corbel"/>
          <w:sz w:val="24"/>
          <w:szCs w:val="24"/>
        </w:rPr>
        <w:t>gaps and investment priorities</w:t>
      </w:r>
      <w:r w:rsidR="00EF6CB5" w:rsidRPr="00EF6CB5">
        <w:rPr>
          <w:rFonts w:cs="Corbel"/>
          <w:sz w:val="24"/>
          <w:szCs w:val="24"/>
        </w:rPr>
        <w:t xml:space="preserve"> </w:t>
      </w:r>
      <w:r w:rsidR="00EF6CB5" w:rsidRPr="005E49C7">
        <w:rPr>
          <w:rFonts w:cs="Corbel"/>
          <w:sz w:val="24"/>
          <w:szCs w:val="24"/>
        </w:rPr>
        <w:t>in African</w:t>
      </w:r>
      <w:r w:rsidR="00365EDA">
        <w:rPr>
          <w:rFonts w:cs="Corbel"/>
          <w:sz w:val="24"/>
          <w:szCs w:val="24"/>
        </w:rPr>
        <w:t xml:space="preserve"> research</w:t>
      </w:r>
      <w:r w:rsidR="00EF6CB5" w:rsidRPr="005E49C7">
        <w:rPr>
          <w:rFonts w:cs="Corbel"/>
          <w:sz w:val="24"/>
          <w:szCs w:val="24"/>
        </w:rPr>
        <w:t xml:space="preserve"> institutions</w:t>
      </w:r>
      <w:bookmarkEnd w:id="0"/>
    </w:p>
    <w:p w14:paraId="0D3AF517" w14:textId="77777777" w:rsidR="00913607" w:rsidRDefault="00913607" w:rsidP="00843C19">
      <w:pPr>
        <w:spacing w:after="0" w:line="480" w:lineRule="auto"/>
        <w:rPr>
          <w:rFonts w:cs="Corbel"/>
          <w:sz w:val="24"/>
          <w:szCs w:val="24"/>
        </w:rPr>
      </w:pPr>
    </w:p>
    <w:p w14:paraId="29D93B37" w14:textId="77777777" w:rsidR="00913607" w:rsidRPr="00913607" w:rsidRDefault="00913607" w:rsidP="00843C19">
      <w:pPr>
        <w:spacing w:after="0" w:line="480" w:lineRule="auto"/>
        <w:rPr>
          <w:rFonts w:cs="Corbel"/>
          <w:b/>
          <w:sz w:val="24"/>
          <w:szCs w:val="24"/>
        </w:rPr>
      </w:pPr>
      <w:r w:rsidRPr="00913607">
        <w:rPr>
          <w:rFonts w:cs="Corbel"/>
          <w:b/>
          <w:sz w:val="24"/>
          <w:szCs w:val="24"/>
        </w:rPr>
        <w:t>Short title</w:t>
      </w:r>
    </w:p>
    <w:p w14:paraId="0DC167E1" w14:textId="76DF8FA8" w:rsidR="00D22396" w:rsidRDefault="00913607" w:rsidP="00843C19">
      <w:pPr>
        <w:spacing w:after="0" w:line="480" w:lineRule="auto"/>
        <w:rPr>
          <w:rFonts w:cs="Corbel"/>
          <w:sz w:val="24"/>
          <w:szCs w:val="24"/>
        </w:rPr>
      </w:pPr>
      <w:r>
        <w:rPr>
          <w:rFonts w:cs="Corbel"/>
          <w:sz w:val="24"/>
          <w:szCs w:val="24"/>
        </w:rPr>
        <w:t xml:space="preserve">Assessment of </w:t>
      </w:r>
      <w:r w:rsidRPr="005E49C7">
        <w:rPr>
          <w:rFonts w:cs="Corbel"/>
          <w:sz w:val="24"/>
          <w:szCs w:val="24"/>
        </w:rPr>
        <w:t>African institutions</w:t>
      </w:r>
      <w:r>
        <w:rPr>
          <w:rFonts w:cs="Corbel"/>
          <w:sz w:val="24"/>
          <w:szCs w:val="24"/>
        </w:rPr>
        <w:t>’ capacity</w:t>
      </w:r>
      <w:r w:rsidRPr="00913607">
        <w:rPr>
          <w:rFonts w:cs="Corbel"/>
          <w:sz w:val="24"/>
          <w:szCs w:val="24"/>
        </w:rPr>
        <w:t xml:space="preserve"> </w:t>
      </w:r>
      <w:r>
        <w:rPr>
          <w:rFonts w:cs="Corbel"/>
          <w:sz w:val="24"/>
          <w:szCs w:val="24"/>
        </w:rPr>
        <w:t xml:space="preserve">for </w:t>
      </w:r>
      <w:r w:rsidR="003B1023">
        <w:rPr>
          <w:rFonts w:cs="Corbel"/>
          <w:sz w:val="24"/>
          <w:szCs w:val="24"/>
        </w:rPr>
        <w:t xml:space="preserve">natural </w:t>
      </w:r>
      <w:r>
        <w:rPr>
          <w:rFonts w:cs="Corbel"/>
          <w:sz w:val="24"/>
          <w:szCs w:val="24"/>
        </w:rPr>
        <w:t>science</w:t>
      </w:r>
      <w:r w:rsidR="003B1023">
        <w:rPr>
          <w:rFonts w:cs="Corbel"/>
          <w:sz w:val="24"/>
          <w:szCs w:val="24"/>
        </w:rPr>
        <w:t>s</w:t>
      </w:r>
      <w:r>
        <w:rPr>
          <w:rFonts w:cs="Corbel"/>
          <w:sz w:val="24"/>
          <w:szCs w:val="24"/>
        </w:rPr>
        <w:t xml:space="preserve"> research</w:t>
      </w:r>
    </w:p>
    <w:p w14:paraId="4FBACD5F" w14:textId="77777777" w:rsidR="00913607" w:rsidRPr="005E49C7" w:rsidRDefault="00913607" w:rsidP="00843C19">
      <w:pPr>
        <w:spacing w:after="0" w:line="480" w:lineRule="auto"/>
        <w:rPr>
          <w:rFonts w:cs="Corbel"/>
          <w:sz w:val="24"/>
          <w:szCs w:val="24"/>
        </w:rPr>
      </w:pPr>
    </w:p>
    <w:p w14:paraId="4C659CEA" w14:textId="77777777" w:rsidR="00D831F7" w:rsidRPr="00F874F9" w:rsidRDefault="00D831F7" w:rsidP="00843C19">
      <w:pPr>
        <w:pStyle w:val="Heading1"/>
        <w:spacing w:before="0" w:line="480" w:lineRule="auto"/>
        <w:rPr>
          <w:rFonts w:asciiTheme="minorHAnsi" w:hAnsiTheme="minorHAnsi"/>
          <w:b/>
          <w:color w:val="auto"/>
          <w:sz w:val="36"/>
          <w:szCs w:val="36"/>
        </w:rPr>
      </w:pPr>
      <w:bookmarkStart w:id="1" w:name="_Hlk525040791"/>
      <w:r w:rsidRPr="00F874F9">
        <w:rPr>
          <w:rFonts w:asciiTheme="minorHAnsi" w:hAnsiTheme="minorHAnsi"/>
          <w:b/>
          <w:color w:val="auto"/>
          <w:sz w:val="36"/>
          <w:szCs w:val="36"/>
        </w:rPr>
        <w:t xml:space="preserve">Authors: </w:t>
      </w:r>
      <w:r w:rsidR="006657E5" w:rsidRPr="00F874F9">
        <w:rPr>
          <w:rFonts w:asciiTheme="minorHAnsi" w:hAnsiTheme="minorHAnsi"/>
          <w:b/>
          <w:color w:val="auto"/>
          <w:sz w:val="36"/>
          <w:szCs w:val="36"/>
        </w:rPr>
        <w:t xml:space="preserve"> </w:t>
      </w:r>
    </w:p>
    <w:bookmarkEnd w:id="1"/>
    <w:p w14:paraId="714189F5" w14:textId="3AFF8305" w:rsidR="00D22396" w:rsidRPr="005D61AB" w:rsidRDefault="006F6841" w:rsidP="00843C19">
      <w:pPr>
        <w:spacing w:after="0" w:line="480" w:lineRule="auto"/>
        <w:rPr>
          <w:rFonts w:cs="Corbel"/>
          <w:sz w:val="24"/>
          <w:szCs w:val="24"/>
          <w:vertAlign w:val="superscript"/>
        </w:rPr>
      </w:pPr>
      <w:r w:rsidRPr="005E49C7">
        <w:rPr>
          <w:rFonts w:cs="Corbel"/>
          <w:sz w:val="24"/>
          <w:szCs w:val="24"/>
        </w:rPr>
        <w:t>Taghreed El Hajj</w:t>
      </w:r>
      <w:r w:rsidR="00913607">
        <w:rPr>
          <w:rFonts w:cs="Corbel"/>
          <w:sz w:val="24"/>
          <w:szCs w:val="24"/>
          <w:vertAlign w:val="superscript"/>
        </w:rPr>
        <w:t>1</w:t>
      </w:r>
      <w:r w:rsidR="004A292B">
        <w:rPr>
          <w:rFonts w:cs="Corbel"/>
          <w:sz w:val="24"/>
          <w:szCs w:val="24"/>
          <w:vertAlign w:val="superscript"/>
        </w:rPr>
        <w:t>*</w:t>
      </w:r>
      <w:r w:rsidR="00793924">
        <w:rPr>
          <w:rFonts w:cs="Corbel"/>
          <w:sz w:val="24"/>
          <w:szCs w:val="24"/>
        </w:rPr>
        <w:t xml:space="preserve">, </w:t>
      </w:r>
      <w:r w:rsidR="00913607" w:rsidRPr="005E49C7">
        <w:rPr>
          <w:rFonts w:cs="Corbel"/>
          <w:sz w:val="24"/>
          <w:szCs w:val="24"/>
        </w:rPr>
        <w:t>Stefanie Gregorius</w:t>
      </w:r>
      <w:r w:rsidR="00913607" w:rsidRPr="00913607">
        <w:rPr>
          <w:rFonts w:cs="Corbel"/>
          <w:sz w:val="24"/>
          <w:szCs w:val="24"/>
          <w:vertAlign w:val="superscript"/>
        </w:rPr>
        <w:t>2</w:t>
      </w:r>
      <w:r w:rsidRPr="005E49C7">
        <w:rPr>
          <w:rFonts w:cs="Corbel"/>
          <w:sz w:val="24"/>
          <w:szCs w:val="24"/>
        </w:rPr>
        <w:t xml:space="preserve">, </w:t>
      </w:r>
      <w:bookmarkStart w:id="2" w:name="_Hlk524702432"/>
      <w:r w:rsidRPr="005E49C7">
        <w:rPr>
          <w:rFonts w:cs="Corbel"/>
          <w:sz w:val="24"/>
          <w:szCs w:val="24"/>
        </w:rPr>
        <w:t>Justin Pulford</w:t>
      </w:r>
      <w:bookmarkEnd w:id="2"/>
      <w:r w:rsidR="00913607">
        <w:rPr>
          <w:rFonts w:cs="Corbel"/>
          <w:sz w:val="24"/>
          <w:szCs w:val="24"/>
          <w:vertAlign w:val="superscript"/>
        </w:rPr>
        <w:t>1</w:t>
      </w:r>
      <w:r w:rsidR="00FE1C6A" w:rsidRPr="005E49C7">
        <w:rPr>
          <w:rFonts w:cs="Corbel"/>
          <w:sz w:val="24"/>
          <w:szCs w:val="24"/>
        </w:rPr>
        <w:t>, Imelda Bates</w:t>
      </w:r>
      <w:r w:rsidR="00913607">
        <w:rPr>
          <w:rFonts w:cs="Corbel"/>
          <w:sz w:val="24"/>
          <w:szCs w:val="24"/>
          <w:vertAlign w:val="superscript"/>
        </w:rPr>
        <w:t>1</w:t>
      </w:r>
    </w:p>
    <w:p w14:paraId="7A566ABF" w14:textId="77777777" w:rsidR="00345C3E" w:rsidRDefault="00345C3E" w:rsidP="00843C19">
      <w:pPr>
        <w:shd w:val="clear" w:color="auto" w:fill="FFFFFF"/>
        <w:spacing w:after="0" w:line="480" w:lineRule="auto"/>
        <w:rPr>
          <w:rFonts w:eastAsia="Times New Roman" w:cs="Times New Roman"/>
          <w:b/>
          <w:color w:val="333333"/>
          <w:sz w:val="24"/>
          <w:szCs w:val="24"/>
          <w:lang w:eastAsia="en-GB"/>
        </w:rPr>
      </w:pPr>
    </w:p>
    <w:p w14:paraId="604A0D35" w14:textId="77777777" w:rsidR="00DE49D3" w:rsidRPr="00AC7236" w:rsidRDefault="00DE49D3" w:rsidP="00843C19">
      <w:pPr>
        <w:shd w:val="clear" w:color="auto" w:fill="FFFFFF"/>
        <w:spacing w:after="0" w:line="480" w:lineRule="auto"/>
        <w:rPr>
          <w:rFonts w:eastAsia="Times New Roman" w:cs="Times New Roman"/>
          <w:b/>
          <w:color w:val="333333"/>
          <w:sz w:val="24"/>
          <w:szCs w:val="24"/>
          <w:lang w:eastAsia="en-GB"/>
        </w:rPr>
      </w:pPr>
      <w:r w:rsidRPr="00AC7236">
        <w:rPr>
          <w:rFonts w:eastAsia="Times New Roman" w:cs="Times New Roman"/>
          <w:b/>
          <w:color w:val="333333"/>
          <w:sz w:val="24"/>
          <w:szCs w:val="24"/>
          <w:lang w:eastAsia="en-GB"/>
        </w:rPr>
        <w:t>Authors</w:t>
      </w:r>
      <w:r w:rsidR="00345C3E">
        <w:rPr>
          <w:rFonts w:eastAsia="Times New Roman" w:cs="Times New Roman"/>
          <w:b/>
          <w:color w:val="333333"/>
          <w:sz w:val="24"/>
          <w:szCs w:val="24"/>
          <w:lang w:eastAsia="en-GB"/>
        </w:rPr>
        <w:t>’</w:t>
      </w:r>
      <w:r w:rsidRPr="00AC7236">
        <w:rPr>
          <w:rFonts w:eastAsia="Times New Roman" w:cs="Times New Roman"/>
          <w:b/>
          <w:color w:val="333333"/>
          <w:sz w:val="24"/>
          <w:szCs w:val="24"/>
          <w:lang w:eastAsia="en-GB"/>
        </w:rPr>
        <w:t xml:space="preserve"> details</w:t>
      </w:r>
    </w:p>
    <w:p w14:paraId="13E992C8" w14:textId="55C5C9E7" w:rsidR="00D22396" w:rsidRDefault="00DE49D3" w:rsidP="00843C19">
      <w:pPr>
        <w:shd w:val="clear" w:color="auto" w:fill="FFFFFF"/>
        <w:spacing w:after="0" w:line="480" w:lineRule="auto"/>
        <w:rPr>
          <w:rFonts w:cs="Corbel"/>
          <w:sz w:val="24"/>
          <w:szCs w:val="24"/>
        </w:rPr>
      </w:pPr>
      <w:r w:rsidRPr="00F874F9">
        <w:rPr>
          <w:rFonts w:cs="Corbel"/>
          <w:vertAlign w:val="superscript"/>
        </w:rPr>
        <w:t>1 </w:t>
      </w:r>
      <w:r w:rsidR="00913607" w:rsidRPr="005E49C7">
        <w:rPr>
          <w:rFonts w:cs="Corbel"/>
          <w:sz w:val="24"/>
          <w:szCs w:val="24"/>
        </w:rPr>
        <w:t>C</w:t>
      </w:r>
      <w:r w:rsidR="002340F7">
        <w:rPr>
          <w:rFonts w:cs="Corbel"/>
          <w:sz w:val="24"/>
          <w:szCs w:val="24"/>
        </w:rPr>
        <w:t>entre for C</w:t>
      </w:r>
      <w:r w:rsidR="00913607" w:rsidRPr="005E49C7">
        <w:rPr>
          <w:rFonts w:cs="Corbel"/>
          <w:sz w:val="24"/>
          <w:szCs w:val="24"/>
        </w:rPr>
        <w:t>apacity Research, Liverpool School of Tro</w:t>
      </w:r>
      <w:r w:rsidR="00913607">
        <w:rPr>
          <w:rFonts w:cs="Corbel"/>
          <w:sz w:val="24"/>
          <w:szCs w:val="24"/>
        </w:rPr>
        <w:t>pi</w:t>
      </w:r>
      <w:r w:rsidR="00913607" w:rsidRPr="005E49C7">
        <w:rPr>
          <w:rFonts w:cs="Corbel"/>
          <w:sz w:val="24"/>
          <w:szCs w:val="24"/>
        </w:rPr>
        <w:t>cal Medicine, Pembroke Place, Liverpool, L3 5QA, UK</w:t>
      </w:r>
      <w:r w:rsidRPr="005E49C7">
        <w:rPr>
          <w:rFonts w:cs="Corbel"/>
          <w:sz w:val="24"/>
          <w:szCs w:val="24"/>
        </w:rPr>
        <w:br/>
      </w:r>
      <w:r w:rsidR="00DB4E95" w:rsidRPr="00F874F9">
        <w:rPr>
          <w:rFonts w:cs="Corbel"/>
          <w:vertAlign w:val="superscript"/>
        </w:rPr>
        <w:t>2</w:t>
      </w:r>
      <w:r w:rsidR="00DB4E95" w:rsidRPr="005E49C7">
        <w:rPr>
          <w:rFonts w:cs="Corbel"/>
          <w:sz w:val="24"/>
          <w:szCs w:val="24"/>
        </w:rPr>
        <w:t xml:space="preserve">Gesellschaft </w:t>
      </w:r>
      <w:proofErr w:type="spellStart"/>
      <w:r w:rsidR="00DB4E95" w:rsidRPr="005E49C7">
        <w:rPr>
          <w:rFonts w:cs="Corbel"/>
          <w:sz w:val="24"/>
          <w:szCs w:val="24"/>
        </w:rPr>
        <w:t>für</w:t>
      </w:r>
      <w:proofErr w:type="spellEnd"/>
      <w:r w:rsidR="00DB4E95" w:rsidRPr="005E49C7">
        <w:rPr>
          <w:rFonts w:cs="Corbel"/>
          <w:sz w:val="24"/>
          <w:szCs w:val="24"/>
        </w:rPr>
        <w:t xml:space="preserve"> Internationale </w:t>
      </w:r>
      <w:proofErr w:type="spellStart"/>
      <w:r w:rsidR="00DB4E95" w:rsidRPr="005E49C7">
        <w:rPr>
          <w:rFonts w:cs="Corbel"/>
          <w:sz w:val="24"/>
          <w:szCs w:val="24"/>
        </w:rPr>
        <w:t>Zusammenarbeit</w:t>
      </w:r>
      <w:proofErr w:type="spellEnd"/>
      <w:r w:rsidR="00DB4E95" w:rsidRPr="005E49C7">
        <w:rPr>
          <w:rFonts w:cs="Corbel"/>
          <w:sz w:val="24"/>
          <w:szCs w:val="24"/>
        </w:rPr>
        <w:t xml:space="preserve"> (GIZ), Friedrich-Ebert-Allee 36, 53113 Bonn</w:t>
      </w:r>
    </w:p>
    <w:p w14:paraId="02B0C50C" w14:textId="77777777" w:rsidR="00345C3E" w:rsidRDefault="005E49C7" w:rsidP="00BA739C">
      <w:pPr>
        <w:shd w:val="clear" w:color="auto" w:fill="FFFFFF"/>
        <w:spacing w:after="0" w:line="480" w:lineRule="auto"/>
        <w:rPr>
          <w:sz w:val="24"/>
          <w:szCs w:val="24"/>
        </w:rPr>
      </w:pPr>
      <w:r w:rsidRPr="00AC7236">
        <w:rPr>
          <w:b/>
          <w:sz w:val="24"/>
          <w:szCs w:val="24"/>
        </w:rPr>
        <w:t>*Corresponding author</w:t>
      </w:r>
      <w:r w:rsidR="00AC7236">
        <w:rPr>
          <w:b/>
          <w:sz w:val="24"/>
          <w:szCs w:val="24"/>
        </w:rPr>
        <w:t xml:space="preserve">: </w:t>
      </w:r>
      <w:r w:rsidRPr="005E49C7">
        <w:rPr>
          <w:sz w:val="24"/>
          <w:szCs w:val="24"/>
        </w:rPr>
        <w:t xml:space="preserve">Email: </w:t>
      </w:r>
      <w:hyperlink r:id="rId8" w:history="1">
        <w:r w:rsidR="004A292B" w:rsidRPr="006F19C6">
          <w:rPr>
            <w:rStyle w:val="Hyperlink"/>
            <w:sz w:val="24"/>
            <w:szCs w:val="24"/>
          </w:rPr>
          <w:t>Taghreed.ElHajj@lstmed.ac.uk</w:t>
        </w:r>
      </w:hyperlink>
      <w:r w:rsidR="00345C3E">
        <w:rPr>
          <w:sz w:val="24"/>
          <w:szCs w:val="24"/>
        </w:rPr>
        <w:br w:type="page"/>
      </w:r>
    </w:p>
    <w:p w14:paraId="52840E49" w14:textId="77777777" w:rsidR="00F30A69" w:rsidRPr="00F874F9" w:rsidRDefault="00F30A69" w:rsidP="00843C19">
      <w:pPr>
        <w:pStyle w:val="Heading1"/>
        <w:spacing w:before="0" w:line="480" w:lineRule="auto"/>
        <w:rPr>
          <w:rFonts w:asciiTheme="minorHAnsi" w:hAnsiTheme="minorHAnsi"/>
          <w:b/>
          <w:color w:val="auto"/>
          <w:sz w:val="36"/>
          <w:szCs w:val="36"/>
        </w:rPr>
      </w:pPr>
      <w:r w:rsidRPr="00F874F9">
        <w:rPr>
          <w:rFonts w:asciiTheme="minorHAnsi" w:hAnsiTheme="minorHAnsi"/>
          <w:b/>
          <w:color w:val="auto"/>
          <w:sz w:val="36"/>
          <w:szCs w:val="36"/>
        </w:rPr>
        <w:lastRenderedPageBreak/>
        <w:t>Abstract</w:t>
      </w:r>
    </w:p>
    <w:p w14:paraId="2F24F7D1" w14:textId="589158CF" w:rsidR="002823D1" w:rsidRPr="005D61AB" w:rsidRDefault="002D43C3" w:rsidP="00843C19">
      <w:pPr>
        <w:autoSpaceDE w:val="0"/>
        <w:autoSpaceDN w:val="0"/>
        <w:adjustRightInd w:val="0"/>
        <w:spacing w:after="0" w:line="480" w:lineRule="auto"/>
        <w:rPr>
          <w:rFonts w:cs="Corbel"/>
          <w:sz w:val="24"/>
          <w:szCs w:val="24"/>
        </w:rPr>
      </w:pPr>
      <w:r w:rsidRPr="005D61AB">
        <w:rPr>
          <w:b/>
          <w:sz w:val="24"/>
          <w:szCs w:val="24"/>
        </w:rPr>
        <w:t>Background</w:t>
      </w:r>
      <w:r w:rsidR="00AC7236" w:rsidRPr="005D61AB">
        <w:rPr>
          <w:b/>
          <w:sz w:val="24"/>
          <w:szCs w:val="24"/>
        </w:rPr>
        <w:t>:</w:t>
      </w:r>
      <w:r w:rsidRPr="005D61AB">
        <w:rPr>
          <w:sz w:val="24"/>
          <w:szCs w:val="24"/>
        </w:rPr>
        <w:t xml:space="preserve"> </w:t>
      </w:r>
      <w:r w:rsidR="00B31DEF" w:rsidRPr="005D61AB">
        <w:rPr>
          <w:sz w:val="24"/>
          <w:szCs w:val="24"/>
        </w:rPr>
        <w:t xml:space="preserve">Strengthening research capacity in </w:t>
      </w:r>
      <w:r w:rsidR="00D80CD7" w:rsidRPr="005D61AB">
        <w:rPr>
          <w:sz w:val="24"/>
          <w:szCs w:val="24"/>
        </w:rPr>
        <w:t>low-and-midd</w:t>
      </w:r>
      <w:r w:rsidR="002823D1" w:rsidRPr="005D61AB">
        <w:rPr>
          <w:sz w:val="24"/>
          <w:szCs w:val="24"/>
        </w:rPr>
        <w:t xml:space="preserve">le-income countries </w:t>
      </w:r>
      <w:r w:rsidR="004A292B">
        <w:rPr>
          <w:sz w:val="24"/>
          <w:szCs w:val="24"/>
        </w:rPr>
        <w:t>is</w:t>
      </w:r>
      <w:r w:rsidR="00D80CD7" w:rsidRPr="005D61AB">
        <w:rPr>
          <w:sz w:val="24"/>
          <w:szCs w:val="24"/>
        </w:rPr>
        <w:t xml:space="preserve"> essential to</w:t>
      </w:r>
      <w:r w:rsidR="00B31DEF" w:rsidRPr="005D61AB">
        <w:rPr>
          <w:sz w:val="24"/>
          <w:szCs w:val="24"/>
        </w:rPr>
        <w:t xml:space="preserve"> d</w:t>
      </w:r>
      <w:r w:rsidR="00D80CD7" w:rsidRPr="005D61AB">
        <w:rPr>
          <w:sz w:val="24"/>
          <w:szCs w:val="24"/>
        </w:rPr>
        <w:t xml:space="preserve">rive socioeconomic development </w:t>
      </w:r>
      <w:r w:rsidR="00B31DEF" w:rsidRPr="005D61AB">
        <w:rPr>
          <w:sz w:val="24"/>
          <w:szCs w:val="24"/>
          <w:lang w:eastAsia="en-GB"/>
        </w:rPr>
        <w:t xml:space="preserve">and to </w:t>
      </w:r>
      <w:r w:rsidR="004A292B">
        <w:rPr>
          <w:sz w:val="24"/>
          <w:szCs w:val="24"/>
          <w:lang w:eastAsia="en-GB"/>
        </w:rPr>
        <w:t>achieve</w:t>
      </w:r>
      <w:r w:rsidR="00B31DEF" w:rsidRPr="005D61AB">
        <w:rPr>
          <w:sz w:val="24"/>
          <w:szCs w:val="24"/>
          <w:lang w:eastAsia="en-GB"/>
        </w:rPr>
        <w:t xml:space="preserve"> the Sustainable Development Goals</w:t>
      </w:r>
      <w:r w:rsidR="00D80CD7" w:rsidRPr="005D61AB">
        <w:rPr>
          <w:sz w:val="24"/>
          <w:szCs w:val="24"/>
          <w:lang w:eastAsia="en-GB"/>
        </w:rPr>
        <w:t xml:space="preserve">. </w:t>
      </w:r>
      <w:r w:rsidR="002823D1" w:rsidRPr="005D61AB">
        <w:rPr>
          <w:sz w:val="24"/>
          <w:szCs w:val="24"/>
          <w:lang w:eastAsia="en-GB"/>
        </w:rPr>
        <w:t xml:space="preserve">Understanding </w:t>
      </w:r>
      <w:r w:rsidR="004A292B" w:rsidRPr="005D61AB">
        <w:rPr>
          <w:sz w:val="24"/>
          <w:szCs w:val="24"/>
          <w:lang w:eastAsia="en-GB"/>
        </w:rPr>
        <w:t xml:space="preserve">strengths and weaknesses </w:t>
      </w:r>
      <w:r w:rsidR="004A292B">
        <w:rPr>
          <w:sz w:val="24"/>
          <w:szCs w:val="24"/>
          <w:lang w:eastAsia="en-GB"/>
        </w:rPr>
        <w:t xml:space="preserve">in institutions’ research capacity can guide effective targeting of investments and resources. </w:t>
      </w:r>
      <w:r w:rsidR="005F7123" w:rsidRPr="005D61AB">
        <w:rPr>
          <w:rFonts w:cs="Corbel"/>
          <w:sz w:val="24"/>
          <w:szCs w:val="24"/>
        </w:rPr>
        <w:t xml:space="preserve">This </w:t>
      </w:r>
      <w:r w:rsidR="004A292B">
        <w:rPr>
          <w:rFonts w:cs="Corbel"/>
          <w:sz w:val="24"/>
          <w:szCs w:val="24"/>
        </w:rPr>
        <w:t xml:space="preserve">study </w:t>
      </w:r>
      <w:r w:rsidR="003375D3">
        <w:rPr>
          <w:rFonts w:cs="Corbel"/>
          <w:sz w:val="24"/>
          <w:szCs w:val="24"/>
        </w:rPr>
        <w:t>assessed</w:t>
      </w:r>
      <w:r w:rsidR="004A292B">
        <w:rPr>
          <w:rFonts w:cs="Corbel"/>
          <w:sz w:val="24"/>
          <w:szCs w:val="24"/>
        </w:rPr>
        <w:t xml:space="preserve"> the capacity of institutions undertaking research in </w:t>
      </w:r>
      <w:r w:rsidR="003B1023">
        <w:rPr>
          <w:rFonts w:cs="Corbel"/>
          <w:sz w:val="24"/>
          <w:szCs w:val="24"/>
        </w:rPr>
        <w:t xml:space="preserve">natural </w:t>
      </w:r>
      <w:r w:rsidR="004A292B">
        <w:rPr>
          <w:rFonts w:cs="Corbel"/>
          <w:sz w:val="24"/>
          <w:szCs w:val="24"/>
        </w:rPr>
        <w:t>science to</w:t>
      </w:r>
      <w:r w:rsidR="00357C95">
        <w:rPr>
          <w:rFonts w:cs="Corbel"/>
          <w:sz w:val="24"/>
          <w:szCs w:val="24"/>
        </w:rPr>
        <w:t>pi</w:t>
      </w:r>
      <w:r w:rsidR="004A292B">
        <w:rPr>
          <w:rFonts w:cs="Corbel"/>
          <w:sz w:val="24"/>
          <w:szCs w:val="24"/>
        </w:rPr>
        <w:t xml:space="preserve">cs in Africa to identify </w:t>
      </w:r>
      <w:r w:rsidR="003375D3">
        <w:rPr>
          <w:rFonts w:cs="Corbel"/>
          <w:sz w:val="24"/>
          <w:szCs w:val="24"/>
        </w:rPr>
        <w:t xml:space="preserve">priority </w:t>
      </w:r>
      <w:r w:rsidR="004A292B">
        <w:rPr>
          <w:rFonts w:cs="Corbel"/>
          <w:sz w:val="24"/>
          <w:szCs w:val="24"/>
        </w:rPr>
        <w:t xml:space="preserve">capacity gaps </w:t>
      </w:r>
      <w:r w:rsidR="00F50123">
        <w:rPr>
          <w:rFonts w:cs="Corbel"/>
          <w:sz w:val="24"/>
          <w:szCs w:val="24"/>
        </w:rPr>
        <w:t>for future investment</w:t>
      </w:r>
      <w:r w:rsidR="004A292B">
        <w:rPr>
          <w:rFonts w:cs="Corbel"/>
          <w:sz w:val="24"/>
          <w:szCs w:val="24"/>
        </w:rPr>
        <w:t xml:space="preserve">. </w:t>
      </w:r>
    </w:p>
    <w:p w14:paraId="3843C99E" w14:textId="0A948743" w:rsidR="002823D1" w:rsidRPr="005D61AB" w:rsidRDefault="002823D1" w:rsidP="00843C19">
      <w:pPr>
        <w:autoSpaceDE w:val="0"/>
        <w:autoSpaceDN w:val="0"/>
        <w:adjustRightInd w:val="0"/>
        <w:spacing w:after="0" w:line="480" w:lineRule="auto"/>
        <w:rPr>
          <w:sz w:val="24"/>
          <w:szCs w:val="24"/>
          <w:lang w:eastAsia="en-GB"/>
        </w:rPr>
      </w:pPr>
      <w:r w:rsidRPr="005D61AB">
        <w:rPr>
          <w:b/>
          <w:sz w:val="24"/>
          <w:szCs w:val="24"/>
        </w:rPr>
        <w:t>Methods</w:t>
      </w:r>
      <w:r w:rsidR="00AC7236" w:rsidRPr="005D61AB">
        <w:rPr>
          <w:b/>
          <w:sz w:val="24"/>
          <w:szCs w:val="24"/>
        </w:rPr>
        <w:t>:</w:t>
      </w:r>
      <w:r w:rsidRPr="005D61AB">
        <w:rPr>
          <w:sz w:val="24"/>
          <w:szCs w:val="24"/>
        </w:rPr>
        <w:t xml:space="preserve"> </w:t>
      </w:r>
      <w:r w:rsidR="000B4F7F">
        <w:rPr>
          <w:rFonts w:cs="Calibri"/>
          <w:sz w:val="24"/>
          <w:szCs w:val="24"/>
        </w:rPr>
        <w:t>A</w:t>
      </w:r>
      <w:r w:rsidR="006E0F68" w:rsidRPr="00F50123">
        <w:rPr>
          <w:rFonts w:cs="Calibri"/>
          <w:sz w:val="24"/>
          <w:szCs w:val="24"/>
        </w:rPr>
        <w:t>ssessment</w:t>
      </w:r>
      <w:r w:rsidR="000B4F7F">
        <w:rPr>
          <w:rFonts w:cs="Calibri"/>
          <w:sz w:val="24"/>
          <w:szCs w:val="24"/>
        </w:rPr>
        <w:t>s</w:t>
      </w:r>
      <w:r w:rsidR="006E0F68" w:rsidRPr="00F50123">
        <w:rPr>
          <w:rFonts w:cs="Calibri"/>
          <w:sz w:val="24"/>
          <w:szCs w:val="24"/>
        </w:rPr>
        <w:t xml:space="preserve"> </w:t>
      </w:r>
      <w:r w:rsidR="000B4F7F">
        <w:rPr>
          <w:rFonts w:cs="Calibri"/>
          <w:sz w:val="24"/>
          <w:szCs w:val="24"/>
        </w:rPr>
        <w:t xml:space="preserve">were conducted </w:t>
      </w:r>
      <w:r w:rsidR="006E0F68" w:rsidRPr="00F50123">
        <w:rPr>
          <w:rFonts w:cs="Calibri"/>
          <w:sz w:val="24"/>
          <w:szCs w:val="24"/>
        </w:rPr>
        <w:t xml:space="preserve">in eight </w:t>
      </w:r>
      <w:r w:rsidR="006E0F68" w:rsidRPr="00F50123">
        <w:rPr>
          <w:rFonts w:cs="Corbel"/>
          <w:sz w:val="24"/>
          <w:szCs w:val="24"/>
        </w:rPr>
        <w:t>African institutions</w:t>
      </w:r>
      <w:r w:rsidR="00611E23">
        <w:rPr>
          <w:rFonts w:cs="Corbel"/>
          <w:sz w:val="24"/>
          <w:szCs w:val="24"/>
        </w:rPr>
        <w:t xml:space="preserve"> that were partners </w:t>
      </w:r>
      <w:r w:rsidR="003375D3">
        <w:rPr>
          <w:rFonts w:cs="Corbel"/>
          <w:sz w:val="24"/>
          <w:szCs w:val="24"/>
        </w:rPr>
        <w:t xml:space="preserve">in </w:t>
      </w:r>
      <w:r w:rsidR="00611E23">
        <w:rPr>
          <w:rFonts w:cs="Corbel"/>
          <w:sz w:val="24"/>
          <w:szCs w:val="24"/>
        </w:rPr>
        <w:t xml:space="preserve">a UK-Africa programme to strengthen </w:t>
      </w:r>
      <w:r w:rsidR="003375D3">
        <w:rPr>
          <w:rFonts w:cs="Corbel"/>
          <w:sz w:val="24"/>
          <w:szCs w:val="24"/>
        </w:rPr>
        <w:t xml:space="preserve">research </w:t>
      </w:r>
      <w:r w:rsidR="00611E23">
        <w:rPr>
          <w:rFonts w:cs="Corbel"/>
          <w:sz w:val="24"/>
          <w:szCs w:val="24"/>
        </w:rPr>
        <w:t xml:space="preserve">capacity </w:t>
      </w:r>
      <w:r w:rsidR="00611E23">
        <w:rPr>
          <w:rFonts w:cs="Calibri"/>
          <w:sz w:val="24"/>
          <w:szCs w:val="24"/>
        </w:rPr>
        <w:t>in</w:t>
      </w:r>
      <w:r w:rsidR="00611E23" w:rsidRPr="00F50123">
        <w:rPr>
          <w:rFonts w:cs="Corbel"/>
          <w:sz w:val="24"/>
          <w:szCs w:val="24"/>
        </w:rPr>
        <w:t xml:space="preserve"> </w:t>
      </w:r>
      <w:r w:rsidR="00611E23">
        <w:rPr>
          <w:rFonts w:cs="Calibri"/>
          <w:sz w:val="24"/>
          <w:szCs w:val="24"/>
        </w:rPr>
        <w:t>renewable energy, soil-related science, and water and sanitation. A</w:t>
      </w:r>
      <w:r w:rsidR="006D1C7D">
        <w:rPr>
          <w:rFonts w:cs="Calibri"/>
          <w:sz w:val="24"/>
          <w:szCs w:val="24"/>
        </w:rPr>
        <w:t xml:space="preserve">ssessments </w:t>
      </w:r>
      <w:r w:rsidR="003375D3">
        <w:rPr>
          <w:rFonts w:cs="Calibri"/>
          <w:sz w:val="24"/>
          <w:szCs w:val="24"/>
        </w:rPr>
        <w:t xml:space="preserve">involved </w:t>
      </w:r>
      <w:r w:rsidR="00035B64">
        <w:rPr>
          <w:rFonts w:cs="Calibri"/>
          <w:sz w:val="24"/>
          <w:szCs w:val="24"/>
        </w:rPr>
        <w:t xml:space="preserve">eighty-six </w:t>
      </w:r>
      <w:r w:rsidR="003375D3" w:rsidRPr="005D61AB">
        <w:rPr>
          <w:rFonts w:cs="Calibri"/>
          <w:sz w:val="24"/>
          <w:szCs w:val="24"/>
        </w:rPr>
        <w:t xml:space="preserve">interviews and three focus group discussions </w:t>
      </w:r>
      <w:r w:rsidR="003375D3">
        <w:rPr>
          <w:rFonts w:cs="Calibri"/>
          <w:sz w:val="24"/>
          <w:szCs w:val="24"/>
        </w:rPr>
        <w:t xml:space="preserve">to identify institutions’ research capacity </w:t>
      </w:r>
      <w:r w:rsidR="003375D3" w:rsidRPr="00F50123">
        <w:rPr>
          <w:rFonts w:cs="Calibri"/>
          <w:sz w:val="24"/>
          <w:szCs w:val="24"/>
        </w:rPr>
        <w:t>strengths</w:t>
      </w:r>
      <w:r w:rsidR="003375D3">
        <w:rPr>
          <w:rFonts w:cs="Calibri"/>
          <w:sz w:val="24"/>
          <w:szCs w:val="24"/>
        </w:rPr>
        <w:t xml:space="preserve"> and</w:t>
      </w:r>
      <w:r w:rsidR="003375D3" w:rsidRPr="005D61AB">
        <w:rPr>
          <w:rFonts w:cs="Calibri"/>
          <w:sz w:val="24"/>
          <w:szCs w:val="24"/>
        </w:rPr>
        <w:t xml:space="preserve"> gaps</w:t>
      </w:r>
      <w:r w:rsidR="003375D3">
        <w:rPr>
          <w:rFonts w:cs="Calibri"/>
          <w:sz w:val="24"/>
          <w:szCs w:val="24"/>
        </w:rPr>
        <w:t xml:space="preserve"> against an </w:t>
      </w:r>
      <w:r w:rsidR="000B4F7F">
        <w:rPr>
          <w:rFonts w:cs="Calibri"/>
          <w:sz w:val="24"/>
          <w:szCs w:val="24"/>
        </w:rPr>
        <w:t>evidence-informed benchmark</w:t>
      </w:r>
      <w:r w:rsidR="003375D3">
        <w:rPr>
          <w:rFonts w:cs="Calibri"/>
          <w:sz w:val="24"/>
          <w:szCs w:val="24"/>
        </w:rPr>
        <w:t>. Use of t</w:t>
      </w:r>
      <w:r w:rsidR="000B4F7F">
        <w:rPr>
          <w:sz w:val="24"/>
          <w:szCs w:val="24"/>
        </w:rPr>
        <w:t xml:space="preserve">he same interview guides and data collection processes </w:t>
      </w:r>
      <w:r w:rsidR="003375D3">
        <w:rPr>
          <w:sz w:val="24"/>
          <w:szCs w:val="24"/>
        </w:rPr>
        <w:t xml:space="preserve">across all institutions meant that </w:t>
      </w:r>
      <w:r w:rsidR="000B4F7F">
        <w:rPr>
          <w:sz w:val="24"/>
          <w:szCs w:val="24"/>
        </w:rPr>
        <w:t xml:space="preserve">findings could be compared. </w:t>
      </w:r>
    </w:p>
    <w:p w14:paraId="1B9A912F" w14:textId="3D7E713B" w:rsidR="004A292B" w:rsidRDefault="002D43C3" w:rsidP="00843C19">
      <w:pPr>
        <w:spacing w:line="480" w:lineRule="auto"/>
        <w:rPr>
          <w:sz w:val="24"/>
          <w:szCs w:val="24"/>
        </w:rPr>
      </w:pPr>
      <w:r w:rsidRPr="005D61AB">
        <w:rPr>
          <w:b/>
          <w:sz w:val="24"/>
          <w:szCs w:val="24"/>
        </w:rPr>
        <w:t>Results</w:t>
      </w:r>
      <w:r w:rsidR="00AC7236" w:rsidRPr="005D61AB">
        <w:rPr>
          <w:b/>
          <w:sz w:val="24"/>
          <w:szCs w:val="24"/>
        </w:rPr>
        <w:t>:</w:t>
      </w:r>
      <w:r w:rsidR="005F7123" w:rsidRPr="005D61AB">
        <w:rPr>
          <w:rFonts w:ascii="Calibri" w:hAnsi="Calibri" w:cs="Calibri"/>
          <w:color w:val="000000"/>
          <w:sz w:val="24"/>
          <w:szCs w:val="24"/>
        </w:rPr>
        <w:t xml:space="preserve"> </w:t>
      </w:r>
      <w:r w:rsidR="003375D3">
        <w:rPr>
          <w:sz w:val="24"/>
          <w:szCs w:val="24"/>
        </w:rPr>
        <w:t xml:space="preserve">Common </w:t>
      </w:r>
      <w:r w:rsidR="006D1C7D">
        <w:rPr>
          <w:sz w:val="24"/>
          <w:szCs w:val="24"/>
        </w:rPr>
        <w:t xml:space="preserve">research capacity </w:t>
      </w:r>
      <w:r w:rsidR="003375D3">
        <w:rPr>
          <w:sz w:val="24"/>
          <w:szCs w:val="24"/>
        </w:rPr>
        <w:t xml:space="preserve">gaps </w:t>
      </w:r>
      <w:r w:rsidR="006D1C7D">
        <w:rPr>
          <w:sz w:val="24"/>
          <w:szCs w:val="24"/>
        </w:rPr>
        <w:t xml:space="preserve">were: lack of, or poorly maintained, equipment; </w:t>
      </w:r>
      <w:r w:rsidR="004256AE">
        <w:rPr>
          <w:sz w:val="24"/>
          <w:szCs w:val="24"/>
        </w:rPr>
        <w:t xml:space="preserve">unreliable, slow procurement systems; </w:t>
      </w:r>
      <w:r w:rsidR="006D1C7D">
        <w:rPr>
          <w:sz w:val="24"/>
          <w:szCs w:val="24"/>
        </w:rPr>
        <w:t>insufficient opportunities for develo</w:t>
      </w:r>
      <w:r w:rsidR="00A17045">
        <w:rPr>
          <w:sz w:val="24"/>
          <w:szCs w:val="24"/>
        </w:rPr>
        <w:t>p</w:t>
      </w:r>
      <w:r w:rsidR="00A3054D">
        <w:rPr>
          <w:sz w:val="24"/>
          <w:szCs w:val="24"/>
        </w:rPr>
        <w:t xml:space="preserve">ing </w:t>
      </w:r>
      <w:r w:rsidR="006D1C7D">
        <w:rPr>
          <w:sz w:val="24"/>
          <w:szCs w:val="24"/>
        </w:rPr>
        <w:t xml:space="preserve">the skills of research support staff such as administrators and technicians; dysfunctional institutional email communication systems; </w:t>
      </w:r>
      <w:r w:rsidR="0087572F">
        <w:rPr>
          <w:sz w:val="24"/>
          <w:szCs w:val="24"/>
        </w:rPr>
        <w:t xml:space="preserve">insufficient focus on the development of ‘soft’ researcher skills such as ethics, academic writing and, in non-Anglophone countries, English language.  </w:t>
      </w:r>
      <w:r w:rsidR="000852A2">
        <w:rPr>
          <w:rFonts w:ascii="Calibri" w:hAnsi="Calibri" w:cs="Calibri"/>
          <w:color w:val="000000"/>
          <w:sz w:val="24"/>
          <w:szCs w:val="24"/>
        </w:rPr>
        <w:t>P</w:t>
      </w:r>
      <w:r w:rsidR="000852A2" w:rsidRPr="005D61AB">
        <w:rPr>
          <w:sz w:val="24"/>
          <w:szCs w:val="24"/>
        </w:rPr>
        <w:t xml:space="preserve">rogramme </w:t>
      </w:r>
      <w:r w:rsidR="000852A2">
        <w:rPr>
          <w:sz w:val="24"/>
          <w:szCs w:val="24"/>
        </w:rPr>
        <w:t xml:space="preserve">strengths were the </w:t>
      </w:r>
      <w:r w:rsidR="000852A2" w:rsidRPr="005D61AB">
        <w:rPr>
          <w:sz w:val="24"/>
          <w:szCs w:val="24"/>
        </w:rPr>
        <w:t xml:space="preserve">South-South </w:t>
      </w:r>
      <w:r w:rsidR="000852A2">
        <w:rPr>
          <w:sz w:val="24"/>
          <w:szCs w:val="24"/>
        </w:rPr>
        <w:t>and South-</w:t>
      </w:r>
      <w:r w:rsidR="000852A2" w:rsidRPr="005D61AB">
        <w:rPr>
          <w:sz w:val="24"/>
          <w:szCs w:val="24"/>
        </w:rPr>
        <w:t xml:space="preserve">North partnerships </w:t>
      </w:r>
      <w:r w:rsidR="000852A2">
        <w:rPr>
          <w:sz w:val="24"/>
          <w:szCs w:val="24"/>
        </w:rPr>
        <w:t>for sharing and cascading expertise and resources, joint writing of proposals and publications, and improved individual and institutional visibility.</w:t>
      </w:r>
      <w:r w:rsidR="002823D1" w:rsidRPr="005D61AB">
        <w:rPr>
          <w:sz w:val="24"/>
          <w:szCs w:val="24"/>
        </w:rPr>
        <w:br/>
      </w:r>
      <w:r w:rsidR="000C7F48">
        <w:rPr>
          <w:b/>
          <w:sz w:val="24"/>
          <w:szCs w:val="24"/>
        </w:rPr>
        <w:t>Conclusion</w:t>
      </w:r>
      <w:r w:rsidR="00AC7236" w:rsidRPr="005D61AB">
        <w:rPr>
          <w:sz w:val="24"/>
          <w:szCs w:val="24"/>
        </w:rPr>
        <w:t>:</w:t>
      </w:r>
      <w:r w:rsidR="00DA0003" w:rsidRPr="005D61AB">
        <w:rPr>
          <w:sz w:val="24"/>
          <w:szCs w:val="24"/>
        </w:rPr>
        <w:t xml:space="preserve"> </w:t>
      </w:r>
      <w:r w:rsidR="003375D3">
        <w:rPr>
          <w:sz w:val="24"/>
          <w:szCs w:val="24"/>
        </w:rPr>
        <w:t xml:space="preserve">There were many similarities in </w:t>
      </w:r>
      <w:r w:rsidR="005C2E97" w:rsidRPr="005D61AB">
        <w:rPr>
          <w:sz w:val="24"/>
          <w:szCs w:val="24"/>
        </w:rPr>
        <w:t xml:space="preserve">research capacity gaps </w:t>
      </w:r>
      <w:r w:rsidR="0087572F">
        <w:rPr>
          <w:sz w:val="24"/>
          <w:szCs w:val="24"/>
        </w:rPr>
        <w:t>irrespective of the</w:t>
      </w:r>
      <w:r w:rsidR="003375D3">
        <w:rPr>
          <w:sz w:val="24"/>
          <w:szCs w:val="24"/>
        </w:rPr>
        <w:t xml:space="preserve"> institutions’ </w:t>
      </w:r>
      <w:r w:rsidR="003B1023">
        <w:rPr>
          <w:sz w:val="24"/>
          <w:szCs w:val="24"/>
        </w:rPr>
        <w:t xml:space="preserve">natural </w:t>
      </w:r>
      <w:r w:rsidR="00AF0A6D">
        <w:rPr>
          <w:sz w:val="24"/>
          <w:szCs w:val="24"/>
        </w:rPr>
        <w:t>science</w:t>
      </w:r>
      <w:r w:rsidR="003B1023">
        <w:rPr>
          <w:sz w:val="24"/>
          <w:szCs w:val="24"/>
        </w:rPr>
        <w:t>s</w:t>
      </w:r>
      <w:r w:rsidR="00AF0A6D">
        <w:rPr>
          <w:sz w:val="24"/>
          <w:szCs w:val="24"/>
        </w:rPr>
        <w:t xml:space="preserve"> </w:t>
      </w:r>
      <w:r w:rsidR="0087572F">
        <w:rPr>
          <w:sz w:val="24"/>
          <w:szCs w:val="24"/>
        </w:rPr>
        <w:t xml:space="preserve">research </w:t>
      </w:r>
      <w:r w:rsidR="00785A0E">
        <w:rPr>
          <w:sz w:val="24"/>
          <w:szCs w:val="24"/>
        </w:rPr>
        <w:t>focus</w:t>
      </w:r>
      <w:r w:rsidR="004256AE">
        <w:rPr>
          <w:sz w:val="24"/>
          <w:szCs w:val="24"/>
        </w:rPr>
        <w:t xml:space="preserve">, and </w:t>
      </w:r>
      <w:r w:rsidR="00AF0A6D">
        <w:rPr>
          <w:sz w:val="24"/>
          <w:szCs w:val="24"/>
        </w:rPr>
        <w:t xml:space="preserve">these </w:t>
      </w:r>
      <w:r w:rsidR="004256AE">
        <w:rPr>
          <w:sz w:val="24"/>
          <w:szCs w:val="24"/>
        </w:rPr>
        <w:t xml:space="preserve">were </w:t>
      </w:r>
      <w:proofErr w:type="gramStart"/>
      <w:r w:rsidR="004256AE">
        <w:rPr>
          <w:sz w:val="24"/>
          <w:szCs w:val="24"/>
        </w:rPr>
        <w:t xml:space="preserve">similar </w:t>
      </w:r>
      <w:r w:rsidR="00AF0A6D">
        <w:rPr>
          <w:sz w:val="24"/>
          <w:szCs w:val="24"/>
        </w:rPr>
        <w:t>to</w:t>
      </w:r>
      <w:proofErr w:type="gramEnd"/>
      <w:r w:rsidR="00AF0A6D">
        <w:rPr>
          <w:sz w:val="24"/>
          <w:szCs w:val="24"/>
        </w:rPr>
        <w:t xml:space="preserve"> those reported</w:t>
      </w:r>
      <w:r w:rsidR="004256AE">
        <w:rPr>
          <w:sz w:val="24"/>
          <w:szCs w:val="24"/>
        </w:rPr>
        <w:t xml:space="preserve"> in the </w:t>
      </w:r>
      <w:r w:rsidR="004256AE">
        <w:rPr>
          <w:sz w:val="24"/>
          <w:szCs w:val="24"/>
        </w:rPr>
        <w:lastRenderedPageBreak/>
        <w:t>health sector</w:t>
      </w:r>
      <w:r w:rsidR="0087572F">
        <w:rPr>
          <w:sz w:val="24"/>
          <w:szCs w:val="24"/>
        </w:rPr>
        <w:t xml:space="preserve">. </w:t>
      </w:r>
      <w:r w:rsidR="004256AE">
        <w:rPr>
          <w:sz w:val="24"/>
          <w:szCs w:val="24"/>
        </w:rPr>
        <w:t>Common</w:t>
      </w:r>
      <w:r w:rsidR="0087572F">
        <w:rPr>
          <w:sz w:val="24"/>
          <w:szCs w:val="24"/>
        </w:rPr>
        <w:t xml:space="preserve"> capacity </w:t>
      </w:r>
      <w:r w:rsidR="004256AE">
        <w:rPr>
          <w:sz w:val="24"/>
          <w:szCs w:val="24"/>
        </w:rPr>
        <w:t>needs</w:t>
      </w:r>
      <w:r w:rsidR="00AF0A6D">
        <w:rPr>
          <w:sz w:val="24"/>
          <w:szCs w:val="24"/>
        </w:rPr>
        <w:t xml:space="preserve"> are </w:t>
      </w:r>
      <w:r w:rsidR="0087572F">
        <w:rPr>
          <w:sz w:val="24"/>
          <w:szCs w:val="24"/>
        </w:rPr>
        <w:t xml:space="preserve">improving the </w:t>
      </w:r>
      <w:r w:rsidR="00AF0A6D">
        <w:rPr>
          <w:sz w:val="24"/>
          <w:szCs w:val="24"/>
        </w:rPr>
        <w:t xml:space="preserve">skills </w:t>
      </w:r>
      <w:r w:rsidR="0087572F">
        <w:rPr>
          <w:sz w:val="24"/>
          <w:szCs w:val="24"/>
        </w:rPr>
        <w:t xml:space="preserve">of </w:t>
      </w:r>
      <w:r w:rsidR="00AF0A6D">
        <w:rPr>
          <w:sz w:val="24"/>
          <w:szCs w:val="24"/>
        </w:rPr>
        <w:t>technicians and a</w:t>
      </w:r>
      <w:r w:rsidR="0087572F">
        <w:rPr>
          <w:sz w:val="24"/>
          <w:szCs w:val="24"/>
        </w:rPr>
        <w:t>dministrators to support research activities, soft skills training for researchers, and more effective pan-institutional e-communication systems</w:t>
      </w:r>
      <w:r w:rsidR="00AF0A6D">
        <w:rPr>
          <w:sz w:val="24"/>
          <w:szCs w:val="24"/>
        </w:rPr>
        <w:t>. These</w:t>
      </w:r>
      <w:r w:rsidR="0087572F">
        <w:rPr>
          <w:sz w:val="24"/>
          <w:szCs w:val="24"/>
        </w:rPr>
        <w:t xml:space="preserve"> could be </w:t>
      </w:r>
      <w:r w:rsidR="00AF0A6D">
        <w:rPr>
          <w:sz w:val="24"/>
          <w:szCs w:val="24"/>
        </w:rPr>
        <w:t>strategic</w:t>
      </w:r>
      <w:r w:rsidR="0087572F">
        <w:rPr>
          <w:sz w:val="24"/>
          <w:szCs w:val="24"/>
        </w:rPr>
        <w:t xml:space="preserve"> investment</w:t>
      </w:r>
      <w:r w:rsidR="00785A0E">
        <w:rPr>
          <w:sz w:val="24"/>
          <w:szCs w:val="24"/>
        </w:rPr>
        <w:t xml:space="preserve"> t</w:t>
      </w:r>
      <w:r w:rsidR="005C2E97" w:rsidRPr="005D61AB">
        <w:rPr>
          <w:sz w:val="24"/>
          <w:szCs w:val="24"/>
        </w:rPr>
        <w:t xml:space="preserve">argets </w:t>
      </w:r>
      <w:r w:rsidR="00AF0A6D">
        <w:rPr>
          <w:sz w:val="24"/>
          <w:szCs w:val="24"/>
        </w:rPr>
        <w:t>for</w:t>
      </w:r>
      <w:r w:rsidR="005C2E97" w:rsidRPr="005D61AB">
        <w:rPr>
          <w:sz w:val="24"/>
          <w:szCs w:val="24"/>
        </w:rPr>
        <w:t xml:space="preserve"> </w:t>
      </w:r>
      <w:r w:rsidR="00AF0A6D">
        <w:rPr>
          <w:sz w:val="24"/>
          <w:szCs w:val="24"/>
        </w:rPr>
        <w:t>the</w:t>
      </w:r>
      <w:r w:rsidR="004256AE">
        <w:rPr>
          <w:sz w:val="24"/>
          <w:szCs w:val="24"/>
        </w:rPr>
        <w:t xml:space="preserve"> </w:t>
      </w:r>
      <w:r w:rsidR="005C2E97" w:rsidRPr="005D61AB">
        <w:rPr>
          <w:sz w:val="24"/>
          <w:szCs w:val="24"/>
        </w:rPr>
        <w:t xml:space="preserve">joint efforts of national governments and international organisations that </w:t>
      </w:r>
      <w:r w:rsidR="00785A0E">
        <w:rPr>
          <w:sz w:val="24"/>
          <w:szCs w:val="24"/>
        </w:rPr>
        <w:t>fund</w:t>
      </w:r>
      <w:r w:rsidR="005C2E97" w:rsidRPr="005D61AB">
        <w:rPr>
          <w:sz w:val="24"/>
          <w:szCs w:val="24"/>
        </w:rPr>
        <w:t xml:space="preserve"> </w:t>
      </w:r>
      <w:r w:rsidR="00785A0E">
        <w:rPr>
          <w:sz w:val="24"/>
          <w:szCs w:val="24"/>
        </w:rPr>
        <w:t xml:space="preserve">programmes for </w:t>
      </w:r>
      <w:r w:rsidR="005C2E97" w:rsidRPr="005D61AB">
        <w:rPr>
          <w:sz w:val="24"/>
          <w:szCs w:val="24"/>
        </w:rPr>
        <w:t xml:space="preserve">strengthening research capacity in </w:t>
      </w:r>
      <w:r w:rsidR="00785A0E">
        <w:rPr>
          <w:sz w:val="24"/>
          <w:szCs w:val="24"/>
        </w:rPr>
        <w:t>low- and middle-income countries</w:t>
      </w:r>
      <w:r w:rsidR="002823D1" w:rsidRPr="005D61AB">
        <w:rPr>
          <w:sz w:val="24"/>
          <w:szCs w:val="24"/>
        </w:rPr>
        <w:t>.</w:t>
      </w:r>
    </w:p>
    <w:p w14:paraId="13C0894D" w14:textId="7BF6B038" w:rsidR="000D4B04" w:rsidRPr="00BA739C" w:rsidRDefault="009260FE" w:rsidP="00843C19">
      <w:pPr>
        <w:spacing w:line="480" w:lineRule="auto"/>
        <w:rPr>
          <w:sz w:val="24"/>
          <w:szCs w:val="24"/>
        </w:rPr>
      </w:pPr>
      <w:r w:rsidRPr="002823D1">
        <w:rPr>
          <w:b/>
          <w:sz w:val="24"/>
          <w:szCs w:val="24"/>
        </w:rPr>
        <w:t xml:space="preserve">Key words: </w:t>
      </w:r>
      <w:r w:rsidR="00740625" w:rsidRPr="002823D1">
        <w:rPr>
          <w:sz w:val="24"/>
          <w:szCs w:val="24"/>
        </w:rPr>
        <w:t>Research capacity strengthening,</w:t>
      </w:r>
      <w:r w:rsidR="005E49C7" w:rsidRPr="002823D1">
        <w:rPr>
          <w:sz w:val="24"/>
          <w:szCs w:val="24"/>
        </w:rPr>
        <w:t xml:space="preserve"> </w:t>
      </w:r>
      <w:r w:rsidR="006E0F68">
        <w:rPr>
          <w:sz w:val="24"/>
          <w:szCs w:val="24"/>
        </w:rPr>
        <w:t>qualitative</w:t>
      </w:r>
      <w:r w:rsidR="006E0F68" w:rsidRPr="002823D1">
        <w:rPr>
          <w:sz w:val="24"/>
          <w:szCs w:val="24"/>
        </w:rPr>
        <w:t xml:space="preserve"> </w:t>
      </w:r>
      <w:r w:rsidR="005E49C7" w:rsidRPr="002823D1">
        <w:rPr>
          <w:sz w:val="24"/>
          <w:szCs w:val="24"/>
        </w:rPr>
        <w:t xml:space="preserve">assessment, </w:t>
      </w:r>
      <w:r w:rsidR="00DE6D37" w:rsidRPr="002823D1">
        <w:rPr>
          <w:sz w:val="24"/>
          <w:szCs w:val="24"/>
        </w:rPr>
        <w:t>l</w:t>
      </w:r>
      <w:r w:rsidR="00740625" w:rsidRPr="002823D1">
        <w:rPr>
          <w:sz w:val="24"/>
          <w:szCs w:val="24"/>
        </w:rPr>
        <w:t xml:space="preserve">ow and </w:t>
      </w:r>
      <w:r w:rsidR="003E06C4" w:rsidRPr="002823D1">
        <w:rPr>
          <w:sz w:val="24"/>
          <w:szCs w:val="24"/>
        </w:rPr>
        <w:t>middle-income</w:t>
      </w:r>
      <w:r w:rsidR="00687AA3" w:rsidRPr="002823D1">
        <w:rPr>
          <w:sz w:val="24"/>
          <w:szCs w:val="24"/>
        </w:rPr>
        <w:t xml:space="preserve"> countries</w:t>
      </w:r>
      <w:r w:rsidR="00DE6D37" w:rsidRPr="002823D1">
        <w:rPr>
          <w:sz w:val="24"/>
          <w:szCs w:val="24"/>
        </w:rPr>
        <w:t xml:space="preserve">, </w:t>
      </w:r>
      <w:r w:rsidR="004E57FB">
        <w:rPr>
          <w:sz w:val="24"/>
          <w:szCs w:val="24"/>
        </w:rPr>
        <w:t>institutions</w:t>
      </w:r>
      <w:r w:rsidR="00DE6D37" w:rsidRPr="002823D1">
        <w:rPr>
          <w:sz w:val="24"/>
          <w:szCs w:val="24"/>
        </w:rPr>
        <w:t>,</w:t>
      </w:r>
      <w:r w:rsidR="003B1023">
        <w:rPr>
          <w:sz w:val="24"/>
          <w:szCs w:val="24"/>
        </w:rPr>
        <w:t xml:space="preserve"> natural</w:t>
      </w:r>
      <w:r w:rsidR="00DE6D37" w:rsidRPr="002823D1">
        <w:rPr>
          <w:sz w:val="24"/>
          <w:szCs w:val="24"/>
        </w:rPr>
        <w:t xml:space="preserve"> s</w:t>
      </w:r>
      <w:r w:rsidR="00740625" w:rsidRPr="002823D1">
        <w:rPr>
          <w:sz w:val="24"/>
          <w:szCs w:val="24"/>
        </w:rPr>
        <w:t>cience</w:t>
      </w:r>
      <w:r w:rsidR="003B1023">
        <w:rPr>
          <w:sz w:val="24"/>
          <w:szCs w:val="24"/>
        </w:rPr>
        <w:t>s</w:t>
      </w:r>
      <w:r w:rsidR="00740625" w:rsidRPr="002823D1">
        <w:rPr>
          <w:sz w:val="24"/>
          <w:szCs w:val="24"/>
        </w:rPr>
        <w:t xml:space="preserve"> research</w:t>
      </w:r>
      <w:r w:rsidR="00336056">
        <w:rPr>
          <w:sz w:val="24"/>
          <w:szCs w:val="24"/>
        </w:rPr>
        <w:t>, Africa</w:t>
      </w:r>
      <w:bookmarkStart w:id="3" w:name="_Hlk517874094"/>
      <w:r w:rsidR="00BA739C">
        <w:rPr>
          <w:sz w:val="24"/>
          <w:szCs w:val="24"/>
        </w:rPr>
        <w:t>.</w:t>
      </w:r>
      <w:r w:rsidR="000D4B04">
        <w:rPr>
          <w:b/>
          <w:sz w:val="36"/>
          <w:szCs w:val="36"/>
        </w:rPr>
        <w:br w:type="page"/>
      </w:r>
    </w:p>
    <w:p w14:paraId="5C5FFE8D" w14:textId="77777777" w:rsidR="00F30A69" w:rsidRPr="00F874F9" w:rsidRDefault="00F30A69" w:rsidP="00843C19">
      <w:pPr>
        <w:pStyle w:val="Heading1"/>
        <w:spacing w:before="0" w:line="480" w:lineRule="auto"/>
        <w:rPr>
          <w:rFonts w:asciiTheme="minorHAnsi" w:hAnsiTheme="minorHAnsi"/>
          <w:b/>
          <w:color w:val="auto"/>
          <w:sz w:val="36"/>
          <w:szCs w:val="36"/>
        </w:rPr>
      </w:pPr>
      <w:r w:rsidRPr="00F874F9">
        <w:rPr>
          <w:rFonts w:asciiTheme="minorHAnsi" w:hAnsiTheme="minorHAnsi"/>
          <w:b/>
          <w:color w:val="auto"/>
          <w:sz w:val="36"/>
          <w:szCs w:val="36"/>
        </w:rPr>
        <w:lastRenderedPageBreak/>
        <w:t>Background</w:t>
      </w:r>
    </w:p>
    <w:p w14:paraId="03873DC8" w14:textId="4069A5FD" w:rsidR="00AA169A" w:rsidRDefault="00FF24B7" w:rsidP="00547A2C">
      <w:pPr>
        <w:pStyle w:val="Default"/>
        <w:spacing w:line="480" w:lineRule="auto"/>
        <w:rPr>
          <w:rFonts w:asciiTheme="minorHAnsi" w:hAnsiTheme="minorHAnsi"/>
          <w:color w:val="auto"/>
          <w:sz w:val="22"/>
          <w:szCs w:val="22"/>
        </w:rPr>
      </w:pPr>
      <w:bookmarkStart w:id="4" w:name="_Hlk530143686"/>
      <w:bookmarkEnd w:id="3"/>
      <w:r w:rsidRPr="00F874F9">
        <w:rPr>
          <w:rFonts w:asciiTheme="minorHAnsi" w:hAnsiTheme="minorHAnsi"/>
          <w:color w:val="auto"/>
          <w:sz w:val="22"/>
          <w:szCs w:val="22"/>
        </w:rPr>
        <w:t xml:space="preserve">Strengthening research capacity in poorer countries is a goal of many international research funders </w:t>
      </w:r>
      <w:r w:rsidR="006E0F68">
        <w:rPr>
          <w:rFonts w:asciiTheme="minorHAnsi" w:hAnsiTheme="minorHAnsi"/>
          <w:color w:val="auto"/>
          <w:sz w:val="22"/>
          <w:szCs w:val="22"/>
        </w:rPr>
        <w:t xml:space="preserve">and development </w:t>
      </w:r>
      <w:r w:rsidR="00F86CD0">
        <w:rPr>
          <w:rFonts w:asciiTheme="minorHAnsi" w:hAnsiTheme="minorHAnsi"/>
          <w:color w:val="auto"/>
          <w:sz w:val="22"/>
          <w:szCs w:val="22"/>
        </w:rPr>
        <w:t>agencies</w:t>
      </w:r>
      <w:r w:rsidR="006E0F68">
        <w:rPr>
          <w:rFonts w:asciiTheme="minorHAnsi" w:hAnsiTheme="minorHAnsi"/>
          <w:color w:val="auto"/>
          <w:sz w:val="22"/>
          <w:szCs w:val="22"/>
        </w:rPr>
        <w:t xml:space="preserve"> </w:t>
      </w:r>
      <w:r w:rsidRPr="00F874F9">
        <w:rPr>
          <w:rFonts w:asciiTheme="minorHAnsi" w:hAnsiTheme="minorHAnsi"/>
          <w:color w:val="auto"/>
          <w:sz w:val="22"/>
          <w:szCs w:val="22"/>
        </w:rPr>
        <w:t xml:space="preserve">based on the notion that investment in research </w:t>
      </w:r>
      <w:r w:rsidR="00672AEC" w:rsidRPr="00F874F9">
        <w:rPr>
          <w:rFonts w:asciiTheme="minorHAnsi" w:hAnsiTheme="minorHAnsi"/>
          <w:color w:val="auto"/>
          <w:sz w:val="22"/>
          <w:szCs w:val="22"/>
        </w:rPr>
        <w:t xml:space="preserve">can solve problems, overcome challenges and </w:t>
      </w:r>
      <w:r w:rsidR="00672AEC" w:rsidRPr="0078576D">
        <w:rPr>
          <w:rFonts w:asciiTheme="minorHAnsi" w:hAnsiTheme="minorHAnsi"/>
          <w:color w:val="auto"/>
          <w:sz w:val="22"/>
          <w:szCs w:val="22"/>
        </w:rPr>
        <w:t xml:space="preserve">thereby </w:t>
      </w:r>
      <w:r w:rsidRPr="0078576D">
        <w:rPr>
          <w:rFonts w:asciiTheme="minorHAnsi" w:hAnsiTheme="minorHAnsi"/>
          <w:color w:val="auto"/>
          <w:sz w:val="22"/>
          <w:szCs w:val="22"/>
        </w:rPr>
        <w:t>drive socioeconomic development</w:t>
      </w:r>
      <w:r w:rsidR="006E0F68" w:rsidRPr="0078576D">
        <w:rPr>
          <w:rFonts w:asciiTheme="minorHAnsi" w:hAnsiTheme="minorHAnsi"/>
          <w:color w:val="auto"/>
          <w:sz w:val="22"/>
          <w:szCs w:val="22"/>
        </w:rPr>
        <w:t xml:space="preserve"> </w:t>
      </w:r>
      <w:r w:rsidR="008931BD" w:rsidRPr="0078576D">
        <w:rPr>
          <w:rFonts w:asciiTheme="minorHAnsi" w:hAnsiTheme="minorHAnsi"/>
          <w:color w:val="auto"/>
          <w:sz w:val="22"/>
          <w:szCs w:val="22"/>
        </w:rPr>
        <w:t>[</w:t>
      </w:r>
      <w:r w:rsidR="00973DC7" w:rsidRPr="0078576D">
        <w:rPr>
          <w:rFonts w:asciiTheme="minorHAnsi" w:hAnsiTheme="minorHAnsi"/>
          <w:color w:val="auto"/>
          <w:sz w:val="22"/>
          <w:szCs w:val="22"/>
        </w:rPr>
        <w:t>1</w:t>
      </w:r>
      <w:r w:rsidR="006E0F68" w:rsidRPr="0078576D">
        <w:rPr>
          <w:rFonts w:asciiTheme="minorHAnsi" w:hAnsiTheme="minorHAnsi"/>
          <w:color w:val="auto"/>
          <w:sz w:val="22"/>
          <w:szCs w:val="22"/>
        </w:rPr>
        <w:t>]</w:t>
      </w:r>
      <w:r w:rsidRPr="0078576D">
        <w:rPr>
          <w:rFonts w:asciiTheme="minorHAnsi" w:hAnsiTheme="minorHAnsi"/>
          <w:color w:val="auto"/>
          <w:sz w:val="22"/>
          <w:szCs w:val="22"/>
        </w:rPr>
        <w:t xml:space="preserve">. </w:t>
      </w:r>
      <w:r w:rsidR="00F239F1">
        <w:rPr>
          <w:rFonts w:asciiTheme="minorHAnsi" w:hAnsiTheme="minorHAnsi"/>
          <w:color w:val="auto"/>
          <w:sz w:val="22"/>
          <w:szCs w:val="22"/>
        </w:rPr>
        <w:t xml:space="preserve">For </w:t>
      </w:r>
      <w:r w:rsidR="00284999">
        <w:rPr>
          <w:rFonts w:asciiTheme="minorHAnsi" w:hAnsiTheme="minorHAnsi"/>
          <w:color w:val="auto"/>
          <w:sz w:val="22"/>
          <w:szCs w:val="22"/>
        </w:rPr>
        <w:t>example, one of these problems could be lack of access to sustainable energy.  One of the sustainable development goals (SDGs) is “to ensure</w:t>
      </w:r>
      <w:r w:rsidR="00284999" w:rsidRPr="00284999">
        <w:t xml:space="preserve"> </w:t>
      </w:r>
      <w:r w:rsidR="00284999">
        <w:rPr>
          <w:rFonts w:asciiTheme="minorHAnsi" w:hAnsiTheme="minorHAnsi"/>
          <w:color w:val="auto"/>
          <w:sz w:val="22"/>
          <w:szCs w:val="22"/>
        </w:rPr>
        <w:t>a</w:t>
      </w:r>
      <w:r w:rsidR="00284999" w:rsidRPr="00284999">
        <w:rPr>
          <w:rFonts w:asciiTheme="minorHAnsi" w:hAnsiTheme="minorHAnsi"/>
          <w:color w:val="auto"/>
          <w:sz w:val="22"/>
          <w:szCs w:val="22"/>
        </w:rPr>
        <w:t>ccess to reliable, affordable, sustainable, and modern energy to all</w:t>
      </w:r>
      <w:r w:rsidR="00284999">
        <w:rPr>
          <w:rFonts w:asciiTheme="minorHAnsi" w:hAnsiTheme="minorHAnsi"/>
          <w:color w:val="auto"/>
          <w:sz w:val="22"/>
          <w:szCs w:val="22"/>
        </w:rPr>
        <w:t xml:space="preserve">” </w:t>
      </w:r>
      <w:r w:rsidR="009F7CF4" w:rsidRPr="00650F63">
        <w:rPr>
          <w:rFonts w:asciiTheme="minorHAnsi" w:hAnsiTheme="minorHAnsi"/>
          <w:color w:val="auto"/>
          <w:sz w:val="22"/>
          <w:szCs w:val="22"/>
        </w:rPr>
        <w:t>[2</w:t>
      </w:r>
      <w:r w:rsidR="00284999" w:rsidRPr="00650F63">
        <w:rPr>
          <w:rFonts w:asciiTheme="minorHAnsi" w:hAnsiTheme="minorHAnsi"/>
          <w:color w:val="auto"/>
          <w:sz w:val="22"/>
          <w:szCs w:val="22"/>
        </w:rPr>
        <w:t>, p.</w:t>
      </w:r>
      <w:r w:rsidR="009F7CF4" w:rsidRPr="00650F63">
        <w:rPr>
          <w:rFonts w:asciiTheme="minorHAnsi" w:hAnsiTheme="minorHAnsi"/>
          <w:color w:val="auto"/>
          <w:sz w:val="22"/>
          <w:szCs w:val="22"/>
        </w:rPr>
        <w:t>1]</w:t>
      </w:r>
      <w:r w:rsidR="009F7CF4">
        <w:rPr>
          <w:rFonts w:asciiTheme="minorHAnsi" w:hAnsiTheme="minorHAnsi"/>
          <w:color w:val="auto"/>
          <w:sz w:val="22"/>
          <w:szCs w:val="22"/>
        </w:rPr>
        <w:t xml:space="preserve"> </w:t>
      </w:r>
      <w:r w:rsidR="00284999">
        <w:rPr>
          <w:rFonts w:asciiTheme="minorHAnsi" w:hAnsiTheme="minorHAnsi"/>
          <w:color w:val="auto"/>
          <w:sz w:val="22"/>
          <w:szCs w:val="22"/>
        </w:rPr>
        <w:t xml:space="preserve">due to the realisation of its substantial importance in </w:t>
      </w:r>
      <w:r w:rsidR="00E82C5B">
        <w:rPr>
          <w:rFonts w:asciiTheme="minorHAnsi" w:hAnsiTheme="minorHAnsi"/>
          <w:color w:val="auto"/>
          <w:sz w:val="22"/>
          <w:szCs w:val="22"/>
        </w:rPr>
        <w:t xml:space="preserve">backing and maintain </w:t>
      </w:r>
      <w:r w:rsidR="00284999">
        <w:rPr>
          <w:rFonts w:asciiTheme="minorHAnsi" w:hAnsiTheme="minorHAnsi"/>
          <w:color w:val="auto"/>
          <w:sz w:val="22"/>
          <w:szCs w:val="22"/>
        </w:rPr>
        <w:t>various sectors such as health</w:t>
      </w:r>
      <w:r w:rsidR="00E82C5B">
        <w:rPr>
          <w:rFonts w:asciiTheme="minorHAnsi" w:hAnsiTheme="minorHAnsi"/>
          <w:color w:val="auto"/>
          <w:sz w:val="22"/>
          <w:szCs w:val="22"/>
        </w:rPr>
        <w:t xml:space="preserve">, agriculture, education, technology, business, etc. </w:t>
      </w:r>
      <w:r w:rsidR="007C23EE">
        <w:rPr>
          <w:rFonts w:asciiTheme="minorHAnsi" w:hAnsiTheme="minorHAnsi"/>
          <w:color w:val="auto"/>
          <w:sz w:val="22"/>
          <w:szCs w:val="22"/>
        </w:rPr>
        <w:t>[2]</w:t>
      </w:r>
      <w:r w:rsidR="00E82C5B">
        <w:rPr>
          <w:rFonts w:asciiTheme="minorHAnsi" w:hAnsiTheme="minorHAnsi"/>
          <w:color w:val="auto"/>
          <w:sz w:val="22"/>
          <w:szCs w:val="22"/>
        </w:rPr>
        <w:t xml:space="preserve">. Innovative research in that field of efficient energy would contribute to economic growth at the national level </w:t>
      </w:r>
      <w:r w:rsidR="007C23EE">
        <w:rPr>
          <w:rFonts w:asciiTheme="minorHAnsi" w:hAnsiTheme="minorHAnsi"/>
          <w:color w:val="auto"/>
          <w:sz w:val="22"/>
          <w:szCs w:val="22"/>
        </w:rPr>
        <w:t>[3]</w:t>
      </w:r>
      <w:r w:rsidR="00E82C5B">
        <w:rPr>
          <w:rFonts w:asciiTheme="minorHAnsi" w:hAnsiTheme="minorHAnsi"/>
          <w:color w:val="auto"/>
          <w:sz w:val="22"/>
          <w:szCs w:val="22"/>
        </w:rPr>
        <w:t>.</w:t>
      </w:r>
      <w:r w:rsidR="008D37B0">
        <w:rPr>
          <w:rFonts w:asciiTheme="minorHAnsi" w:hAnsiTheme="minorHAnsi"/>
          <w:color w:val="auto"/>
          <w:sz w:val="22"/>
          <w:szCs w:val="22"/>
        </w:rPr>
        <w:t xml:space="preserve"> </w:t>
      </w:r>
      <w:r w:rsidR="00915AF5" w:rsidRPr="0078576D">
        <w:rPr>
          <w:rFonts w:asciiTheme="minorHAnsi" w:eastAsia="Times New Roman" w:hAnsiTheme="minorHAnsi"/>
          <w:color w:val="auto"/>
          <w:sz w:val="22"/>
          <w:szCs w:val="22"/>
          <w:lang w:eastAsia="en-GB"/>
        </w:rPr>
        <w:t>Strong research institutions and skilled researchers are essential for low-and</w:t>
      </w:r>
      <w:r w:rsidR="0023186E">
        <w:rPr>
          <w:rFonts w:asciiTheme="minorHAnsi" w:eastAsia="Times New Roman" w:hAnsiTheme="minorHAnsi"/>
          <w:color w:val="auto"/>
          <w:sz w:val="22"/>
          <w:szCs w:val="22"/>
          <w:lang w:eastAsia="en-GB"/>
        </w:rPr>
        <w:t>-</w:t>
      </w:r>
      <w:r w:rsidR="00915AF5" w:rsidRPr="0078576D">
        <w:rPr>
          <w:rFonts w:asciiTheme="minorHAnsi" w:eastAsia="Times New Roman" w:hAnsiTheme="minorHAnsi"/>
          <w:color w:val="auto"/>
          <w:sz w:val="22"/>
          <w:szCs w:val="22"/>
          <w:lang w:eastAsia="en-GB"/>
        </w:rPr>
        <w:t>middle-income countries (LMIC) to generate evidence for their own</w:t>
      </w:r>
      <w:r w:rsidR="0059342D" w:rsidRPr="0078576D">
        <w:rPr>
          <w:rFonts w:asciiTheme="minorHAnsi" w:eastAsia="Times New Roman" w:hAnsiTheme="minorHAnsi"/>
          <w:color w:val="auto"/>
          <w:sz w:val="22"/>
          <w:szCs w:val="22"/>
          <w:lang w:eastAsia="en-GB"/>
        </w:rPr>
        <w:t xml:space="preserve"> policies</w:t>
      </w:r>
      <w:r w:rsidR="00915AF5" w:rsidRPr="0078576D">
        <w:rPr>
          <w:rFonts w:asciiTheme="minorHAnsi" w:eastAsia="Times New Roman" w:hAnsiTheme="minorHAnsi"/>
          <w:color w:val="auto"/>
          <w:sz w:val="22"/>
          <w:szCs w:val="22"/>
          <w:lang w:eastAsia="en-GB"/>
        </w:rPr>
        <w:t xml:space="preserve"> </w:t>
      </w:r>
      <w:r w:rsidR="00C30021" w:rsidRPr="0078576D">
        <w:rPr>
          <w:rFonts w:asciiTheme="minorHAnsi" w:eastAsia="Times New Roman" w:hAnsiTheme="minorHAnsi"/>
          <w:color w:val="auto"/>
          <w:sz w:val="22"/>
          <w:szCs w:val="22"/>
          <w:lang w:eastAsia="en-GB"/>
        </w:rPr>
        <w:t>[</w:t>
      </w:r>
      <w:r w:rsidR="00506706">
        <w:rPr>
          <w:rFonts w:asciiTheme="minorHAnsi" w:eastAsia="Times New Roman" w:hAnsiTheme="minorHAnsi"/>
          <w:color w:val="auto"/>
          <w:sz w:val="22"/>
          <w:szCs w:val="22"/>
          <w:lang w:eastAsia="en-GB"/>
        </w:rPr>
        <w:t>4-5</w:t>
      </w:r>
      <w:r w:rsidR="00C30021" w:rsidRPr="0078576D">
        <w:rPr>
          <w:rFonts w:asciiTheme="minorHAnsi" w:eastAsia="Times New Roman" w:hAnsiTheme="minorHAnsi"/>
          <w:color w:val="auto"/>
          <w:sz w:val="22"/>
          <w:szCs w:val="22"/>
          <w:lang w:eastAsia="en-GB"/>
        </w:rPr>
        <w:t xml:space="preserve">] </w:t>
      </w:r>
      <w:r w:rsidR="00915AF5" w:rsidRPr="0078576D">
        <w:rPr>
          <w:rFonts w:asciiTheme="minorHAnsi" w:hAnsiTheme="minorHAnsi"/>
          <w:color w:val="auto"/>
          <w:sz w:val="22"/>
          <w:szCs w:val="22"/>
          <w:lang w:eastAsia="en-GB"/>
        </w:rPr>
        <w:t>and to make progress in achieving the Sustainable Development Goals</w:t>
      </w:r>
      <w:r w:rsidR="00327F4D" w:rsidRPr="0078576D">
        <w:rPr>
          <w:rFonts w:asciiTheme="minorHAnsi" w:hAnsiTheme="minorHAnsi"/>
          <w:color w:val="auto"/>
          <w:sz w:val="22"/>
          <w:szCs w:val="22"/>
          <w:lang w:eastAsia="en-GB"/>
        </w:rPr>
        <w:t xml:space="preserve"> </w:t>
      </w:r>
      <w:r w:rsidR="00C30021" w:rsidRPr="0078576D">
        <w:rPr>
          <w:rFonts w:asciiTheme="minorHAnsi" w:hAnsiTheme="minorHAnsi"/>
          <w:color w:val="auto"/>
          <w:sz w:val="22"/>
          <w:szCs w:val="22"/>
          <w:lang w:eastAsia="en-GB"/>
        </w:rPr>
        <w:t>[</w:t>
      </w:r>
      <w:r w:rsidR="00506706">
        <w:rPr>
          <w:rFonts w:asciiTheme="minorHAnsi" w:hAnsiTheme="minorHAnsi"/>
          <w:color w:val="auto"/>
          <w:sz w:val="22"/>
          <w:szCs w:val="22"/>
          <w:lang w:eastAsia="en-GB"/>
        </w:rPr>
        <w:t>6</w:t>
      </w:r>
      <w:r w:rsidR="00C30021" w:rsidRPr="0078576D">
        <w:rPr>
          <w:rFonts w:asciiTheme="minorHAnsi" w:hAnsiTheme="minorHAnsi"/>
          <w:color w:val="auto"/>
          <w:sz w:val="22"/>
          <w:szCs w:val="22"/>
          <w:lang w:eastAsia="en-GB"/>
        </w:rPr>
        <w:t>]</w:t>
      </w:r>
      <w:r w:rsidR="00915AF5" w:rsidRPr="0078576D">
        <w:rPr>
          <w:rFonts w:asciiTheme="minorHAnsi" w:hAnsiTheme="minorHAnsi"/>
          <w:color w:val="auto"/>
          <w:sz w:val="22"/>
          <w:szCs w:val="22"/>
          <w:lang w:eastAsia="en-GB"/>
        </w:rPr>
        <w:t>.</w:t>
      </w:r>
      <w:r w:rsidR="004C0034">
        <w:rPr>
          <w:rFonts w:asciiTheme="minorHAnsi" w:hAnsiTheme="minorHAnsi"/>
          <w:color w:val="auto"/>
          <w:sz w:val="22"/>
          <w:szCs w:val="22"/>
          <w:lang w:eastAsia="en-GB"/>
        </w:rPr>
        <w:t xml:space="preserve"> </w:t>
      </w:r>
      <w:r w:rsidR="00744BEE">
        <w:rPr>
          <w:rFonts w:asciiTheme="minorHAnsi" w:hAnsiTheme="minorHAnsi"/>
          <w:color w:val="auto"/>
          <w:sz w:val="22"/>
          <w:szCs w:val="22"/>
          <w:lang w:eastAsia="en-GB"/>
        </w:rPr>
        <w:t xml:space="preserve">For example, a study that assessed 30 health research programmes approaches in Ghana concluded that </w:t>
      </w:r>
      <w:r w:rsidR="00744BEE" w:rsidRPr="00744BEE">
        <w:rPr>
          <w:rFonts w:asciiTheme="minorHAnsi" w:hAnsiTheme="minorHAnsi"/>
          <w:color w:val="auto"/>
          <w:sz w:val="22"/>
          <w:szCs w:val="22"/>
          <w:lang w:eastAsia="en-GB"/>
        </w:rPr>
        <w:t xml:space="preserve">locally led, demand-driven health research </w:t>
      </w:r>
      <w:r w:rsidR="00744BEE">
        <w:rPr>
          <w:rFonts w:asciiTheme="minorHAnsi" w:hAnsiTheme="minorHAnsi"/>
          <w:color w:val="auto"/>
          <w:sz w:val="22"/>
          <w:szCs w:val="22"/>
          <w:lang w:eastAsia="en-GB"/>
        </w:rPr>
        <w:t xml:space="preserve">is more successful </w:t>
      </w:r>
      <w:r w:rsidR="00744BEE" w:rsidRPr="00744BEE">
        <w:rPr>
          <w:rFonts w:asciiTheme="minorHAnsi" w:hAnsiTheme="minorHAnsi"/>
          <w:color w:val="auto"/>
          <w:sz w:val="22"/>
          <w:szCs w:val="22"/>
          <w:lang w:eastAsia="en-GB"/>
        </w:rPr>
        <w:t xml:space="preserve">in translating research into action </w:t>
      </w:r>
      <w:r w:rsidR="00744BEE">
        <w:rPr>
          <w:rFonts w:asciiTheme="minorHAnsi" w:hAnsiTheme="minorHAnsi"/>
          <w:color w:val="auto"/>
          <w:sz w:val="22"/>
          <w:szCs w:val="22"/>
          <w:lang w:eastAsia="en-GB"/>
        </w:rPr>
        <w:t xml:space="preserve">and in responding to the national needs </w:t>
      </w:r>
      <w:r w:rsidR="00744BEE" w:rsidRPr="00744BEE">
        <w:rPr>
          <w:rFonts w:asciiTheme="minorHAnsi" w:hAnsiTheme="minorHAnsi"/>
          <w:color w:val="auto"/>
          <w:sz w:val="22"/>
          <w:szCs w:val="22"/>
          <w:lang w:eastAsia="en-GB"/>
        </w:rPr>
        <w:t>in low-income countries</w:t>
      </w:r>
      <w:r w:rsidR="00744BEE">
        <w:rPr>
          <w:rFonts w:asciiTheme="minorHAnsi" w:hAnsiTheme="minorHAnsi"/>
          <w:color w:val="auto"/>
          <w:sz w:val="22"/>
          <w:szCs w:val="22"/>
          <w:lang w:eastAsia="en-GB"/>
        </w:rPr>
        <w:t xml:space="preserve"> [</w:t>
      </w:r>
      <w:r w:rsidR="00506706">
        <w:rPr>
          <w:rFonts w:asciiTheme="minorHAnsi" w:hAnsiTheme="minorHAnsi"/>
          <w:color w:val="auto"/>
          <w:sz w:val="22"/>
          <w:szCs w:val="22"/>
          <w:lang w:eastAsia="en-GB"/>
        </w:rPr>
        <w:t>7</w:t>
      </w:r>
      <w:r w:rsidR="00744BEE">
        <w:rPr>
          <w:rFonts w:asciiTheme="minorHAnsi" w:hAnsiTheme="minorHAnsi"/>
          <w:color w:val="auto"/>
          <w:sz w:val="22"/>
          <w:szCs w:val="22"/>
          <w:lang w:eastAsia="en-GB"/>
        </w:rPr>
        <w:t xml:space="preserve">]. </w:t>
      </w:r>
      <w:r w:rsidR="00547A2C">
        <w:rPr>
          <w:rFonts w:asciiTheme="minorHAnsi" w:hAnsiTheme="minorHAnsi"/>
          <w:color w:val="auto"/>
          <w:sz w:val="22"/>
          <w:szCs w:val="22"/>
          <w:lang w:eastAsia="en-GB"/>
        </w:rPr>
        <w:t>Yet</w:t>
      </w:r>
      <w:r w:rsidR="00547A2C" w:rsidRPr="00547A2C">
        <w:rPr>
          <w:rFonts w:asciiTheme="minorHAnsi" w:hAnsiTheme="minorHAnsi"/>
          <w:color w:val="auto"/>
          <w:sz w:val="22"/>
          <w:szCs w:val="22"/>
          <w:lang w:eastAsia="en-GB"/>
        </w:rPr>
        <w:t>, r</w:t>
      </w:r>
      <w:r w:rsidR="004C0034" w:rsidRPr="00547A2C">
        <w:rPr>
          <w:rFonts w:asciiTheme="minorHAnsi" w:hAnsiTheme="minorHAnsi"/>
          <w:color w:val="auto"/>
          <w:sz w:val="22"/>
          <w:szCs w:val="22"/>
          <w:lang w:eastAsia="en-GB"/>
        </w:rPr>
        <w:t xml:space="preserve">esearch institutions in </w:t>
      </w:r>
      <w:bookmarkStart w:id="5" w:name="_Hlk19721574"/>
      <w:r w:rsidR="004C0034" w:rsidRPr="00547A2C">
        <w:rPr>
          <w:rFonts w:asciiTheme="minorHAnsi" w:hAnsiTheme="minorHAnsi"/>
          <w:color w:val="auto"/>
          <w:sz w:val="22"/>
          <w:szCs w:val="22"/>
          <w:lang w:eastAsia="en-GB"/>
        </w:rPr>
        <w:t>low-</w:t>
      </w:r>
      <w:r w:rsidR="00FF67D2">
        <w:rPr>
          <w:rFonts w:asciiTheme="minorHAnsi" w:hAnsiTheme="minorHAnsi"/>
          <w:color w:val="auto"/>
          <w:sz w:val="22"/>
          <w:szCs w:val="22"/>
          <w:lang w:eastAsia="en-GB"/>
        </w:rPr>
        <w:t>and-middle</w:t>
      </w:r>
      <w:r w:rsidR="004C0034" w:rsidRPr="00547A2C">
        <w:rPr>
          <w:rFonts w:asciiTheme="minorHAnsi" w:hAnsiTheme="minorHAnsi"/>
          <w:color w:val="auto"/>
          <w:sz w:val="22"/>
          <w:szCs w:val="22"/>
          <w:lang w:eastAsia="en-GB"/>
        </w:rPr>
        <w:t xml:space="preserve">-income </w:t>
      </w:r>
      <w:bookmarkEnd w:id="5"/>
      <w:r w:rsidR="004C0034" w:rsidRPr="00547A2C">
        <w:rPr>
          <w:rFonts w:asciiTheme="minorHAnsi" w:hAnsiTheme="minorHAnsi"/>
          <w:color w:val="auto"/>
          <w:sz w:val="22"/>
          <w:szCs w:val="22"/>
          <w:lang w:eastAsia="en-GB"/>
        </w:rPr>
        <w:t xml:space="preserve">countries, particularly in Africa, </w:t>
      </w:r>
      <w:r w:rsidR="00ED4CF3" w:rsidRPr="00547A2C">
        <w:rPr>
          <w:rFonts w:asciiTheme="minorHAnsi" w:hAnsiTheme="minorHAnsi"/>
          <w:color w:val="auto"/>
          <w:sz w:val="22"/>
          <w:szCs w:val="22"/>
          <w:lang w:eastAsia="en-GB"/>
        </w:rPr>
        <w:t xml:space="preserve">face serious challenges in terms of </w:t>
      </w:r>
      <w:r w:rsidR="00547A2C">
        <w:rPr>
          <w:rFonts w:asciiTheme="minorHAnsi" w:hAnsiTheme="minorHAnsi"/>
          <w:color w:val="auto"/>
          <w:sz w:val="22"/>
          <w:szCs w:val="22"/>
          <w:lang w:eastAsia="en-GB"/>
        </w:rPr>
        <w:t xml:space="preserve">research </w:t>
      </w:r>
      <w:r w:rsidR="009118D2" w:rsidRPr="00547A2C">
        <w:rPr>
          <w:rFonts w:asciiTheme="minorHAnsi" w:hAnsiTheme="minorHAnsi"/>
          <w:color w:val="auto"/>
          <w:sz w:val="22"/>
          <w:szCs w:val="22"/>
          <w:lang w:eastAsia="en-GB"/>
        </w:rPr>
        <w:t xml:space="preserve">funding as they </w:t>
      </w:r>
      <w:r w:rsidR="004C0034" w:rsidRPr="00547A2C">
        <w:rPr>
          <w:rFonts w:asciiTheme="minorHAnsi" w:hAnsiTheme="minorHAnsi"/>
          <w:color w:val="auto"/>
          <w:sz w:val="22"/>
          <w:szCs w:val="22"/>
          <w:lang w:eastAsia="en-GB"/>
        </w:rPr>
        <w:t xml:space="preserve">do not receive </w:t>
      </w:r>
      <w:proofErr w:type="gramStart"/>
      <w:r w:rsidR="004C0034" w:rsidRPr="00547A2C">
        <w:rPr>
          <w:rFonts w:asciiTheme="minorHAnsi" w:hAnsiTheme="minorHAnsi"/>
          <w:color w:val="auto"/>
          <w:sz w:val="22"/>
          <w:szCs w:val="22"/>
          <w:lang w:eastAsia="en-GB"/>
        </w:rPr>
        <w:t>sufficient</w:t>
      </w:r>
      <w:proofErr w:type="gramEnd"/>
      <w:r w:rsidR="004C0034" w:rsidRPr="00547A2C">
        <w:rPr>
          <w:rFonts w:asciiTheme="minorHAnsi" w:hAnsiTheme="minorHAnsi"/>
          <w:color w:val="auto"/>
          <w:sz w:val="22"/>
          <w:szCs w:val="22"/>
          <w:lang w:eastAsia="en-GB"/>
        </w:rPr>
        <w:t xml:space="preserve"> funds from their governments</w:t>
      </w:r>
      <w:r w:rsidR="008C19BF" w:rsidRPr="00547A2C">
        <w:rPr>
          <w:rFonts w:asciiTheme="minorHAnsi" w:hAnsiTheme="minorHAnsi"/>
          <w:color w:val="auto"/>
          <w:sz w:val="22"/>
          <w:szCs w:val="22"/>
          <w:lang w:eastAsia="en-GB"/>
        </w:rPr>
        <w:t xml:space="preserve"> </w:t>
      </w:r>
      <w:r w:rsidR="009118D2" w:rsidRPr="00547A2C">
        <w:rPr>
          <w:rFonts w:asciiTheme="minorHAnsi" w:hAnsiTheme="minorHAnsi"/>
          <w:color w:val="auto"/>
          <w:sz w:val="22"/>
          <w:szCs w:val="22"/>
          <w:lang w:eastAsia="en-GB"/>
        </w:rPr>
        <w:t xml:space="preserve">and </w:t>
      </w:r>
      <w:r w:rsidR="00547A2C">
        <w:rPr>
          <w:rFonts w:asciiTheme="minorHAnsi" w:hAnsiTheme="minorHAnsi"/>
          <w:color w:val="auto"/>
          <w:sz w:val="22"/>
          <w:szCs w:val="22"/>
          <w:lang w:eastAsia="en-GB"/>
        </w:rPr>
        <w:t xml:space="preserve">they </w:t>
      </w:r>
      <w:r w:rsidR="00547A2C" w:rsidRPr="00547A2C">
        <w:rPr>
          <w:rFonts w:asciiTheme="minorHAnsi" w:hAnsiTheme="minorHAnsi"/>
          <w:color w:val="auto"/>
          <w:sz w:val="22"/>
          <w:szCs w:val="22"/>
          <w:lang w:eastAsia="en-GB"/>
        </w:rPr>
        <w:t>mostly depend on foreign resources</w:t>
      </w:r>
      <w:r w:rsidR="009118D2" w:rsidRPr="00547A2C">
        <w:rPr>
          <w:rFonts w:asciiTheme="minorHAnsi" w:hAnsiTheme="minorHAnsi"/>
          <w:color w:val="auto"/>
          <w:sz w:val="22"/>
          <w:szCs w:val="22"/>
          <w:lang w:eastAsia="en-GB"/>
        </w:rPr>
        <w:t xml:space="preserve"> [</w:t>
      </w:r>
      <w:r w:rsidR="00506706">
        <w:rPr>
          <w:rFonts w:asciiTheme="minorHAnsi" w:hAnsiTheme="minorHAnsi"/>
          <w:color w:val="auto"/>
          <w:sz w:val="22"/>
          <w:szCs w:val="22"/>
          <w:lang w:eastAsia="en-GB"/>
        </w:rPr>
        <w:t>8</w:t>
      </w:r>
      <w:r w:rsidR="009118D2" w:rsidRPr="00547A2C">
        <w:rPr>
          <w:rFonts w:asciiTheme="minorHAnsi" w:hAnsiTheme="minorHAnsi"/>
          <w:color w:val="auto"/>
          <w:sz w:val="22"/>
          <w:szCs w:val="22"/>
          <w:lang w:eastAsia="en-GB"/>
        </w:rPr>
        <w:t>]</w:t>
      </w:r>
      <w:r w:rsidR="004C0034" w:rsidRPr="00547A2C">
        <w:rPr>
          <w:rFonts w:asciiTheme="minorHAnsi" w:hAnsiTheme="minorHAnsi"/>
          <w:color w:val="auto"/>
          <w:sz w:val="22"/>
          <w:szCs w:val="22"/>
          <w:lang w:eastAsia="en-GB"/>
        </w:rPr>
        <w:t>.</w:t>
      </w:r>
      <w:r w:rsidR="004C0034">
        <w:rPr>
          <w:rFonts w:asciiTheme="minorHAnsi" w:hAnsiTheme="minorHAnsi"/>
          <w:color w:val="auto"/>
          <w:sz w:val="22"/>
          <w:szCs w:val="22"/>
          <w:lang w:eastAsia="en-GB"/>
        </w:rPr>
        <w:t xml:space="preserve"> </w:t>
      </w:r>
      <w:r w:rsidR="00124149" w:rsidRPr="0078576D">
        <w:rPr>
          <w:rFonts w:asciiTheme="minorHAnsi" w:hAnsiTheme="minorHAnsi"/>
          <w:color w:val="auto"/>
          <w:sz w:val="22"/>
          <w:szCs w:val="22"/>
        </w:rPr>
        <w:t xml:space="preserve">The UK government </w:t>
      </w:r>
      <w:r w:rsidR="00672AEC" w:rsidRPr="0078576D">
        <w:rPr>
          <w:rFonts w:asciiTheme="minorHAnsi" w:hAnsiTheme="minorHAnsi"/>
          <w:color w:val="auto"/>
          <w:sz w:val="22"/>
          <w:szCs w:val="22"/>
        </w:rPr>
        <w:t>has committed to increase</w:t>
      </w:r>
      <w:r w:rsidR="00124149" w:rsidRPr="0078576D">
        <w:rPr>
          <w:rFonts w:asciiTheme="minorHAnsi" w:hAnsiTheme="minorHAnsi"/>
          <w:color w:val="auto"/>
          <w:sz w:val="22"/>
          <w:szCs w:val="22"/>
        </w:rPr>
        <w:t xml:space="preserve"> its investment in science and technology</w:t>
      </w:r>
      <w:r w:rsidR="00672AEC" w:rsidRPr="0078576D">
        <w:rPr>
          <w:rFonts w:asciiTheme="minorHAnsi" w:hAnsiTheme="minorHAnsi"/>
          <w:color w:val="auto"/>
          <w:sz w:val="22"/>
          <w:szCs w:val="22"/>
        </w:rPr>
        <w:t xml:space="preserve"> in poorer countries</w:t>
      </w:r>
      <w:r w:rsidR="00126AD3" w:rsidRPr="0078576D">
        <w:rPr>
          <w:rFonts w:asciiTheme="minorHAnsi" w:hAnsiTheme="minorHAnsi"/>
          <w:color w:val="auto"/>
          <w:sz w:val="22"/>
          <w:szCs w:val="22"/>
        </w:rPr>
        <w:t xml:space="preserve"> </w:t>
      </w:r>
      <w:r w:rsidR="00D83676" w:rsidRPr="0078576D">
        <w:rPr>
          <w:rFonts w:asciiTheme="minorHAnsi" w:hAnsiTheme="minorHAnsi"/>
          <w:color w:val="auto"/>
          <w:sz w:val="22"/>
          <w:szCs w:val="22"/>
        </w:rPr>
        <w:t xml:space="preserve">and to </w:t>
      </w:r>
      <w:r w:rsidR="00295609" w:rsidRPr="0078576D">
        <w:rPr>
          <w:rFonts w:asciiTheme="minorHAnsi" w:hAnsiTheme="minorHAnsi"/>
          <w:color w:val="auto"/>
          <w:sz w:val="22"/>
          <w:szCs w:val="22"/>
        </w:rPr>
        <w:t xml:space="preserve">use rigorous </w:t>
      </w:r>
      <w:r w:rsidR="00D83676" w:rsidRPr="0078576D">
        <w:rPr>
          <w:rFonts w:asciiTheme="minorHAnsi" w:hAnsiTheme="minorHAnsi"/>
          <w:color w:val="auto"/>
          <w:sz w:val="22"/>
          <w:szCs w:val="22"/>
        </w:rPr>
        <w:t>evaluat</w:t>
      </w:r>
      <w:r w:rsidR="00295609" w:rsidRPr="0078576D">
        <w:rPr>
          <w:rFonts w:asciiTheme="minorHAnsi" w:hAnsiTheme="minorHAnsi"/>
          <w:color w:val="auto"/>
          <w:sz w:val="22"/>
          <w:szCs w:val="22"/>
        </w:rPr>
        <w:t xml:space="preserve">ions of </w:t>
      </w:r>
      <w:r w:rsidR="00D83676" w:rsidRPr="0078576D">
        <w:rPr>
          <w:rFonts w:asciiTheme="minorHAnsi" w:hAnsiTheme="minorHAnsi"/>
          <w:color w:val="auto"/>
          <w:sz w:val="22"/>
          <w:szCs w:val="22"/>
        </w:rPr>
        <w:t>the effect</w:t>
      </w:r>
      <w:r w:rsidR="00295609" w:rsidRPr="0078576D">
        <w:rPr>
          <w:rFonts w:asciiTheme="minorHAnsi" w:hAnsiTheme="minorHAnsi"/>
          <w:color w:val="auto"/>
          <w:sz w:val="22"/>
          <w:szCs w:val="22"/>
        </w:rPr>
        <w:t>iveness</w:t>
      </w:r>
      <w:r w:rsidR="00D83676" w:rsidRPr="0078576D">
        <w:rPr>
          <w:rFonts w:asciiTheme="minorHAnsi" w:hAnsiTheme="minorHAnsi"/>
          <w:color w:val="auto"/>
          <w:sz w:val="22"/>
          <w:szCs w:val="22"/>
        </w:rPr>
        <w:t xml:space="preserve"> of this investment </w:t>
      </w:r>
      <w:r w:rsidR="00295609" w:rsidRPr="0078576D">
        <w:rPr>
          <w:rFonts w:asciiTheme="minorHAnsi" w:hAnsiTheme="minorHAnsi"/>
          <w:color w:val="auto"/>
          <w:sz w:val="22"/>
          <w:szCs w:val="22"/>
        </w:rPr>
        <w:t xml:space="preserve">to </w:t>
      </w:r>
      <w:r w:rsidR="00D83676" w:rsidRPr="0078576D">
        <w:rPr>
          <w:rFonts w:asciiTheme="minorHAnsi" w:hAnsiTheme="minorHAnsi"/>
          <w:color w:val="auto"/>
          <w:sz w:val="22"/>
          <w:szCs w:val="22"/>
        </w:rPr>
        <w:t xml:space="preserve">drive </w:t>
      </w:r>
      <w:r w:rsidR="00295609" w:rsidRPr="0078576D">
        <w:rPr>
          <w:rFonts w:asciiTheme="minorHAnsi" w:hAnsiTheme="minorHAnsi"/>
          <w:color w:val="auto"/>
          <w:sz w:val="22"/>
          <w:szCs w:val="22"/>
        </w:rPr>
        <w:t xml:space="preserve">improvements and </w:t>
      </w:r>
      <w:r w:rsidR="00D83676" w:rsidRPr="0078576D">
        <w:rPr>
          <w:rFonts w:asciiTheme="minorHAnsi" w:hAnsiTheme="minorHAnsi"/>
          <w:color w:val="auto"/>
          <w:sz w:val="22"/>
          <w:szCs w:val="22"/>
        </w:rPr>
        <w:t xml:space="preserve">reform across the global aid system </w:t>
      </w:r>
      <w:r w:rsidR="00174ABB" w:rsidRPr="0078576D">
        <w:rPr>
          <w:rFonts w:asciiTheme="minorHAnsi" w:hAnsiTheme="minorHAnsi"/>
          <w:color w:val="auto"/>
          <w:sz w:val="22"/>
          <w:szCs w:val="22"/>
        </w:rPr>
        <w:t>[</w:t>
      </w:r>
      <w:r w:rsidR="00506706">
        <w:rPr>
          <w:rFonts w:asciiTheme="minorHAnsi" w:hAnsiTheme="minorHAnsi"/>
          <w:color w:val="auto"/>
          <w:sz w:val="22"/>
          <w:szCs w:val="22"/>
        </w:rPr>
        <w:t>9</w:t>
      </w:r>
      <w:r w:rsidR="00174ABB" w:rsidRPr="0078576D">
        <w:rPr>
          <w:rFonts w:asciiTheme="minorHAnsi" w:hAnsiTheme="minorHAnsi"/>
          <w:color w:val="auto"/>
          <w:sz w:val="22"/>
          <w:szCs w:val="22"/>
        </w:rPr>
        <w:t>].</w:t>
      </w:r>
      <w:r w:rsidR="004C0034" w:rsidRPr="004C0034" w:rsidDel="004C0034">
        <w:rPr>
          <w:rFonts w:asciiTheme="minorHAnsi" w:hAnsiTheme="minorHAnsi"/>
          <w:color w:val="auto"/>
          <w:sz w:val="22"/>
          <w:szCs w:val="22"/>
        </w:rPr>
        <w:t xml:space="preserve"> </w:t>
      </w:r>
      <w:r w:rsidR="002C305C" w:rsidRPr="004C0034">
        <w:rPr>
          <w:rFonts w:asciiTheme="minorHAnsi" w:hAnsiTheme="minorHAnsi"/>
          <w:color w:val="auto"/>
          <w:sz w:val="22"/>
          <w:szCs w:val="22"/>
        </w:rPr>
        <w:t xml:space="preserve">Traditionally there has been an assumption that research capacity will </w:t>
      </w:r>
      <w:r w:rsidR="007E76F7" w:rsidRPr="004C0034">
        <w:rPr>
          <w:rFonts w:asciiTheme="minorHAnsi" w:hAnsiTheme="minorHAnsi"/>
          <w:color w:val="auto"/>
          <w:sz w:val="22"/>
          <w:szCs w:val="22"/>
        </w:rPr>
        <w:t xml:space="preserve">automatically </w:t>
      </w:r>
      <w:r w:rsidR="002C305C" w:rsidRPr="004C0034">
        <w:rPr>
          <w:rFonts w:asciiTheme="minorHAnsi" w:hAnsiTheme="minorHAnsi"/>
          <w:color w:val="auto"/>
          <w:sz w:val="22"/>
          <w:szCs w:val="22"/>
        </w:rPr>
        <w:t xml:space="preserve">grow as an indirect result of </w:t>
      </w:r>
      <w:r w:rsidR="00295609" w:rsidRPr="004C0034">
        <w:rPr>
          <w:rFonts w:asciiTheme="minorHAnsi" w:hAnsiTheme="minorHAnsi"/>
          <w:color w:val="auto"/>
          <w:sz w:val="22"/>
          <w:szCs w:val="22"/>
        </w:rPr>
        <w:t xml:space="preserve">carrying out </w:t>
      </w:r>
      <w:r w:rsidR="002C305C" w:rsidRPr="004C0034">
        <w:rPr>
          <w:rFonts w:asciiTheme="minorHAnsi" w:hAnsiTheme="minorHAnsi"/>
          <w:color w:val="auto"/>
          <w:sz w:val="22"/>
          <w:szCs w:val="22"/>
        </w:rPr>
        <w:t>research projects, but it is becomi</w:t>
      </w:r>
      <w:r w:rsidR="002C305C" w:rsidRPr="0078576D">
        <w:rPr>
          <w:rFonts w:asciiTheme="minorHAnsi" w:hAnsiTheme="minorHAnsi"/>
          <w:color w:val="auto"/>
          <w:sz w:val="22"/>
          <w:szCs w:val="22"/>
        </w:rPr>
        <w:t>ng apparent that this will not happen unless explicit activities</w:t>
      </w:r>
      <w:bookmarkStart w:id="6" w:name="_Ref514336784"/>
      <w:r w:rsidR="00F106B0" w:rsidRPr="0078576D">
        <w:rPr>
          <w:rFonts w:asciiTheme="minorHAnsi" w:hAnsiTheme="minorHAnsi"/>
          <w:color w:val="auto"/>
          <w:sz w:val="22"/>
          <w:szCs w:val="22"/>
        </w:rPr>
        <w:t xml:space="preserve"> </w:t>
      </w:r>
      <w:bookmarkEnd w:id="6"/>
      <w:r w:rsidR="002B27A9" w:rsidRPr="0078576D">
        <w:rPr>
          <w:rFonts w:asciiTheme="minorHAnsi" w:hAnsiTheme="minorHAnsi"/>
          <w:color w:val="auto"/>
          <w:sz w:val="22"/>
          <w:szCs w:val="22"/>
        </w:rPr>
        <w:t>[</w:t>
      </w:r>
      <w:r w:rsidR="00506706">
        <w:rPr>
          <w:rFonts w:asciiTheme="minorHAnsi" w:hAnsiTheme="minorHAnsi"/>
          <w:color w:val="auto"/>
          <w:sz w:val="22"/>
          <w:szCs w:val="22"/>
        </w:rPr>
        <w:t>10</w:t>
      </w:r>
      <w:r w:rsidR="002B27A9" w:rsidRPr="0078576D">
        <w:rPr>
          <w:rFonts w:asciiTheme="minorHAnsi" w:hAnsiTheme="minorHAnsi"/>
          <w:color w:val="auto"/>
          <w:sz w:val="22"/>
          <w:szCs w:val="22"/>
        </w:rPr>
        <w:t xml:space="preserve">] </w:t>
      </w:r>
      <w:r w:rsidR="00295609" w:rsidRPr="0078576D">
        <w:rPr>
          <w:rFonts w:asciiTheme="minorHAnsi" w:hAnsiTheme="minorHAnsi"/>
          <w:color w:val="auto"/>
          <w:sz w:val="22"/>
          <w:szCs w:val="22"/>
        </w:rPr>
        <w:t xml:space="preserve">to strengthen capacity </w:t>
      </w:r>
      <w:r w:rsidR="002C305C" w:rsidRPr="0078576D">
        <w:rPr>
          <w:rFonts w:asciiTheme="minorHAnsi" w:hAnsiTheme="minorHAnsi"/>
          <w:color w:val="auto"/>
          <w:sz w:val="22"/>
          <w:szCs w:val="22"/>
        </w:rPr>
        <w:t>are included in research programmes</w:t>
      </w:r>
      <w:r w:rsidR="000D4249" w:rsidRPr="0078576D">
        <w:rPr>
          <w:rFonts w:asciiTheme="minorHAnsi" w:hAnsiTheme="minorHAnsi"/>
          <w:color w:val="auto"/>
          <w:sz w:val="22"/>
          <w:szCs w:val="22"/>
        </w:rPr>
        <w:t>, and relevant metrics for outputs and outcomes are included in programme evaluations</w:t>
      </w:r>
      <w:r w:rsidR="002C305C" w:rsidRPr="0078576D">
        <w:rPr>
          <w:rFonts w:asciiTheme="minorHAnsi" w:hAnsiTheme="minorHAnsi"/>
          <w:color w:val="auto"/>
          <w:sz w:val="22"/>
          <w:szCs w:val="22"/>
        </w:rPr>
        <w:t xml:space="preserve">. The </w:t>
      </w:r>
      <w:r w:rsidR="00295609" w:rsidRPr="0078576D">
        <w:rPr>
          <w:rFonts w:asciiTheme="minorHAnsi" w:hAnsiTheme="minorHAnsi"/>
          <w:color w:val="auto"/>
          <w:sz w:val="22"/>
          <w:szCs w:val="22"/>
        </w:rPr>
        <w:t>desire</w:t>
      </w:r>
      <w:r w:rsidR="002C305C" w:rsidRPr="0078576D">
        <w:rPr>
          <w:rFonts w:asciiTheme="minorHAnsi" w:hAnsiTheme="minorHAnsi"/>
          <w:color w:val="auto"/>
          <w:sz w:val="22"/>
          <w:szCs w:val="22"/>
        </w:rPr>
        <w:t xml:space="preserve"> to </w:t>
      </w:r>
      <w:r w:rsidR="007E76F7" w:rsidRPr="0078576D">
        <w:rPr>
          <w:rFonts w:asciiTheme="minorHAnsi" w:hAnsiTheme="minorHAnsi"/>
          <w:color w:val="auto"/>
          <w:sz w:val="22"/>
          <w:szCs w:val="22"/>
        </w:rPr>
        <w:t xml:space="preserve">strengthen </w:t>
      </w:r>
      <w:r w:rsidR="002C305C" w:rsidRPr="0078576D">
        <w:rPr>
          <w:rFonts w:asciiTheme="minorHAnsi" w:hAnsiTheme="minorHAnsi"/>
          <w:color w:val="auto"/>
          <w:sz w:val="22"/>
          <w:szCs w:val="22"/>
        </w:rPr>
        <w:t>research capacity as a mainstream</w:t>
      </w:r>
      <w:r w:rsidR="00295609" w:rsidRPr="0078576D">
        <w:rPr>
          <w:rFonts w:asciiTheme="minorHAnsi" w:hAnsiTheme="minorHAnsi"/>
          <w:color w:val="auto"/>
          <w:sz w:val="22"/>
          <w:szCs w:val="22"/>
        </w:rPr>
        <w:t>,</w:t>
      </w:r>
      <w:r w:rsidR="002C305C" w:rsidRPr="0078576D">
        <w:rPr>
          <w:rFonts w:asciiTheme="minorHAnsi" w:hAnsiTheme="minorHAnsi"/>
          <w:color w:val="auto"/>
          <w:sz w:val="22"/>
          <w:szCs w:val="22"/>
        </w:rPr>
        <w:t xml:space="preserve"> rather than a ‘bolt-on’</w:t>
      </w:r>
      <w:r w:rsidR="00295609" w:rsidRPr="0078576D">
        <w:rPr>
          <w:rFonts w:asciiTheme="minorHAnsi" w:hAnsiTheme="minorHAnsi"/>
          <w:color w:val="auto"/>
          <w:sz w:val="22"/>
          <w:szCs w:val="22"/>
        </w:rPr>
        <w:t>,</w:t>
      </w:r>
      <w:r w:rsidR="002C305C" w:rsidRPr="0078576D">
        <w:rPr>
          <w:rFonts w:asciiTheme="minorHAnsi" w:hAnsiTheme="minorHAnsi"/>
          <w:color w:val="auto"/>
          <w:sz w:val="22"/>
          <w:szCs w:val="22"/>
        </w:rPr>
        <w:t xml:space="preserve"> activity within programmes has been translated into action through, for example, </w:t>
      </w:r>
      <w:r w:rsidR="000D4249" w:rsidRPr="0078576D">
        <w:rPr>
          <w:rFonts w:asciiTheme="minorHAnsi" w:hAnsiTheme="minorHAnsi"/>
          <w:color w:val="auto"/>
          <w:sz w:val="22"/>
          <w:szCs w:val="22"/>
        </w:rPr>
        <w:t>the</w:t>
      </w:r>
      <w:r w:rsidR="002C305C" w:rsidRPr="0078576D">
        <w:rPr>
          <w:rFonts w:asciiTheme="minorHAnsi" w:hAnsiTheme="minorHAnsi"/>
          <w:color w:val="auto"/>
          <w:sz w:val="22"/>
          <w:szCs w:val="22"/>
        </w:rPr>
        <w:t xml:space="preserve"> Global </w:t>
      </w:r>
      <w:r w:rsidR="002C305C" w:rsidRPr="0078576D">
        <w:rPr>
          <w:rFonts w:asciiTheme="minorHAnsi" w:hAnsiTheme="minorHAnsi"/>
          <w:color w:val="auto"/>
          <w:sz w:val="22"/>
          <w:szCs w:val="22"/>
        </w:rPr>
        <w:lastRenderedPageBreak/>
        <w:t>Challenges Research Fund Growing Capability</w:t>
      </w:r>
      <w:r w:rsidR="00B63B2B" w:rsidRPr="0078576D">
        <w:rPr>
          <w:rFonts w:asciiTheme="minorHAnsi" w:hAnsiTheme="minorHAnsi"/>
          <w:color w:val="auto"/>
          <w:sz w:val="22"/>
          <w:szCs w:val="22"/>
        </w:rPr>
        <w:t xml:space="preserve"> </w:t>
      </w:r>
      <w:r w:rsidR="002B27A9" w:rsidRPr="0078576D">
        <w:rPr>
          <w:rFonts w:asciiTheme="minorHAnsi" w:hAnsiTheme="minorHAnsi"/>
          <w:color w:val="auto"/>
          <w:sz w:val="22"/>
          <w:szCs w:val="22"/>
        </w:rPr>
        <w:t>[</w:t>
      </w:r>
      <w:r w:rsidR="00506706">
        <w:rPr>
          <w:rFonts w:asciiTheme="minorHAnsi" w:hAnsiTheme="minorHAnsi"/>
          <w:color w:val="auto"/>
          <w:sz w:val="22"/>
          <w:szCs w:val="22"/>
        </w:rPr>
        <w:t>11</w:t>
      </w:r>
      <w:r w:rsidR="002B27A9" w:rsidRPr="0078576D">
        <w:rPr>
          <w:rFonts w:asciiTheme="minorHAnsi" w:hAnsiTheme="minorHAnsi"/>
          <w:color w:val="auto"/>
          <w:sz w:val="22"/>
          <w:szCs w:val="22"/>
        </w:rPr>
        <w:t xml:space="preserve">] </w:t>
      </w:r>
      <w:r w:rsidR="002C305C" w:rsidRPr="0078576D">
        <w:rPr>
          <w:rFonts w:asciiTheme="minorHAnsi" w:hAnsiTheme="minorHAnsi"/>
          <w:color w:val="auto"/>
          <w:sz w:val="22"/>
          <w:szCs w:val="22"/>
        </w:rPr>
        <w:t>programme</w:t>
      </w:r>
      <w:r w:rsidR="007E76F7" w:rsidRPr="0078576D">
        <w:rPr>
          <w:rFonts w:asciiTheme="minorHAnsi" w:hAnsiTheme="minorHAnsi"/>
          <w:color w:val="auto"/>
          <w:sz w:val="22"/>
          <w:szCs w:val="22"/>
        </w:rPr>
        <w:t xml:space="preserve"> which </w:t>
      </w:r>
      <w:r w:rsidR="00C67B8E" w:rsidRPr="0078576D">
        <w:rPr>
          <w:rFonts w:asciiTheme="minorHAnsi" w:hAnsiTheme="minorHAnsi"/>
          <w:color w:val="auto"/>
          <w:sz w:val="22"/>
          <w:szCs w:val="22"/>
        </w:rPr>
        <w:t>primarily aims to</w:t>
      </w:r>
      <w:r w:rsidR="00295609" w:rsidRPr="0078576D">
        <w:rPr>
          <w:rFonts w:asciiTheme="minorHAnsi" w:hAnsiTheme="minorHAnsi"/>
          <w:color w:val="auto"/>
          <w:sz w:val="22"/>
          <w:szCs w:val="22"/>
        </w:rPr>
        <w:t xml:space="preserve"> improve research capacity </w:t>
      </w:r>
      <w:r w:rsidR="000D4249" w:rsidRPr="0078576D">
        <w:rPr>
          <w:rFonts w:asciiTheme="minorHAnsi" w:hAnsiTheme="minorHAnsi"/>
          <w:color w:val="auto"/>
          <w:sz w:val="22"/>
          <w:szCs w:val="22"/>
        </w:rPr>
        <w:t xml:space="preserve">as well as conduct </w:t>
      </w:r>
      <w:r w:rsidR="00295609" w:rsidRPr="0078576D">
        <w:rPr>
          <w:rFonts w:asciiTheme="minorHAnsi" w:hAnsiTheme="minorHAnsi"/>
          <w:color w:val="auto"/>
          <w:sz w:val="22"/>
          <w:szCs w:val="22"/>
        </w:rPr>
        <w:t>research.</w:t>
      </w:r>
    </w:p>
    <w:p w14:paraId="69B54E2C" w14:textId="12B5D80F" w:rsidR="00150501" w:rsidRPr="0078576D" w:rsidRDefault="00150501" w:rsidP="00547A2C">
      <w:pPr>
        <w:pStyle w:val="Default"/>
        <w:spacing w:line="480" w:lineRule="auto"/>
        <w:rPr>
          <w:rFonts w:asciiTheme="minorHAnsi" w:hAnsiTheme="minorHAnsi"/>
          <w:color w:val="auto"/>
          <w:sz w:val="22"/>
          <w:szCs w:val="22"/>
          <w:lang w:eastAsia="en-GB"/>
        </w:rPr>
      </w:pPr>
    </w:p>
    <w:p w14:paraId="633FD54D" w14:textId="0A7C1F06" w:rsidR="00BE077E" w:rsidRPr="0078576D" w:rsidRDefault="00915AF5" w:rsidP="00843C19">
      <w:pPr>
        <w:spacing w:after="0" w:line="480" w:lineRule="auto"/>
        <w:rPr>
          <w:rFonts w:eastAsia="Times New Roman" w:cs="Arial"/>
          <w:lang w:eastAsia="en-GB"/>
        </w:rPr>
      </w:pPr>
      <w:bookmarkStart w:id="7" w:name="_Hlk525032050"/>
      <w:bookmarkEnd w:id="4"/>
      <w:r w:rsidRPr="0078576D">
        <w:rPr>
          <w:rFonts w:eastAsia="Times New Roman" w:cs="Arial"/>
          <w:lang w:eastAsia="en-GB"/>
        </w:rPr>
        <w:t xml:space="preserve">Although the average growth rate of production </w:t>
      </w:r>
      <w:r w:rsidR="00295609" w:rsidRPr="0078576D">
        <w:rPr>
          <w:rFonts w:eastAsia="Times New Roman" w:cs="Arial"/>
          <w:lang w:eastAsia="en-GB"/>
        </w:rPr>
        <w:t xml:space="preserve">of scientific research </w:t>
      </w:r>
      <w:r w:rsidRPr="0078576D">
        <w:rPr>
          <w:rFonts w:eastAsia="Times New Roman" w:cs="Arial"/>
          <w:lang w:eastAsia="en-GB"/>
        </w:rPr>
        <w:t>in Africa is faster than that of the world as a whole</w:t>
      </w:r>
      <w:r w:rsidR="00A11AE5">
        <w:rPr>
          <w:rFonts w:eastAsia="Times New Roman" w:cs="Arial"/>
          <w:lang w:eastAsia="en-GB"/>
        </w:rPr>
        <w:t xml:space="preserve"> [10]</w:t>
      </w:r>
      <w:r w:rsidRPr="0078576D">
        <w:rPr>
          <w:rFonts w:eastAsia="Times New Roman" w:cs="Arial"/>
          <w:lang w:eastAsia="en-GB"/>
        </w:rPr>
        <w:t xml:space="preserve">, </w:t>
      </w:r>
      <w:r w:rsidR="009A03D6">
        <w:rPr>
          <w:rFonts w:eastAsia="Times New Roman" w:cs="Arial"/>
          <w:lang w:eastAsia="en-GB"/>
        </w:rPr>
        <w:t xml:space="preserve">the </w:t>
      </w:r>
      <w:r w:rsidRPr="0078576D">
        <w:rPr>
          <w:rFonts w:eastAsia="Times New Roman" w:cs="Arial"/>
          <w:lang w:eastAsia="en-GB"/>
        </w:rPr>
        <w:t xml:space="preserve">African countries </w:t>
      </w:r>
      <w:r w:rsidR="009A03D6">
        <w:rPr>
          <w:rFonts w:eastAsia="Times New Roman" w:cs="Arial"/>
          <w:lang w:eastAsia="en-GB"/>
        </w:rPr>
        <w:t xml:space="preserve">as a whole </w:t>
      </w:r>
      <w:r w:rsidRPr="0078576D">
        <w:rPr>
          <w:rFonts w:eastAsia="Times New Roman" w:cs="Arial"/>
          <w:lang w:eastAsia="en-GB"/>
        </w:rPr>
        <w:t>only produce</w:t>
      </w:r>
      <w:r w:rsidR="00E76F44">
        <w:rPr>
          <w:rFonts w:eastAsia="Times New Roman" w:cs="Arial"/>
          <w:lang w:eastAsia="en-GB"/>
        </w:rPr>
        <w:t xml:space="preserve">d </w:t>
      </w:r>
      <w:r w:rsidRPr="0078576D">
        <w:rPr>
          <w:rFonts w:eastAsia="Times New Roman" w:cs="Arial"/>
          <w:lang w:eastAsia="en-GB"/>
        </w:rPr>
        <w:t>2</w:t>
      </w:r>
      <w:r w:rsidR="004D1C5E">
        <w:rPr>
          <w:rFonts w:eastAsia="Times New Roman" w:cs="Arial"/>
          <w:lang w:eastAsia="en-GB"/>
        </w:rPr>
        <w:t>.6</w:t>
      </w:r>
      <w:r w:rsidRPr="0078576D">
        <w:rPr>
          <w:rFonts w:eastAsia="Times New Roman" w:cs="Arial"/>
          <w:lang w:eastAsia="en-GB"/>
        </w:rPr>
        <w:t>% of the world’s total scientific output</w:t>
      </w:r>
      <w:r w:rsidR="00E76F44">
        <w:rPr>
          <w:rFonts w:eastAsia="Times New Roman" w:cs="Arial"/>
          <w:lang w:eastAsia="en-GB"/>
        </w:rPr>
        <w:t xml:space="preserve"> in 2014</w:t>
      </w:r>
      <w:r w:rsidR="006E074D" w:rsidRPr="0078576D">
        <w:rPr>
          <w:rFonts w:eastAsia="Times New Roman" w:cs="Arial"/>
          <w:lang w:eastAsia="en-GB"/>
        </w:rPr>
        <w:t xml:space="preserve"> </w:t>
      </w:r>
      <w:bookmarkStart w:id="8" w:name="_Hlk524954084"/>
      <w:r w:rsidR="006E074D" w:rsidRPr="0078576D">
        <w:rPr>
          <w:rFonts w:eastAsia="Times New Roman" w:cs="Arial"/>
          <w:lang w:eastAsia="en-GB"/>
        </w:rPr>
        <w:t>[</w:t>
      </w:r>
      <w:r w:rsidR="004D1C5E">
        <w:rPr>
          <w:rFonts w:eastAsia="Times New Roman" w:cs="Arial"/>
          <w:lang w:eastAsia="en-GB"/>
        </w:rPr>
        <w:t>12</w:t>
      </w:r>
      <w:r w:rsidR="006E074D" w:rsidRPr="0078576D">
        <w:rPr>
          <w:rFonts w:eastAsia="Times New Roman" w:cs="Arial"/>
          <w:lang w:eastAsia="en-GB"/>
        </w:rPr>
        <w:t>]</w:t>
      </w:r>
      <w:bookmarkEnd w:id="8"/>
      <w:r w:rsidRPr="0078576D">
        <w:rPr>
          <w:rFonts w:eastAsia="Times New Roman" w:cs="Arial"/>
          <w:lang w:eastAsia="en-GB"/>
        </w:rPr>
        <w:fldChar w:fldCharType="begin"/>
      </w:r>
      <w:r w:rsidRPr="0078576D">
        <w:rPr>
          <w:rFonts w:eastAsia="Times New Roman" w:cs="Arial"/>
          <w:lang w:eastAsia="en-GB"/>
        </w:rPr>
        <w:instrText xml:space="preserve"> ADDIN EN.CITE &lt;EndNote&gt;&lt;Cite&gt;&lt;Author&gt;Neupane&lt;/Author&gt;&lt;Year&gt;2015&lt;/Year&gt;&lt;RecNum&gt;128&lt;/RecNum&gt;&lt;DisplayText&gt;(Neupane, 2015)&lt;/DisplayText&gt;&lt;record&gt;&lt;rec-number&gt;128&lt;/rec-number&gt;&lt;foreign-keys&gt;&lt;key app="EN" db-id="090zexzxzxexwmevra6vfdvett2tva9a9fpf" timestamp="1470321982"&gt;128&lt;/key&gt;&lt;/foreign-keys&gt;&lt;ref-type name="Journal Article"&gt;17&lt;/ref-type&gt;&lt;contributors&gt;&lt;authors&gt;&lt;author&gt;Neupane, Bhanu&lt;/author&gt;&lt;/authors&gt;&lt;/contributors&gt;&lt;titles&gt;&lt;title&gt;A more developmental approach to science&lt;/title&gt;&lt;secondary-title&gt;UNESCO science report: towards 2030&lt;/secondary-title&gt;&lt;/titles&gt;&lt;periodical&gt;&lt;full-title&gt;UNESCO science report: towards 2030&lt;/full-title&gt;&lt;/periodical&gt;&lt;pages&gt;6&lt;/pages&gt;&lt;dates&gt;&lt;year&gt;2015&lt;/year&gt;&lt;/dates&gt;&lt;isbn&gt;9231001299&lt;/isbn&gt;&lt;urls&gt;&lt;/urls&gt;&lt;/record&gt;&lt;/Cite&gt;&lt;/EndNote&gt;</w:instrText>
      </w:r>
      <w:r w:rsidRPr="0078576D">
        <w:rPr>
          <w:rFonts w:eastAsia="Times New Roman" w:cs="Arial"/>
          <w:lang w:eastAsia="en-GB"/>
        </w:rPr>
        <w:fldChar w:fldCharType="end"/>
      </w:r>
      <w:r w:rsidR="004D1C5E">
        <w:rPr>
          <w:rFonts w:eastAsia="Times New Roman" w:cs="Arial"/>
          <w:lang w:eastAsia="en-GB"/>
        </w:rPr>
        <w:t xml:space="preserve"> which is </w:t>
      </w:r>
      <w:r w:rsidR="00E76F44">
        <w:rPr>
          <w:rFonts w:eastAsia="Times New Roman" w:cs="Arial"/>
          <w:lang w:eastAsia="en-GB"/>
        </w:rPr>
        <w:t>around</w:t>
      </w:r>
      <w:r w:rsidR="004D1C5E">
        <w:rPr>
          <w:rFonts w:eastAsia="Times New Roman" w:cs="Arial"/>
          <w:lang w:eastAsia="en-GB"/>
        </w:rPr>
        <w:t xml:space="preserve"> 29 publications per million inhabitants [</w:t>
      </w:r>
      <w:r w:rsidR="00010E21">
        <w:rPr>
          <w:rFonts w:eastAsia="Times New Roman" w:cs="Arial"/>
          <w:lang w:eastAsia="en-GB"/>
        </w:rPr>
        <w:t>12</w:t>
      </w:r>
      <w:r w:rsidR="004D1C5E">
        <w:rPr>
          <w:rFonts w:eastAsia="Times New Roman" w:cs="Arial"/>
          <w:lang w:eastAsia="en-GB"/>
        </w:rPr>
        <w:t>]</w:t>
      </w:r>
      <w:r w:rsidR="00E76F44">
        <w:rPr>
          <w:rFonts w:eastAsia="Times New Roman" w:cs="Arial"/>
          <w:lang w:eastAsia="en-GB"/>
        </w:rPr>
        <w:t xml:space="preserve">. </w:t>
      </w:r>
      <w:r w:rsidRPr="0078576D">
        <w:rPr>
          <w:rFonts w:eastAsia="Times New Roman" w:cs="Arial"/>
          <w:lang w:eastAsia="en-GB"/>
        </w:rPr>
        <w:t>This reflects the small numbers of researchers in Africa and decades of under-investment in research institutions</w:t>
      </w:r>
      <w:bookmarkEnd w:id="7"/>
      <w:r w:rsidRPr="0078576D">
        <w:rPr>
          <w:rFonts w:eastAsia="Times New Roman" w:cs="Arial"/>
          <w:lang w:eastAsia="en-GB"/>
        </w:rPr>
        <w:t>. Most countries in sub-Saharan Africa have less than 500 r</w:t>
      </w:r>
      <w:r w:rsidRPr="00F874F9">
        <w:rPr>
          <w:rFonts w:eastAsia="Times New Roman" w:cs="Arial"/>
          <w:lang w:eastAsia="en-GB"/>
        </w:rPr>
        <w:t xml:space="preserve">esearchers (of all disciplines) per million </w:t>
      </w:r>
      <w:r w:rsidRPr="0078576D">
        <w:rPr>
          <w:rFonts w:eastAsia="Times New Roman" w:cs="Arial"/>
          <w:lang w:eastAsia="en-GB"/>
        </w:rPr>
        <w:t>inhabitants compared to over 4000 per million inhabitants in the UK and North America</w:t>
      </w:r>
      <w:r w:rsidR="006E074D" w:rsidRPr="0078576D">
        <w:rPr>
          <w:rFonts w:eastAsia="Times New Roman" w:cs="Arial"/>
          <w:lang w:eastAsia="en-GB"/>
        </w:rPr>
        <w:t xml:space="preserve"> [</w:t>
      </w:r>
      <w:r w:rsidR="00010E21">
        <w:rPr>
          <w:rFonts w:eastAsia="Times New Roman" w:cs="Arial"/>
          <w:lang w:eastAsia="en-GB"/>
        </w:rPr>
        <w:t>13</w:t>
      </w:r>
      <w:r w:rsidR="00AF3295" w:rsidRPr="0078576D">
        <w:rPr>
          <w:rFonts w:eastAsia="Times New Roman" w:cs="Arial"/>
          <w:lang w:eastAsia="en-GB"/>
        </w:rPr>
        <w:t>]. There</w:t>
      </w:r>
      <w:r w:rsidRPr="0078576D">
        <w:rPr>
          <w:rFonts w:eastAsia="Times New Roman" w:cs="Arial"/>
          <w:lang w:eastAsia="en-GB"/>
        </w:rPr>
        <w:t xml:space="preserve"> are numerous disincentives to pursuing a research career in many African countries. These include heavy teaching loads, weak organisational research systems, lack of national research leadership, limited </w:t>
      </w:r>
      <w:r w:rsidRPr="00F874F9">
        <w:rPr>
          <w:rFonts w:eastAsia="Times New Roman" w:cs="Arial"/>
          <w:lang w:eastAsia="en-GB"/>
        </w:rPr>
        <w:t xml:space="preserve">access to scientific information, slow internet connections and inadequate physical facilities </w:t>
      </w:r>
      <w:r w:rsidRPr="0078576D">
        <w:rPr>
          <w:rFonts w:eastAsia="Times New Roman" w:cs="Arial"/>
          <w:lang w:eastAsia="en-GB"/>
        </w:rPr>
        <w:t>including libraries and laboratories</w:t>
      </w:r>
      <w:r w:rsidR="00AF3295" w:rsidRPr="0078576D">
        <w:rPr>
          <w:rFonts w:eastAsia="Times New Roman" w:cs="Arial"/>
          <w:lang w:eastAsia="en-GB"/>
        </w:rPr>
        <w:t xml:space="preserve"> [</w:t>
      </w:r>
      <w:r w:rsidR="00010E21">
        <w:rPr>
          <w:rFonts w:eastAsia="Times New Roman" w:cs="Arial"/>
          <w:lang w:eastAsia="en-GB"/>
        </w:rPr>
        <w:t>14</w:t>
      </w:r>
      <w:r w:rsidR="00AF3295" w:rsidRPr="0078576D">
        <w:rPr>
          <w:rFonts w:eastAsia="Times New Roman" w:cs="Arial"/>
          <w:lang w:eastAsia="en-GB"/>
        </w:rPr>
        <w:t>]</w:t>
      </w:r>
      <w:r w:rsidR="00A83F4C">
        <w:rPr>
          <w:rFonts w:eastAsia="Times New Roman" w:cs="Arial"/>
          <w:lang w:eastAsia="en-GB"/>
        </w:rPr>
        <w:t xml:space="preserve"> and scarce funding for research by the African governments [</w:t>
      </w:r>
      <w:r w:rsidR="00DD29B4">
        <w:rPr>
          <w:rFonts w:eastAsia="Times New Roman" w:cs="Arial"/>
          <w:lang w:eastAsia="en-GB"/>
        </w:rPr>
        <w:t>7</w:t>
      </w:r>
      <w:r w:rsidR="00A83F4C">
        <w:rPr>
          <w:rFonts w:eastAsia="Times New Roman" w:cs="Arial"/>
          <w:lang w:eastAsia="en-GB"/>
        </w:rPr>
        <w:t>]</w:t>
      </w:r>
      <w:r w:rsidR="00AF3295" w:rsidRPr="0078576D">
        <w:rPr>
          <w:rFonts w:eastAsia="Times New Roman" w:cs="Arial"/>
          <w:lang w:eastAsia="en-GB"/>
        </w:rPr>
        <w:t>.</w:t>
      </w:r>
      <w:r w:rsidR="00BE077E" w:rsidRPr="0078576D">
        <w:rPr>
          <w:rFonts w:eastAsia="Times New Roman" w:cs="Arial"/>
          <w:lang w:eastAsia="en-GB"/>
        </w:rPr>
        <w:t xml:space="preserve"> </w:t>
      </w:r>
      <w:r w:rsidRPr="0078576D">
        <w:rPr>
          <w:rFonts w:eastAsia="Times New Roman" w:cs="Arial"/>
          <w:lang w:eastAsia="en-GB"/>
        </w:rPr>
        <w:fldChar w:fldCharType="begin"/>
      </w:r>
      <w:r w:rsidRPr="0078576D">
        <w:rPr>
          <w:rFonts w:eastAsia="Times New Roman" w:cs="Arial"/>
          <w:lang w:eastAsia="en-GB"/>
        </w:rPr>
        <w:instrText xml:space="preserve"> ADDIN EN.CITE &lt;EndNote&gt;&lt;Cite&gt;&lt;Author&gt;Miiro&lt;/Author&gt;&lt;Year&gt;2013&lt;/Year&gt;&lt;RecNum&gt;129&lt;/RecNum&gt;&lt;DisplayText&gt;(Miiro et al., 2013, Cole et al., 2015)&lt;/DisplayText&gt;&lt;record&gt;&lt;rec-number&gt;129&lt;/rec-number&gt;&lt;foreign-keys&gt;&lt;key app="EN" db-id="090zexzxzxexwmevra6vfdvett2tva9a9fpf" timestamp="1470323115"&gt;129&lt;/key&gt;&lt;/foreign-keys&gt;&lt;ref-type name="Journal Article"&gt;17&lt;/ref-type&gt;&lt;contributors&gt;&lt;authors&gt;&lt;author&gt;Miiro, George M&lt;/author&gt;&lt;author&gt;Oukem-Boyer, Odile Ouwe Missi&lt;/author&gt;&lt;author&gt;Sarr, Ousmane&lt;/author&gt;&lt;author&gt;Rahmani, Maerangis&lt;/author&gt;&lt;author&gt;Ntoumi, Francine&lt;/author&gt;&lt;author&gt;Dheda, Keertan&lt;/author&gt;&lt;author&gt;Pym, Alexander&lt;/author&gt;&lt;author&gt;Mboup, Souleymane&lt;/author&gt;&lt;author&gt;Kaleebu, Pontiano&lt;/author&gt;&lt;/authors&gt;&lt;/contributors&gt;&lt;titles&gt;&lt;title&gt;EDCTP regional networks of excellence: initial merits for planned clinical trials in Africa&lt;/title&gt;&lt;secondary-title&gt;BMC Public Health&lt;/secondary-title&gt;&lt;/titles&gt;&lt;periodical&gt;&lt;full-title&gt;BMC Public Health&lt;/full-title&gt;&lt;/periodical&gt;&lt;pages&gt;1&lt;/pages&gt;&lt;volume&gt;13&lt;/volume&gt;&lt;number&gt;1&lt;/number&gt;&lt;dates&gt;&lt;year&gt;2013&lt;/year&gt;&lt;/dates&gt;&lt;isbn&gt;1471-2458&lt;/isbn&gt;&lt;urls&gt;&lt;/urls&gt;&lt;/record&gt;&lt;/Cite&gt;&lt;Cite&gt;&lt;Author&gt;Cole&lt;/Author&gt;&lt;Year&gt;2015&lt;/Year&gt;&lt;RecNum&gt;53&lt;/RecNum&gt;&lt;record&gt;&lt;rec-number&gt;53&lt;/rec-number&gt;&lt;foreign-keys&gt;&lt;key app="EN" db-id="090zexzxzxexwmevra6vfdvett2tva9a9fpf" timestamp="1448900910"&gt;53&lt;/key&gt;&lt;/foreign-keys&gt;&lt;ref-type name="Journal Article"&gt;17&lt;/ref-type&gt;&lt;contributors&gt;&lt;authors&gt;&lt;author&gt;Cole, Donald C&lt;/author&gt;&lt;author&gt;Johnson, Nancy&lt;/author&gt;&lt;author&gt;Mejia, Raul&lt;/author&gt;&lt;author&gt;McCullough, Hazel&lt;/author&gt;&lt;author&gt;Turcotte-Tremblay, Anne-Marie&lt;/author&gt;&lt;author&gt;Barnoya, Joaquin&lt;/author&gt;&lt;author&gt;Falabella Luco, Soledad&lt;/author&gt;&lt;/authors&gt;&lt;/contributors&gt;&lt;titles&gt;&lt;title&gt;Mentoring health researchers globally: Diverse experiences, programmes, challenges and responses&lt;/title&gt;&lt;secondary-title&gt;Global public health&lt;/secondary-title&gt;&lt;/titles&gt;&lt;periodical&gt;&lt;full-title&gt;Global public health&lt;/full-title&gt;&lt;/periodical&gt;&lt;pages&gt;1-16&lt;/pages&gt;&lt;dates&gt;&lt;year&gt;2015&lt;/year&gt;&lt;/dates&gt;&lt;isbn&gt;1744-1692&lt;/isbn&gt;&lt;urls&gt;&lt;/urls&gt;&lt;/record&gt;&lt;/Cite&gt;&lt;/EndNote&gt;</w:instrText>
      </w:r>
      <w:r w:rsidRPr="0078576D">
        <w:rPr>
          <w:rFonts w:eastAsia="Times New Roman" w:cs="Arial"/>
          <w:lang w:eastAsia="en-GB"/>
        </w:rPr>
        <w:fldChar w:fldCharType="end"/>
      </w:r>
      <w:r w:rsidRPr="0078576D">
        <w:rPr>
          <w:rFonts w:eastAsia="Times New Roman" w:cs="Arial"/>
          <w:lang w:eastAsia="en-GB"/>
        </w:rPr>
        <w:t>Researchers need a conducive environment in which to flourish</w:t>
      </w:r>
      <w:r w:rsidR="00BE077E" w:rsidRPr="0078576D">
        <w:rPr>
          <w:rFonts w:eastAsia="Times New Roman" w:cs="Arial"/>
          <w:lang w:eastAsia="en-GB"/>
        </w:rPr>
        <w:t xml:space="preserve"> </w:t>
      </w:r>
      <w:r w:rsidR="008145F1" w:rsidRPr="0078576D">
        <w:rPr>
          <w:rFonts w:eastAsia="Times New Roman" w:cs="Arial"/>
          <w:lang w:eastAsia="en-GB"/>
        </w:rPr>
        <w:t xml:space="preserve">so some </w:t>
      </w:r>
      <w:r w:rsidR="00BE077E" w:rsidRPr="0078576D">
        <w:t>funders are streamlining their research capacity strengthening efforts into large transformative initiatives</w:t>
      </w:r>
      <w:r w:rsidRPr="0078576D">
        <w:rPr>
          <w:rFonts w:eastAsia="Times New Roman" w:cs="Arial"/>
          <w:lang w:eastAsia="en-GB"/>
        </w:rPr>
        <w:t xml:space="preserve"> </w:t>
      </w:r>
      <w:r w:rsidR="008145F1" w:rsidRPr="0078576D">
        <w:rPr>
          <w:rFonts w:eastAsia="Times New Roman" w:cs="Arial"/>
          <w:lang w:eastAsia="en-GB"/>
        </w:rPr>
        <w:t>to strengthen</w:t>
      </w:r>
      <w:r w:rsidRPr="0078576D">
        <w:rPr>
          <w:rFonts w:eastAsia="Times New Roman" w:cs="Arial"/>
          <w:lang w:eastAsia="en-GB"/>
        </w:rPr>
        <w:t xml:space="preserve"> national and institutional research systems, structures, governance and management</w:t>
      </w:r>
      <w:r w:rsidR="00AF3295" w:rsidRPr="0078576D">
        <w:rPr>
          <w:rFonts w:eastAsia="Times New Roman" w:cs="Arial"/>
          <w:lang w:eastAsia="en-GB"/>
        </w:rPr>
        <w:t xml:space="preserve"> </w:t>
      </w:r>
      <w:r w:rsidR="00BF2B00" w:rsidRPr="0078576D">
        <w:rPr>
          <w:rFonts w:eastAsia="Times New Roman" w:cs="Arial"/>
          <w:lang w:eastAsia="en-GB"/>
        </w:rPr>
        <w:t>[</w:t>
      </w:r>
      <w:r w:rsidR="00010E21">
        <w:rPr>
          <w:rFonts w:eastAsia="Times New Roman" w:cs="Arial"/>
          <w:lang w:eastAsia="en-GB"/>
        </w:rPr>
        <w:t>15-16</w:t>
      </w:r>
      <w:r w:rsidR="00AF3295" w:rsidRPr="0078576D">
        <w:rPr>
          <w:rFonts w:eastAsia="Times New Roman" w:cs="Arial"/>
          <w:lang w:eastAsia="en-GB"/>
        </w:rPr>
        <w:t xml:space="preserve">]. </w:t>
      </w:r>
    </w:p>
    <w:p w14:paraId="22E6D466" w14:textId="77777777" w:rsidR="00BE077E" w:rsidRPr="0078576D" w:rsidRDefault="00BE077E" w:rsidP="00843C19">
      <w:pPr>
        <w:spacing w:after="0" w:line="480" w:lineRule="auto"/>
        <w:rPr>
          <w:rFonts w:eastAsia="Times New Roman" w:cs="Arial"/>
          <w:lang w:eastAsia="en-GB"/>
        </w:rPr>
      </w:pPr>
    </w:p>
    <w:p w14:paraId="0C6F1657" w14:textId="6F334225" w:rsidR="00124149" w:rsidRDefault="00FF7DCB" w:rsidP="00843C19">
      <w:pPr>
        <w:spacing w:after="0" w:line="480" w:lineRule="auto"/>
        <w:rPr>
          <w:rFonts w:cs="Arial"/>
        </w:rPr>
      </w:pPr>
      <w:r w:rsidRPr="0078576D">
        <w:rPr>
          <w:rFonts w:cs="Arial"/>
        </w:rPr>
        <w:t xml:space="preserve">To inform future </w:t>
      </w:r>
      <w:r w:rsidR="00295609" w:rsidRPr="0078576D">
        <w:rPr>
          <w:rFonts w:cs="Arial"/>
        </w:rPr>
        <w:t xml:space="preserve">global </w:t>
      </w:r>
      <w:r w:rsidRPr="0078576D">
        <w:rPr>
          <w:rFonts w:cs="Arial"/>
        </w:rPr>
        <w:t xml:space="preserve">development </w:t>
      </w:r>
      <w:r w:rsidR="00295609" w:rsidRPr="00010E21">
        <w:rPr>
          <w:rFonts w:cs="Arial"/>
        </w:rPr>
        <w:t>strategies</w:t>
      </w:r>
      <w:r w:rsidR="00E87507" w:rsidRPr="00010E21">
        <w:rPr>
          <w:rFonts w:cs="Arial"/>
        </w:rPr>
        <w:t xml:space="preserve"> </w:t>
      </w:r>
      <w:r w:rsidR="00E87507" w:rsidRPr="00010E21">
        <w:rPr>
          <w:rFonts w:eastAsia="Times New Roman" w:cs="Arial"/>
          <w:lang w:eastAsia="en-GB"/>
        </w:rPr>
        <w:t>[</w:t>
      </w:r>
      <w:r w:rsidR="00010E21" w:rsidRPr="00010E21">
        <w:rPr>
          <w:rFonts w:eastAsia="Times New Roman" w:cs="Arial"/>
          <w:lang w:eastAsia="en-GB"/>
        </w:rPr>
        <w:t>10</w:t>
      </w:r>
      <w:r w:rsidR="00E87507" w:rsidRPr="00010E21">
        <w:rPr>
          <w:rFonts w:eastAsia="Times New Roman" w:cs="Arial"/>
          <w:lang w:eastAsia="en-GB"/>
        </w:rPr>
        <w:t>]</w:t>
      </w:r>
      <w:r w:rsidRPr="00010E21">
        <w:rPr>
          <w:rFonts w:cs="Arial"/>
        </w:rPr>
        <w:t xml:space="preserve">, </w:t>
      </w:r>
      <w:r w:rsidRPr="00010E21">
        <w:t>it is</w:t>
      </w:r>
      <w:r w:rsidRPr="0078576D">
        <w:t xml:space="preserve"> essential to understand which research capacity strengthening activities work best </w:t>
      </w:r>
      <w:r w:rsidR="008145F1" w:rsidRPr="0078576D">
        <w:t xml:space="preserve">and </w:t>
      </w:r>
      <w:r w:rsidRPr="0078576D">
        <w:t xml:space="preserve">in what contexts, to be </w:t>
      </w:r>
      <w:r w:rsidRPr="000C69EA">
        <w:t xml:space="preserve">clear about what </w:t>
      </w:r>
      <w:r w:rsidRPr="000C69EA">
        <w:rPr>
          <w:rFonts w:cs="Arial"/>
        </w:rPr>
        <w:t xml:space="preserve">outcomes these activities are trying to achieve and to make sure these outcomes are </w:t>
      </w:r>
      <w:r w:rsidR="00545E34" w:rsidRPr="000C69EA">
        <w:rPr>
          <w:rFonts w:cs="Arial"/>
        </w:rPr>
        <w:t>realistic</w:t>
      </w:r>
      <w:r w:rsidR="00545E34" w:rsidRPr="000C69EA">
        <w:rPr>
          <w:rFonts w:eastAsia="Times New Roman" w:cs="Arial"/>
          <w:lang w:eastAsia="en-GB"/>
        </w:rPr>
        <w:t xml:space="preserve"> [</w:t>
      </w:r>
      <w:r w:rsidR="000C69EA" w:rsidRPr="000C69EA">
        <w:rPr>
          <w:rFonts w:eastAsia="Times New Roman" w:cs="Arial"/>
          <w:lang w:eastAsia="en-GB"/>
        </w:rPr>
        <w:t>10</w:t>
      </w:r>
      <w:r w:rsidR="00E87507" w:rsidRPr="000C69EA">
        <w:rPr>
          <w:rFonts w:eastAsia="Times New Roman" w:cs="Arial"/>
          <w:lang w:eastAsia="en-GB"/>
        </w:rPr>
        <w:t>]</w:t>
      </w:r>
      <w:r w:rsidRPr="000C69EA">
        <w:rPr>
          <w:rFonts w:cs="Arial"/>
        </w:rPr>
        <w:t>.</w:t>
      </w:r>
      <w:r w:rsidR="00CE0FAE" w:rsidRPr="000C69EA">
        <w:rPr>
          <w:rFonts w:cs="Arial"/>
        </w:rPr>
        <w:t xml:space="preserve"> </w:t>
      </w:r>
      <w:r w:rsidR="00915AF5" w:rsidRPr="000C69EA">
        <w:rPr>
          <w:rFonts w:cs="Corbel"/>
        </w:rPr>
        <w:t>However, des</w:t>
      </w:r>
      <w:r w:rsidR="009D787D" w:rsidRPr="000C69EA">
        <w:rPr>
          <w:rFonts w:cs="Corbel"/>
        </w:rPr>
        <w:t xml:space="preserve">pite </w:t>
      </w:r>
      <w:r w:rsidR="00915AF5" w:rsidRPr="000C69EA">
        <w:rPr>
          <w:rFonts w:eastAsia="Times New Roman" w:cs="Arial"/>
          <w:lang w:eastAsia="en-GB"/>
        </w:rPr>
        <w:t>calls for more robust evaluations of capacity development</w:t>
      </w:r>
      <w:r w:rsidR="00E87507" w:rsidRPr="000C69EA">
        <w:rPr>
          <w:rFonts w:eastAsia="Times New Roman" w:cs="Arial"/>
          <w:lang w:eastAsia="en-GB"/>
        </w:rPr>
        <w:t xml:space="preserve"> [</w:t>
      </w:r>
      <w:r w:rsidR="000C69EA">
        <w:rPr>
          <w:rFonts w:eastAsia="Times New Roman" w:cs="Arial"/>
          <w:lang w:eastAsia="en-GB"/>
        </w:rPr>
        <w:t>17</w:t>
      </w:r>
      <w:r w:rsidR="00E87507" w:rsidRPr="000C69EA">
        <w:rPr>
          <w:rFonts w:eastAsia="Times New Roman" w:cs="Arial"/>
          <w:lang w:eastAsia="en-GB"/>
        </w:rPr>
        <w:t>]</w:t>
      </w:r>
      <w:r w:rsidR="00915AF5" w:rsidRPr="000C69EA">
        <w:rPr>
          <w:rFonts w:eastAsia="Times New Roman" w:cs="Lucida Sans Unicode"/>
          <w:bCs/>
          <w:lang w:eastAsia="en-CA"/>
        </w:rPr>
        <w:t>,</w:t>
      </w:r>
      <w:r w:rsidR="00CE0FAE" w:rsidRPr="000C69EA">
        <w:rPr>
          <w:rFonts w:eastAsia="Times New Roman" w:cs="Lucida Sans Unicode"/>
          <w:bCs/>
          <w:lang w:eastAsia="en-CA"/>
        </w:rPr>
        <w:t xml:space="preserve"> </w:t>
      </w:r>
      <w:r w:rsidR="00915AF5" w:rsidRPr="000C69EA">
        <w:rPr>
          <w:rFonts w:eastAsia="Times New Roman" w:cs="Arial"/>
          <w:lang w:eastAsia="en-GB"/>
        </w:rPr>
        <w:t>the evidence</w:t>
      </w:r>
      <w:r w:rsidR="00915AF5" w:rsidRPr="0078576D">
        <w:rPr>
          <w:rFonts w:eastAsia="Times New Roman" w:cs="Arial"/>
          <w:lang w:eastAsia="en-GB"/>
        </w:rPr>
        <w:t xml:space="preserve"> needed to inform effective </w:t>
      </w:r>
      <w:r w:rsidR="00915AF5" w:rsidRPr="000C69EA">
        <w:rPr>
          <w:rFonts w:eastAsia="Times New Roman" w:cs="Arial"/>
          <w:lang w:eastAsia="en-GB"/>
        </w:rPr>
        <w:t>implementation and evaluation of programmes for strengthening research capacity remains weak</w:t>
      </w:r>
      <w:r w:rsidR="00432872" w:rsidRPr="000C69EA">
        <w:rPr>
          <w:rFonts w:eastAsia="Times New Roman" w:cs="Arial"/>
          <w:lang w:eastAsia="en-GB"/>
        </w:rPr>
        <w:t xml:space="preserve"> </w:t>
      </w:r>
      <w:r w:rsidR="00962F42" w:rsidRPr="000C69EA">
        <w:rPr>
          <w:rFonts w:eastAsia="Times New Roman" w:cs="Arial"/>
          <w:lang w:eastAsia="en-GB"/>
        </w:rPr>
        <w:t>[</w:t>
      </w:r>
      <w:r w:rsidR="000C69EA" w:rsidRPr="000C69EA">
        <w:rPr>
          <w:rFonts w:eastAsia="Times New Roman" w:cs="Arial"/>
          <w:lang w:eastAsia="en-GB"/>
        </w:rPr>
        <w:t>18-19</w:t>
      </w:r>
      <w:r w:rsidR="00E87507" w:rsidRPr="000C69EA">
        <w:rPr>
          <w:rFonts w:eastAsia="Times New Roman" w:cs="Arial"/>
          <w:lang w:eastAsia="en-GB"/>
        </w:rPr>
        <w:t>]</w:t>
      </w:r>
      <w:r w:rsidRPr="000C69EA">
        <w:rPr>
          <w:rFonts w:eastAsia="Times New Roman" w:cs="Arial"/>
          <w:lang w:eastAsia="en-GB"/>
        </w:rPr>
        <w:t>.</w:t>
      </w:r>
      <w:r w:rsidRPr="0078576D">
        <w:rPr>
          <w:rFonts w:eastAsia="Times New Roman" w:cs="Arial"/>
          <w:lang w:eastAsia="en-GB"/>
        </w:rPr>
        <w:t xml:space="preserve"> M</w:t>
      </w:r>
      <w:r w:rsidRPr="0078576D">
        <w:t xml:space="preserve">easuring the impact of research capacity strengthening programmes is notoriously difficult </w:t>
      </w:r>
      <w:r w:rsidR="00915AF5" w:rsidRPr="0078576D">
        <w:rPr>
          <w:rFonts w:eastAsia="Times New Roman" w:cs="Arial"/>
          <w:lang w:eastAsia="en-GB"/>
        </w:rPr>
        <w:t>and the lack of clearly defined goals</w:t>
      </w:r>
      <w:r w:rsidR="00A70735" w:rsidRPr="0078576D">
        <w:rPr>
          <w:rFonts w:eastAsia="Times New Roman" w:cs="Arial"/>
          <w:lang w:eastAsia="en-GB"/>
        </w:rPr>
        <w:t>, assessments or</w:t>
      </w:r>
      <w:r w:rsidR="00915AF5" w:rsidRPr="0078576D">
        <w:rPr>
          <w:rFonts w:eastAsia="Times New Roman" w:cs="Arial"/>
          <w:lang w:eastAsia="en-GB"/>
        </w:rPr>
        <w:t xml:space="preserve"> baselines against which to evaluate the success of research capacity strengthening programmes makes it difficult to track their </w:t>
      </w:r>
      <w:r w:rsidR="00915AF5" w:rsidRPr="0078576D">
        <w:rPr>
          <w:rFonts w:eastAsia="Times New Roman" w:cs="Arial"/>
          <w:lang w:eastAsia="en-GB"/>
        </w:rPr>
        <w:lastRenderedPageBreak/>
        <w:t xml:space="preserve">progress and </w:t>
      </w:r>
      <w:r w:rsidR="00915AF5" w:rsidRPr="000C69EA">
        <w:rPr>
          <w:rFonts w:eastAsia="Times New Roman" w:cs="Arial"/>
          <w:lang w:eastAsia="en-GB"/>
        </w:rPr>
        <w:t>impact</w:t>
      </w:r>
      <w:r w:rsidR="00C80A7E" w:rsidRPr="000C69EA">
        <w:t xml:space="preserve"> </w:t>
      </w:r>
      <w:r w:rsidR="00C80A7E" w:rsidRPr="000C69EA">
        <w:rPr>
          <w:rFonts w:eastAsia="Times New Roman" w:cs="Arial"/>
          <w:lang w:eastAsia="en-GB"/>
        </w:rPr>
        <w:t>[</w:t>
      </w:r>
      <w:r w:rsidR="000C69EA" w:rsidRPr="000C69EA">
        <w:rPr>
          <w:rFonts w:eastAsia="Times New Roman" w:cs="Arial"/>
          <w:lang w:eastAsia="en-GB"/>
        </w:rPr>
        <w:t>20</w:t>
      </w:r>
      <w:r w:rsidR="00C80A7E" w:rsidRPr="000C69EA">
        <w:rPr>
          <w:rFonts w:eastAsia="Times New Roman" w:cs="Arial"/>
          <w:lang w:eastAsia="en-GB"/>
        </w:rPr>
        <w:t>]</w:t>
      </w:r>
      <w:r w:rsidR="00C80A7E" w:rsidRPr="000C69EA">
        <w:t>.</w:t>
      </w:r>
      <w:r w:rsidR="00C80A7E" w:rsidRPr="000C69EA">
        <w:rPr>
          <w:sz w:val="18"/>
          <w:szCs w:val="18"/>
        </w:rPr>
        <w:t xml:space="preserve"> </w:t>
      </w:r>
      <w:r w:rsidR="00295609" w:rsidRPr="000C69EA">
        <w:rPr>
          <w:rFonts w:cs="Arial"/>
        </w:rPr>
        <w:t>The</w:t>
      </w:r>
      <w:r w:rsidR="00295609" w:rsidRPr="0078576D">
        <w:rPr>
          <w:rFonts w:cs="Arial"/>
        </w:rPr>
        <w:t xml:space="preserve"> use of different </w:t>
      </w:r>
      <w:r w:rsidR="004041CE" w:rsidRPr="0078576D">
        <w:rPr>
          <w:rFonts w:cs="Arial"/>
        </w:rPr>
        <w:t xml:space="preserve">methods </w:t>
      </w:r>
      <w:r w:rsidR="004041CE" w:rsidRPr="00F874F9">
        <w:rPr>
          <w:rFonts w:cs="Arial"/>
        </w:rPr>
        <w:t xml:space="preserve">and tools for data collection </w:t>
      </w:r>
      <w:r w:rsidR="00295609" w:rsidRPr="00F874F9">
        <w:rPr>
          <w:rFonts w:cs="Arial"/>
        </w:rPr>
        <w:t xml:space="preserve">across programmes </w:t>
      </w:r>
      <w:r w:rsidR="004041CE" w:rsidRPr="00F874F9">
        <w:rPr>
          <w:rFonts w:cs="Arial"/>
        </w:rPr>
        <w:t xml:space="preserve">mean that </w:t>
      </w:r>
      <w:r w:rsidR="00CB5432" w:rsidRPr="00F874F9">
        <w:rPr>
          <w:rFonts w:cs="Arial"/>
        </w:rPr>
        <w:t xml:space="preserve">comparisons cannot be made and </w:t>
      </w:r>
      <w:r w:rsidR="00295609" w:rsidRPr="00F874F9">
        <w:rPr>
          <w:rFonts w:cs="Arial"/>
        </w:rPr>
        <w:t xml:space="preserve">so </w:t>
      </w:r>
      <w:r w:rsidR="004041CE" w:rsidRPr="00F874F9">
        <w:rPr>
          <w:rFonts w:cs="Arial"/>
        </w:rPr>
        <w:t>lessons cannot be learnt to improve and compare future research capacity strengthening programmes</w:t>
      </w:r>
      <w:r w:rsidR="00CB5432" w:rsidRPr="00F874F9">
        <w:rPr>
          <w:rFonts w:cs="Arial"/>
        </w:rPr>
        <w:t>.</w:t>
      </w:r>
    </w:p>
    <w:p w14:paraId="1CB8AD72" w14:textId="77777777" w:rsidR="00562C36" w:rsidRPr="00F874F9" w:rsidRDefault="00562C36" w:rsidP="00843C19">
      <w:pPr>
        <w:spacing w:after="0" w:line="480" w:lineRule="auto"/>
        <w:rPr>
          <w:rFonts w:cs="Arial"/>
          <w:sz w:val="24"/>
          <w:szCs w:val="24"/>
        </w:rPr>
      </w:pPr>
    </w:p>
    <w:p w14:paraId="73E2BDD6" w14:textId="1D781F0B" w:rsidR="008145F1" w:rsidRPr="0078576D" w:rsidRDefault="00CE1DFF" w:rsidP="00843C19">
      <w:pPr>
        <w:spacing w:after="0" w:line="480" w:lineRule="auto"/>
      </w:pPr>
      <w:r w:rsidRPr="00F874F9">
        <w:rPr>
          <w:rFonts w:eastAsia="Times New Roman" w:cs="Arial"/>
          <w:lang w:eastAsia="en-GB"/>
        </w:rPr>
        <w:t>The UK Government’s Department for International Development (DFID),</w:t>
      </w:r>
      <w:r w:rsidR="00C0348F" w:rsidRPr="00F874F9">
        <w:rPr>
          <w:rFonts w:cs="Corbel"/>
        </w:rPr>
        <w:t xml:space="preserve"> </w:t>
      </w:r>
      <w:r w:rsidR="00BC5DFA" w:rsidRPr="00F874F9">
        <w:t xml:space="preserve">in partnership with </w:t>
      </w:r>
      <w:r w:rsidR="00C0348F" w:rsidRPr="00F874F9">
        <w:rPr>
          <w:rFonts w:cs="Corbel"/>
        </w:rPr>
        <w:t>the UK’s Royal Society</w:t>
      </w:r>
      <w:r w:rsidR="00405744" w:rsidRPr="00F874F9">
        <w:rPr>
          <w:rFonts w:cs="Corbel"/>
        </w:rPr>
        <w:t xml:space="preserve"> (RS)</w:t>
      </w:r>
      <w:r w:rsidR="00C0348F" w:rsidRPr="00F874F9">
        <w:rPr>
          <w:rFonts w:cs="Corbel"/>
        </w:rPr>
        <w:t xml:space="preserve">, has funded the Africa </w:t>
      </w:r>
      <w:r w:rsidR="00C0348F" w:rsidRPr="0078576D">
        <w:rPr>
          <w:rFonts w:cs="Corbel"/>
        </w:rPr>
        <w:t>Capacity Building Initiative (ACBI)</w:t>
      </w:r>
      <w:r w:rsidR="002566B9">
        <w:rPr>
          <w:rFonts w:cs="Corbel"/>
        </w:rPr>
        <w:t xml:space="preserve">, a pilot </w:t>
      </w:r>
      <w:r w:rsidR="00573A29">
        <w:rPr>
          <w:rFonts w:cs="Corbel"/>
        </w:rPr>
        <w:t>study</w:t>
      </w:r>
      <w:r w:rsidR="002A63ED">
        <w:rPr>
          <w:rFonts w:cs="Corbel"/>
        </w:rPr>
        <w:t xml:space="preserve">, </w:t>
      </w:r>
      <w:r w:rsidR="00573A29" w:rsidRPr="0078576D">
        <w:rPr>
          <w:rFonts w:cs="Corbel"/>
        </w:rPr>
        <w:t>to</w:t>
      </w:r>
      <w:r w:rsidR="00C0348F" w:rsidRPr="0078576D">
        <w:rPr>
          <w:rFonts w:cs="Corbel"/>
        </w:rPr>
        <w:t xml:space="preserve"> ‘strengthen the research and training capacity of higher education institutions and support the development of individual scientists in sub-Saharan Africa through UK-Africa research collaborations’</w:t>
      </w:r>
      <w:r w:rsidR="00C80A7E" w:rsidRPr="0078576D">
        <w:rPr>
          <w:rFonts w:cs="Corbel"/>
        </w:rPr>
        <w:t xml:space="preserve"> </w:t>
      </w:r>
      <w:r w:rsidR="00C80A7E" w:rsidRPr="0078576D">
        <w:rPr>
          <w:rFonts w:eastAsia="Times New Roman" w:cs="Arial"/>
          <w:lang w:eastAsia="en-GB"/>
        </w:rPr>
        <w:t>[</w:t>
      </w:r>
      <w:r w:rsidR="001108F7">
        <w:rPr>
          <w:rFonts w:eastAsia="Times New Roman" w:cs="Arial"/>
          <w:lang w:eastAsia="en-GB"/>
        </w:rPr>
        <w:t>21</w:t>
      </w:r>
      <w:r w:rsidR="00C80A7E" w:rsidRPr="0078576D">
        <w:rPr>
          <w:rFonts w:eastAsia="Times New Roman" w:cs="Arial"/>
          <w:lang w:eastAsia="en-GB"/>
        </w:rPr>
        <w:t>]</w:t>
      </w:r>
      <w:r w:rsidR="00D80CD7" w:rsidRPr="0078576D">
        <w:rPr>
          <w:rFonts w:eastAsia="Times New Roman" w:cs="Arial"/>
          <w:lang w:eastAsia="en-GB"/>
        </w:rPr>
        <w:t>.</w:t>
      </w:r>
      <w:r w:rsidR="004E106D" w:rsidRPr="0078576D">
        <w:rPr>
          <w:rFonts w:cs="Corbel"/>
        </w:rPr>
        <w:t xml:space="preserve"> </w:t>
      </w:r>
      <w:r w:rsidR="00B8335F" w:rsidRPr="0078576D">
        <w:rPr>
          <w:rFonts w:cs="Corbel"/>
        </w:rPr>
        <w:t xml:space="preserve">Research in the </w:t>
      </w:r>
      <w:r w:rsidR="00C0348F" w:rsidRPr="0078576D">
        <w:rPr>
          <w:rFonts w:cs="Corbel"/>
        </w:rPr>
        <w:t xml:space="preserve">ACBI </w:t>
      </w:r>
      <w:r w:rsidR="00B8335F" w:rsidRPr="0078576D">
        <w:rPr>
          <w:rFonts w:cs="Corbel"/>
        </w:rPr>
        <w:t>focuses on three areas</w:t>
      </w:r>
      <w:r w:rsidR="008145F1" w:rsidRPr="0078576D">
        <w:rPr>
          <w:rFonts w:cs="Corbel"/>
        </w:rPr>
        <w:t xml:space="preserve"> - </w:t>
      </w:r>
      <w:r w:rsidR="00C0348F" w:rsidRPr="0078576D">
        <w:rPr>
          <w:rFonts w:cs="Corbel"/>
        </w:rPr>
        <w:t xml:space="preserve">water and sanitation, renewable energy and </w:t>
      </w:r>
      <w:r w:rsidR="00405744" w:rsidRPr="0078576D">
        <w:rPr>
          <w:rFonts w:cs="Corbel"/>
        </w:rPr>
        <w:t>soil</w:t>
      </w:r>
      <w:r w:rsidR="008145F1" w:rsidRPr="0078576D">
        <w:rPr>
          <w:rFonts w:cs="Corbel"/>
        </w:rPr>
        <w:t>-related</w:t>
      </w:r>
      <w:r w:rsidR="00405744" w:rsidRPr="0078576D">
        <w:rPr>
          <w:rFonts w:cs="Corbel"/>
        </w:rPr>
        <w:t xml:space="preserve"> science</w:t>
      </w:r>
      <w:r w:rsidR="008145F1" w:rsidRPr="0078576D">
        <w:rPr>
          <w:rFonts w:cs="Corbel"/>
        </w:rPr>
        <w:t xml:space="preserve"> - </w:t>
      </w:r>
      <w:r w:rsidR="00C0348F" w:rsidRPr="0078576D">
        <w:rPr>
          <w:rFonts w:cs="Corbel"/>
        </w:rPr>
        <w:t xml:space="preserve">and aims to initiate lasting </w:t>
      </w:r>
      <w:r w:rsidR="00B8335F" w:rsidRPr="0078576D">
        <w:rPr>
          <w:rFonts w:cs="Corbel"/>
        </w:rPr>
        <w:t>improvements</w:t>
      </w:r>
      <w:r w:rsidR="00C0348F" w:rsidRPr="0078576D">
        <w:rPr>
          <w:rFonts w:cs="Corbel"/>
        </w:rPr>
        <w:t xml:space="preserve"> in the research environment within the African host </w:t>
      </w:r>
      <w:r w:rsidR="006E58BC" w:rsidRPr="00F874F9">
        <w:rPr>
          <w:rFonts w:cs="Corbel"/>
        </w:rPr>
        <w:t>institutions</w:t>
      </w:r>
      <w:r w:rsidR="00C0348F" w:rsidRPr="00F874F9">
        <w:rPr>
          <w:rFonts w:cs="Corbel"/>
        </w:rPr>
        <w:t xml:space="preserve">. </w:t>
      </w:r>
      <w:r w:rsidR="00B8335F" w:rsidRPr="00F874F9">
        <w:rPr>
          <w:rFonts w:cs="Corbel"/>
        </w:rPr>
        <w:t xml:space="preserve">The ACBI comprises ten </w:t>
      </w:r>
      <w:r w:rsidR="00C0348F" w:rsidRPr="00F874F9">
        <w:rPr>
          <w:rFonts w:cs="Corbel"/>
        </w:rPr>
        <w:t>research consortia</w:t>
      </w:r>
      <w:r w:rsidR="008145F1">
        <w:rPr>
          <w:rFonts w:cs="Corbel"/>
        </w:rPr>
        <w:t xml:space="preserve">; </w:t>
      </w:r>
      <w:r w:rsidR="00C0348F" w:rsidRPr="00F874F9">
        <w:rPr>
          <w:rFonts w:cs="Corbel"/>
        </w:rPr>
        <w:t xml:space="preserve">each </w:t>
      </w:r>
      <w:r w:rsidR="00B57057" w:rsidRPr="00F874F9">
        <w:rPr>
          <w:rFonts w:cs="Corbel"/>
        </w:rPr>
        <w:t xml:space="preserve">consortium </w:t>
      </w:r>
      <w:r w:rsidR="00313FBA">
        <w:rPr>
          <w:rFonts w:cs="Corbel"/>
        </w:rPr>
        <w:t>comprises</w:t>
      </w:r>
      <w:r w:rsidR="00C0348F" w:rsidRPr="00F874F9">
        <w:rPr>
          <w:rFonts w:cs="Corbel"/>
        </w:rPr>
        <w:t xml:space="preserve"> one UK and three African institutions</w:t>
      </w:r>
      <w:r w:rsidR="008145F1">
        <w:rPr>
          <w:rFonts w:cs="Corbel"/>
        </w:rPr>
        <w:t xml:space="preserve">. Consortia </w:t>
      </w:r>
      <w:r w:rsidR="00FA7AE4">
        <w:rPr>
          <w:rFonts w:cs="Corbel"/>
        </w:rPr>
        <w:t xml:space="preserve">were </w:t>
      </w:r>
      <w:bookmarkStart w:id="9" w:name="_Hlk525032417"/>
      <w:r w:rsidR="00FA7AE4" w:rsidRPr="00F874F9">
        <w:t xml:space="preserve">selected through a competitive process </w:t>
      </w:r>
      <w:r w:rsidR="00AA3C90">
        <w:t>over</w:t>
      </w:r>
      <w:r w:rsidR="00FA7AE4" w:rsidRPr="00F874F9">
        <w:t xml:space="preserve"> two rounds of funding </w:t>
      </w:r>
      <w:r w:rsidR="00FA7AE4" w:rsidRPr="0078576D">
        <w:t xml:space="preserve">in 2015 and 2016. Research analysing the selection process for consortia has been published </w:t>
      </w:r>
      <w:r w:rsidR="00FA7AE4" w:rsidRPr="001108F7">
        <w:t xml:space="preserve">elsewhere </w:t>
      </w:r>
      <w:r w:rsidR="00962F42" w:rsidRPr="001108F7">
        <w:t>[</w:t>
      </w:r>
      <w:r w:rsidR="001108F7" w:rsidRPr="001108F7">
        <w:t>22</w:t>
      </w:r>
      <w:r w:rsidR="00962F42" w:rsidRPr="001108F7">
        <w:t>].</w:t>
      </w:r>
    </w:p>
    <w:p w14:paraId="5C99A943" w14:textId="77777777" w:rsidR="008145F1" w:rsidRPr="0078576D" w:rsidRDefault="008145F1" w:rsidP="00843C19">
      <w:pPr>
        <w:spacing w:after="0" w:line="480" w:lineRule="auto"/>
      </w:pPr>
    </w:p>
    <w:p w14:paraId="0DFF462F" w14:textId="64EAFABC" w:rsidR="00FA7AE4" w:rsidRDefault="00545809" w:rsidP="00843C19">
      <w:pPr>
        <w:spacing w:after="0" w:line="480" w:lineRule="auto"/>
        <w:rPr>
          <w:rFonts w:eastAsia="Times New Roman" w:cs="Times New Roman"/>
          <w:lang w:eastAsia="en-GB"/>
        </w:rPr>
      </w:pPr>
      <w:r w:rsidRPr="008825B5">
        <w:t>Twenty-</w:t>
      </w:r>
      <w:r w:rsidR="00BA2756" w:rsidRPr="008825B5">
        <w:t>Six</w:t>
      </w:r>
      <w:r w:rsidR="00BA2756" w:rsidRPr="0078576D">
        <w:t xml:space="preserve"> </w:t>
      </w:r>
      <w:r w:rsidR="00FA7AE4" w:rsidRPr="0078576D">
        <w:t xml:space="preserve">African institutions across eighteen sub-Saharan African countries are represented in the ten </w:t>
      </w:r>
      <w:r w:rsidR="00FA7AE4" w:rsidRPr="00AA169A">
        <w:t>consortia</w:t>
      </w:r>
      <w:r w:rsidR="00BA2756" w:rsidRPr="00AA169A">
        <w:t xml:space="preserve"> (</w:t>
      </w:r>
      <w:r w:rsidR="002A63ED" w:rsidRPr="00AA169A">
        <w:t>Supplementary file 1)</w:t>
      </w:r>
      <w:r w:rsidR="00FA7AE4" w:rsidRPr="00AA169A">
        <w:t>. Each</w:t>
      </w:r>
      <w:r w:rsidR="00FA7AE4" w:rsidRPr="0078576D">
        <w:t xml:space="preserve"> consortium </w:t>
      </w:r>
      <w:r w:rsidR="00FA7AE4" w:rsidRPr="00F874F9">
        <w:t xml:space="preserve">receives funding for five years to </w:t>
      </w:r>
      <w:r w:rsidR="00FA7AE4" w:rsidRPr="00F874F9">
        <w:rPr>
          <w:rFonts w:cs="Corbel"/>
        </w:rPr>
        <w:t xml:space="preserve">cover </w:t>
      </w:r>
      <w:r w:rsidR="00FA7AE4" w:rsidRPr="00F874F9">
        <w:rPr>
          <w:rFonts w:eastAsia="Times New Roman" w:cs="Times New Roman"/>
          <w:lang w:eastAsia="en-GB"/>
        </w:rPr>
        <w:t xml:space="preserve">research expenses, travel and subsistence costs, training for PhD students and a contribution to equipment costs. </w:t>
      </w:r>
      <w:r w:rsidR="00FA7AE4" w:rsidRPr="00F874F9">
        <w:t xml:space="preserve">Each consortium is led by a UK-based researcher, who has overall responsibility for the financial management and outputs of their consortium. Of the ten consortia, </w:t>
      </w:r>
      <w:r w:rsidR="00FA7AE4" w:rsidRPr="00F874F9">
        <w:rPr>
          <w:rFonts w:cs="Corbel"/>
        </w:rPr>
        <w:t xml:space="preserve">one focuses solely on </w:t>
      </w:r>
      <w:r w:rsidR="00FA7AE4" w:rsidRPr="00F874F9">
        <w:rPr>
          <w:rFonts w:eastAsia="Times New Roman" w:cs="Times New Roman"/>
          <w:lang w:eastAsia="en-GB"/>
        </w:rPr>
        <w:t>water and sanitation, four focus on renewable energy and two focus on soil-related research. The remaining three consortia each focus on more than one research area: one covers soil-related research with water and sanitation, and two cover renewable en</w:t>
      </w:r>
      <w:r w:rsidR="00962F42">
        <w:rPr>
          <w:rFonts w:eastAsia="Times New Roman" w:cs="Times New Roman"/>
          <w:lang w:eastAsia="en-GB"/>
        </w:rPr>
        <w:t>ergy with water and sanitation.</w:t>
      </w:r>
    </w:p>
    <w:p w14:paraId="1534408F" w14:textId="77777777" w:rsidR="00FA7AE4" w:rsidRDefault="00FA7AE4" w:rsidP="00843C19">
      <w:pPr>
        <w:spacing w:after="0" w:line="480" w:lineRule="auto"/>
        <w:rPr>
          <w:rFonts w:eastAsia="Times New Roman" w:cs="Times New Roman"/>
          <w:lang w:eastAsia="en-GB"/>
        </w:rPr>
      </w:pPr>
    </w:p>
    <w:p w14:paraId="109D6C5E" w14:textId="36779D10" w:rsidR="007C325E" w:rsidRPr="00F874F9" w:rsidRDefault="00313FBA" w:rsidP="00843C19">
      <w:pPr>
        <w:spacing w:after="0" w:line="480" w:lineRule="auto"/>
        <w:rPr>
          <w:rFonts w:cs="Calibri"/>
        </w:rPr>
      </w:pPr>
      <w:r>
        <w:rPr>
          <w:rFonts w:cs="Corbel"/>
        </w:rPr>
        <w:t xml:space="preserve">The objective of the </w:t>
      </w:r>
      <w:r w:rsidR="00313B62">
        <w:rPr>
          <w:rFonts w:cs="Corbel"/>
        </w:rPr>
        <w:t xml:space="preserve">current </w:t>
      </w:r>
      <w:r>
        <w:rPr>
          <w:rFonts w:cs="Corbel"/>
        </w:rPr>
        <w:t xml:space="preserve">study was to </w:t>
      </w:r>
      <w:r w:rsidR="008145F1">
        <w:rPr>
          <w:rFonts w:cs="Corbel"/>
        </w:rPr>
        <w:t xml:space="preserve">assess </w:t>
      </w:r>
      <w:r w:rsidR="00FA7AE4">
        <w:rPr>
          <w:rFonts w:cs="Corbel"/>
        </w:rPr>
        <w:t>the research capacity of African institutions</w:t>
      </w:r>
      <w:r w:rsidR="00F55AD8" w:rsidRPr="00F55AD8">
        <w:rPr>
          <w:rFonts w:cs="Corbel"/>
        </w:rPr>
        <w:t xml:space="preserve"> </w:t>
      </w:r>
      <w:r w:rsidR="00F55AD8">
        <w:rPr>
          <w:rFonts w:cs="Corbel"/>
        </w:rPr>
        <w:t>collaborating in the ACBI programme</w:t>
      </w:r>
      <w:r w:rsidR="00FA7AE4">
        <w:rPr>
          <w:rFonts w:cs="Corbel"/>
        </w:rPr>
        <w:t xml:space="preserve">, to identify common capacity gaps </w:t>
      </w:r>
      <w:r w:rsidR="007D3A9D">
        <w:rPr>
          <w:rFonts w:cs="Corbel"/>
        </w:rPr>
        <w:t xml:space="preserve">that could be </w:t>
      </w:r>
      <w:r w:rsidR="007D3A9D" w:rsidRPr="00F874F9">
        <w:rPr>
          <w:rFonts w:cs="Corbel"/>
        </w:rPr>
        <w:t>good value-</w:t>
      </w:r>
      <w:r w:rsidR="007D3A9D" w:rsidRPr="00F874F9">
        <w:rPr>
          <w:rFonts w:cs="Corbel"/>
        </w:rPr>
        <w:lastRenderedPageBreak/>
        <w:t xml:space="preserve">for-money </w:t>
      </w:r>
      <w:r w:rsidR="007D3A9D">
        <w:rPr>
          <w:rFonts w:cs="Corbel"/>
        </w:rPr>
        <w:t xml:space="preserve">multi-institutional </w:t>
      </w:r>
      <w:r w:rsidR="007D3A9D" w:rsidRPr="008145F1">
        <w:rPr>
          <w:rFonts w:cs="Corbel"/>
        </w:rPr>
        <w:t xml:space="preserve">investments, </w:t>
      </w:r>
      <w:r w:rsidR="00FA7AE4" w:rsidRPr="008145F1">
        <w:rPr>
          <w:rFonts w:cs="Corbel"/>
        </w:rPr>
        <w:t xml:space="preserve">and to highlight examples of good practice </w:t>
      </w:r>
      <w:r w:rsidR="008145F1" w:rsidRPr="008145F1">
        <w:rPr>
          <w:rFonts w:cs="Corbel"/>
        </w:rPr>
        <w:t xml:space="preserve">and problem-solving strategies </w:t>
      </w:r>
      <w:r w:rsidR="00FA7AE4" w:rsidRPr="008145F1">
        <w:rPr>
          <w:rFonts w:cs="Corbel"/>
        </w:rPr>
        <w:t xml:space="preserve">that could be shared within and </w:t>
      </w:r>
      <w:r w:rsidR="00FA7AE4" w:rsidRPr="0078576D">
        <w:rPr>
          <w:rFonts w:cs="Corbel"/>
        </w:rPr>
        <w:t xml:space="preserve">beyond the programme. </w:t>
      </w:r>
      <w:bookmarkStart w:id="10" w:name="_Hlk525032140"/>
      <w:bookmarkEnd w:id="9"/>
      <w:r w:rsidR="008145F1" w:rsidRPr="0078576D">
        <w:rPr>
          <w:rFonts w:cs="Corbel"/>
        </w:rPr>
        <w:t>An objective</w:t>
      </w:r>
      <w:r w:rsidR="003F156E" w:rsidRPr="0078576D">
        <w:rPr>
          <w:rFonts w:cs="Corbel"/>
        </w:rPr>
        <w:t xml:space="preserve"> of the ACB</w:t>
      </w:r>
      <w:r w:rsidR="00A17045" w:rsidRPr="0078576D">
        <w:rPr>
          <w:rFonts w:cs="Corbel"/>
        </w:rPr>
        <w:t>I</w:t>
      </w:r>
      <w:r w:rsidR="003F156E" w:rsidRPr="0078576D">
        <w:rPr>
          <w:rFonts w:cs="Corbel"/>
        </w:rPr>
        <w:t xml:space="preserve"> programme is </w:t>
      </w:r>
      <w:r w:rsidR="003F156E" w:rsidRPr="0078576D">
        <w:t>to ‘support science research institutions in Africa to achieve international competitiveness in research and research training’</w:t>
      </w:r>
      <w:r w:rsidR="003F156E" w:rsidRPr="0078576D">
        <w:rPr>
          <w:rFonts w:cs="Corbel"/>
        </w:rPr>
        <w:t>. T</w:t>
      </w:r>
      <w:r w:rsidR="00A72797" w:rsidRPr="0078576D">
        <w:rPr>
          <w:rFonts w:cs="Corbel"/>
        </w:rPr>
        <w:t>he</w:t>
      </w:r>
      <w:r w:rsidR="007C325E" w:rsidRPr="0078576D">
        <w:rPr>
          <w:rFonts w:cs="Calibri"/>
        </w:rPr>
        <w:t xml:space="preserve"> </w:t>
      </w:r>
      <w:r w:rsidR="00F55AD8" w:rsidRPr="0078576D">
        <w:rPr>
          <w:rFonts w:cs="Calibri"/>
        </w:rPr>
        <w:t xml:space="preserve">capacity assessments were carried out against </w:t>
      </w:r>
      <w:r w:rsidR="007C325E" w:rsidRPr="0078576D">
        <w:rPr>
          <w:rFonts w:cs="Calibri"/>
        </w:rPr>
        <w:t xml:space="preserve">an evidence-informed </w:t>
      </w:r>
      <w:r w:rsidR="0064296B" w:rsidRPr="0078576D">
        <w:rPr>
          <w:rFonts w:cs="Calibri"/>
        </w:rPr>
        <w:t xml:space="preserve">benchmark, </w:t>
      </w:r>
      <w:r w:rsidR="00A72797" w:rsidRPr="0078576D">
        <w:rPr>
          <w:rFonts w:cs="Calibri"/>
        </w:rPr>
        <w:t>minimally adapted from one used to assess African institutions</w:t>
      </w:r>
      <w:r w:rsidR="00A17045" w:rsidRPr="0078576D">
        <w:rPr>
          <w:rFonts w:cs="Calibri"/>
        </w:rPr>
        <w:t>’</w:t>
      </w:r>
      <w:r w:rsidR="00A72797" w:rsidRPr="0078576D">
        <w:rPr>
          <w:rFonts w:cs="Calibri"/>
        </w:rPr>
        <w:t xml:space="preserve"> capacity to undertake health research [</w:t>
      </w:r>
      <w:r w:rsidR="00223965">
        <w:rPr>
          <w:rFonts w:cs="Calibri"/>
        </w:rPr>
        <w:t>23</w:t>
      </w:r>
      <w:r w:rsidR="00A72797" w:rsidRPr="0078576D">
        <w:rPr>
          <w:rFonts w:cs="Calibri"/>
        </w:rPr>
        <w:t xml:space="preserve">] which </w:t>
      </w:r>
      <w:r w:rsidR="00A72797" w:rsidRPr="001963EA">
        <w:rPr>
          <w:rFonts w:cs="Calibri"/>
        </w:rPr>
        <w:t>covered doctoral training programmes and institutional research support systems.</w:t>
      </w:r>
    </w:p>
    <w:p w14:paraId="02531164" w14:textId="77777777" w:rsidR="00CC4AFE" w:rsidRDefault="00CC4AFE" w:rsidP="00843C19">
      <w:pPr>
        <w:spacing w:after="0" w:line="480" w:lineRule="auto"/>
        <w:rPr>
          <w:rFonts w:cs="Corbel"/>
        </w:rPr>
      </w:pPr>
      <w:bookmarkStart w:id="11" w:name="_Hlk511826230"/>
      <w:bookmarkEnd w:id="10"/>
    </w:p>
    <w:bookmarkEnd w:id="11"/>
    <w:p w14:paraId="70D494DD" w14:textId="77777777" w:rsidR="001046FA" w:rsidRDefault="00F30A69" w:rsidP="00843C19">
      <w:pPr>
        <w:spacing w:after="0" w:line="480" w:lineRule="auto"/>
        <w:rPr>
          <w:rFonts w:asciiTheme="majorHAnsi" w:eastAsiaTheme="majorEastAsia" w:hAnsiTheme="majorHAnsi" w:cstheme="majorBidi"/>
          <w:color w:val="2F5496" w:themeColor="accent1" w:themeShade="BF"/>
          <w:sz w:val="32"/>
          <w:szCs w:val="32"/>
        </w:rPr>
      </w:pPr>
      <w:r w:rsidRPr="00F874F9">
        <w:rPr>
          <w:b/>
          <w:sz w:val="36"/>
          <w:szCs w:val="36"/>
        </w:rPr>
        <w:t xml:space="preserve">Methods </w:t>
      </w:r>
    </w:p>
    <w:p w14:paraId="1D85644E" w14:textId="362627E0" w:rsidR="005377F6" w:rsidRPr="00FA0D31" w:rsidRDefault="005377F6" w:rsidP="00FA0D31">
      <w:pPr>
        <w:pStyle w:val="Heading3"/>
      </w:pPr>
      <w:r w:rsidRPr="00FA0D31">
        <w:t>Theoretical framework</w:t>
      </w:r>
    </w:p>
    <w:p w14:paraId="11396A37" w14:textId="0679FF84" w:rsidR="00FD0087" w:rsidRDefault="001D1250" w:rsidP="001E288E">
      <w:pPr>
        <w:spacing w:after="0" w:line="480" w:lineRule="auto"/>
      </w:pPr>
      <w:r>
        <w:t>To conduct the research capacity assessments, the research team</w:t>
      </w:r>
      <w:r w:rsidR="009D53D5" w:rsidRPr="009D53D5">
        <w:t xml:space="preserve"> </w:t>
      </w:r>
      <w:r w:rsidR="009D53D5">
        <w:t xml:space="preserve">from the Centre for Capacity Research (CCR) </w:t>
      </w:r>
      <w:r>
        <w:t>used a benchmark w</w:t>
      </w:r>
      <w:r w:rsidRPr="00F874F9">
        <w:t xml:space="preserve">hich had been </w:t>
      </w:r>
      <w:r w:rsidRPr="00B80B7C">
        <w:t xml:space="preserve">developed </w:t>
      </w:r>
      <w:r w:rsidR="00F90618" w:rsidRPr="00B80B7C">
        <w:t xml:space="preserve">for assessing </w:t>
      </w:r>
      <w:r w:rsidRPr="00B80B7C">
        <w:t xml:space="preserve">institutional capacity for health research in sub-Saharan Africa. </w:t>
      </w:r>
      <w:r w:rsidR="00A17045" w:rsidRPr="00DC2900">
        <w:t xml:space="preserve">In the current study, </w:t>
      </w:r>
      <w:r w:rsidR="00A17045" w:rsidRPr="00B80B7C">
        <w:t xml:space="preserve">a </w:t>
      </w:r>
      <w:r w:rsidR="00A16EFA">
        <w:t>‘</w:t>
      </w:r>
      <w:r w:rsidR="00A17045" w:rsidRPr="00B80B7C">
        <w:t>research institution</w:t>
      </w:r>
      <w:r w:rsidR="00A16EFA">
        <w:t>’</w:t>
      </w:r>
      <w:r w:rsidR="00A17045" w:rsidRPr="00B80B7C">
        <w:t xml:space="preserve"> was defined as the university </w:t>
      </w:r>
      <w:r w:rsidR="00A17045" w:rsidRPr="00231D85">
        <w:t xml:space="preserve">department or stand-alone higher education institution. </w:t>
      </w:r>
      <w:r w:rsidRPr="00231D85">
        <w:t>Mi</w:t>
      </w:r>
      <w:r w:rsidR="00145CC5" w:rsidRPr="00231D85">
        <w:t>nor</w:t>
      </w:r>
      <w:r w:rsidR="00145CC5" w:rsidRPr="00DB60CC">
        <w:t xml:space="preserve"> adaptations </w:t>
      </w:r>
      <w:r w:rsidRPr="004A63A8">
        <w:t xml:space="preserve">were needed to </w:t>
      </w:r>
      <w:r w:rsidR="00F90618" w:rsidRPr="00231D85">
        <w:t xml:space="preserve">make sure </w:t>
      </w:r>
      <w:r w:rsidR="008D44A7" w:rsidRPr="00231D85">
        <w:t xml:space="preserve">that </w:t>
      </w:r>
      <w:r w:rsidR="00F90618" w:rsidRPr="00231D85">
        <w:t xml:space="preserve">the benchmark was appropriate for </w:t>
      </w:r>
      <w:r w:rsidR="003B1023" w:rsidRPr="00231D85">
        <w:t xml:space="preserve">natural </w:t>
      </w:r>
      <w:r w:rsidR="00F90618" w:rsidRPr="00231D85">
        <w:t>science</w:t>
      </w:r>
      <w:r w:rsidR="003B1023" w:rsidRPr="00231D85">
        <w:t>s</w:t>
      </w:r>
      <w:r w:rsidR="00F90618" w:rsidRPr="00231D85">
        <w:t xml:space="preserve">, rather than </w:t>
      </w:r>
      <w:r w:rsidRPr="00231D85">
        <w:t>health</w:t>
      </w:r>
      <w:r w:rsidR="00146542" w:rsidRPr="00231D85">
        <w:t>-</w:t>
      </w:r>
      <w:r w:rsidRPr="00231D85">
        <w:t xml:space="preserve">research </w:t>
      </w:r>
      <w:bookmarkStart w:id="12" w:name="_Ref514420125"/>
      <w:bookmarkStart w:id="13" w:name="_Hlk524956209"/>
      <w:r w:rsidR="004C0576" w:rsidRPr="00231D85">
        <w:t>[</w:t>
      </w:r>
      <w:bookmarkEnd w:id="12"/>
      <w:r w:rsidR="00223965" w:rsidRPr="00231D85">
        <w:t>23</w:t>
      </w:r>
      <w:r w:rsidR="004C0576" w:rsidRPr="00231D85">
        <w:t>]</w:t>
      </w:r>
      <w:bookmarkEnd w:id="13"/>
      <w:r w:rsidR="002E5D8E" w:rsidRPr="00231D85">
        <w:t xml:space="preserve"> </w:t>
      </w:r>
      <w:r w:rsidR="00F90618" w:rsidRPr="00231D85">
        <w:t>and</w:t>
      </w:r>
      <w:r w:rsidR="00F90618" w:rsidRPr="009D53D5">
        <w:t xml:space="preserve"> that it aligned with </w:t>
      </w:r>
      <w:r w:rsidR="004D3812" w:rsidRPr="009D53D5">
        <w:t xml:space="preserve">the ACBI </w:t>
      </w:r>
      <w:r w:rsidR="00F90618" w:rsidRPr="009D53D5">
        <w:t xml:space="preserve">programme’s </w:t>
      </w:r>
      <w:r w:rsidR="004D3812" w:rsidRPr="009D53D5">
        <w:t xml:space="preserve">Theory of </w:t>
      </w:r>
      <w:r w:rsidR="004D3812" w:rsidRPr="00AA169A">
        <w:t>Change</w:t>
      </w:r>
      <w:r w:rsidR="00DD50F3" w:rsidRPr="00AA169A">
        <w:t xml:space="preserve"> (Supplementary file </w:t>
      </w:r>
      <w:r w:rsidR="00013B53" w:rsidRPr="00AA169A">
        <w:t>2</w:t>
      </w:r>
      <w:r w:rsidR="00DD50F3" w:rsidRPr="00AA169A">
        <w:t>)</w:t>
      </w:r>
      <w:r w:rsidR="00F90618" w:rsidRPr="00AA169A">
        <w:t xml:space="preserve">. </w:t>
      </w:r>
      <w:r w:rsidR="004D3812" w:rsidRPr="00AA169A">
        <w:t xml:space="preserve">Details of the development, contents and use of the benchmark have been published </w:t>
      </w:r>
      <w:r w:rsidR="00F90618" w:rsidRPr="00AA169A">
        <w:t>elsewhere</w:t>
      </w:r>
      <w:r w:rsidR="008D44A7" w:rsidRPr="009D53D5">
        <w:t xml:space="preserve"> [</w:t>
      </w:r>
      <w:r w:rsidR="00E31DEE">
        <w:t>23</w:t>
      </w:r>
      <w:r w:rsidR="008D44A7" w:rsidRPr="009D53D5">
        <w:t>]</w:t>
      </w:r>
      <w:r w:rsidR="00F90618" w:rsidRPr="009D53D5">
        <w:t xml:space="preserve">. </w:t>
      </w:r>
      <w:r w:rsidR="009D53D5" w:rsidRPr="00AA169A">
        <w:t xml:space="preserve">The benchmark aimed to address the main institutional capacity areas needed to provide “optimal academic, administrative and financial support for operational research activities” from the </w:t>
      </w:r>
      <w:bookmarkStart w:id="14" w:name="_Hlk14699157"/>
      <w:r w:rsidR="009D53D5" w:rsidRPr="00AA169A">
        <w:t xml:space="preserve">viewpoints of the dean or other </w:t>
      </w:r>
      <w:r w:rsidR="000D382F">
        <w:t>senior</w:t>
      </w:r>
      <w:r w:rsidR="000D382F" w:rsidRPr="00AA169A">
        <w:t xml:space="preserve"> </w:t>
      </w:r>
      <w:r w:rsidR="009D53D5" w:rsidRPr="00AA169A">
        <w:t>institutional authority (e.g. provost, vice chancellor, or principal of the institution), faculty research support staff (including laboratory technicians), researchers</w:t>
      </w:r>
      <w:r w:rsidR="00146542" w:rsidRPr="00AA169A">
        <w:t xml:space="preserve"> (including principal investigators, and co-principal investigators)</w:t>
      </w:r>
      <w:r w:rsidR="009D53D5" w:rsidRPr="00AA169A">
        <w:t xml:space="preserve">, and PhD students </w:t>
      </w:r>
      <w:bookmarkEnd w:id="14"/>
      <w:r w:rsidR="009D53D5" w:rsidRPr="00AA169A">
        <w:t>[</w:t>
      </w:r>
      <w:r w:rsidR="00223965" w:rsidRPr="00AA169A">
        <w:t>23</w:t>
      </w:r>
      <w:r w:rsidR="009D53D5" w:rsidRPr="00AA169A">
        <w:t>, p. 3].</w:t>
      </w:r>
      <w:r w:rsidR="009D53D5" w:rsidRPr="00AA169A">
        <w:rPr>
          <w:rFonts w:ascii="Calibri" w:eastAsia="Calibri" w:hAnsi="Calibri" w:cs="Arial"/>
        </w:rPr>
        <w:t xml:space="preserve"> </w:t>
      </w:r>
      <w:r w:rsidR="00F90618" w:rsidRPr="00231D85">
        <w:t>B</w:t>
      </w:r>
      <w:r w:rsidR="004D3812" w:rsidRPr="00231D85">
        <w:t>riefly</w:t>
      </w:r>
      <w:r w:rsidR="00F90618" w:rsidRPr="00231D85">
        <w:t>,</w:t>
      </w:r>
      <w:r w:rsidR="004D3812" w:rsidRPr="00231D85">
        <w:t xml:space="preserve"> </w:t>
      </w:r>
      <w:r w:rsidR="009D53D5" w:rsidRPr="00231D85">
        <w:t xml:space="preserve">the benchmark </w:t>
      </w:r>
      <w:r w:rsidR="004D3812" w:rsidRPr="00231D85">
        <w:t>was developed in two parts which were amalgamated for this study.</w:t>
      </w:r>
      <w:r w:rsidR="00635C47">
        <w:t xml:space="preserve"> </w:t>
      </w:r>
      <w:r w:rsidR="004D3812" w:rsidRPr="00231D85">
        <w:t xml:space="preserve">The first part focused on </w:t>
      </w:r>
      <w:r w:rsidR="00A57FBB" w:rsidRPr="00231D85">
        <w:t>institutional capacity for doctoral programmes</w:t>
      </w:r>
      <w:r w:rsidR="004C0576" w:rsidRPr="00231D85">
        <w:rPr>
          <w:rFonts w:cs="Arial"/>
          <w:sz w:val="18"/>
          <w:szCs w:val="18"/>
        </w:rPr>
        <w:t xml:space="preserve"> </w:t>
      </w:r>
      <w:r w:rsidR="004C0576" w:rsidRPr="00231D85">
        <w:t>[</w:t>
      </w:r>
      <w:r w:rsidR="00223965" w:rsidRPr="00231D85">
        <w:t>24</w:t>
      </w:r>
      <w:r w:rsidR="004C0576" w:rsidRPr="00231D85">
        <w:t>]</w:t>
      </w:r>
      <w:r w:rsidR="004C0576" w:rsidRPr="00231D85">
        <w:rPr>
          <w:rFonts w:cs="Arial"/>
          <w:sz w:val="18"/>
          <w:szCs w:val="18"/>
        </w:rPr>
        <w:t xml:space="preserve"> </w:t>
      </w:r>
      <w:r w:rsidR="00A57FBB" w:rsidRPr="00231D85">
        <w:t xml:space="preserve">and </w:t>
      </w:r>
      <w:r w:rsidR="004D3812" w:rsidRPr="00231D85">
        <w:t xml:space="preserve">the second on </w:t>
      </w:r>
      <w:r w:rsidR="00A57FBB" w:rsidRPr="00231D85">
        <w:t>research support systems in African institutions</w:t>
      </w:r>
      <w:r w:rsidR="004C0576" w:rsidRPr="00231D85">
        <w:t xml:space="preserve"> [</w:t>
      </w:r>
      <w:r w:rsidR="00E31DEE" w:rsidRPr="00231D85">
        <w:t>23</w:t>
      </w:r>
      <w:r w:rsidR="004C0576" w:rsidRPr="00231D85">
        <w:t>]</w:t>
      </w:r>
      <w:r w:rsidR="004C0576" w:rsidRPr="00231D85">
        <w:rPr>
          <w:rFonts w:cs="Arial"/>
          <w:sz w:val="18"/>
          <w:szCs w:val="18"/>
        </w:rPr>
        <w:t xml:space="preserve">. </w:t>
      </w:r>
      <w:r w:rsidR="00C86E11" w:rsidRPr="00231D85">
        <w:t>The benchmark</w:t>
      </w:r>
      <w:r w:rsidR="004D3812" w:rsidRPr="00231D85">
        <w:t xml:space="preserve"> was </w:t>
      </w:r>
      <w:r w:rsidR="00F90618" w:rsidRPr="00231D85">
        <w:t xml:space="preserve">based on peer-reviewed </w:t>
      </w:r>
      <w:r w:rsidR="00F90618" w:rsidRPr="00231D85">
        <w:lastRenderedPageBreak/>
        <w:t xml:space="preserve">publications </w:t>
      </w:r>
      <w:r w:rsidR="004D3812" w:rsidRPr="00231D85">
        <w:t>and grey literature such as guidelines and standards</w:t>
      </w:r>
      <w:r w:rsidR="00F90618" w:rsidRPr="00231D85">
        <w:t xml:space="preserve">. </w:t>
      </w:r>
      <w:bookmarkStart w:id="15" w:name="_Ref514419236"/>
      <w:r w:rsidR="008D44A7" w:rsidRPr="00231D85">
        <w:t xml:space="preserve">From these documents, all the items pertaining to global good practice standards for international quality PhD programmes </w:t>
      </w:r>
      <w:r w:rsidR="00F90618" w:rsidRPr="00231D85">
        <w:t>[</w:t>
      </w:r>
      <w:r w:rsidR="00E31DEE" w:rsidRPr="00231D85">
        <w:t>24</w:t>
      </w:r>
      <w:r w:rsidR="00F90618" w:rsidRPr="00231D85">
        <w:t>]</w:t>
      </w:r>
      <w:bookmarkEnd w:id="15"/>
      <w:r w:rsidR="009D53D5" w:rsidRPr="00231D85">
        <w:t xml:space="preserve"> </w:t>
      </w:r>
      <w:r w:rsidR="00F90618" w:rsidRPr="00231D85">
        <w:t>and institutional research support systems</w:t>
      </w:r>
      <w:r w:rsidR="00F90618" w:rsidRPr="00231D85">
        <w:rPr>
          <w:rFonts w:cs="Arial"/>
          <w:sz w:val="18"/>
          <w:szCs w:val="18"/>
        </w:rPr>
        <w:t xml:space="preserve"> </w:t>
      </w:r>
      <w:r w:rsidR="00F90618" w:rsidRPr="00231D85">
        <w:t>[</w:t>
      </w:r>
      <w:r w:rsidR="00E31DEE" w:rsidRPr="00231D85">
        <w:t>23</w:t>
      </w:r>
      <w:r w:rsidR="00F90618" w:rsidRPr="00231D85">
        <w:t>] were</w:t>
      </w:r>
      <w:r w:rsidR="00F90618" w:rsidRPr="0078576D">
        <w:t xml:space="preserve"> used to create a checklist</w:t>
      </w:r>
      <w:r w:rsidR="00DF2656">
        <w:t xml:space="preserve">. </w:t>
      </w:r>
      <w:r w:rsidR="004D3812" w:rsidRPr="0078576D">
        <w:t xml:space="preserve">In the original benchmark </w:t>
      </w:r>
      <w:r w:rsidR="004D3812" w:rsidRPr="00B502C5">
        <w:t>f</w:t>
      </w:r>
      <w:r w:rsidR="00460254" w:rsidRPr="00B502C5">
        <w:t>or PhD programmes</w:t>
      </w:r>
      <w:r w:rsidR="00460254" w:rsidRPr="0078576D">
        <w:t xml:space="preserve">, </w:t>
      </w:r>
      <w:r w:rsidR="004E57FB" w:rsidRPr="0078576D">
        <w:t>items</w:t>
      </w:r>
      <w:r w:rsidR="00460254" w:rsidRPr="0078576D">
        <w:t xml:space="preserve"> were grouped into four categories: institutional policies and structures, research environment and infrastructure, the doctoral programme life cycle and the student experience. For </w:t>
      </w:r>
      <w:r w:rsidR="004D3812" w:rsidRPr="0078576D">
        <w:t xml:space="preserve">the </w:t>
      </w:r>
      <w:r w:rsidR="00460254" w:rsidRPr="00B502C5">
        <w:t xml:space="preserve">research support </w:t>
      </w:r>
      <w:r w:rsidR="00460254" w:rsidRPr="00316138">
        <w:t>systems</w:t>
      </w:r>
      <w:r w:rsidR="00460254" w:rsidRPr="001C1A7C">
        <w:t xml:space="preserve"> </w:t>
      </w:r>
      <w:r w:rsidR="004D3812" w:rsidRPr="001C1A7C">
        <w:t>benchmark,</w:t>
      </w:r>
      <w:r w:rsidR="004D3812" w:rsidRPr="0078576D">
        <w:t xml:space="preserve"> </w:t>
      </w:r>
      <w:r w:rsidR="00460254" w:rsidRPr="0078576D">
        <w:t xml:space="preserve">components were grouped into eight </w:t>
      </w:r>
      <w:r w:rsidR="00AE1EF2" w:rsidRPr="0078576D">
        <w:t>themes</w:t>
      </w:r>
      <w:r w:rsidR="00460254" w:rsidRPr="0078576D">
        <w:t>: research infrastructure</w:t>
      </w:r>
      <w:r w:rsidR="00460254" w:rsidRPr="00F874F9">
        <w:t>; research skills training, learning and teaching; organisation and management of the institution; supervision and mentorship for staff and students within the institution; financial management and funding; human resources; collaborations and partnerships; and research uptake and sustainability.</w:t>
      </w:r>
      <w:bookmarkStart w:id="16" w:name="_Hlk515367731"/>
      <w:r w:rsidR="008C3384">
        <w:t xml:space="preserve"> For th</w:t>
      </w:r>
      <w:r w:rsidR="00F90618">
        <w:t xml:space="preserve">e current </w:t>
      </w:r>
      <w:r w:rsidR="008C3384">
        <w:t xml:space="preserve">study the </w:t>
      </w:r>
      <w:r w:rsidR="004E57FB">
        <w:t xml:space="preserve">items in the </w:t>
      </w:r>
      <w:r w:rsidR="008C3384">
        <w:t xml:space="preserve">two benchmarks were amalgamated </w:t>
      </w:r>
      <w:r w:rsidR="004E57FB">
        <w:t xml:space="preserve">and categorised </w:t>
      </w:r>
      <w:r w:rsidR="008C3384">
        <w:t xml:space="preserve">into </w:t>
      </w:r>
      <w:r w:rsidR="00467B3C">
        <w:t xml:space="preserve">six </w:t>
      </w:r>
      <w:r w:rsidR="00AE1EF2">
        <w:t>themes</w:t>
      </w:r>
      <w:r w:rsidR="00635C47">
        <w:t>:</w:t>
      </w:r>
      <w:r w:rsidR="00467B3C">
        <w:t xml:space="preserve"> </w:t>
      </w:r>
      <w:r w:rsidR="00467B3C" w:rsidRPr="00F874F9">
        <w:rPr>
          <w:szCs w:val="20"/>
        </w:rPr>
        <w:t>infrastructure and facilities</w:t>
      </w:r>
      <w:r w:rsidR="00467B3C" w:rsidRPr="00F874F9">
        <w:rPr>
          <w:rFonts w:cs="Open Sans"/>
          <w:szCs w:val="20"/>
          <w:shd w:val="clear" w:color="auto" w:fill="FFFFFF"/>
        </w:rPr>
        <w:t xml:space="preserve">, </w:t>
      </w:r>
      <w:r w:rsidR="00467B3C" w:rsidRPr="00F874F9">
        <w:rPr>
          <w:szCs w:val="20"/>
        </w:rPr>
        <w:t>teaching and learning</w:t>
      </w:r>
      <w:r w:rsidR="00467B3C" w:rsidRPr="00F874F9">
        <w:rPr>
          <w:rFonts w:cs="Open Sans"/>
          <w:szCs w:val="20"/>
          <w:shd w:val="clear" w:color="auto" w:fill="FFFFFF"/>
        </w:rPr>
        <w:t xml:space="preserve">, </w:t>
      </w:r>
      <w:r w:rsidR="00467B3C" w:rsidRPr="00F874F9">
        <w:rPr>
          <w:szCs w:val="20"/>
        </w:rPr>
        <w:t>research strategies and support</w:t>
      </w:r>
      <w:r w:rsidR="00467B3C" w:rsidRPr="00F874F9">
        <w:rPr>
          <w:rFonts w:cs="Open Sans"/>
          <w:szCs w:val="20"/>
          <w:shd w:val="clear" w:color="auto" w:fill="FFFFFF"/>
        </w:rPr>
        <w:t xml:space="preserve">, </w:t>
      </w:r>
      <w:r w:rsidR="00467B3C" w:rsidRPr="00F874F9">
        <w:rPr>
          <w:szCs w:val="20"/>
        </w:rPr>
        <w:t xml:space="preserve">PhD </w:t>
      </w:r>
      <w:r w:rsidR="00467B3C">
        <w:rPr>
          <w:szCs w:val="20"/>
        </w:rPr>
        <w:t>programmes</w:t>
      </w:r>
      <w:r w:rsidR="00467B3C" w:rsidRPr="00F874F9">
        <w:rPr>
          <w:rFonts w:cs="Open Sans"/>
          <w:szCs w:val="20"/>
          <w:shd w:val="clear" w:color="auto" w:fill="FFFFFF"/>
        </w:rPr>
        <w:t xml:space="preserve">, </w:t>
      </w:r>
      <w:r w:rsidR="00B56417">
        <w:rPr>
          <w:rFonts w:cs="Open Sans"/>
          <w:szCs w:val="20"/>
          <w:shd w:val="clear" w:color="auto" w:fill="FFFFFF"/>
        </w:rPr>
        <w:t xml:space="preserve">research </w:t>
      </w:r>
      <w:r w:rsidR="00467B3C" w:rsidRPr="00F874F9">
        <w:rPr>
          <w:szCs w:val="20"/>
        </w:rPr>
        <w:t>financial management</w:t>
      </w:r>
      <w:r w:rsidR="00953CAE">
        <w:rPr>
          <w:szCs w:val="20"/>
        </w:rPr>
        <w:t xml:space="preserve"> and funding</w:t>
      </w:r>
      <w:r w:rsidR="00B56417">
        <w:rPr>
          <w:szCs w:val="20"/>
        </w:rPr>
        <w:t>,</w:t>
      </w:r>
      <w:r w:rsidR="00467B3C" w:rsidRPr="00F874F9">
        <w:rPr>
          <w:szCs w:val="20"/>
        </w:rPr>
        <w:t xml:space="preserve"> and </w:t>
      </w:r>
      <w:r w:rsidR="00467B3C" w:rsidRPr="00F874F9">
        <w:rPr>
          <w:rFonts w:cs="Open Sans"/>
          <w:szCs w:val="20"/>
          <w:shd w:val="clear" w:color="auto" w:fill="FFFFFF"/>
        </w:rPr>
        <w:t xml:space="preserve">research </w:t>
      </w:r>
      <w:r w:rsidR="00467B3C" w:rsidRPr="00F874F9">
        <w:rPr>
          <w:szCs w:val="20"/>
        </w:rPr>
        <w:t>collaborations</w:t>
      </w:r>
      <w:r w:rsidR="00714105">
        <w:t>.</w:t>
      </w:r>
      <w:r w:rsidR="001E288E">
        <w:t xml:space="preserve"> These themes were merged after the research team has </w:t>
      </w:r>
      <w:r w:rsidR="00F40E67">
        <w:t>pilot-</w:t>
      </w:r>
      <w:r w:rsidR="001E288E">
        <w:t>tested the original assessment tool during one of the site visits and found that some areas were irrelevant to this study or could be grouped</w:t>
      </w:r>
      <w:r w:rsidR="00FF6E19">
        <w:t xml:space="preserve"> together.</w:t>
      </w:r>
    </w:p>
    <w:p w14:paraId="20D3C2EA" w14:textId="77777777" w:rsidR="00FD0087" w:rsidRDefault="00FD0087" w:rsidP="001E288E">
      <w:pPr>
        <w:spacing w:after="0" w:line="480" w:lineRule="auto"/>
      </w:pPr>
    </w:p>
    <w:p w14:paraId="6BA44373" w14:textId="6B554245" w:rsidR="005377F6" w:rsidRPr="00AA169A" w:rsidRDefault="00FF6E19" w:rsidP="00FA0D31">
      <w:pPr>
        <w:pStyle w:val="Heading3"/>
      </w:pPr>
      <w:bookmarkStart w:id="17" w:name="_Hlk20517625"/>
      <w:bookmarkStart w:id="18" w:name="_Hlk8226245"/>
      <w:bookmarkEnd w:id="16"/>
      <w:r w:rsidRPr="005377F6">
        <w:t>Participants</w:t>
      </w:r>
      <w:r w:rsidR="005377F6" w:rsidRPr="005377F6">
        <w:t xml:space="preserve">’ </w:t>
      </w:r>
      <w:r w:rsidR="006B5D00">
        <w:t>recruitment</w:t>
      </w:r>
    </w:p>
    <w:bookmarkEnd w:id="17"/>
    <w:p w14:paraId="715BBF59" w14:textId="31C5F1E9" w:rsidR="00FD0087" w:rsidRDefault="000D382F" w:rsidP="00FC6A69">
      <w:pPr>
        <w:spacing w:after="0" w:line="480" w:lineRule="auto"/>
      </w:pPr>
      <w:r>
        <w:t>In order to achieve the</w:t>
      </w:r>
      <w:r w:rsidRPr="00BD7D9E">
        <w:t xml:space="preserve"> </w:t>
      </w:r>
      <w:r>
        <w:t xml:space="preserve">objectives of the study we needed to select </w:t>
      </w:r>
      <w:r w:rsidRPr="005645B1">
        <w:t xml:space="preserve">participants </w:t>
      </w:r>
      <w:r>
        <w:t xml:space="preserve">who were </w:t>
      </w:r>
      <w:r w:rsidRPr="005645B1">
        <w:t xml:space="preserve">knowledgeable </w:t>
      </w:r>
      <w:r>
        <w:t xml:space="preserve">about </w:t>
      </w:r>
      <w:r w:rsidRPr="005645B1">
        <w:t xml:space="preserve">their institutions’ research capacity </w:t>
      </w:r>
      <w:r>
        <w:t xml:space="preserve">as to be included as interviewees. Participants therefore included </w:t>
      </w:r>
      <w:r w:rsidRPr="00BD7D9E">
        <w:t>ACBI-affiliated principal investigators</w:t>
      </w:r>
      <w:r>
        <w:t xml:space="preserve"> or co-principal investigators</w:t>
      </w:r>
      <w:r w:rsidRPr="00BD7D9E">
        <w:t>, PhD students</w:t>
      </w:r>
      <w:r>
        <w:t xml:space="preserve">, PhD supervisors, </w:t>
      </w:r>
      <w:r w:rsidRPr="00BD7D9E">
        <w:t>and other key informants</w:t>
      </w:r>
      <w:r>
        <w:t>.</w:t>
      </w:r>
      <w:r w:rsidRPr="00940861">
        <w:t xml:space="preserve"> </w:t>
      </w:r>
      <w:r>
        <w:t xml:space="preserve">Interviews were carried out face to face </w:t>
      </w:r>
      <w:r w:rsidRPr="005645B1">
        <w:t>during site visits to African research institutions</w:t>
      </w:r>
      <w:r>
        <w:t xml:space="preserve"> or when participants were visiting the UK, or else virtually.</w:t>
      </w:r>
      <w:r w:rsidRPr="005645B1">
        <w:t xml:space="preserve"> </w:t>
      </w:r>
      <w:r>
        <w:t>It</w:t>
      </w:r>
      <w:r w:rsidRPr="00BD7D9E">
        <w:t xml:space="preserve"> was not feasible to visit all twenty-six African</w:t>
      </w:r>
      <w:r>
        <w:t xml:space="preserve"> research</w:t>
      </w:r>
      <w:r w:rsidRPr="00BD7D9E">
        <w:t xml:space="preserve"> institutions involved in the ACBI programme</w:t>
      </w:r>
      <w:r>
        <w:t xml:space="preserve"> so t</w:t>
      </w:r>
      <w:r w:rsidRPr="0078576D">
        <w:t xml:space="preserve">he </w:t>
      </w:r>
      <w:r>
        <w:t xml:space="preserve">CCR </w:t>
      </w:r>
      <w:r w:rsidR="00534022" w:rsidRPr="00F874F9">
        <w:t xml:space="preserve">research team </w:t>
      </w:r>
      <w:r w:rsidR="00534022">
        <w:t>planned</w:t>
      </w:r>
      <w:r w:rsidR="00534022" w:rsidRPr="00F874F9">
        <w:t xml:space="preserve"> to visit at least one African partner’s institution in each of the ten consortia. When possible, these visits were designed to coincide with consortium</w:t>
      </w:r>
      <w:r w:rsidR="00534022">
        <w:t>-wide</w:t>
      </w:r>
      <w:r w:rsidR="00534022" w:rsidRPr="00F874F9">
        <w:t xml:space="preserve"> meetings (e.g. inception meetings, training workshops)</w:t>
      </w:r>
      <w:r w:rsidR="003E3C32" w:rsidRPr="003E3C32">
        <w:t xml:space="preserve"> </w:t>
      </w:r>
      <w:r w:rsidR="003E3C32">
        <w:t>as each consortium carrie</w:t>
      </w:r>
      <w:r w:rsidR="007A3E4D">
        <w:t>d</w:t>
      </w:r>
      <w:r w:rsidR="003E3C32">
        <w:t xml:space="preserve"> out at least </w:t>
      </w:r>
      <w:r w:rsidR="003E3C32">
        <w:lastRenderedPageBreak/>
        <w:t xml:space="preserve">one </w:t>
      </w:r>
      <w:r w:rsidR="003E3C32" w:rsidRPr="00294661">
        <w:t>consortiu</w:t>
      </w:r>
      <w:r w:rsidR="003E3C32">
        <w:t xml:space="preserve">m </w:t>
      </w:r>
      <w:r w:rsidR="003E3C32" w:rsidRPr="00294661">
        <w:t>meeting</w:t>
      </w:r>
      <w:r w:rsidR="003E3C32">
        <w:t xml:space="preserve"> per year, hosted by one of the three African research institutions.</w:t>
      </w:r>
      <w:r w:rsidR="00534022" w:rsidRPr="00F874F9">
        <w:t xml:space="preserve"> </w:t>
      </w:r>
      <w:r w:rsidR="003E3C32">
        <w:t>These</w:t>
      </w:r>
      <w:r w:rsidR="00534022" w:rsidRPr="00F874F9">
        <w:t xml:space="preserve"> events offered a good opportunity </w:t>
      </w:r>
      <w:r w:rsidR="003E3C32" w:rsidRPr="00BD7D9E">
        <w:t>for</w:t>
      </w:r>
      <w:r w:rsidR="003E3C32">
        <w:t xml:space="preserve"> the </w:t>
      </w:r>
      <w:r w:rsidR="003E3C32" w:rsidRPr="00BD7D9E">
        <w:t>CCR research team</w:t>
      </w:r>
      <w:r w:rsidR="003E3C32" w:rsidRPr="00F874F9">
        <w:t xml:space="preserve"> </w:t>
      </w:r>
      <w:r w:rsidR="000E6639">
        <w:t xml:space="preserve">to interact, face-to-face, and </w:t>
      </w:r>
      <w:r w:rsidR="000E6639" w:rsidRPr="00BD7D9E">
        <w:t xml:space="preserve">engage with </w:t>
      </w:r>
      <w:r w:rsidR="00534022" w:rsidRPr="00F874F9">
        <w:t xml:space="preserve">a wide range of </w:t>
      </w:r>
      <w:r w:rsidR="00BD7D9E" w:rsidRPr="00BD7D9E">
        <w:t>consorti</w:t>
      </w:r>
      <w:r w:rsidR="000E6639">
        <w:t xml:space="preserve">a </w:t>
      </w:r>
      <w:r w:rsidR="00BD7D9E" w:rsidRPr="00BD7D9E">
        <w:t>members</w:t>
      </w:r>
      <w:r w:rsidR="00F2311A">
        <w:t xml:space="preserve"> </w:t>
      </w:r>
      <w:r w:rsidR="00BD7D9E" w:rsidRPr="00BD7D9E">
        <w:t xml:space="preserve">from </w:t>
      </w:r>
      <w:r w:rsidR="00823F50">
        <w:t>all institutions within a consortium and to conduct a thorough assessment study at the host institution</w:t>
      </w:r>
      <w:r w:rsidR="00662FCF" w:rsidRPr="00662FCF">
        <w:t>.</w:t>
      </w:r>
    </w:p>
    <w:p w14:paraId="39D80C10" w14:textId="5279B053" w:rsidR="00FC6A69" w:rsidRDefault="00FC6A69" w:rsidP="00FC6A69">
      <w:pPr>
        <w:spacing w:after="0" w:line="480" w:lineRule="auto"/>
      </w:pPr>
    </w:p>
    <w:p w14:paraId="28F62AB0" w14:textId="740E84A6" w:rsidR="0076439E" w:rsidRDefault="00BD7D9E" w:rsidP="00476B79">
      <w:pPr>
        <w:spacing w:after="0" w:line="480" w:lineRule="auto"/>
      </w:pPr>
      <w:r w:rsidRPr="00BD7D9E">
        <w:t xml:space="preserve">Therefore, the selection of these institutions was based on </w:t>
      </w:r>
      <w:r w:rsidRPr="00EA0658">
        <w:t>purposive sampling</w:t>
      </w:r>
      <w:r w:rsidRPr="00BD7D9E">
        <w:t xml:space="preserve"> [</w:t>
      </w:r>
      <w:r w:rsidR="00756B7D">
        <w:t>25-26</w:t>
      </w:r>
      <w:r w:rsidRPr="00BD7D9E">
        <w:t>]</w:t>
      </w:r>
      <w:r w:rsidR="00662FCF">
        <w:t>. The research team mapped</w:t>
      </w:r>
      <w:r w:rsidR="00294661">
        <w:t xml:space="preserve"> out consortium-</w:t>
      </w:r>
      <w:r w:rsidR="00662FCF">
        <w:t>meeting</w:t>
      </w:r>
      <w:r w:rsidR="00294661">
        <w:t xml:space="preserve"> </w:t>
      </w:r>
      <w:r w:rsidR="00662FCF">
        <w:t xml:space="preserve">activities across all ten consortia and selected site </w:t>
      </w:r>
      <w:r w:rsidR="00294661">
        <w:t>visits</w:t>
      </w:r>
      <w:r w:rsidR="00662FCF">
        <w:t xml:space="preserve"> </w:t>
      </w:r>
      <w:r w:rsidR="00D64EE6">
        <w:t>in consultation and coordination with the principal investigators</w:t>
      </w:r>
      <w:r w:rsidRPr="00BD7D9E">
        <w:t>.</w:t>
      </w:r>
      <w:r w:rsidR="00F5466C">
        <w:t xml:space="preserve"> </w:t>
      </w:r>
      <w:r w:rsidR="0076439E">
        <w:t>The principal investigators</w:t>
      </w:r>
      <w:r w:rsidR="0076439E" w:rsidRPr="00D64EE6">
        <w:t xml:space="preserve"> then liaised with relevant stakeholders in their African institution to inform them about the visit and to invite them to be interviewed for the study</w:t>
      </w:r>
      <w:r w:rsidR="0041326B" w:rsidRPr="0041326B">
        <w:t xml:space="preserve"> </w:t>
      </w:r>
      <w:r w:rsidR="0041326B">
        <w:t>as key informants</w:t>
      </w:r>
      <w:r w:rsidR="00B37DD4">
        <w:t>.</w:t>
      </w:r>
      <w:r w:rsidR="0041326B">
        <w:t xml:space="preserve"> </w:t>
      </w:r>
      <w:r w:rsidR="0041326B" w:rsidRPr="00D64EE6">
        <w:t>Relevant stakeholders (e.g. provost, vice chancellor,</w:t>
      </w:r>
      <w:r w:rsidR="0041326B">
        <w:t xml:space="preserve"> head of department,</w:t>
      </w:r>
      <w:r w:rsidR="0041326B" w:rsidRPr="00D64EE6">
        <w:t xml:space="preserve"> head of IT, laboratory manager, other research support staff) were recruited because of their position in the institution and their in-depth knowledge of the topic areas to be covered in the data collection</w:t>
      </w:r>
      <w:r w:rsidR="0041326B">
        <w:t xml:space="preserve">. </w:t>
      </w:r>
      <w:r w:rsidR="0041326B" w:rsidRPr="00D64EE6">
        <w:t>In many cases there was only one person suitable to be interviewed</w:t>
      </w:r>
      <w:r w:rsidR="0041326B">
        <w:t xml:space="preserve"> in relation to a specific area</w:t>
      </w:r>
      <w:r w:rsidR="0041326B" w:rsidRPr="00D64EE6">
        <w:t xml:space="preserve"> (e.g. the head of IT, </w:t>
      </w:r>
      <w:r w:rsidR="0041326B">
        <w:t xml:space="preserve">vice chancellor, </w:t>
      </w:r>
      <w:r w:rsidR="0041326B" w:rsidRPr="00D64EE6">
        <w:t>chief laboratory manager</w:t>
      </w:r>
      <w:r w:rsidR="0041326B">
        <w:t>, etc.)</w:t>
      </w:r>
      <w:r w:rsidR="0041326B" w:rsidRPr="00D64EE6">
        <w:t xml:space="preserve">. </w:t>
      </w:r>
      <w:r w:rsidR="00C076F7">
        <w:t xml:space="preserve">Therefore, to maintain anonymity, </w:t>
      </w:r>
      <w:r w:rsidR="00C076F7" w:rsidRPr="00D64EE6">
        <w:t>demographic data for these interviewees</w:t>
      </w:r>
      <w:r w:rsidR="00C076F7">
        <w:t xml:space="preserve"> is not presented</w:t>
      </w:r>
      <w:r w:rsidR="0041326B" w:rsidRPr="00D64EE6">
        <w:t>.</w:t>
      </w:r>
      <w:r w:rsidR="0041326B">
        <w:t xml:space="preserve"> </w:t>
      </w:r>
      <w:r w:rsidR="0041326B" w:rsidRPr="0041326B">
        <w:t>Interviews with consortia members (e.g. principal and co-principal investigators; PhD students) who were not available at the time of the site-visit, were conducted remotely via skype or phone calls.</w:t>
      </w:r>
      <w:r w:rsidR="0041326B">
        <w:t xml:space="preserve"> </w:t>
      </w:r>
    </w:p>
    <w:p w14:paraId="02B0090C" w14:textId="4F898FA3" w:rsidR="001B0B05" w:rsidRDefault="000E6639" w:rsidP="00C07F22">
      <w:pPr>
        <w:spacing w:after="0" w:line="480" w:lineRule="auto"/>
        <w:rPr>
          <w:b/>
        </w:rPr>
      </w:pPr>
      <w:r>
        <w:t xml:space="preserve"> </w:t>
      </w:r>
    </w:p>
    <w:p w14:paraId="02776104" w14:textId="79B3D2EF" w:rsidR="00715231" w:rsidRPr="00FD0087" w:rsidRDefault="00715231" w:rsidP="00FA0D31">
      <w:pPr>
        <w:pStyle w:val="Heading3"/>
      </w:pPr>
      <w:r w:rsidRPr="00FD0087">
        <w:t>Data collection</w:t>
      </w:r>
    </w:p>
    <w:p w14:paraId="36DE9B5F" w14:textId="76FEC7AD" w:rsidR="00962F42" w:rsidRDefault="00CB6608" w:rsidP="00C07F22">
      <w:pPr>
        <w:spacing w:after="0" w:line="480" w:lineRule="auto"/>
      </w:pPr>
      <w:r w:rsidRPr="00FA728F">
        <w:t>In-depth semi-structured interviews</w:t>
      </w:r>
      <w:r w:rsidR="00FA728F" w:rsidRPr="00FA728F">
        <w:t xml:space="preserve"> conducted during site visits</w:t>
      </w:r>
      <w:r w:rsidR="001B0B05">
        <w:t xml:space="preserve"> and via skype or phone calls, </w:t>
      </w:r>
      <w:r w:rsidR="00FA728F" w:rsidRPr="00FA728F">
        <w:t>constituted the main source of data collection. The research team also carried out three focus group discussions</w:t>
      </w:r>
      <w:r w:rsidR="00FA728F">
        <w:t xml:space="preserve"> </w:t>
      </w:r>
      <w:r w:rsidR="00FA728F" w:rsidRPr="00F44539">
        <w:t xml:space="preserve">with a total of 13 </w:t>
      </w:r>
      <w:r w:rsidR="00C07F22" w:rsidRPr="00F44539">
        <w:t xml:space="preserve">ACBI-affiliated </w:t>
      </w:r>
      <w:r w:rsidR="00FA728F" w:rsidRPr="00F44539">
        <w:t>PhD students</w:t>
      </w:r>
      <w:r w:rsidR="00FA728F" w:rsidRPr="00FA728F">
        <w:t xml:space="preserve">. All data </w:t>
      </w:r>
      <w:r w:rsidR="00662FCF">
        <w:t>were</w:t>
      </w:r>
      <w:r w:rsidR="00FA728F" w:rsidRPr="00FA728F">
        <w:t xml:space="preserve"> collected between May 2015 and August 2016. </w:t>
      </w:r>
      <w:bookmarkStart w:id="19" w:name="_Hlk20518883"/>
      <w:r w:rsidR="00FA728F" w:rsidRPr="00FA728F">
        <w:t>Other sources of data such as</w:t>
      </w:r>
      <w:r w:rsidR="00B41305">
        <w:t xml:space="preserve"> field notes,</w:t>
      </w:r>
      <w:r w:rsidR="00FA728F" w:rsidRPr="00FA728F">
        <w:t xml:space="preserve"> institutional documents and reports were </w:t>
      </w:r>
      <w:r w:rsidR="00B41305">
        <w:t xml:space="preserve">reviewed and </w:t>
      </w:r>
      <w:r w:rsidR="00FA728F" w:rsidRPr="00FA728F">
        <w:t xml:space="preserve">used to provide background information and/or to verify information </w:t>
      </w:r>
      <w:r w:rsidR="00FA728F" w:rsidRPr="00FA728F">
        <w:lastRenderedPageBreak/>
        <w:t>provided through the interviews and focus group</w:t>
      </w:r>
      <w:r w:rsidR="003C4826">
        <w:t xml:space="preserve"> discussions</w:t>
      </w:r>
      <w:r w:rsidR="00FA728F" w:rsidRPr="00FA728F">
        <w:t xml:space="preserve"> [</w:t>
      </w:r>
      <w:r w:rsidR="00756B7D" w:rsidRPr="00756B7D">
        <w:t>2</w:t>
      </w:r>
      <w:r w:rsidR="00756B7D">
        <w:t>7</w:t>
      </w:r>
      <w:r w:rsidR="00FA728F" w:rsidRPr="00FA728F">
        <w:t xml:space="preserve">] </w:t>
      </w:r>
      <w:r w:rsidR="00FD0087">
        <w:t>(</w:t>
      </w:r>
      <w:r w:rsidR="00BD7D9E" w:rsidRPr="00FD0087">
        <w:t xml:space="preserve">Supplementary file </w:t>
      </w:r>
      <w:r w:rsidR="00586C7D" w:rsidRPr="00FD0087">
        <w:t>3</w:t>
      </w:r>
      <w:r w:rsidR="00BD7D9E" w:rsidRPr="00FD0087">
        <w:t xml:space="preserve">: </w:t>
      </w:r>
      <w:r w:rsidR="00CD0A63" w:rsidRPr="00FD0087">
        <w:t>A</w:t>
      </w:r>
      <w:r w:rsidR="00FA728F" w:rsidRPr="00FD0087">
        <w:t xml:space="preserve"> list of the documents reviewed</w:t>
      </w:r>
      <w:r w:rsidR="00FD0087">
        <w:t>)</w:t>
      </w:r>
      <w:r w:rsidR="00BD7D9E" w:rsidRPr="00FD0087">
        <w:t>.</w:t>
      </w:r>
      <w:bookmarkStart w:id="20" w:name="_Hlk14697515"/>
      <w:bookmarkEnd w:id="18"/>
    </w:p>
    <w:bookmarkEnd w:id="19"/>
    <w:p w14:paraId="273F1CDA" w14:textId="77777777" w:rsidR="00FD0087" w:rsidRDefault="00FD0087" w:rsidP="00C07F22">
      <w:pPr>
        <w:spacing w:after="0" w:line="480" w:lineRule="auto"/>
      </w:pPr>
    </w:p>
    <w:bookmarkEnd w:id="20"/>
    <w:p w14:paraId="07F664DF" w14:textId="215A6DCC" w:rsidR="0063035B" w:rsidRPr="00FD0087" w:rsidRDefault="0076439E" w:rsidP="0041326B">
      <w:pPr>
        <w:spacing w:after="0" w:line="480" w:lineRule="auto"/>
      </w:pPr>
      <w:r w:rsidRPr="00F874F9">
        <w:t>Prior to each site visit, the purpose and process of the research</w:t>
      </w:r>
      <w:r>
        <w:t xml:space="preserve"> was explained to each of </w:t>
      </w:r>
      <w:r w:rsidRPr="00F874F9">
        <w:t xml:space="preserve">the </w:t>
      </w:r>
      <w:r>
        <w:t>principal investigator</w:t>
      </w:r>
      <w:r w:rsidRPr="00F874F9">
        <w:t xml:space="preserve">s </w:t>
      </w:r>
      <w:r>
        <w:t>in the Africa</w:t>
      </w:r>
      <w:r w:rsidR="00194827">
        <w:t>n</w:t>
      </w:r>
      <w:r>
        <w:t xml:space="preserve"> research institutions. All 30 African </w:t>
      </w:r>
      <w:bookmarkStart w:id="21" w:name="_Hlk20836877"/>
      <w:r w:rsidR="00635C47">
        <w:t xml:space="preserve">principal investigators </w:t>
      </w:r>
      <w:bookmarkEnd w:id="21"/>
      <w:r w:rsidRPr="00F874F9">
        <w:t xml:space="preserve">were </w:t>
      </w:r>
      <w:r>
        <w:t>invited</w:t>
      </w:r>
      <w:r w:rsidRPr="00F874F9">
        <w:t xml:space="preserve"> to complete an on-line questionnaire to obtain </w:t>
      </w:r>
      <w:r>
        <w:t xml:space="preserve">information on their professional expertise and experiences, as </w:t>
      </w:r>
      <w:r w:rsidR="00194827">
        <w:t>to provide</w:t>
      </w:r>
      <w:r w:rsidRPr="00F874F9">
        <w:t xml:space="preserve"> a broad overview of the current research capacity in their department or research institution</w:t>
      </w:r>
      <w:r>
        <w:t xml:space="preserve">. </w:t>
      </w:r>
      <w:r w:rsidRPr="005844C2">
        <w:t xml:space="preserve">The questionnaire covered the following themes: demographic information; professional development; research and training capacity at </w:t>
      </w:r>
      <w:r w:rsidRPr="00FD0087">
        <w:t>institutional level; partnerships and collaborations; main strengths and gaps/challenges, and possible solutions (Supplementary file 4: Pre-site visit online questionnaire).This information was also used to indicate areas for particular emphasis during the interviews and to supplement information obtained from on-site visits.</w:t>
      </w:r>
      <w:r w:rsidR="0041326B" w:rsidRPr="00FD0087">
        <w:t xml:space="preserve"> Overall 27 out of 30 principle investigators responded to the online questionnaire. Logistical arrangements and interview schedules for each of the site visits were all planned in coordination with the principal investigators. </w:t>
      </w:r>
    </w:p>
    <w:p w14:paraId="0D9706B0" w14:textId="77777777" w:rsidR="00FD0087" w:rsidRDefault="00916A45" w:rsidP="00CC0E27">
      <w:pPr>
        <w:spacing w:after="0" w:line="480" w:lineRule="auto"/>
      </w:pPr>
      <w:r w:rsidRPr="00FD0087">
        <w:t xml:space="preserve"> </w:t>
      </w:r>
    </w:p>
    <w:p w14:paraId="7F0F5098" w14:textId="7F5F1286" w:rsidR="003E14BA" w:rsidRDefault="0041326B" w:rsidP="00CC0E27">
      <w:pPr>
        <w:spacing w:after="0" w:line="480" w:lineRule="auto"/>
      </w:pPr>
      <w:r w:rsidRPr="009D645A">
        <w:t>For the purpose of the in-depth interviews, five separate interview guides were developed; one for each of a) the principle investigators or co-principal investigators, b) the PhD supervisors, c) the PhD students, d) the Heads of Department/Institute Deans or Principles, and e) the other research and institute support staff (</w:t>
      </w:r>
      <w:r w:rsidR="00FD0087" w:rsidRPr="009D645A">
        <w:t>S</w:t>
      </w:r>
      <w:r w:rsidRPr="009D645A">
        <w:t xml:space="preserve">upplementary file 5: Compiled interview guides). </w:t>
      </w:r>
      <w:bookmarkStart w:id="22" w:name="_Hlk20520776"/>
      <w:r w:rsidR="00867065" w:rsidRPr="009D645A">
        <w:t>In total, eight</w:t>
      </w:r>
      <w:r w:rsidR="00F9295E" w:rsidRPr="009D645A">
        <w:t xml:space="preserve"> </w:t>
      </w:r>
      <w:r w:rsidR="00867065" w:rsidRPr="009D645A">
        <w:t>institutions were visited in six African countries. Two institutions were visited in Ghana, two</w:t>
      </w:r>
      <w:r w:rsidR="00F9295E" w:rsidRPr="009D645A">
        <w:t xml:space="preserve"> </w:t>
      </w:r>
      <w:r w:rsidR="00867065" w:rsidRPr="009D645A">
        <w:t xml:space="preserve">in South Africa, and one in each of </w:t>
      </w:r>
      <w:r w:rsidR="009D645A" w:rsidRPr="009D645A">
        <w:t xml:space="preserve">the Democratic Republic of the Congo (DRC) - </w:t>
      </w:r>
      <w:r w:rsidR="00867065" w:rsidRPr="009D645A">
        <w:t xml:space="preserve">Kinshasa, Botswana, Senegal and Zimbabwe. </w:t>
      </w:r>
      <w:r w:rsidRPr="009D645A">
        <w:t>Within these eight institutions, nine different departments that hosted ten research consortia were assessed. One of the departments hosted two consortia under two different research groups.</w:t>
      </w:r>
      <w:r w:rsidR="00CC0E27" w:rsidRPr="009D645A">
        <w:t xml:space="preserve"> </w:t>
      </w:r>
      <w:bookmarkEnd w:id="22"/>
      <w:r w:rsidR="00CC0E27" w:rsidRPr="009D645A">
        <w:t>To validate findings and cross-check whether similar capacity gaps are found elsewhere, further data</w:t>
      </w:r>
      <w:r w:rsidRPr="009D645A">
        <w:t xml:space="preserve"> concerning African institutions that were not visited </w:t>
      </w:r>
      <w:r w:rsidR="00CC0E27" w:rsidRPr="009D645A">
        <w:t xml:space="preserve">were </w:t>
      </w:r>
      <w:r w:rsidRPr="009D645A">
        <w:t xml:space="preserve">obtained from the </w:t>
      </w:r>
      <w:r w:rsidR="00CC0E27" w:rsidRPr="009D645A">
        <w:t>ACBI-</w:t>
      </w:r>
      <w:r w:rsidR="00CC0E27" w:rsidRPr="009D645A">
        <w:lastRenderedPageBreak/>
        <w:t xml:space="preserve">affiliated </w:t>
      </w:r>
      <w:r w:rsidRPr="009D645A">
        <w:t>principal</w:t>
      </w:r>
      <w:r w:rsidR="00CC0E27" w:rsidRPr="009D645A">
        <w:t xml:space="preserve"> or co-principal</w:t>
      </w:r>
      <w:r w:rsidRPr="009D645A">
        <w:t xml:space="preserve"> investigators and doctoral students </w:t>
      </w:r>
      <w:r w:rsidR="00CC0E27" w:rsidRPr="009D645A">
        <w:t>during consortium-wide meetings within and outside the UK</w:t>
      </w:r>
      <w:r w:rsidR="00AA170F" w:rsidRPr="009D645A">
        <w:t>,</w:t>
      </w:r>
      <w:r w:rsidR="00CC0E27" w:rsidRPr="009D645A">
        <w:t xml:space="preserve"> or remotely </w:t>
      </w:r>
      <w:r w:rsidRPr="009D645A">
        <w:t>by phone or Skype interviews.</w:t>
      </w:r>
    </w:p>
    <w:p w14:paraId="1F1E59F1" w14:textId="77777777" w:rsidR="00FD0087" w:rsidRDefault="00FD0087" w:rsidP="00CC0E27">
      <w:pPr>
        <w:spacing w:after="0" w:line="480" w:lineRule="auto"/>
        <w:rPr>
          <w:rFonts w:cs="Calibri"/>
        </w:rPr>
      </w:pPr>
    </w:p>
    <w:p w14:paraId="4D1D1648" w14:textId="5468C238" w:rsidR="007A487E" w:rsidRDefault="007A487E" w:rsidP="007A487E">
      <w:pPr>
        <w:autoSpaceDE w:val="0"/>
        <w:autoSpaceDN w:val="0"/>
        <w:adjustRightInd w:val="0"/>
        <w:spacing w:after="0" w:line="480" w:lineRule="auto"/>
      </w:pPr>
      <w:r w:rsidRPr="007A487E">
        <w:rPr>
          <w:rFonts w:cs="Calibri"/>
        </w:rPr>
        <w:t xml:space="preserve">Overall 86 in-depth interviews </w:t>
      </w:r>
      <w:r w:rsidR="0033741B">
        <w:rPr>
          <w:rFonts w:cs="Calibri"/>
        </w:rPr>
        <w:t xml:space="preserve">with unique interviewees </w:t>
      </w:r>
      <w:r w:rsidRPr="007A487E">
        <w:rPr>
          <w:rFonts w:cs="Calibri"/>
        </w:rPr>
        <w:t>and three focus group discussions involving 13</w:t>
      </w:r>
      <w:r w:rsidR="00FD0087">
        <w:rPr>
          <w:rFonts w:cs="Calibri"/>
        </w:rPr>
        <w:t xml:space="preserve"> </w:t>
      </w:r>
      <w:r>
        <w:rPr>
          <w:rFonts w:cs="Calibri"/>
        </w:rPr>
        <w:t xml:space="preserve">ACBI-affiliated </w:t>
      </w:r>
      <w:r w:rsidRPr="00086827">
        <w:rPr>
          <w:rFonts w:cs="Calibri"/>
        </w:rPr>
        <w:t>PhD students</w:t>
      </w:r>
      <w:r w:rsidRPr="007A487E">
        <w:rPr>
          <w:rFonts w:cs="Calibri"/>
        </w:rPr>
        <w:t xml:space="preserve">, were conducted </w:t>
      </w:r>
      <w:r>
        <w:rPr>
          <w:rFonts w:cs="Calibri"/>
        </w:rPr>
        <w:t>face-to-face</w:t>
      </w:r>
      <w:r w:rsidRPr="007A487E">
        <w:rPr>
          <w:rFonts w:cs="Calibri"/>
        </w:rPr>
        <w:t xml:space="preserve"> during on-site visits to consortia and by remote</w:t>
      </w:r>
      <w:r w:rsidRPr="007A487E">
        <w:rPr>
          <w:sz w:val="18"/>
          <w:szCs w:val="18"/>
        </w:rPr>
        <w:t xml:space="preserve"> </w:t>
      </w:r>
      <w:r w:rsidRPr="007A487E">
        <w:t xml:space="preserve">communication. </w:t>
      </w:r>
      <w:proofErr w:type="gramStart"/>
      <w:r w:rsidRPr="007A487E">
        <w:t>The majority of</w:t>
      </w:r>
      <w:proofErr w:type="gramEnd"/>
      <w:r w:rsidRPr="007A487E">
        <w:t xml:space="preserve"> participants were principal investigators and PhD students; others included academics, laboratory staff, research and postgraduate managers and support staff such as accountants</w:t>
      </w:r>
      <w:r w:rsidR="00BD3925">
        <w:t xml:space="preserve"> </w:t>
      </w:r>
      <w:bookmarkStart w:id="23" w:name="_Hlk20837221"/>
      <w:r w:rsidR="00BD3925">
        <w:t>and laboratory technicians</w:t>
      </w:r>
      <w:r w:rsidRPr="007A487E">
        <w:t xml:space="preserve"> </w:t>
      </w:r>
      <w:bookmarkEnd w:id="23"/>
      <w:r w:rsidRPr="007A487E">
        <w:t>(Table 1).</w:t>
      </w:r>
      <w:r w:rsidRPr="00F874F9">
        <w:t xml:space="preserve"> </w:t>
      </w:r>
    </w:p>
    <w:p w14:paraId="6658C3F1" w14:textId="77777777" w:rsidR="007A487E" w:rsidRDefault="007A487E" w:rsidP="00CC0E27">
      <w:pPr>
        <w:spacing w:after="0" w:line="480" w:lineRule="auto"/>
        <w:rPr>
          <w:rFonts w:cs="Calibri"/>
        </w:rPr>
      </w:pPr>
    </w:p>
    <w:p w14:paraId="7935277E" w14:textId="5E53CBD7" w:rsidR="0033741B" w:rsidRDefault="0033741B" w:rsidP="0033741B">
      <w:pPr>
        <w:autoSpaceDE w:val="0"/>
        <w:autoSpaceDN w:val="0"/>
        <w:adjustRightInd w:val="0"/>
        <w:spacing w:after="0" w:line="480" w:lineRule="auto"/>
      </w:pPr>
      <w:r w:rsidRPr="00086827">
        <w:t>Interview duration ranged between 30-90 minutes depending on the type of information required from each interviewee. Interviews were carried out until data saturation was achieved.</w:t>
      </w:r>
      <w:r>
        <w:t xml:space="preserve"> Data from the interviews and FGDs informed qualitative </w:t>
      </w:r>
      <w:r w:rsidRPr="00684C5C">
        <w:t>assessments for eight institutions</w:t>
      </w:r>
      <w:r>
        <w:t>. The consortia to be funded had been selected during two annual rounds in 2015 and 2016. F</w:t>
      </w:r>
      <w:r w:rsidRPr="00684C5C">
        <w:t xml:space="preserve">ive </w:t>
      </w:r>
      <w:r>
        <w:t xml:space="preserve">of the institutions that participated on our study </w:t>
      </w:r>
      <w:r w:rsidRPr="00684C5C">
        <w:t>were</w:t>
      </w:r>
      <w:r w:rsidRPr="000524D4">
        <w:t xml:space="preserve"> part of </w:t>
      </w:r>
      <w:r>
        <w:t xml:space="preserve">the </w:t>
      </w:r>
      <w:r w:rsidRPr="000524D4">
        <w:t>Round One</w:t>
      </w:r>
      <w:r>
        <w:t xml:space="preserve"> 2015 cohort </w:t>
      </w:r>
      <w:r w:rsidRPr="000524D4">
        <w:t>and three institutions were part of</w:t>
      </w:r>
      <w:r>
        <w:t xml:space="preserve"> the</w:t>
      </w:r>
      <w:r w:rsidRPr="000524D4">
        <w:t xml:space="preserve"> Round Two</w:t>
      </w:r>
      <w:r>
        <w:t xml:space="preserve"> 2016 cohort</w:t>
      </w:r>
      <w:r w:rsidRPr="000524D4">
        <w:t>.</w:t>
      </w:r>
      <w:r w:rsidRPr="00E97030">
        <w:t xml:space="preserve"> </w:t>
      </w:r>
      <w:r w:rsidRPr="002D15C3">
        <w:t>Table 1</w:t>
      </w:r>
      <w:r>
        <w:t xml:space="preserve"> below shows who was included in the in-depth interviews (excluding FGDs) across these institutions.</w:t>
      </w:r>
    </w:p>
    <w:p w14:paraId="3B03A682" w14:textId="77777777" w:rsidR="00931C4A" w:rsidRDefault="00931C4A" w:rsidP="00086827">
      <w:pPr>
        <w:spacing w:after="0" w:line="480" w:lineRule="auto"/>
      </w:pPr>
    </w:p>
    <w:p w14:paraId="58A8AEBF" w14:textId="0C94A78A" w:rsidR="00867065" w:rsidRPr="00714105" w:rsidRDefault="00867065" w:rsidP="00484F66">
      <w:pPr>
        <w:spacing w:after="0" w:line="480" w:lineRule="auto"/>
        <w:rPr>
          <w:b/>
        </w:rPr>
      </w:pPr>
      <w:r w:rsidRPr="00F874F9">
        <w:rPr>
          <w:b/>
        </w:rPr>
        <w:t xml:space="preserve">Table </w:t>
      </w:r>
      <w:r w:rsidR="00684C5C">
        <w:rPr>
          <w:b/>
        </w:rPr>
        <w:t>1</w:t>
      </w:r>
      <w:r w:rsidRPr="00562C36">
        <w:rPr>
          <w:b/>
        </w:rPr>
        <w:t xml:space="preserve">: Types of participants in in-depth interviews </w:t>
      </w:r>
    </w:p>
    <w:tbl>
      <w:tblPr>
        <w:tblStyle w:val="TableGrid"/>
        <w:tblW w:w="0" w:type="auto"/>
        <w:tblLook w:val="04A0" w:firstRow="1" w:lastRow="0" w:firstColumn="1" w:lastColumn="0" w:noHBand="0" w:noVBand="1"/>
      </w:tblPr>
      <w:tblGrid>
        <w:gridCol w:w="4673"/>
        <w:gridCol w:w="1985"/>
        <w:gridCol w:w="1984"/>
      </w:tblGrid>
      <w:tr w:rsidR="00867065" w:rsidRPr="00F874F9" w14:paraId="6E62AC5F" w14:textId="77777777" w:rsidTr="00FE1198">
        <w:tc>
          <w:tcPr>
            <w:tcW w:w="4673" w:type="dxa"/>
            <w:vMerge w:val="restart"/>
            <w:shd w:val="clear" w:color="auto" w:fill="D9D9D9" w:themeFill="background1" w:themeFillShade="D9"/>
            <w:vAlign w:val="center"/>
          </w:tcPr>
          <w:p w14:paraId="5A44C062" w14:textId="77777777" w:rsidR="00867065" w:rsidRPr="009054B9" w:rsidRDefault="00867065" w:rsidP="00484F66">
            <w:pPr>
              <w:spacing w:line="480" w:lineRule="auto"/>
              <w:rPr>
                <w:b/>
              </w:rPr>
            </w:pPr>
            <w:r w:rsidRPr="009054B9">
              <w:rPr>
                <w:b/>
              </w:rPr>
              <w:t xml:space="preserve"> Participant type</w:t>
            </w:r>
          </w:p>
        </w:tc>
        <w:tc>
          <w:tcPr>
            <w:tcW w:w="3969" w:type="dxa"/>
            <w:gridSpan w:val="2"/>
            <w:shd w:val="clear" w:color="auto" w:fill="D9D9D9" w:themeFill="background1" w:themeFillShade="D9"/>
            <w:vAlign w:val="center"/>
          </w:tcPr>
          <w:p w14:paraId="1A955821" w14:textId="48687018" w:rsidR="00867065" w:rsidRPr="009054B9" w:rsidRDefault="00867065" w:rsidP="00484F66">
            <w:pPr>
              <w:spacing w:line="480" w:lineRule="auto"/>
              <w:jc w:val="center"/>
              <w:rPr>
                <w:b/>
              </w:rPr>
            </w:pPr>
            <w:r w:rsidRPr="009054B9">
              <w:rPr>
                <w:b/>
              </w:rPr>
              <w:t xml:space="preserve">Number of participants </w:t>
            </w:r>
            <w:r w:rsidR="00466812">
              <w:rPr>
                <w:b/>
              </w:rPr>
              <w:t>across 10 consortia</w:t>
            </w:r>
            <w:r w:rsidR="00466812" w:rsidRPr="009054B9">
              <w:rPr>
                <w:b/>
              </w:rPr>
              <w:t xml:space="preserve"> </w:t>
            </w:r>
            <w:r w:rsidRPr="009054B9">
              <w:rPr>
                <w:b/>
              </w:rPr>
              <w:t>by award round</w:t>
            </w:r>
            <w:r w:rsidR="00466812">
              <w:rPr>
                <w:b/>
              </w:rPr>
              <w:t>s 2015 &amp; 2016</w:t>
            </w:r>
          </w:p>
        </w:tc>
      </w:tr>
      <w:tr w:rsidR="00867065" w:rsidRPr="00F874F9" w14:paraId="13DF922D" w14:textId="77777777" w:rsidTr="00FE1198">
        <w:trPr>
          <w:cantSplit/>
          <w:trHeight w:val="1716"/>
        </w:trPr>
        <w:tc>
          <w:tcPr>
            <w:tcW w:w="4673" w:type="dxa"/>
            <w:vMerge/>
            <w:shd w:val="clear" w:color="auto" w:fill="D9D9D9" w:themeFill="background1" w:themeFillShade="D9"/>
          </w:tcPr>
          <w:p w14:paraId="5A7BB62A" w14:textId="77777777" w:rsidR="00867065" w:rsidRPr="009054B9" w:rsidRDefault="00867065" w:rsidP="00484F66">
            <w:pPr>
              <w:spacing w:line="480" w:lineRule="auto"/>
              <w:jc w:val="center"/>
              <w:rPr>
                <w:b/>
              </w:rPr>
            </w:pPr>
          </w:p>
        </w:tc>
        <w:tc>
          <w:tcPr>
            <w:tcW w:w="1985" w:type="dxa"/>
            <w:shd w:val="clear" w:color="auto" w:fill="D9D9D9" w:themeFill="background1" w:themeFillShade="D9"/>
            <w:vAlign w:val="center"/>
          </w:tcPr>
          <w:p w14:paraId="57085AA0" w14:textId="48F11651" w:rsidR="00867065" w:rsidRPr="009054B9" w:rsidRDefault="00466812" w:rsidP="00484F66">
            <w:pPr>
              <w:spacing w:line="480" w:lineRule="auto"/>
              <w:jc w:val="center"/>
              <w:rPr>
                <w:b/>
              </w:rPr>
            </w:pPr>
            <w:r>
              <w:rPr>
                <w:b/>
              </w:rPr>
              <w:t xml:space="preserve">Award </w:t>
            </w:r>
            <w:r w:rsidR="00684C5C">
              <w:rPr>
                <w:b/>
              </w:rPr>
              <w:t xml:space="preserve">Holders’ </w:t>
            </w:r>
            <w:r w:rsidR="00867065" w:rsidRPr="009054B9">
              <w:rPr>
                <w:b/>
              </w:rPr>
              <w:t>Round 1</w:t>
            </w:r>
            <w:r>
              <w:rPr>
                <w:b/>
              </w:rPr>
              <w:t xml:space="preserve">- 2015 (interviewees across 5 </w:t>
            </w:r>
            <w:r w:rsidR="002E6FF3">
              <w:rPr>
                <w:b/>
              </w:rPr>
              <w:t xml:space="preserve">research </w:t>
            </w:r>
            <w:r>
              <w:rPr>
                <w:b/>
              </w:rPr>
              <w:t>consortia)</w:t>
            </w:r>
          </w:p>
        </w:tc>
        <w:tc>
          <w:tcPr>
            <w:tcW w:w="1984" w:type="dxa"/>
            <w:shd w:val="clear" w:color="auto" w:fill="D9D9D9" w:themeFill="background1" w:themeFillShade="D9"/>
            <w:vAlign w:val="center"/>
          </w:tcPr>
          <w:p w14:paraId="76897F24" w14:textId="65C44E7B" w:rsidR="00867065" w:rsidRPr="009054B9" w:rsidRDefault="00466812" w:rsidP="00484F66">
            <w:pPr>
              <w:spacing w:line="480" w:lineRule="auto"/>
              <w:jc w:val="center"/>
              <w:rPr>
                <w:b/>
              </w:rPr>
            </w:pPr>
            <w:r w:rsidRPr="002701EA">
              <w:rPr>
                <w:b/>
              </w:rPr>
              <w:t>Award</w:t>
            </w:r>
            <w:r w:rsidR="00684C5C">
              <w:rPr>
                <w:b/>
              </w:rPr>
              <w:t xml:space="preserve"> Holders’</w:t>
            </w:r>
            <w:r w:rsidRPr="002701EA">
              <w:rPr>
                <w:b/>
              </w:rPr>
              <w:t xml:space="preserve"> </w:t>
            </w:r>
            <w:r w:rsidR="00867065" w:rsidRPr="002701EA">
              <w:rPr>
                <w:b/>
              </w:rPr>
              <w:t>Round</w:t>
            </w:r>
            <w:r w:rsidR="00867065">
              <w:rPr>
                <w:b/>
              </w:rPr>
              <w:t xml:space="preserve"> 2</w:t>
            </w:r>
            <w:r>
              <w:rPr>
                <w:b/>
              </w:rPr>
              <w:t xml:space="preserve">- </w:t>
            </w:r>
            <w:r w:rsidRPr="002701EA">
              <w:rPr>
                <w:b/>
              </w:rPr>
              <w:t>201</w:t>
            </w:r>
            <w:r>
              <w:rPr>
                <w:b/>
              </w:rPr>
              <w:t xml:space="preserve">6 </w:t>
            </w:r>
            <w:r w:rsidRPr="002701EA">
              <w:rPr>
                <w:b/>
              </w:rPr>
              <w:t xml:space="preserve">(interviewees across 5 </w:t>
            </w:r>
            <w:r w:rsidR="002E6FF3">
              <w:rPr>
                <w:b/>
              </w:rPr>
              <w:t xml:space="preserve">research </w:t>
            </w:r>
            <w:r w:rsidRPr="002701EA">
              <w:rPr>
                <w:b/>
              </w:rPr>
              <w:t>consortia)</w:t>
            </w:r>
          </w:p>
        </w:tc>
      </w:tr>
      <w:tr w:rsidR="00867065" w:rsidRPr="00F874F9" w14:paraId="24E2FD65" w14:textId="77777777" w:rsidTr="00FE1198">
        <w:tc>
          <w:tcPr>
            <w:tcW w:w="4673" w:type="dxa"/>
            <w:vAlign w:val="center"/>
          </w:tcPr>
          <w:p w14:paraId="02F772D6" w14:textId="7C937F1E" w:rsidR="00867065" w:rsidRPr="00F874F9" w:rsidRDefault="00322053" w:rsidP="00484F66">
            <w:pPr>
              <w:spacing w:line="480" w:lineRule="auto"/>
              <w:jc w:val="center"/>
            </w:pPr>
            <w:r>
              <w:lastRenderedPageBreak/>
              <w:t xml:space="preserve">ACBI-affiliated </w:t>
            </w:r>
            <w:r w:rsidR="00867065">
              <w:t>Principal investigator</w:t>
            </w:r>
          </w:p>
        </w:tc>
        <w:tc>
          <w:tcPr>
            <w:tcW w:w="1985" w:type="dxa"/>
            <w:vAlign w:val="center"/>
          </w:tcPr>
          <w:p w14:paraId="69FD2ED7" w14:textId="77777777" w:rsidR="00867065" w:rsidRPr="00F874F9" w:rsidRDefault="00867065" w:rsidP="00484F66">
            <w:pPr>
              <w:spacing w:line="480" w:lineRule="auto"/>
              <w:jc w:val="center"/>
            </w:pPr>
            <w:r w:rsidRPr="00F874F9">
              <w:t>18</w:t>
            </w:r>
          </w:p>
        </w:tc>
        <w:tc>
          <w:tcPr>
            <w:tcW w:w="1984" w:type="dxa"/>
            <w:vAlign w:val="center"/>
          </w:tcPr>
          <w:p w14:paraId="30FAE9AA" w14:textId="77777777" w:rsidR="00867065" w:rsidRPr="00F874F9" w:rsidRDefault="00867065" w:rsidP="00484F66">
            <w:pPr>
              <w:spacing w:line="480" w:lineRule="auto"/>
              <w:jc w:val="center"/>
            </w:pPr>
            <w:r w:rsidRPr="00F874F9">
              <w:t>10</w:t>
            </w:r>
          </w:p>
        </w:tc>
      </w:tr>
      <w:tr w:rsidR="00867065" w:rsidRPr="00F874F9" w14:paraId="6F7CAA39" w14:textId="77777777" w:rsidTr="00FE1198">
        <w:tc>
          <w:tcPr>
            <w:tcW w:w="4673" w:type="dxa"/>
            <w:vAlign w:val="center"/>
          </w:tcPr>
          <w:p w14:paraId="331FCEFA" w14:textId="79B274C5" w:rsidR="00867065" w:rsidRPr="00F874F9" w:rsidRDefault="00322053" w:rsidP="00484F66">
            <w:pPr>
              <w:spacing w:line="480" w:lineRule="auto"/>
              <w:jc w:val="center"/>
            </w:pPr>
            <w:r>
              <w:t xml:space="preserve">ACBI-affiliated </w:t>
            </w:r>
            <w:r w:rsidR="00867065" w:rsidRPr="00F874F9">
              <w:t>PhD student</w:t>
            </w:r>
          </w:p>
        </w:tc>
        <w:tc>
          <w:tcPr>
            <w:tcW w:w="1985" w:type="dxa"/>
            <w:vAlign w:val="center"/>
          </w:tcPr>
          <w:p w14:paraId="66542B01" w14:textId="77777777" w:rsidR="00867065" w:rsidRPr="00F874F9" w:rsidRDefault="00867065" w:rsidP="00484F66">
            <w:pPr>
              <w:spacing w:line="480" w:lineRule="auto"/>
              <w:jc w:val="center"/>
            </w:pPr>
            <w:r w:rsidRPr="00F874F9">
              <w:t>12</w:t>
            </w:r>
          </w:p>
        </w:tc>
        <w:tc>
          <w:tcPr>
            <w:tcW w:w="1984" w:type="dxa"/>
            <w:vAlign w:val="center"/>
          </w:tcPr>
          <w:p w14:paraId="4602AB91" w14:textId="77777777" w:rsidR="00867065" w:rsidRPr="00F874F9" w:rsidRDefault="00867065" w:rsidP="00484F66">
            <w:pPr>
              <w:spacing w:line="480" w:lineRule="auto"/>
              <w:jc w:val="center"/>
            </w:pPr>
            <w:r w:rsidRPr="00F874F9">
              <w:t>10</w:t>
            </w:r>
          </w:p>
        </w:tc>
      </w:tr>
      <w:tr w:rsidR="00867065" w:rsidRPr="00F874F9" w14:paraId="0A817B7E" w14:textId="77777777" w:rsidTr="00FE1198">
        <w:tc>
          <w:tcPr>
            <w:tcW w:w="4673" w:type="dxa"/>
            <w:vAlign w:val="center"/>
          </w:tcPr>
          <w:p w14:paraId="1C9B30AA" w14:textId="7A7DA92C" w:rsidR="00867065" w:rsidRPr="00F874F9" w:rsidRDefault="002E6FF3" w:rsidP="00484F66">
            <w:pPr>
              <w:spacing w:line="480" w:lineRule="auto"/>
              <w:jc w:val="center"/>
            </w:pPr>
            <w:r>
              <w:t xml:space="preserve">Academic </w:t>
            </w:r>
            <w:r w:rsidR="00867065" w:rsidRPr="00F874F9">
              <w:t>Supervisor/Head of Department</w:t>
            </w:r>
          </w:p>
        </w:tc>
        <w:tc>
          <w:tcPr>
            <w:tcW w:w="1985" w:type="dxa"/>
            <w:vAlign w:val="center"/>
          </w:tcPr>
          <w:p w14:paraId="08A6A93A" w14:textId="77777777" w:rsidR="00867065" w:rsidRPr="00F874F9" w:rsidRDefault="00867065" w:rsidP="00484F66">
            <w:pPr>
              <w:spacing w:line="480" w:lineRule="auto"/>
              <w:jc w:val="center"/>
            </w:pPr>
            <w:r w:rsidRPr="00F874F9">
              <w:t>6</w:t>
            </w:r>
          </w:p>
        </w:tc>
        <w:tc>
          <w:tcPr>
            <w:tcW w:w="1984" w:type="dxa"/>
            <w:vAlign w:val="center"/>
          </w:tcPr>
          <w:p w14:paraId="7CB6C3C6" w14:textId="77777777" w:rsidR="00867065" w:rsidRPr="00F874F9" w:rsidRDefault="00867065" w:rsidP="00484F66">
            <w:pPr>
              <w:spacing w:line="480" w:lineRule="auto"/>
              <w:jc w:val="center"/>
            </w:pPr>
            <w:r w:rsidRPr="00F874F9">
              <w:t>2</w:t>
            </w:r>
          </w:p>
        </w:tc>
      </w:tr>
      <w:tr w:rsidR="00867065" w:rsidRPr="00F874F9" w14:paraId="54498C05" w14:textId="77777777" w:rsidTr="00FE1198">
        <w:tc>
          <w:tcPr>
            <w:tcW w:w="4673" w:type="dxa"/>
            <w:vAlign w:val="center"/>
          </w:tcPr>
          <w:p w14:paraId="246B4E4B" w14:textId="77777777" w:rsidR="00867065" w:rsidRPr="00F874F9" w:rsidRDefault="00867065" w:rsidP="00484F66">
            <w:pPr>
              <w:spacing w:line="480" w:lineRule="auto"/>
              <w:jc w:val="center"/>
            </w:pPr>
            <w:r w:rsidRPr="00F874F9">
              <w:t>Laboratory technician</w:t>
            </w:r>
          </w:p>
        </w:tc>
        <w:tc>
          <w:tcPr>
            <w:tcW w:w="1985" w:type="dxa"/>
            <w:vAlign w:val="center"/>
          </w:tcPr>
          <w:p w14:paraId="43A74B98" w14:textId="77777777" w:rsidR="00867065" w:rsidRPr="00F874F9" w:rsidRDefault="00867065" w:rsidP="00484F66">
            <w:pPr>
              <w:spacing w:line="480" w:lineRule="auto"/>
              <w:jc w:val="center"/>
            </w:pPr>
            <w:r w:rsidRPr="00F874F9">
              <w:t>6</w:t>
            </w:r>
          </w:p>
        </w:tc>
        <w:tc>
          <w:tcPr>
            <w:tcW w:w="1984" w:type="dxa"/>
            <w:vAlign w:val="center"/>
          </w:tcPr>
          <w:p w14:paraId="040BD07A" w14:textId="77777777" w:rsidR="00867065" w:rsidRPr="00F874F9" w:rsidRDefault="00867065" w:rsidP="00484F66">
            <w:pPr>
              <w:spacing w:line="480" w:lineRule="auto"/>
              <w:jc w:val="center"/>
            </w:pPr>
            <w:r w:rsidRPr="00F874F9">
              <w:t>1</w:t>
            </w:r>
          </w:p>
        </w:tc>
      </w:tr>
      <w:tr w:rsidR="00867065" w:rsidRPr="00F874F9" w14:paraId="1B010A5B" w14:textId="77777777" w:rsidTr="00FE1198">
        <w:tc>
          <w:tcPr>
            <w:tcW w:w="4673" w:type="dxa"/>
            <w:vAlign w:val="center"/>
          </w:tcPr>
          <w:p w14:paraId="248D8265" w14:textId="77777777" w:rsidR="00867065" w:rsidRPr="00F874F9" w:rsidRDefault="00867065" w:rsidP="00484F66">
            <w:pPr>
              <w:spacing w:line="480" w:lineRule="auto"/>
              <w:jc w:val="center"/>
            </w:pPr>
            <w:r w:rsidRPr="00F874F9">
              <w:t>Dean/Provost</w:t>
            </w:r>
          </w:p>
        </w:tc>
        <w:tc>
          <w:tcPr>
            <w:tcW w:w="1985" w:type="dxa"/>
            <w:vAlign w:val="center"/>
          </w:tcPr>
          <w:p w14:paraId="63D029B7" w14:textId="77777777" w:rsidR="00867065" w:rsidRPr="00F874F9" w:rsidRDefault="00867065" w:rsidP="00484F66">
            <w:pPr>
              <w:spacing w:line="480" w:lineRule="auto"/>
              <w:jc w:val="center"/>
            </w:pPr>
            <w:r w:rsidRPr="00F874F9">
              <w:t>3</w:t>
            </w:r>
          </w:p>
        </w:tc>
        <w:tc>
          <w:tcPr>
            <w:tcW w:w="1984" w:type="dxa"/>
            <w:vAlign w:val="center"/>
          </w:tcPr>
          <w:p w14:paraId="43DD4731" w14:textId="77777777" w:rsidR="00867065" w:rsidRPr="00F874F9" w:rsidRDefault="00867065" w:rsidP="00484F66">
            <w:pPr>
              <w:spacing w:line="480" w:lineRule="auto"/>
              <w:jc w:val="center"/>
            </w:pPr>
            <w:r w:rsidRPr="00F874F9">
              <w:t>1</w:t>
            </w:r>
          </w:p>
        </w:tc>
      </w:tr>
      <w:tr w:rsidR="00867065" w:rsidRPr="00F874F9" w14:paraId="1542811E" w14:textId="77777777" w:rsidTr="00FE1198">
        <w:tc>
          <w:tcPr>
            <w:tcW w:w="4673" w:type="dxa"/>
            <w:vAlign w:val="center"/>
          </w:tcPr>
          <w:p w14:paraId="11F6F996" w14:textId="77777777" w:rsidR="00867065" w:rsidRPr="00F874F9" w:rsidRDefault="00867065" w:rsidP="00484F66">
            <w:pPr>
              <w:spacing w:line="480" w:lineRule="auto"/>
              <w:jc w:val="center"/>
            </w:pPr>
            <w:r w:rsidRPr="00F874F9">
              <w:t>Vice Chancellor</w:t>
            </w:r>
          </w:p>
        </w:tc>
        <w:tc>
          <w:tcPr>
            <w:tcW w:w="1985" w:type="dxa"/>
            <w:vAlign w:val="center"/>
          </w:tcPr>
          <w:p w14:paraId="4AD1AFA1" w14:textId="77777777" w:rsidR="00867065" w:rsidRPr="00F874F9" w:rsidRDefault="00867065" w:rsidP="00484F66">
            <w:pPr>
              <w:spacing w:line="480" w:lineRule="auto"/>
              <w:jc w:val="center"/>
            </w:pPr>
            <w:r w:rsidRPr="00F874F9">
              <w:t>1</w:t>
            </w:r>
          </w:p>
        </w:tc>
        <w:tc>
          <w:tcPr>
            <w:tcW w:w="1984" w:type="dxa"/>
            <w:vAlign w:val="center"/>
          </w:tcPr>
          <w:p w14:paraId="694B9FE8" w14:textId="77777777" w:rsidR="00867065" w:rsidRPr="00F874F9" w:rsidRDefault="00867065" w:rsidP="00484F66">
            <w:pPr>
              <w:spacing w:line="480" w:lineRule="auto"/>
              <w:jc w:val="center"/>
            </w:pPr>
            <w:r w:rsidRPr="00F874F9">
              <w:t>0</w:t>
            </w:r>
          </w:p>
        </w:tc>
      </w:tr>
      <w:tr w:rsidR="00867065" w:rsidRPr="00F874F9" w14:paraId="5A404C91" w14:textId="77777777" w:rsidTr="00FE1198">
        <w:tc>
          <w:tcPr>
            <w:tcW w:w="4673" w:type="dxa"/>
            <w:vAlign w:val="center"/>
          </w:tcPr>
          <w:p w14:paraId="33601CB6" w14:textId="1C9F3977" w:rsidR="00867065" w:rsidRPr="00F874F9" w:rsidRDefault="00867065" w:rsidP="00484F66">
            <w:pPr>
              <w:spacing w:line="480" w:lineRule="auto"/>
              <w:jc w:val="center"/>
            </w:pPr>
            <w:r w:rsidRPr="00F874F9">
              <w:t>Director of Administrative Department</w:t>
            </w:r>
          </w:p>
        </w:tc>
        <w:tc>
          <w:tcPr>
            <w:tcW w:w="1985" w:type="dxa"/>
            <w:vAlign w:val="center"/>
          </w:tcPr>
          <w:p w14:paraId="093A5088" w14:textId="77777777" w:rsidR="00867065" w:rsidRPr="00F874F9" w:rsidRDefault="00867065" w:rsidP="00484F66">
            <w:pPr>
              <w:spacing w:line="480" w:lineRule="auto"/>
              <w:jc w:val="center"/>
            </w:pPr>
            <w:r w:rsidRPr="00F874F9">
              <w:t>1</w:t>
            </w:r>
          </w:p>
        </w:tc>
        <w:tc>
          <w:tcPr>
            <w:tcW w:w="1984" w:type="dxa"/>
            <w:vAlign w:val="center"/>
          </w:tcPr>
          <w:p w14:paraId="1D301FCA" w14:textId="77777777" w:rsidR="00867065" w:rsidRPr="00F874F9" w:rsidRDefault="00867065" w:rsidP="00484F66">
            <w:pPr>
              <w:spacing w:line="480" w:lineRule="auto"/>
              <w:jc w:val="center"/>
            </w:pPr>
            <w:r w:rsidRPr="00F874F9">
              <w:t>1</w:t>
            </w:r>
          </w:p>
        </w:tc>
      </w:tr>
      <w:tr w:rsidR="00867065" w:rsidRPr="00F874F9" w14:paraId="76764C97" w14:textId="77777777" w:rsidTr="00FE1198">
        <w:tc>
          <w:tcPr>
            <w:tcW w:w="4673" w:type="dxa"/>
            <w:vAlign w:val="center"/>
          </w:tcPr>
          <w:p w14:paraId="6FC63BC0" w14:textId="21946908" w:rsidR="00867065" w:rsidRPr="00F874F9" w:rsidRDefault="004E71E3" w:rsidP="00484F66">
            <w:pPr>
              <w:spacing w:line="480" w:lineRule="auto"/>
              <w:jc w:val="center"/>
            </w:pPr>
            <w:r>
              <w:t xml:space="preserve">Representative from the </w:t>
            </w:r>
            <w:r w:rsidR="00867065" w:rsidRPr="00F874F9">
              <w:t>Research Office</w:t>
            </w:r>
          </w:p>
        </w:tc>
        <w:tc>
          <w:tcPr>
            <w:tcW w:w="1985" w:type="dxa"/>
            <w:vAlign w:val="center"/>
          </w:tcPr>
          <w:p w14:paraId="22EF363A" w14:textId="77777777" w:rsidR="00867065" w:rsidRPr="00F874F9" w:rsidRDefault="00867065" w:rsidP="00484F66">
            <w:pPr>
              <w:spacing w:line="480" w:lineRule="auto"/>
              <w:jc w:val="center"/>
            </w:pPr>
            <w:r w:rsidRPr="00F874F9">
              <w:t>3</w:t>
            </w:r>
          </w:p>
        </w:tc>
        <w:tc>
          <w:tcPr>
            <w:tcW w:w="1984" w:type="dxa"/>
            <w:vAlign w:val="center"/>
          </w:tcPr>
          <w:p w14:paraId="4E00241D" w14:textId="77777777" w:rsidR="00867065" w:rsidRPr="00F874F9" w:rsidRDefault="00867065" w:rsidP="00484F66">
            <w:pPr>
              <w:spacing w:line="480" w:lineRule="auto"/>
              <w:jc w:val="center"/>
            </w:pPr>
            <w:r w:rsidRPr="00F874F9">
              <w:t>2</w:t>
            </w:r>
          </w:p>
        </w:tc>
      </w:tr>
      <w:tr w:rsidR="00867065" w:rsidRPr="00F874F9" w14:paraId="7DA0A096" w14:textId="77777777" w:rsidTr="00FE1198">
        <w:tc>
          <w:tcPr>
            <w:tcW w:w="4673" w:type="dxa"/>
            <w:vAlign w:val="center"/>
          </w:tcPr>
          <w:p w14:paraId="336537D0" w14:textId="5AF42E48" w:rsidR="00867065" w:rsidRPr="00F874F9" w:rsidRDefault="004E71E3" w:rsidP="00484F66">
            <w:pPr>
              <w:spacing w:line="480" w:lineRule="auto"/>
              <w:jc w:val="center"/>
            </w:pPr>
            <w:r>
              <w:t xml:space="preserve">Representative from the </w:t>
            </w:r>
            <w:r w:rsidR="00867065" w:rsidRPr="00F874F9">
              <w:t>Graduate/Doctoral School</w:t>
            </w:r>
          </w:p>
        </w:tc>
        <w:tc>
          <w:tcPr>
            <w:tcW w:w="1985" w:type="dxa"/>
            <w:vAlign w:val="center"/>
          </w:tcPr>
          <w:p w14:paraId="4D1B0340" w14:textId="77777777" w:rsidR="00867065" w:rsidRPr="00F874F9" w:rsidRDefault="00867065" w:rsidP="00484F66">
            <w:pPr>
              <w:spacing w:line="480" w:lineRule="auto"/>
              <w:jc w:val="center"/>
            </w:pPr>
            <w:r w:rsidRPr="00F874F9">
              <w:t>4</w:t>
            </w:r>
          </w:p>
        </w:tc>
        <w:tc>
          <w:tcPr>
            <w:tcW w:w="1984" w:type="dxa"/>
            <w:vAlign w:val="center"/>
          </w:tcPr>
          <w:p w14:paraId="20587C2D" w14:textId="77777777" w:rsidR="00867065" w:rsidRPr="00F874F9" w:rsidRDefault="00867065" w:rsidP="00484F66">
            <w:pPr>
              <w:spacing w:line="480" w:lineRule="auto"/>
              <w:jc w:val="center"/>
            </w:pPr>
            <w:r w:rsidRPr="00F874F9">
              <w:t>2</w:t>
            </w:r>
          </w:p>
        </w:tc>
      </w:tr>
      <w:tr w:rsidR="00867065" w:rsidRPr="00F874F9" w14:paraId="0EEE1BF5" w14:textId="77777777" w:rsidTr="00FE1198">
        <w:tc>
          <w:tcPr>
            <w:tcW w:w="4673" w:type="dxa"/>
            <w:vAlign w:val="center"/>
          </w:tcPr>
          <w:p w14:paraId="163D9D52" w14:textId="236C3EFB" w:rsidR="00867065" w:rsidRPr="00F874F9" w:rsidRDefault="00867065" w:rsidP="00484F66">
            <w:pPr>
              <w:spacing w:line="480" w:lineRule="auto"/>
              <w:jc w:val="center"/>
            </w:pPr>
            <w:r w:rsidRPr="00F874F9">
              <w:t>Finance</w:t>
            </w:r>
            <w:r w:rsidR="004E71E3">
              <w:t xml:space="preserve"> officer/ accountant</w:t>
            </w:r>
          </w:p>
        </w:tc>
        <w:tc>
          <w:tcPr>
            <w:tcW w:w="1985" w:type="dxa"/>
            <w:vAlign w:val="center"/>
          </w:tcPr>
          <w:p w14:paraId="54C90BF5" w14:textId="77777777" w:rsidR="00867065" w:rsidRPr="00F874F9" w:rsidRDefault="00867065" w:rsidP="00484F66">
            <w:pPr>
              <w:spacing w:line="480" w:lineRule="auto"/>
              <w:jc w:val="center"/>
            </w:pPr>
            <w:r w:rsidRPr="00F874F9">
              <w:t>2</w:t>
            </w:r>
          </w:p>
        </w:tc>
        <w:tc>
          <w:tcPr>
            <w:tcW w:w="1984" w:type="dxa"/>
            <w:vAlign w:val="center"/>
          </w:tcPr>
          <w:p w14:paraId="3FDCA68C" w14:textId="77777777" w:rsidR="00867065" w:rsidRPr="00F874F9" w:rsidRDefault="00867065" w:rsidP="00484F66">
            <w:pPr>
              <w:spacing w:line="480" w:lineRule="auto"/>
              <w:jc w:val="center"/>
            </w:pPr>
            <w:r w:rsidRPr="00F874F9">
              <w:t>0</w:t>
            </w:r>
          </w:p>
        </w:tc>
      </w:tr>
      <w:tr w:rsidR="00867065" w:rsidRPr="00F874F9" w14:paraId="4408F0C6" w14:textId="77777777" w:rsidTr="00FE1198">
        <w:tc>
          <w:tcPr>
            <w:tcW w:w="4673" w:type="dxa"/>
            <w:vAlign w:val="center"/>
          </w:tcPr>
          <w:p w14:paraId="5FB34A56" w14:textId="0AB8F83B" w:rsidR="00867065" w:rsidRPr="00F874F9" w:rsidRDefault="004E71E3" w:rsidP="00484F66">
            <w:pPr>
              <w:spacing w:line="480" w:lineRule="auto"/>
              <w:jc w:val="center"/>
            </w:pPr>
            <w:r>
              <w:t>Human Resources’ officer</w:t>
            </w:r>
          </w:p>
        </w:tc>
        <w:tc>
          <w:tcPr>
            <w:tcW w:w="1985" w:type="dxa"/>
            <w:vAlign w:val="center"/>
          </w:tcPr>
          <w:p w14:paraId="7C37B841" w14:textId="77777777" w:rsidR="00867065" w:rsidRPr="00F874F9" w:rsidRDefault="00867065" w:rsidP="00484F66">
            <w:pPr>
              <w:spacing w:line="480" w:lineRule="auto"/>
              <w:jc w:val="center"/>
            </w:pPr>
            <w:r w:rsidRPr="00F874F9">
              <w:t>0</w:t>
            </w:r>
          </w:p>
        </w:tc>
        <w:tc>
          <w:tcPr>
            <w:tcW w:w="1984" w:type="dxa"/>
            <w:vAlign w:val="center"/>
          </w:tcPr>
          <w:p w14:paraId="00A48EDA" w14:textId="77777777" w:rsidR="00867065" w:rsidRPr="00F874F9" w:rsidRDefault="00867065" w:rsidP="00484F66">
            <w:pPr>
              <w:spacing w:line="480" w:lineRule="auto"/>
              <w:jc w:val="center"/>
            </w:pPr>
            <w:r w:rsidRPr="00F874F9">
              <w:t>1</w:t>
            </w:r>
          </w:p>
        </w:tc>
      </w:tr>
      <w:tr w:rsidR="00867065" w:rsidRPr="00F874F9" w14:paraId="60FECD34" w14:textId="77777777" w:rsidTr="00FE1198">
        <w:tc>
          <w:tcPr>
            <w:tcW w:w="4673" w:type="dxa"/>
            <w:vAlign w:val="center"/>
          </w:tcPr>
          <w:p w14:paraId="2609C2E2" w14:textId="7517A920" w:rsidR="00867065" w:rsidRPr="00F874F9" w:rsidRDefault="00867065" w:rsidP="00484F66">
            <w:pPr>
              <w:spacing w:line="480" w:lineRule="auto"/>
              <w:jc w:val="center"/>
              <w:rPr>
                <w:b/>
              </w:rPr>
            </w:pPr>
            <w:r w:rsidRPr="00F874F9">
              <w:rPr>
                <w:b/>
              </w:rPr>
              <w:t>Total</w:t>
            </w:r>
          </w:p>
        </w:tc>
        <w:tc>
          <w:tcPr>
            <w:tcW w:w="1985" w:type="dxa"/>
            <w:vAlign w:val="center"/>
          </w:tcPr>
          <w:p w14:paraId="5F862D12" w14:textId="77777777" w:rsidR="00867065" w:rsidRPr="00F874F9" w:rsidRDefault="00867065" w:rsidP="00484F66">
            <w:pPr>
              <w:spacing w:line="480" w:lineRule="auto"/>
              <w:jc w:val="center"/>
              <w:rPr>
                <w:b/>
              </w:rPr>
            </w:pPr>
            <w:r w:rsidRPr="00F874F9">
              <w:rPr>
                <w:b/>
              </w:rPr>
              <w:t>56</w:t>
            </w:r>
          </w:p>
        </w:tc>
        <w:tc>
          <w:tcPr>
            <w:tcW w:w="1984" w:type="dxa"/>
            <w:vAlign w:val="center"/>
          </w:tcPr>
          <w:p w14:paraId="397BE4A1" w14:textId="77777777" w:rsidR="00867065" w:rsidRPr="00F874F9" w:rsidRDefault="00867065" w:rsidP="00484F66">
            <w:pPr>
              <w:spacing w:line="480" w:lineRule="auto"/>
              <w:jc w:val="center"/>
              <w:rPr>
                <w:b/>
              </w:rPr>
            </w:pPr>
            <w:r w:rsidRPr="00F874F9">
              <w:rPr>
                <w:b/>
              </w:rPr>
              <w:t>30</w:t>
            </w:r>
          </w:p>
        </w:tc>
      </w:tr>
    </w:tbl>
    <w:p w14:paraId="093B7897" w14:textId="77777777" w:rsidR="0044221E" w:rsidRPr="00F874F9" w:rsidRDefault="0044221E" w:rsidP="00FE1198">
      <w:pPr>
        <w:autoSpaceDE w:val="0"/>
        <w:autoSpaceDN w:val="0"/>
        <w:adjustRightInd w:val="0"/>
        <w:spacing w:after="0" w:line="480" w:lineRule="auto"/>
        <w:rPr>
          <w:sz w:val="18"/>
          <w:szCs w:val="18"/>
        </w:rPr>
      </w:pPr>
    </w:p>
    <w:p w14:paraId="498DE9DC" w14:textId="77777777" w:rsidR="003B69B1" w:rsidRPr="000D1CDF" w:rsidRDefault="009E6D32" w:rsidP="00FE1198">
      <w:pPr>
        <w:pStyle w:val="Heading2"/>
        <w:spacing w:before="0" w:line="480" w:lineRule="auto"/>
        <w:rPr>
          <w:rFonts w:asciiTheme="minorHAnsi" w:hAnsiTheme="minorHAnsi"/>
          <w:b/>
          <w:color w:val="auto"/>
          <w:sz w:val="32"/>
          <w:szCs w:val="32"/>
        </w:rPr>
      </w:pPr>
      <w:bookmarkStart w:id="24" w:name="_Hlk20489025"/>
      <w:r w:rsidRPr="000D1CDF">
        <w:rPr>
          <w:rFonts w:asciiTheme="minorHAnsi" w:hAnsiTheme="minorHAnsi"/>
          <w:b/>
          <w:color w:val="auto"/>
          <w:sz w:val="32"/>
          <w:szCs w:val="32"/>
        </w:rPr>
        <w:t xml:space="preserve">Data </w:t>
      </w:r>
      <w:r w:rsidR="008D44A7" w:rsidRPr="000D1CDF">
        <w:rPr>
          <w:rFonts w:asciiTheme="minorHAnsi" w:hAnsiTheme="minorHAnsi"/>
          <w:b/>
          <w:color w:val="auto"/>
          <w:sz w:val="32"/>
          <w:szCs w:val="32"/>
        </w:rPr>
        <w:t xml:space="preserve">quality assurance </w:t>
      </w:r>
      <w:r w:rsidR="008D44A7">
        <w:rPr>
          <w:rFonts w:asciiTheme="minorHAnsi" w:hAnsiTheme="minorHAnsi"/>
          <w:b/>
          <w:color w:val="auto"/>
          <w:sz w:val="32"/>
          <w:szCs w:val="32"/>
        </w:rPr>
        <w:t xml:space="preserve">and </w:t>
      </w:r>
      <w:r w:rsidR="008D44A7" w:rsidRPr="000D1CDF">
        <w:rPr>
          <w:rFonts w:asciiTheme="minorHAnsi" w:hAnsiTheme="minorHAnsi"/>
          <w:b/>
          <w:color w:val="auto"/>
          <w:sz w:val="32"/>
          <w:szCs w:val="32"/>
        </w:rPr>
        <w:t xml:space="preserve">analysis </w:t>
      </w:r>
    </w:p>
    <w:bookmarkEnd w:id="24"/>
    <w:p w14:paraId="6581C982" w14:textId="53FC089C" w:rsidR="004C10D5" w:rsidRDefault="007A1516" w:rsidP="001358DC">
      <w:pPr>
        <w:spacing w:after="0" w:line="480" w:lineRule="auto"/>
      </w:pPr>
      <w:r w:rsidRPr="00F874F9">
        <w:t xml:space="preserve">To maximise the quality of data obtained, whenever possible each interview and </w:t>
      </w:r>
      <w:r>
        <w:t>focus group discussion</w:t>
      </w:r>
      <w:r w:rsidRPr="00F874F9">
        <w:t xml:space="preserve"> was carried out by </w:t>
      </w:r>
      <w:r w:rsidRPr="0078576D">
        <w:t xml:space="preserve">two researchers and information obtained was verified by at least two sources </w:t>
      </w:r>
      <w:r w:rsidR="0044221E" w:rsidRPr="0078576D">
        <w:t xml:space="preserve">(e.g. other PhD students or academic staff in the same research institution) </w:t>
      </w:r>
      <w:r w:rsidRPr="0078576D">
        <w:t>to enhance validity. Interviews and focus group discussions were audio recorded (if permission</w:t>
      </w:r>
      <w:r w:rsidRPr="00F874F9">
        <w:t xml:space="preserve"> was given) and extensive notes were taken. These</w:t>
      </w:r>
      <w:r w:rsidR="00281D24">
        <w:t xml:space="preserve"> notes</w:t>
      </w:r>
      <w:r w:rsidRPr="00F874F9">
        <w:t xml:space="preserve"> were written up within 24 hours of the interview</w:t>
      </w:r>
      <w:r w:rsidR="00D67C2C">
        <w:t xml:space="preserve"> and</w:t>
      </w:r>
      <w:r>
        <w:t xml:space="preserve"> were </w:t>
      </w:r>
      <w:r w:rsidRPr="00F874F9">
        <w:t>compared between the researchers, and with the audio recordings, to verify accuracy. An independent advisor also reviewed the data collection too</w:t>
      </w:r>
      <w:r w:rsidR="00714105">
        <w:t>ls and a sample of the reports.</w:t>
      </w:r>
      <w:r w:rsidR="00C2060D" w:rsidRPr="00C2060D">
        <w:t xml:space="preserve"> </w:t>
      </w:r>
    </w:p>
    <w:p w14:paraId="0690C4D1" w14:textId="77777777" w:rsidR="004C10D5" w:rsidRDefault="004C10D5" w:rsidP="001358DC">
      <w:pPr>
        <w:spacing w:after="0" w:line="480" w:lineRule="auto"/>
      </w:pPr>
    </w:p>
    <w:p w14:paraId="30D16BD3" w14:textId="07CC9AF3" w:rsidR="005F5E4C" w:rsidRPr="001358DC" w:rsidRDefault="004C10D5" w:rsidP="005F5E4C">
      <w:pPr>
        <w:spacing w:after="0" w:line="480" w:lineRule="auto"/>
      </w:pPr>
      <w:r w:rsidRPr="004C10D5">
        <w:t>All authors involved in this study have backgrounds in social science</w:t>
      </w:r>
      <w:r w:rsidR="003979A2">
        <w:t>s</w:t>
      </w:r>
      <w:r w:rsidRPr="004C10D5">
        <w:t xml:space="preserve"> and public or global health and are well trained researchers experienced in qualitative research.  </w:t>
      </w:r>
      <w:r w:rsidRPr="00084040">
        <w:t>Data collection was mainly led by</w:t>
      </w:r>
      <w:bookmarkStart w:id="25" w:name="_Hlk14888280"/>
      <w:r w:rsidR="00084040">
        <w:t xml:space="preserve"> </w:t>
      </w:r>
      <w:r w:rsidR="00084040">
        <w:lastRenderedPageBreak/>
        <w:t xml:space="preserve">Dr </w:t>
      </w:r>
      <w:r w:rsidRPr="00084040">
        <w:t>Stefanie Gregorius</w:t>
      </w:r>
      <w:r w:rsidR="00084040">
        <w:t xml:space="preserve"> (SG)</w:t>
      </w:r>
      <w:r w:rsidRPr="00084040">
        <w:t xml:space="preserve"> </w:t>
      </w:r>
      <w:bookmarkEnd w:id="25"/>
      <w:r w:rsidRPr="00084040">
        <w:t>and Professor Imelda Bates</w:t>
      </w:r>
      <w:r w:rsidR="00084040">
        <w:t xml:space="preserve"> (IB)</w:t>
      </w:r>
      <w:r w:rsidRPr="00084040">
        <w:t xml:space="preserve"> with the support of </w:t>
      </w:r>
      <w:r w:rsidR="00C220EE" w:rsidRPr="00084040">
        <w:t>CCR’s</w:t>
      </w:r>
      <w:r w:rsidRPr="00084040">
        <w:t xml:space="preserve"> programme manager</w:t>
      </w:r>
      <w:r w:rsidR="003979A2" w:rsidRPr="00084040">
        <w:t xml:space="preserve"> </w:t>
      </w:r>
      <w:r w:rsidRPr="00084040">
        <w:t xml:space="preserve">who was mostly </w:t>
      </w:r>
      <w:r w:rsidR="00C220EE" w:rsidRPr="00084040">
        <w:t xml:space="preserve">observing and </w:t>
      </w:r>
      <w:r w:rsidRPr="00084040">
        <w:t>taking notes</w:t>
      </w:r>
      <w:r w:rsidR="00C220EE" w:rsidRPr="00084040">
        <w:t xml:space="preserve"> </w:t>
      </w:r>
      <w:r w:rsidRPr="00084040">
        <w:t xml:space="preserve">during the interviews. Data transcription, </w:t>
      </w:r>
      <w:r w:rsidR="00C220EE" w:rsidRPr="00084040">
        <w:t xml:space="preserve">manual </w:t>
      </w:r>
      <w:r w:rsidRPr="00084040">
        <w:t xml:space="preserve">coding, and analysis was mainly led by </w:t>
      </w:r>
      <w:r w:rsidR="005F5E4C" w:rsidRPr="00084040">
        <w:t>SG</w:t>
      </w:r>
      <w:r w:rsidRPr="00084040">
        <w:t xml:space="preserve"> and was discussed with other authors from the research team for verification</w:t>
      </w:r>
      <w:r w:rsidR="00C220EE" w:rsidRPr="00084040">
        <w:t xml:space="preserve"> (i.e. ensuring they align with the assessment criteria) </w:t>
      </w:r>
      <w:r w:rsidRPr="00084040">
        <w:t>and finalisation.</w:t>
      </w:r>
      <w:r w:rsidR="00C220EE" w:rsidRPr="00084040">
        <w:t xml:space="preserve"> </w:t>
      </w:r>
      <w:r w:rsidR="005F5E4C" w:rsidRPr="00FF635F">
        <w:t>I</w:t>
      </w:r>
      <w:r w:rsidRPr="00FF635F">
        <w:t xml:space="preserve">ndividual institutional reports </w:t>
      </w:r>
      <w:r w:rsidR="005F5E4C" w:rsidRPr="00FF635F">
        <w:t>were</w:t>
      </w:r>
      <w:r w:rsidRPr="00FF635F">
        <w:t xml:space="preserve"> reviewed by key stakeholders involved in the study. </w:t>
      </w:r>
      <w:r w:rsidR="005F5E4C" w:rsidRPr="00FF635F">
        <w:t>Their comments and input were incorporated in each of the institutions’ final reports and were used as a source of data for this manuscript.</w:t>
      </w:r>
    </w:p>
    <w:p w14:paraId="36FF00CC" w14:textId="77777777" w:rsidR="001358DC" w:rsidRDefault="001358DC" w:rsidP="00843C19">
      <w:pPr>
        <w:spacing w:after="0" w:line="480" w:lineRule="auto"/>
      </w:pPr>
    </w:p>
    <w:p w14:paraId="7DE23CF7" w14:textId="3078F15C" w:rsidR="00FE1198" w:rsidRDefault="0071236A" w:rsidP="00843C19">
      <w:pPr>
        <w:spacing w:after="0" w:line="480" w:lineRule="auto"/>
      </w:pPr>
      <w:r>
        <w:t>Data</w:t>
      </w:r>
      <w:r w:rsidR="00B014A4" w:rsidRPr="00F874F9">
        <w:t xml:space="preserve"> from interviews and FGDs </w:t>
      </w:r>
      <w:r w:rsidR="00B014A4" w:rsidRPr="00FE1198">
        <w:t xml:space="preserve">were analysed </w:t>
      </w:r>
      <w:r w:rsidR="009E6D32" w:rsidRPr="00FE1198">
        <w:t>using a framework approach</w:t>
      </w:r>
      <w:r w:rsidR="004C0576" w:rsidRPr="00FE1198">
        <w:t xml:space="preserve"> [</w:t>
      </w:r>
      <w:r w:rsidR="0043354A" w:rsidRPr="00FE1198">
        <w:t>28</w:t>
      </w:r>
      <w:r w:rsidR="004C0576" w:rsidRPr="00FE1198">
        <w:t xml:space="preserve">] </w:t>
      </w:r>
      <w:r w:rsidR="0076511F" w:rsidRPr="00FE1198">
        <w:t>(</w:t>
      </w:r>
      <w:r w:rsidR="00FB6D3E" w:rsidRPr="00FE1198">
        <w:t xml:space="preserve">supplementary file </w:t>
      </w:r>
      <w:r w:rsidR="000D544B" w:rsidRPr="00FE1198">
        <w:t>6</w:t>
      </w:r>
      <w:r w:rsidR="00383898" w:rsidRPr="00FE1198">
        <w:t xml:space="preserve">: Thematic </w:t>
      </w:r>
      <w:r w:rsidR="00ED36A8" w:rsidRPr="00FE1198">
        <w:t>f</w:t>
      </w:r>
      <w:r w:rsidR="00D0779A" w:rsidRPr="00FE1198">
        <w:t>ramework used to analyse institutional capacity strengths and gaps</w:t>
      </w:r>
      <w:r w:rsidR="0076511F" w:rsidRPr="00FE1198">
        <w:t>)</w:t>
      </w:r>
      <w:r w:rsidR="00E71C5E" w:rsidRPr="00FE1198">
        <w:t>.</w:t>
      </w:r>
      <w:r w:rsidR="00145FF9" w:rsidRPr="00FE1198">
        <w:t xml:space="preserve"> Analysis was conducted for each institution individually. </w:t>
      </w:r>
      <w:r w:rsidR="007769EC" w:rsidRPr="00FE1198">
        <w:t>Themes were identified in advance based on the benchmark which informed the semi-structured interview guide</w:t>
      </w:r>
      <w:r w:rsidR="00724880" w:rsidRPr="00FE1198">
        <w:t xml:space="preserve"> (supplementary file </w:t>
      </w:r>
      <w:r w:rsidR="000D544B" w:rsidRPr="00FE1198">
        <w:t>5</w:t>
      </w:r>
      <w:r w:rsidR="00724880" w:rsidRPr="00FE1198">
        <w:t>)</w:t>
      </w:r>
      <w:r w:rsidR="007769EC" w:rsidRPr="00FE1198">
        <w:t xml:space="preserve">. </w:t>
      </w:r>
      <w:r w:rsidR="00B014A4" w:rsidRPr="00FE1198">
        <w:t>The framework</w:t>
      </w:r>
      <w:r w:rsidR="00FB6D3E" w:rsidRPr="00FE1198">
        <w:t xml:space="preserve"> </w:t>
      </w:r>
      <w:r w:rsidR="00B014A4" w:rsidRPr="00FE1198">
        <w:t xml:space="preserve">was based on the benchmark </w:t>
      </w:r>
      <w:r w:rsidR="00ED36A8" w:rsidRPr="00FE1198">
        <w:t>which was</w:t>
      </w:r>
      <w:r w:rsidR="00ED36A8">
        <w:t xml:space="preserve"> </w:t>
      </w:r>
      <w:r w:rsidR="00D95A11">
        <w:t xml:space="preserve">informed by good </w:t>
      </w:r>
      <w:r w:rsidR="00ED36A8">
        <w:t>global practice for re</w:t>
      </w:r>
      <w:r w:rsidR="008D44A7">
        <w:t>search systems</w:t>
      </w:r>
      <w:r w:rsidR="007A487E">
        <w:t>.</w:t>
      </w:r>
      <w:r w:rsidR="00B014A4" w:rsidRPr="00F874F9">
        <w:t xml:space="preserve"> </w:t>
      </w:r>
      <w:bookmarkStart w:id="26" w:name="_Hlk20508376"/>
      <w:r w:rsidR="00BE30AB" w:rsidRPr="00F35F25">
        <w:t xml:space="preserve">The findings </w:t>
      </w:r>
      <w:r w:rsidR="00BE30AB">
        <w:t>from</w:t>
      </w:r>
      <w:r w:rsidR="00BE30AB" w:rsidRPr="00F35F25">
        <w:t xml:space="preserve"> each visit were collated into </w:t>
      </w:r>
      <w:r w:rsidR="00C26483">
        <w:t>a</w:t>
      </w:r>
      <w:r w:rsidR="00BE30AB" w:rsidRPr="00F35F25">
        <w:t xml:space="preserve"> narrative </w:t>
      </w:r>
      <w:r w:rsidR="00C26483">
        <w:t xml:space="preserve">institutional </w:t>
      </w:r>
      <w:r w:rsidR="00BE30AB" w:rsidRPr="00F35F25">
        <w:t xml:space="preserve">assessment report </w:t>
      </w:r>
      <w:r w:rsidR="00BE30AB" w:rsidRPr="00F874F9">
        <w:t>which highlighted the research capacity strengths</w:t>
      </w:r>
      <w:r w:rsidR="00C26483">
        <w:t>,</w:t>
      </w:r>
      <w:r w:rsidR="00BE30AB" w:rsidRPr="00F874F9">
        <w:t xml:space="preserve"> weaknesses</w:t>
      </w:r>
      <w:r w:rsidR="00BE30AB">
        <w:t>,</w:t>
      </w:r>
      <w:r w:rsidR="00BE30AB" w:rsidRPr="00F874F9">
        <w:t xml:space="preserve"> </w:t>
      </w:r>
      <w:r w:rsidR="00892770">
        <w:t xml:space="preserve">and </w:t>
      </w:r>
      <w:r w:rsidR="00BE30AB">
        <w:t>described</w:t>
      </w:r>
      <w:r w:rsidR="00BE30AB" w:rsidRPr="00F874F9">
        <w:t xml:space="preserve"> examples of innovative or good practice</w:t>
      </w:r>
      <w:r w:rsidR="00BE30AB">
        <w:t xml:space="preserve"> and problem-solving</w:t>
      </w:r>
      <w:r w:rsidR="00C26483">
        <w:t>.</w:t>
      </w:r>
      <w:r w:rsidR="00892770" w:rsidRPr="00892770">
        <w:t xml:space="preserve"> </w:t>
      </w:r>
      <w:r w:rsidR="00892770">
        <w:t xml:space="preserve">Each institutional report also </w:t>
      </w:r>
      <w:r w:rsidR="00BE30AB" w:rsidRPr="00F874F9">
        <w:t xml:space="preserve">included suggestions </w:t>
      </w:r>
      <w:r w:rsidR="00BE30AB">
        <w:t>from</w:t>
      </w:r>
      <w:r w:rsidR="00BE30AB" w:rsidRPr="00F874F9">
        <w:t xml:space="preserve"> interviewees about how to address gaps </w:t>
      </w:r>
      <w:r w:rsidR="00BE30AB">
        <w:t>in their institutional research capacity</w:t>
      </w:r>
      <w:r w:rsidR="00892770">
        <w:t xml:space="preserve"> </w:t>
      </w:r>
      <w:bookmarkEnd w:id="26"/>
      <w:r w:rsidR="00F35F25" w:rsidRPr="00F35F25">
        <w:t xml:space="preserve">based on discussions between consortia stakeholders and </w:t>
      </w:r>
      <w:r w:rsidR="004E7EA8">
        <w:t xml:space="preserve">the </w:t>
      </w:r>
      <w:r w:rsidR="00F35F25" w:rsidRPr="00F35F25">
        <w:t xml:space="preserve">CCR </w:t>
      </w:r>
      <w:r w:rsidR="00F35F25">
        <w:t xml:space="preserve">research team </w:t>
      </w:r>
      <w:r w:rsidR="00F35F25" w:rsidRPr="00F35F25">
        <w:t>during consortia meetings</w:t>
      </w:r>
      <w:r w:rsidR="00941DAB">
        <w:t xml:space="preserve"> and </w:t>
      </w:r>
      <w:r w:rsidR="00F35F25" w:rsidRPr="00F35F25">
        <w:t xml:space="preserve">workshops. The draft </w:t>
      </w:r>
      <w:r w:rsidR="00C26483">
        <w:t xml:space="preserve">institutional </w:t>
      </w:r>
      <w:r w:rsidR="00F35F25" w:rsidRPr="00F35F25">
        <w:t xml:space="preserve">reports were sent to the relevant </w:t>
      </w:r>
      <w:r w:rsidR="00BE30AB">
        <w:t>principle</w:t>
      </w:r>
      <w:r w:rsidR="00941DAB">
        <w:t xml:space="preserve"> or </w:t>
      </w:r>
      <w:r w:rsidR="00F35F25" w:rsidRPr="00F35F25">
        <w:t>co-</w:t>
      </w:r>
      <w:r w:rsidR="00BE30AB">
        <w:t xml:space="preserve">principal investigator </w:t>
      </w:r>
      <w:r w:rsidR="00F35F25" w:rsidRPr="00F35F25">
        <w:t>to be shared with stakeholder</w:t>
      </w:r>
      <w:r w:rsidR="000D544B">
        <w:t>s</w:t>
      </w:r>
      <w:r w:rsidR="00F35F25" w:rsidRPr="00F35F25">
        <w:t xml:space="preserve"> interviewed for their </w:t>
      </w:r>
      <w:r w:rsidR="007E1350">
        <w:t xml:space="preserve">review and </w:t>
      </w:r>
      <w:r w:rsidR="00F35F25" w:rsidRPr="00F35F25">
        <w:t>input</w:t>
      </w:r>
      <w:r w:rsidR="007E1350" w:rsidRPr="007E1350">
        <w:t xml:space="preserve"> before they were finalised</w:t>
      </w:r>
      <w:r w:rsidR="00F35F25" w:rsidRPr="00F35F25">
        <w:t xml:space="preserve">. </w:t>
      </w:r>
      <w:bookmarkStart w:id="27" w:name="_Hlk14858676"/>
      <w:r w:rsidR="007E1350" w:rsidRPr="007E1350">
        <w:t>These reports were provided confidentially to the consortium and the grant management team and all reports were anonymised before they were shared beyond these two groups.</w:t>
      </w:r>
      <w:r w:rsidR="00892770" w:rsidRPr="00892770">
        <w:t xml:space="preserve"> </w:t>
      </w:r>
      <w:r w:rsidR="00892770">
        <w:t xml:space="preserve">Findings from all institutional reports were </w:t>
      </w:r>
      <w:r w:rsidR="00BE30AB" w:rsidRPr="00892770">
        <w:t>combined into one narrative report.</w:t>
      </w:r>
    </w:p>
    <w:bookmarkEnd w:id="27"/>
    <w:p w14:paraId="19ACAFEB" w14:textId="2239C531" w:rsidR="00BA5DA0" w:rsidRDefault="00BA5DA0" w:rsidP="00843C19">
      <w:pPr>
        <w:spacing w:after="0" w:line="480" w:lineRule="auto"/>
      </w:pPr>
    </w:p>
    <w:p w14:paraId="10E58BF0" w14:textId="77777777" w:rsidR="003B69B1" w:rsidRPr="000D1CDF" w:rsidRDefault="003B69B1" w:rsidP="00843C19">
      <w:pPr>
        <w:pStyle w:val="Heading2"/>
        <w:spacing w:before="0" w:line="480" w:lineRule="auto"/>
        <w:rPr>
          <w:rFonts w:asciiTheme="minorHAnsi" w:hAnsiTheme="minorHAnsi"/>
          <w:b/>
          <w:color w:val="auto"/>
          <w:sz w:val="32"/>
          <w:szCs w:val="32"/>
        </w:rPr>
      </w:pPr>
      <w:r w:rsidRPr="000D1CDF">
        <w:rPr>
          <w:rFonts w:asciiTheme="minorHAnsi" w:hAnsiTheme="minorHAnsi"/>
          <w:b/>
          <w:color w:val="auto"/>
          <w:sz w:val="32"/>
          <w:szCs w:val="32"/>
        </w:rPr>
        <w:lastRenderedPageBreak/>
        <w:t xml:space="preserve">Ethical considerations </w:t>
      </w:r>
    </w:p>
    <w:p w14:paraId="0BD121C0" w14:textId="4C8082D3" w:rsidR="00B37DD4" w:rsidRDefault="003B69B1" w:rsidP="00D66A20">
      <w:pPr>
        <w:spacing w:after="0" w:line="480" w:lineRule="auto"/>
        <w:rPr>
          <w:rFonts w:eastAsia="Times New Roman" w:cs="Times New Roman"/>
          <w:lang w:eastAsia="en-GB"/>
        </w:rPr>
      </w:pPr>
      <w:r w:rsidRPr="00F874F9">
        <w:t>Ethical approval for this study was granted by the Research Ethics Committee of the Liverpool School of Tro</w:t>
      </w:r>
      <w:r w:rsidR="00A17045">
        <w:t>p</w:t>
      </w:r>
      <w:r w:rsidR="00647825">
        <w:t xml:space="preserve">ical Medicine </w:t>
      </w:r>
      <w:r w:rsidRPr="00F874F9">
        <w:t>(Ref: 13.14RS)</w:t>
      </w:r>
      <w:r w:rsidR="00C26483" w:rsidRPr="00C26483">
        <w:t xml:space="preserve"> </w:t>
      </w:r>
      <w:r w:rsidR="00C26483">
        <w:t>on condition that the head of each institution provided a support letter</w:t>
      </w:r>
      <w:r w:rsidR="007C75A2">
        <w:t xml:space="preserve">- </w:t>
      </w:r>
      <w:r w:rsidR="007C75A2" w:rsidRPr="007C75A2">
        <w:t>as currently there is no national or international guidance about how to deal with ethical approval for these low risk, multi-country studies which are at the interface between evaluation and research</w:t>
      </w:r>
      <w:r w:rsidRPr="007C75A2">
        <w:t xml:space="preserve">. </w:t>
      </w:r>
      <w:r w:rsidR="00471597" w:rsidRPr="007C75A2">
        <w:rPr>
          <w:rFonts w:eastAsia="Times New Roman" w:cs="Times New Roman"/>
          <w:lang w:eastAsia="en-GB"/>
        </w:rPr>
        <w:t>The</w:t>
      </w:r>
      <w:r w:rsidR="00471597" w:rsidRPr="00F874F9">
        <w:rPr>
          <w:rFonts w:eastAsia="Times New Roman" w:cs="Times New Roman"/>
          <w:lang w:eastAsia="en-GB"/>
        </w:rPr>
        <w:t xml:space="preserve"> lead researcher for each African institution, and their institutional heads consented in writing to participate in this study </w:t>
      </w:r>
      <w:r w:rsidR="00647825">
        <w:rPr>
          <w:rFonts w:eastAsia="Times New Roman" w:cs="Times New Roman"/>
          <w:lang w:eastAsia="en-GB"/>
        </w:rPr>
        <w:t>by</w:t>
      </w:r>
      <w:r w:rsidR="00471597" w:rsidRPr="00F874F9">
        <w:rPr>
          <w:rFonts w:eastAsia="Times New Roman" w:cs="Times New Roman"/>
          <w:lang w:eastAsia="en-GB"/>
        </w:rPr>
        <w:t xml:space="preserve"> signing ‘institutional approval </w:t>
      </w:r>
      <w:r w:rsidR="00471597" w:rsidRPr="00467B3C">
        <w:rPr>
          <w:rFonts w:eastAsia="Times New Roman" w:cs="Times New Roman"/>
          <w:lang w:eastAsia="en-GB"/>
        </w:rPr>
        <w:t xml:space="preserve">forms’ which </w:t>
      </w:r>
      <w:r w:rsidR="00471597" w:rsidRPr="00467B3C">
        <w:t>explain</w:t>
      </w:r>
      <w:r w:rsidR="00647825" w:rsidRPr="00467B3C">
        <w:t>ed</w:t>
      </w:r>
      <w:r w:rsidR="00471597" w:rsidRPr="00467B3C">
        <w:t xml:space="preserve"> the aim of the research, </w:t>
      </w:r>
      <w:r w:rsidR="00647825" w:rsidRPr="00467B3C">
        <w:t xml:space="preserve">the </w:t>
      </w:r>
      <w:r w:rsidR="00471597" w:rsidRPr="00467B3C">
        <w:t xml:space="preserve">study procedure, </w:t>
      </w:r>
      <w:r w:rsidR="00647825" w:rsidRPr="00467B3C">
        <w:t xml:space="preserve">and the </w:t>
      </w:r>
      <w:r w:rsidR="00471597" w:rsidRPr="00467B3C">
        <w:t>risk</w:t>
      </w:r>
      <w:r w:rsidR="00647825" w:rsidRPr="00467B3C">
        <w:t xml:space="preserve">s, </w:t>
      </w:r>
      <w:r w:rsidR="00471597" w:rsidRPr="00467B3C">
        <w:t xml:space="preserve">benefits and </w:t>
      </w:r>
      <w:r w:rsidR="00647825" w:rsidRPr="00467B3C">
        <w:t xml:space="preserve">maintenance of </w:t>
      </w:r>
      <w:r w:rsidR="00471597" w:rsidRPr="00467B3C">
        <w:t>confidentiality</w:t>
      </w:r>
      <w:r w:rsidR="00471597" w:rsidRPr="00467B3C">
        <w:rPr>
          <w:rFonts w:eastAsia="Times New Roman" w:cs="Times New Roman"/>
          <w:lang w:eastAsia="en-GB"/>
        </w:rPr>
        <w:t>.</w:t>
      </w:r>
    </w:p>
    <w:p w14:paraId="3924D580" w14:textId="77777777" w:rsidR="00B37DD4" w:rsidRDefault="00B37DD4" w:rsidP="00D66A20">
      <w:pPr>
        <w:spacing w:after="0" w:line="480" w:lineRule="auto"/>
        <w:rPr>
          <w:rFonts w:eastAsia="Times New Roman" w:cs="Times New Roman"/>
          <w:lang w:eastAsia="en-GB"/>
        </w:rPr>
      </w:pPr>
    </w:p>
    <w:p w14:paraId="0A42625B" w14:textId="5021573B" w:rsidR="00D66A20" w:rsidRPr="00654BD1" w:rsidRDefault="00654BD1" w:rsidP="00D66A20">
      <w:pPr>
        <w:spacing w:after="0" w:line="480" w:lineRule="auto"/>
        <w:rPr>
          <w:rFonts w:eastAsia="Times New Roman" w:cs="Times New Roman"/>
          <w:lang w:eastAsia="en-GB"/>
        </w:rPr>
      </w:pPr>
      <w:r>
        <w:rPr>
          <w:rFonts w:eastAsia="Times New Roman" w:cs="Times New Roman"/>
          <w:lang w:eastAsia="en-GB"/>
        </w:rPr>
        <w:t xml:space="preserve"> </w:t>
      </w:r>
      <w:r w:rsidR="001A528A">
        <w:rPr>
          <w:rFonts w:eastAsia="Times New Roman" w:cs="Times New Roman"/>
          <w:lang w:eastAsia="en-GB"/>
        </w:rPr>
        <w:t>At the individual level, informed verbal consent was obtained from each interviewee after explaining to them the purpose of the study, the type of questions that would be asked, research procedure, voluntary participation, reco</w:t>
      </w:r>
      <w:r w:rsidR="00E7333D">
        <w:rPr>
          <w:rFonts w:eastAsia="Times New Roman" w:cs="Times New Roman"/>
          <w:lang w:eastAsia="en-GB"/>
        </w:rPr>
        <w:t>r</w:t>
      </w:r>
      <w:r w:rsidR="001A528A">
        <w:rPr>
          <w:rFonts w:eastAsia="Times New Roman" w:cs="Times New Roman"/>
          <w:lang w:eastAsia="en-GB"/>
        </w:rPr>
        <w:t xml:space="preserve">ding purposes, confidentiality and </w:t>
      </w:r>
      <w:r w:rsidR="00D0711B">
        <w:rPr>
          <w:rFonts w:eastAsia="Times New Roman" w:cs="Times New Roman"/>
          <w:lang w:eastAsia="en-GB"/>
        </w:rPr>
        <w:t>privacy, risks</w:t>
      </w:r>
      <w:r w:rsidR="001A528A">
        <w:rPr>
          <w:rFonts w:eastAsia="Times New Roman" w:cs="Times New Roman"/>
          <w:lang w:eastAsia="en-GB"/>
        </w:rPr>
        <w:t>, benefits and dissemination of findings</w:t>
      </w:r>
      <w:r w:rsidR="00D0711B">
        <w:rPr>
          <w:rFonts w:eastAsia="Times New Roman" w:cs="Times New Roman"/>
          <w:lang w:eastAsia="en-GB"/>
        </w:rPr>
        <w:t>.</w:t>
      </w:r>
      <w:r w:rsidR="00FB4CBF">
        <w:rPr>
          <w:rFonts w:eastAsia="Times New Roman" w:cs="Times New Roman"/>
          <w:lang w:eastAsia="en-GB"/>
        </w:rPr>
        <w:t xml:space="preserve"> </w:t>
      </w:r>
      <w:r w:rsidR="006B463D">
        <w:rPr>
          <w:rFonts w:eastAsia="Times New Roman" w:cs="Times New Roman"/>
          <w:lang w:eastAsia="en-GB"/>
        </w:rPr>
        <w:t xml:space="preserve">Participants were free to withdraw at any time. </w:t>
      </w:r>
      <w:r w:rsidR="00D66A20" w:rsidRPr="00F874F9">
        <w:rPr>
          <w:rFonts w:eastAsia="Times New Roman" w:cs="Times New Roman"/>
          <w:lang w:eastAsia="en-GB"/>
        </w:rPr>
        <w:t xml:space="preserve">The </w:t>
      </w:r>
      <w:r w:rsidR="00D66A20">
        <w:rPr>
          <w:rFonts w:eastAsia="Times New Roman" w:cs="Times New Roman"/>
          <w:lang w:eastAsia="en-GB"/>
        </w:rPr>
        <w:t>participants</w:t>
      </w:r>
      <w:r w:rsidR="00D66A20" w:rsidRPr="00F874F9">
        <w:rPr>
          <w:rFonts w:eastAsia="Times New Roman" w:cs="Times New Roman"/>
          <w:lang w:eastAsia="en-GB"/>
        </w:rPr>
        <w:t xml:space="preserve"> understood that</w:t>
      </w:r>
      <w:r w:rsidR="00D66A20">
        <w:rPr>
          <w:rFonts w:eastAsia="Times New Roman" w:cs="Times New Roman"/>
          <w:lang w:eastAsia="en-GB"/>
        </w:rPr>
        <w:t xml:space="preserve"> although </w:t>
      </w:r>
      <w:r w:rsidR="00D66A20" w:rsidRPr="00F874F9">
        <w:rPr>
          <w:rFonts w:eastAsia="Times New Roman" w:cs="Times New Roman"/>
          <w:lang w:eastAsia="en-GB"/>
        </w:rPr>
        <w:t>the findings would be helpful for informing capacity strengthening plans for their institutions</w:t>
      </w:r>
      <w:r w:rsidR="00D66A20">
        <w:rPr>
          <w:rFonts w:eastAsia="Times New Roman" w:cs="Times New Roman"/>
          <w:lang w:eastAsia="en-GB"/>
        </w:rPr>
        <w:t xml:space="preserve">, </w:t>
      </w:r>
      <w:r w:rsidR="00D66A20" w:rsidRPr="00F874F9">
        <w:rPr>
          <w:rFonts w:eastAsia="Times New Roman" w:cs="Times New Roman"/>
          <w:lang w:eastAsia="en-GB"/>
        </w:rPr>
        <w:t xml:space="preserve">the ACBI </w:t>
      </w:r>
      <w:r w:rsidR="00D66A20">
        <w:rPr>
          <w:rFonts w:eastAsia="Times New Roman" w:cs="Times New Roman"/>
          <w:lang w:eastAsia="en-GB"/>
        </w:rPr>
        <w:t xml:space="preserve">programme remit did not include </w:t>
      </w:r>
      <w:r w:rsidR="00D66A20" w:rsidRPr="00F874F9">
        <w:rPr>
          <w:rFonts w:eastAsia="Times New Roman" w:cs="Times New Roman"/>
          <w:lang w:eastAsia="en-GB"/>
        </w:rPr>
        <w:t>provid</w:t>
      </w:r>
      <w:r w:rsidR="00D66A20">
        <w:rPr>
          <w:rFonts w:eastAsia="Times New Roman" w:cs="Times New Roman"/>
          <w:lang w:eastAsia="en-GB"/>
        </w:rPr>
        <w:t>ing</w:t>
      </w:r>
      <w:r w:rsidR="00D66A20" w:rsidRPr="00F874F9">
        <w:rPr>
          <w:rFonts w:eastAsia="Times New Roman" w:cs="Times New Roman"/>
          <w:lang w:eastAsia="en-GB"/>
        </w:rPr>
        <w:t xml:space="preserve"> funding for them to implement solutions </w:t>
      </w:r>
      <w:r w:rsidR="00D66A20">
        <w:rPr>
          <w:rFonts w:eastAsia="Times New Roman" w:cs="Times New Roman"/>
          <w:lang w:eastAsia="en-GB"/>
        </w:rPr>
        <w:t>to research capacity gaps that were identified through the study</w:t>
      </w:r>
      <w:r w:rsidR="00D66A20" w:rsidRPr="00F874F9">
        <w:rPr>
          <w:rFonts w:eastAsia="Times New Roman" w:cs="Times New Roman"/>
          <w:lang w:eastAsia="en-GB"/>
        </w:rPr>
        <w:t>.</w:t>
      </w:r>
    </w:p>
    <w:p w14:paraId="4A4729ED" w14:textId="77777777" w:rsidR="00F230D7" w:rsidRDefault="00F230D7" w:rsidP="001A528A">
      <w:pPr>
        <w:spacing w:after="0" w:line="480" w:lineRule="auto"/>
        <w:rPr>
          <w:rFonts w:eastAsia="Times New Roman" w:cs="Times New Roman"/>
          <w:lang w:eastAsia="en-GB"/>
        </w:rPr>
      </w:pPr>
    </w:p>
    <w:p w14:paraId="604739BC" w14:textId="11A46E3A" w:rsidR="008B3FC4" w:rsidRDefault="00190B0A" w:rsidP="004168D3">
      <w:pPr>
        <w:pStyle w:val="Heading1"/>
        <w:spacing w:before="0" w:line="480" w:lineRule="auto"/>
      </w:pPr>
      <w:r w:rsidRPr="00F874F9">
        <w:rPr>
          <w:rFonts w:asciiTheme="minorHAnsi" w:hAnsiTheme="minorHAnsi"/>
          <w:b/>
          <w:color w:val="auto"/>
          <w:sz w:val="36"/>
          <w:szCs w:val="36"/>
        </w:rPr>
        <w:t>Results</w:t>
      </w:r>
    </w:p>
    <w:p w14:paraId="481C71A5" w14:textId="4195213A" w:rsidR="00176CD4" w:rsidRDefault="00176CD4" w:rsidP="007A487E">
      <w:pPr>
        <w:autoSpaceDE w:val="0"/>
        <w:autoSpaceDN w:val="0"/>
        <w:adjustRightInd w:val="0"/>
        <w:spacing w:after="0" w:line="480" w:lineRule="auto"/>
        <w:rPr>
          <w:rFonts w:cs="Calibri"/>
        </w:rPr>
      </w:pPr>
      <w:bookmarkStart w:id="28" w:name="_Hlk525032270"/>
      <w:r w:rsidRPr="00FE1198">
        <w:t xml:space="preserve">This section presents the consolidated findings from all the institutional assessment studies by </w:t>
      </w:r>
      <w:r w:rsidR="004D602D">
        <w:t xml:space="preserve">research capacity </w:t>
      </w:r>
      <w:r w:rsidRPr="00FE1198">
        <w:t>thematic areas. Information obtained from the interviews was mapped onto the framework under the six themes (see supplementary file 6) and details of strengths and gaps under each of these thematic areas were disaggregated. Full details of the strengths and gaps in research capacity that emerged from the data for each theme, as well as examples of good practices and problem-solving that may be useful to other institutions, are provided in supplementary file 7.</w:t>
      </w:r>
      <w:r w:rsidRPr="00176CD4">
        <w:t xml:space="preserve"> </w:t>
      </w:r>
    </w:p>
    <w:bookmarkEnd w:id="28"/>
    <w:p w14:paraId="3C660339" w14:textId="0E0DA3BC" w:rsidR="00F230D7" w:rsidRDefault="00F230D7" w:rsidP="00843C19">
      <w:pPr>
        <w:spacing w:after="0" w:line="480" w:lineRule="auto"/>
      </w:pPr>
    </w:p>
    <w:p w14:paraId="4717D462" w14:textId="1D126D10" w:rsidR="007A487E" w:rsidRDefault="0059630D" w:rsidP="00843C19">
      <w:pPr>
        <w:spacing w:after="0" w:line="480" w:lineRule="auto"/>
      </w:pPr>
      <w:r>
        <w:lastRenderedPageBreak/>
        <w:t>All participants were assured of anonymity. For the purpose of this manuscript, quo</w:t>
      </w:r>
      <w:r w:rsidRPr="00F874F9">
        <w:t>tes have only been ascribed to ‘</w:t>
      </w:r>
      <w:r>
        <w:t>Principal investigators</w:t>
      </w:r>
      <w:r w:rsidRPr="00F874F9">
        <w:t xml:space="preserve">’, ‘PhD students’ </w:t>
      </w:r>
      <w:r w:rsidRPr="00FE1198">
        <w:t xml:space="preserve">and ‘others’, where ‘others’ refer to all other stakeholders </w:t>
      </w:r>
      <w:r w:rsidR="00515EB4">
        <w:t>(see</w:t>
      </w:r>
      <w:r w:rsidRPr="00FE1198">
        <w:t xml:space="preserve"> table 1</w:t>
      </w:r>
      <w:r w:rsidR="00515EB4">
        <w:t>)</w:t>
      </w:r>
      <w:r w:rsidRPr="00FE1198">
        <w:t>. Institutions have been allocated identifiers indicating whether they were in the first round of awards (e.g. R1X) or the second round (e.g. R2X) where X is a unique letter code for each institution</w:t>
      </w:r>
      <w:r w:rsidR="00515EB4">
        <w:t xml:space="preserve"> (see supplementary</w:t>
      </w:r>
      <w:r w:rsidR="007A487E" w:rsidRPr="00FE1198">
        <w:t xml:space="preserve"> file 7</w:t>
      </w:r>
      <w:r w:rsidR="00515EB4">
        <w:t>)</w:t>
      </w:r>
      <w:r w:rsidRPr="00FE1198">
        <w:t>.</w:t>
      </w:r>
    </w:p>
    <w:p w14:paraId="6A832DE4" w14:textId="77777777" w:rsidR="00515EB4" w:rsidRPr="00FE1198" w:rsidRDefault="00515EB4" w:rsidP="00843C19">
      <w:pPr>
        <w:spacing w:after="0" w:line="480" w:lineRule="auto"/>
      </w:pPr>
    </w:p>
    <w:p w14:paraId="39EBF2EF" w14:textId="77777777" w:rsidR="002A5DDB" w:rsidRPr="000D1CDF" w:rsidRDefault="002A5DDB" w:rsidP="00843C19">
      <w:pPr>
        <w:pStyle w:val="Heading2"/>
        <w:spacing w:before="0" w:line="480" w:lineRule="auto"/>
        <w:rPr>
          <w:rFonts w:asciiTheme="minorHAnsi" w:hAnsiTheme="minorHAnsi"/>
          <w:b/>
          <w:color w:val="auto"/>
          <w:sz w:val="32"/>
          <w:szCs w:val="32"/>
        </w:rPr>
      </w:pPr>
      <w:bookmarkStart w:id="29" w:name="_Hlk525050157"/>
      <w:r w:rsidRPr="000D1CDF">
        <w:rPr>
          <w:rFonts w:asciiTheme="minorHAnsi" w:hAnsiTheme="minorHAnsi"/>
          <w:b/>
          <w:color w:val="auto"/>
          <w:sz w:val="32"/>
          <w:szCs w:val="32"/>
        </w:rPr>
        <w:t>Research infrastructure and facilities</w:t>
      </w:r>
    </w:p>
    <w:bookmarkEnd w:id="29"/>
    <w:p w14:paraId="2BD37F4F" w14:textId="77777777" w:rsidR="00A75A32" w:rsidRDefault="009610EF" w:rsidP="00843C19">
      <w:pPr>
        <w:spacing w:after="0" w:line="480" w:lineRule="auto"/>
      </w:pPr>
      <w:r>
        <w:t>S</w:t>
      </w:r>
      <w:r w:rsidR="001C1079" w:rsidRPr="00F874F9">
        <w:t>tudy space</w:t>
      </w:r>
      <w:r>
        <w:t>s</w:t>
      </w:r>
      <w:r w:rsidR="001C1079" w:rsidRPr="00F874F9">
        <w:t xml:space="preserve"> for researchers and PhD students w</w:t>
      </w:r>
      <w:r>
        <w:t>ere</w:t>
      </w:r>
      <w:r w:rsidR="001C1079" w:rsidRPr="00F874F9">
        <w:t xml:space="preserve"> generally </w:t>
      </w:r>
      <w:r w:rsidR="000A5B99">
        <w:t xml:space="preserve">considered to be </w:t>
      </w:r>
      <w:r w:rsidR="001C1079" w:rsidRPr="00F874F9">
        <w:t xml:space="preserve">adequate though the quality could be improved by separating postgraduates from undergraduates and by providing </w:t>
      </w:r>
      <w:r w:rsidR="001C54D0" w:rsidRPr="00F874F9">
        <w:t xml:space="preserve">work </w:t>
      </w:r>
      <w:r w:rsidR="001C1079" w:rsidRPr="00F874F9">
        <w:t xml:space="preserve">space outside of laboratories. Traditional book libraries were rarely used by postgraduates and researchers as they </w:t>
      </w:r>
      <w:r w:rsidR="00166C7F" w:rsidRPr="00F874F9">
        <w:t>preferred electronic</w:t>
      </w:r>
      <w:r w:rsidR="001C1079" w:rsidRPr="00F874F9">
        <w:t xml:space="preserve"> resources </w:t>
      </w:r>
      <w:r w:rsidR="002E05D1">
        <w:t xml:space="preserve">despite the limited </w:t>
      </w:r>
      <w:r w:rsidR="001C1079" w:rsidRPr="00F874F9">
        <w:t xml:space="preserve">availability of up-to-date and subject-specific journals. Many </w:t>
      </w:r>
      <w:r w:rsidR="002E05D1">
        <w:t xml:space="preserve">participants </w:t>
      </w:r>
      <w:r w:rsidR="00F90D9B" w:rsidRPr="00F874F9">
        <w:t xml:space="preserve">considered </w:t>
      </w:r>
      <w:r w:rsidR="001C1079" w:rsidRPr="00F874F9">
        <w:t>that accessing the literature through consortia was a major benefit of being part of the ACBI</w:t>
      </w:r>
      <w:r w:rsidR="00A709C5" w:rsidRPr="00F874F9">
        <w:rPr>
          <w:rFonts w:cs="Calibri"/>
        </w:rPr>
        <w:t xml:space="preserve"> but </w:t>
      </w:r>
      <w:r w:rsidR="00F90D9B" w:rsidRPr="00F874F9">
        <w:rPr>
          <w:rFonts w:cs="Calibri"/>
        </w:rPr>
        <w:t>was not perceived as a sustainable</w:t>
      </w:r>
      <w:r w:rsidR="00A709C5" w:rsidRPr="00F874F9">
        <w:rPr>
          <w:rFonts w:cs="Calibri"/>
        </w:rPr>
        <w:t xml:space="preserve"> solution to the lack of funding for journal subscriptions</w:t>
      </w:r>
      <w:r w:rsidR="00F90D9B" w:rsidRPr="00F874F9">
        <w:rPr>
          <w:rFonts w:cs="Calibri"/>
        </w:rPr>
        <w:t xml:space="preserve"> in African institutions</w:t>
      </w:r>
      <w:r w:rsidR="00A709C5" w:rsidRPr="00F874F9">
        <w:rPr>
          <w:rFonts w:cs="Calibri"/>
        </w:rPr>
        <w:t xml:space="preserve">. Although many institutions did have free or low-cost access to an extensive array of </w:t>
      </w:r>
      <w:r w:rsidR="00A709C5" w:rsidRPr="00F874F9">
        <w:t>academic journals online (e.g. through ‘Research4Life’)</w:t>
      </w:r>
      <w:r w:rsidR="00A75A32">
        <w:t xml:space="preserve"> this access tended to be under-utilised and </w:t>
      </w:r>
      <w:r w:rsidR="002E05D1">
        <w:t xml:space="preserve">there was a recognition </w:t>
      </w:r>
      <w:r w:rsidR="00A75A32">
        <w:t xml:space="preserve">that </w:t>
      </w:r>
      <w:r w:rsidR="00A75A32" w:rsidRPr="00F874F9">
        <w:t xml:space="preserve">more efforts </w:t>
      </w:r>
      <w:r w:rsidR="00A75A32">
        <w:t>may be needed to aler</w:t>
      </w:r>
      <w:r w:rsidR="004601AF">
        <w:t>t researchers to this resource.</w:t>
      </w:r>
    </w:p>
    <w:p w14:paraId="6BC7D449" w14:textId="77777777" w:rsidR="00562C36" w:rsidRPr="00F874F9" w:rsidRDefault="00562C36" w:rsidP="00843C19">
      <w:pPr>
        <w:spacing w:after="0" w:line="480" w:lineRule="auto"/>
        <w:rPr>
          <w:rFonts w:cs="Calibri"/>
        </w:rPr>
      </w:pPr>
    </w:p>
    <w:p w14:paraId="53F42431" w14:textId="27E428A5" w:rsidR="00B3701A" w:rsidRDefault="00881ACB" w:rsidP="00843C19">
      <w:pPr>
        <w:spacing w:after="0" w:line="480" w:lineRule="auto"/>
        <w:rPr>
          <w:rFonts w:cs="Calibri"/>
        </w:rPr>
      </w:pPr>
      <w:r w:rsidRPr="00F874F9">
        <w:t xml:space="preserve">Several institutions had problems with unstable electricity supply which adversely affected research activities and many did not have </w:t>
      </w:r>
      <w:r w:rsidR="002A5DDB" w:rsidRPr="00F874F9">
        <w:t xml:space="preserve">backup </w:t>
      </w:r>
      <w:r w:rsidRPr="00F874F9">
        <w:t xml:space="preserve">generators or solar power. </w:t>
      </w:r>
      <w:r w:rsidR="006B53E4" w:rsidRPr="00F874F9">
        <w:t xml:space="preserve">Whilst all institutions </w:t>
      </w:r>
      <w:r w:rsidR="004C5D02" w:rsidRPr="00F874F9">
        <w:t xml:space="preserve">involved in the study </w:t>
      </w:r>
      <w:r w:rsidR="00097961" w:rsidRPr="00F874F9">
        <w:t xml:space="preserve">had </w:t>
      </w:r>
      <w:r w:rsidR="006B53E4" w:rsidRPr="00F874F9">
        <w:t xml:space="preserve">free Wi-Fi access </w:t>
      </w:r>
      <w:r w:rsidR="000061F3">
        <w:t>for</w:t>
      </w:r>
      <w:r w:rsidR="006B53E4" w:rsidRPr="00F874F9">
        <w:t xml:space="preserve"> staff and students, the reliability and quality of the internet varied and </w:t>
      </w:r>
      <w:r w:rsidR="000061F3">
        <w:t>there were f</w:t>
      </w:r>
      <w:r w:rsidR="006B53E4" w:rsidRPr="00F874F9">
        <w:t>requent interruptions</w:t>
      </w:r>
      <w:r w:rsidR="000B2058" w:rsidRPr="00F874F9">
        <w:t xml:space="preserve">. This </w:t>
      </w:r>
      <w:r w:rsidR="00097961" w:rsidRPr="00F874F9">
        <w:t>wa</w:t>
      </w:r>
      <w:r w:rsidR="000B2058" w:rsidRPr="00F874F9">
        <w:t xml:space="preserve">s particularly </w:t>
      </w:r>
      <w:r w:rsidR="006B53E4" w:rsidRPr="00F874F9">
        <w:t xml:space="preserve">challenging for research groups </w:t>
      </w:r>
      <w:r w:rsidR="000B2058" w:rsidRPr="00F874F9">
        <w:t xml:space="preserve">working </w:t>
      </w:r>
      <w:r w:rsidR="006B53E4" w:rsidRPr="00F874F9">
        <w:t xml:space="preserve">with large data sets and modelling </w:t>
      </w:r>
      <w:r w:rsidR="000061F3">
        <w:t xml:space="preserve">and who therefore required a </w:t>
      </w:r>
      <w:r w:rsidR="006B53E4" w:rsidRPr="00F874F9">
        <w:t xml:space="preserve">stable </w:t>
      </w:r>
      <w:r w:rsidR="000B2058" w:rsidRPr="00F874F9">
        <w:t>high-speed</w:t>
      </w:r>
      <w:r w:rsidR="006B53E4" w:rsidRPr="00F874F9">
        <w:t xml:space="preserve"> connection.</w:t>
      </w:r>
      <w:r w:rsidR="00372323" w:rsidRPr="00F874F9">
        <w:rPr>
          <w:rFonts w:cs="Calibri"/>
        </w:rPr>
        <w:t xml:space="preserve"> </w:t>
      </w:r>
      <w:r w:rsidR="00176CD4">
        <w:rPr>
          <w:rFonts w:cs="Calibri"/>
        </w:rPr>
        <w:t>Stable electricity supply and access to internet was variable and was a significant challenge for some students, resulting in serious delays in their research work, as indicated in the quote below.</w:t>
      </w:r>
    </w:p>
    <w:p w14:paraId="2FF7AC4B" w14:textId="77C68841" w:rsidR="003E5109" w:rsidRPr="00FE1198" w:rsidRDefault="003E5109" w:rsidP="003E5109">
      <w:pPr>
        <w:spacing w:after="0" w:line="480" w:lineRule="auto"/>
        <w:ind w:left="680" w:right="680"/>
        <w:rPr>
          <w:i/>
        </w:rPr>
      </w:pPr>
      <w:r>
        <w:rPr>
          <w:rFonts w:cs="Calibri"/>
        </w:rPr>
        <w:lastRenderedPageBreak/>
        <w:tab/>
      </w:r>
      <w:r w:rsidRPr="00CC3E9E">
        <w:rPr>
          <w:i/>
        </w:rPr>
        <w:t xml:space="preserve">“… The internet is a big challenge. The Internet is not even meant for students, it is only meant for the faculty members. As a PhD student I do not have access. Students normally buy personal modems. I bought a modem that I use when I’m (here), and without that I cannot access the internet… I do not see this is changing for now. </w:t>
      </w:r>
      <w:r>
        <w:rPr>
          <w:i/>
        </w:rPr>
        <w:t>….</w:t>
      </w:r>
      <w:r w:rsidRPr="00CC3E9E">
        <w:rPr>
          <w:i/>
        </w:rPr>
        <w:t xml:space="preserve"> Electricity is also a challenge. It is getting worse… At times I go to school, even at home it’s not good</w:t>
      </w:r>
      <w:r>
        <w:rPr>
          <w:i/>
        </w:rPr>
        <w:t>.</w:t>
      </w:r>
      <w:r w:rsidRPr="00CC3E9E">
        <w:rPr>
          <w:i/>
        </w:rPr>
        <w:t xml:space="preserve"> </w:t>
      </w:r>
      <w:r>
        <w:rPr>
          <w:i/>
        </w:rPr>
        <w:t>N</w:t>
      </w:r>
      <w:r w:rsidRPr="00CC3E9E">
        <w:rPr>
          <w:i/>
        </w:rPr>
        <w:t>ot that what I want to</w:t>
      </w:r>
      <w:r>
        <w:rPr>
          <w:i/>
        </w:rPr>
        <w:t xml:space="preserve"> do</w:t>
      </w:r>
      <w:r w:rsidRPr="00CC3E9E">
        <w:rPr>
          <w:i/>
        </w:rPr>
        <w:t xml:space="preserve"> cannot be done- I could have done it easily on my computer at the comfort of my room- but because of the light aspect I need to go to school… sometimes no electricity till the end of the day. At times it can be frustrating.</w:t>
      </w:r>
      <w:r w:rsidRPr="00FE1198">
        <w:rPr>
          <w:i/>
        </w:rPr>
        <w:t xml:space="preserve">” </w:t>
      </w:r>
      <w:r w:rsidRPr="00681B1E">
        <w:t>[PhD student]</w:t>
      </w:r>
    </w:p>
    <w:p w14:paraId="4658DD02" w14:textId="2AE9E76C" w:rsidR="00B3701A" w:rsidRPr="003E5109" w:rsidRDefault="00B3701A" w:rsidP="00843C19">
      <w:pPr>
        <w:spacing w:after="0" w:line="480" w:lineRule="auto"/>
        <w:rPr>
          <w:rFonts w:cs="Calibri"/>
        </w:rPr>
      </w:pPr>
    </w:p>
    <w:p w14:paraId="6C27E582" w14:textId="1C6BB747" w:rsidR="00BD2FB8" w:rsidRDefault="00881ACB" w:rsidP="00843C19">
      <w:pPr>
        <w:spacing w:after="0" w:line="480" w:lineRule="auto"/>
        <w:rPr>
          <w:rFonts w:eastAsia="Calibri" w:cs="Times New Roman"/>
        </w:rPr>
      </w:pPr>
      <w:r w:rsidRPr="00F874F9">
        <w:t xml:space="preserve">In many </w:t>
      </w:r>
      <w:r w:rsidR="00FD47F6" w:rsidRPr="00F874F9">
        <w:t>institutions,</w:t>
      </w:r>
      <w:r w:rsidRPr="00F874F9">
        <w:t xml:space="preserve"> institutional email services were </w:t>
      </w:r>
      <w:r w:rsidR="003B7D91" w:rsidRPr="00F874F9">
        <w:t>dysfunctional,</w:t>
      </w:r>
      <w:r w:rsidRPr="00F874F9">
        <w:t xml:space="preserve"> and staff use</w:t>
      </w:r>
      <w:r w:rsidR="002A5DDB" w:rsidRPr="00F874F9">
        <w:t>d</w:t>
      </w:r>
      <w:r w:rsidRPr="00F874F9">
        <w:t xml:space="preserve"> personal email addresses for work-related communications. Improving institutional email systems d</w:t>
      </w:r>
      <w:r w:rsidR="001C1079" w:rsidRPr="00F874F9">
        <w:t>id</w:t>
      </w:r>
      <w:r w:rsidRPr="00F874F9">
        <w:t xml:space="preserve"> not appear to be a priority for action or funding by institutions</w:t>
      </w:r>
      <w:r w:rsidR="00372323" w:rsidRPr="00F874F9">
        <w:rPr>
          <w:rFonts w:eastAsia="Calibri" w:cs="Times New Roman"/>
        </w:rPr>
        <w:t xml:space="preserve">, </w:t>
      </w:r>
      <w:r w:rsidR="009C49B9" w:rsidRPr="00F874F9">
        <w:rPr>
          <w:rFonts w:eastAsia="Calibri" w:cs="Times New Roman"/>
        </w:rPr>
        <w:t>although</w:t>
      </w:r>
      <w:r w:rsidR="00283A5C" w:rsidRPr="00F874F9">
        <w:rPr>
          <w:rFonts w:eastAsia="Calibri" w:cs="Times New Roman"/>
        </w:rPr>
        <w:t xml:space="preserve"> it </w:t>
      </w:r>
      <w:r w:rsidR="00A75A32">
        <w:rPr>
          <w:rFonts w:eastAsia="Calibri" w:cs="Times New Roman"/>
        </w:rPr>
        <w:t xml:space="preserve">emerged as </w:t>
      </w:r>
      <w:r w:rsidR="00283A5C" w:rsidRPr="00F874F9">
        <w:rPr>
          <w:rFonts w:eastAsia="Calibri" w:cs="Times New Roman"/>
        </w:rPr>
        <w:t xml:space="preserve">a critical </w:t>
      </w:r>
      <w:r w:rsidR="00A75A32">
        <w:rPr>
          <w:rFonts w:eastAsia="Calibri" w:cs="Times New Roman"/>
        </w:rPr>
        <w:t xml:space="preserve">cross-cutting </w:t>
      </w:r>
      <w:r w:rsidR="00283A5C" w:rsidRPr="00F874F9">
        <w:rPr>
          <w:rFonts w:eastAsia="Calibri" w:cs="Times New Roman"/>
        </w:rPr>
        <w:t xml:space="preserve">bottleneck in institutions’ ability to communicate </w:t>
      </w:r>
      <w:r w:rsidR="00FA2ECC" w:rsidRPr="00F874F9">
        <w:rPr>
          <w:rFonts w:eastAsia="Calibri" w:cs="Times New Roman"/>
        </w:rPr>
        <w:t>effective</w:t>
      </w:r>
      <w:r w:rsidR="00916C43" w:rsidRPr="00F874F9">
        <w:rPr>
          <w:rFonts w:eastAsia="Calibri" w:cs="Times New Roman"/>
        </w:rPr>
        <w:t>ly</w:t>
      </w:r>
      <w:r w:rsidR="00283A5C" w:rsidRPr="00F874F9">
        <w:rPr>
          <w:rFonts w:eastAsia="Calibri" w:cs="Times New Roman"/>
        </w:rPr>
        <w:t xml:space="preserve"> with staff.</w:t>
      </w:r>
    </w:p>
    <w:p w14:paraId="6B62F110" w14:textId="77777777" w:rsidR="00FE1198" w:rsidRDefault="00FE1198" w:rsidP="00843C19">
      <w:pPr>
        <w:spacing w:after="0" w:line="480" w:lineRule="auto"/>
        <w:rPr>
          <w:rFonts w:eastAsia="Calibri" w:cs="Times New Roman"/>
        </w:rPr>
      </w:pPr>
    </w:p>
    <w:p w14:paraId="3F3DF68C" w14:textId="23C61F7B" w:rsidR="009031D5" w:rsidRDefault="007E301D" w:rsidP="00843C19">
      <w:pPr>
        <w:spacing w:after="0" w:line="480" w:lineRule="auto"/>
        <w:rPr>
          <w:rFonts w:cs="Arial"/>
        </w:rPr>
      </w:pPr>
      <w:r w:rsidRPr="00F874F9">
        <w:rPr>
          <w:rFonts w:cs="Arial"/>
        </w:rPr>
        <w:t xml:space="preserve">Laboratories </w:t>
      </w:r>
      <w:r w:rsidR="00DD151E" w:rsidRPr="00F874F9">
        <w:rPr>
          <w:rFonts w:cs="Arial"/>
        </w:rPr>
        <w:t xml:space="preserve">appeared to be </w:t>
      </w:r>
      <w:r w:rsidRPr="00F874F9">
        <w:rPr>
          <w:rFonts w:cs="Arial"/>
        </w:rPr>
        <w:t xml:space="preserve">one of the </w:t>
      </w:r>
      <w:proofErr w:type="gramStart"/>
      <w:r w:rsidRPr="00F874F9">
        <w:rPr>
          <w:rFonts w:cs="Arial"/>
        </w:rPr>
        <w:t>weakest</w:t>
      </w:r>
      <w:proofErr w:type="gramEnd"/>
      <w:r w:rsidRPr="00F874F9">
        <w:rPr>
          <w:rFonts w:cs="Arial"/>
        </w:rPr>
        <w:t xml:space="preserve"> and most neglected components of research systems in the institutions</w:t>
      </w:r>
      <w:r w:rsidR="001C1079" w:rsidRPr="00F874F9">
        <w:rPr>
          <w:rFonts w:cs="Arial"/>
        </w:rPr>
        <w:t xml:space="preserve"> des</w:t>
      </w:r>
      <w:r w:rsidR="009D787D">
        <w:rPr>
          <w:rFonts w:cs="Arial"/>
        </w:rPr>
        <w:t>pite b</w:t>
      </w:r>
      <w:r w:rsidR="001C1079" w:rsidRPr="00F874F9">
        <w:rPr>
          <w:rFonts w:cs="Arial"/>
        </w:rPr>
        <w:t xml:space="preserve">eing essential for much </w:t>
      </w:r>
      <w:r w:rsidR="003B1023">
        <w:rPr>
          <w:rFonts w:cs="Arial"/>
        </w:rPr>
        <w:t>natural</w:t>
      </w:r>
      <w:r w:rsidR="004F5F1E">
        <w:rPr>
          <w:rFonts w:cs="Arial"/>
        </w:rPr>
        <w:t xml:space="preserve"> </w:t>
      </w:r>
      <w:r w:rsidR="001C1079" w:rsidRPr="00F874F9">
        <w:rPr>
          <w:rFonts w:cs="Arial"/>
        </w:rPr>
        <w:t>science</w:t>
      </w:r>
      <w:r w:rsidR="003B1023">
        <w:rPr>
          <w:rFonts w:cs="Arial"/>
        </w:rPr>
        <w:t>s</w:t>
      </w:r>
      <w:r w:rsidR="001C1079" w:rsidRPr="00F874F9">
        <w:rPr>
          <w:rFonts w:cs="Arial"/>
        </w:rPr>
        <w:t xml:space="preserve"> research</w:t>
      </w:r>
      <w:r w:rsidRPr="00F874F9">
        <w:rPr>
          <w:rFonts w:cs="Arial"/>
        </w:rPr>
        <w:t xml:space="preserve">. </w:t>
      </w:r>
      <w:r w:rsidR="001C1079" w:rsidRPr="00F874F9">
        <w:rPr>
          <w:rFonts w:cs="Arial"/>
        </w:rPr>
        <w:t xml:space="preserve">Inadequate laboratories had prevented </w:t>
      </w:r>
      <w:r w:rsidR="007747FE" w:rsidRPr="00F874F9">
        <w:rPr>
          <w:rFonts w:cs="Arial"/>
        </w:rPr>
        <w:t xml:space="preserve">some </w:t>
      </w:r>
      <w:r w:rsidR="001C1079" w:rsidRPr="00F874F9">
        <w:rPr>
          <w:rFonts w:cs="Arial"/>
        </w:rPr>
        <w:t xml:space="preserve">types </w:t>
      </w:r>
      <w:r w:rsidR="009610EF">
        <w:rPr>
          <w:rFonts w:cs="Arial"/>
        </w:rPr>
        <w:t xml:space="preserve">of </w:t>
      </w:r>
      <w:r w:rsidR="001C1079" w:rsidRPr="00F874F9">
        <w:rPr>
          <w:rFonts w:cs="Arial"/>
        </w:rPr>
        <w:t xml:space="preserve">research </w:t>
      </w:r>
      <w:r w:rsidR="007747FE" w:rsidRPr="00F874F9">
        <w:rPr>
          <w:rFonts w:cs="Arial"/>
        </w:rPr>
        <w:t xml:space="preserve">from being conducted or had necessitated procurement of external </w:t>
      </w:r>
      <w:r w:rsidR="000061F3">
        <w:rPr>
          <w:rFonts w:cs="Arial"/>
        </w:rPr>
        <w:t xml:space="preserve">laboratory </w:t>
      </w:r>
      <w:r w:rsidR="007747FE" w:rsidRPr="00F874F9">
        <w:rPr>
          <w:rFonts w:cs="Arial"/>
        </w:rPr>
        <w:t xml:space="preserve">services. </w:t>
      </w:r>
      <w:r w:rsidR="001C1079" w:rsidRPr="00F874F9">
        <w:rPr>
          <w:rFonts w:cs="Arial"/>
        </w:rPr>
        <w:t>In many institutions, the physical laboratory space was in</w:t>
      </w:r>
      <w:r w:rsidR="000061F3">
        <w:rPr>
          <w:rFonts w:cs="Arial"/>
        </w:rPr>
        <w:t>sufficient</w:t>
      </w:r>
      <w:r w:rsidR="001C1079" w:rsidRPr="00F874F9">
        <w:rPr>
          <w:rFonts w:cs="Arial"/>
        </w:rPr>
        <w:t>, equipment was lacking or poorly maintained, the supply chain for laboratory consumables was unreliable and the procurement process was cumbersome and slow.</w:t>
      </w:r>
      <w:r w:rsidR="00DD151E" w:rsidRPr="00F874F9" w:rsidDel="00DD151E">
        <w:rPr>
          <w:rFonts w:cs="Arial"/>
        </w:rPr>
        <w:t xml:space="preserve"> </w:t>
      </w:r>
    </w:p>
    <w:p w14:paraId="70787059" w14:textId="13A2C7C1" w:rsidR="009031D5" w:rsidRPr="00681B1E" w:rsidRDefault="007C1124" w:rsidP="009031D5">
      <w:pPr>
        <w:spacing w:after="0" w:line="480" w:lineRule="auto"/>
        <w:ind w:left="720"/>
        <w:rPr>
          <w:rFonts w:cs="Arial"/>
        </w:rPr>
      </w:pPr>
      <w:r>
        <w:rPr>
          <w:rFonts w:cs="Arial"/>
          <w:i/>
        </w:rPr>
        <w:t>“</w:t>
      </w:r>
      <w:r w:rsidR="009031D5" w:rsidRPr="009031D5">
        <w:rPr>
          <w:rFonts w:cs="Arial"/>
          <w:i/>
        </w:rPr>
        <w:t>…it’s so embarrassing. This was once a lab. And I now call it ‘city plastic’. We use empty plastic bottles as substitute for glassware. This is due to the failure to get money for equipment since a long time. We haven’t bought any new equipment in 10 years...</w:t>
      </w:r>
      <w:r>
        <w:rPr>
          <w:rFonts w:cs="Arial"/>
          <w:i/>
        </w:rPr>
        <w:t>”</w:t>
      </w:r>
      <w:r w:rsidR="009031D5" w:rsidRPr="009031D5">
        <w:rPr>
          <w:rFonts w:cs="Arial"/>
          <w:i/>
        </w:rPr>
        <w:t xml:space="preserve"> </w:t>
      </w:r>
      <w:r w:rsidR="009031D5" w:rsidRPr="00681B1E">
        <w:rPr>
          <w:rFonts w:cs="Arial"/>
        </w:rPr>
        <w:t>[other]</w:t>
      </w:r>
    </w:p>
    <w:p w14:paraId="34A2A39E" w14:textId="77777777" w:rsidR="009031D5" w:rsidRDefault="009031D5" w:rsidP="00843C19">
      <w:pPr>
        <w:spacing w:after="0" w:line="480" w:lineRule="auto"/>
        <w:rPr>
          <w:rFonts w:cs="Arial"/>
        </w:rPr>
      </w:pPr>
    </w:p>
    <w:p w14:paraId="02114F67" w14:textId="74F699D1" w:rsidR="00FE1C6A" w:rsidRDefault="009031D5" w:rsidP="00843C19">
      <w:pPr>
        <w:spacing w:after="0" w:line="480" w:lineRule="auto"/>
        <w:rPr>
          <w:rFonts w:cs="Arial"/>
        </w:rPr>
      </w:pPr>
      <w:r w:rsidRPr="009031D5">
        <w:rPr>
          <w:rFonts w:cs="Arial"/>
        </w:rPr>
        <w:lastRenderedPageBreak/>
        <w:t xml:space="preserve">Institutions also reported challenges </w:t>
      </w:r>
      <w:r w:rsidR="003E5109">
        <w:rPr>
          <w:rFonts w:cs="Arial"/>
        </w:rPr>
        <w:t xml:space="preserve">in procuring </w:t>
      </w:r>
      <w:r w:rsidRPr="009031D5">
        <w:rPr>
          <w:rFonts w:cs="Arial"/>
        </w:rPr>
        <w:t>laboratory consumables and equipment. Inefficient procurement systems and/or complex custom regulations</w:t>
      </w:r>
      <w:r w:rsidRPr="009031D5">
        <w:t xml:space="preserve"> </w:t>
      </w:r>
      <w:r w:rsidRPr="009031D5">
        <w:rPr>
          <w:rFonts w:cs="Arial"/>
        </w:rPr>
        <w:t>combined with a lack of institutional</w:t>
      </w:r>
      <w:r w:rsidR="00297E2C">
        <w:rPr>
          <w:rFonts w:cs="Arial"/>
        </w:rPr>
        <w:t xml:space="preserve"> and </w:t>
      </w:r>
      <w:r w:rsidRPr="009031D5">
        <w:rPr>
          <w:rFonts w:cs="Arial"/>
        </w:rPr>
        <w:t>national funding can cause significant delays</w:t>
      </w:r>
      <w:r>
        <w:rPr>
          <w:rFonts w:cs="Arial"/>
        </w:rPr>
        <w:t xml:space="preserve"> to the research, particularly among postgraduate students</w:t>
      </w:r>
      <w:r w:rsidR="00297E2C">
        <w:rPr>
          <w:rFonts w:cs="Arial"/>
        </w:rPr>
        <w:t xml:space="preserve">. For example, </w:t>
      </w:r>
      <w:r>
        <w:rPr>
          <w:rFonts w:cs="Arial"/>
        </w:rPr>
        <w:t>some consumables and equipment</w:t>
      </w:r>
      <w:r w:rsidR="0031604E">
        <w:rPr>
          <w:rFonts w:cs="Arial"/>
        </w:rPr>
        <w:t xml:space="preserve"> were reported to be</w:t>
      </w:r>
      <w:r>
        <w:rPr>
          <w:rFonts w:cs="Arial"/>
        </w:rPr>
        <w:t xml:space="preserve"> delayed </w:t>
      </w:r>
      <w:r w:rsidR="00434AB5">
        <w:rPr>
          <w:rFonts w:cs="Arial"/>
        </w:rPr>
        <w:t>by</w:t>
      </w:r>
      <w:r w:rsidR="00434AB5" w:rsidRPr="009031D5">
        <w:rPr>
          <w:rFonts w:cs="Arial"/>
        </w:rPr>
        <w:t xml:space="preserve"> </w:t>
      </w:r>
      <w:r w:rsidRPr="009031D5">
        <w:rPr>
          <w:rFonts w:cs="Arial"/>
        </w:rPr>
        <w:t xml:space="preserve">six months </w:t>
      </w:r>
      <w:r w:rsidR="00434AB5">
        <w:rPr>
          <w:rFonts w:cs="Arial"/>
        </w:rPr>
        <w:t>to</w:t>
      </w:r>
      <w:r w:rsidR="00434AB5" w:rsidRPr="009031D5">
        <w:rPr>
          <w:rFonts w:cs="Arial"/>
        </w:rPr>
        <w:t xml:space="preserve"> </w:t>
      </w:r>
      <w:r w:rsidRPr="009031D5">
        <w:rPr>
          <w:rFonts w:cs="Arial"/>
        </w:rPr>
        <w:t>two years</w:t>
      </w:r>
      <w:r>
        <w:rPr>
          <w:rFonts w:cs="Arial"/>
        </w:rPr>
        <w:t xml:space="preserve">. </w:t>
      </w:r>
      <w:r w:rsidRPr="009031D5">
        <w:rPr>
          <w:rFonts w:cs="Arial"/>
        </w:rPr>
        <w:t>The following quote highlights the frustration with inefficient procurement systems:</w:t>
      </w:r>
    </w:p>
    <w:p w14:paraId="0C1D5E1C" w14:textId="4D76CE66" w:rsidR="00FF5122" w:rsidRPr="00FF5122" w:rsidRDefault="00FF5122" w:rsidP="00FF5122">
      <w:pPr>
        <w:spacing w:after="0" w:line="480" w:lineRule="auto"/>
        <w:ind w:left="680"/>
        <w:rPr>
          <w:rFonts w:cs="Arial"/>
          <w:i/>
        </w:rPr>
      </w:pPr>
      <w:r>
        <w:rPr>
          <w:rFonts w:cs="Arial"/>
          <w:i/>
        </w:rPr>
        <w:t>“</w:t>
      </w:r>
      <w:r w:rsidRPr="00FF5122">
        <w:rPr>
          <w:i/>
        </w:rPr>
        <w:t xml:space="preserve">We have to buy the chemicals from Europe very often and bring them into the country and pass through rigorous customers clearance procedures… it could take half a year to get the same chemical that you can get in an hour here [in the UK]. it’s very </w:t>
      </w:r>
      <w:proofErr w:type="spellStart"/>
      <w:r w:rsidRPr="00FF5122">
        <w:rPr>
          <w:i/>
        </w:rPr>
        <w:t>very</w:t>
      </w:r>
      <w:proofErr w:type="spellEnd"/>
      <w:r w:rsidRPr="00FF5122">
        <w:rPr>
          <w:i/>
        </w:rPr>
        <w:t xml:space="preserve"> frustrating especially for PhD students… It can take months to clear the chemicals or equipment from the airport to get them here…. This has serious precautions on research outputs also. The amount of time it will take for a student to do reasonable work is frustrating- so we’ve compared over the years what students can do when they’re in a European setting and what they can do when they’re back home… </w:t>
      </w:r>
      <w:r>
        <w:rPr>
          <w:i/>
        </w:rPr>
        <w:t>…W</w:t>
      </w:r>
      <w:r w:rsidRPr="00FF5122">
        <w:rPr>
          <w:i/>
        </w:rPr>
        <w:t>e can only do the basic analysis work on the samples but not the sophisticated</w:t>
      </w:r>
      <w:r w:rsidRPr="00FF5122">
        <w:rPr>
          <w:rFonts w:cs="Arial"/>
          <w:i/>
        </w:rPr>
        <w:t xml:space="preserve"> work. We send it to specialised laboratories abroad (e.g. in </w:t>
      </w:r>
      <w:r w:rsidR="007647EF" w:rsidRPr="00FF5122">
        <w:rPr>
          <w:rFonts w:cs="Arial"/>
          <w:i/>
        </w:rPr>
        <w:t>Sweden)</w:t>
      </w:r>
      <w:r w:rsidR="007647EF">
        <w:rPr>
          <w:rFonts w:cs="Arial"/>
          <w:i/>
        </w:rPr>
        <w:t xml:space="preserve"> …</w:t>
      </w:r>
      <w:r w:rsidRPr="00FF5122">
        <w:rPr>
          <w:rFonts w:cs="Arial"/>
          <w:i/>
        </w:rPr>
        <w:t>”</w:t>
      </w:r>
      <w:r>
        <w:t xml:space="preserve"> </w:t>
      </w:r>
      <w:r w:rsidRPr="00C70D50">
        <w:t>[Principal investigator]</w:t>
      </w:r>
    </w:p>
    <w:p w14:paraId="78C52AB7" w14:textId="77777777" w:rsidR="00562C36" w:rsidRDefault="00562C36" w:rsidP="00843C19">
      <w:pPr>
        <w:autoSpaceDE w:val="0"/>
        <w:autoSpaceDN w:val="0"/>
        <w:adjustRightInd w:val="0"/>
        <w:spacing w:after="0" w:line="480" w:lineRule="auto"/>
        <w:rPr>
          <w:rFonts w:cs="Arial"/>
        </w:rPr>
      </w:pPr>
    </w:p>
    <w:p w14:paraId="334C2EB3" w14:textId="4C4FB2DA" w:rsidR="00562C36" w:rsidRDefault="007E301D" w:rsidP="00843C19">
      <w:pPr>
        <w:autoSpaceDE w:val="0"/>
        <w:autoSpaceDN w:val="0"/>
        <w:adjustRightInd w:val="0"/>
        <w:spacing w:after="0" w:line="480" w:lineRule="auto"/>
      </w:pPr>
      <w:r w:rsidRPr="00F874F9">
        <w:rPr>
          <w:rFonts w:cs="Arial"/>
        </w:rPr>
        <w:t xml:space="preserve">Laboratory </w:t>
      </w:r>
      <w:r w:rsidR="007747FE" w:rsidRPr="00F874F9">
        <w:rPr>
          <w:rFonts w:cs="Arial"/>
        </w:rPr>
        <w:t xml:space="preserve">management </w:t>
      </w:r>
      <w:r w:rsidRPr="00F874F9">
        <w:rPr>
          <w:rFonts w:cs="Arial"/>
        </w:rPr>
        <w:t xml:space="preserve">systems including quality assurance, standard operating procedures and health and safety were </w:t>
      </w:r>
      <w:r w:rsidR="003525DC" w:rsidRPr="00F874F9">
        <w:rPr>
          <w:rFonts w:cs="Arial"/>
        </w:rPr>
        <w:t xml:space="preserve">also </w:t>
      </w:r>
      <w:r w:rsidRPr="00F874F9">
        <w:rPr>
          <w:rFonts w:cs="Arial"/>
        </w:rPr>
        <w:t>generally of inconsistent or poor quality.</w:t>
      </w:r>
      <w:r w:rsidR="00FB2EBE" w:rsidRPr="00F874F9">
        <w:rPr>
          <w:rFonts w:cs="Arial"/>
        </w:rPr>
        <w:t xml:space="preserve"> </w:t>
      </w:r>
      <w:r w:rsidR="00F8458C" w:rsidRPr="00F874F9">
        <w:rPr>
          <w:rFonts w:cs="Arial"/>
        </w:rPr>
        <w:t xml:space="preserve">Participants perceived these </w:t>
      </w:r>
      <w:r w:rsidR="00097961" w:rsidRPr="00F874F9">
        <w:rPr>
          <w:rFonts w:cs="Arial"/>
        </w:rPr>
        <w:t xml:space="preserve">laboratory-related </w:t>
      </w:r>
      <w:r w:rsidR="00F8458C" w:rsidRPr="00F874F9">
        <w:t>challenges</w:t>
      </w:r>
      <w:r w:rsidR="00DD151E" w:rsidRPr="00F874F9">
        <w:t xml:space="preserve"> as major barriers</w:t>
      </w:r>
      <w:r w:rsidR="00F8458C" w:rsidRPr="00F874F9">
        <w:t xml:space="preserve"> </w:t>
      </w:r>
      <w:r w:rsidR="00DD151E" w:rsidRPr="00F874F9">
        <w:t>to the progress</w:t>
      </w:r>
      <w:r w:rsidR="000061F3" w:rsidRPr="000061F3">
        <w:t xml:space="preserve"> </w:t>
      </w:r>
      <w:r w:rsidR="000061F3">
        <w:t xml:space="preserve">of their </w:t>
      </w:r>
      <w:r w:rsidR="000061F3" w:rsidRPr="00F874F9">
        <w:t>research</w:t>
      </w:r>
      <w:r w:rsidR="00DD151E" w:rsidRPr="00F874F9">
        <w:t xml:space="preserve">. It </w:t>
      </w:r>
      <w:r w:rsidR="00097961" w:rsidRPr="00F874F9">
        <w:t>affected their ability to produce</w:t>
      </w:r>
      <w:r w:rsidR="00F8458C" w:rsidRPr="00F874F9">
        <w:t xml:space="preserve"> high-</w:t>
      </w:r>
      <w:r w:rsidR="0029239B" w:rsidRPr="00F874F9">
        <w:t>quality research and</w:t>
      </w:r>
      <w:r w:rsidR="000061F3">
        <w:t xml:space="preserve">, for some, their ambition </w:t>
      </w:r>
      <w:r w:rsidR="00A75A32">
        <w:t>to achieve</w:t>
      </w:r>
      <w:r w:rsidR="00F8458C" w:rsidRPr="00F874F9">
        <w:t xml:space="preserve"> international laboratory accreditation.</w:t>
      </w:r>
    </w:p>
    <w:p w14:paraId="288D21C6" w14:textId="77777777" w:rsidR="00FE1198" w:rsidRPr="00F874F9" w:rsidRDefault="00FE1198" w:rsidP="00843C19">
      <w:pPr>
        <w:autoSpaceDE w:val="0"/>
        <w:autoSpaceDN w:val="0"/>
        <w:adjustRightInd w:val="0"/>
        <w:spacing w:after="0" w:line="480" w:lineRule="auto"/>
      </w:pPr>
    </w:p>
    <w:p w14:paraId="0CA85768" w14:textId="77777777" w:rsidR="007E301D" w:rsidRPr="000D1CDF" w:rsidRDefault="007747FE" w:rsidP="00843C19">
      <w:pPr>
        <w:pStyle w:val="Heading2"/>
        <w:spacing w:before="0" w:line="480" w:lineRule="auto"/>
        <w:rPr>
          <w:rFonts w:asciiTheme="minorHAnsi" w:hAnsiTheme="minorHAnsi"/>
          <w:b/>
          <w:color w:val="auto"/>
          <w:sz w:val="32"/>
          <w:szCs w:val="32"/>
        </w:rPr>
      </w:pPr>
      <w:bookmarkStart w:id="30" w:name="_Hlk525050216"/>
      <w:bookmarkStart w:id="31" w:name="_Hlk521943693"/>
      <w:r w:rsidRPr="000D1CDF">
        <w:rPr>
          <w:rFonts w:asciiTheme="minorHAnsi" w:hAnsiTheme="minorHAnsi"/>
          <w:b/>
          <w:color w:val="auto"/>
          <w:sz w:val="32"/>
          <w:szCs w:val="32"/>
        </w:rPr>
        <w:t>Teaching and learning</w:t>
      </w:r>
    </w:p>
    <w:bookmarkEnd w:id="30"/>
    <w:p w14:paraId="312DE41C" w14:textId="5A09E581" w:rsidR="006321D8" w:rsidRPr="00F874F9" w:rsidRDefault="006321D8" w:rsidP="00843C19">
      <w:pPr>
        <w:spacing w:after="0" w:line="480" w:lineRule="auto"/>
      </w:pPr>
      <w:r w:rsidRPr="00F874F9">
        <w:t xml:space="preserve">All institutions offered training courses for postgraduate research students and </w:t>
      </w:r>
      <w:r w:rsidR="000061F3">
        <w:t xml:space="preserve">in some </w:t>
      </w:r>
      <w:proofErr w:type="gramStart"/>
      <w:r w:rsidR="000061F3">
        <w:t>institutions</w:t>
      </w:r>
      <w:proofErr w:type="gramEnd"/>
      <w:r w:rsidR="000061F3">
        <w:t xml:space="preserve"> </w:t>
      </w:r>
      <w:r w:rsidRPr="00F874F9">
        <w:t xml:space="preserve">these were compulsory, though the quality was reported to vary depending on the course and </w:t>
      </w:r>
      <w:r w:rsidRPr="00F874F9">
        <w:lastRenderedPageBreak/>
        <w:t xml:space="preserve">institution. Formal training needs assessments, availability of courses and funding for training for academic staff, were generally limited or absent. </w:t>
      </w:r>
      <w:r>
        <w:t>D</w:t>
      </w:r>
      <w:r w:rsidRPr="00F874F9">
        <w:t>octoral students commonly cited the</w:t>
      </w:r>
      <w:r>
        <w:t>ir training needs a</w:t>
      </w:r>
      <w:r w:rsidRPr="00F874F9">
        <w:t xml:space="preserve">s research methods, data analysis software, </w:t>
      </w:r>
      <w:r w:rsidR="000061F3">
        <w:t>geographic information systems</w:t>
      </w:r>
      <w:r w:rsidRPr="00F874F9">
        <w:t xml:space="preserve"> and academic and proposal writing. </w:t>
      </w:r>
      <w:r w:rsidR="000061F3">
        <w:t xml:space="preserve">Non-Anglophone </w:t>
      </w:r>
      <w:r w:rsidRPr="00F874F9">
        <w:t xml:space="preserve">PhD </w:t>
      </w:r>
      <w:r>
        <w:t xml:space="preserve">students also identified a need for </w:t>
      </w:r>
      <w:r w:rsidRPr="00F874F9">
        <w:t>training in English language</w:t>
      </w:r>
      <w:r w:rsidR="00737932">
        <w:t xml:space="preserve"> </w:t>
      </w:r>
      <w:r w:rsidR="003E5109">
        <w:t xml:space="preserve">to help them overcome language barriers. </w:t>
      </w:r>
      <w:r w:rsidR="007C1124">
        <w:t>Such l</w:t>
      </w:r>
      <w:r w:rsidR="003E5109">
        <w:t xml:space="preserve">anguage barriers were demonstrated when </w:t>
      </w:r>
      <w:r w:rsidR="007C1124">
        <w:t xml:space="preserve">students </w:t>
      </w:r>
      <w:r w:rsidR="003E5109">
        <w:t>attend</w:t>
      </w:r>
      <w:r w:rsidR="007C1124">
        <w:t>ed</w:t>
      </w:r>
      <w:r w:rsidR="003E5109" w:rsidRPr="0062644E">
        <w:t xml:space="preserve"> </w:t>
      </w:r>
      <w:r w:rsidR="003E5109">
        <w:t>or present</w:t>
      </w:r>
      <w:r w:rsidR="007C1124">
        <w:t>ed</w:t>
      </w:r>
      <w:r w:rsidR="003E5109">
        <w:t xml:space="preserve"> their research work</w:t>
      </w:r>
      <w:r w:rsidR="007C1124">
        <w:t xml:space="preserve"> at</w:t>
      </w:r>
      <w:r w:rsidR="003E5109">
        <w:t xml:space="preserve"> </w:t>
      </w:r>
      <w:r w:rsidR="003E5109" w:rsidRPr="0062644E">
        <w:t xml:space="preserve">international scientific conferences where English is the main language of communication; </w:t>
      </w:r>
      <w:r w:rsidR="007C1124">
        <w:t xml:space="preserve">when </w:t>
      </w:r>
      <w:r w:rsidR="003E5109" w:rsidRPr="0062644E">
        <w:t xml:space="preserve">accessing scientific literature; </w:t>
      </w:r>
      <w:r w:rsidR="003E5109">
        <w:t xml:space="preserve">and </w:t>
      </w:r>
      <w:r w:rsidR="003E5109" w:rsidRPr="0062644E">
        <w:t>when communicating or networking with other PhD students and consortia members</w:t>
      </w:r>
      <w:r w:rsidR="003E5109">
        <w:t>.</w:t>
      </w:r>
      <w:r w:rsidRPr="00F874F9">
        <w:t xml:space="preserve"> Some participants </w:t>
      </w:r>
      <w:r w:rsidR="007C1124">
        <w:t xml:space="preserve">also </w:t>
      </w:r>
      <w:r w:rsidRPr="00F874F9">
        <w:t xml:space="preserve">stressed the need for gender equity </w:t>
      </w:r>
      <w:r>
        <w:t xml:space="preserve">at all stages of </w:t>
      </w:r>
      <w:r w:rsidRPr="00F874F9">
        <w:t>PhD programmes:</w:t>
      </w:r>
    </w:p>
    <w:p w14:paraId="4894C9E8" w14:textId="5DD3A274" w:rsidR="006321D8" w:rsidRPr="001E4E8B" w:rsidRDefault="007C1124" w:rsidP="00843C19">
      <w:pPr>
        <w:spacing w:after="0" w:line="480" w:lineRule="auto"/>
        <w:ind w:left="680" w:right="680"/>
      </w:pPr>
      <w:r>
        <w:rPr>
          <w:i/>
        </w:rPr>
        <w:t>“</w:t>
      </w:r>
      <w:r w:rsidR="006321D8" w:rsidRPr="00F874F9">
        <w:rPr>
          <w:i/>
        </w:rPr>
        <w:t>…I think there needs to be gender awareness training in science. Women have less support than men in research. I would like to build the capacity of women. I am female, but I can do a PhD, I can help others. I can be a role model for other females who want to do a PhD</w:t>
      </w:r>
      <w:r w:rsidR="00FE1198" w:rsidRPr="00F874F9">
        <w:rPr>
          <w:i/>
        </w:rPr>
        <w:t>...</w:t>
      </w:r>
      <w:r w:rsidR="00FE1198">
        <w:rPr>
          <w:i/>
        </w:rPr>
        <w:t>”</w:t>
      </w:r>
      <w:r w:rsidR="00FE1198" w:rsidRPr="0043354A">
        <w:rPr>
          <w:i/>
        </w:rPr>
        <w:t xml:space="preserve"> </w:t>
      </w:r>
      <w:r w:rsidR="00FE1198" w:rsidRPr="001E4E8B">
        <w:t>[</w:t>
      </w:r>
      <w:r w:rsidR="006321D8" w:rsidRPr="001E4E8B">
        <w:t>PhD student]</w:t>
      </w:r>
    </w:p>
    <w:p w14:paraId="0F12AAEB" w14:textId="77777777" w:rsidR="006321D8" w:rsidRDefault="006321D8" w:rsidP="00843C19">
      <w:pPr>
        <w:spacing w:after="0" w:line="480" w:lineRule="auto"/>
      </w:pPr>
    </w:p>
    <w:p w14:paraId="5A33A07B" w14:textId="77777777" w:rsidR="006321D8" w:rsidRDefault="00AA4BCF" w:rsidP="00843C19">
      <w:pPr>
        <w:spacing w:after="0" w:line="480" w:lineRule="auto"/>
      </w:pPr>
      <w:r w:rsidRPr="00F874F9">
        <w:t>Even when training was available</w:t>
      </w:r>
      <w:r w:rsidR="006321D8">
        <w:t>,</w:t>
      </w:r>
      <w:r w:rsidRPr="00F874F9">
        <w:t xml:space="preserve"> the high teaching and administrative workload of researchers </w:t>
      </w:r>
      <w:r w:rsidR="000061F3">
        <w:t xml:space="preserve">often </w:t>
      </w:r>
      <w:r w:rsidRPr="00F874F9">
        <w:t xml:space="preserve">made it difficult for them to attend. </w:t>
      </w:r>
      <w:r w:rsidR="006321D8">
        <w:t>G</w:t>
      </w:r>
      <w:r w:rsidR="006321D8" w:rsidRPr="00F874F9">
        <w:t xml:space="preserve">rant-funded students </w:t>
      </w:r>
      <w:r w:rsidR="006321D8">
        <w:t xml:space="preserve">tended to </w:t>
      </w:r>
      <w:r w:rsidR="006321D8" w:rsidRPr="00F874F9">
        <w:t xml:space="preserve">receive more external training than self-funded students. </w:t>
      </w:r>
      <w:r w:rsidR="006321D8">
        <w:t>However, t</w:t>
      </w:r>
      <w:r w:rsidR="006321D8" w:rsidRPr="00F874F9">
        <w:t xml:space="preserve">here were </w:t>
      </w:r>
      <w:r w:rsidR="006321D8">
        <w:t xml:space="preserve">several </w:t>
      </w:r>
      <w:r w:rsidR="006321D8" w:rsidRPr="00F874F9">
        <w:t xml:space="preserve">examples of how grant-funded students shared their </w:t>
      </w:r>
      <w:r w:rsidR="006321D8">
        <w:t xml:space="preserve">resources (e.g. internet access, </w:t>
      </w:r>
      <w:r w:rsidR="003E2B7C">
        <w:t xml:space="preserve">conference proceedings, collaboration </w:t>
      </w:r>
      <w:r w:rsidR="006321D8">
        <w:t xml:space="preserve">networks) and </w:t>
      </w:r>
      <w:r w:rsidR="006321D8" w:rsidRPr="00F874F9">
        <w:t xml:space="preserve">new knowledge with </w:t>
      </w:r>
      <w:r w:rsidR="006321D8">
        <w:t>less well-funded</w:t>
      </w:r>
      <w:r w:rsidR="006321D8" w:rsidRPr="00F874F9">
        <w:t xml:space="preserve"> students who had limited opportunities. This type of </w:t>
      </w:r>
      <w:r w:rsidR="006321D8">
        <w:t xml:space="preserve">sharing and </w:t>
      </w:r>
      <w:r w:rsidR="006321D8" w:rsidRPr="00F874F9">
        <w:t>cascading appeared to be a widespread phenomenon.</w:t>
      </w:r>
    </w:p>
    <w:p w14:paraId="09A087D9" w14:textId="77777777" w:rsidR="006321D8" w:rsidRDefault="006321D8" w:rsidP="00843C19">
      <w:pPr>
        <w:spacing w:after="0" w:line="480" w:lineRule="auto"/>
      </w:pPr>
    </w:p>
    <w:p w14:paraId="6E88384A" w14:textId="2693CB2A" w:rsidR="00562C36" w:rsidRDefault="004E4A54" w:rsidP="00843C19">
      <w:pPr>
        <w:spacing w:after="0" w:line="480" w:lineRule="auto"/>
      </w:pPr>
      <w:r w:rsidRPr="00F874F9">
        <w:t xml:space="preserve">Some institutions had graduate schools responsible for organising postgraduate courses. However, there were generally limited opportunities and funding for training in generic research skills such as proposal writing, intellectual property issues, quality assurance and research ethics. </w:t>
      </w:r>
      <w:r w:rsidR="006321D8" w:rsidRPr="00F874F9">
        <w:t>Des</w:t>
      </w:r>
      <w:r w:rsidR="006321D8">
        <w:t>pi</w:t>
      </w:r>
      <w:r w:rsidR="006321D8" w:rsidRPr="00F874F9">
        <w:t xml:space="preserve">te having research ethics committees in most institutions, knowledge </w:t>
      </w:r>
      <w:r w:rsidR="006321D8">
        <w:t xml:space="preserve">among participants </w:t>
      </w:r>
      <w:r w:rsidR="006321D8" w:rsidRPr="00F874F9">
        <w:t xml:space="preserve">about ethical issues, policies and procedures related to </w:t>
      </w:r>
      <w:r w:rsidR="006321D8">
        <w:t xml:space="preserve">ACBI </w:t>
      </w:r>
      <w:r w:rsidR="003B1023">
        <w:t xml:space="preserve">natural </w:t>
      </w:r>
      <w:r w:rsidR="006321D8">
        <w:t>science</w:t>
      </w:r>
      <w:r w:rsidR="003B1023">
        <w:t>s</w:t>
      </w:r>
      <w:r w:rsidR="006321D8">
        <w:t xml:space="preserve"> </w:t>
      </w:r>
      <w:r w:rsidR="006321D8" w:rsidRPr="0078576D">
        <w:t xml:space="preserve">subjects was limited. </w:t>
      </w:r>
      <w:r w:rsidRPr="0078576D">
        <w:t xml:space="preserve">Staff within research </w:t>
      </w:r>
      <w:r w:rsidRPr="0078576D">
        <w:lastRenderedPageBreak/>
        <w:t xml:space="preserve">offices and graduate schools themselves also expressed </w:t>
      </w:r>
      <w:r w:rsidR="0078576D" w:rsidRPr="0078576D">
        <w:t>their</w:t>
      </w:r>
      <w:r w:rsidRPr="0078576D">
        <w:t xml:space="preserve"> nee</w:t>
      </w:r>
      <w:r w:rsidRPr="00F874F9">
        <w:t xml:space="preserve">d for </w:t>
      </w:r>
      <w:r w:rsidR="0078576D">
        <w:t xml:space="preserve">more financial resources to support their work and </w:t>
      </w:r>
      <w:r w:rsidRPr="00F874F9">
        <w:t>training in how to support research and researchers</w:t>
      </w:r>
      <w:r>
        <w:t>. T</w:t>
      </w:r>
      <w:r w:rsidR="00E22DEA" w:rsidRPr="00F874F9">
        <w:t>raining opportunities for</w:t>
      </w:r>
      <w:r>
        <w:t xml:space="preserve"> research support </w:t>
      </w:r>
      <w:r w:rsidR="00EE1B38" w:rsidRPr="00F874F9">
        <w:t xml:space="preserve">staff, and particularly </w:t>
      </w:r>
      <w:r>
        <w:t xml:space="preserve">for </w:t>
      </w:r>
      <w:r w:rsidR="00EE1B38" w:rsidRPr="00F874F9">
        <w:t xml:space="preserve">laboratory technicians, were </w:t>
      </w:r>
      <w:r>
        <w:t xml:space="preserve">generally </w:t>
      </w:r>
      <w:r w:rsidR="00926152" w:rsidRPr="00F874F9">
        <w:t>neglected</w:t>
      </w:r>
      <w:r>
        <w:t xml:space="preserve"> compared to opportunities for academic staff</w:t>
      </w:r>
      <w:r w:rsidR="00926152" w:rsidRPr="00F874F9">
        <w:t>.</w:t>
      </w:r>
      <w:r w:rsidR="00F67763" w:rsidRPr="00F874F9">
        <w:t xml:space="preserve"> </w:t>
      </w:r>
      <w:r>
        <w:t>I</w:t>
      </w:r>
      <w:r w:rsidR="00984DCB" w:rsidRPr="00F874F9">
        <w:t xml:space="preserve">t was recognised that </w:t>
      </w:r>
      <w:r w:rsidR="006321D8">
        <w:t xml:space="preserve">lack of professional development for </w:t>
      </w:r>
      <w:r w:rsidR="00573478" w:rsidRPr="00F874F9">
        <w:t xml:space="preserve">laboratory technicians, most of whom </w:t>
      </w:r>
      <w:r w:rsidR="00984DCB" w:rsidRPr="00F874F9">
        <w:t xml:space="preserve">were </w:t>
      </w:r>
      <w:r w:rsidR="00F32D67" w:rsidRPr="00F874F9">
        <w:t xml:space="preserve">responsible for both teaching and research laboratories, </w:t>
      </w:r>
      <w:r w:rsidR="00984DCB" w:rsidRPr="00F874F9">
        <w:t xml:space="preserve">could </w:t>
      </w:r>
      <w:r w:rsidR="00573478" w:rsidRPr="00F874F9">
        <w:t>negatively impact the progress and quality of the doctoral students’ research work</w:t>
      </w:r>
      <w:r w:rsidR="00714105">
        <w:t>.</w:t>
      </w:r>
    </w:p>
    <w:p w14:paraId="7AE47261" w14:textId="77777777" w:rsidR="00F67763" w:rsidRDefault="00F67763" w:rsidP="00843C19">
      <w:pPr>
        <w:spacing w:after="0" w:line="480" w:lineRule="auto"/>
      </w:pPr>
      <w:r w:rsidRPr="00F874F9">
        <w:t xml:space="preserve"> </w:t>
      </w:r>
    </w:p>
    <w:p w14:paraId="2904EB0D" w14:textId="77777777" w:rsidR="00E22DEA" w:rsidRPr="000D1CDF" w:rsidRDefault="00E22DEA" w:rsidP="00843C19">
      <w:pPr>
        <w:pStyle w:val="Heading2"/>
        <w:spacing w:before="0" w:line="480" w:lineRule="auto"/>
        <w:rPr>
          <w:rFonts w:asciiTheme="minorHAnsi" w:hAnsiTheme="minorHAnsi"/>
          <w:b/>
          <w:color w:val="auto"/>
          <w:sz w:val="32"/>
          <w:szCs w:val="32"/>
        </w:rPr>
      </w:pPr>
      <w:bookmarkStart w:id="32" w:name="_Hlk525050276"/>
      <w:bookmarkEnd w:id="31"/>
      <w:r w:rsidRPr="000D1CDF">
        <w:rPr>
          <w:rFonts w:asciiTheme="minorHAnsi" w:hAnsiTheme="minorHAnsi"/>
          <w:b/>
          <w:color w:val="auto"/>
          <w:sz w:val="32"/>
          <w:szCs w:val="32"/>
        </w:rPr>
        <w:t xml:space="preserve">Research strategies and support </w:t>
      </w:r>
    </w:p>
    <w:bookmarkEnd w:id="32"/>
    <w:p w14:paraId="5F133113" w14:textId="074B70B4" w:rsidR="002569D9" w:rsidRDefault="00E22DEA" w:rsidP="002569D9">
      <w:pPr>
        <w:spacing w:after="0" w:line="480" w:lineRule="auto"/>
      </w:pPr>
      <w:r w:rsidRPr="00F874F9">
        <w:t>All</w:t>
      </w:r>
      <w:r w:rsidR="007E301D" w:rsidRPr="00F874F9">
        <w:t xml:space="preserve"> institutions had </w:t>
      </w:r>
      <w:r w:rsidR="00D948F4" w:rsidRPr="00F874F9">
        <w:t>medium</w:t>
      </w:r>
      <w:r w:rsidR="00623247" w:rsidRPr="00F874F9">
        <w:t>-</w:t>
      </w:r>
      <w:r w:rsidR="00C423DC" w:rsidRPr="00F874F9">
        <w:t xml:space="preserve"> to long-</w:t>
      </w:r>
      <w:r w:rsidR="00D948F4" w:rsidRPr="00F874F9">
        <w:t>term (</w:t>
      </w:r>
      <w:r w:rsidR="007E301D" w:rsidRPr="00F874F9">
        <w:t>3-10 year</w:t>
      </w:r>
      <w:r w:rsidR="00D948F4" w:rsidRPr="00F874F9">
        <w:t>)</w:t>
      </w:r>
      <w:r w:rsidR="007E301D" w:rsidRPr="00F874F9">
        <w:t xml:space="preserve"> research strategies that had been developed through wide consultation and which were aligned to national needs. </w:t>
      </w:r>
      <w:r w:rsidR="00C423DC" w:rsidRPr="00F874F9">
        <w:t>However</w:t>
      </w:r>
      <w:r w:rsidR="00A56181" w:rsidRPr="00F874F9">
        <w:t xml:space="preserve">, </w:t>
      </w:r>
      <w:r w:rsidR="007E301D" w:rsidRPr="00F874F9">
        <w:t xml:space="preserve">research priorities at </w:t>
      </w:r>
      <w:r w:rsidRPr="00F874F9">
        <w:t xml:space="preserve">departmental </w:t>
      </w:r>
      <w:r w:rsidR="007E301D" w:rsidRPr="00F874F9">
        <w:t xml:space="preserve">level often more closely reflected the interests of senior researchers and were therefore not necessarily matched to national needs. </w:t>
      </w:r>
      <w:r w:rsidR="003A075B" w:rsidRPr="00F874F9">
        <w:t>Most p</w:t>
      </w:r>
      <w:r w:rsidR="00F361AB" w:rsidRPr="00F874F9">
        <w:t xml:space="preserve">articipants acknowledged the importance of effective departmental strategic plans, </w:t>
      </w:r>
      <w:r w:rsidR="00C423DC" w:rsidRPr="00F874F9">
        <w:t xml:space="preserve">but </w:t>
      </w:r>
      <w:r w:rsidR="00F361AB" w:rsidRPr="00F874F9">
        <w:t xml:space="preserve">the development and </w:t>
      </w:r>
      <w:r w:rsidR="00C423DC" w:rsidRPr="00F874F9">
        <w:t xml:space="preserve">implementation of these plans was hindered in </w:t>
      </w:r>
      <w:r w:rsidR="00F361AB" w:rsidRPr="00F874F9">
        <w:t>some institutions due to</w:t>
      </w:r>
      <w:r w:rsidR="00C423DC" w:rsidRPr="00F874F9">
        <w:t xml:space="preserve"> a lack of expertise in strategic planning. </w:t>
      </w:r>
      <w:r w:rsidR="00F361AB" w:rsidRPr="00F874F9">
        <w:t xml:space="preserve"> </w:t>
      </w:r>
      <w:r w:rsidR="00ED02B7">
        <w:t>Some participants</w:t>
      </w:r>
      <w:r w:rsidR="00C423DC" w:rsidRPr="00F874F9">
        <w:t xml:space="preserve"> suggested </w:t>
      </w:r>
      <w:r w:rsidR="00471D39" w:rsidRPr="00F874F9">
        <w:t xml:space="preserve">that students and non-academic staff (e.g. laboratory technicians, support staff) could be </w:t>
      </w:r>
      <w:r w:rsidR="00ED02B7">
        <w:t xml:space="preserve">more </w:t>
      </w:r>
      <w:r w:rsidR="00471D39" w:rsidRPr="00F874F9">
        <w:t xml:space="preserve">involved in </w:t>
      </w:r>
      <w:r w:rsidR="00AB6E54" w:rsidRPr="00F874F9">
        <w:t xml:space="preserve">strategic </w:t>
      </w:r>
      <w:r w:rsidR="00471D39" w:rsidRPr="00F874F9">
        <w:t xml:space="preserve">planning activities to ensure </w:t>
      </w:r>
      <w:r w:rsidR="00C423DC" w:rsidRPr="00F874F9">
        <w:t xml:space="preserve">that their </w:t>
      </w:r>
      <w:r w:rsidR="00471D39" w:rsidRPr="00F874F9">
        <w:t xml:space="preserve">needs </w:t>
      </w:r>
      <w:r w:rsidR="00C423DC" w:rsidRPr="00F874F9">
        <w:t>were met</w:t>
      </w:r>
      <w:r w:rsidR="00471D39" w:rsidRPr="00F874F9">
        <w:t>.</w:t>
      </w:r>
      <w:r w:rsidR="00ED02B7">
        <w:t xml:space="preserve"> </w:t>
      </w:r>
      <w:r w:rsidR="002569D9">
        <w:t>Others suggested that consortium partners with effective departmental strategic plans could</w:t>
      </w:r>
      <w:r w:rsidR="00E40335">
        <w:t xml:space="preserve"> support</w:t>
      </w:r>
      <w:r w:rsidR="002569D9">
        <w:t xml:space="preserve"> less experienced partners through sharing of resources</w:t>
      </w:r>
      <w:r w:rsidR="00F046B3">
        <w:t xml:space="preserve"> or </w:t>
      </w:r>
      <w:r w:rsidR="002569D9">
        <w:t>examples</w:t>
      </w:r>
      <w:r w:rsidR="009460E2">
        <w:t xml:space="preserve"> of good practice</w:t>
      </w:r>
      <w:r w:rsidR="00E40335">
        <w:t xml:space="preserve"> such as carrying out </w:t>
      </w:r>
      <w:r w:rsidR="002569D9">
        <w:t>departmental reviews to improve activities in the department:</w:t>
      </w:r>
    </w:p>
    <w:p w14:paraId="3AF4029B" w14:textId="004C4F7A" w:rsidR="00E40335" w:rsidRPr="00C70D50" w:rsidRDefault="00E745E7" w:rsidP="00E40335">
      <w:pPr>
        <w:spacing w:after="0" w:line="480" w:lineRule="auto"/>
        <w:ind w:left="720"/>
      </w:pPr>
      <w:r>
        <w:rPr>
          <w:i/>
        </w:rPr>
        <w:t>“</w:t>
      </w:r>
      <w:r w:rsidR="002569D9" w:rsidRPr="00E40335">
        <w:rPr>
          <w:i/>
        </w:rPr>
        <w:t xml:space="preserve">… our departmental review, I think it’s every five years, they appoint external reviewers to review our department. </w:t>
      </w:r>
      <w:r w:rsidR="00F046B3" w:rsidRPr="00E40335">
        <w:rPr>
          <w:i/>
        </w:rPr>
        <w:t>So,</w:t>
      </w:r>
      <w:r w:rsidR="002569D9" w:rsidRPr="00E40335">
        <w:rPr>
          <w:i/>
        </w:rPr>
        <w:t xml:space="preserve"> the reviewers interview the Head of Department, academic staff, some postdocs, some postgrads, some undergraduate students, and they then compile a report and we read the report and we look at what the recommendations are of the report and then we try and improve on those things or implement those recommendations.</w:t>
      </w:r>
      <w:r>
        <w:rPr>
          <w:i/>
        </w:rPr>
        <w:t>”</w:t>
      </w:r>
      <w:r w:rsidR="000200FC">
        <w:rPr>
          <w:i/>
        </w:rPr>
        <w:t xml:space="preserve"> </w:t>
      </w:r>
      <w:bookmarkStart w:id="33" w:name="_Hlk25674493"/>
      <w:r w:rsidR="00E40335" w:rsidRPr="00C70D50">
        <w:t>[</w:t>
      </w:r>
      <w:r w:rsidR="000200FC" w:rsidRPr="00C70D50">
        <w:t>P</w:t>
      </w:r>
      <w:r w:rsidR="00E40335" w:rsidRPr="00C70D50">
        <w:t>rincipal investigator]</w:t>
      </w:r>
      <w:bookmarkEnd w:id="33"/>
    </w:p>
    <w:p w14:paraId="3F51F5E6" w14:textId="77777777" w:rsidR="00AD1F18" w:rsidRDefault="00AD1F18" w:rsidP="002569D9">
      <w:pPr>
        <w:spacing w:after="0" w:line="480" w:lineRule="auto"/>
      </w:pPr>
    </w:p>
    <w:p w14:paraId="3CBA1648" w14:textId="29A651F9" w:rsidR="004404A2" w:rsidRDefault="00324F87" w:rsidP="002569D9">
      <w:pPr>
        <w:spacing w:after="0" w:line="480" w:lineRule="auto"/>
      </w:pPr>
      <w:r w:rsidRPr="00F874F9">
        <w:t xml:space="preserve">There was almost no use of electronic tracking systems to generate institutional level data about research activities. </w:t>
      </w:r>
      <w:r w:rsidR="000F734E" w:rsidRPr="00F874F9">
        <w:t>M</w:t>
      </w:r>
      <w:r w:rsidR="007E301D" w:rsidRPr="00F874F9">
        <w:t>ost institutions had research offices or units to help researchers at</w:t>
      </w:r>
      <w:r w:rsidR="00C373EC" w:rsidRPr="00F874F9">
        <w:t xml:space="preserve"> the</w:t>
      </w:r>
      <w:r w:rsidR="007E301D" w:rsidRPr="00F874F9">
        <w:t xml:space="preserve"> </w:t>
      </w:r>
      <w:r w:rsidR="00C373EC" w:rsidRPr="00F874F9">
        <w:t xml:space="preserve">pre-, intra- and post-award stages of the research process. </w:t>
      </w:r>
      <w:r w:rsidR="00BC1508" w:rsidRPr="00F874F9">
        <w:t>H</w:t>
      </w:r>
      <w:r w:rsidR="007E301D" w:rsidRPr="00F874F9">
        <w:t xml:space="preserve">owever, their roles and structures </w:t>
      </w:r>
      <w:r w:rsidR="00AB6E54" w:rsidRPr="00F874F9">
        <w:t>varied across different institutions</w:t>
      </w:r>
      <w:r w:rsidR="007E301D" w:rsidRPr="00F874F9">
        <w:t xml:space="preserve"> and the services they provided were often not well communicated</w:t>
      </w:r>
      <w:r w:rsidR="00AB6E54" w:rsidRPr="00F874F9">
        <w:t xml:space="preserve">. </w:t>
      </w:r>
      <w:r w:rsidR="00ED02B7">
        <w:t xml:space="preserve">This meant that </w:t>
      </w:r>
      <w:r w:rsidR="00984DCB" w:rsidRPr="00F874F9">
        <w:t>researchers</w:t>
      </w:r>
      <w:r w:rsidR="007E301D" w:rsidRPr="00F874F9">
        <w:t xml:space="preserve"> were </w:t>
      </w:r>
      <w:r w:rsidR="00C373EC" w:rsidRPr="00F874F9">
        <w:t>not clear</w:t>
      </w:r>
      <w:r w:rsidR="007E301D" w:rsidRPr="00F874F9">
        <w:t xml:space="preserve"> about how to make best use of this support. </w:t>
      </w:r>
    </w:p>
    <w:p w14:paraId="6CA38EAD" w14:textId="77777777" w:rsidR="00FE1198" w:rsidRDefault="00FE1198" w:rsidP="002569D9">
      <w:pPr>
        <w:spacing w:after="0" w:line="480" w:lineRule="auto"/>
      </w:pPr>
    </w:p>
    <w:p w14:paraId="707C97FC" w14:textId="77777777" w:rsidR="007E301D" w:rsidRPr="000D1CDF" w:rsidRDefault="0052401C" w:rsidP="00843C19">
      <w:pPr>
        <w:pStyle w:val="Heading2"/>
        <w:spacing w:before="0" w:line="480" w:lineRule="auto"/>
        <w:rPr>
          <w:rFonts w:asciiTheme="minorHAnsi" w:hAnsiTheme="minorHAnsi"/>
          <w:b/>
          <w:color w:val="auto"/>
          <w:sz w:val="32"/>
          <w:szCs w:val="32"/>
        </w:rPr>
      </w:pPr>
      <w:bookmarkStart w:id="34" w:name="_Hlk525050230"/>
      <w:r w:rsidRPr="000D1CDF">
        <w:rPr>
          <w:rFonts w:asciiTheme="minorHAnsi" w:hAnsiTheme="minorHAnsi"/>
          <w:b/>
          <w:color w:val="auto"/>
          <w:sz w:val="32"/>
          <w:szCs w:val="32"/>
        </w:rPr>
        <w:t>PhD pro</w:t>
      </w:r>
      <w:r w:rsidR="003E15D8" w:rsidRPr="000D1CDF">
        <w:rPr>
          <w:rFonts w:asciiTheme="minorHAnsi" w:hAnsiTheme="minorHAnsi"/>
          <w:b/>
          <w:color w:val="auto"/>
          <w:sz w:val="32"/>
          <w:szCs w:val="32"/>
        </w:rPr>
        <w:t>grammes</w:t>
      </w:r>
    </w:p>
    <w:bookmarkEnd w:id="34"/>
    <w:p w14:paraId="76DF9BD3" w14:textId="77777777" w:rsidR="00083E95" w:rsidRPr="00F874F9" w:rsidRDefault="007E301D" w:rsidP="00843C19">
      <w:pPr>
        <w:spacing w:after="0" w:line="480" w:lineRule="auto"/>
        <w:ind w:right="680"/>
        <w:contextualSpacing/>
      </w:pPr>
      <w:r w:rsidRPr="00F874F9">
        <w:t>The application</w:t>
      </w:r>
      <w:r w:rsidR="0038334C" w:rsidRPr="00F874F9">
        <w:t xml:space="preserve"> and admission</w:t>
      </w:r>
      <w:r w:rsidRPr="00F874F9">
        <w:t xml:space="preserve"> process</w:t>
      </w:r>
      <w:r w:rsidR="0038334C" w:rsidRPr="00F874F9">
        <w:t>es</w:t>
      </w:r>
      <w:r w:rsidRPr="00F874F9">
        <w:t xml:space="preserve"> for </w:t>
      </w:r>
      <w:r w:rsidR="00083E95" w:rsidRPr="00F874F9">
        <w:t>doctoral</w:t>
      </w:r>
      <w:r w:rsidRPr="00F874F9">
        <w:t xml:space="preserve"> courses </w:t>
      </w:r>
      <w:r w:rsidR="00083E95" w:rsidRPr="00F874F9">
        <w:t>was</w:t>
      </w:r>
      <w:r w:rsidRPr="00F874F9">
        <w:t xml:space="preserve"> generally organised through Graduate Schools</w:t>
      </w:r>
      <w:r w:rsidR="00083E95" w:rsidRPr="00F874F9">
        <w:t xml:space="preserve"> and the application </w:t>
      </w:r>
      <w:r w:rsidRPr="00F874F9">
        <w:t xml:space="preserve">process </w:t>
      </w:r>
      <w:r w:rsidR="00083E95" w:rsidRPr="00F874F9">
        <w:t>was</w:t>
      </w:r>
      <w:r w:rsidRPr="00F874F9">
        <w:t xml:space="preserve"> similar across institutions</w:t>
      </w:r>
      <w:r w:rsidR="00363F3F" w:rsidRPr="00F874F9">
        <w:t xml:space="preserve">. </w:t>
      </w:r>
      <w:r w:rsidR="00166C7F" w:rsidRPr="00F874F9">
        <w:t>However,</w:t>
      </w:r>
      <w:r w:rsidR="00083E95" w:rsidRPr="00F874F9">
        <w:t xml:space="preserve"> the r</w:t>
      </w:r>
      <w:r w:rsidRPr="00F874F9">
        <w:t xml:space="preserve">egistration process </w:t>
      </w:r>
      <w:r w:rsidR="0038334C" w:rsidRPr="00F874F9">
        <w:t xml:space="preserve">varied </w:t>
      </w:r>
      <w:proofErr w:type="gramStart"/>
      <w:r w:rsidR="0038334C" w:rsidRPr="00F874F9">
        <w:t>widely</w:t>
      </w:r>
      <w:proofErr w:type="gramEnd"/>
      <w:r w:rsidR="00510702">
        <w:t xml:space="preserve"> and some institutions required an upgrade from MPhil to PhD</w:t>
      </w:r>
      <w:r w:rsidR="00D12FF3">
        <w:t xml:space="preserve"> registration</w:t>
      </w:r>
      <w:r w:rsidR="0038334C" w:rsidRPr="00F874F9">
        <w:t xml:space="preserve">. In some cases, </w:t>
      </w:r>
      <w:r w:rsidR="00D12FF3">
        <w:t xml:space="preserve">the initial </w:t>
      </w:r>
      <w:r w:rsidR="0038334C" w:rsidRPr="00F874F9">
        <w:t xml:space="preserve">registration </w:t>
      </w:r>
      <w:r w:rsidR="00D12FF3">
        <w:t xml:space="preserve">process </w:t>
      </w:r>
      <w:r w:rsidR="00083E95" w:rsidRPr="00F874F9">
        <w:t xml:space="preserve">could take up to one year and was poorly understood </w:t>
      </w:r>
      <w:r w:rsidRPr="00F874F9">
        <w:t xml:space="preserve">partly due to poor communication, </w:t>
      </w:r>
      <w:r w:rsidR="00083E95" w:rsidRPr="00F874F9">
        <w:t xml:space="preserve">misunderstandings and </w:t>
      </w:r>
      <w:r w:rsidRPr="00F874F9">
        <w:t xml:space="preserve">lack of guidelines. PhD handbooks were generally available and of reasonable or good quality, but students were often not aware of their existence. </w:t>
      </w:r>
      <w:r w:rsidR="00F4785C" w:rsidRPr="00F874F9">
        <w:t>All institutions offer</w:t>
      </w:r>
      <w:r w:rsidR="00083E95" w:rsidRPr="00F874F9">
        <w:t>ed</w:t>
      </w:r>
      <w:r w:rsidR="00F4785C" w:rsidRPr="00F874F9">
        <w:t xml:space="preserve"> inductions for new students (</w:t>
      </w:r>
      <w:r w:rsidR="00BF38B0" w:rsidRPr="00F874F9">
        <w:t xml:space="preserve">generally </w:t>
      </w:r>
      <w:r w:rsidR="006F289A" w:rsidRPr="00F874F9">
        <w:t>twice per academic year) but</w:t>
      </w:r>
      <w:r w:rsidR="00F4785C" w:rsidRPr="00F874F9">
        <w:t xml:space="preserve"> they </w:t>
      </w:r>
      <w:r w:rsidR="00083E95" w:rsidRPr="00F874F9">
        <w:t>were</w:t>
      </w:r>
      <w:r w:rsidR="00F4785C" w:rsidRPr="00F874F9">
        <w:t xml:space="preserve"> mainly targeted at undergraduate students</w:t>
      </w:r>
      <w:r w:rsidR="00083E95" w:rsidRPr="00F874F9">
        <w:t xml:space="preserve"> and there was a lack of postgraduate-specific inductions: </w:t>
      </w:r>
      <w:r w:rsidR="00F4785C" w:rsidRPr="00F874F9">
        <w:t xml:space="preserve"> </w:t>
      </w:r>
    </w:p>
    <w:p w14:paraId="7B69E276" w14:textId="5C509A8E" w:rsidR="00F4785C" w:rsidRPr="00C70D50" w:rsidRDefault="009749A6" w:rsidP="00843C19">
      <w:pPr>
        <w:spacing w:after="0" w:line="480" w:lineRule="auto"/>
        <w:ind w:left="680" w:right="680"/>
        <w:contextualSpacing/>
      </w:pPr>
      <w:r>
        <w:rPr>
          <w:i/>
        </w:rPr>
        <w:t>“</w:t>
      </w:r>
      <w:r w:rsidR="00F4785C" w:rsidRPr="00F874F9">
        <w:rPr>
          <w:i/>
        </w:rPr>
        <w:t xml:space="preserve">…The University doesn’t have so much postgraduate students, so there is a lack of services that support them. </w:t>
      </w:r>
      <w:r w:rsidR="00C752B7" w:rsidRPr="00F874F9">
        <w:rPr>
          <w:i/>
        </w:rPr>
        <w:t>So,</w:t>
      </w:r>
      <w:r w:rsidR="00F4785C" w:rsidRPr="00F874F9">
        <w:rPr>
          <w:i/>
        </w:rPr>
        <w:t xml:space="preserve"> what happens is, one of the issues is, like, open day, we don’t have an open day or orientation specifically for postgrads. But it would be really useful to know what the guidelines and expectations are...</w:t>
      </w:r>
      <w:r>
        <w:rPr>
          <w:i/>
        </w:rPr>
        <w:t>”</w:t>
      </w:r>
      <w:r w:rsidR="00083E95" w:rsidRPr="00F874F9">
        <w:rPr>
          <w:i/>
        </w:rPr>
        <w:t xml:space="preserve"> </w:t>
      </w:r>
      <w:r w:rsidR="00083E95" w:rsidRPr="00C70D50">
        <w:t>[PhD student]</w:t>
      </w:r>
    </w:p>
    <w:p w14:paraId="2821CFF7" w14:textId="77777777" w:rsidR="00857090" w:rsidRDefault="00857090" w:rsidP="00843C19">
      <w:pPr>
        <w:spacing w:after="0" w:line="480" w:lineRule="auto"/>
      </w:pPr>
    </w:p>
    <w:p w14:paraId="3433FD64" w14:textId="77777777" w:rsidR="007065D7" w:rsidRDefault="007E301D" w:rsidP="00843C19">
      <w:pPr>
        <w:spacing w:after="0" w:line="480" w:lineRule="auto"/>
      </w:pPr>
      <w:r w:rsidRPr="00F874F9">
        <w:t xml:space="preserve">Most institutions had guidelines for PhD supervisors and there </w:t>
      </w:r>
      <w:r w:rsidR="00083E95" w:rsidRPr="00F874F9">
        <w:t>was</w:t>
      </w:r>
      <w:r w:rsidRPr="00F874F9">
        <w:t xml:space="preserve"> awareness of the need for </w:t>
      </w:r>
      <w:r w:rsidR="00BF38B0" w:rsidRPr="00F874F9">
        <w:t xml:space="preserve">good </w:t>
      </w:r>
      <w:r w:rsidRPr="00F874F9">
        <w:t>quality supervision</w:t>
      </w:r>
      <w:r w:rsidR="00BF38B0" w:rsidRPr="00F874F9">
        <w:t xml:space="preserve"> of research</w:t>
      </w:r>
      <w:r w:rsidRPr="00F874F9">
        <w:t xml:space="preserve">, </w:t>
      </w:r>
      <w:r w:rsidR="00083E95" w:rsidRPr="00F874F9">
        <w:t>al</w:t>
      </w:r>
      <w:r w:rsidRPr="00F874F9">
        <w:t xml:space="preserve">though </w:t>
      </w:r>
      <w:r w:rsidR="00083E95" w:rsidRPr="00F874F9">
        <w:t>this was sometimes compromised</w:t>
      </w:r>
      <w:r w:rsidRPr="00F874F9">
        <w:t xml:space="preserve"> by </w:t>
      </w:r>
      <w:r w:rsidR="00324F87">
        <w:t xml:space="preserve">supervisors’ </w:t>
      </w:r>
      <w:r w:rsidRPr="00F874F9">
        <w:t xml:space="preserve">heavy teaching and administrative loads. </w:t>
      </w:r>
      <w:r w:rsidR="00083E95" w:rsidRPr="00F874F9">
        <w:t xml:space="preserve">Over the last few years, most institutions had </w:t>
      </w:r>
      <w:r w:rsidRPr="00F874F9">
        <w:t>increase</w:t>
      </w:r>
      <w:r w:rsidR="00083E95" w:rsidRPr="00F874F9">
        <w:t>d</w:t>
      </w:r>
      <w:r w:rsidRPr="00F874F9">
        <w:t xml:space="preserve"> the </w:t>
      </w:r>
      <w:r w:rsidRPr="00F874F9">
        <w:lastRenderedPageBreak/>
        <w:t xml:space="preserve">number of </w:t>
      </w:r>
      <w:proofErr w:type="gramStart"/>
      <w:r w:rsidRPr="00F874F9">
        <w:t>staff</w:t>
      </w:r>
      <w:proofErr w:type="gramEnd"/>
      <w:r w:rsidRPr="00F874F9">
        <w:t xml:space="preserve"> with PhDs and </w:t>
      </w:r>
      <w:r w:rsidR="00083E95" w:rsidRPr="00F874F9">
        <w:t xml:space="preserve">had </w:t>
      </w:r>
      <w:r w:rsidRPr="00F874F9">
        <w:t>provide</w:t>
      </w:r>
      <w:r w:rsidR="00083E95" w:rsidRPr="00F874F9">
        <w:t>d</w:t>
      </w:r>
      <w:r w:rsidRPr="00F874F9">
        <w:t xml:space="preserve"> training for research supervisors</w:t>
      </w:r>
      <w:r w:rsidR="00083E95" w:rsidRPr="00F874F9">
        <w:t xml:space="preserve">. </w:t>
      </w:r>
      <w:r w:rsidR="00324F87" w:rsidRPr="00F874F9">
        <w:t xml:space="preserve">Institutions </w:t>
      </w:r>
      <w:r w:rsidR="00324F87">
        <w:t>were</w:t>
      </w:r>
      <w:r w:rsidR="00324F87" w:rsidRPr="00F874F9">
        <w:t xml:space="preserve"> increasingly requiring PhD students to publish papers prior to their final examination.</w:t>
      </w:r>
      <w:r w:rsidR="00324F87">
        <w:t xml:space="preserve"> </w:t>
      </w:r>
      <w:r w:rsidR="00083E95" w:rsidRPr="00F874F9">
        <w:t xml:space="preserve">Overall </w:t>
      </w:r>
      <w:r w:rsidRPr="00F874F9">
        <w:t xml:space="preserve">the relationship between the </w:t>
      </w:r>
      <w:r w:rsidR="00A56181" w:rsidRPr="00F874F9">
        <w:t xml:space="preserve">PhD </w:t>
      </w:r>
      <w:r w:rsidRPr="00F874F9">
        <w:t>students and their supervisors</w:t>
      </w:r>
      <w:r w:rsidR="00083E95" w:rsidRPr="00F874F9">
        <w:t>,</w:t>
      </w:r>
      <w:r w:rsidRPr="00F874F9">
        <w:t xml:space="preserve"> and the quality of supervision</w:t>
      </w:r>
      <w:r w:rsidR="00324F87">
        <w:t>,</w:t>
      </w:r>
      <w:r w:rsidRPr="00F874F9">
        <w:t xml:space="preserve"> was considered satisfactory. There was variable understanding of the need </w:t>
      </w:r>
      <w:r w:rsidR="00D62D2B" w:rsidRPr="00F874F9">
        <w:t xml:space="preserve">for, </w:t>
      </w:r>
      <w:r w:rsidRPr="00F874F9">
        <w:t>and role of</w:t>
      </w:r>
      <w:r w:rsidR="00D62D2B" w:rsidRPr="00F874F9">
        <w:t>,</w:t>
      </w:r>
      <w:r w:rsidRPr="00F874F9">
        <w:t xml:space="preserve"> mentors, but also some clear examples of where mentors </w:t>
      </w:r>
      <w:r w:rsidR="00324F87">
        <w:t xml:space="preserve">were perceived as </w:t>
      </w:r>
      <w:r w:rsidRPr="00F874F9">
        <w:t xml:space="preserve">advantageous, such as </w:t>
      </w:r>
      <w:r w:rsidR="00D62D2B" w:rsidRPr="00F874F9">
        <w:t xml:space="preserve">for </w:t>
      </w:r>
      <w:r w:rsidRPr="00F874F9">
        <w:t xml:space="preserve">students </w:t>
      </w:r>
      <w:r w:rsidR="00D62D2B" w:rsidRPr="00F874F9">
        <w:t xml:space="preserve">who did not feel comfortable discussing financial or </w:t>
      </w:r>
      <w:r w:rsidRPr="00F874F9">
        <w:t>gender</w:t>
      </w:r>
      <w:r w:rsidR="00D62D2B" w:rsidRPr="00F874F9">
        <w:t xml:space="preserve">-related issues </w:t>
      </w:r>
      <w:r w:rsidRPr="00F874F9">
        <w:t xml:space="preserve">with their supervisor. </w:t>
      </w:r>
    </w:p>
    <w:p w14:paraId="498CA3D1" w14:textId="77777777" w:rsidR="007065D7" w:rsidRDefault="007065D7" w:rsidP="00843C19">
      <w:pPr>
        <w:spacing w:after="0" w:line="480" w:lineRule="auto"/>
      </w:pPr>
    </w:p>
    <w:p w14:paraId="3375757F" w14:textId="77777777" w:rsidR="004404A2" w:rsidRDefault="00ED02B7" w:rsidP="00843C19">
      <w:pPr>
        <w:spacing w:after="0" w:line="480" w:lineRule="auto"/>
      </w:pPr>
      <w:r>
        <w:t>All i</w:t>
      </w:r>
      <w:r w:rsidR="007E301D" w:rsidRPr="00F874F9">
        <w:t>nstitutions monitor</w:t>
      </w:r>
      <w:r>
        <w:t>ed</w:t>
      </w:r>
      <w:r w:rsidR="007E301D" w:rsidRPr="00F874F9">
        <w:t xml:space="preserve"> students’ progress </w:t>
      </w:r>
      <w:r w:rsidR="00555C79" w:rsidRPr="00F874F9">
        <w:t xml:space="preserve">either </w:t>
      </w:r>
      <w:r w:rsidR="007E301D" w:rsidRPr="00F874F9">
        <w:t>through</w:t>
      </w:r>
      <w:r w:rsidR="00555C79" w:rsidRPr="00F874F9">
        <w:t xml:space="preserve"> submission of annual progress reports, or through </w:t>
      </w:r>
      <w:r w:rsidR="002331C1" w:rsidRPr="00F874F9">
        <w:t xml:space="preserve">students </w:t>
      </w:r>
      <w:r w:rsidR="00555C79" w:rsidRPr="00F874F9">
        <w:t xml:space="preserve">presenting their work at regular departmental seminars and workshops. </w:t>
      </w:r>
      <w:r>
        <w:t xml:space="preserve">Participants recognised that the ACBI funds had </w:t>
      </w:r>
      <w:r w:rsidR="00324F87">
        <w:t>accelerated</w:t>
      </w:r>
      <w:r>
        <w:t xml:space="preserve"> their progress compared to self-funded students who often </w:t>
      </w:r>
      <w:r w:rsidR="00D62D2B" w:rsidRPr="00F874F9">
        <w:t>had to</w:t>
      </w:r>
      <w:r w:rsidR="007E301D" w:rsidRPr="00F874F9">
        <w:t xml:space="preserve"> take on </w:t>
      </w:r>
      <w:r>
        <w:t xml:space="preserve">extra </w:t>
      </w:r>
      <w:r w:rsidR="007E301D" w:rsidRPr="00F874F9">
        <w:t>teaching duties to supplement their income.</w:t>
      </w:r>
      <w:r w:rsidR="00324F87">
        <w:t xml:space="preserve"> </w:t>
      </w:r>
      <w:r w:rsidR="004404A2" w:rsidRPr="00F874F9">
        <w:t xml:space="preserve">Students </w:t>
      </w:r>
      <w:r w:rsidR="007065D7">
        <w:t xml:space="preserve">noted that they </w:t>
      </w:r>
      <w:r w:rsidR="004404A2" w:rsidRPr="00F874F9">
        <w:t>c</w:t>
      </w:r>
      <w:r w:rsidR="00324F87">
        <w:t>ould</w:t>
      </w:r>
      <w:r w:rsidR="004404A2" w:rsidRPr="00F874F9">
        <w:t xml:space="preserve"> encounter long delays in the final PhD exam mostly due to lack of timely feedback from external examiners</w:t>
      </w:r>
      <w:r w:rsidR="00324F87">
        <w:t>,</w:t>
      </w:r>
      <w:r w:rsidR="004404A2" w:rsidRPr="00F874F9">
        <w:t xml:space="preserve"> and universities are beginning to address this </w:t>
      </w:r>
      <w:r w:rsidR="007065D7">
        <w:t>by</w:t>
      </w:r>
      <w:r w:rsidR="004404A2" w:rsidRPr="00F874F9">
        <w:t xml:space="preserve"> offering</w:t>
      </w:r>
      <w:r w:rsidR="007065D7">
        <w:t xml:space="preserve">, or increasing the value of, </w:t>
      </w:r>
      <w:r w:rsidR="004404A2" w:rsidRPr="00F874F9">
        <w:t xml:space="preserve">honoraria or by </w:t>
      </w:r>
      <w:r w:rsidR="007065D7">
        <w:t xml:space="preserve">focusing </w:t>
      </w:r>
      <w:r w:rsidR="00324F87">
        <w:t xml:space="preserve">efforts </w:t>
      </w:r>
      <w:r w:rsidR="007065D7">
        <w:t>on the more efficient</w:t>
      </w:r>
      <w:r w:rsidR="004404A2" w:rsidRPr="00F874F9">
        <w:t xml:space="preserve"> examiners.</w:t>
      </w:r>
    </w:p>
    <w:p w14:paraId="3C296A8B" w14:textId="77777777" w:rsidR="00857090" w:rsidRPr="00F874F9" w:rsidRDefault="00857090" w:rsidP="00843C19">
      <w:pPr>
        <w:spacing w:after="0" w:line="480" w:lineRule="auto"/>
      </w:pPr>
    </w:p>
    <w:p w14:paraId="1BE9356F" w14:textId="77777777" w:rsidR="00D62D2B" w:rsidRPr="000D1CDF" w:rsidRDefault="00D62D2B" w:rsidP="00843C19">
      <w:pPr>
        <w:pStyle w:val="Heading2"/>
        <w:spacing w:before="0" w:line="480" w:lineRule="auto"/>
        <w:rPr>
          <w:rFonts w:asciiTheme="minorHAnsi" w:hAnsiTheme="minorHAnsi"/>
          <w:b/>
          <w:color w:val="auto"/>
          <w:sz w:val="32"/>
          <w:szCs w:val="32"/>
        </w:rPr>
      </w:pPr>
      <w:bookmarkStart w:id="35" w:name="_Hlk525050238"/>
      <w:r w:rsidRPr="000D1CDF">
        <w:rPr>
          <w:rFonts w:asciiTheme="minorHAnsi" w:hAnsiTheme="minorHAnsi"/>
          <w:b/>
          <w:color w:val="auto"/>
          <w:sz w:val="32"/>
          <w:szCs w:val="32"/>
        </w:rPr>
        <w:t xml:space="preserve">Financial management </w:t>
      </w:r>
      <w:r w:rsidR="00CA7DD1">
        <w:rPr>
          <w:rFonts w:asciiTheme="minorHAnsi" w:hAnsiTheme="minorHAnsi"/>
          <w:b/>
          <w:color w:val="auto"/>
          <w:sz w:val="32"/>
          <w:szCs w:val="32"/>
        </w:rPr>
        <w:t>and funding</w:t>
      </w:r>
    </w:p>
    <w:bookmarkEnd w:id="35"/>
    <w:p w14:paraId="5CB39C1E" w14:textId="0BA6E58D" w:rsidR="00857090" w:rsidRDefault="007E301D" w:rsidP="00843C19">
      <w:pPr>
        <w:spacing w:after="0" w:line="480" w:lineRule="auto"/>
      </w:pPr>
      <w:r w:rsidRPr="00F874F9">
        <w:t>Most institutions had clear guidelines for financial management of research though responsibility for managing project finances varied</w:t>
      </w:r>
      <w:r w:rsidR="005653B1" w:rsidRPr="00F874F9">
        <w:t xml:space="preserve">. </w:t>
      </w:r>
      <w:r w:rsidR="00B601A2">
        <w:t xml:space="preserve">Most ACBI </w:t>
      </w:r>
      <w:r w:rsidR="00B601A2" w:rsidRPr="00F874F9">
        <w:t xml:space="preserve">PhD students </w:t>
      </w:r>
      <w:r w:rsidR="00B601A2">
        <w:t>were</w:t>
      </w:r>
      <w:r w:rsidR="00B601A2" w:rsidRPr="00F874F9">
        <w:t xml:space="preserve"> not aware of the level of funds that were available for their research</w:t>
      </w:r>
      <w:r w:rsidR="00B601A2">
        <w:t xml:space="preserve">, </w:t>
      </w:r>
      <w:r w:rsidR="00B601A2" w:rsidRPr="00F874F9">
        <w:t xml:space="preserve">there was variation in the monthly stipend </w:t>
      </w:r>
      <w:r w:rsidR="00B601A2">
        <w:t xml:space="preserve">they received, and there was generally a lack of institutional guidance about stipend rates or PhD students. </w:t>
      </w:r>
      <w:r w:rsidR="00726210">
        <w:t>I</w:t>
      </w:r>
      <w:r w:rsidR="00D62D2B" w:rsidRPr="00F874F9">
        <w:t>n a few institutions</w:t>
      </w:r>
      <w:r w:rsidR="009E061C">
        <w:t xml:space="preserve">, </w:t>
      </w:r>
      <w:r w:rsidR="00726210">
        <w:t>participants had experienced</w:t>
      </w:r>
      <w:r w:rsidR="00D62D2B" w:rsidRPr="00F874F9">
        <w:t xml:space="preserve"> challenges in </w:t>
      </w:r>
      <w:r w:rsidRPr="00F874F9">
        <w:t>manag</w:t>
      </w:r>
      <w:r w:rsidR="00D62D2B" w:rsidRPr="00F874F9">
        <w:t>ing</w:t>
      </w:r>
      <w:r w:rsidRPr="00F874F9">
        <w:t xml:space="preserve"> large international grants</w:t>
      </w:r>
      <w:r w:rsidR="00D62D2B" w:rsidRPr="00F874F9">
        <w:t xml:space="preserve"> and in </w:t>
      </w:r>
      <w:r w:rsidR="00726210">
        <w:t xml:space="preserve">a </w:t>
      </w:r>
      <w:r w:rsidR="00324F87">
        <w:t xml:space="preserve">small number </w:t>
      </w:r>
      <w:r w:rsidR="00726210">
        <w:t xml:space="preserve">of </w:t>
      </w:r>
      <w:r w:rsidR="00D62D2B" w:rsidRPr="00F874F9">
        <w:t xml:space="preserve">cases, African </w:t>
      </w:r>
      <w:r w:rsidR="00324F87">
        <w:t>p</w:t>
      </w:r>
      <w:r w:rsidR="00A17045">
        <w:t>rincipal investigators</w:t>
      </w:r>
      <w:r w:rsidR="00D62D2B" w:rsidRPr="00F874F9">
        <w:t xml:space="preserve"> preferred funds to be handled by the UK institution</w:t>
      </w:r>
      <w:r w:rsidR="00D62D2B" w:rsidRPr="003D0A4E">
        <w:t>.</w:t>
      </w:r>
      <w:r w:rsidR="00726210" w:rsidRPr="003D0A4E">
        <w:t xml:space="preserve"> </w:t>
      </w:r>
      <w:r w:rsidR="003E6838" w:rsidRPr="003D0A4E">
        <w:t>On the other hand, t</w:t>
      </w:r>
      <w:r w:rsidR="00D62D2B" w:rsidRPr="003D0A4E">
        <w:t xml:space="preserve">here were </w:t>
      </w:r>
      <w:r w:rsidRPr="003D0A4E">
        <w:t xml:space="preserve">several examples of delays in transfer of funds from </w:t>
      </w:r>
      <w:r w:rsidR="00324F87" w:rsidRPr="003D0A4E">
        <w:t xml:space="preserve">the </w:t>
      </w:r>
      <w:r w:rsidRPr="003D0A4E">
        <w:t>UK to African institutions</w:t>
      </w:r>
      <w:r w:rsidR="00501DE7" w:rsidRPr="003D0A4E">
        <w:t xml:space="preserve">. Reasons for these delays included </w:t>
      </w:r>
      <w:r w:rsidR="003E6838" w:rsidRPr="003D0A4E">
        <w:t>limited experience among some UK institutions of working with this kind of funding schemes</w:t>
      </w:r>
      <w:r w:rsidR="00501DE7" w:rsidRPr="003D0A4E">
        <w:t xml:space="preserve"> and problems with disbursement of </w:t>
      </w:r>
      <w:r w:rsidR="00324F87" w:rsidRPr="003D0A4E">
        <w:t>funds within the African institutions</w:t>
      </w:r>
      <w:r w:rsidR="00D62D2B" w:rsidRPr="003D0A4E">
        <w:t>.</w:t>
      </w:r>
      <w:r w:rsidR="003E6838" w:rsidRPr="003D0A4E">
        <w:t xml:space="preserve"> </w:t>
      </w:r>
      <w:r w:rsidR="009460E2">
        <w:t>A f</w:t>
      </w:r>
      <w:r w:rsidR="00F76E94">
        <w:t>ew</w:t>
      </w:r>
      <w:r w:rsidR="009E061C">
        <w:t xml:space="preserve"> participants suggested that</w:t>
      </w:r>
      <w:r w:rsidR="00F76E94">
        <w:t xml:space="preserve"> </w:t>
      </w:r>
      <w:r w:rsidR="003E6838" w:rsidRPr="003D0A4E">
        <w:t xml:space="preserve">capacity strengthening activities to </w:t>
      </w:r>
      <w:r w:rsidR="003E6838" w:rsidRPr="003D0A4E">
        <w:lastRenderedPageBreak/>
        <w:t>better manage international funding schemes should also target UK institutions.</w:t>
      </w:r>
      <w:r w:rsidR="00F76E94">
        <w:t xml:space="preserve"> For instance, some suggested that UK </w:t>
      </w:r>
      <w:r w:rsidR="00380529">
        <w:t>principle investigators</w:t>
      </w:r>
      <w:r w:rsidR="00F76E94">
        <w:t xml:space="preserve"> should share </w:t>
      </w:r>
      <w:r w:rsidR="00EC43A8">
        <w:t xml:space="preserve">relevant </w:t>
      </w:r>
      <w:r w:rsidR="00F76E94">
        <w:t>experiences with each other</w:t>
      </w:r>
      <w:r w:rsidR="009460E2">
        <w:t xml:space="preserve"> </w:t>
      </w:r>
      <w:r w:rsidR="00F76E94">
        <w:t xml:space="preserve">at </w:t>
      </w:r>
      <w:r w:rsidR="00380529">
        <w:t xml:space="preserve">the </w:t>
      </w:r>
      <w:r w:rsidR="00F76E94">
        <w:t>Award Holders’ Meetings</w:t>
      </w:r>
      <w:r w:rsidR="003E6838" w:rsidRPr="003D0A4E">
        <w:t xml:space="preserve">. </w:t>
      </w:r>
      <w:r w:rsidR="00D62D2B" w:rsidRPr="003D0A4E">
        <w:t>Th</w:t>
      </w:r>
      <w:r w:rsidR="004348EB" w:rsidRPr="003D0A4E">
        <w:t xml:space="preserve">ese cash flow issues were common and </w:t>
      </w:r>
      <w:r w:rsidRPr="003D0A4E">
        <w:t xml:space="preserve">had a </w:t>
      </w:r>
      <w:r w:rsidR="004348EB" w:rsidRPr="003D0A4E">
        <w:t xml:space="preserve">significant </w:t>
      </w:r>
      <w:r w:rsidRPr="003D0A4E">
        <w:t>negative impact on research activities.</w:t>
      </w:r>
      <w:r w:rsidR="000E1D2F" w:rsidRPr="003D0A4E">
        <w:t xml:space="preserve"> </w:t>
      </w:r>
      <w:r w:rsidR="00726210" w:rsidRPr="003D0A4E">
        <w:t>In the African institutions e</w:t>
      </w:r>
      <w:r w:rsidR="000E1D2F" w:rsidRPr="003D0A4E">
        <w:t>xternal grants were ty</w:t>
      </w:r>
      <w:r w:rsidR="009D787D" w:rsidRPr="003D0A4E">
        <w:t>pi</w:t>
      </w:r>
      <w:r w:rsidR="000E1D2F" w:rsidRPr="003D0A4E">
        <w:t xml:space="preserve">cally managed in a project-specific account and updates were generally not provided automatically or regularly to </w:t>
      </w:r>
      <w:r w:rsidR="004348EB" w:rsidRPr="003D0A4E">
        <w:t>p</w:t>
      </w:r>
      <w:r w:rsidR="009D787D" w:rsidRPr="003D0A4E">
        <w:t>rincipal investigator</w:t>
      </w:r>
      <w:r w:rsidR="00A17045" w:rsidRPr="003D0A4E">
        <w:t>s</w:t>
      </w:r>
      <w:r w:rsidR="000E1D2F" w:rsidRPr="003D0A4E">
        <w:t xml:space="preserve">. </w:t>
      </w:r>
      <w:r w:rsidR="00EE7BCC" w:rsidRPr="003D0A4E">
        <w:t>Both UK and African</w:t>
      </w:r>
      <w:r w:rsidR="00EE7BCC">
        <w:t xml:space="preserve"> p</w:t>
      </w:r>
      <w:r w:rsidR="009D787D">
        <w:t>rincipal investigator</w:t>
      </w:r>
      <w:r w:rsidR="00A17045">
        <w:t>s</w:t>
      </w:r>
      <w:r w:rsidR="000E1D2F" w:rsidRPr="00F874F9">
        <w:t xml:space="preserve"> were responsible for tracking </w:t>
      </w:r>
      <w:proofErr w:type="gramStart"/>
      <w:r w:rsidR="004348EB">
        <w:t>their</w:t>
      </w:r>
      <w:proofErr w:type="gramEnd"/>
      <w:r w:rsidR="004348EB">
        <w:t xml:space="preserve"> </w:t>
      </w:r>
      <w:r w:rsidR="000E1D2F" w:rsidRPr="00F874F9">
        <w:t>spend against budget and most did not receive administrative support for financial management</w:t>
      </w:r>
      <w:r w:rsidR="004348EB">
        <w:t xml:space="preserve"> of their projects</w:t>
      </w:r>
      <w:r w:rsidR="000E1D2F" w:rsidRPr="00F874F9">
        <w:t>. Institutional overheads on grants were generally in the range of 2-10% but there was lack of clarity and understanding about how these were used or distributed across the instituti</w:t>
      </w:r>
      <w:r w:rsidR="00714105">
        <w:t>on and departments.</w:t>
      </w:r>
    </w:p>
    <w:p w14:paraId="0A326EC7" w14:textId="77777777" w:rsidR="00FE1198" w:rsidRPr="00F874F9" w:rsidRDefault="00FE1198" w:rsidP="00843C19">
      <w:pPr>
        <w:spacing w:after="0" w:line="480" w:lineRule="auto"/>
      </w:pPr>
    </w:p>
    <w:p w14:paraId="71791EF6" w14:textId="77777777" w:rsidR="00AF5676" w:rsidRPr="00F874F9" w:rsidRDefault="00AF5676" w:rsidP="00843C19">
      <w:pPr>
        <w:spacing w:after="0" w:line="480" w:lineRule="auto"/>
        <w:rPr>
          <w:rFonts w:cs="Arial"/>
        </w:rPr>
      </w:pPr>
      <w:r w:rsidRPr="00F874F9">
        <w:rPr>
          <w:rFonts w:cs="Arial"/>
        </w:rPr>
        <w:t xml:space="preserve">Inefficient institutional procurement systems </w:t>
      </w:r>
      <w:r w:rsidR="004348EB">
        <w:rPr>
          <w:rFonts w:cs="Arial"/>
        </w:rPr>
        <w:t>were</w:t>
      </w:r>
      <w:r w:rsidR="000E1D2F" w:rsidRPr="00F874F9">
        <w:rPr>
          <w:rFonts w:cs="Arial"/>
        </w:rPr>
        <w:t xml:space="preserve"> a significant factor in delaying research activities, especially in relation to laboratory consumables</w:t>
      </w:r>
      <w:r w:rsidR="004348EB">
        <w:rPr>
          <w:rFonts w:cs="Arial"/>
        </w:rPr>
        <w:t>:</w:t>
      </w:r>
      <w:r w:rsidR="000E1D2F" w:rsidRPr="00F874F9">
        <w:rPr>
          <w:rFonts w:cs="Arial"/>
        </w:rPr>
        <w:t xml:space="preserve"> </w:t>
      </w:r>
    </w:p>
    <w:p w14:paraId="4EA5AB11" w14:textId="2AFD9668" w:rsidR="007A4303" w:rsidRPr="002569D9" w:rsidRDefault="00362806" w:rsidP="00843C19">
      <w:pPr>
        <w:spacing w:after="0" w:line="480" w:lineRule="auto"/>
        <w:ind w:left="680" w:right="680"/>
        <w:contextualSpacing/>
      </w:pPr>
      <w:bookmarkStart w:id="36" w:name="_Hlk25673827"/>
      <w:r w:rsidRPr="00FF5122">
        <w:t>“</w:t>
      </w:r>
      <w:r w:rsidR="00111970" w:rsidRPr="00FF5122">
        <w:rPr>
          <w:i/>
          <w:iCs/>
        </w:rPr>
        <w:t>The finance department is unpredictable. The last time we received money for equipment was to facilitate the commencement of MSc programmes. Getting all the required quotations and feedback was a nightmare. And the time given to process the purchases wasn’t reasonable</w:t>
      </w:r>
      <w:r w:rsidR="00FF5122" w:rsidRPr="00FF5122">
        <w:t xml:space="preserve"> </w:t>
      </w:r>
      <w:r w:rsidR="00FF5122" w:rsidRPr="00FF5122">
        <w:rPr>
          <w:i/>
          <w:iCs/>
        </w:rPr>
        <w:t>and the money was forfeited.</w:t>
      </w:r>
      <w:r w:rsidR="00FF5122">
        <w:rPr>
          <w:i/>
          <w:iCs/>
        </w:rPr>
        <w:t>”</w:t>
      </w:r>
      <w:r w:rsidR="00FE1198" w:rsidRPr="00FF5122">
        <w:rPr>
          <w:i/>
        </w:rPr>
        <w:t xml:space="preserve"> </w:t>
      </w:r>
      <w:r w:rsidR="00FE1198" w:rsidRPr="00FF5122">
        <w:t>[</w:t>
      </w:r>
      <w:r w:rsidR="004348EB" w:rsidRPr="00FF5122">
        <w:t>other</w:t>
      </w:r>
      <w:r w:rsidR="00111970" w:rsidRPr="00FF5122">
        <w:t>]</w:t>
      </w:r>
    </w:p>
    <w:bookmarkEnd w:id="36"/>
    <w:p w14:paraId="44A09400" w14:textId="77777777" w:rsidR="00726210" w:rsidRDefault="00726210" w:rsidP="00843C19">
      <w:pPr>
        <w:spacing w:after="0" w:line="480" w:lineRule="auto"/>
      </w:pPr>
    </w:p>
    <w:p w14:paraId="5F5AA242" w14:textId="77777777" w:rsidR="00D62D2B" w:rsidRPr="00857090" w:rsidRDefault="00D62D2B" w:rsidP="00843C19">
      <w:pPr>
        <w:pStyle w:val="Heading2"/>
        <w:spacing w:before="0" w:line="480" w:lineRule="auto"/>
        <w:rPr>
          <w:rFonts w:asciiTheme="minorHAnsi" w:hAnsiTheme="minorHAnsi"/>
          <w:b/>
          <w:color w:val="auto"/>
          <w:sz w:val="32"/>
          <w:szCs w:val="32"/>
        </w:rPr>
      </w:pPr>
      <w:bookmarkStart w:id="37" w:name="_Hlk525050246"/>
      <w:r w:rsidRPr="00FC63DB">
        <w:rPr>
          <w:rFonts w:asciiTheme="minorHAnsi" w:hAnsiTheme="minorHAnsi"/>
          <w:b/>
          <w:color w:val="auto"/>
          <w:sz w:val="32"/>
          <w:szCs w:val="32"/>
        </w:rPr>
        <w:t>R</w:t>
      </w:r>
      <w:r w:rsidRPr="00FC63DB">
        <w:rPr>
          <w:rFonts w:asciiTheme="minorHAnsi" w:hAnsiTheme="minorHAnsi" w:cs="Open Sans"/>
          <w:b/>
          <w:color w:val="auto"/>
          <w:sz w:val="32"/>
          <w:szCs w:val="32"/>
          <w:shd w:val="clear" w:color="auto" w:fill="FFFFFF"/>
        </w:rPr>
        <w:t xml:space="preserve">esearch </w:t>
      </w:r>
      <w:r w:rsidRPr="00FC63DB">
        <w:rPr>
          <w:rFonts w:asciiTheme="minorHAnsi" w:hAnsiTheme="minorHAnsi"/>
          <w:b/>
          <w:color w:val="auto"/>
          <w:sz w:val="32"/>
          <w:szCs w:val="32"/>
        </w:rPr>
        <w:t>collaborations</w:t>
      </w:r>
      <w:r w:rsidRPr="00857090">
        <w:rPr>
          <w:rFonts w:asciiTheme="minorHAnsi" w:hAnsiTheme="minorHAnsi"/>
          <w:b/>
          <w:color w:val="auto"/>
          <w:sz w:val="32"/>
          <w:szCs w:val="32"/>
        </w:rPr>
        <w:t xml:space="preserve"> </w:t>
      </w:r>
    </w:p>
    <w:bookmarkEnd w:id="37"/>
    <w:p w14:paraId="330FAB26" w14:textId="77777777" w:rsidR="00D4421D" w:rsidRPr="00F874F9" w:rsidRDefault="00D4421D" w:rsidP="00843C19">
      <w:pPr>
        <w:spacing w:after="0" w:line="480" w:lineRule="auto"/>
      </w:pPr>
      <w:r w:rsidRPr="00F874F9">
        <w:t xml:space="preserve">In most cases, African </w:t>
      </w:r>
      <w:r w:rsidR="00B601A2">
        <w:t>p</w:t>
      </w:r>
      <w:r w:rsidR="00A17045">
        <w:t>rincipal investigators</w:t>
      </w:r>
      <w:r w:rsidRPr="00F874F9">
        <w:t xml:space="preserve"> felt that they had been equitably involved in generating research questions and priorities for the application to th</w:t>
      </w:r>
      <w:r w:rsidR="00FC63DB">
        <w:t>e ACBI</w:t>
      </w:r>
      <w:r w:rsidRPr="00F874F9">
        <w:t xml:space="preserve"> programme. They highlighted respect, complementary skills, effective communication and strong leadership as important for </w:t>
      </w:r>
      <w:r w:rsidR="00B601A2">
        <w:t xml:space="preserve">their </w:t>
      </w:r>
      <w:r w:rsidRPr="00F874F9">
        <w:t xml:space="preserve">successful research partnerships. </w:t>
      </w:r>
      <w:r w:rsidR="00E74237" w:rsidRPr="00F874F9">
        <w:t>All</w:t>
      </w:r>
      <w:r w:rsidR="00BD75E9" w:rsidRPr="00F874F9">
        <w:t xml:space="preserve"> p</w:t>
      </w:r>
      <w:r w:rsidR="007B0E93" w:rsidRPr="00F874F9">
        <w:t xml:space="preserve">articipants </w:t>
      </w:r>
      <w:r w:rsidR="00E8498C" w:rsidRPr="00F874F9">
        <w:t xml:space="preserve">recognised that </w:t>
      </w:r>
      <w:r w:rsidR="007E301D" w:rsidRPr="00F874F9">
        <w:t>collaborations, including North-South, South-South, Anglo-Franco</w:t>
      </w:r>
      <w:r w:rsidR="00E74237" w:rsidRPr="00F874F9">
        <w:t xml:space="preserve"> and </w:t>
      </w:r>
      <w:r w:rsidR="00B601A2">
        <w:t>within-</w:t>
      </w:r>
      <w:r w:rsidR="007E301D" w:rsidRPr="00F874F9">
        <w:t>institutions’ departments and faculties, were important for strengthening research capacity</w:t>
      </w:r>
      <w:r w:rsidR="002331C1" w:rsidRPr="00F874F9">
        <w:t>,</w:t>
      </w:r>
      <w:r w:rsidRPr="00F874F9">
        <w:t xml:space="preserve"> but that there was room for improvement: </w:t>
      </w:r>
    </w:p>
    <w:p w14:paraId="7B259D3A" w14:textId="18BA6234" w:rsidR="00D4421D" w:rsidRPr="008A271C" w:rsidRDefault="000200FC" w:rsidP="00843C19">
      <w:pPr>
        <w:spacing w:after="0" w:line="480" w:lineRule="auto"/>
        <w:ind w:left="680" w:right="680"/>
        <w:contextualSpacing/>
      </w:pPr>
      <w:r>
        <w:rPr>
          <w:i/>
        </w:rPr>
        <w:lastRenderedPageBreak/>
        <w:t>“</w:t>
      </w:r>
      <w:r w:rsidR="00D4421D" w:rsidRPr="00F874F9">
        <w:rPr>
          <w:i/>
        </w:rPr>
        <w:t xml:space="preserve">…our offices are next to each other in one corridor, but I don’t know much about what research exactly my colleagues are doing in our department. There should be more communication. We should come together more and </w:t>
      </w:r>
      <w:r w:rsidR="00B52D6C">
        <w:rPr>
          <w:i/>
        </w:rPr>
        <w:t>work together</w:t>
      </w:r>
      <w:r w:rsidR="00B52D6C" w:rsidRPr="00FE1198">
        <w:t>…</w:t>
      </w:r>
      <w:r w:rsidRPr="00FE1198">
        <w:t xml:space="preserve">” </w:t>
      </w:r>
      <w:r w:rsidRPr="008A271C">
        <w:t>[</w:t>
      </w:r>
      <w:r w:rsidR="0004365E" w:rsidRPr="008A271C">
        <w:t>P</w:t>
      </w:r>
      <w:r w:rsidRPr="008A271C">
        <w:t>rincipal investigator]</w:t>
      </w:r>
    </w:p>
    <w:p w14:paraId="6D0DC4C3" w14:textId="77777777" w:rsidR="002331C1" w:rsidRPr="00F874F9" w:rsidRDefault="002331C1" w:rsidP="00843C19">
      <w:pPr>
        <w:spacing w:after="0" w:line="480" w:lineRule="auto"/>
      </w:pPr>
    </w:p>
    <w:p w14:paraId="44424F12" w14:textId="77777777" w:rsidR="00553559" w:rsidRDefault="002331C1" w:rsidP="00843C19">
      <w:pPr>
        <w:spacing w:after="0" w:line="480" w:lineRule="auto"/>
      </w:pPr>
      <w:r w:rsidRPr="00F874F9">
        <w:t>I</w:t>
      </w:r>
      <w:r w:rsidR="00F324EC" w:rsidRPr="00F874F9">
        <w:t xml:space="preserve">nternational staff exchanges and </w:t>
      </w:r>
      <w:r w:rsidR="00B601A2">
        <w:t>participation in</w:t>
      </w:r>
      <w:r w:rsidR="00F324EC" w:rsidRPr="00F874F9">
        <w:t xml:space="preserve"> international conferences w</w:t>
      </w:r>
      <w:r w:rsidRPr="00F874F9">
        <w:t>ere</w:t>
      </w:r>
      <w:r w:rsidR="00F324EC" w:rsidRPr="00F874F9">
        <w:t xml:space="preserve"> recognised as particularly important for increasing visibility and promoting research collaborations and partnerships. </w:t>
      </w:r>
      <w:r w:rsidR="007E301D" w:rsidRPr="00F874F9">
        <w:t xml:space="preserve">Some institutions </w:t>
      </w:r>
      <w:r w:rsidR="00F324EC" w:rsidRPr="00F874F9">
        <w:t>reported having dedicated</w:t>
      </w:r>
      <w:r w:rsidR="00D4421D" w:rsidRPr="00F874F9">
        <w:t xml:space="preserve"> </w:t>
      </w:r>
      <w:r w:rsidR="007E301D" w:rsidRPr="00F874F9">
        <w:t>offices</w:t>
      </w:r>
      <w:r w:rsidR="00E74237" w:rsidRPr="00F874F9">
        <w:t xml:space="preserve"> </w:t>
      </w:r>
      <w:r w:rsidR="00D4421D" w:rsidRPr="00F874F9">
        <w:t xml:space="preserve">and staff to promote and </w:t>
      </w:r>
      <w:r w:rsidR="007E301D" w:rsidRPr="00F874F9">
        <w:t>increase international partnerships and links with industry</w:t>
      </w:r>
      <w:r w:rsidR="00E74237" w:rsidRPr="00F874F9">
        <w:t xml:space="preserve">. </w:t>
      </w:r>
      <w:r w:rsidR="007E301D" w:rsidRPr="00F874F9">
        <w:t xml:space="preserve">Laboratory collaborations with public and private sectors were noted as valuable for promoting institutional research capability and there were particularly good examples </w:t>
      </w:r>
      <w:r w:rsidR="00C33B64" w:rsidRPr="00F874F9">
        <w:t>of</w:t>
      </w:r>
      <w:r w:rsidR="007E301D" w:rsidRPr="00F874F9">
        <w:t xml:space="preserve"> government-funded laboratories</w:t>
      </w:r>
      <w:r w:rsidR="00D4421D" w:rsidRPr="00F874F9">
        <w:t xml:space="preserve"> in research institutions that were very experienced and had strong links with many stakeholders.</w:t>
      </w:r>
    </w:p>
    <w:p w14:paraId="3EE04479" w14:textId="77777777" w:rsidR="00042B3A" w:rsidRDefault="00042B3A" w:rsidP="00843C19">
      <w:pPr>
        <w:spacing w:after="0" w:line="480" w:lineRule="auto"/>
      </w:pPr>
    </w:p>
    <w:p w14:paraId="3CAFB51E" w14:textId="77777777" w:rsidR="005601DD" w:rsidRPr="000D1CDF" w:rsidRDefault="009D47C3" w:rsidP="0028690E">
      <w:pPr>
        <w:pStyle w:val="Heading2"/>
        <w:spacing w:before="0" w:line="480" w:lineRule="auto"/>
        <w:rPr>
          <w:rFonts w:asciiTheme="minorHAnsi" w:hAnsiTheme="minorHAnsi"/>
          <w:b/>
          <w:color w:val="auto"/>
          <w:sz w:val="32"/>
          <w:szCs w:val="32"/>
        </w:rPr>
      </w:pPr>
      <w:bookmarkStart w:id="38" w:name="_Hlk525050316"/>
      <w:r w:rsidRPr="000D1CDF">
        <w:rPr>
          <w:rFonts w:asciiTheme="minorHAnsi" w:hAnsiTheme="minorHAnsi"/>
          <w:b/>
          <w:color w:val="auto"/>
          <w:sz w:val="32"/>
          <w:szCs w:val="32"/>
        </w:rPr>
        <w:t xml:space="preserve">Suggestions </w:t>
      </w:r>
      <w:r w:rsidR="00CA7DD1">
        <w:rPr>
          <w:rFonts w:asciiTheme="minorHAnsi" w:hAnsiTheme="minorHAnsi"/>
          <w:b/>
          <w:color w:val="auto"/>
          <w:sz w:val="32"/>
          <w:szCs w:val="32"/>
        </w:rPr>
        <w:t>and examples of how to improve</w:t>
      </w:r>
      <w:r w:rsidR="00042B3A">
        <w:rPr>
          <w:rFonts w:asciiTheme="minorHAnsi" w:hAnsiTheme="minorHAnsi"/>
          <w:b/>
          <w:color w:val="auto"/>
          <w:sz w:val="32"/>
          <w:szCs w:val="32"/>
        </w:rPr>
        <w:t xml:space="preserve"> </w:t>
      </w:r>
      <w:r w:rsidR="00DA4434" w:rsidRPr="000D1CDF">
        <w:rPr>
          <w:rFonts w:asciiTheme="minorHAnsi" w:hAnsiTheme="minorHAnsi"/>
          <w:b/>
          <w:color w:val="auto"/>
          <w:sz w:val="32"/>
          <w:szCs w:val="32"/>
        </w:rPr>
        <w:t xml:space="preserve">institutional research capacity </w:t>
      </w:r>
    </w:p>
    <w:bookmarkEnd w:id="38"/>
    <w:p w14:paraId="3BC40D9A" w14:textId="20F9E86A" w:rsidR="00CA7DD1" w:rsidRDefault="005601DD" w:rsidP="0028690E">
      <w:pPr>
        <w:spacing w:after="0" w:line="480" w:lineRule="auto"/>
      </w:pPr>
      <w:r w:rsidRPr="00F874F9">
        <w:t xml:space="preserve">Participants offered many </w:t>
      </w:r>
      <w:r w:rsidR="00C1475D">
        <w:t xml:space="preserve">practical </w:t>
      </w:r>
      <w:r w:rsidRPr="00F874F9">
        <w:t xml:space="preserve">suggestions for ways to improve the research capacity within their departments and institutions. These are </w:t>
      </w:r>
      <w:r w:rsidRPr="00FE1198">
        <w:t>detail</w:t>
      </w:r>
      <w:r w:rsidR="00B801AC" w:rsidRPr="00FE1198">
        <w:t>ed</w:t>
      </w:r>
      <w:r w:rsidRPr="00FE1198">
        <w:t xml:space="preserve"> in supplementary file</w:t>
      </w:r>
      <w:r w:rsidR="005B75E7" w:rsidRPr="00FE1198">
        <w:t xml:space="preserve"> </w:t>
      </w:r>
      <w:r w:rsidR="0004365E" w:rsidRPr="00FE1198">
        <w:t>7</w:t>
      </w:r>
      <w:r w:rsidR="00A31CC1" w:rsidRPr="00FE1198">
        <w:t xml:space="preserve"> </w:t>
      </w:r>
      <w:r w:rsidRPr="00FE1198">
        <w:t xml:space="preserve">and </w:t>
      </w:r>
      <w:r w:rsidR="00CA7DD1" w:rsidRPr="00FE1198">
        <w:t>those</w:t>
      </w:r>
      <w:r w:rsidR="00CA7DD1" w:rsidRPr="00D46878">
        <w:t xml:space="preserve"> that are particularly transferable to other institutions are summarised in box 1.</w:t>
      </w:r>
    </w:p>
    <w:p w14:paraId="6B4A8E48" w14:textId="77777777" w:rsidR="00CA7DD1" w:rsidRDefault="00CA7DD1" w:rsidP="0028690E">
      <w:pPr>
        <w:spacing w:after="0" w:line="480" w:lineRule="auto"/>
      </w:pPr>
    </w:p>
    <w:p w14:paraId="264148FC" w14:textId="77777777" w:rsidR="00CA7DD1" w:rsidRDefault="00CA7DD1" w:rsidP="0028690E">
      <w:pPr>
        <w:pBdr>
          <w:top w:val="single" w:sz="4" w:space="1" w:color="auto"/>
          <w:left w:val="single" w:sz="4" w:space="4" w:color="auto"/>
          <w:bottom w:val="single" w:sz="4" w:space="1" w:color="auto"/>
          <w:right w:val="single" w:sz="4" w:space="4" w:color="auto"/>
        </w:pBdr>
        <w:spacing w:after="0" w:line="480" w:lineRule="auto"/>
        <w:rPr>
          <w:b/>
        </w:rPr>
      </w:pPr>
      <w:r w:rsidRPr="00CA7DD1">
        <w:rPr>
          <w:b/>
        </w:rPr>
        <w:t xml:space="preserve">Box 1. </w:t>
      </w:r>
      <w:r w:rsidR="00C1475D">
        <w:rPr>
          <w:b/>
        </w:rPr>
        <w:t>Practical s</w:t>
      </w:r>
      <w:r w:rsidRPr="00CA7DD1">
        <w:rPr>
          <w:b/>
        </w:rPr>
        <w:t xml:space="preserve">uggestions for ways to improve institutional research capacity </w:t>
      </w:r>
    </w:p>
    <w:p w14:paraId="3199A385" w14:textId="77777777" w:rsidR="00CA7DD1" w:rsidRPr="00CA7DD1" w:rsidRDefault="00CA7DD1" w:rsidP="0028690E">
      <w:pPr>
        <w:pBdr>
          <w:top w:val="single" w:sz="4" w:space="1" w:color="auto"/>
          <w:left w:val="single" w:sz="4" w:space="4" w:color="auto"/>
          <w:bottom w:val="single" w:sz="4" w:space="1" w:color="auto"/>
          <w:right w:val="single" w:sz="4" w:space="4" w:color="auto"/>
        </w:pBdr>
        <w:spacing w:after="0" w:line="480" w:lineRule="auto"/>
        <w:rPr>
          <w:b/>
        </w:rPr>
      </w:pPr>
    </w:p>
    <w:p w14:paraId="6E22F317" w14:textId="77777777" w:rsidR="003F5A92" w:rsidRPr="00F874F9" w:rsidRDefault="005B63B9" w:rsidP="0028690E">
      <w:pPr>
        <w:pStyle w:val="ListParagraph"/>
        <w:numPr>
          <w:ilvl w:val="0"/>
          <w:numId w:val="30"/>
        </w:numPr>
        <w:pBdr>
          <w:top w:val="single" w:sz="4" w:space="1" w:color="auto"/>
          <w:left w:val="single" w:sz="4" w:space="4" w:color="auto"/>
          <w:bottom w:val="single" w:sz="4" w:space="1" w:color="auto"/>
          <w:right w:val="single" w:sz="4" w:space="4" w:color="auto"/>
        </w:pBdr>
        <w:spacing w:after="0" w:line="480" w:lineRule="auto"/>
        <w:ind w:left="360"/>
      </w:pPr>
      <w:r w:rsidRPr="00F874F9">
        <w:rPr>
          <w:bCs/>
        </w:rPr>
        <w:t>Formalise PhD induction processes, possibly including peer-to-peer interactions involving more senior PhD students, and ensure p</w:t>
      </w:r>
      <w:r w:rsidR="003F5A92" w:rsidRPr="00F874F9">
        <w:t>ost-graduate</w:t>
      </w:r>
      <w:r w:rsidRPr="00F874F9">
        <w:t>s</w:t>
      </w:r>
      <w:r w:rsidR="003F5A92" w:rsidRPr="00F874F9">
        <w:t xml:space="preserve"> and under-graduate</w:t>
      </w:r>
      <w:r w:rsidRPr="00F874F9">
        <w:t>s have separate</w:t>
      </w:r>
      <w:r w:rsidR="003F5A92" w:rsidRPr="00F874F9">
        <w:t xml:space="preserve"> study spaces</w:t>
      </w:r>
    </w:p>
    <w:p w14:paraId="4DD4A806" w14:textId="77777777" w:rsidR="00B801AC" w:rsidRPr="00F874F9" w:rsidRDefault="00B801AC" w:rsidP="0028690E">
      <w:pPr>
        <w:pStyle w:val="ListParagraph"/>
        <w:numPr>
          <w:ilvl w:val="0"/>
          <w:numId w:val="30"/>
        </w:numPr>
        <w:pBdr>
          <w:top w:val="single" w:sz="4" w:space="1" w:color="auto"/>
          <w:left w:val="single" w:sz="4" w:space="4" w:color="auto"/>
          <w:bottom w:val="single" w:sz="4" w:space="1" w:color="auto"/>
          <w:right w:val="single" w:sz="4" w:space="4" w:color="auto"/>
        </w:pBdr>
        <w:spacing w:after="0" w:line="480" w:lineRule="auto"/>
        <w:ind w:left="360"/>
        <w:rPr>
          <w:bCs/>
        </w:rPr>
      </w:pPr>
      <w:r w:rsidRPr="00F874F9">
        <w:rPr>
          <w:bCs/>
        </w:rPr>
        <w:lastRenderedPageBreak/>
        <w:t>Establish formalised, mandatory courses for PhD students including research methodology, critical thinking and appraisal skills</w:t>
      </w:r>
      <w:r w:rsidR="00BF599F" w:rsidRPr="00F874F9">
        <w:rPr>
          <w:bCs/>
        </w:rPr>
        <w:t xml:space="preserve">, </w:t>
      </w:r>
      <w:r w:rsidR="0016728C" w:rsidRPr="00F874F9">
        <w:rPr>
          <w:bCs/>
        </w:rPr>
        <w:t xml:space="preserve">ethics </w:t>
      </w:r>
      <w:r w:rsidR="00BF599F" w:rsidRPr="00F874F9">
        <w:rPr>
          <w:bCs/>
        </w:rPr>
        <w:t>and gender awareness/diversity</w:t>
      </w:r>
      <w:r w:rsidRPr="00F874F9">
        <w:rPr>
          <w:bCs/>
        </w:rPr>
        <w:t xml:space="preserve"> training</w:t>
      </w:r>
    </w:p>
    <w:p w14:paraId="723ED2F5" w14:textId="77777777" w:rsidR="005B63B9" w:rsidRPr="00F874F9" w:rsidRDefault="005B63B9" w:rsidP="0028690E">
      <w:pPr>
        <w:pStyle w:val="ListParagraph"/>
        <w:numPr>
          <w:ilvl w:val="0"/>
          <w:numId w:val="30"/>
        </w:numPr>
        <w:pBdr>
          <w:top w:val="single" w:sz="4" w:space="1" w:color="auto"/>
          <w:left w:val="single" w:sz="4" w:space="4" w:color="auto"/>
          <w:bottom w:val="single" w:sz="4" w:space="1" w:color="auto"/>
          <w:right w:val="single" w:sz="4" w:space="4" w:color="auto"/>
        </w:pBdr>
        <w:spacing w:after="0" w:line="480" w:lineRule="auto"/>
        <w:ind w:left="360"/>
      </w:pPr>
      <w:r w:rsidRPr="00F874F9">
        <w:t xml:space="preserve">Maximise training opportunities by </w:t>
      </w:r>
      <w:proofErr w:type="gramStart"/>
      <w:r w:rsidRPr="00F874F9">
        <w:t>opening up</w:t>
      </w:r>
      <w:proofErr w:type="gramEnd"/>
      <w:r w:rsidRPr="00F874F9">
        <w:t xml:space="preserve"> project-specific course, workshops etc to non-project staff</w:t>
      </w:r>
    </w:p>
    <w:p w14:paraId="6F2FE69B" w14:textId="77777777" w:rsidR="0016728C" w:rsidRPr="00F874F9" w:rsidRDefault="0016728C" w:rsidP="0028690E">
      <w:pPr>
        <w:pStyle w:val="ListParagraph"/>
        <w:numPr>
          <w:ilvl w:val="0"/>
          <w:numId w:val="30"/>
        </w:numPr>
        <w:pBdr>
          <w:top w:val="single" w:sz="4" w:space="1" w:color="auto"/>
          <w:left w:val="single" w:sz="4" w:space="4" w:color="auto"/>
          <w:bottom w:val="single" w:sz="4" w:space="1" w:color="auto"/>
          <w:right w:val="single" w:sz="4" w:space="4" w:color="auto"/>
        </w:pBdr>
        <w:spacing w:after="0" w:line="480" w:lineRule="auto"/>
        <w:ind w:left="360"/>
        <w:rPr>
          <w:bCs/>
        </w:rPr>
      </w:pPr>
      <w:r w:rsidRPr="00F874F9">
        <w:rPr>
          <w:bCs/>
        </w:rPr>
        <w:t>Establish units to help researchers find funding opportunities and to critically review proposals</w:t>
      </w:r>
    </w:p>
    <w:p w14:paraId="1BAEADD7" w14:textId="77777777" w:rsidR="001C491B" w:rsidRPr="00F874F9" w:rsidRDefault="00B67ABD" w:rsidP="0028690E">
      <w:pPr>
        <w:pStyle w:val="ListParagraph"/>
        <w:numPr>
          <w:ilvl w:val="0"/>
          <w:numId w:val="30"/>
        </w:numPr>
        <w:pBdr>
          <w:top w:val="single" w:sz="4" w:space="1" w:color="auto"/>
          <w:left w:val="single" w:sz="4" w:space="4" w:color="auto"/>
          <w:bottom w:val="single" w:sz="4" w:space="1" w:color="auto"/>
          <w:right w:val="single" w:sz="4" w:space="4" w:color="auto"/>
        </w:pBdr>
        <w:spacing w:after="0" w:line="480" w:lineRule="auto"/>
        <w:ind w:left="360"/>
        <w:rPr>
          <w:bCs/>
        </w:rPr>
      </w:pPr>
      <w:r w:rsidRPr="00F874F9">
        <w:rPr>
          <w:bCs/>
        </w:rPr>
        <w:t xml:space="preserve">Provide regular financial reports for </w:t>
      </w:r>
      <w:r w:rsidR="00A01FC1">
        <w:rPr>
          <w:bCs/>
        </w:rPr>
        <w:t>p</w:t>
      </w:r>
      <w:r w:rsidR="00A17045">
        <w:rPr>
          <w:bCs/>
        </w:rPr>
        <w:t>rincipal investigators</w:t>
      </w:r>
      <w:r w:rsidRPr="00F874F9">
        <w:rPr>
          <w:bCs/>
        </w:rPr>
        <w:t xml:space="preserve"> on project budgets; improve within-institution standardisation and clarity on use of project overheads</w:t>
      </w:r>
      <w:r w:rsidR="0016728C" w:rsidRPr="00F874F9">
        <w:rPr>
          <w:bCs/>
        </w:rPr>
        <w:t xml:space="preserve"> and PhD stipends</w:t>
      </w:r>
    </w:p>
    <w:p w14:paraId="174FC961" w14:textId="77777777" w:rsidR="001C491B" w:rsidRPr="00F874F9" w:rsidRDefault="005B63B9" w:rsidP="0028690E">
      <w:pPr>
        <w:pStyle w:val="ListParagraph"/>
        <w:numPr>
          <w:ilvl w:val="0"/>
          <w:numId w:val="30"/>
        </w:numPr>
        <w:pBdr>
          <w:top w:val="single" w:sz="4" w:space="1" w:color="auto"/>
          <w:left w:val="single" w:sz="4" w:space="4" w:color="auto"/>
          <w:bottom w:val="single" w:sz="4" w:space="1" w:color="auto"/>
          <w:right w:val="single" w:sz="4" w:space="4" w:color="auto"/>
        </w:pBdr>
        <w:spacing w:after="0" w:line="480" w:lineRule="auto"/>
        <w:ind w:left="360"/>
        <w:rPr>
          <w:bCs/>
        </w:rPr>
      </w:pPr>
      <w:r w:rsidRPr="00F874F9">
        <w:rPr>
          <w:bCs/>
        </w:rPr>
        <w:t>Include funds for employing and training administrative, finance and laboratory research support staff in grant proposals and encourage sharing of skills and experiences of these staff beyond the project and department</w:t>
      </w:r>
      <w:r w:rsidR="00996C46" w:rsidRPr="00F874F9">
        <w:rPr>
          <w:bCs/>
        </w:rPr>
        <w:t xml:space="preserve"> </w:t>
      </w:r>
    </w:p>
    <w:p w14:paraId="6AED5186" w14:textId="77777777" w:rsidR="001C491B" w:rsidRPr="00F874F9" w:rsidRDefault="005B63B9" w:rsidP="0028690E">
      <w:pPr>
        <w:pStyle w:val="ListParagraph"/>
        <w:numPr>
          <w:ilvl w:val="0"/>
          <w:numId w:val="30"/>
        </w:numPr>
        <w:pBdr>
          <w:top w:val="single" w:sz="4" w:space="1" w:color="auto"/>
          <w:left w:val="single" w:sz="4" w:space="4" w:color="auto"/>
          <w:bottom w:val="single" w:sz="4" w:space="1" w:color="auto"/>
          <w:right w:val="single" w:sz="4" w:space="4" w:color="auto"/>
        </w:pBdr>
        <w:spacing w:after="0" w:line="480" w:lineRule="auto"/>
        <w:ind w:left="360"/>
        <w:rPr>
          <w:bCs/>
        </w:rPr>
      </w:pPr>
      <w:r w:rsidRPr="00F874F9">
        <w:t>P</w:t>
      </w:r>
      <w:r w:rsidR="00B67ABD" w:rsidRPr="00F874F9">
        <w:t xml:space="preserve">romote strategies </w:t>
      </w:r>
      <w:r w:rsidR="00B67ABD" w:rsidRPr="00F874F9">
        <w:rPr>
          <w:bCs/>
        </w:rPr>
        <w:t>to increase South- South collaborations especially across language barriers</w:t>
      </w:r>
    </w:p>
    <w:p w14:paraId="2D5D5FDE" w14:textId="77777777" w:rsidR="001C491B" w:rsidRPr="00F874F9" w:rsidRDefault="00B67ABD" w:rsidP="0028690E">
      <w:pPr>
        <w:pStyle w:val="ListParagraph"/>
        <w:numPr>
          <w:ilvl w:val="0"/>
          <w:numId w:val="30"/>
        </w:numPr>
        <w:pBdr>
          <w:top w:val="single" w:sz="4" w:space="1" w:color="auto"/>
          <w:left w:val="single" w:sz="4" w:space="4" w:color="auto"/>
          <w:bottom w:val="single" w:sz="4" w:space="1" w:color="auto"/>
          <w:right w:val="single" w:sz="4" w:space="4" w:color="auto"/>
        </w:pBdr>
        <w:spacing w:after="0" w:line="480" w:lineRule="auto"/>
        <w:ind w:left="360"/>
        <w:rPr>
          <w:bCs/>
        </w:rPr>
      </w:pPr>
      <w:r w:rsidRPr="00F874F9">
        <w:rPr>
          <w:bCs/>
        </w:rPr>
        <w:t>Consider establishing Doctoral Schools with a remit to drive strategic research areas and strengthen national and international research collaborations</w:t>
      </w:r>
    </w:p>
    <w:p w14:paraId="7233878F" w14:textId="77777777" w:rsidR="001C491B" w:rsidRPr="00F874F9" w:rsidRDefault="001C491B" w:rsidP="0028690E">
      <w:pPr>
        <w:pStyle w:val="ListParagraph"/>
        <w:numPr>
          <w:ilvl w:val="0"/>
          <w:numId w:val="30"/>
        </w:numPr>
        <w:pBdr>
          <w:top w:val="single" w:sz="4" w:space="1" w:color="auto"/>
          <w:left w:val="single" w:sz="4" w:space="4" w:color="auto"/>
          <w:bottom w:val="single" w:sz="4" w:space="1" w:color="auto"/>
          <w:right w:val="single" w:sz="4" w:space="4" w:color="auto"/>
        </w:pBdr>
        <w:spacing w:after="0" w:line="480" w:lineRule="auto"/>
        <w:ind w:left="360"/>
        <w:rPr>
          <w:bCs/>
        </w:rPr>
      </w:pPr>
      <w:r w:rsidRPr="00F874F9">
        <w:rPr>
          <w:bCs/>
        </w:rPr>
        <w:t xml:space="preserve">Establish </w:t>
      </w:r>
      <w:r w:rsidR="00B801AC" w:rsidRPr="00F874F9">
        <w:rPr>
          <w:bCs/>
        </w:rPr>
        <w:t>effective institutional email system, which will facilitate institutional communication on all issues including research</w:t>
      </w:r>
    </w:p>
    <w:p w14:paraId="3DE476D4" w14:textId="77777777" w:rsidR="001C491B" w:rsidRPr="00F874F9" w:rsidRDefault="005B63B9" w:rsidP="0028690E">
      <w:pPr>
        <w:pStyle w:val="ListParagraph"/>
        <w:numPr>
          <w:ilvl w:val="0"/>
          <w:numId w:val="30"/>
        </w:numPr>
        <w:pBdr>
          <w:top w:val="single" w:sz="4" w:space="1" w:color="auto"/>
          <w:left w:val="single" w:sz="4" w:space="4" w:color="auto"/>
          <w:bottom w:val="single" w:sz="4" w:space="1" w:color="auto"/>
          <w:right w:val="single" w:sz="4" w:space="4" w:color="auto"/>
        </w:pBdr>
        <w:spacing w:after="0" w:line="480" w:lineRule="auto"/>
        <w:ind w:left="360"/>
        <w:rPr>
          <w:bCs/>
        </w:rPr>
      </w:pPr>
      <w:r w:rsidRPr="00F874F9">
        <w:t>Separate the teaching and research laboratories; p</w:t>
      </w:r>
      <w:r w:rsidR="000442A1" w:rsidRPr="00F874F9">
        <w:t xml:space="preserve">lan equipment </w:t>
      </w:r>
      <w:r w:rsidR="00FE1C6A" w:rsidRPr="00F874F9">
        <w:t>purchases</w:t>
      </w:r>
      <w:r w:rsidR="000442A1" w:rsidRPr="00F874F9">
        <w:t xml:space="preserve"> and maintenance strategically and </w:t>
      </w:r>
      <w:r w:rsidR="00A01FC1">
        <w:t xml:space="preserve">for some institutions, </w:t>
      </w:r>
      <w:r w:rsidR="000442A1" w:rsidRPr="00F874F9">
        <w:t>c</w:t>
      </w:r>
      <w:r w:rsidR="0016728C" w:rsidRPr="00F874F9">
        <w:t>onsider investing in achieving laboratory I</w:t>
      </w:r>
      <w:r w:rsidR="0016728C" w:rsidRPr="00F874F9">
        <w:rPr>
          <w:bCs/>
        </w:rPr>
        <w:t xml:space="preserve">SO accreditation to improve research quality </w:t>
      </w:r>
      <w:r w:rsidR="00E817E4" w:rsidRPr="00F874F9">
        <w:rPr>
          <w:bCs/>
        </w:rPr>
        <w:t xml:space="preserve">and as a potential source of revenue </w:t>
      </w:r>
    </w:p>
    <w:p w14:paraId="00AF82DA" w14:textId="77777777" w:rsidR="00316EEB" w:rsidRPr="00CA7DD1" w:rsidRDefault="009D5391" w:rsidP="0028690E">
      <w:pPr>
        <w:pStyle w:val="ListParagraph"/>
        <w:numPr>
          <w:ilvl w:val="0"/>
          <w:numId w:val="30"/>
        </w:numPr>
        <w:pBdr>
          <w:top w:val="single" w:sz="4" w:space="1" w:color="auto"/>
          <w:left w:val="single" w:sz="4" w:space="4" w:color="auto"/>
          <w:bottom w:val="single" w:sz="4" w:space="1" w:color="auto"/>
          <w:right w:val="single" w:sz="4" w:space="4" w:color="auto"/>
        </w:pBdr>
        <w:spacing w:after="0" w:line="480" w:lineRule="auto"/>
        <w:ind w:left="360"/>
        <w:rPr>
          <w:bCs/>
        </w:rPr>
      </w:pPr>
      <w:r w:rsidRPr="00F874F9">
        <w:rPr>
          <w:bCs/>
        </w:rPr>
        <w:t xml:space="preserve">Improve alignment of national needs and institutional research activities through improved efforts at communication between those generating and those using research </w:t>
      </w:r>
    </w:p>
    <w:p w14:paraId="683BA4E2" w14:textId="77777777" w:rsidR="00CA7DD1" w:rsidRDefault="00CA7DD1" w:rsidP="0028690E">
      <w:pPr>
        <w:spacing w:after="0" w:line="480" w:lineRule="auto"/>
      </w:pPr>
    </w:p>
    <w:p w14:paraId="53315B14" w14:textId="3253DA23" w:rsidR="00042B3A" w:rsidRDefault="00042B3A" w:rsidP="0028690E">
      <w:pPr>
        <w:spacing w:after="0" w:line="480" w:lineRule="auto"/>
      </w:pPr>
      <w:r>
        <w:t>During the interviews, interviewees were prompted to provide examples of good or innovative practice</w:t>
      </w:r>
      <w:r w:rsidRPr="00DA0489">
        <w:t xml:space="preserve"> </w:t>
      </w:r>
      <w:r>
        <w:t xml:space="preserve">in strengthening </w:t>
      </w:r>
      <w:r w:rsidRPr="00D46878">
        <w:t xml:space="preserve">their research capacity, and solutions for </w:t>
      </w:r>
      <w:r w:rsidRPr="00FE1198">
        <w:t xml:space="preserve">solving some of their </w:t>
      </w:r>
      <w:r w:rsidR="00C1475D" w:rsidRPr="00FE1198">
        <w:t xml:space="preserve">research </w:t>
      </w:r>
      <w:r w:rsidRPr="00FE1198">
        <w:t xml:space="preserve">capacity challenges. Details of these are provided in supplementary file </w:t>
      </w:r>
      <w:r w:rsidR="0004365E" w:rsidRPr="00FE1198">
        <w:t>7</w:t>
      </w:r>
      <w:r w:rsidR="00A31CC1" w:rsidRPr="00FE1198">
        <w:t xml:space="preserve"> </w:t>
      </w:r>
      <w:r w:rsidRPr="00FE1198">
        <w:t>and</w:t>
      </w:r>
      <w:r w:rsidRPr="00D46878">
        <w:t xml:space="preserve"> selected examples from across all six themes which may be particularly useful for other institutions, are presented in box </w:t>
      </w:r>
      <w:r w:rsidR="00CA7DD1" w:rsidRPr="00D46878">
        <w:t>2</w:t>
      </w:r>
      <w:r w:rsidRPr="00D46878">
        <w:t>.</w:t>
      </w:r>
      <w:r>
        <w:t xml:space="preserve"> </w:t>
      </w:r>
    </w:p>
    <w:p w14:paraId="277FDF91" w14:textId="77777777" w:rsidR="00042B3A" w:rsidRPr="00F874F9" w:rsidRDefault="00042B3A" w:rsidP="0028690E">
      <w:pPr>
        <w:spacing w:after="0" w:line="480" w:lineRule="auto"/>
      </w:pPr>
    </w:p>
    <w:p w14:paraId="6FB07439" w14:textId="77777777" w:rsidR="00042B3A" w:rsidRDefault="00042B3A" w:rsidP="0028690E">
      <w:pPr>
        <w:pBdr>
          <w:top w:val="single" w:sz="4" w:space="1" w:color="auto"/>
          <w:left w:val="single" w:sz="4" w:space="4" w:color="auto"/>
          <w:bottom w:val="single" w:sz="4" w:space="1" w:color="auto"/>
          <w:right w:val="single" w:sz="4" w:space="4" w:color="auto"/>
        </w:pBdr>
        <w:spacing w:after="0" w:line="480" w:lineRule="auto"/>
        <w:rPr>
          <w:b/>
        </w:rPr>
      </w:pPr>
      <w:r w:rsidRPr="00071814">
        <w:rPr>
          <w:b/>
        </w:rPr>
        <w:t xml:space="preserve">Box </w:t>
      </w:r>
      <w:r w:rsidR="00CA7DD1">
        <w:rPr>
          <w:b/>
        </w:rPr>
        <w:t>2</w:t>
      </w:r>
      <w:r w:rsidRPr="00071814">
        <w:rPr>
          <w:b/>
        </w:rPr>
        <w:t xml:space="preserve">. Examples </w:t>
      </w:r>
      <w:r>
        <w:rPr>
          <w:b/>
        </w:rPr>
        <w:t xml:space="preserve">from </w:t>
      </w:r>
      <w:r w:rsidR="00CA7DD1">
        <w:rPr>
          <w:b/>
        </w:rPr>
        <w:t>participants</w:t>
      </w:r>
      <w:r>
        <w:rPr>
          <w:b/>
        </w:rPr>
        <w:t xml:space="preserve"> </w:t>
      </w:r>
      <w:r w:rsidRPr="00071814">
        <w:rPr>
          <w:b/>
        </w:rPr>
        <w:t>of good or innovative practice</w:t>
      </w:r>
      <w:r>
        <w:rPr>
          <w:b/>
        </w:rPr>
        <w:t xml:space="preserve"> and problem-solving to strengthen research capacity </w:t>
      </w:r>
      <w:r w:rsidRPr="00071814">
        <w:rPr>
          <w:b/>
        </w:rPr>
        <w:t xml:space="preserve"> </w:t>
      </w:r>
    </w:p>
    <w:p w14:paraId="5F679189" w14:textId="77777777" w:rsidR="00CA7DD1" w:rsidRPr="00071814" w:rsidRDefault="00CA7DD1" w:rsidP="0028690E">
      <w:pPr>
        <w:pBdr>
          <w:top w:val="single" w:sz="4" w:space="1" w:color="auto"/>
          <w:left w:val="single" w:sz="4" w:space="4" w:color="auto"/>
          <w:bottom w:val="single" w:sz="4" w:space="1" w:color="auto"/>
          <w:right w:val="single" w:sz="4" w:space="4" w:color="auto"/>
        </w:pBdr>
        <w:spacing w:after="0" w:line="480" w:lineRule="auto"/>
        <w:rPr>
          <w:b/>
        </w:rPr>
      </w:pPr>
    </w:p>
    <w:p w14:paraId="23472517" w14:textId="77777777" w:rsidR="00042B3A" w:rsidRPr="00F874F9" w:rsidRDefault="00042B3A" w:rsidP="0028690E">
      <w:pPr>
        <w:pStyle w:val="ListParagraph"/>
        <w:numPr>
          <w:ilvl w:val="0"/>
          <w:numId w:val="29"/>
        </w:numPr>
        <w:pBdr>
          <w:top w:val="single" w:sz="4" w:space="1" w:color="auto"/>
          <w:left w:val="single" w:sz="4" w:space="4" w:color="auto"/>
          <w:bottom w:val="single" w:sz="4" w:space="1" w:color="auto"/>
          <w:right w:val="single" w:sz="4" w:space="4" w:color="auto"/>
        </w:pBdr>
        <w:spacing w:after="0" w:line="480" w:lineRule="auto"/>
        <w:rPr>
          <w:bCs/>
        </w:rPr>
      </w:pPr>
      <w:r w:rsidRPr="00F874F9">
        <w:rPr>
          <w:bCs/>
        </w:rPr>
        <w:t xml:space="preserve">Participatory strategic planning meetings/workshops, </w:t>
      </w:r>
      <w:r w:rsidR="00C1475D">
        <w:rPr>
          <w:bCs/>
        </w:rPr>
        <w:t>involving academic and support staff (e.g. managers, technicians) covering</w:t>
      </w:r>
      <w:r w:rsidRPr="00F874F9">
        <w:rPr>
          <w:bCs/>
        </w:rPr>
        <w:t xml:space="preserve"> SWOT analyses and implementation plans with clear performance indicators and pre</w:t>
      </w:r>
      <w:r>
        <w:rPr>
          <w:bCs/>
        </w:rPr>
        <w:t>-</w:t>
      </w:r>
      <w:r w:rsidRPr="00F874F9">
        <w:rPr>
          <w:bCs/>
        </w:rPr>
        <w:t>defined targets</w:t>
      </w:r>
    </w:p>
    <w:p w14:paraId="7B66A18B" w14:textId="77777777" w:rsidR="00042B3A" w:rsidRPr="00F874F9" w:rsidRDefault="00042B3A" w:rsidP="0028690E">
      <w:pPr>
        <w:pStyle w:val="ListParagraph"/>
        <w:numPr>
          <w:ilvl w:val="0"/>
          <w:numId w:val="29"/>
        </w:numPr>
        <w:pBdr>
          <w:top w:val="single" w:sz="4" w:space="1" w:color="auto"/>
          <w:left w:val="single" w:sz="4" w:space="4" w:color="auto"/>
          <w:bottom w:val="single" w:sz="4" w:space="1" w:color="auto"/>
          <w:right w:val="single" w:sz="4" w:space="4" w:color="auto"/>
        </w:pBdr>
        <w:spacing w:after="0" w:line="480" w:lineRule="auto"/>
        <w:rPr>
          <w:bCs/>
        </w:rPr>
      </w:pPr>
      <w:r w:rsidRPr="00F874F9">
        <w:rPr>
          <w:bCs/>
        </w:rPr>
        <w:t>An institutional research committee to periodically review research themes to ensure they meet local needs</w:t>
      </w:r>
    </w:p>
    <w:p w14:paraId="2B50488F" w14:textId="77777777" w:rsidR="00042B3A" w:rsidRPr="00F874F9" w:rsidRDefault="00042B3A" w:rsidP="0028690E">
      <w:pPr>
        <w:pStyle w:val="ListParagraph"/>
        <w:numPr>
          <w:ilvl w:val="0"/>
          <w:numId w:val="29"/>
        </w:numPr>
        <w:pBdr>
          <w:top w:val="single" w:sz="4" w:space="1" w:color="auto"/>
          <w:left w:val="single" w:sz="4" w:space="4" w:color="auto"/>
          <w:bottom w:val="single" w:sz="4" w:space="1" w:color="auto"/>
          <w:right w:val="single" w:sz="4" w:space="4" w:color="auto"/>
        </w:pBdr>
        <w:spacing w:after="0" w:line="480" w:lineRule="auto"/>
        <w:rPr>
          <w:rFonts w:cs="Calibri"/>
        </w:rPr>
      </w:pPr>
      <w:r w:rsidRPr="00F874F9">
        <w:rPr>
          <w:rFonts w:cs="Calibri"/>
        </w:rPr>
        <w:t>Invitation</w:t>
      </w:r>
      <w:r>
        <w:rPr>
          <w:rFonts w:cs="Calibri"/>
        </w:rPr>
        <w:t>s</w:t>
      </w:r>
      <w:r w:rsidRPr="00F874F9">
        <w:rPr>
          <w:rFonts w:cs="Calibri"/>
        </w:rPr>
        <w:t xml:space="preserve"> to policy makers, industry, NGO other research institutions to workshops to ensure research is relevant to local needs</w:t>
      </w:r>
    </w:p>
    <w:p w14:paraId="41FC618D" w14:textId="77777777" w:rsidR="00042B3A" w:rsidRPr="00F874F9" w:rsidRDefault="00042B3A" w:rsidP="0028690E">
      <w:pPr>
        <w:pStyle w:val="ListParagraph"/>
        <w:numPr>
          <w:ilvl w:val="0"/>
          <w:numId w:val="29"/>
        </w:numPr>
        <w:pBdr>
          <w:top w:val="single" w:sz="4" w:space="1" w:color="auto"/>
          <w:left w:val="single" w:sz="4" w:space="4" w:color="auto"/>
          <w:bottom w:val="single" w:sz="4" w:space="1" w:color="auto"/>
          <w:right w:val="single" w:sz="4" w:space="4" w:color="auto"/>
        </w:pBdr>
        <w:spacing w:after="0" w:line="480" w:lineRule="auto"/>
        <w:rPr>
          <w:bCs/>
        </w:rPr>
      </w:pPr>
      <w:r w:rsidRPr="00F874F9">
        <w:rPr>
          <w:bCs/>
        </w:rPr>
        <w:t xml:space="preserve">Regular external departmental reviews to </w:t>
      </w:r>
      <w:r>
        <w:rPr>
          <w:bCs/>
        </w:rPr>
        <w:t>promote</w:t>
      </w:r>
      <w:r w:rsidRPr="00F874F9">
        <w:rPr>
          <w:bCs/>
        </w:rPr>
        <w:t xml:space="preserve"> implementation of activities to improve the department </w:t>
      </w:r>
    </w:p>
    <w:p w14:paraId="0A3742A1" w14:textId="77777777" w:rsidR="00042B3A" w:rsidRPr="00F874F9" w:rsidRDefault="00042B3A" w:rsidP="0028690E">
      <w:pPr>
        <w:pStyle w:val="ListParagraph"/>
        <w:numPr>
          <w:ilvl w:val="0"/>
          <w:numId w:val="29"/>
        </w:numPr>
        <w:pBdr>
          <w:top w:val="single" w:sz="4" w:space="1" w:color="auto"/>
          <w:left w:val="single" w:sz="4" w:space="4" w:color="auto"/>
          <w:bottom w:val="single" w:sz="4" w:space="1" w:color="auto"/>
          <w:right w:val="single" w:sz="4" w:space="4" w:color="auto"/>
        </w:pBdr>
        <w:spacing w:after="0" w:line="480" w:lineRule="auto"/>
        <w:rPr>
          <w:rFonts w:cs="Calibri"/>
        </w:rPr>
      </w:pPr>
      <w:r w:rsidRPr="00F874F9">
        <w:rPr>
          <w:rFonts w:cs="Calibri"/>
        </w:rPr>
        <w:t>Institutional internationalisation policy and specific offices/departments in place to increase international partnerships</w:t>
      </w:r>
    </w:p>
    <w:p w14:paraId="0503DD41" w14:textId="77777777" w:rsidR="00042B3A" w:rsidRPr="00F874F9" w:rsidRDefault="00042B3A" w:rsidP="0028690E">
      <w:pPr>
        <w:pStyle w:val="ListParagraph"/>
        <w:numPr>
          <w:ilvl w:val="0"/>
          <w:numId w:val="29"/>
        </w:numPr>
        <w:pBdr>
          <w:top w:val="single" w:sz="4" w:space="1" w:color="auto"/>
          <w:left w:val="single" w:sz="4" w:space="4" w:color="auto"/>
          <w:bottom w:val="single" w:sz="4" w:space="1" w:color="auto"/>
          <w:right w:val="single" w:sz="4" w:space="4" w:color="auto"/>
        </w:pBdr>
        <w:spacing w:after="0" w:line="480" w:lineRule="auto"/>
        <w:rPr>
          <w:rFonts w:cs="Calibri"/>
        </w:rPr>
      </w:pPr>
      <w:r w:rsidRPr="00F874F9">
        <w:rPr>
          <w:rFonts w:cs="Calibri"/>
        </w:rPr>
        <w:t>Development of departmental newsletters about current research shared within and across departments</w:t>
      </w:r>
    </w:p>
    <w:p w14:paraId="004BB406" w14:textId="77777777" w:rsidR="00042B3A" w:rsidRPr="00F874F9" w:rsidRDefault="00042B3A" w:rsidP="0028690E">
      <w:pPr>
        <w:pStyle w:val="ListParagraph"/>
        <w:numPr>
          <w:ilvl w:val="0"/>
          <w:numId w:val="29"/>
        </w:numPr>
        <w:pBdr>
          <w:top w:val="single" w:sz="4" w:space="1" w:color="auto"/>
          <w:left w:val="single" w:sz="4" w:space="4" w:color="auto"/>
          <w:bottom w:val="single" w:sz="4" w:space="1" w:color="auto"/>
          <w:right w:val="single" w:sz="4" w:space="4" w:color="auto"/>
        </w:pBdr>
        <w:spacing w:after="0" w:line="480" w:lineRule="auto"/>
      </w:pPr>
      <w:r w:rsidRPr="00F874F9">
        <w:rPr>
          <w:bCs/>
        </w:rPr>
        <w:t>Student-supervisor contracts that include clear roles and responsibilities, targets and objectives with times lines, training schedules and meeting dates</w:t>
      </w:r>
    </w:p>
    <w:p w14:paraId="73460080" w14:textId="77777777" w:rsidR="00042B3A" w:rsidRPr="00F874F9" w:rsidRDefault="00042B3A" w:rsidP="0028690E">
      <w:pPr>
        <w:pStyle w:val="ListParagraph"/>
        <w:numPr>
          <w:ilvl w:val="0"/>
          <w:numId w:val="29"/>
        </w:numPr>
        <w:pBdr>
          <w:top w:val="single" w:sz="4" w:space="1" w:color="auto"/>
          <w:left w:val="single" w:sz="4" w:space="4" w:color="auto"/>
          <w:bottom w:val="single" w:sz="4" w:space="1" w:color="auto"/>
          <w:right w:val="single" w:sz="4" w:space="4" w:color="auto"/>
        </w:pBdr>
        <w:spacing w:after="0" w:line="480" w:lineRule="auto"/>
        <w:rPr>
          <w:bCs/>
        </w:rPr>
      </w:pPr>
      <w:r>
        <w:rPr>
          <w:bCs/>
        </w:rPr>
        <w:t>I</w:t>
      </w:r>
      <w:r w:rsidRPr="00F874F9">
        <w:rPr>
          <w:bCs/>
        </w:rPr>
        <w:t>nvestment in strengthening research quality assurance systems with dedicated quality assurance units and the development of quality assurance documents</w:t>
      </w:r>
    </w:p>
    <w:p w14:paraId="5F8E22CA" w14:textId="77777777" w:rsidR="00042B3A" w:rsidRPr="00F874F9" w:rsidRDefault="00042B3A" w:rsidP="0028690E">
      <w:pPr>
        <w:pStyle w:val="ListParagraph"/>
        <w:numPr>
          <w:ilvl w:val="0"/>
          <w:numId w:val="29"/>
        </w:numPr>
        <w:pBdr>
          <w:top w:val="single" w:sz="4" w:space="1" w:color="auto"/>
          <w:left w:val="single" w:sz="4" w:space="4" w:color="auto"/>
          <w:bottom w:val="single" w:sz="4" w:space="1" w:color="auto"/>
          <w:right w:val="single" w:sz="4" w:space="4" w:color="auto"/>
        </w:pBdr>
        <w:spacing w:after="0" w:line="480" w:lineRule="auto"/>
        <w:rPr>
          <w:bCs/>
        </w:rPr>
      </w:pPr>
      <w:r w:rsidRPr="00F874F9">
        <w:rPr>
          <w:rFonts w:cs="Calibri"/>
        </w:rPr>
        <w:t>Revenue from selling laboratory manuals to undergraduate students is reinvested in supporting training for PGR students</w:t>
      </w:r>
    </w:p>
    <w:p w14:paraId="6AD98402" w14:textId="77777777" w:rsidR="00042B3A" w:rsidRDefault="00042B3A" w:rsidP="0028690E">
      <w:pPr>
        <w:pStyle w:val="ListParagraph"/>
        <w:numPr>
          <w:ilvl w:val="0"/>
          <w:numId w:val="29"/>
        </w:numPr>
        <w:pBdr>
          <w:top w:val="single" w:sz="4" w:space="1" w:color="auto"/>
          <w:left w:val="single" w:sz="4" w:space="4" w:color="auto"/>
          <w:bottom w:val="single" w:sz="4" w:space="1" w:color="auto"/>
          <w:right w:val="single" w:sz="4" w:space="4" w:color="auto"/>
        </w:pBdr>
        <w:spacing w:after="0" w:line="480" w:lineRule="auto"/>
        <w:rPr>
          <w:rFonts w:eastAsia="Calibri" w:cs="Times New Roman"/>
        </w:rPr>
      </w:pPr>
      <w:r w:rsidRPr="00F874F9">
        <w:rPr>
          <w:bCs/>
        </w:rPr>
        <w:t>Peer-to-peer progress monitoring system</w:t>
      </w:r>
      <w:r>
        <w:rPr>
          <w:bCs/>
        </w:rPr>
        <w:t xml:space="preserve"> for PhD students</w:t>
      </w:r>
      <w:r w:rsidRPr="00F874F9">
        <w:rPr>
          <w:bCs/>
        </w:rPr>
        <w:t>, including regular Skype calls and WhatsApp groups</w:t>
      </w:r>
      <w:r>
        <w:rPr>
          <w:bCs/>
        </w:rPr>
        <w:t>,</w:t>
      </w:r>
      <w:r w:rsidRPr="00F874F9">
        <w:rPr>
          <w:bCs/>
        </w:rPr>
        <w:t xml:space="preserve"> to </w:t>
      </w:r>
      <w:r w:rsidRPr="00F874F9">
        <w:rPr>
          <w:rFonts w:eastAsia="Calibri" w:cs="Times New Roman"/>
        </w:rPr>
        <w:t>check on each other’s progress</w:t>
      </w:r>
    </w:p>
    <w:p w14:paraId="35AA3EC2" w14:textId="77777777" w:rsidR="00C1475D" w:rsidRPr="00F874F9" w:rsidRDefault="00C1475D" w:rsidP="0028690E">
      <w:pPr>
        <w:pStyle w:val="ListParagraph"/>
        <w:numPr>
          <w:ilvl w:val="0"/>
          <w:numId w:val="29"/>
        </w:numPr>
        <w:pBdr>
          <w:top w:val="single" w:sz="4" w:space="1" w:color="auto"/>
          <w:left w:val="single" w:sz="4" w:space="4" w:color="auto"/>
          <w:bottom w:val="single" w:sz="4" w:space="1" w:color="auto"/>
          <w:right w:val="single" w:sz="4" w:space="4" w:color="auto"/>
        </w:pBdr>
        <w:spacing w:after="0" w:line="480" w:lineRule="auto"/>
        <w:rPr>
          <w:rFonts w:eastAsia="Calibri" w:cs="Times New Roman"/>
        </w:rPr>
      </w:pPr>
      <w:r>
        <w:rPr>
          <w:rFonts w:eastAsia="Calibri" w:cs="Times New Roman"/>
        </w:rPr>
        <w:lastRenderedPageBreak/>
        <w:t>Mechanisms to encourage cascading of opportunities and information from funded to non-funded research students</w:t>
      </w:r>
    </w:p>
    <w:p w14:paraId="5F366008" w14:textId="77777777" w:rsidR="00042B3A" w:rsidRDefault="00042B3A" w:rsidP="0028690E">
      <w:pPr>
        <w:pStyle w:val="ListParagraph"/>
        <w:numPr>
          <w:ilvl w:val="0"/>
          <w:numId w:val="29"/>
        </w:numPr>
        <w:pBdr>
          <w:top w:val="single" w:sz="4" w:space="1" w:color="auto"/>
          <w:left w:val="single" w:sz="4" w:space="4" w:color="auto"/>
          <w:bottom w:val="single" w:sz="4" w:space="1" w:color="auto"/>
          <w:right w:val="single" w:sz="4" w:space="4" w:color="auto"/>
        </w:pBdr>
        <w:spacing w:after="0" w:line="480" w:lineRule="auto"/>
        <w:rPr>
          <w:bCs/>
        </w:rPr>
      </w:pPr>
      <w:r w:rsidRPr="00F874F9">
        <w:rPr>
          <w:bCs/>
        </w:rPr>
        <w:t>Development of laboratory inventories across all partner institutions to make smart decisions about purchase and utilisation of equipment</w:t>
      </w:r>
    </w:p>
    <w:p w14:paraId="440EFEA7" w14:textId="77777777" w:rsidR="00042B3A" w:rsidRPr="00F874F9" w:rsidRDefault="00042B3A" w:rsidP="0028690E">
      <w:pPr>
        <w:pStyle w:val="ListParagraph"/>
        <w:spacing w:after="0" w:line="480" w:lineRule="auto"/>
        <w:ind w:left="360"/>
        <w:rPr>
          <w:bCs/>
        </w:rPr>
      </w:pPr>
    </w:p>
    <w:p w14:paraId="1B934DB6" w14:textId="3B53C4BA" w:rsidR="004E4A54" w:rsidRPr="00F874F9" w:rsidRDefault="004E4A54" w:rsidP="0028690E">
      <w:pPr>
        <w:pStyle w:val="Heading1"/>
        <w:spacing w:before="0" w:line="480" w:lineRule="auto"/>
      </w:pPr>
      <w:r w:rsidRPr="00962F42">
        <w:rPr>
          <w:rFonts w:asciiTheme="minorHAnsi" w:hAnsiTheme="minorHAnsi"/>
          <w:b/>
          <w:color w:val="auto"/>
          <w:sz w:val="36"/>
          <w:szCs w:val="36"/>
        </w:rPr>
        <w:t>Discussion</w:t>
      </w:r>
    </w:p>
    <w:p w14:paraId="7D18F3CA" w14:textId="77777777" w:rsidR="00AA67EC" w:rsidRDefault="00ED01BE" w:rsidP="0028690E">
      <w:pPr>
        <w:spacing w:after="0" w:line="480" w:lineRule="auto"/>
      </w:pPr>
      <w:r>
        <w:rPr>
          <w:rFonts w:cs="Corbel"/>
        </w:rPr>
        <w:t>This study describes an assessment of the research capacity of African institutions</w:t>
      </w:r>
      <w:r w:rsidRPr="00F55AD8">
        <w:rPr>
          <w:rFonts w:cs="Corbel"/>
        </w:rPr>
        <w:t xml:space="preserve"> </w:t>
      </w:r>
      <w:r>
        <w:rPr>
          <w:rFonts w:cs="Corbel"/>
        </w:rPr>
        <w:t>against a benchmark</w:t>
      </w:r>
      <w:r w:rsidR="0039645A">
        <w:rPr>
          <w:rFonts w:cs="Corbel"/>
        </w:rPr>
        <w:t>,</w:t>
      </w:r>
      <w:r>
        <w:rPr>
          <w:rFonts w:cs="Corbel"/>
        </w:rPr>
        <w:t xml:space="preserve"> </w:t>
      </w:r>
      <w:r w:rsidR="00E35068">
        <w:rPr>
          <w:rFonts w:cs="Corbel"/>
        </w:rPr>
        <w:t xml:space="preserve">using information </w:t>
      </w:r>
      <w:r>
        <w:rPr>
          <w:rFonts w:cs="Corbel"/>
        </w:rPr>
        <w:t>from multiple perspectives within the institutions</w:t>
      </w:r>
      <w:r w:rsidR="0039645A">
        <w:rPr>
          <w:rFonts w:cs="Corbel"/>
        </w:rPr>
        <w:t xml:space="preserve"> (i.e. </w:t>
      </w:r>
      <w:r>
        <w:rPr>
          <w:rFonts w:cs="Corbel"/>
        </w:rPr>
        <w:t>from senior officials and academics to research students, laboratory technicians and research support staff</w:t>
      </w:r>
      <w:r w:rsidR="0039645A">
        <w:rPr>
          <w:rFonts w:cs="Corbel"/>
        </w:rPr>
        <w:t>)</w:t>
      </w:r>
      <w:r>
        <w:rPr>
          <w:rFonts w:cs="Corbel"/>
        </w:rPr>
        <w:t xml:space="preserve">. </w:t>
      </w:r>
      <w:r w:rsidR="00E35068">
        <w:rPr>
          <w:rFonts w:cs="Corbel"/>
        </w:rPr>
        <w:t xml:space="preserve">The assessment covered </w:t>
      </w:r>
      <w:r w:rsidRPr="00F874F9">
        <w:t xml:space="preserve">all the </w:t>
      </w:r>
      <w:r w:rsidR="00E35068">
        <w:t xml:space="preserve">components that need to be in place </w:t>
      </w:r>
      <w:r w:rsidRPr="00F874F9">
        <w:t>for an institution to undertake international</w:t>
      </w:r>
      <w:r w:rsidR="0039645A">
        <w:t>-</w:t>
      </w:r>
      <w:r w:rsidRPr="00F874F9">
        <w:t>standard scientific research</w:t>
      </w:r>
      <w:r w:rsidR="00E35068">
        <w:t xml:space="preserve">. The use of the same benchmark, research methods and data collection tools across </w:t>
      </w:r>
      <w:r w:rsidR="0039645A">
        <w:t xml:space="preserve">the </w:t>
      </w:r>
      <w:r w:rsidR="00E35068">
        <w:t xml:space="preserve">different institutions not only assisted the institutions themselves to gain a holistic view of their research capacity, but it also enabled commonalities in research capacity strengths and gaps </w:t>
      </w:r>
      <w:r w:rsidR="005E6633">
        <w:t xml:space="preserve">among the institutions </w:t>
      </w:r>
      <w:r w:rsidR="00E35068">
        <w:t>to be identified</w:t>
      </w:r>
      <w:r w:rsidR="005E6633">
        <w:t xml:space="preserve">. These </w:t>
      </w:r>
      <w:r w:rsidR="00E35068">
        <w:t>could be useful targets for</w:t>
      </w:r>
      <w:r w:rsidR="00B905F3">
        <w:t xml:space="preserve"> external development agencies.</w:t>
      </w:r>
    </w:p>
    <w:p w14:paraId="414D80D2" w14:textId="77777777" w:rsidR="00C06876" w:rsidRDefault="00C06876" w:rsidP="0028690E">
      <w:pPr>
        <w:spacing w:after="0" w:line="480" w:lineRule="auto"/>
      </w:pPr>
    </w:p>
    <w:p w14:paraId="5553DC9E" w14:textId="46989BE1" w:rsidR="00CD2E92" w:rsidRPr="002366C1" w:rsidRDefault="00C06876" w:rsidP="0028690E">
      <w:pPr>
        <w:spacing w:after="0" w:line="480" w:lineRule="auto"/>
      </w:pPr>
      <w:r w:rsidRPr="00F874F9">
        <w:t>Des</w:t>
      </w:r>
      <w:r>
        <w:t>pi</w:t>
      </w:r>
      <w:r w:rsidRPr="00F874F9">
        <w:t xml:space="preserve">te the importance of understanding the </w:t>
      </w:r>
      <w:r w:rsidR="005E6633">
        <w:t xml:space="preserve">landscape of </w:t>
      </w:r>
      <w:r w:rsidRPr="00F874F9">
        <w:t xml:space="preserve">existing capacity for </w:t>
      </w:r>
      <w:r>
        <w:t>conducting high</w:t>
      </w:r>
      <w:r w:rsidRPr="00F874F9">
        <w:t xml:space="preserve"> quality </w:t>
      </w:r>
      <w:r w:rsidR="003B1023">
        <w:t xml:space="preserve">natural </w:t>
      </w:r>
      <w:r>
        <w:t>science</w:t>
      </w:r>
      <w:r w:rsidR="003B1023">
        <w:t>s</w:t>
      </w:r>
      <w:r>
        <w:t xml:space="preserve"> </w:t>
      </w:r>
      <w:r w:rsidRPr="00F874F9">
        <w:t xml:space="preserve">research in Africa, </w:t>
      </w:r>
      <w:r>
        <w:t xml:space="preserve">we were unable to find any </w:t>
      </w:r>
      <w:r w:rsidR="005E6633">
        <w:t>published studies</w:t>
      </w:r>
      <w:r w:rsidR="0091352A">
        <w:t xml:space="preserve"> that </w:t>
      </w:r>
      <w:r w:rsidR="005E6633">
        <w:t xml:space="preserve">had </w:t>
      </w:r>
      <w:r w:rsidR="0091352A">
        <w:t>systematically document</w:t>
      </w:r>
      <w:r w:rsidR="005E6633">
        <w:t>ed</w:t>
      </w:r>
      <w:r w:rsidR="0091352A">
        <w:t xml:space="preserve"> institutional research capacity for</w:t>
      </w:r>
      <w:r w:rsidR="003B1023">
        <w:t xml:space="preserve"> natural</w:t>
      </w:r>
      <w:r w:rsidR="0091352A">
        <w:t xml:space="preserve"> science</w:t>
      </w:r>
      <w:r w:rsidR="003B1023">
        <w:t>s</w:t>
      </w:r>
      <w:r w:rsidR="0084568F">
        <w:t xml:space="preserve"> in Africa</w:t>
      </w:r>
      <w:r w:rsidR="0091352A">
        <w:t xml:space="preserve">. The few </w:t>
      </w:r>
      <w:r w:rsidRPr="00F874F9">
        <w:t xml:space="preserve">published studies </w:t>
      </w:r>
      <w:r w:rsidR="00091219">
        <w:t>on</w:t>
      </w:r>
      <w:r w:rsidRPr="00F874F9">
        <w:t xml:space="preserve"> assess</w:t>
      </w:r>
      <w:r w:rsidR="00091219">
        <w:t xml:space="preserve">ments of </w:t>
      </w:r>
      <w:r w:rsidR="0091352A">
        <w:t xml:space="preserve">research </w:t>
      </w:r>
      <w:r w:rsidRPr="00F874F9">
        <w:t xml:space="preserve">capacity </w:t>
      </w:r>
      <w:r w:rsidR="0091352A">
        <w:t xml:space="preserve">in </w:t>
      </w:r>
      <w:r w:rsidRPr="00F874F9">
        <w:t>African research institutions</w:t>
      </w:r>
      <w:r w:rsidR="0091352A">
        <w:t xml:space="preserve"> have focused on health </w:t>
      </w:r>
      <w:r w:rsidR="0091352A" w:rsidRPr="002366C1">
        <w:t>research [</w:t>
      </w:r>
      <w:r w:rsidR="0043354A">
        <w:t>23</w:t>
      </w:r>
      <w:r w:rsidR="002463F9" w:rsidRPr="002366C1">
        <w:t>,</w:t>
      </w:r>
      <w:r w:rsidR="00D46878" w:rsidRPr="002366C1">
        <w:t xml:space="preserve"> </w:t>
      </w:r>
      <w:r w:rsidR="0043354A">
        <w:t>24</w:t>
      </w:r>
      <w:r w:rsidR="002463F9" w:rsidRPr="002366C1">
        <w:t>,</w:t>
      </w:r>
      <w:r w:rsidR="00D46878" w:rsidRPr="002366C1">
        <w:t xml:space="preserve"> </w:t>
      </w:r>
      <w:r w:rsidR="0043354A">
        <w:t>29</w:t>
      </w:r>
      <w:r w:rsidR="0091352A" w:rsidRPr="002366C1">
        <w:t>] or on quality assurance systems [</w:t>
      </w:r>
      <w:r w:rsidR="0043354A">
        <w:t>30-31</w:t>
      </w:r>
      <w:r w:rsidRPr="002366C1">
        <w:t>]</w:t>
      </w:r>
      <w:r w:rsidR="0091352A" w:rsidRPr="002366C1">
        <w:t xml:space="preserve">. Gaps in research capacity </w:t>
      </w:r>
      <w:r w:rsidR="00AC75D5" w:rsidRPr="002366C1">
        <w:t xml:space="preserve">in African institutions </w:t>
      </w:r>
      <w:r w:rsidR="0091352A" w:rsidRPr="002366C1">
        <w:t xml:space="preserve">have been described in the literature, predominantly in relation to specific areas of health research. These studies covered </w:t>
      </w:r>
      <w:r w:rsidR="00F84B4A" w:rsidRPr="002366C1">
        <w:t xml:space="preserve">health policy and system research </w:t>
      </w:r>
      <w:r w:rsidR="002463F9" w:rsidRPr="002366C1">
        <w:t>[</w:t>
      </w:r>
      <w:r w:rsidR="0043354A">
        <w:t>29</w:t>
      </w:r>
      <w:r w:rsidR="002733E1" w:rsidRPr="002366C1">
        <w:t>,</w:t>
      </w:r>
      <w:r w:rsidR="00D46878" w:rsidRPr="002366C1">
        <w:t xml:space="preserve"> </w:t>
      </w:r>
      <w:r w:rsidR="0043354A">
        <w:t>30</w:t>
      </w:r>
      <w:r w:rsidR="002463F9" w:rsidRPr="002366C1">
        <w:t>,</w:t>
      </w:r>
      <w:r w:rsidR="00D46878" w:rsidRPr="002366C1">
        <w:t xml:space="preserve"> </w:t>
      </w:r>
      <w:r w:rsidR="0043354A">
        <w:t>32</w:t>
      </w:r>
      <w:r w:rsidR="004C0576" w:rsidRPr="002366C1">
        <w:t>]</w:t>
      </w:r>
      <w:r w:rsidR="00476978" w:rsidRPr="002366C1">
        <w:t>, public health research [</w:t>
      </w:r>
      <w:r w:rsidR="0043354A">
        <w:t>33</w:t>
      </w:r>
      <w:r w:rsidR="00476978" w:rsidRPr="002366C1">
        <w:t>]</w:t>
      </w:r>
      <w:r w:rsidR="00F84B4A" w:rsidRPr="002366C1">
        <w:t>, health research management and support systems</w:t>
      </w:r>
      <w:r w:rsidR="00582EB9" w:rsidRPr="002366C1">
        <w:t xml:space="preserve"> [</w:t>
      </w:r>
      <w:r w:rsidR="0043354A">
        <w:t>23</w:t>
      </w:r>
      <w:r w:rsidR="00582EB9" w:rsidRPr="002366C1">
        <w:t>]</w:t>
      </w:r>
      <w:r w:rsidR="00FA5AFF" w:rsidRPr="002366C1">
        <w:t xml:space="preserve"> and doctoral programmes</w:t>
      </w:r>
      <w:r w:rsidR="00575F18" w:rsidRPr="002366C1">
        <w:t xml:space="preserve"> [</w:t>
      </w:r>
      <w:r w:rsidR="0043354A">
        <w:t>24</w:t>
      </w:r>
      <w:r w:rsidR="00575F18" w:rsidRPr="002366C1">
        <w:t>]</w:t>
      </w:r>
      <w:r w:rsidR="006C5A8D" w:rsidRPr="002366C1">
        <w:t xml:space="preserve">. </w:t>
      </w:r>
      <w:r w:rsidR="005E6633" w:rsidRPr="002366C1">
        <w:t>Although they</w:t>
      </w:r>
      <w:r w:rsidR="0091352A" w:rsidRPr="002366C1">
        <w:t xml:space="preserve"> focus</w:t>
      </w:r>
      <w:r w:rsidR="005E6633" w:rsidRPr="002366C1">
        <w:t>sed</w:t>
      </w:r>
      <w:r w:rsidR="0091352A" w:rsidRPr="002366C1">
        <w:t xml:space="preserve"> on health research, t</w:t>
      </w:r>
      <w:r w:rsidR="00543128" w:rsidRPr="002366C1">
        <w:t>he</w:t>
      </w:r>
      <w:r w:rsidR="0091352A" w:rsidRPr="002366C1">
        <w:t xml:space="preserve"> gaps in research capacity </w:t>
      </w:r>
      <w:r w:rsidR="0091352A" w:rsidRPr="002366C1">
        <w:lastRenderedPageBreak/>
        <w:t xml:space="preserve">described in these papers were </w:t>
      </w:r>
      <w:proofErr w:type="gramStart"/>
      <w:r w:rsidR="0091352A" w:rsidRPr="002366C1">
        <w:t>similar to</w:t>
      </w:r>
      <w:proofErr w:type="gramEnd"/>
      <w:r w:rsidR="0091352A" w:rsidRPr="002366C1">
        <w:t xml:space="preserve"> those that were identified through our study </w:t>
      </w:r>
      <w:r w:rsidR="00CD2E92" w:rsidRPr="002366C1">
        <w:t xml:space="preserve">and ranged from a lack of policies and strategies, limited training opportunities and problems with space, resources and connectivity, to weak laboratories, and cumbersome </w:t>
      </w:r>
      <w:r w:rsidR="00714105">
        <w:t>and slow procurement processes.</w:t>
      </w:r>
    </w:p>
    <w:p w14:paraId="0D437B8F" w14:textId="77777777" w:rsidR="00CD2E92" w:rsidRPr="002366C1" w:rsidRDefault="00CD2E92" w:rsidP="0028690E">
      <w:pPr>
        <w:spacing w:after="0" w:line="480" w:lineRule="auto"/>
      </w:pPr>
    </w:p>
    <w:p w14:paraId="70E7CE79" w14:textId="36D2222D" w:rsidR="00D33792" w:rsidRPr="002366C1" w:rsidRDefault="00CD2E92" w:rsidP="0028690E">
      <w:pPr>
        <w:spacing w:after="0" w:line="480" w:lineRule="auto"/>
      </w:pPr>
      <w:r w:rsidRPr="002366C1">
        <w:t>A</w:t>
      </w:r>
      <w:r w:rsidR="0091352A" w:rsidRPr="002366C1">
        <w:t xml:space="preserve"> </w:t>
      </w:r>
      <w:r w:rsidR="007349F4" w:rsidRPr="002366C1">
        <w:t>l</w:t>
      </w:r>
      <w:r w:rsidR="00B532E7" w:rsidRPr="002366C1">
        <w:t>ack of study</w:t>
      </w:r>
      <w:r w:rsidR="007349F4" w:rsidRPr="002366C1">
        <w:t xml:space="preserve">, office and teaching </w:t>
      </w:r>
      <w:r w:rsidR="00B532E7" w:rsidRPr="002366C1">
        <w:t>space</w:t>
      </w:r>
      <w:r w:rsidR="0002782E" w:rsidRPr="002366C1">
        <w:t xml:space="preserve">s </w:t>
      </w:r>
      <w:r w:rsidR="00582EB9" w:rsidRPr="002366C1">
        <w:t>[</w:t>
      </w:r>
      <w:r w:rsidR="0043354A">
        <w:t>24</w:t>
      </w:r>
      <w:r w:rsidR="00575F18" w:rsidRPr="002366C1">
        <w:t>,</w:t>
      </w:r>
      <w:r w:rsidR="00F41E19" w:rsidRPr="002366C1">
        <w:t xml:space="preserve"> </w:t>
      </w:r>
      <w:r w:rsidR="0043354A">
        <w:t>29</w:t>
      </w:r>
      <w:r w:rsidR="00582EB9" w:rsidRPr="002366C1">
        <w:t>]</w:t>
      </w:r>
      <w:r w:rsidR="007349F4" w:rsidRPr="002366C1">
        <w:t xml:space="preserve">, </w:t>
      </w:r>
      <w:r w:rsidR="00D12FF3" w:rsidRPr="002366C1">
        <w:t>irregularities in payments to PhD students [</w:t>
      </w:r>
      <w:r w:rsidR="0043354A">
        <w:t>23</w:t>
      </w:r>
      <w:r w:rsidR="00D12FF3" w:rsidRPr="002366C1">
        <w:t xml:space="preserve">], </w:t>
      </w:r>
      <w:r w:rsidR="007349F4" w:rsidRPr="002366C1">
        <w:t xml:space="preserve">limited access to </w:t>
      </w:r>
      <w:r w:rsidR="0091352A" w:rsidRPr="002366C1">
        <w:t>research</w:t>
      </w:r>
      <w:r w:rsidR="007349F4" w:rsidRPr="002366C1">
        <w:t xml:space="preserve"> resources</w:t>
      </w:r>
      <w:r w:rsidR="00147685" w:rsidRPr="002366C1">
        <w:t xml:space="preserve"> such as books, journals </w:t>
      </w:r>
      <w:bookmarkStart w:id="39" w:name="_Hlk521683882"/>
      <w:r w:rsidR="00582EB9" w:rsidRPr="002366C1">
        <w:t>and articles [</w:t>
      </w:r>
      <w:r w:rsidR="0043354A">
        <w:t>24</w:t>
      </w:r>
      <w:r w:rsidR="00582EB9" w:rsidRPr="002366C1">
        <w:t>]</w:t>
      </w:r>
      <w:r w:rsidR="00147685" w:rsidRPr="002366C1">
        <w:t xml:space="preserve"> </w:t>
      </w:r>
      <w:bookmarkEnd w:id="39"/>
      <w:r w:rsidR="00147685" w:rsidRPr="002366C1">
        <w:t>and</w:t>
      </w:r>
      <w:r w:rsidR="00696D6B" w:rsidRPr="002366C1">
        <w:t xml:space="preserve"> </w:t>
      </w:r>
      <w:r w:rsidR="00543128" w:rsidRPr="002366C1">
        <w:t>insufficient</w:t>
      </w:r>
      <w:r w:rsidR="00147685" w:rsidRPr="002366C1">
        <w:t xml:space="preserve"> personal computers, computer software, </w:t>
      </w:r>
      <w:r w:rsidR="00543128" w:rsidRPr="002366C1">
        <w:t>and</w:t>
      </w:r>
      <w:r w:rsidR="00696D6B" w:rsidRPr="002366C1">
        <w:t xml:space="preserve"> access to </w:t>
      </w:r>
      <w:r w:rsidR="00147685" w:rsidRPr="002366C1">
        <w:t xml:space="preserve">effective internet </w:t>
      </w:r>
      <w:r w:rsidR="00582EB9" w:rsidRPr="002366C1">
        <w:t>[</w:t>
      </w:r>
      <w:r w:rsidR="0043354A">
        <w:t>24</w:t>
      </w:r>
      <w:r w:rsidR="00582EB9" w:rsidRPr="002366C1">
        <w:t>,</w:t>
      </w:r>
      <w:r w:rsidR="00F41E19" w:rsidRPr="002366C1">
        <w:t xml:space="preserve"> </w:t>
      </w:r>
      <w:r w:rsidR="0043354A">
        <w:t>29</w:t>
      </w:r>
      <w:r w:rsidR="00582EB9" w:rsidRPr="002366C1">
        <w:t>,</w:t>
      </w:r>
      <w:r w:rsidR="00F41E19" w:rsidRPr="002366C1">
        <w:t xml:space="preserve"> </w:t>
      </w:r>
      <w:r w:rsidR="0043354A">
        <w:t>30</w:t>
      </w:r>
      <w:r w:rsidR="00582EB9" w:rsidRPr="002366C1">
        <w:t>]</w:t>
      </w:r>
      <w:r w:rsidRPr="002366C1">
        <w:t xml:space="preserve"> have been described in African universities in the context of doctoral training programmes and health policy research. </w:t>
      </w:r>
      <w:r w:rsidR="00D33792" w:rsidRPr="002366C1">
        <w:t xml:space="preserve">Functional, well-equipped laboratories are key to conducting experiments and carrying out quality research. </w:t>
      </w:r>
      <w:r w:rsidR="00AC4AC2" w:rsidRPr="002366C1">
        <w:t>Inadequate l</w:t>
      </w:r>
      <w:r w:rsidR="003F4BC1" w:rsidRPr="002366C1">
        <w:t>aborator</w:t>
      </w:r>
      <w:r w:rsidRPr="002366C1">
        <w:t xml:space="preserve">y capacity to support research, such as lack of </w:t>
      </w:r>
      <w:r w:rsidR="00AC4AC2" w:rsidRPr="002366C1">
        <w:t>equipment</w:t>
      </w:r>
      <w:r w:rsidRPr="002366C1">
        <w:t xml:space="preserve">, poor maintenance </w:t>
      </w:r>
      <w:r w:rsidR="00B33426" w:rsidRPr="002366C1">
        <w:t xml:space="preserve">and </w:t>
      </w:r>
      <w:r w:rsidRPr="002366C1">
        <w:t xml:space="preserve">inadequate </w:t>
      </w:r>
      <w:r w:rsidR="00AC4AC2" w:rsidRPr="002366C1">
        <w:t xml:space="preserve">space </w:t>
      </w:r>
      <w:r w:rsidR="00543128" w:rsidRPr="002366C1">
        <w:t xml:space="preserve">have been described </w:t>
      </w:r>
      <w:r w:rsidR="00D33792" w:rsidRPr="002366C1">
        <w:t xml:space="preserve">in other studies </w:t>
      </w:r>
      <w:r w:rsidR="00543128" w:rsidRPr="002366C1">
        <w:t xml:space="preserve">in </w:t>
      </w:r>
      <w:r w:rsidRPr="002366C1">
        <w:t xml:space="preserve">relation to PhD programmes and science and technology research </w:t>
      </w:r>
      <w:r w:rsidR="00582EB9" w:rsidRPr="002366C1">
        <w:t>[</w:t>
      </w:r>
      <w:r w:rsidR="0043354A">
        <w:t>23</w:t>
      </w:r>
      <w:r w:rsidR="00582EB9" w:rsidRPr="002366C1">
        <w:t xml:space="preserve">, </w:t>
      </w:r>
      <w:r w:rsidR="0043354A">
        <w:t>34</w:t>
      </w:r>
      <w:r w:rsidR="00B33426" w:rsidRPr="002366C1">
        <w:t xml:space="preserve">, </w:t>
      </w:r>
      <w:r w:rsidR="0043354A">
        <w:t>35</w:t>
      </w:r>
      <w:r w:rsidR="00582EB9" w:rsidRPr="002366C1">
        <w:t xml:space="preserve">]. </w:t>
      </w:r>
      <w:r w:rsidR="00F33EBF" w:rsidRPr="002366C1">
        <w:t xml:space="preserve">Inefficient procurement systems </w:t>
      </w:r>
      <w:r w:rsidR="00B33426" w:rsidRPr="002366C1">
        <w:t>coupled with complex custom</w:t>
      </w:r>
      <w:r w:rsidR="005E6633" w:rsidRPr="002366C1">
        <w:t>s</w:t>
      </w:r>
      <w:r w:rsidR="00B33426" w:rsidRPr="002366C1">
        <w:t xml:space="preserve"> regulations appear to be </w:t>
      </w:r>
      <w:r w:rsidR="00F33EBF" w:rsidRPr="002366C1">
        <w:t xml:space="preserve">common </w:t>
      </w:r>
      <w:r w:rsidR="00D33792" w:rsidRPr="002366C1">
        <w:t xml:space="preserve">time-consuming challenges that result in significant delays </w:t>
      </w:r>
      <w:r w:rsidR="00F33EBF" w:rsidRPr="002366C1">
        <w:t>and</w:t>
      </w:r>
      <w:r w:rsidR="00B33426" w:rsidRPr="002366C1">
        <w:t xml:space="preserve"> are a major hindrance to the efficient management of research projects </w:t>
      </w:r>
      <w:r w:rsidR="0019569C" w:rsidRPr="002366C1">
        <w:t>[</w:t>
      </w:r>
      <w:r w:rsidR="0043354A">
        <w:t>23</w:t>
      </w:r>
      <w:r w:rsidR="0019569C" w:rsidRPr="002366C1">
        <w:t>]</w:t>
      </w:r>
      <w:r w:rsidR="003E5E6C" w:rsidRPr="002366C1">
        <w:t>.</w:t>
      </w:r>
      <w:r w:rsidR="00D33792" w:rsidRPr="002366C1">
        <w:t xml:space="preserve"> </w:t>
      </w:r>
      <w:r w:rsidR="00AC4AC2" w:rsidRPr="002366C1">
        <w:rPr>
          <w:rFonts w:eastAsia="Calibri" w:cs="Times New Roman"/>
        </w:rPr>
        <w:t>Achieving international laboratory accreditation</w:t>
      </w:r>
      <w:r w:rsidR="00D33792" w:rsidRPr="002366C1">
        <w:rPr>
          <w:rFonts w:eastAsia="Calibri" w:cs="Times New Roman"/>
        </w:rPr>
        <w:t xml:space="preserve"> is an aspiration for some </w:t>
      </w:r>
      <w:r w:rsidR="00AC4AC2" w:rsidRPr="002366C1">
        <w:rPr>
          <w:rFonts w:eastAsia="Calibri" w:cs="Times New Roman"/>
        </w:rPr>
        <w:t xml:space="preserve">institutions </w:t>
      </w:r>
      <w:r w:rsidR="00D33792" w:rsidRPr="002366C1">
        <w:rPr>
          <w:rFonts w:eastAsia="Calibri" w:cs="Times New Roman"/>
        </w:rPr>
        <w:t xml:space="preserve">since it would improve their competitiveness and help to attract </w:t>
      </w:r>
      <w:r w:rsidR="00AC4AC2" w:rsidRPr="002366C1">
        <w:rPr>
          <w:rFonts w:eastAsia="Calibri" w:cs="Times New Roman"/>
        </w:rPr>
        <w:t>interna</w:t>
      </w:r>
      <w:r w:rsidR="005E6633" w:rsidRPr="002366C1">
        <w:rPr>
          <w:rFonts w:eastAsia="Calibri" w:cs="Times New Roman"/>
        </w:rPr>
        <w:t xml:space="preserve">tional research partners. A </w:t>
      </w:r>
      <w:r w:rsidR="00AC4AC2" w:rsidRPr="002366C1">
        <w:rPr>
          <w:rFonts w:eastAsia="Calibri" w:cs="Times New Roman"/>
        </w:rPr>
        <w:t xml:space="preserve">stepwise </w:t>
      </w:r>
      <w:r w:rsidR="005E6633" w:rsidRPr="002366C1">
        <w:rPr>
          <w:rFonts w:eastAsia="Calibri" w:cs="Times New Roman"/>
        </w:rPr>
        <w:t xml:space="preserve">process </w:t>
      </w:r>
      <w:r w:rsidR="00AC4AC2" w:rsidRPr="002366C1">
        <w:rPr>
          <w:rFonts w:eastAsia="Calibri" w:cs="Times New Roman"/>
        </w:rPr>
        <w:t>to achieve accreditation, as has been done for African diagnostic laboratories</w:t>
      </w:r>
      <w:r w:rsidR="002E6560" w:rsidRPr="002366C1">
        <w:rPr>
          <w:rFonts w:eastAsia="Calibri" w:cs="Times New Roman"/>
        </w:rPr>
        <w:t xml:space="preserve"> [</w:t>
      </w:r>
      <w:r w:rsidR="0043354A">
        <w:rPr>
          <w:rFonts w:eastAsia="Calibri" w:cs="Times New Roman"/>
        </w:rPr>
        <w:t>36</w:t>
      </w:r>
      <w:r w:rsidR="00B36D04" w:rsidRPr="002366C1">
        <w:rPr>
          <w:rFonts w:eastAsia="Calibri" w:cs="Times New Roman"/>
        </w:rPr>
        <w:t xml:space="preserve">] </w:t>
      </w:r>
      <w:r w:rsidR="00AC4AC2" w:rsidRPr="002366C1">
        <w:rPr>
          <w:rFonts w:eastAsia="Calibri" w:cs="Times New Roman"/>
        </w:rPr>
        <w:t xml:space="preserve">and blood transfusion services </w:t>
      </w:r>
      <w:r w:rsidR="002E6560" w:rsidRPr="002366C1">
        <w:rPr>
          <w:rFonts w:eastAsia="Calibri" w:cs="Times New Roman"/>
        </w:rPr>
        <w:t>[</w:t>
      </w:r>
      <w:r w:rsidR="0043354A">
        <w:rPr>
          <w:rFonts w:eastAsia="Calibri" w:cs="Times New Roman"/>
        </w:rPr>
        <w:t>37</w:t>
      </w:r>
      <w:r w:rsidR="002E6560" w:rsidRPr="002366C1">
        <w:rPr>
          <w:rFonts w:eastAsia="Calibri" w:cs="Times New Roman"/>
        </w:rPr>
        <w:t>]</w:t>
      </w:r>
      <w:r w:rsidR="005E6633" w:rsidRPr="002366C1">
        <w:rPr>
          <w:rFonts w:eastAsia="Calibri" w:cs="Times New Roman"/>
        </w:rPr>
        <w:t>,</w:t>
      </w:r>
      <w:r w:rsidR="00AC4AC2" w:rsidRPr="002366C1">
        <w:rPr>
          <w:rFonts w:eastAsia="Calibri" w:cs="Times New Roman"/>
        </w:rPr>
        <w:t xml:space="preserve"> </w:t>
      </w:r>
      <w:r w:rsidR="00D33792" w:rsidRPr="002366C1">
        <w:rPr>
          <w:rFonts w:eastAsia="Calibri" w:cs="Times New Roman"/>
        </w:rPr>
        <w:t xml:space="preserve">may be an option. Our study found that professional development of laboratory staff is often overlooked. As </w:t>
      </w:r>
      <w:r w:rsidR="005E6633" w:rsidRPr="002366C1">
        <w:rPr>
          <w:rFonts w:eastAsia="Calibri" w:cs="Times New Roman"/>
        </w:rPr>
        <w:t xml:space="preserve">laboratory staff are </w:t>
      </w:r>
      <w:r w:rsidR="00D33792" w:rsidRPr="002366C1">
        <w:rPr>
          <w:rFonts w:eastAsia="Calibri" w:cs="Times New Roman"/>
        </w:rPr>
        <w:t xml:space="preserve">key members of many research teams it is important to find ways </w:t>
      </w:r>
      <w:r w:rsidR="00AC4AC2" w:rsidRPr="002366C1">
        <w:rPr>
          <w:rFonts w:eastAsia="Calibri" w:cs="Times New Roman"/>
        </w:rPr>
        <w:t xml:space="preserve">to empower </w:t>
      </w:r>
      <w:r w:rsidR="005E6633" w:rsidRPr="002366C1">
        <w:rPr>
          <w:rFonts w:eastAsia="Calibri" w:cs="Times New Roman"/>
        </w:rPr>
        <w:t xml:space="preserve">them </w:t>
      </w:r>
      <w:r w:rsidR="00D33792" w:rsidRPr="002366C1">
        <w:rPr>
          <w:rFonts w:eastAsia="Calibri" w:cs="Times New Roman"/>
        </w:rPr>
        <w:t xml:space="preserve">and </w:t>
      </w:r>
      <w:r w:rsidR="005E6633" w:rsidRPr="002366C1">
        <w:rPr>
          <w:rFonts w:eastAsia="Calibri" w:cs="Times New Roman"/>
        </w:rPr>
        <w:t xml:space="preserve">to </w:t>
      </w:r>
      <w:r w:rsidR="00D33792" w:rsidRPr="002366C1">
        <w:rPr>
          <w:rFonts w:eastAsia="Calibri" w:cs="Times New Roman"/>
        </w:rPr>
        <w:t xml:space="preserve">develop </w:t>
      </w:r>
      <w:r w:rsidR="005E6633" w:rsidRPr="002366C1">
        <w:rPr>
          <w:rFonts w:eastAsia="Calibri" w:cs="Times New Roman"/>
        </w:rPr>
        <w:t>their</w:t>
      </w:r>
      <w:r w:rsidR="00AC4AC2" w:rsidRPr="002366C1">
        <w:rPr>
          <w:rFonts w:eastAsia="Calibri" w:cs="Times New Roman"/>
        </w:rPr>
        <w:t xml:space="preserve"> skills to maintain laboratory equipment</w:t>
      </w:r>
      <w:r w:rsidR="00D33792" w:rsidRPr="002366C1">
        <w:rPr>
          <w:rFonts w:eastAsia="Calibri" w:cs="Times New Roman"/>
        </w:rPr>
        <w:t xml:space="preserve"> and manage quality systems</w:t>
      </w:r>
      <w:r w:rsidR="00AC4AC2" w:rsidRPr="002366C1">
        <w:rPr>
          <w:rFonts w:eastAsia="Calibri" w:cs="Times New Roman"/>
        </w:rPr>
        <w:t xml:space="preserve">. </w:t>
      </w:r>
      <w:r w:rsidR="00D33792" w:rsidRPr="002366C1">
        <w:rPr>
          <w:rFonts w:eastAsia="Calibri" w:cs="Times New Roman"/>
        </w:rPr>
        <w:t xml:space="preserve">Opportunities for sharing equipment and for developing laboratory technicians emerged from our study as one of the most important benefits of belonging to a multi-national </w:t>
      </w:r>
      <w:r w:rsidR="00842649" w:rsidRPr="002366C1">
        <w:rPr>
          <w:rFonts w:eastAsia="Calibri" w:cs="Times New Roman"/>
        </w:rPr>
        <w:t xml:space="preserve">research </w:t>
      </w:r>
      <w:r w:rsidR="00D33792" w:rsidRPr="002366C1">
        <w:rPr>
          <w:rFonts w:eastAsia="Calibri" w:cs="Times New Roman"/>
        </w:rPr>
        <w:t xml:space="preserve">partnership such as </w:t>
      </w:r>
      <w:r w:rsidR="00AC4AC2" w:rsidRPr="002366C1">
        <w:t>the ACBI</w:t>
      </w:r>
      <w:r w:rsidR="00714105">
        <w:t>.</w:t>
      </w:r>
    </w:p>
    <w:p w14:paraId="07E8FAA3" w14:textId="77777777" w:rsidR="00EA1625" w:rsidRPr="002366C1" w:rsidRDefault="00EA1625" w:rsidP="0028690E">
      <w:pPr>
        <w:spacing w:after="0" w:line="480" w:lineRule="auto"/>
      </w:pPr>
    </w:p>
    <w:p w14:paraId="0FE3EA4D" w14:textId="793AFE24" w:rsidR="005E6633" w:rsidRPr="002366C1" w:rsidRDefault="009873AB" w:rsidP="0028690E">
      <w:pPr>
        <w:spacing w:after="0" w:line="480" w:lineRule="auto"/>
      </w:pPr>
      <w:r w:rsidRPr="002366C1">
        <w:lastRenderedPageBreak/>
        <w:t>The</w:t>
      </w:r>
      <w:r w:rsidR="00E773BA" w:rsidRPr="002366C1">
        <w:t xml:space="preserve"> limited </w:t>
      </w:r>
      <w:r w:rsidR="004767E8" w:rsidRPr="002366C1">
        <w:t xml:space="preserve">research-related </w:t>
      </w:r>
      <w:r w:rsidR="00E773BA" w:rsidRPr="002366C1">
        <w:t xml:space="preserve">training opportunities </w:t>
      </w:r>
      <w:r w:rsidR="004767E8" w:rsidRPr="002366C1">
        <w:t xml:space="preserve">in Africa </w:t>
      </w:r>
      <w:r w:rsidR="00E773BA" w:rsidRPr="002366C1">
        <w:t xml:space="preserve">and lack of coordinated </w:t>
      </w:r>
      <w:r w:rsidRPr="002366C1">
        <w:t xml:space="preserve">institutional training for researchers, </w:t>
      </w:r>
      <w:r w:rsidR="00E773BA" w:rsidRPr="002366C1">
        <w:t>academic</w:t>
      </w:r>
      <w:r w:rsidRPr="002366C1">
        <w:t xml:space="preserve"> and non-academic</w:t>
      </w:r>
      <w:r w:rsidR="00E773BA" w:rsidRPr="002366C1">
        <w:t xml:space="preserve"> staff</w:t>
      </w:r>
      <w:r w:rsidR="00041F30" w:rsidRPr="002366C1">
        <w:t>, including lab</w:t>
      </w:r>
      <w:r w:rsidR="00F33EBF" w:rsidRPr="002366C1">
        <w:t>oratory</w:t>
      </w:r>
      <w:r w:rsidR="00041F30" w:rsidRPr="002366C1">
        <w:t xml:space="preserve"> technicians</w:t>
      </w:r>
      <w:r w:rsidR="002E6560" w:rsidRPr="002366C1">
        <w:t xml:space="preserve"> [</w:t>
      </w:r>
      <w:r w:rsidR="0043354A">
        <w:t>23</w:t>
      </w:r>
      <w:r w:rsidR="002E6560" w:rsidRPr="002366C1">
        <w:t>] and PhD students [</w:t>
      </w:r>
      <w:r w:rsidR="0043354A">
        <w:t>24</w:t>
      </w:r>
      <w:r w:rsidR="002E6560" w:rsidRPr="002366C1">
        <w:t>]</w:t>
      </w:r>
      <w:r w:rsidRPr="002366C1">
        <w:t xml:space="preserve"> </w:t>
      </w:r>
      <w:r w:rsidR="004767E8" w:rsidRPr="002366C1">
        <w:t xml:space="preserve">that we found in our study have </w:t>
      </w:r>
      <w:r w:rsidR="00F33EBF" w:rsidRPr="002366C1">
        <w:t xml:space="preserve">been </w:t>
      </w:r>
      <w:r w:rsidR="004767E8" w:rsidRPr="002366C1">
        <w:t>described in other studies</w:t>
      </w:r>
      <w:r w:rsidRPr="002366C1">
        <w:t xml:space="preserve">. </w:t>
      </w:r>
      <w:r w:rsidR="004767E8" w:rsidRPr="002366C1">
        <w:t>T</w:t>
      </w:r>
      <w:r w:rsidRPr="002366C1">
        <w:t>he high teachi</w:t>
      </w:r>
      <w:r w:rsidR="002E6560" w:rsidRPr="002366C1">
        <w:t xml:space="preserve">ng and administrative workload </w:t>
      </w:r>
      <w:r w:rsidR="004767E8" w:rsidRPr="002366C1">
        <w:t xml:space="preserve">experienced by research staff can </w:t>
      </w:r>
      <w:r w:rsidRPr="002366C1">
        <w:t xml:space="preserve">impact </w:t>
      </w:r>
      <w:r w:rsidR="004767E8" w:rsidRPr="002366C1">
        <w:t xml:space="preserve">negatively on </w:t>
      </w:r>
      <w:r w:rsidRPr="002366C1">
        <w:t xml:space="preserve">the quality </w:t>
      </w:r>
      <w:r w:rsidR="004767E8" w:rsidRPr="002366C1">
        <w:t xml:space="preserve">of their own research and their ability to supervise the research of others including </w:t>
      </w:r>
      <w:r w:rsidRPr="002366C1">
        <w:t>PhD students</w:t>
      </w:r>
      <w:r w:rsidR="004767E8" w:rsidRPr="002366C1">
        <w:t xml:space="preserve"> [</w:t>
      </w:r>
      <w:r w:rsidR="0043354A">
        <w:t>23</w:t>
      </w:r>
      <w:r w:rsidR="004767E8" w:rsidRPr="002366C1">
        <w:t>]</w:t>
      </w:r>
      <w:r w:rsidRPr="002366C1">
        <w:t xml:space="preserve">. </w:t>
      </w:r>
      <w:r w:rsidR="004767E8" w:rsidRPr="002366C1">
        <w:t>Our findings, and those from other studies</w:t>
      </w:r>
      <w:r w:rsidR="005E6633" w:rsidRPr="002366C1">
        <w:t xml:space="preserve">, indicate a need for </w:t>
      </w:r>
      <w:r w:rsidR="00117736" w:rsidRPr="002366C1">
        <w:t xml:space="preserve">regular appraisals and </w:t>
      </w:r>
      <w:r w:rsidR="004767E8" w:rsidRPr="002366C1">
        <w:t>formal review</w:t>
      </w:r>
      <w:r w:rsidR="005E6633" w:rsidRPr="002366C1">
        <w:t>s</w:t>
      </w:r>
      <w:r w:rsidR="004767E8" w:rsidRPr="002366C1">
        <w:t xml:space="preserve"> </w:t>
      </w:r>
      <w:r w:rsidR="00117736" w:rsidRPr="002366C1">
        <w:t xml:space="preserve">of </w:t>
      </w:r>
      <w:r w:rsidR="005E6633" w:rsidRPr="002366C1">
        <w:t xml:space="preserve">individuals’ </w:t>
      </w:r>
      <w:r w:rsidR="00117736" w:rsidRPr="002366C1">
        <w:t xml:space="preserve">training needs. This </w:t>
      </w:r>
      <w:r w:rsidR="004767E8" w:rsidRPr="002366C1">
        <w:t>would help to streamline and institutionalise high-quality research-related training and make sure it is tailored to t</w:t>
      </w:r>
      <w:r w:rsidR="00714105">
        <w:t>he needs of the research staff.</w:t>
      </w:r>
    </w:p>
    <w:p w14:paraId="35A05075" w14:textId="77777777" w:rsidR="005E6633" w:rsidRPr="002366C1" w:rsidRDefault="005E6633" w:rsidP="0028690E">
      <w:pPr>
        <w:spacing w:after="0" w:line="480" w:lineRule="auto"/>
      </w:pPr>
    </w:p>
    <w:p w14:paraId="623B7317" w14:textId="5892E4B7" w:rsidR="002A4707" w:rsidRDefault="00A61445" w:rsidP="0028690E">
      <w:pPr>
        <w:spacing w:after="0" w:line="480" w:lineRule="auto"/>
      </w:pPr>
      <w:r w:rsidRPr="002366C1">
        <w:t>Our study, and a previous study, found that PhD students experienced slow registration processes, inadequate or absent inductions, and delays in completing final PhD examinations [</w:t>
      </w:r>
      <w:r w:rsidR="0043354A">
        <w:t>24</w:t>
      </w:r>
      <w:r w:rsidRPr="002366C1">
        <w:t>]</w:t>
      </w:r>
      <w:r w:rsidR="005E6633" w:rsidRPr="002366C1">
        <w:t>. W</w:t>
      </w:r>
      <w:r w:rsidRPr="002366C1">
        <w:t xml:space="preserve">e found evidence that </w:t>
      </w:r>
      <w:r w:rsidR="00F33EBF" w:rsidRPr="002366C1">
        <w:t>s</w:t>
      </w:r>
      <w:r w:rsidR="001304B5" w:rsidRPr="002366C1">
        <w:t xml:space="preserve">ome </w:t>
      </w:r>
      <w:r w:rsidRPr="002366C1">
        <w:t>institutions</w:t>
      </w:r>
      <w:r w:rsidR="001304B5" w:rsidRPr="002366C1">
        <w:t xml:space="preserve"> are beginning to address the latter through </w:t>
      </w:r>
      <w:r w:rsidRPr="002366C1">
        <w:t>increased incentives for external examiners.</w:t>
      </w:r>
      <w:r w:rsidR="00162E62" w:rsidRPr="002366C1">
        <w:t xml:space="preserve"> </w:t>
      </w:r>
      <w:r w:rsidR="00074BF8" w:rsidRPr="002366C1">
        <w:t xml:space="preserve">At institutional level, and </w:t>
      </w:r>
      <w:proofErr w:type="gramStart"/>
      <w:r w:rsidR="00074BF8" w:rsidRPr="002366C1">
        <w:t>similar to</w:t>
      </w:r>
      <w:proofErr w:type="gramEnd"/>
      <w:r w:rsidR="00074BF8" w:rsidRPr="002366C1">
        <w:t xml:space="preserve"> previous reports, we found little evidence that research priorities </w:t>
      </w:r>
      <w:r w:rsidR="005E6633" w:rsidRPr="002366C1">
        <w:t>at department level were aligned to</w:t>
      </w:r>
      <w:r w:rsidR="00074BF8" w:rsidRPr="002366C1">
        <w:t xml:space="preserve"> national needs</w:t>
      </w:r>
      <w:r w:rsidR="005E6633" w:rsidRPr="002366C1">
        <w:t xml:space="preserve">. There </w:t>
      </w:r>
      <w:r w:rsidR="00074BF8" w:rsidRPr="002366C1">
        <w:t xml:space="preserve">was a general lack of </w:t>
      </w:r>
      <w:r w:rsidR="00623F76" w:rsidRPr="002366C1">
        <w:t>research strateg</w:t>
      </w:r>
      <w:r w:rsidR="00074BF8" w:rsidRPr="002366C1">
        <w:t xml:space="preserve">ies and no electronic tracking of </w:t>
      </w:r>
      <w:r w:rsidR="00623F76" w:rsidRPr="002366C1">
        <w:t>research activities</w:t>
      </w:r>
      <w:r w:rsidR="00074BF8" w:rsidRPr="002366C1">
        <w:t xml:space="preserve"> within institutions [</w:t>
      </w:r>
      <w:r w:rsidR="0043354A">
        <w:t>23</w:t>
      </w:r>
      <w:r w:rsidR="00074BF8" w:rsidRPr="002366C1">
        <w:t xml:space="preserve">]. A consistent </w:t>
      </w:r>
      <w:r w:rsidR="00A624F5" w:rsidRPr="002366C1">
        <w:t xml:space="preserve">and very </w:t>
      </w:r>
      <w:r w:rsidR="00C65AD4" w:rsidRPr="002366C1">
        <w:t xml:space="preserve">positive </w:t>
      </w:r>
      <w:r w:rsidR="00074BF8" w:rsidRPr="002366C1">
        <w:t xml:space="preserve">finding from our study, which has been reflected in previous </w:t>
      </w:r>
      <w:r w:rsidR="005E6633" w:rsidRPr="002366C1">
        <w:t>reports</w:t>
      </w:r>
      <w:r w:rsidR="0018002F" w:rsidRPr="002366C1">
        <w:t xml:space="preserve"> [</w:t>
      </w:r>
      <w:r w:rsidR="00E2699C">
        <w:t>29</w:t>
      </w:r>
      <w:r w:rsidR="00575F18" w:rsidRPr="002366C1">
        <w:t>,</w:t>
      </w:r>
      <w:r w:rsidR="00E2699C">
        <w:t>38</w:t>
      </w:r>
      <w:r w:rsidR="0018002F" w:rsidRPr="002366C1">
        <w:t>]</w:t>
      </w:r>
      <w:r w:rsidR="00074BF8" w:rsidRPr="002366C1">
        <w:t xml:space="preserve">, was the </w:t>
      </w:r>
      <w:r w:rsidR="00C65AD4" w:rsidRPr="002366C1">
        <w:t xml:space="preserve">benefit </w:t>
      </w:r>
      <w:r w:rsidR="0018002F" w:rsidRPr="002366C1">
        <w:t xml:space="preserve">expressed by participants </w:t>
      </w:r>
      <w:r w:rsidR="00C65AD4" w:rsidRPr="002366C1">
        <w:t xml:space="preserve">of belonging to a multi-partner research consortium, and to a larger programme. </w:t>
      </w:r>
      <w:r w:rsidR="005B5CA6" w:rsidRPr="002366C1">
        <w:t xml:space="preserve">In particular, the nature of the ACBI, with annual </w:t>
      </w:r>
      <w:r w:rsidR="005B5CA6">
        <w:t xml:space="preserve">programme-wide meetings, and regular consortium level meetings and communication platforms, fostered both North-South and </w:t>
      </w:r>
      <w:r w:rsidR="005A4A5B" w:rsidRPr="00F874F9">
        <w:t>South-South</w:t>
      </w:r>
      <w:r w:rsidR="005B5CA6">
        <w:t xml:space="preserve"> partnerships which facilitated </w:t>
      </w:r>
      <w:r w:rsidR="005A4A5B" w:rsidRPr="00F874F9">
        <w:t>joint publications</w:t>
      </w:r>
      <w:r w:rsidR="005B5CA6">
        <w:t xml:space="preserve"> and funding applications</w:t>
      </w:r>
      <w:r w:rsidR="005A4A5B" w:rsidRPr="00F874F9">
        <w:t xml:space="preserve">. </w:t>
      </w:r>
      <w:r w:rsidR="005E6633">
        <w:t xml:space="preserve">Further research comparing the </w:t>
      </w:r>
      <w:r w:rsidR="00493830">
        <w:t xml:space="preserve">effectiveness of research </w:t>
      </w:r>
      <w:r w:rsidR="005E6633">
        <w:t xml:space="preserve">consortia </w:t>
      </w:r>
      <w:r w:rsidR="00493830">
        <w:t xml:space="preserve">compared to </w:t>
      </w:r>
      <w:r w:rsidR="005E6633">
        <w:t>other mode</w:t>
      </w:r>
      <w:r w:rsidR="00493830">
        <w:t>l</w:t>
      </w:r>
      <w:r w:rsidR="005E6633">
        <w:t xml:space="preserve">s </w:t>
      </w:r>
      <w:r w:rsidR="00493830">
        <w:t xml:space="preserve">for strengthening </w:t>
      </w:r>
      <w:r w:rsidR="005E6633">
        <w:t xml:space="preserve">research capacity strengthening would be helpful in </w:t>
      </w:r>
      <w:r w:rsidR="00493830">
        <w:t>justifying expansion, or not, of inv</w:t>
      </w:r>
      <w:r w:rsidR="00714105">
        <w:t>estment in research consortia.</w:t>
      </w:r>
    </w:p>
    <w:p w14:paraId="1DBB2A5A" w14:textId="77777777" w:rsidR="00EA1625" w:rsidRPr="00F874F9" w:rsidRDefault="00EA1625" w:rsidP="0028690E">
      <w:pPr>
        <w:spacing w:after="0" w:line="480" w:lineRule="auto"/>
      </w:pPr>
    </w:p>
    <w:p w14:paraId="354CD13A" w14:textId="7CDFBAAC" w:rsidR="0028690E" w:rsidRDefault="00493830" w:rsidP="0028690E">
      <w:pPr>
        <w:spacing w:after="0" w:line="480" w:lineRule="auto"/>
      </w:pPr>
      <w:r w:rsidRPr="002366C1">
        <w:t xml:space="preserve">Our </w:t>
      </w:r>
      <w:r w:rsidR="00DF709A" w:rsidRPr="0028690E">
        <w:t xml:space="preserve">assessment </w:t>
      </w:r>
      <w:r w:rsidRPr="0028690E">
        <w:t xml:space="preserve">study </w:t>
      </w:r>
      <w:r w:rsidR="00DF709A" w:rsidRPr="0028690E">
        <w:t>had several strengths</w:t>
      </w:r>
      <w:r w:rsidR="009D3B38" w:rsidRPr="0028690E">
        <w:t xml:space="preserve">. The research process took account of the </w:t>
      </w:r>
      <w:r w:rsidR="00DF709A" w:rsidRPr="0028690E">
        <w:t>ACBI’s theory of change (</w:t>
      </w:r>
      <w:r w:rsidR="009D3B38" w:rsidRPr="0028690E">
        <w:t xml:space="preserve">supplementary file </w:t>
      </w:r>
      <w:r w:rsidR="00A31CC1" w:rsidRPr="0028690E">
        <w:t>2</w:t>
      </w:r>
      <w:r w:rsidR="00DF709A" w:rsidRPr="0028690E">
        <w:t>)</w:t>
      </w:r>
      <w:r w:rsidR="009D3B38" w:rsidRPr="0028690E">
        <w:t xml:space="preserve"> to make sure that the topics covered during data collection were </w:t>
      </w:r>
      <w:r w:rsidR="009D3B38" w:rsidRPr="0028690E">
        <w:lastRenderedPageBreak/>
        <w:t xml:space="preserve">aligned with the overall strategy of the programme. </w:t>
      </w:r>
      <w:r w:rsidR="00CC54F3" w:rsidRPr="0028690E">
        <w:t>T</w:t>
      </w:r>
      <w:r w:rsidR="00717DA8" w:rsidRPr="0028690E">
        <w:rPr>
          <w:rFonts w:cs="Times New Roman"/>
          <w:lang w:val="en"/>
        </w:rPr>
        <w:t xml:space="preserve">he use of </w:t>
      </w:r>
      <w:r w:rsidR="00CC54F3" w:rsidRPr="0028690E">
        <w:rPr>
          <w:rFonts w:cs="Times New Roman"/>
          <w:lang w:val="en"/>
        </w:rPr>
        <w:t xml:space="preserve">a benchmark and </w:t>
      </w:r>
      <w:r w:rsidRPr="0028690E">
        <w:rPr>
          <w:rFonts w:cs="Times New Roman"/>
          <w:lang w:val="en"/>
        </w:rPr>
        <w:t xml:space="preserve">a single </w:t>
      </w:r>
      <w:r w:rsidR="00CC54F3" w:rsidRPr="0028690E">
        <w:rPr>
          <w:rFonts w:cs="Times New Roman"/>
          <w:lang w:val="en"/>
        </w:rPr>
        <w:t xml:space="preserve">set of </w:t>
      </w:r>
      <w:r w:rsidR="00717DA8" w:rsidRPr="0028690E">
        <w:rPr>
          <w:rFonts w:cs="Times New Roman"/>
          <w:lang w:val="en"/>
        </w:rPr>
        <w:t>data collection tools meant that comparisons</w:t>
      </w:r>
      <w:r w:rsidR="00717DA8" w:rsidRPr="002366C1">
        <w:rPr>
          <w:rFonts w:cs="Times New Roman"/>
          <w:lang w:val="en"/>
        </w:rPr>
        <w:t xml:space="preserve"> could be made across institutions allowing common strengths and gaps to be identified</w:t>
      </w:r>
      <w:r w:rsidR="00F94EB4" w:rsidRPr="002366C1">
        <w:rPr>
          <w:rFonts w:cs="Times New Roman"/>
          <w:lang w:val="en"/>
        </w:rPr>
        <w:t>. Information</w:t>
      </w:r>
      <w:r w:rsidR="00DF709A" w:rsidRPr="002366C1">
        <w:t xml:space="preserve"> was gathered from </w:t>
      </w:r>
      <w:r w:rsidRPr="002366C1">
        <w:t xml:space="preserve">a range of </w:t>
      </w:r>
      <w:r w:rsidR="00DF709A" w:rsidRPr="002366C1">
        <w:t xml:space="preserve">cadres of staff involved in research in the </w:t>
      </w:r>
      <w:r w:rsidR="00CC54F3" w:rsidRPr="002366C1">
        <w:t>institutions,</w:t>
      </w:r>
      <w:r w:rsidR="009D3B38" w:rsidRPr="002366C1">
        <w:t xml:space="preserve"> so the data reflects multiple perspectives. The information provided by</w:t>
      </w:r>
      <w:r w:rsidR="0022408E" w:rsidRPr="002366C1">
        <w:t xml:space="preserve"> participants was verified by asking the same questions of more than one person </w:t>
      </w:r>
      <w:r w:rsidR="00DF709A" w:rsidRPr="002366C1">
        <w:t xml:space="preserve">which gives confidence in the validity of the findings. </w:t>
      </w:r>
      <w:r w:rsidR="0022408E" w:rsidRPr="002366C1">
        <w:t xml:space="preserve">The assessments were designed to provide high-level </w:t>
      </w:r>
      <w:proofErr w:type="gramStart"/>
      <w:r w:rsidR="0022408E" w:rsidRPr="002366C1">
        <w:t>information</w:t>
      </w:r>
      <w:proofErr w:type="gramEnd"/>
      <w:r w:rsidR="0022408E" w:rsidRPr="002366C1">
        <w:t xml:space="preserve"> </w:t>
      </w:r>
      <w:r w:rsidRPr="002366C1">
        <w:t>so</w:t>
      </w:r>
      <w:r w:rsidR="0022408E" w:rsidRPr="002366C1">
        <w:t xml:space="preserve"> the study did not </w:t>
      </w:r>
      <w:r w:rsidRPr="002366C1">
        <w:t>generate</w:t>
      </w:r>
      <w:r w:rsidR="0022408E" w:rsidRPr="002366C1">
        <w:t xml:space="preserve"> in-depth information on any particular theme. However, </w:t>
      </w:r>
      <w:r w:rsidR="00DF709A" w:rsidRPr="002366C1">
        <w:t xml:space="preserve">where </w:t>
      </w:r>
      <w:r w:rsidR="0022408E" w:rsidRPr="002366C1">
        <w:t xml:space="preserve">appropriate, </w:t>
      </w:r>
      <w:r w:rsidR="00DF709A" w:rsidRPr="002366C1">
        <w:t xml:space="preserve">we provided institutions with information about </w:t>
      </w:r>
      <w:r w:rsidR="0022408E" w:rsidRPr="002366C1">
        <w:t>more</w:t>
      </w:r>
      <w:r w:rsidR="00DF709A" w:rsidRPr="002366C1">
        <w:t xml:space="preserve"> detailed </w:t>
      </w:r>
      <w:r w:rsidR="0022408E" w:rsidRPr="002366C1">
        <w:t xml:space="preserve">processes for in-depth assessments </w:t>
      </w:r>
      <w:r w:rsidR="00DF709A" w:rsidRPr="002366C1">
        <w:t xml:space="preserve">(e.g. for stepwise laboratory accreditation, good financial management, PhD training). The </w:t>
      </w:r>
      <w:r w:rsidR="0022408E" w:rsidRPr="002366C1">
        <w:t xml:space="preserve">institutions were selected for on-site visits </w:t>
      </w:r>
      <w:r w:rsidR="00DF709A" w:rsidRPr="002366C1">
        <w:t>opportunistically based on the timing and location of consortium workshops in order to maximise interactions with all members of each consortium</w:t>
      </w:r>
      <w:r w:rsidR="0022408E" w:rsidRPr="002366C1">
        <w:t xml:space="preserve">. This meant that </w:t>
      </w:r>
      <w:r w:rsidR="00DF709A" w:rsidRPr="002366C1">
        <w:t>some institutions did not receive a visit and some stakeholders were unavailable or had limited time</w:t>
      </w:r>
      <w:r w:rsidR="00CC54F3" w:rsidRPr="002366C1">
        <w:t xml:space="preserve"> which may have resulted in some missing information from institutions</w:t>
      </w:r>
      <w:r w:rsidR="00DF709A" w:rsidRPr="002366C1">
        <w:t xml:space="preserve">. </w:t>
      </w:r>
      <w:r w:rsidR="00924DCE" w:rsidRPr="002366C1">
        <w:rPr>
          <w:rFonts w:cs="Times New Roman"/>
          <w:lang w:val="en"/>
        </w:rPr>
        <w:t xml:space="preserve">Findings from this study have already resulted in several improvements to the ACBI </w:t>
      </w:r>
      <w:proofErr w:type="spellStart"/>
      <w:r w:rsidR="00924DCE" w:rsidRPr="002366C1">
        <w:rPr>
          <w:rFonts w:cs="Times New Roman"/>
          <w:lang w:val="en"/>
        </w:rPr>
        <w:t>programme</w:t>
      </w:r>
      <w:proofErr w:type="spellEnd"/>
      <w:r w:rsidR="00924DCE" w:rsidRPr="002366C1">
        <w:rPr>
          <w:rFonts w:cs="Times New Roman"/>
          <w:lang w:val="en"/>
        </w:rPr>
        <w:t xml:space="preserve"> including </w:t>
      </w:r>
      <w:r w:rsidR="00924DCE" w:rsidRPr="002366C1">
        <w:t>more flexibility in the use of funds, refinements to the application form, increased emphasis on enhancing laboratory capacity and the establishment of a programme-wide communication platform.</w:t>
      </w:r>
    </w:p>
    <w:p w14:paraId="2E09552B" w14:textId="77777777" w:rsidR="0028690E" w:rsidRDefault="0028690E" w:rsidP="0028690E">
      <w:pPr>
        <w:spacing w:after="0" w:line="480" w:lineRule="auto"/>
      </w:pPr>
    </w:p>
    <w:p w14:paraId="322E5959" w14:textId="69E63864" w:rsidR="002A0E7D" w:rsidRDefault="00493830" w:rsidP="0028690E">
      <w:pPr>
        <w:spacing w:after="0" w:line="480" w:lineRule="auto"/>
        <w:rPr>
          <w:rFonts w:cs="Corbel"/>
        </w:rPr>
      </w:pPr>
      <w:r>
        <w:t xml:space="preserve">In common with a previous study, our study found that </w:t>
      </w:r>
      <w:proofErr w:type="gramStart"/>
      <w:r>
        <w:t>t</w:t>
      </w:r>
      <w:r w:rsidR="000B5815">
        <w:t>he majority of</w:t>
      </w:r>
      <w:proofErr w:type="gramEnd"/>
      <w:r w:rsidR="000B5815">
        <w:t xml:space="preserve"> gaps in research capacity within institutions can be </w:t>
      </w:r>
      <w:r w:rsidR="00E414DC">
        <w:t>addressed at</w:t>
      </w:r>
      <w:r w:rsidR="000B5815">
        <w:t xml:space="preserve"> little or no cost</w:t>
      </w:r>
      <w:r w:rsidR="00E414DC">
        <w:t xml:space="preserve"> by, for example, </w:t>
      </w:r>
      <w:r w:rsidR="00E414DC" w:rsidRPr="002366C1">
        <w:t>providing in-house training, establishing research seminars or developing policies, guidelines and handbooks</w:t>
      </w:r>
      <w:r w:rsidR="001D6E8B" w:rsidRPr="002366C1">
        <w:t xml:space="preserve"> [</w:t>
      </w:r>
      <w:r w:rsidR="00E2699C">
        <w:t>23</w:t>
      </w:r>
      <w:r w:rsidR="001D6E8B" w:rsidRPr="002366C1">
        <w:t>]</w:t>
      </w:r>
      <w:r w:rsidR="00E414DC" w:rsidRPr="002366C1">
        <w:t xml:space="preserve">. </w:t>
      </w:r>
      <w:r w:rsidR="003E2B7C" w:rsidRPr="002366C1">
        <w:t xml:space="preserve">The </w:t>
      </w:r>
      <w:r w:rsidR="00324F87" w:rsidRPr="002366C1">
        <w:t xml:space="preserve">widespread but hidden </w:t>
      </w:r>
      <w:r w:rsidR="003E2B7C" w:rsidRPr="002366C1">
        <w:t xml:space="preserve">phenomenon of cascading of information and resources from well-funded to less well-funded students </w:t>
      </w:r>
      <w:r w:rsidRPr="002366C1">
        <w:t xml:space="preserve">would </w:t>
      </w:r>
      <w:r w:rsidR="00324F87" w:rsidRPr="002366C1">
        <w:t>be worth exploring in more depth to understand how this could be utilised to widen participation and improve equity among students. S</w:t>
      </w:r>
      <w:r w:rsidR="00E414DC" w:rsidRPr="002366C1">
        <w:t xml:space="preserve">ome of the more intractable challenges in strengthening their research capacity </w:t>
      </w:r>
      <w:r w:rsidR="001D6E8B" w:rsidRPr="002366C1">
        <w:t>facing</w:t>
      </w:r>
      <w:r w:rsidR="00E414DC" w:rsidRPr="002366C1">
        <w:t xml:space="preserve"> institutions in Africa will take time to address and </w:t>
      </w:r>
      <w:r w:rsidR="001D6E8B" w:rsidRPr="002366C1">
        <w:t xml:space="preserve">will </w:t>
      </w:r>
      <w:r w:rsidR="00E414DC" w:rsidRPr="002366C1">
        <w:t xml:space="preserve">need external funds. </w:t>
      </w:r>
      <w:r w:rsidR="00863840" w:rsidRPr="002366C1">
        <w:t>However,</w:t>
      </w:r>
      <w:r w:rsidR="00E414DC" w:rsidRPr="002366C1">
        <w:t xml:space="preserve"> t</w:t>
      </w:r>
      <w:r w:rsidR="00CC54F3" w:rsidRPr="002366C1">
        <w:t xml:space="preserve">here are relatively few funders and international </w:t>
      </w:r>
      <w:r w:rsidR="00CC54F3" w:rsidRPr="002366C1">
        <w:lastRenderedPageBreak/>
        <w:t>organisations that focus on system-level research capacity strengthening [</w:t>
      </w:r>
      <w:r w:rsidR="00E2699C">
        <w:t>39</w:t>
      </w:r>
      <w:r w:rsidR="00CC54F3" w:rsidRPr="002366C1">
        <w:t>]</w:t>
      </w:r>
      <w:r w:rsidR="00C36E70" w:rsidRPr="002366C1">
        <w:t xml:space="preserve">. </w:t>
      </w:r>
      <w:r w:rsidR="00E414DC" w:rsidRPr="002366C1">
        <w:t>These a</w:t>
      </w:r>
      <w:r w:rsidR="00924DCE" w:rsidRPr="002366C1">
        <w:t xml:space="preserve">gencies </w:t>
      </w:r>
      <w:r w:rsidR="00924DCE" w:rsidRPr="002366C1">
        <w:rPr>
          <w:rFonts w:cs="Frutiger-Light"/>
        </w:rPr>
        <w:t xml:space="preserve">have called for </w:t>
      </w:r>
      <w:r w:rsidR="00814A04" w:rsidRPr="002366C1">
        <w:rPr>
          <w:rFonts w:cs="Frutiger-Light"/>
        </w:rPr>
        <w:t xml:space="preserve">a “significant re-think of the approach to capacity development” and </w:t>
      </w:r>
      <w:r w:rsidR="00924DCE" w:rsidRPr="002366C1">
        <w:rPr>
          <w:rFonts w:cs="Frutiger-Light"/>
        </w:rPr>
        <w:t>a shift</w:t>
      </w:r>
      <w:r w:rsidR="00924DCE" w:rsidRPr="002366C1">
        <w:rPr>
          <w:rFonts w:cs="Frutiger-Light"/>
          <w:shd w:val="clear" w:color="auto" w:fill="FFFFFF" w:themeFill="background1"/>
        </w:rPr>
        <w:t xml:space="preserve"> from </w:t>
      </w:r>
      <w:r w:rsidR="00924DCE" w:rsidRPr="002366C1">
        <w:rPr>
          <w:rFonts w:cs="Corbel"/>
          <w:shd w:val="clear" w:color="auto" w:fill="FFFFFF" w:themeFill="background1"/>
        </w:rPr>
        <w:t>reliance on external funding towards more national support from African</w:t>
      </w:r>
      <w:r w:rsidR="00924DCE" w:rsidRPr="002366C1">
        <w:rPr>
          <w:rFonts w:cs="Corbel"/>
        </w:rPr>
        <w:t xml:space="preserve"> governments</w:t>
      </w:r>
      <w:r w:rsidR="00C36E70" w:rsidRPr="002366C1">
        <w:rPr>
          <w:rFonts w:cs="Corbel"/>
        </w:rPr>
        <w:t xml:space="preserve"> with </w:t>
      </w:r>
      <w:r w:rsidR="00C36E70" w:rsidRPr="002366C1">
        <w:rPr>
          <w:rFonts w:cs="Arial"/>
          <w:shd w:val="clear" w:color="auto" w:fill="FFFFFF"/>
        </w:rPr>
        <w:t>more southern-led agendas and research management</w:t>
      </w:r>
      <w:r w:rsidR="00924DCE" w:rsidRPr="002366C1">
        <w:rPr>
          <w:rFonts w:cs="Corbel"/>
        </w:rPr>
        <w:t xml:space="preserve"> </w:t>
      </w:r>
      <w:r w:rsidR="001D2292" w:rsidRPr="002366C1">
        <w:rPr>
          <w:rFonts w:cs="Corbel"/>
        </w:rPr>
        <w:t>[</w:t>
      </w:r>
      <w:r w:rsidR="00E2699C">
        <w:rPr>
          <w:rFonts w:eastAsia="Times New Roman" w:cs="Arial"/>
          <w:lang w:eastAsia="en-GB"/>
        </w:rPr>
        <w:t>40-41</w:t>
      </w:r>
      <w:r w:rsidR="00924DCE" w:rsidRPr="002366C1">
        <w:rPr>
          <w:rFonts w:eastAsia="Times New Roman" w:cs="Arial"/>
          <w:lang w:eastAsia="en-GB"/>
        </w:rPr>
        <w:t>]</w:t>
      </w:r>
      <w:r w:rsidR="00924DCE" w:rsidRPr="002366C1">
        <w:rPr>
          <w:rFonts w:cs="Corbel"/>
        </w:rPr>
        <w:t>.</w:t>
      </w:r>
    </w:p>
    <w:p w14:paraId="400E4C7F" w14:textId="77777777" w:rsidR="0028690E" w:rsidRPr="002366C1" w:rsidRDefault="0028690E" w:rsidP="0028690E">
      <w:pPr>
        <w:spacing w:after="0" w:line="480" w:lineRule="auto"/>
        <w:rPr>
          <w:rFonts w:cs="Corbel"/>
        </w:rPr>
      </w:pPr>
    </w:p>
    <w:p w14:paraId="37267A3B" w14:textId="7212BF0D" w:rsidR="00F31967" w:rsidRDefault="00790974" w:rsidP="0028690E">
      <w:pPr>
        <w:spacing w:after="0" w:line="480" w:lineRule="auto"/>
      </w:pPr>
      <w:r w:rsidRPr="002366C1">
        <w:rPr>
          <w:rFonts w:cs="Corbel"/>
        </w:rPr>
        <w:t>There is understandable caution</w:t>
      </w:r>
      <w:r w:rsidR="00814A04" w:rsidRPr="002366C1">
        <w:rPr>
          <w:rFonts w:cs="Corbel"/>
        </w:rPr>
        <w:t xml:space="preserve"> about investing significantly in strengthening research capacity without </w:t>
      </w:r>
      <w:r w:rsidR="00924DCE" w:rsidRPr="002366C1">
        <w:t xml:space="preserve">standards and metrics against which </w:t>
      </w:r>
      <w:r w:rsidR="00493830" w:rsidRPr="002366C1">
        <w:t xml:space="preserve">such </w:t>
      </w:r>
      <w:r w:rsidR="00924DCE" w:rsidRPr="002366C1">
        <w:t xml:space="preserve">investments can be measured. </w:t>
      </w:r>
      <w:r w:rsidR="00814A04" w:rsidRPr="002366C1">
        <w:t xml:space="preserve">Our study has </w:t>
      </w:r>
      <w:r w:rsidR="001D6E8B" w:rsidRPr="002366C1">
        <w:t>identified</w:t>
      </w:r>
      <w:r w:rsidR="00814A04" w:rsidRPr="002366C1">
        <w:t xml:space="preserve"> specific areas that the institutions themselves find particularly challenging and which are recurring issues across diverse institutions </w:t>
      </w:r>
      <w:r w:rsidR="001D6E8B" w:rsidRPr="002366C1">
        <w:t>involved in</w:t>
      </w:r>
      <w:r w:rsidR="00814A04" w:rsidRPr="002366C1">
        <w:t xml:space="preserve"> </w:t>
      </w:r>
      <w:r w:rsidR="003B1023">
        <w:t xml:space="preserve">natural </w:t>
      </w:r>
      <w:r w:rsidR="00814A04" w:rsidRPr="002366C1">
        <w:t>science</w:t>
      </w:r>
      <w:r w:rsidR="003B1023">
        <w:t>s</w:t>
      </w:r>
      <w:r w:rsidR="00814A04" w:rsidRPr="002366C1">
        <w:t xml:space="preserve"> research</w:t>
      </w:r>
      <w:r w:rsidR="000D6965" w:rsidRPr="002366C1">
        <w:t xml:space="preserve"> </w:t>
      </w:r>
      <w:r w:rsidR="00493830" w:rsidRPr="002366C1">
        <w:t>which could</w:t>
      </w:r>
      <w:r w:rsidR="00F31967" w:rsidRPr="002366C1">
        <w:t xml:space="preserve"> be targets for invest</w:t>
      </w:r>
      <w:r w:rsidR="00493830" w:rsidRPr="002366C1">
        <w:t>ment</w:t>
      </w:r>
      <w:r w:rsidR="00F31967" w:rsidRPr="002366C1">
        <w:t xml:space="preserve"> </w:t>
      </w:r>
      <w:r w:rsidR="000D6965" w:rsidRPr="002366C1">
        <w:t>(</w:t>
      </w:r>
      <w:r w:rsidR="00F31967" w:rsidRPr="002366C1">
        <w:t>box 3</w:t>
      </w:r>
      <w:r w:rsidR="000D6965" w:rsidRPr="002366C1">
        <w:t>)</w:t>
      </w:r>
      <w:r w:rsidR="00814A04" w:rsidRPr="002366C1">
        <w:t xml:space="preserve">. These areas are very similar to those that emerged from </w:t>
      </w:r>
      <w:r w:rsidR="001D6E8B" w:rsidRPr="002366C1">
        <w:t xml:space="preserve">previous </w:t>
      </w:r>
      <w:r w:rsidR="00814A04" w:rsidRPr="002366C1">
        <w:t xml:space="preserve">capacity assessments </w:t>
      </w:r>
      <w:r w:rsidR="001D6E8B" w:rsidRPr="002366C1">
        <w:t>for</w:t>
      </w:r>
      <w:r w:rsidR="00814A04" w:rsidRPr="002366C1">
        <w:t xml:space="preserve"> health research</w:t>
      </w:r>
      <w:r w:rsidR="00F31967" w:rsidRPr="002366C1">
        <w:t xml:space="preserve"> and</w:t>
      </w:r>
      <w:r w:rsidR="00493830" w:rsidRPr="002366C1">
        <w:t>, as has been done in a previous programme [</w:t>
      </w:r>
      <w:r w:rsidR="00E2699C">
        <w:t>23</w:t>
      </w:r>
      <w:r w:rsidR="00493830" w:rsidRPr="002366C1">
        <w:t xml:space="preserve">], </w:t>
      </w:r>
      <w:r w:rsidR="00F31967" w:rsidRPr="002366C1">
        <w:t xml:space="preserve">indicators could be developed for these areas that would enable progress to be tracked if funds were available to </w:t>
      </w:r>
      <w:r w:rsidR="00493830" w:rsidRPr="002366C1">
        <w:t xml:space="preserve">remedy </w:t>
      </w:r>
      <w:r w:rsidR="00714105">
        <w:t>the capacity gaps.</w:t>
      </w:r>
    </w:p>
    <w:p w14:paraId="54385087" w14:textId="77777777" w:rsidR="0028690E" w:rsidRPr="002366C1" w:rsidRDefault="0028690E" w:rsidP="0028690E">
      <w:pPr>
        <w:spacing w:after="0" w:line="480" w:lineRule="auto"/>
      </w:pPr>
    </w:p>
    <w:p w14:paraId="5A2C0D89" w14:textId="3FC1F138" w:rsidR="00F31967" w:rsidRPr="00F3457C" w:rsidRDefault="00F31967" w:rsidP="0028690E">
      <w:pPr>
        <w:pBdr>
          <w:top w:val="single" w:sz="4" w:space="1" w:color="auto"/>
          <w:left w:val="single" w:sz="4" w:space="1" w:color="auto"/>
          <w:bottom w:val="single" w:sz="4" w:space="1" w:color="auto"/>
          <w:right w:val="single" w:sz="4" w:space="1" w:color="auto"/>
        </w:pBdr>
        <w:spacing w:after="0" w:line="480" w:lineRule="auto"/>
        <w:rPr>
          <w:b/>
        </w:rPr>
      </w:pPr>
      <w:r>
        <w:rPr>
          <w:b/>
        </w:rPr>
        <w:t>Box 3</w:t>
      </w:r>
      <w:r w:rsidRPr="00F3457C">
        <w:rPr>
          <w:b/>
        </w:rPr>
        <w:t xml:space="preserve">. Research capacity areas for advocacy and/or funding that need external </w:t>
      </w:r>
      <w:proofErr w:type="gramStart"/>
      <w:r w:rsidRPr="00F3457C">
        <w:rPr>
          <w:b/>
        </w:rPr>
        <w:t>support</w:t>
      </w:r>
      <w:proofErr w:type="gramEnd"/>
      <w:r w:rsidRPr="00F3457C">
        <w:rPr>
          <w:b/>
        </w:rPr>
        <w:t xml:space="preserve"> and which are common needs among institutions undertaking </w:t>
      </w:r>
      <w:r w:rsidR="003B1023">
        <w:rPr>
          <w:b/>
        </w:rPr>
        <w:t xml:space="preserve">natural </w:t>
      </w:r>
      <w:r w:rsidRPr="00F3457C">
        <w:rPr>
          <w:b/>
        </w:rPr>
        <w:t>science</w:t>
      </w:r>
      <w:r w:rsidR="003B1023">
        <w:rPr>
          <w:b/>
        </w:rPr>
        <w:t>s</w:t>
      </w:r>
      <w:r w:rsidRPr="00F3457C">
        <w:rPr>
          <w:b/>
        </w:rPr>
        <w:t xml:space="preserve"> research </w:t>
      </w:r>
    </w:p>
    <w:p w14:paraId="67103462" w14:textId="77777777" w:rsidR="00F31967" w:rsidRDefault="00F31967" w:rsidP="0028690E">
      <w:pPr>
        <w:pStyle w:val="ListParagraph"/>
        <w:numPr>
          <w:ilvl w:val="0"/>
          <w:numId w:val="39"/>
        </w:numPr>
        <w:pBdr>
          <w:top w:val="single" w:sz="4" w:space="1" w:color="auto"/>
          <w:left w:val="single" w:sz="4" w:space="20" w:color="auto"/>
          <w:bottom w:val="single" w:sz="4" w:space="1" w:color="auto"/>
          <w:right w:val="single" w:sz="4" w:space="1" w:color="auto"/>
        </w:pBdr>
        <w:spacing w:after="0" w:line="480" w:lineRule="auto"/>
      </w:pPr>
      <w:proofErr w:type="gramStart"/>
      <w:r>
        <w:t>Sufficient</w:t>
      </w:r>
      <w:proofErr w:type="gramEnd"/>
      <w:r>
        <w:t>, high-quality space for study, teaching and laboratory work</w:t>
      </w:r>
    </w:p>
    <w:p w14:paraId="73B677DA" w14:textId="77777777" w:rsidR="00F31967" w:rsidRDefault="00F31967" w:rsidP="0028690E">
      <w:pPr>
        <w:pStyle w:val="ListParagraph"/>
        <w:numPr>
          <w:ilvl w:val="0"/>
          <w:numId w:val="39"/>
        </w:numPr>
        <w:pBdr>
          <w:top w:val="single" w:sz="4" w:space="1" w:color="auto"/>
          <w:left w:val="single" w:sz="4" w:space="20" w:color="auto"/>
          <w:bottom w:val="single" w:sz="4" w:space="1" w:color="auto"/>
          <w:right w:val="single" w:sz="4" w:space="1" w:color="auto"/>
        </w:pBdr>
        <w:spacing w:after="0" w:line="480" w:lineRule="auto"/>
      </w:pPr>
      <w:r>
        <w:t xml:space="preserve">Access to efficient internet services, computers and electronic resources for research </w:t>
      </w:r>
    </w:p>
    <w:p w14:paraId="3A20E7BF" w14:textId="77777777" w:rsidR="00F31967" w:rsidRDefault="00F31967" w:rsidP="0028690E">
      <w:pPr>
        <w:pStyle w:val="ListParagraph"/>
        <w:numPr>
          <w:ilvl w:val="0"/>
          <w:numId w:val="39"/>
        </w:numPr>
        <w:pBdr>
          <w:top w:val="single" w:sz="4" w:space="1" w:color="auto"/>
          <w:left w:val="single" w:sz="4" w:space="20" w:color="auto"/>
          <w:bottom w:val="single" w:sz="4" w:space="1" w:color="auto"/>
          <w:right w:val="single" w:sz="4" w:space="1" w:color="auto"/>
        </w:pBdr>
        <w:spacing w:after="0" w:line="480" w:lineRule="auto"/>
      </w:pPr>
      <w:r>
        <w:t xml:space="preserve">Access to appropriate, well-maintained laboratory </w:t>
      </w:r>
      <w:r w:rsidRPr="00F874F9">
        <w:t>equipment</w:t>
      </w:r>
      <w:r>
        <w:t xml:space="preserve"> and reliable and timely p</w:t>
      </w:r>
      <w:r w:rsidRPr="00F874F9">
        <w:t>rocurement systems</w:t>
      </w:r>
    </w:p>
    <w:p w14:paraId="1B67667A" w14:textId="77777777" w:rsidR="00F31967" w:rsidRDefault="00F31967" w:rsidP="0028690E">
      <w:pPr>
        <w:pStyle w:val="ListParagraph"/>
        <w:numPr>
          <w:ilvl w:val="0"/>
          <w:numId w:val="39"/>
        </w:numPr>
        <w:pBdr>
          <w:top w:val="single" w:sz="4" w:space="1" w:color="auto"/>
          <w:left w:val="single" w:sz="4" w:space="20" w:color="auto"/>
          <w:bottom w:val="single" w:sz="4" w:space="1" w:color="auto"/>
          <w:right w:val="single" w:sz="4" w:space="1" w:color="auto"/>
        </w:pBdr>
        <w:spacing w:after="0" w:line="480" w:lineRule="auto"/>
      </w:pPr>
      <w:r>
        <w:t>Training for researchers based on needs assessments which include ‘soft’ skills (e.g. ethics, critical thinking, leadership)</w:t>
      </w:r>
    </w:p>
    <w:p w14:paraId="68D312DC" w14:textId="77777777" w:rsidR="00F31967" w:rsidRDefault="00F31967" w:rsidP="0028690E">
      <w:pPr>
        <w:pStyle w:val="ListParagraph"/>
        <w:numPr>
          <w:ilvl w:val="0"/>
          <w:numId w:val="39"/>
        </w:numPr>
        <w:pBdr>
          <w:top w:val="single" w:sz="4" w:space="1" w:color="auto"/>
          <w:left w:val="single" w:sz="4" w:space="20" w:color="auto"/>
          <w:bottom w:val="single" w:sz="4" w:space="1" w:color="auto"/>
          <w:right w:val="single" w:sz="4" w:space="1" w:color="auto"/>
        </w:pBdr>
        <w:spacing w:after="0" w:line="480" w:lineRule="auto"/>
      </w:pPr>
      <w:r>
        <w:t>Professional development for research support staff including laboratory technicians, which is commensurate with the investment in researchers</w:t>
      </w:r>
    </w:p>
    <w:p w14:paraId="04877923" w14:textId="77777777" w:rsidR="00F31967" w:rsidRDefault="00F31967" w:rsidP="0028690E">
      <w:pPr>
        <w:pStyle w:val="ListParagraph"/>
        <w:numPr>
          <w:ilvl w:val="0"/>
          <w:numId w:val="39"/>
        </w:numPr>
        <w:pBdr>
          <w:top w:val="single" w:sz="4" w:space="1" w:color="auto"/>
          <w:left w:val="single" w:sz="4" w:space="20" w:color="auto"/>
          <w:bottom w:val="single" w:sz="4" w:space="1" w:color="auto"/>
          <w:right w:val="single" w:sz="4" w:space="1" w:color="auto"/>
        </w:pBdr>
        <w:spacing w:after="0" w:line="480" w:lineRule="auto"/>
      </w:pPr>
      <w:r>
        <w:t>Alignment across regional/national research priorities, research funding and research generation to facilitate utilisation of research findings</w:t>
      </w:r>
    </w:p>
    <w:p w14:paraId="5C3EE6D1" w14:textId="77777777" w:rsidR="00F31967" w:rsidRDefault="00F31967" w:rsidP="0028690E">
      <w:pPr>
        <w:pStyle w:val="ListParagraph"/>
        <w:numPr>
          <w:ilvl w:val="0"/>
          <w:numId w:val="39"/>
        </w:numPr>
        <w:pBdr>
          <w:top w:val="single" w:sz="4" w:space="1" w:color="auto"/>
          <w:left w:val="single" w:sz="4" w:space="20" w:color="auto"/>
          <w:bottom w:val="single" w:sz="4" w:space="1" w:color="auto"/>
          <w:right w:val="single" w:sz="4" w:space="1" w:color="auto"/>
        </w:pBdr>
        <w:spacing w:after="0" w:line="480" w:lineRule="auto"/>
      </w:pPr>
      <w:r>
        <w:lastRenderedPageBreak/>
        <w:t>Consolidation and expansion of opportunities for South-South and South-North international research collaborations</w:t>
      </w:r>
    </w:p>
    <w:p w14:paraId="7429B51E" w14:textId="77777777" w:rsidR="00F31967" w:rsidRDefault="00F31967" w:rsidP="0028690E">
      <w:pPr>
        <w:pStyle w:val="ListParagraph"/>
        <w:numPr>
          <w:ilvl w:val="0"/>
          <w:numId w:val="39"/>
        </w:numPr>
        <w:pBdr>
          <w:top w:val="single" w:sz="4" w:space="1" w:color="auto"/>
          <w:left w:val="single" w:sz="4" w:space="20" w:color="auto"/>
          <w:bottom w:val="single" w:sz="4" w:space="1" w:color="auto"/>
          <w:right w:val="single" w:sz="4" w:space="1" w:color="auto"/>
        </w:pBdr>
        <w:spacing w:after="0" w:line="480" w:lineRule="auto"/>
      </w:pPr>
      <w:r>
        <w:t>An agreed standard and accreditation programme for institutional research management systems</w:t>
      </w:r>
    </w:p>
    <w:p w14:paraId="7F162DE4" w14:textId="77777777" w:rsidR="00DC3D0F" w:rsidRDefault="00DC3D0F" w:rsidP="0028690E">
      <w:pPr>
        <w:spacing w:after="0" w:line="480" w:lineRule="auto"/>
      </w:pPr>
    </w:p>
    <w:p w14:paraId="10EB768C" w14:textId="4E105E03" w:rsidR="00254825" w:rsidRDefault="001D6E8B" w:rsidP="0028690E">
      <w:pPr>
        <w:spacing w:after="0" w:line="480" w:lineRule="auto"/>
        <w:rPr>
          <w:rFonts w:cs="Corbel"/>
        </w:rPr>
      </w:pPr>
      <w:r>
        <w:t xml:space="preserve">The fact that many institutions </w:t>
      </w:r>
      <w:r w:rsidR="00493830">
        <w:t>face</w:t>
      </w:r>
      <w:r>
        <w:t xml:space="preserve"> similar challenges </w:t>
      </w:r>
      <w:r w:rsidR="00814A04">
        <w:t>add</w:t>
      </w:r>
      <w:r>
        <w:t>s</w:t>
      </w:r>
      <w:r w:rsidR="00814A04">
        <w:t xml:space="preserve"> strength to </w:t>
      </w:r>
      <w:r w:rsidR="00493830">
        <w:t>the</w:t>
      </w:r>
      <w:r w:rsidR="00814A04">
        <w:t xml:space="preserve"> argument for joint external investment in generic weaknesses in </w:t>
      </w:r>
      <w:r w:rsidR="00814A04" w:rsidRPr="001D6E8B">
        <w:t>research capacity.</w:t>
      </w:r>
      <w:r w:rsidR="00814A04">
        <w:t xml:space="preserve"> </w:t>
      </w:r>
      <w:r>
        <w:t>Investing in remedying weak areas in research systems across many institutions is likely to provide better</w:t>
      </w:r>
      <w:r w:rsidR="00ED01BE" w:rsidRPr="00F874F9">
        <w:rPr>
          <w:rFonts w:cs="Corbel"/>
        </w:rPr>
        <w:t xml:space="preserve"> value-for-money </w:t>
      </w:r>
      <w:r>
        <w:rPr>
          <w:rFonts w:cs="Corbel"/>
        </w:rPr>
        <w:t xml:space="preserve">than providing fragmented, non-strategic support for individual institutions or departments, and plays to the unique strengths </w:t>
      </w:r>
      <w:r w:rsidRPr="002366C1">
        <w:rPr>
          <w:rFonts w:cs="Corbel"/>
        </w:rPr>
        <w:t xml:space="preserve">of alliances of development funders. </w:t>
      </w:r>
      <w:r w:rsidR="00320985" w:rsidRPr="002366C1">
        <w:rPr>
          <w:rFonts w:cs="Corbel"/>
        </w:rPr>
        <w:t xml:space="preserve">An example of how funders, policy makers and researchers can jointly support improvements in research systems is the innovative new Good Financial Grant Practice programme designed to </w:t>
      </w:r>
      <w:r w:rsidR="00320985" w:rsidRPr="002366C1">
        <w:rPr>
          <w:rFonts w:cs="Corbel"/>
          <w:bCs/>
        </w:rPr>
        <w:t>strengthen Africa’s research and development infrastructure</w:t>
      </w:r>
      <w:r w:rsidR="00C6339B" w:rsidRPr="002366C1">
        <w:rPr>
          <w:rFonts w:cs="Corbel"/>
          <w:bCs/>
        </w:rPr>
        <w:t xml:space="preserve"> [</w:t>
      </w:r>
      <w:r w:rsidR="00E2699C">
        <w:rPr>
          <w:rFonts w:cs="Corbel"/>
          <w:bCs/>
        </w:rPr>
        <w:t>42</w:t>
      </w:r>
      <w:r w:rsidR="00C6339B" w:rsidRPr="002366C1">
        <w:rPr>
          <w:rFonts w:cs="Corbel"/>
          <w:bCs/>
        </w:rPr>
        <w:t>]</w:t>
      </w:r>
      <w:r w:rsidR="00320985" w:rsidRPr="002366C1">
        <w:rPr>
          <w:rFonts w:cs="Corbel"/>
        </w:rPr>
        <w:t xml:space="preserve">. This programme has developed a best practice </w:t>
      </w:r>
      <w:r w:rsidR="00320985" w:rsidRPr="002366C1">
        <w:rPr>
          <w:rStyle w:val="Strong"/>
          <w:rFonts w:cs="Helvetica"/>
          <w:b w:val="0"/>
          <w:shd w:val="clear" w:color="auto" w:fill="FFFFFF"/>
        </w:rPr>
        <w:t xml:space="preserve">standard </w:t>
      </w:r>
      <w:r w:rsidR="00320985" w:rsidRPr="002366C1">
        <w:rPr>
          <w:rFonts w:cs="Corbel"/>
        </w:rPr>
        <w:t>for the financial governance of grant funds awarded to grantees to standardise, simplify and strengthen the governance of grant funding [</w:t>
      </w:r>
      <w:r w:rsidR="00E2699C">
        <w:rPr>
          <w:rFonts w:cs="Corbel"/>
        </w:rPr>
        <w:t>42</w:t>
      </w:r>
      <w:r w:rsidR="00320985" w:rsidRPr="002366C1">
        <w:rPr>
          <w:rFonts w:cs="Corbel"/>
        </w:rPr>
        <w:t xml:space="preserve">]. </w:t>
      </w:r>
      <w:r w:rsidR="00B87CC2" w:rsidRPr="002366C1">
        <w:rPr>
          <w:rFonts w:cs="Corbel"/>
        </w:rPr>
        <w:t>Suggestions for a</w:t>
      </w:r>
      <w:r w:rsidR="00320985" w:rsidRPr="002366C1">
        <w:rPr>
          <w:rFonts w:cs="Corbel"/>
        </w:rPr>
        <w:t xml:space="preserve"> similar </w:t>
      </w:r>
      <w:r w:rsidR="00B87CC2" w:rsidRPr="002366C1">
        <w:rPr>
          <w:rFonts w:cs="Corbel"/>
        </w:rPr>
        <w:t>programme in research management systems</w:t>
      </w:r>
      <w:r w:rsidR="0047755F" w:rsidRPr="002366C1">
        <w:rPr>
          <w:rFonts w:cs="Corbel"/>
        </w:rPr>
        <w:t xml:space="preserve"> [</w:t>
      </w:r>
      <w:r w:rsidR="00E2699C">
        <w:rPr>
          <w:rFonts w:cs="Corbel"/>
        </w:rPr>
        <w:t>43</w:t>
      </w:r>
      <w:r w:rsidR="001D2292" w:rsidRPr="002366C1">
        <w:rPr>
          <w:rFonts w:cs="Corbel"/>
        </w:rPr>
        <w:t>,</w:t>
      </w:r>
      <w:r w:rsidR="002366C1">
        <w:rPr>
          <w:rFonts w:cs="Corbel"/>
        </w:rPr>
        <w:t xml:space="preserve"> </w:t>
      </w:r>
      <w:r w:rsidR="00E2699C">
        <w:rPr>
          <w:rFonts w:cs="Corbel"/>
        </w:rPr>
        <w:t>44</w:t>
      </w:r>
      <w:r w:rsidR="0047755F" w:rsidRPr="002366C1">
        <w:rPr>
          <w:rFonts w:cs="Corbel"/>
        </w:rPr>
        <w:t>]</w:t>
      </w:r>
      <w:r w:rsidR="00CF4180" w:rsidRPr="002366C1">
        <w:rPr>
          <w:rFonts w:cs="Corbel"/>
        </w:rPr>
        <w:t xml:space="preserve">, with </w:t>
      </w:r>
      <w:r w:rsidR="00320985" w:rsidRPr="002366C1">
        <w:rPr>
          <w:rFonts w:cs="Corbel"/>
        </w:rPr>
        <w:t xml:space="preserve">staged levels </w:t>
      </w:r>
      <w:r w:rsidR="00B87CC2" w:rsidRPr="002366C1">
        <w:rPr>
          <w:rFonts w:cs="Corbel"/>
        </w:rPr>
        <w:t>to achieve a</w:t>
      </w:r>
      <w:r w:rsidR="00320985" w:rsidRPr="002366C1">
        <w:rPr>
          <w:rFonts w:cs="Corbel"/>
        </w:rPr>
        <w:t xml:space="preserve"> standard</w:t>
      </w:r>
      <w:r w:rsidR="00320985">
        <w:rPr>
          <w:rFonts w:cs="Corbel"/>
        </w:rPr>
        <w:t xml:space="preserve">, </w:t>
      </w:r>
      <w:r w:rsidR="00B87CC2">
        <w:rPr>
          <w:rFonts w:cs="Corbel"/>
        </w:rPr>
        <w:t xml:space="preserve">are at an early stage, but </w:t>
      </w:r>
      <w:r w:rsidR="00320985">
        <w:rPr>
          <w:rFonts w:cs="Corbel"/>
        </w:rPr>
        <w:t xml:space="preserve">would complement this financial programme </w:t>
      </w:r>
      <w:proofErr w:type="gramStart"/>
      <w:r w:rsidR="00320985">
        <w:rPr>
          <w:rFonts w:cs="Corbel"/>
        </w:rPr>
        <w:t>and also</w:t>
      </w:r>
      <w:proofErr w:type="gramEnd"/>
      <w:r w:rsidR="00320985">
        <w:rPr>
          <w:rFonts w:cs="Corbel"/>
        </w:rPr>
        <w:t xml:space="preserve"> help </w:t>
      </w:r>
      <w:r w:rsidR="000729DC">
        <w:rPr>
          <w:rFonts w:cs="Corbel"/>
        </w:rPr>
        <w:t xml:space="preserve">to inform </w:t>
      </w:r>
      <w:r w:rsidR="00320985">
        <w:rPr>
          <w:rFonts w:cs="Corbel"/>
        </w:rPr>
        <w:t xml:space="preserve">funders’ and governments’ investments. </w:t>
      </w:r>
      <w:r w:rsidR="000729DC">
        <w:rPr>
          <w:rFonts w:cs="Corbel"/>
        </w:rPr>
        <w:t xml:space="preserve">There is a paucity of high quality studies to underpin such a standard and </w:t>
      </w:r>
      <w:r w:rsidR="007738DF">
        <w:rPr>
          <w:rFonts w:cs="Corbel"/>
        </w:rPr>
        <w:t xml:space="preserve">to guide </w:t>
      </w:r>
      <w:r w:rsidR="000729DC">
        <w:rPr>
          <w:rFonts w:cs="Corbel"/>
        </w:rPr>
        <w:t>strategic</w:t>
      </w:r>
      <w:r w:rsidR="007738DF">
        <w:rPr>
          <w:rFonts w:cs="Corbel"/>
        </w:rPr>
        <w:t xml:space="preserve"> and measurable activities to </w:t>
      </w:r>
      <w:r w:rsidR="000729DC">
        <w:rPr>
          <w:rFonts w:cs="Corbel"/>
        </w:rPr>
        <w:t xml:space="preserve">strengthen research capacity in African institutions. </w:t>
      </w:r>
      <w:r w:rsidR="0047755F">
        <w:rPr>
          <w:rFonts w:cs="Corbel"/>
        </w:rPr>
        <w:t xml:space="preserve">Since the research capacity gaps are similar across many different institutions, efforts should now focus on gaining an in-depth understanding of how to overcome these challenges while avoiding any unnecessary duplication of effort. This research should be robust and </w:t>
      </w:r>
      <w:r w:rsidR="00254825">
        <w:rPr>
          <w:rFonts w:cs="Corbel"/>
        </w:rPr>
        <w:t>carefully designed, using standard benchmarks and prospective data collection to improve science and technology research c</w:t>
      </w:r>
      <w:r w:rsidR="000729DC">
        <w:rPr>
          <w:rFonts w:cs="Corbel"/>
        </w:rPr>
        <w:t xml:space="preserve">apacity </w:t>
      </w:r>
      <w:r w:rsidR="00254825">
        <w:rPr>
          <w:rFonts w:cs="Corbel"/>
        </w:rPr>
        <w:t xml:space="preserve">and ultimately </w:t>
      </w:r>
      <w:r w:rsidR="000729DC">
        <w:rPr>
          <w:rFonts w:cs="Corbel"/>
        </w:rPr>
        <w:t xml:space="preserve">to impact on </w:t>
      </w:r>
      <w:r w:rsidR="00254825">
        <w:rPr>
          <w:rFonts w:cs="Corbel"/>
        </w:rPr>
        <w:t xml:space="preserve">the </w:t>
      </w:r>
      <w:r w:rsidR="000729DC">
        <w:rPr>
          <w:rFonts w:cs="Corbel"/>
        </w:rPr>
        <w:t>socio-economic development</w:t>
      </w:r>
      <w:r w:rsidR="00254825">
        <w:rPr>
          <w:rFonts w:cs="Corbel"/>
        </w:rPr>
        <w:t xml:space="preserve"> in sub-Saharan Africa. </w:t>
      </w:r>
    </w:p>
    <w:p w14:paraId="342F8FEF" w14:textId="77777777" w:rsidR="00DC3D0F" w:rsidRDefault="00DC3D0F" w:rsidP="0028690E">
      <w:pPr>
        <w:spacing w:after="0" w:line="480" w:lineRule="auto"/>
        <w:rPr>
          <w:rFonts w:cs="Corbel"/>
        </w:rPr>
      </w:pPr>
    </w:p>
    <w:p w14:paraId="79231525" w14:textId="79FEA780" w:rsidR="00DC3D0F" w:rsidRPr="00DC3D0F" w:rsidRDefault="004256AE" w:rsidP="0028690E">
      <w:pPr>
        <w:pStyle w:val="Heading1"/>
        <w:spacing w:before="0" w:line="480" w:lineRule="auto"/>
      </w:pPr>
      <w:r>
        <w:rPr>
          <w:rFonts w:asciiTheme="minorHAnsi" w:hAnsiTheme="minorHAnsi"/>
          <w:b/>
          <w:color w:val="auto"/>
          <w:sz w:val="36"/>
          <w:szCs w:val="36"/>
        </w:rPr>
        <w:lastRenderedPageBreak/>
        <w:t>Conclusion</w:t>
      </w:r>
    </w:p>
    <w:p w14:paraId="51EF3303" w14:textId="64F36763" w:rsidR="00124583" w:rsidRDefault="007738DF" w:rsidP="0028690E">
      <w:pPr>
        <w:spacing w:after="0" w:line="480" w:lineRule="auto"/>
      </w:pPr>
      <w:r w:rsidRPr="00124583">
        <w:rPr>
          <w:lang w:eastAsia="en-GB"/>
        </w:rPr>
        <w:t xml:space="preserve">Improving capacity for research in </w:t>
      </w:r>
      <w:r w:rsidR="00925402">
        <w:rPr>
          <w:lang w:eastAsia="en-GB"/>
        </w:rPr>
        <w:t xml:space="preserve">natural </w:t>
      </w:r>
      <w:r w:rsidRPr="00124583">
        <w:rPr>
          <w:lang w:eastAsia="en-GB"/>
        </w:rPr>
        <w:t>science</w:t>
      </w:r>
      <w:r w:rsidR="00925402">
        <w:rPr>
          <w:lang w:eastAsia="en-GB"/>
        </w:rPr>
        <w:t>s</w:t>
      </w:r>
      <w:r w:rsidRPr="00124583">
        <w:rPr>
          <w:lang w:eastAsia="en-GB"/>
        </w:rPr>
        <w:t xml:space="preserve"> </w:t>
      </w:r>
      <w:r w:rsidRPr="00124583">
        <w:t>in low-and-middle-income countries</w:t>
      </w:r>
      <w:bookmarkStart w:id="40" w:name="_Hlk525051092"/>
      <w:r w:rsidRPr="00124583">
        <w:t xml:space="preserve"> is essential to drive socioeconomic development </w:t>
      </w:r>
      <w:r w:rsidRPr="00124583">
        <w:rPr>
          <w:lang w:eastAsia="en-GB"/>
        </w:rPr>
        <w:t xml:space="preserve">and to achieve the Sustainable Development Goals. </w:t>
      </w:r>
      <w:r w:rsidR="00B93898" w:rsidRPr="00124583">
        <w:rPr>
          <w:lang w:eastAsia="en-GB"/>
        </w:rPr>
        <w:t xml:space="preserve">The innovative use of a benchmark and standardised tools </w:t>
      </w:r>
      <w:r w:rsidR="00124583">
        <w:rPr>
          <w:lang w:eastAsia="en-GB"/>
        </w:rPr>
        <w:t xml:space="preserve">in our study highlighted </w:t>
      </w:r>
      <w:r w:rsidR="00124583" w:rsidRPr="00124583">
        <w:rPr>
          <w:lang w:eastAsia="en-GB"/>
        </w:rPr>
        <w:t>g</w:t>
      </w:r>
      <w:r w:rsidRPr="00124583">
        <w:rPr>
          <w:lang w:eastAsia="en-GB"/>
        </w:rPr>
        <w:t>aps in institutional research capacity that are particularly challenging to remedy and which are common to many institutions</w:t>
      </w:r>
      <w:r w:rsidR="00124583" w:rsidRPr="00124583">
        <w:rPr>
          <w:lang w:eastAsia="en-GB"/>
        </w:rPr>
        <w:t xml:space="preserve">. These gaps, such as neglected research laboratories, little opportunity for creating collaborations and networks, and </w:t>
      </w:r>
      <w:r w:rsidR="00863840" w:rsidRPr="00124583">
        <w:rPr>
          <w:lang w:eastAsia="en-GB"/>
        </w:rPr>
        <w:t>poor-quality</w:t>
      </w:r>
      <w:r w:rsidR="00124583" w:rsidRPr="00124583">
        <w:rPr>
          <w:lang w:eastAsia="en-GB"/>
        </w:rPr>
        <w:t xml:space="preserve"> facilities, are </w:t>
      </w:r>
      <w:r w:rsidR="00124583">
        <w:rPr>
          <w:lang w:eastAsia="en-GB"/>
        </w:rPr>
        <w:t xml:space="preserve">generic since they are </w:t>
      </w:r>
      <w:r w:rsidR="00124583" w:rsidRPr="00124583">
        <w:rPr>
          <w:lang w:eastAsia="en-GB"/>
        </w:rPr>
        <w:t>similar irrespective of the research focus of the institution</w:t>
      </w:r>
      <w:r w:rsidRPr="00124583">
        <w:t>. These gaps could therefore be effective targets for national governments and international organisations that invest in strengthening research capacity in Africa</w:t>
      </w:r>
      <w:r w:rsidR="00124583" w:rsidRPr="00124583">
        <w:t xml:space="preserve"> since such investments will have wider benefits beyond the scope of the programme</w:t>
      </w:r>
      <w:r w:rsidRPr="00124583">
        <w:t>.</w:t>
      </w:r>
      <w:r w:rsidR="00124583">
        <w:br w:type="page"/>
      </w:r>
    </w:p>
    <w:bookmarkEnd w:id="40"/>
    <w:p w14:paraId="6084DC9E" w14:textId="77777777" w:rsidR="007977A7" w:rsidRPr="006E092D" w:rsidRDefault="007977A7" w:rsidP="00843C19">
      <w:pPr>
        <w:autoSpaceDE w:val="0"/>
        <w:autoSpaceDN w:val="0"/>
        <w:adjustRightInd w:val="0"/>
        <w:spacing w:after="0" w:line="480" w:lineRule="auto"/>
        <w:rPr>
          <w:rFonts w:cs="Helvetica-Roman"/>
          <w:b/>
          <w:sz w:val="36"/>
          <w:szCs w:val="36"/>
        </w:rPr>
      </w:pPr>
      <w:r w:rsidRPr="006E092D">
        <w:rPr>
          <w:rFonts w:cs="Helvetica-Roman"/>
          <w:b/>
          <w:sz w:val="36"/>
          <w:szCs w:val="36"/>
        </w:rPr>
        <w:lastRenderedPageBreak/>
        <w:t>Competing interests</w:t>
      </w:r>
    </w:p>
    <w:p w14:paraId="64109421" w14:textId="77777777" w:rsidR="007977A7" w:rsidRPr="00F874F9" w:rsidRDefault="007977A7" w:rsidP="00843C19">
      <w:pPr>
        <w:autoSpaceDE w:val="0"/>
        <w:autoSpaceDN w:val="0"/>
        <w:adjustRightInd w:val="0"/>
        <w:spacing w:after="0" w:line="480" w:lineRule="auto"/>
        <w:rPr>
          <w:rFonts w:cs="Times-Roman"/>
        </w:rPr>
      </w:pPr>
      <w:r w:rsidRPr="00F874F9">
        <w:rPr>
          <w:rFonts w:cs="Times-Roman"/>
        </w:rPr>
        <w:t>Authors declare no competing interests.</w:t>
      </w:r>
    </w:p>
    <w:p w14:paraId="6B0FA40E" w14:textId="77777777" w:rsidR="007977A7" w:rsidRPr="00F874F9" w:rsidRDefault="007977A7" w:rsidP="00843C19">
      <w:pPr>
        <w:autoSpaceDE w:val="0"/>
        <w:autoSpaceDN w:val="0"/>
        <w:adjustRightInd w:val="0"/>
        <w:spacing w:after="0" w:line="480" w:lineRule="auto"/>
        <w:rPr>
          <w:rFonts w:cs="Helvetica-Roman"/>
        </w:rPr>
      </w:pPr>
    </w:p>
    <w:p w14:paraId="5215A6C5" w14:textId="77777777" w:rsidR="004C17A0" w:rsidRPr="006E092D" w:rsidRDefault="007977A7" w:rsidP="00843C19">
      <w:pPr>
        <w:autoSpaceDE w:val="0"/>
        <w:autoSpaceDN w:val="0"/>
        <w:adjustRightInd w:val="0"/>
        <w:spacing w:after="0" w:line="480" w:lineRule="auto"/>
        <w:rPr>
          <w:rFonts w:cs="Helvetica-Roman"/>
          <w:b/>
          <w:sz w:val="36"/>
          <w:szCs w:val="36"/>
        </w:rPr>
      </w:pPr>
      <w:r w:rsidRPr="006E092D">
        <w:rPr>
          <w:rFonts w:cs="Helvetica-Roman"/>
          <w:b/>
          <w:sz w:val="36"/>
          <w:szCs w:val="36"/>
        </w:rPr>
        <w:t>Funding</w:t>
      </w:r>
    </w:p>
    <w:p w14:paraId="23ABACCF" w14:textId="77777777" w:rsidR="00F156E5" w:rsidRPr="00F874F9" w:rsidRDefault="00F156E5" w:rsidP="00843C19">
      <w:pPr>
        <w:autoSpaceDE w:val="0"/>
        <w:autoSpaceDN w:val="0"/>
        <w:adjustRightInd w:val="0"/>
        <w:spacing w:after="0" w:line="480" w:lineRule="auto"/>
        <w:rPr>
          <w:bCs/>
        </w:rPr>
      </w:pPr>
      <w:r w:rsidRPr="00F874F9">
        <w:rPr>
          <w:rFonts w:cs="Arial Narrow"/>
        </w:rPr>
        <w:t xml:space="preserve">This work was funded through the Royal Society by the Department for International Development, UK (grant number </w:t>
      </w:r>
      <w:r w:rsidRPr="00F874F9">
        <w:rPr>
          <w:bCs/>
        </w:rPr>
        <w:t>203041-101)</w:t>
      </w:r>
      <w:r w:rsidRPr="00F874F9">
        <w:rPr>
          <w:rFonts w:cs="Arial Narrow"/>
        </w:rPr>
        <w:t xml:space="preserve">. </w:t>
      </w:r>
      <w:r w:rsidRPr="00F874F9">
        <w:rPr>
          <w:bCs/>
        </w:rPr>
        <w:t xml:space="preserve">The views expressed in this publication are those of the authors and not necessarily those of the Royal Society or the Department for International Development. </w:t>
      </w:r>
    </w:p>
    <w:p w14:paraId="0C11417E" w14:textId="77777777" w:rsidR="004C17A0" w:rsidRPr="00F874F9" w:rsidRDefault="004C17A0" w:rsidP="00843C19">
      <w:pPr>
        <w:spacing w:after="0" w:line="480" w:lineRule="auto"/>
        <w:rPr>
          <w:b/>
        </w:rPr>
      </w:pPr>
    </w:p>
    <w:p w14:paraId="0D0A2C69" w14:textId="77777777" w:rsidR="004C17A0" w:rsidRPr="006E092D" w:rsidRDefault="006E6783" w:rsidP="00843C19">
      <w:pPr>
        <w:spacing w:after="0" w:line="480" w:lineRule="auto"/>
        <w:rPr>
          <w:b/>
          <w:sz w:val="36"/>
          <w:szCs w:val="36"/>
        </w:rPr>
      </w:pPr>
      <w:r w:rsidRPr="006E092D">
        <w:rPr>
          <w:b/>
          <w:sz w:val="36"/>
          <w:szCs w:val="36"/>
        </w:rPr>
        <w:t>Acknowledgements</w:t>
      </w:r>
    </w:p>
    <w:p w14:paraId="5A565D02" w14:textId="77777777" w:rsidR="0015051C" w:rsidRPr="00F874F9" w:rsidRDefault="00F156E5" w:rsidP="00843C19">
      <w:pPr>
        <w:spacing w:after="0" w:line="480" w:lineRule="auto"/>
      </w:pPr>
      <w:r w:rsidRPr="00F874F9">
        <w:rPr>
          <w:rFonts w:eastAsia="Calibri" w:cs="Times New Roman"/>
        </w:rPr>
        <w:t xml:space="preserve">We are grateful to all </w:t>
      </w:r>
      <w:r w:rsidR="00EF541B" w:rsidRPr="00F874F9">
        <w:rPr>
          <w:rFonts w:eastAsia="Calibri" w:cs="Times New Roman"/>
        </w:rPr>
        <w:t xml:space="preserve">participants who agreed to take part in this </w:t>
      </w:r>
      <w:r w:rsidR="00A70735">
        <w:rPr>
          <w:rFonts w:eastAsia="Calibri" w:cs="Times New Roman"/>
        </w:rPr>
        <w:t>assessment</w:t>
      </w:r>
      <w:r w:rsidR="00A70735" w:rsidRPr="00F874F9">
        <w:rPr>
          <w:rFonts w:eastAsia="Calibri" w:cs="Times New Roman"/>
        </w:rPr>
        <w:t xml:space="preserve"> </w:t>
      </w:r>
      <w:r w:rsidR="00EF541B" w:rsidRPr="00F874F9">
        <w:rPr>
          <w:rFonts w:eastAsia="Calibri" w:cs="Times New Roman"/>
        </w:rPr>
        <w:t xml:space="preserve">study and provided valuable information and insight, particularly the ACBI </w:t>
      </w:r>
      <w:r w:rsidR="00A17045">
        <w:rPr>
          <w:rFonts w:eastAsia="Calibri" w:cs="Times New Roman"/>
        </w:rPr>
        <w:t>principal investigator</w:t>
      </w:r>
      <w:r w:rsidR="00EF541B" w:rsidRPr="00F874F9">
        <w:rPr>
          <w:rFonts w:eastAsia="Calibri" w:cs="Times New Roman"/>
        </w:rPr>
        <w:t xml:space="preserve">s, </w:t>
      </w:r>
      <w:r w:rsidR="0015051C" w:rsidRPr="00F874F9">
        <w:rPr>
          <w:rFonts w:eastAsia="Calibri" w:cs="Times New Roman"/>
        </w:rPr>
        <w:t xml:space="preserve">who </w:t>
      </w:r>
      <w:r w:rsidR="0090143E" w:rsidRPr="00F874F9">
        <w:rPr>
          <w:rFonts w:eastAsia="Calibri" w:cs="Times New Roman"/>
        </w:rPr>
        <w:t xml:space="preserve">also </w:t>
      </w:r>
      <w:r w:rsidR="0015051C" w:rsidRPr="00F874F9">
        <w:rPr>
          <w:rFonts w:eastAsia="Calibri" w:cs="Times New Roman"/>
        </w:rPr>
        <w:t>made</w:t>
      </w:r>
      <w:r w:rsidR="00EF541B" w:rsidRPr="00F874F9">
        <w:rPr>
          <w:rFonts w:eastAsia="Calibri" w:cs="Times New Roman"/>
        </w:rPr>
        <w:t xml:space="preserve"> the necessary </w:t>
      </w:r>
      <w:r w:rsidR="0015051C" w:rsidRPr="00F874F9">
        <w:rPr>
          <w:rFonts w:eastAsia="Calibri" w:cs="Times New Roman"/>
        </w:rPr>
        <w:t xml:space="preserve">logistical or administrative </w:t>
      </w:r>
      <w:r w:rsidR="00EF541B" w:rsidRPr="00F874F9">
        <w:rPr>
          <w:rFonts w:eastAsia="Calibri" w:cs="Times New Roman"/>
        </w:rPr>
        <w:t xml:space="preserve">arrangements to </w:t>
      </w:r>
      <w:r w:rsidR="0090143E" w:rsidRPr="00F874F9">
        <w:rPr>
          <w:rFonts w:eastAsia="Calibri" w:cs="Times New Roman"/>
        </w:rPr>
        <w:t xml:space="preserve">allow a smooth </w:t>
      </w:r>
      <w:r w:rsidR="00EF541B" w:rsidRPr="00F874F9">
        <w:rPr>
          <w:rFonts w:eastAsia="Calibri" w:cs="Times New Roman"/>
        </w:rPr>
        <w:t>data collection process.</w:t>
      </w:r>
      <w:r w:rsidR="0015051C" w:rsidRPr="00F874F9">
        <w:rPr>
          <w:rFonts w:eastAsia="Calibri" w:cs="Times New Roman"/>
        </w:rPr>
        <w:t xml:space="preserve"> We are also thankful </w:t>
      </w:r>
      <w:r w:rsidR="00C542EF">
        <w:rPr>
          <w:rFonts w:eastAsia="Calibri" w:cs="Times New Roman"/>
        </w:rPr>
        <w:t>to</w:t>
      </w:r>
      <w:r w:rsidR="0015051C" w:rsidRPr="00F874F9">
        <w:rPr>
          <w:rFonts w:eastAsia="Calibri" w:cs="Times New Roman"/>
        </w:rPr>
        <w:t xml:space="preserve"> the members of the research team who conducted the site visits,</w:t>
      </w:r>
      <w:r w:rsidR="0015051C" w:rsidRPr="00F874F9">
        <w:t xml:space="preserve"> Lorelei Silvester, Denise </w:t>
      </w:r>
      <w:proofErr w:type="spellStart"/>
      <w:r w:rsidR="0015051C" w:rsidRPr="00F874F9">
        <w:t>Wellings</w:t>
      </w:r>
      <w:proofErr w:type="spellEnd"/>
      <w:r w:rsidR="0015051C" w:rsidRPr="00F874F9">
        <w:t>, Selina</w:t>
      </w:r>
      <w:r w:rsidR="0090143E" w:rsidRPr="00F874F9">
        <w:t xml:space="preserve"> Wallis</w:t>
      </w:r>
      <w:r w:rsidR="0015051C" w:rsidRPr="00F874F9">
        <w:t xml:space="preserve">, Laura Dean; </w:t>
      </w:r>
      <w:r w:rsidR="00C542EF">
        <w:t>to</w:t>
      </w:r>
      <w:r w:rsidR="0015051C" w:rsidRPr="00F874F9">
        <w:t xml:space="preserve"> </w:t>
      </w:r>
      <w:r w:rsidR="003B1CFA" w:rsidRPr="00F874F9">
        <w:t xml:space="preserve">Prof </w:t>
      </w:r>
      <w:r w:rsidR="0015051C" w:rsidRPr="00F874F9">
        <w:t xml:space="preserve">Donald Cole for providing an oversight on the methodology and </w:t>
      </w:r>
      <w:r w:rsidR="009F37DB" w:rsidRPr="00F874F9">
        <w:t xml:space="preserve">findings; </w:t>
      </w:r>
      <w:r w:rsidR="00C542EF">
        <w:t>to</w:t>
      </w:r>
      <w:r w:rsidR="0015051C" w:rsidRPr="00F874F9">
        <w:t xml:space="preserve"> </w:t>
      </w:r>
      <w:r w:rsidR="00C542EF">
        <w:t xml:space="preserve">Pramod </w:t>
      </w:r>
      <w:proofErr w:type="spellStart"/>
      <w:r w:rsidR="00C542EF">
        <w:t>Regmi</w:t>
      </w:r>
      <w:proofErr w:type="spellEnd"/>
      <w:r w:rsidR="004D1CC5" w:rsidRPr="00F874F9">
        <w:t xml:space="preserve"> </w:t>
      </w:r>
      <w:r w:rsidR="0015051C" w:rsidRPr="00F874F9">
        <w:t xml:space="preserve">for contributing to drafting this paper; and </w:t>
      </w:r>
      <w:r w:rsidR="00C542EF">
        <w:t>to</w:t>
      </w:r>
      <w:r w:rsidR="0015051C" w:rsidRPr="00F874F9">
        <w:t xml:space="preserve"> the Royal Society grants’ </w:t>
      </w:r>
      <w:r w:rsidR="00D35611" w:rsidRPr="00F874F9">
        <w:t>management</w:t>
      </w:r>
      <w:r w:rsidR="0015051C" w:rsidRPr="00F874F9">
        <w:t xml:space="preserve"> team for </w:t>
      </w:r>
      <w:r w:rsidR="00D35611" w:rsidRPr="00F874F9">
        <w:t xml:space="preserve">their support and collaboration. </w:t>
      </w:r>
    </w:p>
    <w:p w14:paraId="3E3AFDA7" w14:textId="77777777" w:rsidR="00B40932" w:rsidRPr="00F874F9" w:rsidRDefault="00B40932" w:rsidP="00843C19">
      <w:pPr>
        <w:spacing w:after="0" w:line="480" w:lineRule="auto"/>
        <w:rPr>
          <w:b/>
        </w:rPr>
      </w:pPr>
    </w:p>
    <w:p w14:paraId="7821C708" w14:textId="77777777" w:rsidR="00FD461B" w:rsidRPr="006E092D" w:rsidRDefault="00FD461B" w:rsidP="00843C19">
      <w:pPr>
        <w:spacing w:after="0" w:line="480" w:lineRule="auto"/>
        <w:rPr>
          <w:b/>
          <w:sz w:val="36"/>
          <w:szCs w:val="36"/>
        </w:rPr>
      </w:pPr>
      <w:r w:rsidRPr="006E092D">
        <w:rPr>
          <w:b/>
          <w:sz w:val="36"/>
          <w:szCs w:val="36"/>
        </w:rPr>
        <w:t>Author Contributions</w:t>
      </w:r>
    </w:p>
    <w:p w14:paraId="42DD762B" w14:textId="77777777" w:rsidR="00FD461B" w:rsidRPr="00F874F9" w:rsidRDefault="00FD461B" w:rsidP="00843C19">
      <w:pPr>
        <w:spacing w:after="0" w:line="480" w:lineRule="auto"/>
      </w:pPr>
      <w:r w:rsidRPr="00F874F9">
        <w:rPr>
          <w:b/>
        </w:rPr>
        <w:t>Conceptualization</w:t>
      </w:r>
      <w:r w:rsidRPr="00F874F9">
        <w:t>:</w:t>
      </w:r>
      <w:r w:rsidRPr="00F874F9">
        <w:rPr>
          <w:rFonts w:cs="Corbel"/>
        </w:rPr>
        <w:t xml:space="preserve"> Stefanie Gregorius</w:t>
      </w:r>
      <w:r w:rsidR="00CF1915" w:rsidRPr="00F874F9">
        <w:rPr>
          <w:rFonts w:cs="Corbel"/>
        </w:rPr>
        <w:t>; Imelda Bates </w:t>
      </w:r>
    </w:p>
    <w:p w14:paraId="450B17A1" w14:textId="77777777" w:rsidR="00CF1915" w:rsidRPr="00F874F9" w:rsidRDefault="00FD461B" w:rsidP="00843C19">
      <w:pPr>
        <w:spacing w:after="0" w:line="480" w:lineRule="auto"/>
        <w:rPr>
          <w:rFonts w:cs="Corbel"/>
        </w:rPr>
      </w:pPr>
      <w:r w:rsidRPr="00F874F9">
        <w:rPr>
          <w:b/>
        </w:rPr>
        <w:t>Formal</w:t>
      </w:r>
      <w:r w:rsidRPr="00F874F9">
        <w:t xml:space="preserve"> </w:t>
      </w:r>
      <w:r w:rsidRPr="00F874F9">
        <w:rPr>
          <w:b/>
        </w:rPr>
        <w:t>analysis</w:t>
      </w:r>
      <w:r w:rsidRPr="00F874F9">
        <w:t>:</w:t>
      </w:r>
      <w:r w:rsidRPr="00F874F9">
        <w:rPr>
          <w:rFonts w:cs="Corbel"/>
        </w:rPr>
        <w:t xml:space="preserve"> Stefanie Gregorius</w:t>
      </w:r>
      <w:r w:rsidR="00CF1915" w:rsidRPr="00F874F9">
        <w:rPr>
          <w:rFonts w:cs="Corbel"/>
        </w:rPr>
        <w:t>; Imelda Bates </w:t>
      </w:r>
    </w:p>
    <w:p w14:paraId="55964451" w14:textId="77777777" w:rsidR="00FD461B" w:rsidRPr="00F874F9" w:rsidRDefault="00CF1915" w:rsidP="00843C19">
      <w:pPr>
        <w:spacing w:after="0" w:line="480" w:lineRule="auto"/>
      </w:pPr>
      <w:r w:rsidRPr="00F874F9">
        <w:rPr>
          <w:rFonts w:cs="Corbel"/>
          <w:b/>
        </w:rPr>
        <w:t>Funding</w:t>
      </w:r>
      <w:r w:rsidRPr="00F874F9">
        <w:rPr>
          <w:rFonts w:cs="Corbel"/>
        </w:rPr>
        <w:t xml:space="preserve"> </w:t>
      </w:r>
      <w:r w:rsidRPr="00F874F9">
        <w:rPr>
          <w:rFonts w:cs="Corbel"/>
          <w:b/>
        </w:rPr>
        <w:t>acquisition</w:t>
      </w:r>
      <w:r w:rsidRPr="00F874F9">
        <w:rPr>
          <w:rFonts w:cs="Corbel"/>
        </w:rPr>
        <w:t>: Imelda Bates </w:t>
      </w:r>
    </w:p>
    <w:p w14:paraId="00C7C68C" w14:textId="47A0F788" w:rsidR="00FD461B" w:rsidRPr="00F874F9" w:rsidRDefault="00FD461B" w:rsidP="00843C19">
      <w:pPr>
        <w:spacing w:after="0" w:line="480" w:lineRule="auto"/>
      </w:pPr>
      <w:r w:rsidRPr="00F874F9">
        <w:rPr>
          <w:b/>
        </w:rPr>
        <w:t>Investigation</w:t>
      </w:r>
      <w:r w:rsidRPr="00F874F9">
        <w:t xml:space="preserve">: </w:t>
      </w:r>
      <w:r w:rsidRPr="00F874F9">
        <w:rPr>
          <w:rFonts w:cs="Corbel"/>
        </w:rPr>
        <w:t>Stefanie Gregorius</w:t>
      </w:r>
      <w:r w:rsidR="00CF1915" w:rsidRPr="00F874F9">
        <w:rPr>
          <w:rFonts w:cs="Corbel"/>
        </w:rPr>
        <w:t>; Imelda Bates </w:t>
      </w:r>
    </w:p>
    <w:p w14:paraId="0B18AAA6" w14:textId="648AF631" w:rsidR="00FD461B" w:rsidRDefault="00FD461B" w:rsidP="00843C19">
      <w:pPr>
        <w:spacing w:after="0" w:line="480" w:lineRule="auto"/>
        <w:rPr>
          <w:rFonts w:cs="Corbel"/>
        </w:rPr>
      </w:pPr>
      <w:r w:rsidRPr="00F874F9">
        <w:rPr>
          <w:b/>
        </w:rPr>
        <w:t>Methodology</w:t>
      </w:r>
      <w:r w:rsidRPr="00F874F9">
        <w:t xml:space="preserve">: </w:t>
      </w:r>
      <w:r w:rsidRPr="00F874F9">
        <w:rPr>
          <w:rFonts w:cs="Corbel"/>
        </w:rPr>
        <w:t>Stefanie Gregorius; Taghreed El Hajj; Justin Pulford</w:t>
      </w:r>
      <w:r w:rsidR="00CF1915" w:rsidRPr="00F874F9">
        <w:rPr>
          <w:rFonts w:cs="Corbel"/>
        </w:rPr>
        <w:t>; Imelda Bates</w:t>
      </w:r>
    </w:p>
    <w:p w14:paraId="421391BD" w14:textId="2BA5080D" w:rsidR="00672735" w:rsidRPr="00F874F9" w:rsidRDefault="00672735" w:rsidP="00843C19">
      <w:pPr>
        <w:spacing w:after="0" w:line="480" w:lineRule="auto"/>
      </w:pPr>
      <w:r w:rsidRPr="00672735">
        <w:rPr>
          <w:rFonts w:cs="Corbel"/>
          <w:b/>
        </w:rPr>
        <w:lastRenderedPageBreak/>
        <w:t>Project admin</w:t>
      </w:r>
      <w:bookmarkStart w:id="41" w:name="_GoBack"/>
      <w:bookmarkEnd w:id="41"/>
      <w:r w:rsidRPr="00672735">
        <w:rPr>
          <w:rFonts w:cs="Corbel"/>
          <w:b/>
        </w:rPr>
        <w:t>istration</w:t>
      </w:r>
      <w:r>
        <w:rPr>
          <w:rFonts w:cs="Corbel"/>
        </w:rPr>
        <w:t xml:space="preserve">: </w:t>
      </w:r>
      <w:r w:rsidRPr="00F874F9">
        <w:rPr>
          <w:rFonts w:cs="Corbel"/>
        </w:rPr>
        <w:t>Stefanie Gregorius</w:t>
      </w:r>
    </w:p>
    <w:p w14:paraId="4C576837" w14:textId="77777777" w:rsidR="00FD461B" w:rsidRPr="00F874F9" w:rsidRDefault="00FD461B" w:rsidP="00843C19">
      <w:pPr>
        <w:spacing w:after="0" w:line="480" w:lineRule="auto"/>
      </w:pPr>
      <w:r w:rsidRPr="00F874F9">
        <w:rPr>
          <w:b/>
        </w:rPr>
        <w:t>Supervision</w:t>
      </w:r>
      <w:r w:rsidRPr="00F874F9">
        <w:t xml:space="preserve">: </w:t>
      </w:r>
      <w:r w:rsidR="00CF1915" w:rsidRPr="00F874F9">
        <w:rPr>
          <w:rFonts w:cs="Corbel"/>
        </w:rPr>
        <w:t>Imelda Bates </w:t>
      </w:r>
    </w:p>
    <w:p w14:paraId="5045D704" w14:textId="77777777" w:rsidR="00FD461B" w:rsidRPr="00F874F9" w:rsidRDefault="00FD461B" w:rsidP="00843C19">
      <w:pPr>
        <w:spacing w:after="0" w:line="480" w:lineRule="auto"/>
      </w:pPr>
      <w:r w:rsidRPr="00F874F9">
        <w:rPr>
          <w:b/>
        </w:rPr>
        <w:t>Writing – original draft</w:t>
      </w:r>
      <w:r w:rsidRPr="00F874F9">
        <w:t xml:space="preserve">: </w:t>
      </w:r>
      <w:r w:rsidRPr="00F874F9">
        <w:rPr>
          <w:rFonts w:cs="Corbel"/>
        </w:rPr>
        <w:t>Stefanie Gregorius</w:t>
      </w:r>
      <w:r w:rsidR="00CF1915" w:rsidRPr="00F874F9">
        <w:rPr>
          <w:rFonts w:cs="Corbel"/>
        </w:rPr>
        <w:t>; Imelda Bates </w:t>
      </w:r>
      <w:r w:rsidRPr="00F874F9">
        <w:rPr>
          <w:rFonts w:cs="Corbel"/>
        </w:rPr>
        <w:t> </w:t>
      </w:r>
    </w:p>
    <w:p w14:paraId="22568C1F" w14:textId="77777777" w:rsidR="00250EB0" w:rsidRDefault="00FD461B" w:rsidP="00863840">
      <w:pPr>
        <w:spacing w:after="0" w:line="480" w:lineRule="auto"/>
        <w:rPr>
          <w:rFonts w:cs="Corbel"/>
        </w:rPr>
      </w:pPr>
      <w:r w:rsidRPr="00F874F9">
        <w:rPr>
          <w:b/>
        </w:rPr>
        <w:t>Writing – review &amp; editing</w:t>
      </w:r>
      <w:r w:rsidRPr="00F874F9">
        <w:t>:</w:t>
      </w:r>
      <w:r w:rsidRPr="00F874F9">
        <w:rPr>
          <w:rFonts w:cs="Corbel"/>
        </w:rPr>
        <w:t xml:space="preserve"> Taghreed El Hajj; Justin Pulford</w:t>
      </w:r>
      <w:r w:rsidR="00863840">
        <w:rPr>
          <w:rFonts w:cs="Corbel"/>
        </w:rPr>
        <w:t>; Imelda Bates</w:t>
      </w:r>
      <w:r w:rsidR="00250EB0">
        <w:rPr>
          <w:rFonts w:cs="Corbel"/>
        </w:rPr>
        <w:br w:type="page"/>
      </w:r>
    </w:p>
    <w:p w14:paraId="6D4A48AA" w14:textId="77777777" w:rsidR="00D818B5" w:rsidRPr="00DC3D0F" w:rsidRDefault="0039496C" w:rsidP="00DC3D0F">
      <w:pPr>
        <w:spacing w:after="0" w:line="480" w:lineRule="auto"/>
        <w:rPr>
          <w:b/>
          <w:sz w:val="36"/>
          <w:szCs w:val="36"/>
        </w:rPr>
      </w:pPr>
      <w:r w:rsidRPr="00DC3D0F">
        <w:rPr>
          <w:b/>
          <w:sz w:val="36"/>
          <w:szCs w:val="36"/>
        </w:rPr>
        <w:lastRenderedPageBreak/>
        <w:t>References</w:t>
      </w:r>
    </w:p>
    <w:p w14:paraId="55D2A5EE" w14:textId="168FCC28" w:rsidR="002C175A" w:rsidRPr="00F54711" w:rsidRDefault="00973DC7" w:rsidP="002C175A">
      <w:pPr>
        <w:pStyle w:val="ListParagraph"/>
        <w:numPr>
          <w:ilvl w:val="0"/>
          <w:numId w:val="40"/>
        </w:numPr>
        <w:spacing w:after="0" w:line="480" w:lineRule="auto"/>
        <w:rPr>
          <w:rStyle w:val="Hyperlink"/>
          <w:rFonts w:cs="Arial"/>
          <w:color w:val="222222"/>
          <w:u w:val="none"/>
          <w:shd w:val="clear" w:color="auto" w:fill="FFFFFF"/>
        </w:rPr>
      </w:pPr>
      <w:r w:rsidRPr="00F8667A">
        <w:rPr>
          <w:rFonts w:cs="Arial"/>
          <w:shd w:val="clear" w:color="auto" w:fill="FFFFFF"/>
        </w:rPr>
        <w:t>United Nations Educational Scientific and Cultural Organization (UNESCO).</w:t>
      </w:r>
      <w:r w:rsidRPr="00F8667A">
        <w:t xml:space="preserve"> UNESCO Science Report: towards 2030 [Internet]; 2015 [cited 2017 May 15]</w:t>
      </w:r>
      <w:r w:rsidR="001D075D" w:rsidRPr="00F8667A">
        <w:t xml:space="preserve">. Available from: </w:t>
      </w:r>
      <w:hyperlink r:id="rId9" w:history="1">
        <w:r w:rsidR="001D075D" w:rsidRPr="008D38E0">
          <w:rPr>
            <w:rStyle w:val="Hyperlink"/>
          </w:rPr>
          <w:t>http://unesdoc.unesco.org/images/0023/002354/235406e.pdf</w:t>
        </w:r>
      </w:hyperlink>
    </w:p>
    <w:p w14:paraId="2597CDB6" w14:textId="77777777" w:rsidR="00F54711" w:rsidRPr="00F54711" w:rsidRDefault="00F54711" w:rsidP="00F54711">
      <w:pPr>
        <w:pStyle w:val="ListParagraph"/>
        <w:spacing w:after="0" w:line="480" w:lineRule="auto"/>
        <w:rPr>
          <w:rStyle w:val="Hyperlink"/>
          <w:rFonts w:cs="Arial"/>
          <w:color w:val="222222"/>
          <w:u w:val="none"/>
          <w:shd w:val="clear" w:color="auto" w:fill="FFFFFF"/>
        </w:rPr>
      </w:pPr>
    </w:p>
    <w:p w14:paraId="7FD6A9A5" w14:textId="77777777" w:rsidR="00506706" w:rsidRDefault="004D32E3" w:rsidP="00506706">
      <w:pPr>
        <w:pStyle w:val="ListParagraph"/>
        <w:numPr>
          <w:ilvl w:val="0"/>
          <w:numId w:val="40"/>
        </w:numPr>
        <w:spacing w:after="0" w:line="480" w:lineRule="auto"/>
        <w:rPr>
          <w:rFonts w:cs="Arial"/>
          <w:color w:val="222222"/>
          <w:shd w:val="clear" w:color="auto" w:fill="FFFFFF"/>
        </w:rPr>
      </w:pPr>
      <w:bookmarkStart w:id="42" w:name="_Hlk14768177"/>
      <w:bookmarkStart w:id="43" w:name="_Hlk14772352"/>
      <w:r w:rsidRPr="004D32E3">
        <w:rPr>
          <w:rFonts w:cs="Arial"/>
          <w:color w:val="222222"/>
          <w:shd w:val="clear" w:color="auto" w:fill="FFFFFF"/>
        </w:rPr>
        <w:t>United Nations Sustainable Development Goals</w:t>
      </w:r>
      <w:r>
        <w:rPr>
          <w:rFonts w:cs="Arial"/>
          <w:color w:val="222222"/>
          <w:shd w:val="clear" w:color="auto" w:fill="FFFFFF"/>
        </w:rPr>
        <w:t xml:space="preserve"> </w:t>
      </w:r>
      <w:bookmarkEnd w:id="42"/>
      <w:r>
        <w:rPr>
          <w:rFonts w:cs="Arial"/>
          <w:color w:val="222222"/>
          <w:shd w:val="clear" w:color="auto" w:fill="FFFFFF"/>
        </w:rPr>
        <w:t xml:space="preserve">2030 (UNSDGs). Sustainable Development Goal 7: </w:t>
      </w:r>
      <w:r w:rsidRPr="00F54711">
        <w:rPr>
          <w:rFonts w:cs="Arial"/>
          <w:color w:val="222222"/>
          <w:shd w:val="clear" w:color="auto" w:fill="FFFFFF"/>
        </w:rPr>
        <w:t>Ensure access to affordable, reliable, sustainable and modern energy for all</w:t>
      </w:r>
      <w:r>
        <w:rPr>
          <w:rFonts w:cs="Arial"/>
          <w:color w:val="222222"/>
          <w:shd w:val="clear" w:color="auto" w:fill="FFFFFF"/>
        </w:rPr>
        <w:t xml:space="preserve"> [Internet]. United </w:t>
      </w:r>
      <w:r w:rsidRPr="004D32E3">
        <w:rPr>
          <w:rFonts w:cs="Arial"/>
          <w:color w:val="222222"/>
          <w:shd w:val="clear" w:color="auto" w:fill="FFFFFF"/>
        </w:rPr>
        <w:t>Nations Sustainable Development Goals</w:t>
      </w:r>
      <w:r>
        <w:rPr>
          <w:rFonts w:cs="Arial"/>
          <w:color w:val="222222"/>
          <w:shd w:val="clear" w:color="auto" w:fill="FFFFFF"/>
        </w:rPr>
        <w:t>; 2018 [ cited 2019 May 20</w:t>
      </w:r>
      <w:r w:rsidR="00F54711">
        <w:rPr>
          <w:rFonts w:cs="Arial"/>
          <w:color w:val="222222"/>
          <w:shd w:val="clear" w:color="auto" w:fill="FFFFFF"/>
        </w:rPr>
        <w:t xml:space="preserve">]. Available from: </w:t>
      </w:r>
      <w:hyperlink r:id="rId10" w:history="1">
        <w:r w:rsidR="007C23EE" w:rsidRPr="00C402C0">
          <w:rPr>
            <w:rStyle w:val="Hyperlink"/>
            <w:rFonts w:cs="Arial"/>
            <w:shd w:val="clear" w:color="auto" w:fill="FFFFFF"/>
          </w:rPr>
          <w:t>https://www.un.org/sustainabledevelopment/wp-content/uploads/2018/09/Goal-7.pdf</w:t>
        </w:r>
      </w:hyperlink>
    </w:p>
    <w:p w14:paraId="4238A304" w14:textId="77777777" w:rsidR="00506706" w:rsidRDefault="00506706" w:rsidP="00650F63">
      <w:pPr>
        <w:pStyle w:val="ListParagraph"/>
        <w:spacing w:after="0" w:line="480" w:lineRule="auto"/>
        <w:rPr>
          <w:rFonts w:cs="Arial"/>
          <w:color w:val="222222"/>
          <w:shd w:val="clear" w:color="auto" w:fill="FFFFFF"/>
        </w:rPr>
      </w:pPr>
    </w:p>
    <w:p w14:paraId="29EB5749" w14:textId="3B122595" w:rsidR="007C23EE" w:rsidRPr="00650F63" w:rsidRDefault="007C23EE" w:rsidP="00506706">
      <w:pPr>
        <w:pStyle w:val="ListParagraph"/>
        <w:numPr>
          <w:ilvl w:val="0"/>
          <w:numId w:val="40"/>
        </w:numPr>
        <w:spacing w:after="0" w:line="480" w:lineRule="auto"/>
        <w:rPr>
          <w:rFonts w:cs="Arial"/>
          <w:color w:val="222222"/>
          <w:shd w:val="clear" w:color="auto" w:fill="FFFFFF"/>
        </w:rPr>
      </w:pPr>
      <w:proofErr w:type="spellStart"/>
      <w:r w:rsidRPr="00650F63">
        <w:rPr>
          <w:rFonts w:cs="Arial"/>
          <w:color w:val="222222"/>
          <w:shd w:val="clear" w:color="auto" w:fill="FFFFFF"/>
        </w:rPr>
        <w:t>Ntanos</w:t>
      </w:r>
      <w:proofErr w:type="spellEnd"/>
      <w:r w:rsidRPr="00650F63">
        <w:rPr>
          <w:rFonts w:cs="Arial"/>
          <w:color w:val="222222"/>
          <w:shd w:val="clear" w:color="auto" w:fill="FFFFFF"/>
        </w:rPr>
        <w:t xml:space="preserve"> S, </w:t>
      </w:r>
      <w:proofErr w:type="spellStart"/>
      <w:r w:rsidRPr="00650F63">
        <w:rPr>
          <w:rFonts w:cs="Arial"/>
          <w:color w:val="222222"/>
          <w:shd w:val="clear" w:color="auto" w:fill="FFFFFF"/>
        </w:rPr>
        <w:t>Skordoulis</w:t>
      </w:r>
      <w:proofErr w:type="spellEnd"/>
      <w:r w:rsidRPr="00650F63">
        <w:rPr>
          <w:rFonts w:cs="Arial"/>
          <w:color w:val="222222"/>
          <w:shd w:val="clear" w:color="auto" w:fill="FFFFFF"/>
        </w:rPr>
        <w:t xml:space="preserve"> M, Kyriakopoulos G, </w:t>
      </w:r>
      <w:proofErr w:type="spellStart"/>
      <w:r w:rsidRPr="00650F63">
        <w:rPr>
          <w:rFonts w:cs="Arial"/>
          <w:color w:val="222222"/>
          <w:shd w:val="clear" w:color="auto" w:fill="FFFFFF"/>
        </w:rPr>
        <w:t>Arabatzis</w:t>
      </w:r>
      <w:proofErr w:type="spellEnd"/>
      <w:r w:rsidRPr="00650F63">
        <w:rPr>
          <w:rFonts w:cs="Arial"/>
          <w:color w:val="222222"/>
          <w:shd w:val="clear" w:color="auto" w:fill="FFFFFF"/>
        </w:rPr>
        <w:t xml:space="preserve"> G, </w:t>
      </w:r>
      <w:proofErr w:type="spellStart"/>
      <w:r w:rsidRPr="00650F63">
        <w:rPr>
          <w:rFonts w:cs="Arial"/>
          <w:color w:val="222222"/>
          <w:shd w:val="clear" w:color="auto" w:fill="FFFFFF"/>
        </w:rPr>
        <w:t>Chalikias</w:t>
      </w:r>
      <w:proofErr w:type="spellEnd"/>
      <w:r w:rsidRPr="00650F63">
        <w:rPr>
          <w:rFonts w:cs="Arial"/>
          <w:color w:val="222222"/>
          <w:shd w:val="clear" w:color="auto" w:fill="FFFFFF"/>
        </w:rPr>
        <w:t xml:space="preserve"> M, </w:t>
      </w:r>
      <w:proofErr w:type="spellStart"/>
      <w:r w:rsidRPr="00650F63">
        <w:rPr>
          <w:rFonts w:cs="Arial"/>
          <w:color w:val="222222"/>
          <w:shd w:val="clear" w:color="auto" w:fill="FFFFFF"/>
        </w:rPr>
        <w:t>Galatsidas</w:t>
      </w:r>
      <w:proofErr w:type="spellEnd"/>
      <w:r w:rsidRPr="00650F63">
        <w:rPr>
          <w:rFonts w:cs="Arial"/>
          <w:color w:val="222222"/>
          <w:shd w:val="clear" w:color="auto" w:fill="FFFFFF"/>
        </w:rPr>
        <w:t xml:space="preserve"> S, </w:t>
      </w:r>
      <w:proofErr w:type="spellStart"/>
      <w:r w:rsidRPr="00650F63">
        <w:rPr>
          <w:rFonts w:cs="Arial"/>
          <w:color w:val="222222"/>
          <w:shd w:val="clear" w:color="auto" w:fill="FFFFFF"/>
        </w:rPr>
        <w:t>Batzios</w:t>
      </w:r>
      <w:proofErr w:type="spellEnd"/>
      <w:r w:rsidRPr="00650F63">
        <w:rPr>
          <w:rFonts w:cs="Arial"/>
          <w:color w:val="222222"/>
          <w:shd w:val="clear" w:color="auto" w:fill="FFFFFF"/>
        </w:rPr>
        <w:t xml:space="preserve"> A, </w:t>
      </w:r>
      <w:proofErr w:type="spellStart"/>
      <w:r w:rsidRPr="00650F63">
        <w:rPr>
          <w:rFonts w:cs="Arial"/>
          <w:color w:val="222222"/>
          <w:shd w:val="clear" w:color="auto" w:fill="FFFFFF"/>
        </w:rPr>
        <w:t>Katsarou</w:t>
      </w:r>
      <w:proofErr w:type="spellEnd"/>
      <w:r w:rsidRPr="00650F63">
        <w:rPr>
          <w:rFonts w:cs="Arial"/>
          <w:color w:val="222222"/>
          <w:shd w:val="clear" w:color="auto" w:fill="FFFFFF"/>
        </w:rPr>
        <w:t xml:space="preserve"> A. Renewable energy and economic growth: Evidence from European countries. Sustainability. 2018 Aug; 10(8):2626. </w:t>
      </w:r>
      <w:hyperlink r:id="rId11" w:history="1">
        <w:r w:rsidRPr="00650F63">
          <w:rPr>
            <w:rStyle w:val="Hyperlink"/>
            <w:rFonts w:cs="Arial"/>
            <w:shd w:val="clear" w:color="auto" w:fill="FFFFFF"/>
          </w:rPr>
          <w:t>https://doi.org/10.3390/su10082626</w:t>
        </w:r>
      </w:hyperlink>
      <w:r w:rsidRPr="00650F63">
        <w:rPr>
          <w:rFonts w:cs="Arial"/>
          <w:color w:val="222222"/>
          <w:shd w:val="clear" w:color="auto" w:fill="FFFFFF"/>
        </w:rPr>
        <w:t xml:space="preserve"> </w:t>
      </w:r>
    </w:p>
    <w:bookmarkEnd w:id="43"/>
    <w:p w14:paraId="0D348530" w14:textId="77777777" w:rsidR="002C175A" w:rsidRPr="008D38E0" w:rsidRDefault="002C175A" w:rsidP="002C175A">
      <w:pPr>
        <w:pStyle w:val="ListParagraph"/>
        <w:spacing w:after="0" w:line="480" w:lineRule="auto"/>
        <w:rPr>
          <w:rFonts w:cs="Arial"/>
          <w:color w:val="222222"/>
          <w:shd w:val="clear" w:color="auto" w:fill="FFFFFF"/>
        </w:rPr>
      </w:pPr>
    </w:p>
    <w:p w14:paraId="32E6413B" w14:textId="77777777" w:rsidR="002C175A" w:rsidRPr="008D38E0" w:rsidRDefault="00C3412D" w:rsidP="002C175A">
      <w:pPr>
        <w:pStyle w:val="ListParagraph"/>
        <w:numPr>
          <w:ilvl w:val="0"/>
          <w:numId w:val="40"/>
        </w:numPr>
        <w:spacing w:after="0" w:line="480" w:lineRule="auto"/>
        <w:rPr>
          <w:rStyle w:val="Hyperlink"/>
          <w:rFonts w:cs="Arial"/>
          <w:color w:val="222222"/>
          <w:u w:val="none"/>
          <w:shd w:val="clear" w:color="auto" w:fill="FFFFFF"/>
        </w:rPr>
      </w:pPr>
      <w:r w:rsidRPr="008D38E0">
        <w:rPr>
          <w:rFonts w:cs="Arial"/>
          <w:color w:val="222222"/>
          <w:shd w:val="clear" w:color="auto" w:fill="FFFFFF"/>
        </w:rPr>
        <w:t>Koon AD, Nambiar D, Rao KD. Embedding of research into decision-making processes [Internet]. New Delhi: Public Health Foundation of India; 2012 Apr [</w:t>
      </w:r>
      <w:r w:rsidR="003B3774" w:rsidRPr="008D38E0">
        <w:rPr>
          <w:rFonts w:cs="Arial"/>
          <w:color w:val="222222"/>
          <w:shd w:val="clear" w:color="auto" w:fill="FFFFFF"/>
        </w:rPr>
        <w:t xml:space="preserve">cited </w:t>
      </w:r>
      <w:r w:rsidR="001D075D" w:rsidRPr="008D38E0">
        <w:rPr>
          <w:rFonts w:cs="Arial"/>
          <w:shd w:val="clear" w:color="auto" w:fill="FFFFFF"/>
        </w:rPr>
        <w:t>2017</w:t>
      </w:r>
      <w:r w:rsidRPr="008D38E0">
        <w:rPr>
          <w:rFonts w:cs="Arial"/>
          <w:shd w:val="clear" w:color="auto" w:fill="FFFFFF"/>
        </w:rPr>
        <w:t xml:space="preserve"> </w:t>
      </w:r>
      <w:r w:rsidR="001D075D" w:rsidRPr="008D38E0">
        <w:rPr>
          <w:rFonts w:cs="Arial"/>
          <w:shd w:val="clear" w:color="auto" w:fill="FFFFFF"/>
        </w:rPr>
        <w:t>July 11</w:t>
      </w:r>
      <w:r w:rsidRPr="008D38E0">
        <w:rPr>
          <w:rFonts w:cs="Arial"/>
          <w:color w:val="222222"/>
          <w:shd w:val="clear" w:color="auto" w:fill="FFFFFF"/>
        </w:rPr>
        <w:t xml:space="preserve">]. Available from: </w:t>
      </w:r>
      <w:hyperlink r:id="rId12" w:history="1">
        <w:r w:rsidRPr="008D38E0">
          <w:rPr>
            <w:rStyle w:val="Hyperlink"/>
            <w:rFonts w:cs="Arial"/>
            <w:shd w:val="clear" w:color="auto" w:fill="FFFFFF"/>
          </w:rPr>
          <w:t>http://www.who.int/alliance-hpsr/alliancehpsr_backgroundpaperembeddingresearch.pdf</w:t>
        </w:r>
      </w:hyperlink>
    </w:p>
    <w:p w14:paraId="46613027" w14:textId="77777777" w:rsidR="002C175A" w:rsidRPr="008D38E0" w:rsidRDefault="002C175A" w:rsidP="002C175A">
      <w:pPr>
        <w:pStyle w:val="ListParagraph"/>
        <w:spacing w:after="0" w:line="480" w:lineRule="auto"/>
        <w:rPr>
          <w:rStyle w:val="Hyperlink"/>
          <w:rFonts w:cs="Arial"/>
          <w:color w:val="222222"/>
          <w:u w:val="none"/>
          <w:shd w:val="clear" w:color="auto" w:fill="FFFFFF"/>
        </w:rPr>
      </w:pPr>
    </w:p>
    <w:p w14:paraId="19811918" w14:textId="77777777" w:rsidR="002C175A" w:rsidRPr="008D38E0" w:rsidRDefault="00C3412D" w:rsidP="002C175A">
      <w:pPr>
        <w:pStyle w:val="ListParagraph"/>
        <w:numPr>
          <w:ilvl w:val="0"/>
          <w:numId w:val="40"/>
        </w:numPr>
        <w:spacing w:after="0" w:line="480" w:lineRule="auto"/>
        <w:rPr>
          <w:rFonts w:cs="Arial"/>
          <w:color w:val="222222"/>
          <w:shd w:val="clear" w:color="auto" w:fill="FFFFFF"/>
        </w:rPr>
      </w:pPr>
      <w:r w:rsidRPr="008D38E0">
        <w:rPr>
          <w:rFonts w:cs="Arial"/>
          <w:color w:val="222222"/>
          <w:shd w:val="clear" w:color="auto" w:fill="FFFFFF"/>
        </w:rPr>
        <w:t xml:space="preserve">Bennett S, </w:t>
      </w:r>
      <w:proofErr w:type="spellStart"/>
      <w:r w:rsidRPr="008D38E0">
        <w:rPr>
          <w:rFonts w:cs="Arial"/>
          <w:color w:val="222222"/>
          <w:shd w:val="clear" w:color="auto" w:fill="FFFFFF"/>
        </w:rPr>
        <w:t>Agyepong</w:t>
      </w:r>
      <w:proofErr w:type="spellEnd"/>
      <w:r w:rsidRPr="008D38E0">
        <w:rPr>
          <w:rFonts w:cs="Arial"/>
          <w:color w:val="222222"/>
          <w:shd w:val="clear" w:color="auto" w:fill="FFFFFF"/>
        </w:rPr>
        <w:t xml:space="preserve"> IA, Sheikh K, Hanson K, </w:t>
      </w:r>
      <w:proofErr w:type="spellStart"/>
      <w:r w:rsidRPr="008D38E0">
        <w:rPr>
          <w:rFonts w:cs="Arial"/>
          <w:color w:val="222222"/>
          <w:shd w:val="clear" w:color="auto" w:fill="FFFFFF"/>
        </w:rPr>
        <w:t>Ssengooba</w:t>
      </w:r>
      <w:proofErr w:type="spellEnd"/>
      <w:r w:rsidRPr="008D38E0">
        <w:rPr>
          <w:rFonts w:cs="Arial"/>
          <w:color w:val="222222"/>
          <w:shd w:val="clear" w:color="auto" w:fill="FFFFFF"/>
        </w:rPr>
        <w:t xml:space="preserve"> F, Gilson L. Building the field of health policy and systems research: an agenda for action. PLOS Medicine. 2011 Aug 30;8(8): e1001081. </w:t>
      </w:r>
      <w:hyperlink r:id="rId13" w:history="1">
        <w:r w:rsidRPr="008D38E0">
          <w:rPr>
            <w:rStyle w:val="Hyperlink"/>
            <w:rFonts w:cs="Arial"/>
            <w:shd w:val="clear" w:color="auto" w:fill="FFFFFF"/>
          </w:rPr>
          <w:t>https://doi.org/10.1371/journal.pmed.1001081</w:t>
        </w:r>
      </w:hyperlink>
    </w:p>
    <w:p w14:paraId="08AC67CB" w14:textId="77777777" w:rsidR="002C175A" w:rsidRPr="008D38E0" w:rsidRDefault="002C175A" w:rsidP="002C175A">
      <w:pPr>
        <w:pStyle w:val="ListParagraph"/>
        <w:spacing w:after="0" w:line="480" w:lineRule="auto"/>
        <w:rPr>
          <w:rFonts w:cs="Arial"/>
          <w:color w:val="222222"/>
          <w:shd w:val="clear" w:color="auto" w:fill="FFFFFF"/>
        </w:rPr>
      </w:pPr>
    </w:p>
    <w:p w14:paraId="59168174" w14:textId="201FEE93" w:rsidR="002C175A" w:rsidRPr="00B36D3C" w:rsidRDefault="00C3412D" w:rsidP="002C175A">
      <w:pPr>
        <w:pStyle w:val="ListParagraph"/>
        <w:numPr>
          <w:ilvl w:val="0"/>
          <w:numId w:val="40"/>
        </w:numPr>
        <w:spacing w:after="0" w:line="480" w:lineRule="auto"/>
        <w:rPr>
          <w:rStyle w:val="Hyperlink"/>
          <w:rFonts w:cs="Arial"/>
          <w:color w:val="222222"/>
          <w:u w:val="none"/>
          <w:shd w:val="clear" w:color="auto" w:fill="FFFFFF"/>
        </w:rPr>
      </w:pPr>
      <w:r w:rsidRPr="008D38E0">
        <w:rPr>
          <w:rFonts w:cs="Arial"/>
          <w:color w:val="222222"/>
          <w:shd w:val="clear" w:color="auto" w:fill="FFFFFF"/>
        </w:rPr>
        <w:lastRenderedPageBreak/>
        <w:t>World Health Organization. Health in 2015: from MDGs, millennium development goals to SDGs, sustainable development goals [Internet].</w:t>
      </w:r>
      <w:r w:rsidRPr="008D38E0">
        <w:t xml:space="preserve"> World Health Organization; 2015 [</w:t>
      </w:r>
      <w:r w:rsidRPr="008D38E0">
        <w:rPr>
          <w:color w:val="000000" w:themeColor="text1"/>
        </w:rPr>
        <w:t>cited 2017 Jul 10</w:t>
      </w:r>
      <w:r w:rsidRPr="008D38E0">
        <w:t xml:space="preserve">]. Available from: </w:t>
      </w:r>
      <w:hyperlink r:id="rId14" w:history="1">
        <w:r w:rsidRPr="008D38E0">
          <w:rPr>
            <w:rStyle w:val="Hyperlink"/>
          </w:rPr>
          <w:t>http://apps.who.int/iris/bitstream/handle/10665/200009/9789241?sequence=1</w:t>
        </w:r>
      </w:hyperlink>
    </w:p>
    <w:p w14:paraId="04103CDF" w14:textId="77777777" w:rsidR="00505D95" w:rsidRPr="008D38E0" w:rsidRDefault="00505D95" w:rsidP="00B36D3C">
      <w:pPr>
        <w:pStyle w:val="ListParagraph"/>
        <w:spacing w:after="0" w:line="480" w:lineRule="auto"/>
        <w:rPr>
          <w:rFonts w:cs="Arial"/>
          <w:color w:val="222222"/>
          <w:shd w:val="clear" w:color="auto" w:fill="FFFFFF"/>
        </w:rPr>
      </w:pPr>
    </w:p>
    <w:p w14:paraId="3277ED16" w14:textId="77777777" w:rsidR="00505D95" w:rsidRDefault="00505D95" w:rsidP="00505D95">
      <w:pPr>
        <w:pStyle w:val="ListParagraph"/>
        <w:numPr>
          <w:ilvl w:val="0"/>
          <w:numId w:val="40"/>
        </w:numPr>
        <w:spacing w:after="0" w:line="480" w:lineRule="auto"/>
        <w:rPr>
          <w:rFonts w:cs="Arial"/>
          <w:color w:val="222222"/>
          <w:shd w:val="clear" w:color="auto" w:fill="FFFFFF"/>
        </w:rPr>
      </w:pPr>
      <w:bookmarkStart w:id="44" w:name="_Hlk14772459"/>
      <w:proofErr w:type="spellStart"/>
      <w:r w:rsidRPr="00744BEE">
        <w:rPr>
          <w:rFonts w:cs="Arial"/>
          <w:color w:val="222222"/>
          <w:shd w:val="clear" w:color="auto" w:fill="FFFFFF"/>
        </w:rPr>
        <w:t>Kok</w:t>
      </w:r>
      <w:proofErr w:type="spellEnd"/>
      <w:r w:rsidRPr="00744BEE">
        <w:rPr>
          <w:rFonts w:cs="Arial"/>
          <w:color w:val="222222"/>
          <w:shd w:val="clear" w:color="auto" w:fill="FFFFFF"/>
        </w:rPr>
        <w:t xml:space="preserve"> MO, </w:t>
      </w:r>
      <w:proofErr w:type="spellStart"/>
      <w:r w:rsidRPr="00744BEE">
        <w:rPr>
          <w:rFonts w:cs="Arial"/>
          <w:color w:val="222222"/>
          <w:shd w:val="clear" w:color="auto" w:fill="FFFFFF"/>
        </w:rPr>
        <w:t>Gyapong</w:t>
      </w:r>
      <w:proofErr w:type="spellEnd"/>
      <w:r w:rsidRPr="00744BEE">
        <w:rPr>
          <w:rFonts w:cs="Arial"/>
          <w:color w:val="222222"/>
          <w:shd w:val="clear" w:color="auto" w:fill="FFFFFF"/>
        </w:rPr>
        <w:t xml:space="preserve"> JO, </w:t>
      </w:r>
      <w:proofErr w:type="spellStart"/>
      <w:r w:rsidRPr="00744BEE">
        <w:rPr>
          <w:rFonts w:cs="Arial"/>
          <w:color w:val="222222"/>
          <w:shd w:val="clear" w:color="auto" w:fill="FFFFFF"/>
        </w:rPr>
        <w:t>Wolffers</w:t>
      </w:r>
      <w:proofErr w:type="spellEnd"/>
      <w:r w:rsidRPr="00744BEE">
        <w:rPr>
          <w:rFonts w:cs="Arial"/>
          <w:color w:val="222222"/>
          <w:shd w:val="clear" w:color="auto" w:fill="FFFFFF"/>
        </w:rPr>
        <w:t xml:space="preserve"> I, Ofori-Adjei D, </w:t>
      </w:r>
      <w:proofErr w:type="spellStart"/>
      <w:r w:rsidRPr="00744BEE">
        <w:rPr>
          <w:rFonts w:cs="Arial"/>
          <w:color w:val="222222"/>
          <w:shd w:val="clear" w:color="auto" w:fill="FFFFFF"/>
        </w:rPr>
        <w:t>Ruitenberg</w:t>
      </w:r>
      <w:proofErr w:type="spellEnd"/>
      <w:r w:rsidRPr="00744BEE">
        <w:rPr>
          <w:rFonts w:cs="Arial"/>
          <w:color w:val="222222"/>
          <w:shd w:val="clear" w:color="auto" w:fill="FFFFFF"/>
        </w:rPr>
        <w:t xml:space="preserve"> J. Which health research gets used and why? An empirical analysis of 30 cases. Health research policy and systems. 2016 Dec;14(1):36.</w:t>
      </w:r>
    </w:p>
    <w:p w14:paraId="3DCF4221" w14:textId="77777777" w:rsidR="00505D95" w:rsidRDefault="00505D95" w:rsidP="00505D95">
      <w:pPr>
        <w:pStyle w:val="ListParagraph"/>
        <w:spacing w:after="0" w:line="480" w:lineRule="auto"/>
        <w:rPr>
          <w:rFonts w:cs="Arial"/>
          <w:color w:val="222222"/>
          <w:shd w:val="clear" w:color="auto" w:fill="FFFFFF"/>
        </w:rPr>
      </w:pPr>
    </w:p>
    <w:p w14:paraId="5328BD5C" w14:textId="77777777" w:rsidR="00505D95" w:rsidRDefault="00505D95" w:rsidP="00505D95">
      <w:pPr>
        <w:pStyle w:val="ListParagraph"/>
        <w:numPr>
          <w:ilvl w:val="0"/>
          <w:numId w:val="40"/>
        </w:numPr>
        <w:spacing w:after="0" w:line="480" w:lineRule="auto"/>
        <w:rPr>
          <w:rFonts w:cs="Arial"/>
          <w:color w:val="222222"/>
          <w:shd w:val="clear" w:color="auto" w:fill="FFFFFF"/>
        </w:rPr>
      </w:pPr>
      <w:proofErr w:type="spellStart"/>
      <w:r w:rsidRPr="009118D2">
        <w:rPr>
          <w:rFonts w:cs="Arial"/>
          <w:color w:val="222222"/>
          <w:shd w:val="clear" w:color="auto" w:fill="FFFFFF"/>
        </w:rPr>
        <w:t>Teferra</w:t>
      </w:r>
      <w:proofErr w:type="spellEnd"/>
      <w:r w:rsidRPr="009118D2">
        <w:rPr>
          <w:rFonts w:cs="Arial"/>
          <w:color w:val="222222"/>
          <w:shd w:val="clear" w:color="auto" w:fill="FFFFFF"/>
        </w:rPr>
        <w:t xml:space="preserve"> D. Funding higher education in Africa: State, trends and perspectives. Journal of Higher Education in Africa/Revue de </w:t>
      </w:r>
      <w:proofErr w:type="spellStart"/>
      <w:r w:rsidRPr="009118D2">
        <w:rPr>
          <w:rFonts w:cs="Arial"/>
          <w:color w:val="222222"/>
          <w:shd w:val="clear" w:color="auto" w:fill="FFFFFF"/>
        </w:rPr>
        <w:t>l'enseignement</w:t>
      </w:r>
      <w:proofErr w:type="spellEnd"/>
      <w:r w:rsidRPr="009118D2">
        <w:rPr>
          <w:rFonts w:cs="Arial"/>
          <w:color w:val="222222"/>
          <w:shd w:val="clear" w:color="auto" w:fill="FFFFFF"/>
        </w:rPr>
        <w:t xml:space="preserve"> </w:t>
      </w:r>
      <w:proofErr w:type="spellStart"/>
      <w:r w:rsidRPr="009118D2">
        <w:rPr>
          <w:rFonts w:cs="Arial"/>
          <w:color w:val="222222"/>
          <w:shd w:val="clear" w:color="auto" w:fill="FFFFFF"/>
        </w:rPr>
        <w:t>supérieur</w:t>
      </w:r>
      <w:proofErr w:type="spellEnd"/>
      <w:r w:rsidRPr="009118D2">
        <w:rPr>
          <w:rFonts w:cs="Arial"/>
          <w:color w:val="222222"/>
          <w:shd w:val="clear" w:color="auto" w:fill="FFFFFF"/>
        </w:rPr>
        <w:t xml:space="preserve"> </w:t>
      </w:r>
      <w:proofErr w:type="spellStart"/>
      <w:r w:rsidRPr="009118D2">
        <w:rPr>
          <w:rFonts w:cs="Arial"/>
          <w:color w:val="222222"/>
          <w:shd w:val="clear" w:color="auto" w:fill="FFFFFF"/>
        </w:rPr>
        <w:t>en</w:t>
      </w:r>
      <w:proofErr w:type="spellEnd"/>
      <w:r w:rsidRPr="009118D2">
        <w:rPr>
          <w:rFonts w:cs="Arial"/>
          <w:color w:val="222222"/>
          <w:shd w:val="clear" w:color="auto" w:fill="FFFFFF"/>
        </w:rPr>
        <w:t xml:space="preserve"> Afrique. 2013 Jan 1;11(1-2):19-51.</w:t>
      </w:r>
    </w:p>
    <w:bookmarkEnd w:id="44"/>
    <w:p w14:paraId="4F712D82" w14:textId="77777777" w:rsidR="002C175A" w:rsidRPr="008D38E0" w:rsidRDefault="002C175A" w:rsidP="002C175A">
      <w:pPr>
        <w:pStyle w:val="ListParagraph"/>
        <w:spacing w:after="0" w:line="480" w:lineRule="auto"/>
        <w:rPr>
          <w:rFonts w:cs="Arial"/>
          <w:color w:val="222222"/>
          <w:shd w:val="clear" w:color="auto" w:fill="FFFFFF"/>
        </w:rPr>
      </w:pPr>
    </w:p>
    <w:p w14:paraId="43EBC36C" w14:textId="77777777" w:rsidR="002C175A" w:rsidRPr="008D38E0" w:rsidRDefault="00C3412D" w:rsidP="002C175A">
      <w:pPr>
        <w:pStyle w:val="ListParagraph"/>
        <w:numPr>
          <w:ilvl w:val="0"/>
          <w:numId w:val="40"/>
        </w:numPr>
        <w:spacing w:after="0" w:line="480" w:lineRule="auto"/>
        <w:rPr>
          <w:rStyle w:val="Hyperlink"/>
          <w:rFonts w:cs="Arial"/>
          <w:color w:val="222222"/>
          <w:u w:val="none"/>
          <w:shd w:val="clear" w:color="auto" w:fill="FFFFFF"/>
        </w:rPr>
      </w:pPr>
      <w:r w:rsidRPr="008D38E0">
        <w:rPr>
          <w:rFonts w:cs="Arial"/>
          <w:color w:val="222222"/>
          <w:shd w:val="clear" w:color="auto" w:fill="FFFFFF"/>
        </w:rPr>
        <w:t xml:space="preserve">Department for International Development (DFID). </w:t>
      </w:r>
      <w:bookmarkStart w:id="45" w:name="_Hlk14885298"/>
      <w:r w:rsidRPr="008D38E0">
        <w:t xml:space="preserve">DFID research Review [Internet]. </w:t>
      </w:r>
      <w:r w:rsidRPr="008D38E0">
        <w:rPr>
          <w:rFonts w:cs="Arial"/>
          <w:color w:val="222222"/>
          <w:shd w:val="clear" w:color="auto" w:fill="FFFFFF"/>
        </w:rPr>
        <w:t xml:space="preserve">London, United Kingdom: Department for International Development; </w:t>
      </w:r>
      <w:r w:rsidRPr="008D38E0">
        <w:t xml:space="preserve">2016 Oct 26 </w:t>
      </w:r>
      <w:r w:rsidRPr="008D38E0">
        <w:rPr>
          <w:rFonts w:cs="Arial"/>
          <w:color w:val="222222"/>
          <w:shd w:val="clear" w:color="auto" w:fill="FFFFFF"/>
        </w:rPr>
        <w:t>[</w:t>
      </w:r>
      <w:r w:rsidRPr="008D38E0">
        <w:rPr>
          <w:rFonts w:cs="Arial"/>
          <w:color w:val="000000" w:themeColor="text1"/>
          <w:shd w:val="clear" w:color="auto" w:fill="FFFFFF"/>
        </w:rPr>
        <w:t>cited 2018 Mar 14</w:t>
      </w:r>
      <w:r w:rsidRPr="008D38E0">
        <w:rPr>
          <w:rFonts w:cs="Arial"/>
          <w:color w:val="222222"/>
          <w:shd w:val="clear" w:color="auto" w:fill="FFFFFF"/>
        </w:rPr>
        <w:t xml:space="preserve">]. Available from: </w:t>
      </w:r>
      <w:bookmarkEnd w:id="45"/>
      <w:r w:rsidR="00146542">
        <w:fldChar w:fldCharType="begin"/>
      </w:r>
      <w:r w:rsidR="00146542">
        <w:instrText xml:space="preserve"> HYPERLINK "https://assets.publishing.service.gov.uk/government/uploads/system/uploads/attachment_data/file/564075/Research-review4.pdf" </w:instrText>
      </w:r>
      <w:r w:rsidR="00146542">
        <w:fldChar w:fldCharType="separate"/>
      </w:r>
      <w:r w:rsidRPr="008D38E0">
        <w:rPr>
          <w:rStyle w:val="Hyperlink"/>
          <w:rFonts w:cs="Arial"/>
          <w:shd w:val="clear" w:color="auto" w:fill="FFFFFF"/>
        </w:rPr>
        <w:t>https://assets.publishing.service.gov.uk/government/uploads/system/uploads/attachment_data/file/564075/Research-review4.pdf</w:t>
      </w:r>
      <w:r w:rsidR="00146542">
        <w:rPr>
          <w:rStyle w:val="Hyperlink"/>
          <w:rFonts w:cs="Arial"/>
          <w:shd w:val="clear" w:color="auto" w:fill="FFFFFF"/>
        </w:rPr>
        <w:fldChar w:fldCharType="end"/>
      </w:r>
    </w:p>
    <w:p w14:paraId="46B4CEFD" w14:textId="77777777" w:rsidR="002C175A" w:rsidRPr="008D38E0" w:rsidRDefault="002C175A" w:rsidP="002C175A">
      <w:pPr>
        <w:pStyle w:val="ListParagraph"/>
        <w:spacing w:after="0" w:line="480" w:lineRule="auto"/>
        <w:rPr>
          <w:rStyle w:val="Hyperlink"/>
          <w:rFonts w:cs="Arial"/>
          <w:color w:val="222222"/>
          <w:u w:val="none"/>
          <w:shd w:val="clear" w:color="auto" w:fill="FFFFFF"/>
        </w:rPr>
      </w:pPr>
    </w:p>
    <w:p w14:paraId="2175A810" w14:textId="77777777" w:rsidR="00BF2B00" w:rsidRPr="008D38E0" w:rsidRDefault="00C3412D" w:rsidP="00BF2B00">
      <w:pPr>
        <w:pStyle w:val="ListParagraph"/>
        <w:numPr>
          <w:ilvl w:val="0"/>
          <w:numId w:val="40"/>
        </w:numPr>
        <w:spacing w:after="0" w:line="480" w:lineRule="auto"/>
        <w:rPr>
          <w:rStyle w:val="Hyperlink"/>
          <w:rFonts w:cs="Arial"/>
          <w:color w:val="222222"/>
          <w:u w:val="none"/>
          <w:shd w:val="clear" w:color="auto" w:fill="FFFFFF"/>
        </w:rPr>
      </w:pPr>
      <w:r w:rsidRPr="008D38E0">
        <w:t xml:space="preserve">Newman K. What is the evidence on the impact of research on international development. [Internet]. London, United Kingdom: Department for International Development; </w:t>
      </w:r>
      <w:r w:rsidRPr="008D38E0">
        <w:rPr>
          <w:color w:val="000000" w:themeColor="text1"/>
        </w:rPr>
        <w:t xml:space="preserve">2014. [cited 2017 Feb 27]. Available from: </w:t>
      </w:r>
      <w:hyperlink r:id="rId15" w:history="1">
        <w:r w:rsidRPr="008D38E0">
          <w:rPr>
            <w:rStyle w:val="Hyperlink"/>
          </w:rPr>
          <w:t>https://assets.publishing.service.gov.uk/media/57a089aced915d622c000343/impact-of-research-on-international-development.pdf</w:t>
        </w:r>
      </w:hyperlink>
    </w:p>
    <w:p w14:paraId="39BD33B9" w14:textId="77777777" w:rsidR="00BF2B00" w:rsidRPr="008D38E0" w:rsidRDefault="00BF2B00" w:rsidP="00BF2B00">
      <w:pPr>
        <w:pStyle w:val="ListParagraph"/>
        <w:spacing w:after="0" w:line="480" w:lineRule="auto"/>
        <w:rPr>
          <w:rFonts w:cs="Arial"/>
          <w:color w:val="222222"/>
          <w:shd w:val="clear" w:color="auto" w:fill="FFFFFF"/>
        </w:rPr>
      </w:pPr>
    </w:p>
    <w:p w14:paraId="2A7605BE" w14:textId="57C85EB5" w:rsidR="00BF2B00" w:rsidRPr="007D059C" w:rsidRDefault="00C3412D" w:rsidP="00BF2B00">
      <w:pPr>
        <w:pStyle w:val="ListParagraph"/>
        <w:numPr>
          <w:ilvl w:val="0"/>
          <w:numId w:val="40"/>
        </w:numPr>
        <w:spacing w:after="0" w:line="480" w:lineRule="auto"/>
        <w:rPr>
          <w:rStyle w:val="Hyperlink"/>
          <w:rFonts w:cs="Arial"/>
          <w:color w:val="222222"/>
          <w:u w:val="none"/>
          <w:shd w:val="clear" w:color="auto" w:fill="FFFFFF"/>
        </w:rPr>
      </w:pPr>
      <w:r w:rsidRPr="008D38E0">
        <w:lastRenderedPageBreak/>
        <w:t xml:space="preserve">UK Research and Innovation. The Global Challenges Research Fund (GCRF) [Internet]. [cited 2017 </w:t>
      </w:r>
      <w:r w:rsidRPr="008D38E0">
        <w:rPr>
          <w:color w:val="000000" w:themeColor="text1"/>
        </w:rPr>
        <w:t>Feb 27]. Av</w:t>
      </w:r>
      <w:r w:rsidRPr="008D38E0">
        <w:t xml:space="preserve">ailable from </w:t>
      </w:r>
      <w:hyperlink r:id="rId16" w:history="1">
        <w:r w:rsidRPr="008D38E0">
          <w:rPr>
            <w:rStyle w:val="Hyperlink"/>
          </w:rPr>
          <w:t>https://www.ukri.org/research/global-challenges-research-fund/</w:t>
        </w:r>
      </w:hyperlink>
    </w:p>
    <w:p w14:paraId="3CE63699" w14:textId="77777777" w:rsidR="007D059C" w:rsidRPr="007D059C" w:rsidRDefault="007D059C" w:rsidP="007D059C">
      <w:pPr>
        <w:pStyle w:val="ListParagraph"/>
        <w:spacing w:after="0" w:line="480" w:lineRule="auto"/>
        <w:rPr>
          <w:rStyle w:val="Hyperlink"/>
          <w:rFonts w:cs="Arial"/>
          <w:color w:val="222222"/>
          <w:u w:val="none"/>
          <w:shd w:val="clear" w:color="auto" w:fill="FFFFFF"/>
        </w:rPr>
      </w:pPr>
    </w:p>
    <w:p w14:paraId="6049A735" w14:textId="289F51D3" w:rsidR="007D059C" w:rsidRDefault="00EF07A7" w:rsidP="00EF07A7">
      <w:pPr>
        <w:pStyle w:val="ListParagraph"/>
        <w:numPr>
          <w:ilvl w:val="0"/>
          <w:numId w:val="40"/>
        </w:numPr>
        <w:spacing w:after="0" w:line="480" w:lineRule="auto"/>
        <w:rPr>
          <w:rStyle w:val="Hyperlink"/>
          <w:rFonts w:cs="Arial"/>
          <w:color w:val="222222"/>
          <w:u w:val="none"/>
          <w:shd w:val="clear" w:color="auto" w:fill="FFFFFF"/>
        </w:rPr>
      </w:pPr>
      <w:r w:rsidRPr="00EF07A7">
        <w:rPr>
          <w:rStyle w:val="Hyperlink"/>
          <w:rFonts w:cs="Arial"/>
          <w:color w:val="222222"/>
          <w:u w:val="none"/>
          <w:shd w:val="clear" w:color="auto" w:fill="FFFFFF"/>
        </w:rPr>
        <w:t xml:space="preserve">Baskaran A. UNESCO Science Report: Towards 2030. Institutions and Economies. </w:t>
      </w:r>
      <w:r w:rsidR="00340775">
        <w:rPr>
          <w:rStyle w:val="Hyperlink"/>
          <w:rFonts w:cs="Arial"/>
          <w:color w:val="222222"/>
          <w:u w:val="none"/>
          <w:shd w:val="clear" w:color="auto" w:fill="FFFFFF"/>
        </w:rPr>
        <w:t>[Internet]</w:t>
      </w:r>
      <w:r>
        <w:rPr>
          <w:rStyle w:val="Hyperlink"/>
          <w:rFonts w:cs="Arial"/>
          <w:color w:val="222222"/>
          <w:u w:val="none"/>
          <w:shd w:val="clear" w:color="auto" w:fill="FFFFFF"/>
        </w:rPr>
        <w:t xml:space="preserve"> </w:t>
      </w:r>
      <w:r w:rsidR="00340775" w:rsidRPr="00340775">
        <w:rPr>
          <w:rStyle w:val="Hyperlink"/>
          <w:rFonts w:cs="Arial"/>
          <w:color w:val="222222"/>
          <w:u w:val="none"/>
          <w:shd w:val="clear" w:color="auto" w:fill="FFFFFF"/>
        </w:rPr>
        <w:t>United Nations Educational, Scientific and Cultural Organisation (UNESCO)</w:t>
      </w:r>
      <w:r w:rsidR="00340775">
        <w:rPr>
          <w:rStyle w:val="Hyperlink"/>
          <w:rFonts w:cs="Arial"/>
          <w:color w:val="222222"/>
          <w:u w:val="none"/>
          <w:shd w:val="clear" w:color="auto" w:fill="FFFFFF"/>
        </w:rPr>
        <w:t xml:space="preserve">; </w:t>
      </w:r>
      <w:r w:rsidR="00340775" w:rsidRPr="00340775">
        <w:rPr>
          <w:rStyle w:val="Hyperlink"/>
          <w:rFonts w:cs="Arial"/>
          <w:color w:val="222222"/>
          <w:u w:val="none"/>
          <w:shd w:val="clear" w:color="auto" w:fill="FFFFFF"/>
        </w:rPr>
        <w:t>2017 Jul 12 [cited 201</w:t>
      </w:r>
      <w:r w:rsidR="00340775">
        <w:rPr>
          <w:rStyle w:val="Hyperlink"/>
          <w:rFonts w:cs="Arial"/>
          <w:color w:val="222222"/>
          <w:u w:val="none"/>
          <w:shd w:val="clear" w:color="auto" w:fill="FFFFFF"/>
        </w:rPr>
        <w:t>9</w:t>
      </w:r>
      <w:r w:rsidR="00340775" w:rsidRPr="00340775">
        <w:rPr>
          <w:rStyle w:val="Hyperlink"/>
          <w:rFonts w:cs="Arial"/>
          <w:color w:val="222222"/>
          <w:u w:val="none"/>
          <w:shd w:val="clear" w:color="auto" w:fill="FFFFFF"/>
        </w:rPr>
        <w:t xml:space="preserve"> </w:t>
      </w:r>
      <w:r w:rsidR="00340775">
        <w:rPr>
          <w:rStyle w:val="Hyperlink"/>
          <w:rFonts w:cs="Arial"/>
          <w:color w:val="222222"/>
          <w:u w:val="none"/>
          <w:shd w:val="clear" w:color="auto" w:fill="FFFFFF"/>
        </w:rPr>
        <w:t>May</w:t>
      </w:r>
      <w:r w:rsidR="00340775" w:rsidRPr="00340775">
        <w:rPr>
          <w:rStyle w:val="Hyperlink"/>
          <w:rFonts w:cs="Arial"/>
          <w:color w:val="222222"/>
          <w:u w:val="none"/>
          <w:shd w:val="clear" w:color="auto" w:fill="FFFFFF"/>
        </w:rPr>
        <w:t xml:space="preserve"> </w:t>
      </w:r>
      <w:r w:rsidR="00340775">
        <w:rPr>
          <w:rStyle w:val="Hyperlink"/>
          <w:rFonts w:cs="Arial"/>
          <w:color w:val="222222"/>
          <w:u w:val="none"/>
          <w:shd w:val="clear" w:color="auto" w:fill="FFFFFF"/>
        </w:rPr>
        <w:t>20</w:t>
      </w:r>
      <w:r w:rsidR="00340775" w:rsidRPr="00340775">
        <w:rPr>
          <w:rStyle w:val="Hyperlink"/>
          <w:rFonts w:cs="Arial"/>
          <w:color w:val="222222"/>
          <w:u w:val="none"/>
          <w:shd w:val="clear" w:color="auto" w:fill="FFFFFF"/>
        </w:rPr>
        <w:t xml:space="preserve">]. Available from: </w:t>
      </w:r>
      <w:hyperlink r:id="rId17" w:history="1">
        <w:r w:rsidR="002E43EF" w:rsidRPr="00A47C7F">
          <w:rPr>
            <w:rStyle w:val="Hyperlink"/>
            <w:rFonts w:cs="Arial"/>
            <w:shd w:val="clear" w:color="auto" w:fill="FFFFFF"/>
          </w:rPr>
          <w:t>https://en.unesco.org/sites/default/files/usr15_focus_sub-saharan_africa.pdf</w:t>
        </w:r>
      </w:hyperlink>
    </w:p>
    <w:p w14:paraId="3592708A" w14:textId="77777777" w:rsidR="002E43EF" w:rsidRPr="008D38E0" w:rsidRDefault="002E43EF" w:rsidP="002E43EF">
      <w:pPr>
        <w:pStyle w:val="ListParagraph"/>
        <w:spacing w:after="0" w:line="480" w:lineRule="auto"/>
        <w:rPr>
          <w:rStyle w:val="Hyperlink"/>
          <w:rFonts w:cs="Arial"/>
          <w:color w:val="222222"/>
          <w:u w:val="none"/>
          <w:shd w:val="clear" w:color="auto" w:fill="FFFFFF"/>
        </w:rPr>
      </w:pPr>
    </w:p>
    <w:p w14:paraId="4C33C3ED" w14:textId="1CFAA2E8" w:rsidR="00BF2B00" w:rsidRPr="004D1C5E" w:rsidRDefault="00C3412D" w:rsidP="00BF2B00">
      <w:pPr>
        <w:pStyle w:val="ListParagraph"/>
        <w:numPr>
          <w:ilvl w:val="0"/>
          <w:numId w:val="40"/>
        </w:numPr>
        <w:spacing w:after="0" w:line="480" w:lineRule="auto"/>
        <w:rPr>
          <w:rStyle w:val="Hyperlink"/>
          <w:rFonts w:cs="Arial"/>
          <w:color w:val="222222"/>
          <w:u w:val="none"/>
          <w:shd w:val="clear" w:color="auto" w:fill="FFFFFF"/>
        </w:rPr>
      </w:pPr>
      <w:proofErr w:type="spellStart"/>
      <w:r w:rsidRPr="008D38E0">
        <w:t>ChartsBin</w:t>
      </w:r>
      <w:proofErr w:type="spellEnd"/>
      <w:r w:rsidRPr="008D38E0">
        <w:t xml:space="preserve"> statistics collector team [dataset on the internet]. 2011. Number of Researchers per million inhabitants by country. </w:t>
      </w:r>
      <w:bookmarkStart w:id="46" w:name="_Hlk14885245"/>
      <w:r w:rsidRPr="008D38E0">
        <w:t>United Nations Educational, Scientific and Cultural Organisation (UNESCO) Institute for Statistics. [</w:t>
      </w:r>
      <w:r w:rsidRPr="008D38E0">
        <w:rPr>
          <w:color w:val="000000" w:themeColor="text1"/>
        </w:rPr>
        <w:t xml:space="preserve">cited 2018 Mar 14]. Available </w:t>
      </w:r>
      <w:r w:rsidRPr="008D38E0">
        <w:t xml:space="preserve">from: </w:t>
      </w:r>
      <w:bookmarkEnd w:id="46"/>
      <w:r w:rsidR="00146542">
        <w:fldChar w:fldCharType="begin"/>
      </w:r>
      <w:r w:rsidR="00146542">
        <w:instrText xml:space="preserve"> HYPERLINK "http://chartsbin.com/view/1124" </w:instrText>
      </w:r>
      <w:r w:rsidR="00146542">
        <w:fldChar w:fldCharType="separate"/>
      </w:r>
      <w:r w:rsidRPr="008D38E0">
        <w:rPr>
          <w:rStyle w:val="Hyperlink"/>
        </w:rPr>
        <w:t>http://chartsbin.com/view/1124</w:t>
      </w:r>
      <w:r w:rsidR="00146542">
        <w:rPr>
          <w:rStyle w:val="Hyperlink"/>
        </w:rPr>
        <w:fldChar w:fldCharType="end"/>
      </w:r>
    </w:p>
    <w:p w14:paraId="78F036E2" w14:textId="77777777" w:rsidR="00BF2B00" w:rsidRPr="007D059C" w:rsidRDefault="00BF2B00" w:rsidP="007D059C">
      <w:pPr>
        <w:spacing w:after="0" w:line="480" w:lineRule="auto"/>
        <w:rPr>
          <w:rFonts w:cs="Arial"/>
          <w:color w:val="222222"/>
          <w:shd w:val="clear" w:color="auto" w:fill="FFFFFF"/>
        </w:rPr>
      </w:pPr>
    </w:p>
    <w:p w14:paraId="3276697F" w14:textId="77777777" w:rsidR="00BF2B00" w:rsidRPr="008D38E0" w:rsidRDefault="00C3412D" w:rsidP="00BF2B00">
      <w:pPr>
        <w:pStyle w:val="ListParagraph"/>
        <w:numPr>
          <w:ilvl w:val="0"/>
          <w:numId w:val="40"/>
        </w:numPr>
        <w:spacing w:after="0" w:line="480" w:lineRule="auto"/>
        <w:rPr>
          <w:rStyle w:val="Hyperlink"/>
          <w:rFonts w:cs="Arial"/>
          <w:color w:val="222222"/>
          <w:u w:val="none"/>
          <w:shd w:val="clear" w:color="auto" w:fill="FFFFFF"/>
        </w:rPr>
      </w:pPr>
      <w:r w:rsidRPr="008D38E0">
        <w:rPr>
          <w:rFonts w:cs="Arial"/>
          <w:color w:val="222222"/>
          <w:shd w:val="clear" w:color="auto" w:fill="FFFFFF"/>
        </w:rPr>
        <w:t>Vogel I. Research capacity strengthening: learning from experience [Internet]. London: UK Collaborative on Development Sciences (UKCDS); 2011 [</w:t>
      </w:r>
      <w:r w:rsidRPr="008D38E0">
        <w:rPr>
          <w:rFonts w:cs="Arial"/>
          <w:color w:val="000000" w:themeColor="text1"/>
          <w:shd w:val="clear" w:color="auto" w:fill="FFFFFF"/>
        </w:rPr>
        <w:t xml:space="preserve">cited 2018 Mar 12]. Available </w:t>
      </w:r>
      <w:r w:rsidRPr="008D38E0">
        <w:rPr>
          <w:rFonts w:cs="Arial"/>
          <w:color w:val="222222"/>
          <w:shd w:val="clear" w:color="auto" w:fill="FFFFFF"/>
        </w:rPr>
        <w:t xml:space="preserve">from: </w:t>
      </w:r>
      <w:hyperlink r:id="rId18" w:history="1">
        <w:r w:rsidRPr="008D38E0">
          <w:rPr>
            <w:rStyle w:val="Hyperlink"/>
            <w:rFonts w:cs="Arial"/>
            <w:shd w:val="clear" w:color="auto" w:fill="FFFFFF"/>
          </w:rPr>
          <w:t>http://www.ukcdr.org.uk/wp-content/uploads/2018/03/UKCDS_Capacity_Building_Report_July_2012.pdf</w:t>
        </w:r>
      </w:hyperlink>
    </w:p>
    <w:p w14:paraId="03BA0E79" w14:textId="77777777" w:rsidR="00BF2B00" w:rsidRPr="008D38E0" w:rsidRDefault="00BF2B00" w:rsidP="00BF2B00">
      <w:pPr>
        <w:pStyle w:val="ListParagraph"/>
        <w:spacing w:after="0" w:line="480" w:lineRule="auto"/>
        <w:rPr>
          <w:rStyle w:val="Hyperlink"/>
          <w:rFonts w:cs="Arial"/>
          <w:color w:val="222222"/>
          <w:u w:val="none"/>
          <w:shd w:val="clear" w:color="auto" w:fill="FFFFFF"/>
        </w:rPr>
      </w:pPr>
    </w:p>
    <w:p w14:paraId="13C9E990" w14:textId="77777777" w:rsidR="00C3412D" w:rsidRPr="008D38E0" w:rsidRDefault="00C3412D" w:rsidP="00BF2B00">
      <w:pPr>
        <w:pStyle w:val="ListParagraph"/>
        <w:numPr>
          <w:ilvl w:val="0"/>
          <w:numId w:val="40"/>
        </w:numPr>
        <w:spacing w:after="0" w:line="480" w:lineRule="auto"/>
        <w:rPr>
          <w:rFonts w:cs="Arial"/>
          <w:color w:val="222222"/>
          <w:shd w:val="clear" w:color="auto" w:fill="FFFFFF"/>
        </w:rPr>
      </w:pPr>
      <w:r w:rsidRPr="008D38E0">
        <w:t>Enoch J. Ra</w:t>
      </w:r>
      <w:r w:rsidR="009D787D" w:rsidRPr="008D38E0">
        <w:t>pi</w:t>
      </w:r>
      <w:r w:rsidRPr="008D38E0">
        <w:t>d map</w:t>
      </w:r>
      <w:r w:rsidR="009D787D" w:rsidRPr="008D38E0">
        <w:t>pi</w:t>
      </w:r>
      <w:r w:rsidRPr="008D38E0">
        <w:t>ng of international funders’ research capacity strengthening priorities. [Internet]. London: UK Collaborative on Development Sciences (UKCDS); 2015 [cite</w:t>
      </w:r>
      <w:r w:rsidRPr="008D38E0">
        <w:rPr>
          <w:color w:val="000000" w:themeColor="text1"/>
        </w:rPr>
        <w:t>d 2018 Mar 12]. UK</w:t>
      </w:r>
      <w:r w:rsidRPr="008D38E0">
        <w:t xml:space="preserve">CDS. Available from: </w:t>
      </w:r>
      <w:hyperlink r:id="rId19" w:history="1">
        <w:r w:rsidR="009D787D" w:rsidRPr="008D38E0">
          <w:rPr>
            <w:rStyle w:val="Hyperlink"/>
          </w:rPr>
          <w:t>http://www.ukcdr.org.uk/wp-content/uploads/2017/11/UKCDS-rapid-RCS-mapping-for-DFID.pdf</w:t>
        </w:r>
      </w:hyperlink>
      <w:r w:rsidRPr="008D38E0">
        <w:t xml:space="preserve"> </w:t>
      </w:r>
    </w:p>
    <w:p w14:paraId="4411F63B" w14:textId="77777777" w:rsidR="00BF2B00" w:rsidRPr="008D38E0" w:rsidRDefault="00BF2B00" w:rsidP="00BF2B00">
      <w:pPr>
        <w:pStyle w:val="ListParagraph"/>
        <w:spacing w:after="0" w:line="480" w:lineRule="auto"/>
        <w:rPr>
          <w:rFonts w:cs="Arial"/>
          <w:color w:val="222222"/>
          <w:shd w:val="clear" w:color="auto" w:fill="FFFFFF"/>
        </w:rPr>
      </w:pPr>
    </w:p>
    <w:p w14:paraId="002002C4" w14:textId="77777777" w:rsidR="00BF2B00" w:rsidRPr="008D38E0" w:rsidRDefault="00BF2B00" w:rsidP="00BF2B00">
      <w:pPr>
        <w:pStyle w:val="ListParagraph"/>
        <w:numPr>
          <w:ilvl w:val="0"/>
          <w:numId w:val="40"/>
        </w:numPr>
        <w:spacing w:after="0" w:line="480" w:lineRule="auto"/>
        <w:rPr>
          <w:rStyle w:val="Hyperlink"/>
          <w:color w:val="auto"/>
          <w:u w:val="none"/>
        </w:rPr>
      </w:pPr>
      <w:r w:rsidRPr="008D38E0">
        <w:t>Enoch J. Health research capacity strengthening: A UKCDS Mapping? [Internet]. London: UK Collaborative on Development Sciences (UKCDS); 2015 Feb 9 [</w:t>
      </w:r>
      <w:r w:rsidRPr="008D38E0">
        <w:rPr>
          <w:color w:val="000000" w:themeColor="text1"/>
        </w:rPr>
        <w:t xml:space="preserve">cited 2018 Mar 12]. Available </w:t>
      </w:r>
      <w:r w:rsidRPr="008D38E0">
        <w:rPr>
          <w:color w:val="000000" w:themeColor="text1"/>
        </w:rPr>
        <w:lastRenderedPageBreak/>
        <w:t>from</w:t>
      </w:r>
      <w:r w:rsidRPr="008D38E0">
        <w:t xml:space="preserve">: </w:t>
      </w:r>
      <w:hyperlink r:id="rId20" w:history="1">
        <w:r w:rsidRPr="008D38E0">
          <w:rPr>
            <w:rStyle w:val="Hyperlink"/>
          </w:rPr>
          <w:t>http://www.ukcdr.org.uk/wp-content/uploads/2018/07/Health-Research-Capacity-Strengthening.pdf</w:t>
        </w:r>
      </w:hyperlink>
    </w:p>
    <w:p w14:paraId="6716B7B2" w14:textId="77777777" w:rsidR="0004540F" w:rsidRPr="008D38E0" w:rsidRDefault="0004540F" w:rsidP="0004540F">
      <w:pPr>
        <w:pStyle w:val="ListParagraph"/>
        <w:spacing w:after="0" w:line="480" w:lineRule="auto"/>
      </w:pPr>
    </w:p>
    <w:p w14:paraId="6D922518" w14:textId="77777777" w:rsidR="0004540F" w:rsidRPr="008D38E0" w:rsidRDefault="0004540F" w:rsidP="0004540F">
      <w:pPr>
        <w:pStyle w:val="ListParagraph"/>
        <w:numPr>
          <w:ilvl w:val="0"/>
          <w:numId w:val="40"/>
        </w:numPr>
        <w:spacing w:after="0" w:line="480" w:lineRule="auto"/>
      </w:pPr>
      <w:proofErr w:type="spellStart"/>
      <w:r w:rsidRPr="008D38E0">
        <w:rPr>
          <w:rFonts w:cs="Arial"/>
          <w:color w:val="222222"/>
          <w:shd w:val="clear" w:color="auto" w:fill="FFFFFF"/>
        </w:rPr>
        <w:t>Nuyens</w:t>
      </w:r>
      <w:proofErr w:type="spellEnd"/>
      <w:r w:rsidRPr="008D38E0">
        <w:rPr>
          <w:rFonts w:cs="Arial"/>
          <w:color w:val="222222"/>
          <w:shd w:val="clear" w:color="auto" w:fill="FFFFFF"/>
        </w:rPr>
        <w:t xml:space="preserve"> Y. 10 best resources for health research capacity strengthening. Health Policy and Planning. 2007 Jul 1; 22(4):274-6.</w:t>
      </w:r>
      <w:r w:rsidRPr="008D38E0">
        <w:t xml:space="preserve"> </w:t>
      </w:r>
      <w:hyperlink r:id="rId21" w:history="1">
        <w:r w:rsidRPr="008D38E0">
          <w:rPr>
            <w:rStyle w:val="Hyperlink"/>
            <w:rFonts w:cs="Arial"/>
            <w:shd w:val="clear" w:color="auto" w:fill="FFFFFF"/>
          </w:rPr>
          <w:t>https://doi.org/10.1093/heapol/czm019</w:t>
        </w:r>
      </w:hyperlink>
      <w:r w:rsidRPr="008D38E0">
        <w:rPr>
          <w:rFonts w:cs="Arial"/>
          <w:color w:val="222222"/>
          <w:shd w:val="clear" w:color="auto" w:fill="FFFFFF"/>
        </w:rPr>
        <w:br/>
      </w:r>
    </w:p>
    <w:p w14:paraId="1AA5F47F" w14:textId="77777777" w:rsidR="0004540F" w:rsidRPr="008D38E0" w:rsidRDefault="00C3412D" w:rsidP="0004540F">
      <w:pPr>
        <w:pStyle w:val="ListParagraph"/>
        <w:numPr>
          <w:ilvl w:val="0"/>
          <w:numId w:val="40"/>
        </w:numPr>
        <w:spacing w:after="0" w:line="480" w:lineRule="auto"/>
        <w:rPr>
          <w:rStyle w:val="Hyperlink"/>
          <w:rFonts w:cs="Arial"/>
          <w:color w:val="222222"/>
          <w:u w:val="none"/>
          <w:shd w:val="clear" w:color="auto" w:fill="FFFFFF"/>
        </w:rPr>
      </w:pPr>
      <w:r w:rsidRPr="008D38E0">
        <w:rPr>
          <w:rFonts w:cs="Arial"/>
          <w:color w:val="222222"/>
          <w:shd w:val="clear" w:color="auto" w:fill="FFFFFF"/>
        </w:rPr>
        <w:t xml:space="preserve">Bates I, Boyd A, </w:t>
      </w:r>
      <w:proofErr w:type="spellStart"/>
      <w:r w:rsidRPr="008D38E0">
        <w:rPr>
          <w:rFonts w:cs="Arial"/>
          <w:color w:val="222222"/>
          <w:shd w:val="clear" w:color="auto" w:fill="FFFFFF"/>
        </w:rPr>
        <w:t>Aslanyan</w:t>
      </w:r>
      <w:proofErr w:type="spellEnd"/>
      <w:r w:rsidRPr="008D38E0">
        <w:rPr>
          <w:rFonts w:cs="Arial"/>
          <w:color w:val="222222"/>
          <w:shd w:val="clear" w:color="auto" w:fill="FFFFFF"/>
        </w:rPr>
        <w:t xml:space="preserve"> G, Cole DC. Tackling the tensions in evaluating capacity strengthening for health research in low-and middle-income countries. Health Policy and Planning. 2015 Apr 1; 30(3):334-44.</w:t>
      </w:r>
      <w:r w:rsidRPr="008D38E0">
        <w:t xml:space="preserve"> </w:t>
      </w:r>
      <w:hyperlink r:id="rId22" w:history="1">
        <w:r w:rsidRPr="008D38E0">
          <w:rPr>
            <w:rStyle w:val="Hyperlink"/>
          </w:rPr>
          <w:t>https://doi.org/10.1093/heapol/czu016</w:t>
        </w:r>
      </w:hyperlink>
    </w:p>
    <w:p w14:paraId="6BA15977" w14:textId="77777777" w:rsidR="0004540F" w:rsidRPr="008D38E0" w:rsidRDefault="0004540F" w:rsidP="0004540F">
      <w:pPr>
        <w:pStyle w:val="ListParagraph"/>
        <w:spacing w:after="0" w:line="480" w:lineRule="auto"/>
        <w:rPr>
          <w:rStyle w:val="Hyperlink"/>
          <w:rFonts w:cs="Arial"/>
          <w:color w:val="222222"/>
          <w:u w:val="none"/>
          <w:shd w:val="clear" w:color="auto" w:fill="FFFFFF"/>
        </w:rPr>
      </w:pPr>
    </w:p>
    <w:p w14:paraId="27F22650" w14:textId="77777777" w:rsidR="0004540F" w:rsidRPr="008D38E0" w:rsidRDefault="00C3412D" w:rsidP="0004540F">
      <w:pPr>
        <w:pStyle w:val="ListParagraph"/>
        <w:numPr>
          <w:ilvl w:val="0"/>
          <w:numId w:val="40"/>
        </w:numPr>
        <w:spacing w:after="0" w:line="480" w:lineRule="auto"/>
        <w:rPr>
          <w:rFonts w:cs="Arial"/>
          <w:color w:val="222222"/>
          <w:shd w:val="clear" w:color="auto" w:fill="FFFFFF"/>
        </w:rPr>
      </w:pPr>
      <w:r w:rsidRPr="008D38E0">
        <w:rPr>
          <w:rFonts w:cs="Arial"/>
          <w:color w:val="222222"/>
          <w:shd w:val="clear" w:color="auto" w:fill="FFFFFF"/>
        </w:rPr>
        <w:t>Bates I, Boyd A, Smith H, Cole DC. A practical and systematic approach to organisational capacity strengthening for research in the health sector in Africa. Health Research Policy and Systems. 2014; 12(1):11.</w:t>
      </w:r>
      <w:r w:rsidRPr="008D38E0">
        <w:t xml:space="preserve"> </w:t>
      </w:r>
      <w:hyperlink r:id="rId23" w:history="1">
        <w:r w:rsidRPr="008D38E0">
          <w:rPr>
            <w:rStyle w:val="Hyperlink"/>
            <w:rFonts w:cs="Arial"/>
            <w:shd w:val="clear" w:color="auto" w:fill="FFFFFF"/>
          </w:rPr>
          <w:t>https://doi.org/10.1186/1478-4505-12-11</w:t>
        </w:r>
      </w:hyperlink>
    </w:p>
    <w:p w14:paraId="0FB49D1D" w14:textId="77777777" w:rsidR="0004540F" w:rsidRPr="008D38E0" w:rsidRDefault="0004540F" w:rsidP="0004540F">
      <w:pPr>
        <w:pStyle w:val="ListParagraph"/>
        <w:spacing w:after="0" w:line="480" w:lineRule="auto"/>
        <w:rPr>
          <w:rFonts w:cs="Arial"/>
          <w:color w:val="222222"/>
          <w:shd w:val="clear" w:color="auto" w:fill="FFFFFF"/>
        </w:rPr>
      </w:pPr>
    </w:p>
    <w:p w14:paraId="1EFC110B" w14:textId="77777777" w:rsidR="0004540F" w:rsidRPr="008D38E0" w:rsidRDefault="00C3412D" w:rsidP="0004540F">
      <w:pPr>
        <w:pStyle w:val="ListParagraph"/>
        <w:numPr>
          <w:ilvl w:val="0"/>
          <w:numId w:val="40"/>
        </w:numPr>
        <w:spacing w:after="0" w:line="480" w:lineRule="auto"/>
        <w:rPr>
          <w:rFonts w:cs="Arial"/>
          <w:color w:val="222222"/>
          <w:shd w:val="clear" w:color="auto" w:fill="FFFFFF"/>
        </w:rPr>
      </w:pPr>
      <w:r w:rsidRPr="008D38E0">
        <w:rPr>
          <w:rFonts w:cs="Arial"/>
          <w:color w:val="222222"/>
          <w:shd w:val="clear" w:color="auto" w:fill="FFFFFF"/>
        </w:rPr>
        <w:t xml:space="preserve">Cole DC, Boyd A, </w:t>
      </w:r>
      <w:proofErr w:type="spellStart"/>
      <w:r w:rsidRPr="008D38E0">
        <w:rPr>
          <w:rFonts w:cs="Arial"/>
          <w:color w:val="222222"/>
          <w:shd w:val="clear" w:color="auto" w:fill="FFFFFF"/>
        </w:rPr>
        <w:t>Aslanyan</w:t>
      </w:r>
      <w:proofErr w:type="spellEnd"/>
      <w:r w:rsidRPr="008D38E0">
        <w:rPr>
          <w:rFonts w:cs="Arial"/>
          <w:color w:val="222222"/>
          <w:shd w:val="clear" w:color="auto" w:fill="FFFFFF"/>
        </w:rPr>
        <w:t xml:space="preserve"> G, Bates I. Indicators for tracking programmes to strengthen health research capacity in low</w:t>
      </w:r>
      <w:r w:rsidR="00DE3F4A">
        <w:rPr>
          <w:rFonts w:cs="Arial"/>
          <w:color w:val="222222"/>
          <w:shd w:val="clear" w:color="auto" w:fill="FFFFFF"/>
        </w:rPr>
        <w:t>er-and middle-income countries:</w:t>
      </w:r>
      <w:r w:rsidR="00DE3F4A" w:rsidRPr="008D38E0">
        <w:rPr>
          <w:rFonts w:cs="Arial"/>
          <w:color w:val="222222"/>
          <w:shd w:val="clear" w:color="auto" w:fill="FFFFFF"/>
        </w:rPr>
        <w:t xml:space="preserve"> a</w:t>
      </w:r>
      <w:r w:rsidRPr="008D38E0">
        <w:rPr>
          <w:rFonts w:cs="Arial"/>
          <w:color w:val="222222"/>
          <w:shd w:val="clear" w:color="auto" w:fill="FFFFFF"/>
        </w:rPr>
        <w:t xml:space="preserve"> qualitative synthesis. Health Resea</w:t>
      </w:r>
      <w:r w:rsidR="00DE3F4A">
        <w:rPr>
          <w:rFonts w:cs="Arial"/>
          <w:color w:val="222222"/>
          <w:shd w:val="clear" w:color="auto" w:fill="FFFFFF"/>
        </w:rPr>
        <w:t>rch Policy and Systems. 2014;</w:t>
      </w:r>
      <w:r w:rsidRPr="008D38E0">
        <w:rPr>
          <w:rFonts w:cs="Arial"/>
          <w:color w:val="222222"/>
          <w:shd w:val="clear" w:color="auto" w:fill="FFFFFF"/>
        </w:rPr>
        <w:t>12(1):17.</w:t>
      </w:r>
      <w:r w:rsidR="00DE3F4A">
        <w:rPr>
          <w:rFonts w:cs="Arial"/>
          <w:color w:val="222222"/>
          <w:shd w:val="clear" w:color="auto" w:fill="FFFFFF"/>
        </w:rPr>
        <w:t xml:space="preserve"> </w:t>
      </w:r>
      <w:hyperlink r:id="rId24" w:history="1">
        <w:r w:rsidRPr="008D38E0">
          <w:rPr>
            <w:rStyle w:val="Hyperlink"/>
            <w:rFonts w:cs="Arial"/>
            <w:shd w:val="clear" w:color="auto" w:fill="FFFFFF"/>
          </w:rPr>
          <w:t>https://doi.org/10.1186/1478-4505-12-17</w:t>
        </w:r>
      </w:hyperlink>
    </w:p>
    <w:p w14:paraId="47268C9E" w14:textId="77777777" w:rsidR="0004540F" w:rsidRPr="008D38E0" w:rsidRDefault="0004540F" w:rsidP="0004540F">
      <w:pPr>
        <w:pStyle w:val="ListParagraph"/>
        <w:spacing w:after="0" w:line="480" w:lineRule="auto"/>
        <w:rPr>
          <w:rFonts w:cs="Arial"/>
          <w:color w:val="222222"/>
          <w:shd w:val="clear" w:color="auto" w:fill="FFFFFF"/>
        </w:rPr>
      </w:pPr>
    </w:p>
    <w:p w14:paraId="2CED5707" w14:textId="77777777" w:rsidR="0004540F" w:rsidRPr="008D38E0" w:rsidRDefault="00C3412D" w:rsidP="0004540F">
      <w:pPr>
        <w:pStyle w:val="ListParagraph"/>
        <w:numPr>
          <w:ilvl w:val="0"/>
          <w:numId w:val="40"/>
        </w:numPr>
        <w:spacing w:after="0" w:line="480" w:lineRule="auto"/>
        <w:rPr>
          <w:rStyle w:val="Hyperlink"/>
          <w:rFonts w:cs="Arial"/>
          <w:color w:val="222222"/>
          <w:u w:val="none"/>
          <w:shd w:val="clear" w:color="auto" w:fill="FFFFFF"/>
        </w:rPr>
      </w:pPr>
      <w:r w:rsidRPr="008D38E0">
        <w:t>The Royal Society [Internet]. Royal Society-DFID Africa Capacity Building Initiative [</w:t>
      </w:r>
      <w:r w:rsidRPr="008D38E0">
        <w:rPr>
          <w:color w:val="000000" w:themeColor="text1"/>
        </w:rPr>
        <w:t>cited 2017 Jul 12]</w:t>
      </w:r>
      <w:r w:rsidRPr="008D38E0">
        <w:t xml:space="preserve">. Available from: </w:t>
      </w:r>
      <w:hyperlink r:id="rId25" w:history="1">
        <w:r w:rsidRPr="008D38E0">
          <w:rPr>
            <w:rStyle w:val="Hyperlink"/>
          </w:rPr>
          <w:t>https://royalsociety.org/grants-schemes-awards/grants/africa-capacity-building/</w:t>
        </w:r>
      </w:hyperlink>
    </w:p>
    <w:p w14:paraId="283061EA" w14:textId="77777777" w:rsidR="0004540F" w:rsidRPr="008D38E0" w:rsidRDefault="0004540F" w:rsidP="0004540F">
      <w:pPr>
        <w:spacing w:after="0" w:line="480" w:lineRule="auto"/>
        <w:ind w:left="360"/>
        <w:rPr>
          <w:rFonts w:cs="Arial"/>
          <w:color w:val="222222"/>
          <w:shd w:val="clear" w:color="auto" w:fill="FFFFFF"/>
        </w:rPr>
      </w:pPr>
    </w:p>
    <w:p w14:paraId="63291497" w14:textId="77777777" w:rsidR="0004540F" w:rsidRPr="008D38E0" w:rsidRDefault="00C3412D" w:rsidP="0004540F">
      <w:pPr>
        <w:pStyle w:val="ListParagraph"/>
        <w:numPr>
          <w:ilvl w:val="0"/>
          <w:numId w:val="40"/>
        </w:numPr>
        <w:spacing w:after="0" w:line="480" w:lineRule="auto"/>
        <w:rPr>
          <w:rStyle w:val="Hyperlink"/>
          <w:rFonts w:cs="Arial"/>
          <w:color w:val="222222"/>
          <w:u w:val="none"/>
          <w:shd w:val="clear" w:color="auto" w:fill="FFFFFF"/>
        </w:rPr>
      </w:pPr>
      <w:r w:rsidRPr="008D38E0">
        <w:rPr>
          <w:rFonts w:cs="Arial"/>
          <w:color w:val="222222"/>
          <w:shd w:val="clear" w:color="auto" w:fill="FFFFFF"/>
        </w:rPr>
        <w:t xml:space="preserve">Gregorius S, Dean L, Cole DC, Bates I. The peer review process for awarding funds to international science research consortia: a qualitative developmental evaluation. F1000Research. 2017; 6:1808. </w:t>
      </w:r>
      <w:hyperlink r:id="rId26" w:history="1">
        <w:r w:rsidRPr="008D38E0">
          <w:rPr>
            <w:rStyle w:val="Hyperlink"/>
            <w:rFonts w:cs="Arial"/>
            <w:shd w:val="clear" w:color="auto" w:fill="FFFFFF"/>
          </w:rPr>
          <w:t>http://dx.doi.org/10.12688/f1000research.12496.3</w:t>
        </w:r>
      </w:hyperlink>
    </w:p>
    <w:p w14:paraId="3A07C2BE" w14:textId="77777777" w:rsidR="0004540F" w:rsidRPr="008D38E0" w:rsidRDefault="0004540F" w:rsidP="0004540F">
      <w:pPr>
        <w:pStyle w:val="ListParagraph"/>
        <w:spacing w:after="0" w:line="480" w:lineRule="auto"/>
        <w:rPr>
          <w:rStyle w:val="Hyperlink"/>
          <w:rFonts w:cs="Arial"/>
          <w:color w:val="222222"/>
          <w:u w:val="none"/>
          <w:shd w:val="clear" w:color="auto" w:fill="FFFFFF"/>
        </w:rPr>
      </w:pPr>
    </w:p>
    <w:p w14:paraId="56C6BD5A" w14:textId="77777777" w:rsidR="0004540F" w:rsidRPr="008D38E0" w:rsidRDefault="0004540F" w:rsidP="0004540F">
      <w:pPr>
        <w:pStyle w:val="ListParagraph"/>
        <w:numPr>
          <w:ilvl w:val="0"/>
          <w:numId w:val="40"/>
        </w:numPr>
        <w:spacing w:after="0" w:line="480" w:lineRule="auto"/>
        <w:rPr>
          <w:rFonts w:cs="Arial"/>
          <w:color w:val="222222"/>
          <w:shd w:val="clear" w:color="auto" w:fill="FFFFFF"/>
        </w:rPr>
      </w:pPr>
      <w:r w:rsidRPr="008D38E0">
        <w:rPr>
          <w:rFonts w:cs="Arial"/>
          <w:color w:val="222222"/>
          <w:shd w:val="clear" w:color="auto" w:fill="FFFFFF"/>
        </w:rPr>
        <w:t xml:space="preserve">Wallis S, Cole DC, Gaye O, </w:t>
      </w:r>
      <w:proofErr w:type="spellStart"/>
      <w:r w:rsidRPr="008D38E0">
        <w:rPr>
          <w:rFonts w:cs="Arial"/>
          <w:color w:val="222222"/>
          <w:shd w:val="clear" w:color="auto" w:fill="FFFFFF"/>
        </w:rPr>
        <w:t>Mmbaga</w:t>
      </w:r>
      <w:proofErr w:type="spellEnd"/>
      <w:r w:rsidRPr="008D38E0">
        <w:rPr>
          <w:rFonts w:cs="Arial"/>
          <w:color w:val="222222"/>
          <w:shd w:val="clear" w:color="auto" w:fill="FFFFFF"/>
        </w:rPr>
        <w:t xml:space="preserve"> BT, </w:t>
      </w:r>
      <w:proofErr w:type="spellStart"/>
      <w:r w:rsidRPr="008D38E0">
        <w:rPr>
          <w:rFonts w:cs="Arial"/>
          <w:color w:val="222222"/>
          <w:shd w:val="clear" w:color="auto" w:fill="FFFFFF"/>
        </w:rPr>
        <w:t>Mwapasa</w:t>
      </w:r>
      <w:proofErr w:type="spellEnd"/>
      <w:r w:rsidRPr="008D38E0">
        <w:rPr>
          <w:rFonts w:cs="Arial"/>
          <w:color w:val="222222"/>
          <w:shd w:val="clear" w:color="auto" w:fill="FFFFFF"/>
        </w:rPr>
        <w:t xml:space="preserve"> V, </w:t>
      </w:r>
      <w:proofErr w:type="spellStart"/>
      <w:r w:rsidRPr="008D38E0">
        <w:rPr>
          <w:rFonts w:cs="Arial"/>
          <w:color w:val="222222"/>
          <w:shd w:val="clear" w:color="auto" w:fill="FFFFFF"/>
        </w:rPr>
        <w:t>Tagbor</w:t>
      </w:r>
      <w:proofErr w:type="spellEnd"/>
      <w:r w:rsidRPr="008D38E0">
        <w:rPr>
          <w:rFonts w:cs="Arial"/>
          <w:color w:val="222222"/>
          <w:shd w:val="clear" w:color="auto" w:fill="FFFFFF"/>
        </w:rPr>
        <w:t xml:space="preserve"> H, Bates I. Qualitative study to develop processes and tools for the assessment and tracking of African institutions’ capacity for operational health research. BMJ Open. 2017 Sep 1; 7(9): e016660.</w:t>
      </w:r>
      <w:r w:rsidRPr="008D38E0">
        <w:t xml:space="preserve"> </w:t>
      </w:r>
      <w:hyperlink r:id="rId27" w:history="1">
        <w:r w:rsidRPr="008D38E0">
          <w:rPr>
            <w:rStyle w:val="Hyperlink"/>
            <w:rFonts w:cs="Arial"/>
            <w:shd w:val="clear" w:color="auto" w:fill="FFFFFF"/>
          </w:rPr>
          <w:t>http://dx.doi.org/10.1136/bmjopen-2017-016660</w:t>
        </w:r>
      </w:hyperlink>
    </w:p>
    <w:p w14:paraId="215B06BB" w14:textId="77777777" w:rsidR="0004540F" w:rsidRPr="008D38E0" w:rsidRDefault="0004540F" w:rsidP="0004540F">
      <w:pPr>
        <w:pStyle w:val="ListParagraph"/>
        <w:spacing w:after="0" w:line="480" w:lineRule="auto"/>
        <w:rPr>
          <w:rFonts w:cs="Arial"/>
          <w:color w:val="222222"/>
          <w:shd w:val="clear" w:color="auto" w:fill="FFFFFF"/>
        </w:rPr>
      </w:pPr>
    </w:p>
    <w:p w14:paraId="21FF8CA1" w14:textId="77777777" w:rsidR="00DB60CC" w:rsidRPr="00DB60CC" w:rsidRDefault="0004540F" w:rsidP="00DB60CC">
      <w:pPr>
        <w:pStyle w:val="ListParagraph"/>
        <w:numPr>
          <w:ilvl w:val="0"/>
          <w:numId w:val="40"/>
        </w:numPr>
        <w:spacing w:after="0" w:line="480" w:lineRule="auto"/>
        <w:rPr>
          <w:rStyle w:val="Hyperlink"/>
          <w:rFonts w:cs="Arial"/>
          <w:color w:val="222222"/>
          <w:u w:val="none"/>
          <w:shd w:val="clear" w:color="auto" w:fill="FFFFFF"/>
        </w:rPr>
      </w:pPr>
      <w:r w:rsidRPr="008D38E0">
        <w:rPr>
          <w:rFonts w:cs="Arial"/>
          <w:color w:val="222222"/>
          <w:shd w:val="clear" w:color="auto" w:fill="FFFFFF"/>
        </w:rPr>
        <w:t>Bates I, Phillips R, Martin-</w:t>
      </w:r>
      <w:proofErr w:type="spellStart"/>
      <w:r w:rsidRPr="008D38E0">
        <w:rPr>
          <w:rFonts w:cs="Arial"/>
          <w:color w:val="222222"/>
          <w:shd w:val="clear" w:color="auto" w:fill="FFFFFF"/>
        </w:rPr>
        <w:t>Peprah</w:t>
      </w:r>
      <w:proofErr w:type="spellEnd"/>
      <w:r w:rsidRPr="008D38E0">
        <w:rPr>
          <w:rFonts w:cs="Arial"/>
          <w:color w:val="222222"/>
          <w:shd w:val="clear" w:color="auto" w:fill="FFFFFF"/>
        </w:rPr>
        <w:t xml:space="preserve"> R, </w:t>
      </w:r>
      <w:proofErr w:type="spellStart"/>
      <w:r w:rsidRPr="008D38E0">
        <w:rPr>
          <w:rFonts w:cs="Arial"/>
          <w:color w:val="222222"/>
          <w:shd w:val="clear" w:color="auto" w:fill="FFFFFF"/>
        </w:rPr>
        <w:t>Kibiki</w:t>
      </w:r>
      <w:proofErr w:type="spellEnd"/>
      <w:r w:rsidRPr="008D38E0">
        <w:rPr>
          <w:rFonts w:cs="Arial"/>
          <w:color w:val="222222"/>
          <w:shd w:val="clear" w:color="auto" w:fill="FFFFFF"/>
        </w:rPr>
        <w:t xml:space="preserve"> G, Gaye O, Phiri K, </w:t>
      </w:r>
      <w:proofErr w:type="spellStart"/>
      <w:r w:rsidRPr="008D38E0">
        <w:rPr>
          <w:rFonts w:cs="Arial"/>
          <w:color w:val="222222"/>
          <w:shd w:val="clear" w:color="auto" w:fill="FFFFFF"/>
        </w:rPr>
        <w:t>Tagbor</w:t>
      </w:r>
      <w:proofErr w:type="spellEnd"/>
      <w:r w:rsidRPr="008D38E0">
        <w:rPr>
          <w:rFonts w:cs="Arial"/>
          <w:color w:val="222222"/>
          <w:shd w:val="clear" w:color="auto" w:fill="FFFFFF"/>
        </w:rPr>
        <w:t xml:space="preserve"> H, Purnell S. Assessing and strengthening African universities' capacity for doctoral programmes. PLOS Medicine. 2011 Sep 13; 8(9): e1001068.</w:t>
      </w:r>
      <w:r w:rsidRPr="008D38E0">
        <w:t xml:space="preserve"> </w:t>
      </w:r>
      <w:hyperlink r:id="rId28" w:history="1">
        <w:r w:rsidRPr="008D38E0">
          <w:rPr>
            <w:rStyle w:val="Hyperlink"/>
            <w:rFonts w:cs="Arial"/>
            <w:shd w:val="clear" w:color="auto" w:fill="FFFFFF"/>
          </w:rPr>
          <w:t>https://doi.org/10.1371/journal.pmed.1001068</w:t>
        </w:r>
      </w:hyperlink>
    </w:p>
    <w:p w14:paraId="2C333FCA" w14:textId="77777777" w:rsidR="00DB60CC" w:rsidRDefault="00DB60CC" w:rsidP="00B36D3C">
      <w:pPr>
        <w:pStyle w:val="ListParagraph"/>
        <w:spacing w:after="0" w:line="480" w:lineRule="auto"/>
        <w:rPr>
          <w:rFonts w:cs="Arial"/>
          <w:color w:val="222222"/>
          <w:shd w:val="clear" w:color="auto" w:fill="FFFFFF"/>
        </w:rPr>
      </w:pPr>
    </w:p>
    <w:p w14:paraId="1D8B377E" w14:textId="30CB66EE" w:rsidR="00DB60CC" w:rsidRDefault="00DB60CC" w:rsidP="00DB60CC">
      <w:pPr>
        <w:pStyle w:val="ListParagraph"/>
        <w:numPr>
          <w:ilvl w:val="0"/>
          <w:numId w:val="40"/>
        </w:numPr>
        <w:spacing w:after="0" w:line="480" w:lineRule="auto"/>
        <w:rPr>
          <w:rFonts w:cs="Arial"/>
          <w:color w:val="222222"/>
          <w:shd w:val="clear" w:color="auto" w:fill="FFFFFF"/>
        </w:rPr>
      </w:pPr>
      <w:r w:rsidRPr="00DB60CC">
        <w:rPr>
          <w:rFonts w:cs="Arial"/>
          <w:color w:val="222222"/>
          <w:shd w:val="clear" w:color="auto" w:fill="FFFFFF"/>
        </w:rPr>
        <w:t>Robinson OC. Sampling in interview-based qualitative research: A theoretical and practical guide. Qualitative research in psychology. 2014 Jan 2;11(1):25-41.</w:t>
      </w:r>
      <w:r w:rsidR="00303526" w:rsidRPr="00303526">
        <w:t xml:space="preserve"> </w:t>
      </w:r>
      <w:hyperlink r:id="rId29" w:history="1">
        <w:r w:rsidR="00370841" w:rsidRPr="00A47C7F">
          <w:rPr>
            <w:rStyle w:val="Hyperlink"/>
            <w:rFonts w:cs="Arial"/>
            <w:shd w:val="clear" w:color="auto" w:fill="FFFFFF"/>
          </w:rPr>
          <w:t>https://doi.org/10.1080/14780887.2013.801543</w:t>
        </w:r>
      </w:hyperlink>
      <w:r w:rsidR="00370841">
        <w:rPr>
          <w:rFonts w:cs="Arial"/>
          <w:color w:val="222222"/>
          <w:shd w:val="clear" w:color="auto" w:fill="FFFFFF"/>
        </w:rPr>
        <w:t xml:space="preserve"> </w:t>
      </w:r>
    </w:p>
    <w:p w14:paraId="638E09F1" w14:textId="77777777" w:rsidR="0004540F" w:rsidRPr="008D38E0" w:rsidRDefault="0004540F" w:rsidP="0004540F">
      <w:pPr>
        <w:pStyle w:val="ListParagraph"/>
        <w:spacing w:after="0" w:line="480" w:lineRule="auto"/>
        <w:rPr>
          <w:rFonts w:cs="Arial"/>
          <w:color w:val="222222"/>
          <w:shd w:val="clear" w:color="auto" w:fill="FFFFFF"/>
        </w:rPr>
      </w:pPr>
    </w:p>
    <w:p w14:paraId="5B2054BD" w14:textId="77777777" w:rsidR="00C3412D" w:rsidRPr="008D38E0" w:rsidRDefault="00C3412D" w:rsidP="0004540F">
      <w:pPr>
        <w:pStyle w:val="ListParagraph"/>
        <w:numPr>
          <w:ilvl w:val="0"/>
          <w:numId w:val="40"/>
        </w:numPr>
        <w:spacing w:after="0" w:line="480" w:lineRule="auto"/>
        <w:rPr>
          <w:rFonts w:cs="Arial"/>
          <w:color w:val="222222"/>
          <w:shd w:val="clear" w:color="auto" w:fill="FFFFFF"/>
        </w:rPr>
      </w:pPr>
      <w:r w:rsidRPr="008D38E0">
        <w:rPr>
          <w:rFonts w:cs="Arial"/>
          <w:color w:val="222222"/>
          <w:shd w:val="clear" w:color="auto" w:fill="FFFFFF"/>
        </w:rPr>
        <w:t>Creswell JW. Research design qualitative, quantitative, and mixed method approaches. 4th ed</w:t>
      </w:r>
      <w:r w:rsidR="0004540F" w:rsidRPr="008D38E0">
        <w:rPr>
          <w:rFonts w:cs="Arial"/>
          <w:color w:val="222222"/>
          <w:shd w:val="clear" w:color="auto" w:fill="FFFFFF"/>
        </w:rPr>
        <w:t>. Sage Publications, Inc.; 2014.</w:t>
      </w:r>
    </w:p>
    <w:p w14:paraId="025FCFF9" w14:textId="77777777" w:rsidR="0004540F" w:rsidRPr="008D38E0" w:rsidRDefault="0004540F" w:rsidP="0004540F">
      <w:pPr>
        <w:pStyle w:val="ListParagraph"/>
        <w:spacing w:after="0" w:line="480" w:lineRule="auto"/>
        <w:rPr>
          <w:rFonts w:cs="Arial"/>
          <w:color w:val="222222"/>
          <w:shd w:val="clear" w:color="auto" w:fill="FFFFFF"/>
        </w:rPr>
      </w:pPr>
    </w:p>
    <w:p w14:paraId="30BA39DB" w14:textId="77777777" w:rsidR="0004540F" w:rsidRPr="008D38E0" w:rsidRDefault="0004540F" w:rsidP="0004540F">
      <w:pPr>
        <w:pStyle w:val="ListParagraph"/>
        <w:numPr>
          <w:ilvl w:val="0"/>
          <w:numId w:val="40"/>
        </w:numPr>
        <w:spacing w:after="0" w:line="480" w:lineRule="auto"/>
        <w:rPr>
          <w:rFonts w:cs="Arial"/>
          <w:color w:val="222222"/>
          <w:shd w:val="clear" w:color="auto" w:fill="FFFFFF"/>
        </w:rPr>
      </w:pPr>
      <w:r w:rsidRPr="008D38E0">
        <w:rPr>
          <w:rFonts w:cs="Arial"/>
          <w:color w:val="222222"/>
          <w:shd w:val="clear" w:color="auto" w:fill="FFFFFF"/>
        </w:rPr>
        <w:t>Gale NK, Heath G, Cameron E, Rashid S, Redwood S. Using the framework method for the analysis of qualitative data in multi-disciplinary health research. BMC Medical Research Methodology. 2013; 13(1):117.</w:t>
      </w:r>
      <w:r w:rsidRPr="008D38E0">
        <w:t xml:space="preserve"> </w:t>
      </w:r>
      <w:hyperlink r:id="rId30" w:history="1">
        <w:r w:rsidRPr="008D38E0">
          <w:rPr>
            <w:rStyle w:val="Hyperlink"/>
            <w:rFonts w:cs="Arial"/>
            <w:shd w:val="clear" w:color="auto" w:fill="FFFFFF"/>
          </w:rPr>
          <w:t>https://doi.org/10.1186/1471-2288-13-117</w:t>
        </w:r>
      </w:hyperlink>
    </w:p>
    <w:p w14:paraId="734A5B74" w14:textId="77777777" w:rsidR="0004540F" w:rsidRPr="008D38E0" w:rsidRDefault="0004540F" w:rsidP="0004540F">
      <w:pPr>
        <w:pStyle w:val="ListParagraph"/>
        <w:spacing w:after="0" w:line="480" w:lineRule="auto"/>
        <w:rPr>
          <w:rFonts w:cs="Arial"/>
          <w:color w:val="222222"/>
          <w:shd w:val="clear" w:color="auto" w:fill="FFFFFF"/>
        </w:rPr>
      </w:pPr>
    </w:p>
    <w:p w14:paraId="06A35A45" w14:textId="77777777" w:rsidR="0004540F" w:rsidRPr="008D38E0" w:rsidRDefault="0004540F" w:rsidP="0004540F">
      <w:pPr>
        <w:pStyle w:val="ListParagraph"/>
        <w:numPr>
          <w:ilvl w:val="0"/>
          <w:numId w:val="40"/>
        </w:numPr>
        <w:spacing w:after="0" w:line="480" w:lineRule="auto"/>
        <w:rPr>
          <w:rFonts w:cs="Arial"/>
          <w:color w:val="222222"/>
          <w:shd w:val="clear" w:color="auto" w:fill="FFFFFF"/>
        </w:rPr>
      </w:pPr>
      <w:r w:rsidRPr="008D38E0">
        <w:rPr>
          <w:rFonts w:cs="Arial"/>
          <w:color w:val="222222"/>
          <w:shd w:val="clear" w:color="auto" w:fill="FFFFFF"/>
        </w:rPr>
        <w:t xml:space="preserve">Ritchie J, Lewis J, Nicholls CM, </w:t>
      </w:r>
      <w:proofErr w:type="spellStart"/>
      <w:r w:rsidRPr="008D38E0">
        <w:rPr>
          <w:rFonts w:cs="Arial"/>
          <w:color w:val="222222"/>
          <w:shd w:val="clear" w:color="auto" w:fill="FFFFFF"/>
        </w:rPr>
        <w:t>Ormston</w:t>
      </w:r>
      <w:proofErr w:type="spellEnd"/>
      <w:r w:rsidRPr="008D38E0">
        <w:rPr>
          <w:rFonts w:cs="Arial"/>
          <w:color w:val="222222"/>
          <w:shd w:val="clear" w:color="auto" w:fill="FFFFFF"/>
        </w:rPr>
        <w:t xml:space="preserve"> R, editors. Qualitative research practice: A guide for social science students and researchers. 2nd ed. Sage Publications, Inc.; 2014.</w:t>
      </w:r>
    </w:p>
    <w:p w14:paraId="43CAB68C" w14:textId="77777777" w:rsidR="0004540F" w:rsidRPr="008D38E0" w:rsidRDefault="0004540F" w:rsidP="0004540F">
      <w:pPr>
        <w:pStyle w:val="ListParagraph"/>
        <w:spacing w:after="0" w:line="480" w:lineRule="auto"/>
        <w:rPr>
          <w:rFonts w:cs="Arial"/>
          <w:color w:val="222222"/>
          <w:shd w:val="clear" w:color="auto" w:fill="FFFFFF"/>
        </w:rPr>
      </w:pPr>
    </w:p>
    <w:p w14:paraId="52C9FC83" w14:textId="77777777" w:rsidR="0004540F" w:rsidRPr="008D38E0" w:rsidRDefault="0004540F" w:rsidP="0004540F">
      <w:pPr>
        <w:pStyle w:val="ListParagraph"/>
        <w:numPr>
          <w:ilvl w:val="0"/>
          <w:numId w:val="40"/>
        </w:numPr>
        <w:spacing w:after="0" w:line="480" w:lineRule="auto"/>
        <w:rPr>
          <w:rStyle w:val="Hyperlink"/>
          <w:rFonts w:cs="Arial"/>
          <w:color w:val="222222"/>
          <w:u w:val="none"/>
          <w:shd w:val="clear" w:color="auto" w:fill="FFFFFF"/>
        </w:rPr>
      </w:pPr>
      <w:proofErr w:type="spellStart"/>
      <w:r w:rsidRPr="008D38E0">
        <w:rPr>
          <w:rFonts w:cs="Arial"/>
          <w:color w:val="222222"/>
          <w:shd w:val="clear" w:color="auto" w:fill="FFFFFF"/>
        </w:rPr>
        <w:t>Mirzoev</w:t>
      </w:r>
      <w:proofErr w:type="spellEnd"/>
      <w:r w:rsidRPr="008D38E0">
        <w:rPr>
          <w:rFonts w:cs="Arial"/>
          <w:color w:val="222222"/>
          <w:shd w:val="clear" w:color="auto" w:fill="FFFFFF"/>
        </w:rPr>
        <w:t xml:space="preserve"> T, Lê G, Green A, Orgill M, </w:t>
      </w:r>
      <w:proofErr w:type="spellStart"/>
      <w:r w:rsidRPr="008D38E0">
        <w:rPr>
          <w:rFonts w:cs="Arial"/>
          <w:color w:val="222222"/>
          <w:shd w:val="clear" w:color="auto" w:fill="FFFFFF"/>
        </w:rPr>
        <w:t>Komba</w:t>
      </w:r>
      <w:proofErr w:type="spellEnd"/>
      <w:r w:rsidRPr="008D38E0">
        <w:rPr>
          <w:rFonts w:cs="Arial"/>
          <w:color w:val="222222"/>
          <w:shd w:val="clear" w:color="auto" w:fill="FFFFFF"/>
        </w:rPr>
        <w:t xml:space="preserve"> A, </w:t>
      </w:r>
      <w:proofErr w:type="spellStart"/>
      <w:r w:rsidRPr="008D38E0">
        <w:rPr>
          <w:rFonts w:cs="Arial"/>
          <w:color w:val="222222"/>
          <w:shd w:val="clear" w:color="auto" w:fill="FFFFFF"/>
        </w:rPr>
        <w:t>Esena</w:t>
      </w:r>
      <w:proofErr w:type="spellEnd"/>
      <w:r w:rsidRPr="008D38E0">
        <w:rPr>
          <w:rFonts w:cs="Arial"/>
          <w:color w:val="222222"/>
          <w:shd w:val="clear" w:color="auto" w:fill="FFFFFF"/>
        </w:rPr>
        <w:t xml:space="preserve"> RK, et. al. Assessment of capacity for Health Policy and Systems Research and Analysis in seven African universities: results from </w:t>
      </w:r>
      <w:r w:rsidRPr="008D38E0">
        <w:rPr>
          <w:rFonts w:cs="Arial"/>
          <w:color w:val="222222"/>
          <w:shd w:val="clear" w:color="auto" w:fill="FFFFFF"/>
        </w:rPr>
        <w:lastRenderedPageBreak/>
        <w:t>the CHEPSAA project. Health Policy and Planning. 2013 Sep 14; 29(7):831-41.</w:t>
      </w:r>
      <w:r w:rsidRPr="008D38E0">
        <w:t xml:space="preserve"> </w:t>
      </w:r>
      <w:hyperlink r:id="rId31" w:history="1">
        <w:r w:rsidRPr="008D38E0">
          <w:rPr>
            <w:rStyle w:val="Hyperlink"/>
          </w:rPr>
          <w:t>https://doi.org/10.1093/heapol/czt065</w:t>
        </w:r>
      </w:hyperlink>
    </w:p>
    <w:p w14:paraId="29E91DC2" w14:textId="77777777" w:rsidR="0004540F" w:rsidRPr="008D38E0" w:rsidRDefault="0004540F" w:rsidP="0004540F">
      <w:pPr>
        <w:pStyle w:val="ListParagraph"/>
        <w:spacing w:after="0" w:line="480" w:lineRule="auto"/>
        <w:rPr>
          <w:rFonts w:cs="Arial"/>
          <w:color w:val="222222"/>
          <w:shd w:val="clear" w:color="auto" w:fill="FFFFFF"/>
        </w:rPr>
      </w:pPr>
    </w:p>
    <w:p w14:paraId="6F277217" w14:textId="77777777" w:rsidR="0004540F" w:rsidRPr="008D38E0" w:rsidRDefault="0004540F" w:rsidP="0004540F">
      <w:pPr>
        <w:pStyle w:val="ListParagraph"/>
        <w:numPr>
          <w:ilvl w:val="0"/>
          <w:numId w:val="40"/>
        </w:numPr>
        <w:spacing w:after="0" w:line="480" w:lineRule="auto"/>
        <w:rPr>
          <w:rFonts w:cs="Arial"/>
          <w:color w:val="222222"/>
          <w:shd w:val="clear" w:color="auto" w:fill="FFFFFF"/>
        </w:rPr>
      </w:pPr>
      <w:r w:rsidRPr="008D38E0">
        <w:rPr>
          <w:rFonts w:cs="Arial"/>
          <w:color w:val="222222"/>
          <w:shd w:val="clear" w:color="auto" w:fill="FFFFFF"/>
        </w:rPr>
        <w:t>Block MA, Mills A. Assessing capacity for health policy and systems research in low and middle-income countries. Health Research Policy and Systems. 2003;1(1):1.</w:t>
      </w:r>
      <w:r w:rsidRPr="008D38E0">
        <w:t xml:space="preserve"> </w:t>
      </w:r>
      <w:hyperlink r:id="rId32" w:history="1">
        <w:r w:rsidRPr="008D38E0">
          <w:rPr>
            <w:rStyle w:val="Hyperlink"/>
            <w:rFonts w:cs="Arial"/>
            <w:shd w:val="clear" w:color="auto" w:fill="FFFFFF"/>
          </w:rPr>
          <w:t>https://doi.org/10.1186/1478-4505-1-1</w:t>
        </w:r>
      </w:hyperlink>
    </w:p>
    <w:p w14:paraId="5750DBA8" w14:textId="77777777" w:rsidR="0004540F" w:rsidRPr="008D38E0" w:rsidRDefault="0004540F" w:rsidP="0004540F">
      <w:pPr>
        <w:pStyle w:val="ListParagraph"/>
        <w:spacing w:after="0" w:line="480" w:lineRule="auto"/>
        <w:rPr>
          <w:rFonts w:cs="Arial"/>
          <w:color w:val="222222"/>
          <w:shd w:val="clear" w:color="auto" w:fill="FFFFFF"/>
        </w:rPr>
      </w:pPr>
    </w:p>
    <w:p w14:paraId="5407AD3F" w14:textId="77777777" w:rsidR="0004540F" w:rsidRPr="008D38E0" w:rsidRDefault="0004540F" w:rsidP="0004540F">
      <w:pPr>
        <w:pStyle w:val="ListParagraph"/>
        <w:numPr>
          <w:ilvl w:val="0"/>
          <w:numId w:val="40"/>
        </w:numPr>
        <w:spacing w:after="0" w:line="480" w:lineRule="auto"/>
        <w:rPr>
          <w:rFonts w:cs="Arial"/>
          <w:color w:val="222222"/>
          <w:shd w:val="clear" w:color="auto" w:fill="FFFFFF"/>
        </w:rPr>
      </w:pPr>
      <w:proofErr w:type="spellStart"/>
      <w:r w:rsidRPr="008D38E0">
        <w:rPr>
          <w:rFonts w:cs="Arial"/>
          <w:color w:val="222222"/>
          <w:shd w:val="clear" w:color="auto" w:fill="FFFFFF"/>
        </w:rPr>
        <w:t>Kagondu</w:t>
      </w:r>
      <w:proofErr w:type="spellEnd"/>
      <w:r w:rsidRPr="008D38E0">
        <w:rPr>
          <w:rFonts w:cs="Arial"/>
          <w:color w:val="222222"/>
          <w:shd w:val="clear" w:color="auto" w:fill="FFFFFF"/>
        </w:rPr>
        <w:t xml:space="preserve"> R, </w:t>
      </w:r>
      <w:proofErr w:type="spellStart"/>
      <w:r w:rsidRPr="008D38E0">
        <w:rPr>
          <w:rFonts w:cs="Arial"/>
          <w:color w:val="222222"/>
          <w:shd w:val="clear" w:color="auto" w:fill="FFFFFF"/>
        </w:rPr>
        <w:t>Marwa</w:t>
      </w:r>
      <w:proofErr w:type="spellEnd"/>
      <w:r w:rsidRPr="008D38E0">
        <w:rPr>
          <w:rFonts w:cs="Arial"/>
          <w:color w:val="222222"/>
          <w:shd w:val="clear" w:color="auto" w:fill="FFFFFF"/>
        </w:rPr>
        <w:t xml:space="preserve"> SM. Quality Issues in Kenya’s Higher Education Institutions. Journal of Higher Education in Africa/Revue de </w:t>
      </w:r>
      <w:proofErr w:type="spellStart"/>
      <w:r w:rsidRPr="008D38E0">
        <w:rPr>
          <w:rFonts w:cs="Arial"/>
          <w:color w:val="222222"/>
          <w:shd w:val="clear" w:color="auto" w:fill="FFFFFF"/>
        </w:rPr>
        <w:t>l'enseignement</w:t>
      </w:r>
      <w:proofErr w:type="spellEnd"/>
      <w:r w:rsidRPr="008D38E0">
        <w:rPr>
          <w:rFonts w:cs="Arial"/>
          <w:color w:val="222222"/>
          <w:shd w:val="clear" w:color="auto" w:fill="FFFFFF"/>
        </w:rPr>
        <w:t xml:space="preserve"> </w:t>
      </w:r>
      <w:proofErr w:type="spellStart"/>
      <w:r w:rsidRPr="008D38E0">
        <w:rPr>
          <w:rFonts w:cs="Arial"/>
          <w:color w:val="222222"/>
          <w:shd w:val="clear" w:color="auto" w:fill="FFFFFF"/>
        </w:rPr>
        <w:t>supérieur</w:t>
      </w:r>
      <w:proofErr w:type="spellEnd"/>
      <w:r w:rsidRPr="008D38E0">
        <w:rPr>
          <w:rFonts w:cs="Arial"/>
          <w:color w:val="222222"/>
          <w:shd w:val="clear" w:color="auto" w:fill="FFFFFF"/>
        </w:rPr>
        <w:t xml:space="preserve"> </w:t>
      </w:r>
      <w:proofErr w:type="spellStart"/>
      <w:r w:rsidRPr="008D38E0">
        <w:rPr>
          <w:rFonts w:cs="Arial"/>
          <w:color w:val="222222"/>
          <w:shd w:val="clear" w:color="auto" w:fill="FFFFFF"/>
        </w:rPr>
        <w:t>en</w:t>
      </w:r>
      <w:proofErr w:type="spellEnd"/>
      <w:r w:rsidRPr="008D38E0">
        <w:rPr>
          <w:rFonts w:cs="Arial"/>
          <w:color w:val="222222"/>
          <w:shd w:val="clear" w:color="auto" w:fill="FFFFFF"/>
        </w:rPr>
        <w:t xml:space="preserve"> Afrique. 2017 Jan 1; 15(1):23-42.</w:t>
      </w:r>
    </w:p>
    <w:p w14:paraId="458E3555" w14:textId="77777777" w:rsidR="00C80525" w:rsidRPr="008D38E0" w:rsidRDefault="00C80525" w:rsidP="00C80525">
      <w:pPr>
        <w:pStyle w:val="ListParagraph"/>
        <w:spacing w:after="0" w:line="480" w:lineRule="auto"/>
        <w:rPr>
          <w:rFonts w:cs="Arial"/>
          <w:color w:val="222222"/>
          <w:shd w:val="clear" w:color="auto" w:fill="FFFFFF"/>
        </w:rPr>
      </w:pPr>
    </w:p>
    <w:p w14:paraId="7BA0E9D9" w14:textId="77777777" w:rsidR="0004540F" w:rsidRPr="008D38E0" w:rsidRDefault="00F8667A" w:rsidP="00C80525">
      <w:pPr>
        <w:pStyle w:val="ListParagraph"/>
        <w:numPr>
          <w:ilvl w:val="0"/>
          <w:numId w:val="40"/>
        </w:numPr>
        <w:spacing w:after="0" w:line="480" w:lineRule="auto"/>
        <w:rPr>
          <w:rFonts w:cs="Arial"/>
          <w:color w:val="222222"/>
          <w:shd w:val="clear" w:color="auto" w:fill="FFFFFF"/>
        </w:rPr>
      </w:pPr>
      <w:r w:rsidRPr="00F8667A">
        <w:t>Green A, Bennett S, editors</w:t>
      </w:r>
      <w:r w:rsidR="00C80525" w:rsidRPr="00F8667A">
        <w:t xml:space="preserve">. </w:t>
      </w:r>
      <w:r w:rsidR="0004540F" w:rsidRPr="00F8667A">
        <w:t>Sound Choices Enhancing Capacity for Evidence-Informed Health Policy</w:t>
      </w:r>
      <w:r w:rsidRPr="00F8667A">
        <w:t xml:space="preserve"> [Internet]. World Health Organization; </w:t>
      </w:r>
      <w:r w:rsidR="00C80525" w:rsidRPr="00F8667A">
        <w:t xml:space="preserve">2007 </w:t>
      </w:r>
      <w:r>
        <w:t>[</w:t>
      </w:r>
      <w:r w:rsidR="00C80525" w:rsidRPr="008D38E0">
        <w:t>cited</w:t>
      </w:r>
      <w:r>
        <w:t xml:space="preserve"> 2018 Aug 9</w:t>
      </w:r>
      <w:r w:rsidR="00C80525" w:rsidRPr="008D38E0">
        <w:t>]</w:t>
      </w:r>
      <w:r>
        <w:t>.</w:t>
      </w:r>
      <w:r w:rsidR="00C80525" w:rsidRPr="008D38E0">
        <w:t xml:space="preserve"> Available from: </w:t>
      </w:r>
      <w:hyperlink r:id="rId33" w:history="1">
        <w:r w:rsidR="00C80525" w:rsidRPr="008D38E0">
          <w:rPr>
            <w:rStyle w:val="Hyperlink"/>
          </w:rPr>
          <w:t>http://www.who.int/alliance-hpsr/resources/Alliance_BR.pdf</w:t>
        </w:r>
      </w:hyperlink>
    </w:p>
    <w:p w14:paraId="67382037" w14:textId="77777777" w:rsidR="00802DBF" w:rsidRPr="008D38E0" w:rsidRDefault="00802DBF" w:rsidP="00802DBF">
      <w:pPr>
        <w:pStyle w:val="ListParagraph"/>
        <w:spacing w:after="0" w:line="480" w:lineRule="auto"/>
        <w:rPr>
          <w:rFonts w:cs="Arial"/>
          <w:color w:val="222222"/>
          <w:shd w:val="clear" w:color="auto" w:fill="FFFFFF"/>
        </w:rPr>
      </w:pPr>
    </w:p>
    <w:p w14:paraId="6F38DDE1" w14:textId="77777777" w:rsidR="00802DBF" w:rsidRPr="008D38E0" w:rsidRDefault="00802DBF" w:rsidP="00802DBF">
      <w:pPr>
        <w:pStyle w:val="ListParagraph"/>
        <w:numPr>
          <w:ilvl w:val="0"/>
          <w:numId w:val="40"/>
        </w:numPr>
        <w:spacing w:after="0" w:line="480" w:lineRule="auto"/>
        <w:rPr>
          <w:rFonts w:cs="Arial"/>
          <w:color w:val="222222"/>
          <w:shd w:val="clear" w:color="auto" w:fill="FFFFFF"/>
        </w:rPr>
      </w:pPr>
      <w:r w:rsidRPr="008D38E0">
        <w:rPr>
          <w:rFonts w:cs="Arial"/>
          <w:color w:val="222222"/>
          <w:shd w:val="clear" w:color="auto" w:fill="FFFFFF"/>
        </w:rPr>
        <w:t>Redman-</w:t>
      </w:r>
      <w:proofErr w:type="spellStart"/>
      <w:r w:rsidRPr="008D38E0">
        <w:rPr>
          <w:rFonts w:cs="Arial"/>
          <w:color w:val="222222"/>
          <w:shd w:val="clear" w:color="auto" w:fill="FFFFFF"/>
        </w:rPr>
        <w:t>MacLaren</w:t>
      </w:r>
      <w:proofErr w:type="spellEnd"/>
      <w:r w:rsidRPr="008D38E0">
        <w:rPr>
          <w:rFonts w:cs="Arial"/>
          <w:color w:val="222222"/>
          <w:shd w:val="clear" w:color="auto" w:fill="FFFFFF"/>
        </w:rPr>
        <w:t xml:space="preserve"> M, </w:t>
      </w:r>
      <w:proofErr w:type="spellStart"/>
      <w:r w:rsidRPr="008D38E0">
        <w:rPr>
          <w:rFonts w:cs="Arial"/>
          <w:color w:val="222222"/>
          <w:shd w:val="clear" w:color="auto" w:fill="FFFFFF"/>
        </w:rPr>
        <w:t>MacLaren</w:t>
      </w:r>
      <w:proofErr w:type="spellEnd"/>
      <w:r w:rsidRPr="008D38E0">
        <w:rPr>
          <w:rFonts w:cs="Arial"/>
          <w:color w:val="222222"/>
          <w:shd w:val="clear" w:color="auto" w:fill="FFFFFF"/>
        </w:rPr>
        <w:t xml:space="preserve"> DJ, Harrington H, </w:t>
      </w:r>
      <w:proofErr w:type="spellStart"/>
      <w:r w:rsidRPr="008D38E0">
        <w:rPr>
          <w:rFonts w:cs="Arial"/>
          <w:color w:val="222222"/>
          <w:shd w:val="clear" w:color="auto" w:fill="FFFFFF"/>
        </w:rPr>
        <w:t>Asugeni</w:t>
      </w:r>
      <w:proofErr w:type="spellEnd"/>
      <w:r w:rsidRPr="008D38E0">
        <w:rPr>
          <w:rFonts w:cs="Arial"/>
          <w:color w:val="222222"/>
          <w:shd w:val="clear" w:color="auto" w:fill="FFFFFF"/>
        </w:rPr>
        <w:t xml:space="preserve"> R, Timothy-Harrington R, </w:t>
      </w:r>
      <w:proofErr w:type="spellStart"/>
      <w:r w:rsidRPr="008D38E0">
        <w:rPr>
          <w:rFonts w:cs="Arial"/>
          <w:color w:val="222222"/>
          <w:shd w:val="clear" w:color="auto" w:fill="FFFFFF"/>
        </w:rPr>
        <w:t>Kekeubata</w:t>
      </w:r>
      <w:proofErr w:type="spellEnd"/>
      <w:r w:rsidRPr="008D38E0">
        <w:rPr>
          <w:rFonts w:cs="Arial"/>
          <w:color w:val="222222"/>
          <w:shd w:val="clear" w:color="auto" w:fill="FFFFFF"/>
        </w:rPr>
        <w:t xml:space="preserve"> E, </w:t>
      </w:r>
      <w:proofErr w:type="spellStart"/>
      <w:r w:rsidRPr="008D38E0">
        <w:rPr>
          <w:rFonts w:cs="Arial"/>
          <w:color w:val="222222"/>
          <w:shd w:val="clear" w:color="auto" w:fill="FFFFFF"/>
        </w:rPr>
        <w:t>Speare</w:t>
      </w:r>
      <w:proofErr w:type="spellEnd"/>
      <w:r w:rsidRPr="008D38E0">
        <w:rPr>
          <w:rFonts w:cs="Arial"/>
          <w:color w:val="222222"/>
          <w:shd w:val="clear" w:color="auto" w:fill="FFFFFF"/>
        </w:rPr>
        <w:t xml:space="preserve"> R. Mutual research capacity strengthening: a qualitative study of two-way partnerships in public health research. International Journal for Equity in Health. 2012 Dec;11(1):79.</w:t>
      </w:r>
      <w:r w:rsidRPr="008D38E0">
        <w:t xml:space="preserve"> </w:t>
      </w:r>
      <w:hyperlink r:id="rId34" w:history="1">
        <w:r w:rsidRPr="008D38E0">
          <w:rPr>
            <w:rStyle w:val="Hyperlink"/>
          </w:rPr>
          <w:t>https://doi.org/10.1186/1475-9276-11-79</w:t>
        </w:r>
      </w:hyperlink>
      <w:r w:rsidRPr="008D38E0">
        <w:rPr>
          <w:rFonts w:cs="Arial"/>
          <w:color w:val="222222"/>
          <w:shd w:val="clear" w:color="auto" w:fill="FFFFFF"/>
        </w:rPr>
        <w:t xml:space="preserve"> </w:t>
      </w:r>
    </w:p>
    <w:p w14:paraId="73A50343" w14:textId="77777777" w:rsidR="00802DBF" w:rsidRPr="008D38E0" w:rsidRDefault="00802DBF" w:rsidP="00802DBF">
      <w:pPr>
        <w:pStyle w:val="ListParagraph"/>
        <w:spacing w:after="0" w:line="480" w:lineRule="auto"/>
        <w:rPr>
          <w:rFonts w:cs="Arial"/>
          <w:color w:val="222222"/>
          <w:shd w:val="clear" w:color="auto" w:fill="FFFFFF"/>
        </w:rPr>
      </w:pPr>
    </w:p>
    <w:p w14:paraId="1C7B0B5E" w14:textId="77777777" w:rsidR="00802DBF" w:rsidRPr="008D38E0" w:rsidRDefault="00802DBF" w:rsidP="00802DBF">
      <w:pPr>
        <w:pStyle w:val="ListParagraph"/>
        <w:numPr>
          <w:ilvl w:val="0"/>
          <w:numId w:val="40"/>
        </w:numPr>
        <w:spacing w:after="0" w:line="480" w:lineRule="auto"/>
        <w:rPr>
          <w:rFonts w:cs="Arial"/>
          <w:color w:val="222222"/>
          <w:shd w:val="clear" w:color="auto" w:fill="FFFFFF"/>
        </w:rPr>
      </w:pPr>
      <w:proofErr w:type="spellStart"/>
      <w:r w:rsidRPr="008D38E0">
        <w:rPr>
          <w:rFonts w:cs="Arial"/>
          <w:color w:val="222222"/>
          <w:shd w:val="clear" w:color="auto" w:fill="FFFFFF"/>
        </w:rPr>
        <w:t>Okwakol</w:t>
      </w:r>
      <w:proofErr w:type="spellEnd"/>
      <w:r w:rsidRPr="008D38E0">
        <w:rPr>
          <w:rFonts w:cs="Arial"/>
          <w:color w:val="222222"/>
          <w:shd w:val="clear" w:color="auto" w:fill="FFFFFF"/>
        </w:rPr>
        <w:t xml:space="preserve"> MJ. Challenges and Prospects for Quality Assurance in Science and Technology Education in African Universities. The Uganda Higher Education Review Journal of the National Council of Higher Education. 2008; 5(2):17-26.</w:t>
      </w:r>
    </w:p>
    <w:p w14:paraId="376FC986" w14:textId="77777777" w:rsidR="000D3C4F" w:rsidRPr="008D38E0" w:rsidRDefault="000D3C4F" w:rsidP="000D3C4F">
      <w:pPr>
        <w:pStyle w:val="ListParagraph"/>
        <w:spacing w:after="0" w:line="480" w:lineRule="auto"/>
        <w:rPr>
          <w:rFonts w:cs="Arial"/>
          <w:color w:val="222222"/>
          <w:shd w:val="clear" w:color="auto" w:fill="FFFFFF"/>
        </w:rPr>
      </w:pPr>
    </w:p>
    <w:p w14:paraId="5692F23E" w14:textId="77777777" w:rsidR="00802DBF" w:rsidRPr="008D38E0" w:rsidRDefault="000D3C4F" w:rsidP="000D3C4F">
      <w:pPr>
        <w:pStyle w:val="ListParagraph"/>
        <w:numPr>
          <w:ilvl w:val="0"/>
          <w:numId w:val="40"/>
        </w:numPr>
        <w:spacing w:after="0" w:line="480" w:lineRule="auto"/>
      </w:pPr>
      <w:r w:rsidRPr="008D38E0">
        <w:t xml:space="preserve">The African Network of Scientific and Technological Institutions (ANSTI). State of Science and Technology Training Institutions in Africa [internet]. United Nations Educational, Scientific </w:t>
      </w:r>
      <w:r w:rsidRPr="008D38E0">
        <w:lastRenderedPageBreak/>
        <w:t xml:space="preserve">and Cultural Organisation (UNESCO) Regional Bureau for Science in Africa; 2005 July [cited 2018 May 6]. Available from: </w:t>
      </w:r>
      <w:hyperlink r:id="rId35" w:history="1">
        <w:r w:rsidRPr="008D38E0">
          <w:rPr>
            <w:rStyle w:val="Hyperlink"/>
          </w:rPr>
          <w:t>http://unesdoc.unesco.org/images/0015/001541/154108e.pdf</w:t>
        </w:r>
      </w:hyperlink>
    </w:p>
    <w:p w14:paraId="5E64292F" w14:textId="77777777" w:rsidR="000D3C4F" w:rsidRPr="008D38E0" w:rsidRDefault="000D3C4F" w:rsidP="000D3C4F">
      <w:pPr>
        <w:pStyle w:val="ListParagraph"/>
        <w:spacing w:after="0" w:line="480" w:lineRule="auto"/>
      </w:pPr>
    </w:p>
    <w:p w14:paraId="438CE929" w14:textId="77777777" w:rsidR="000D3C4F" w:rsidRPr="008D38E0" w:rsidRDefault="000D3C4F" w:rsidP="000D3C4F">
      <w:pPr>
        <w:pStyle w:val="ListParagraph"/>
        <w:numPr>
          <w:ilvl w:val="0"/>
          <w:numId w:val="40"/>
        </w:numPr>
        <w:spacing w:after="0" w:line="480" w:lineRule="auto"/>
        <w:rPr>
          <w:rStyle w:val="Hyperlink"/>
          <w:color w:val="auto"/>
          <w:u w:val="none"/>
        </w:rPr>
      </w:pPr>
      <w:r w:rsidRPr="008D38E0">
        <w:rPr>
          <w:rFonts w:cs="Arial"/>
          <w:color w:val="222222"/>
          <w:shd w:val="clear" w:color="auto" w:fill="FFFFFF"/>
        </w:rPr>
        <w:t xml:space="preserve">World Health Organization. </w:t>
      </w:r>
      <w:r w:rsidRPr="008D38E0">
        <w:t xml:space="preserve">WHO Guide for the Stepwise Laboratory Improvement Process Towards Accreditation </w:t>
      </w:r>
      <w:r w:rsidRPr="008D38E0">
        <w:rPr>
          <w:rFonts w:cs="Arial"/>
          <w:color w:val="222222"/>
          <w:shd w:val="clear" w:color="auto" w:fill="FFFFFF"/>
        </w:rPr>
        <w:t xml:space="preserve">(SLIPTA) </w:t>
      </w:r>
      <w:r w:rsidRPr="008D38E0">
        <w:t xml:space="preserve">in the African Region (with checklist) </w:t>
      </w:r>
      <w:r w:rsidRPr="008D38E0">
        <w:rPr>
          <w:rFonts w:cs="Arial"/>
          <w:color w:val="222222"/>
          <w:shd w:val="clear" w:color="auto" w:fill="FFFFFF"/>
        </w:rPr>
        <w:t xml:space="preserve">[Internet]. </w:t>
      </w:r>
      <w:r w:rsidRPr="008D38E0">
        <w:t xml:space="preserve">World Health Organization; </w:t>
      </w:r>
      <w:r w:rsidRPr="008D38E0">
        <w:rPr>
          <w:color w:val="000000" w:themeColor="text1"/>
        </w:rPr>
        <w:t xml:space="preserve">2015 [cited 2017 Jul 10]. Available </w:t>
      </w:r>
      <w:r w:rsidRPr="008D38E0">
        <w:t xml:space="preserve">from: </w:t>
      </w:r>
      <w:hyperlink r:id="rId36" w:history="1">
        <w:r w:rsidRPr="008D38E0">
          <w:rPr>
            <w:rStyle w:val="Hyperlink"/>
          </w:rPr>
          <w:t>http://www.who.int/tb/laboratory/afro-slipta-checklist-guidance.pdf</w:t>
        </w:r>
      </w:hyperlink>
    </w:p>
    <w:p w14:paraId="0FD991C1" w14:textId="77777777" w:rsidR="000D3C4F" w:rsidRPr="008D38E0" w:rsidRDefault="000D3C4F" w:rsidP="000D3C4F">
      <w:pPr>
        <w:pStyle w:val="ListParagraph"/>
        <w:spacing w:after="0" w:line="480" w:lineRule="auto"/>
      </w:pPr>
    </w:p>
    <w:p w14:paraId="28B95402" w14:textId="77777777" w:rsidR="000D3C4F" w:rsidRPr="008D38E0" w:rsidRDefault="000D3C4F" w:rsidP="000D3C4F">
      <w:pPr>
        <w:pStyle w:val="ListParagraph"/>
        <w:numPr>
          <w:ilvl w:val="0"/>
          <w:numId w:val="40"/>
        </w:numPr>
        <w:spacing w:after="0" w:line="480" w:lineRule="auto"/>
        <w:rPr>
          <w:rStyle w:val="Hyperlink"/>
          <w:rFonts w:cs="Arial"/>
          <w:color w:val="222222"/>
          <w:u w:val="none"/>
          <w:shd w:val="clear" w:color="auto" w:fill="FFFFFF"/>
        </w:rPr>
      </w:pPr>
      <w:proofErr w:type="spellStart"/>
      <w:r w:rsidRPr="008D38E0">
        <w:rPr>
          <w:rFonts w:cs="Arial"/>
          <w:color w:val="222222"/>
          <w:shd w:val="clear" w:color="auto" w:fill="FFFFFF"/>
        </w:rPr>
        <w:t>M'baya</w:t>
      </w:r>
      <w:proofErr w:type="spellEnd"/>
      <w:r w:rsidRPr="008D38E0">
        <w:rPr>
          <w:rFonts w:cs="Arial"/>
          <w:color w:val="222222"/>
          <w:shd w:val="clear" w:color="auto" w:fill="FFFFFF"/>
        </w:rPr>
        <w:t xml:space="preserve"> B. Development of a stepwise accreditation programme from the perspective of the Africa Society for Blood Transfusion. ISBT Science Series. 2014; 9(1):68-71. </w:t>
      </w:r>
      <w:hyperlink r:id="rId37" w:history="1">
        <w:r w:rsidRPr="008D38E0">
          <w:rPr>
            <w:rStyle w:val="Hyperlink"/>
            <w:rFonts w:cs="Arial"/>
            <w:shd w:val="clear" w:color="auto" w:fill="FFFFFF"/>
          </w:rPr>
          <w:t>https://doi.org/10.1111/voxs.12096</w:t>
        </w:r>
      </w:hyperlink>
    </w:p>
    <w:p w14:paraId="68D8A1B9" w14:textId="77777777" w:rsidR="000D3C4F" w:rsidRPr="008D38E0" w:rsidRDefault="000D3C4F" w:rsidP="000D3C4F">
      <w:pPr>
        <w:pStyle w:val="ListParagraph"/>
        <w:spacing w:after="0" w:line="480" w:lineRule="auto"/>
        <w:rPr>
          <w:rFonts w:cs="Arial"/>
          <w:color w:val="222222"/>
          <w:shd w:val="clear" w:color="auto" w:fill="FFFFFF"/>
        </w:rPr>
      </w:pPr>
    </w:p>
    <w:p w14:paraId="59C11D9B" w14:textId="77777777" w:rsidR="000D3C4F" w:rsidRPr="008D38E0" w:rsidRDefault="000D3C4F" w:rsidP="000D3C4F">
      <w:pPr>
        <w:pStyle w:val="ListParagraph"/>
        <w:numPr>
          <w:ilvl w:val="0"/>
          <w:numId w:val="40"/>
        </w:numPr>
        <w:spacing w:after="0" w:line="480" w:lineRule="auto"/>
        <w:rPr>
          <w:rStyle w:val="Hyperlink"/>
          <w:rFonts w:cs="Arial"/>
          <w:color w:val="222222"/>
          <w:u w:val="none"/>
          <w:shd w:val="clear" w:color="auto" w:fill="FFFFFF"/>
        </w:rPr>
      </w:pPr>
      <w:r w:rsidRPr="008D38E0">
        <w:rPr>
          <w:rFonts w:cs="Arial"/>
          <w:color w:val="222222"/>
          <w:shd w:val="clear" w:color="auto" w:fill="FFFFFF"/>
        </w:rPr>
        <w:t>Dean L, Njelesani J, Smith H, Bates I. Promoting sustainable research partnerships: a mixed-method evaluation of a United Kingdom–Africa capacity strengthening award scheme. Health Research Policy and Systems. 2015; 13(1):81.</w:t>
      </w:r>
      <w:r w:rsidRPr="008D38E0">
        <w:t xml:space="preserve"> </w:t>
      </w:r>
      <w:hyperlink r:id="rId38" w:history="1">
        <w:r w:rsidRPr="008D38E0">
          <w:rPr>
            <w:rStyle w:val="Hyperlink"/>
          </w:rPr>
          <w:t>https://doi.org/10.1186/s12961-015-0071-2</w:t>
        </w:r>
      </w:hyperlink>
    </w:p>
    <w:p w14:paraId="6099B69F" w14:textId="77777777" w:rsidR="000D3C4F" w:rsidRPr="008D38E0" w:rsidRDefault="000D3C4F" w:rsidP="000D3C4F">
      <w:pPr>
        <w:pStyle w:val="ListParagraph"/>
        <w:spacing w:after="0" w:line="480" w:lineRule="auto"/>
        <w:rPr>
          <w:rStyle w:val="Hyperlink"/>
          <w:rFonts w:cs="Arial"/>
          <w:color w:val="222222"/>
          <w:u w:val="none"/>
          <w:shd w:val="clear" w:color="auto" w:fill="FFFFFF"/>
        </w:rPr>
      </w:pPr>
    </w:p>
    <w:p w14:paraId="03FFE082" w14:textId="77777777" w:rsidR="000D3C4F" w:rsidRDefault="00F8667A" w:rsidP="00B35148">
      <w:pPr>
        <w:pStyle w:val="ListParagraph"/>
        <w:numPr>
          <w:ilvl w:val="0"/>
          <w:numId w:val="40"/>
        </w:numPr>
        <w:spacing w:after="0" w:line="480" w:lineRule="auto"/>
      </w:pPr>
      <w:r w:rsidRPr="00205900">
        <w:t>Datta A.</w:t>
      </w:r>
      <w:r w:rsidR="00B35148" w:rsidRPr="00205900">
        <w:t xml:space="preserve"> Strengthening research systems: concepts, actions and actors</w:t>
      </w:r>
      <w:r w:rsidR="00205900" w:rsidRPr="00205900">
        <w:t xml:space="preserve"> [Internet]</w:t>
      </w:r>
      <w:r w:rsidR="00B35148" w:rsidRPr="00205900">
        <w:t>. K4D Helpdesk Report. Brighton, UK: In</w:t>
      </w:r>
      <w:r w:rsidR="00205900" w:rsidRPr="00205900">
        <w:t xml:space="preserve">stitute of Development Studies; 2018 [cited 2018 Sep 13]. Available from: </w:t>
      </w:r>
      <w:hyperlink r:id="rId39" w:history="1">
        <w:r w:rsidR="00BB1D31" w:rsidRPr="00560C7A">
          <w:rPr>
            <w:rStyle w:val="Hyperlink"/>
          </w:rPr>
          <w:t>https://onthinktanks.org/wp-content/uploads/2018/10/429-430-Research-systems-concepts-actions-and-actors_REV.pdf</w:t>
        </w:r>
      </w:hyperlink>
    </w:p>
    <w:p w14:paraId="0A54A08A" w14:textId="77777777" w:rsidR="001D2292" w:rsidRPr="00BB1D31" w:rsidRDefault="001D2292" w:rsidP="00BB1D31">
      <w:pPr>
        <w:pStyle w:val="ListParagraph"/>
        <w:spacing w:after="0" w:line="480" w:lineRule="auto"/>
      </w:pPr>
    </w:p>
    <w:p w14:paraId="6B9F8248" w14:textId="77777777" w:rsidR="001D2292" w:rsidRDefault="001D2292" w:rsidP="001D2292">
      <w:pPr>
        <w:pStyle w:val="ListParagraph"/>
        <w:numPr>
          <w:ilvl w:val="0"/>
          <w:numId w:val="40"/>
        </w:numPr>
        <w:spacing w:after="0" w:line="480" w:lineRule="auto"/>
      </w:pPr>
      <w:r w:rsidRPr="00205900">
        <w:t>UK Collaborative on Development Sciences (UKCDS). Five key trends driving cha</w:t>
      </w:r>
      <w:r w:rsidR="00205900" w:rsidRPr="00205900">
        <w:t>nge in research for development</w:t>
      </w:r>
      <w:r w:rsidR="00205900">
        <w:t xml:space="preserve"> [Internet]</w:t>
      </w:r>
      <w:r w:rsidR="00205900" w:rsidRPr="00205900">
        <w:t xml:space="preserve">; </w:t>
      </w:r>
      <w:r w:rsidRPr="00205900">
        <w:t>2016</w:t>
      </w:r>
      <w:r w:rsidR="00205900" w:rsidRPr="00205900">
        <w:t xml:space="preserve"> [cited 2018 Sep 13]</w:t>
      </w:r>
      <w:r w:rsidR="00205900">
        <w:t xml:space="preserve">. </w:t>
      </w:r>
      <w:r w:rsidRPr="00205900">
        <w:t xml:space="preserve">Available </w:t>
      </w:r>
      <w:r w:rsidR="00205900" w:rsidRPr="00205900">
        <w:t>from</w:t>
      </w:r>
      <w:r w:rsidRPr="00205900">
        <w:t xml:space="preserve">: </w:t>
      </w:r>
      <w:hyperlink r:id="rId40" w:history="1">
        <w:r w:rsidR="00BB1D31" w:rsidRPr="00560C7A">
          <w:rPr>
            <w:rStyle w:val="Hyperlink"/>
          </w:rPr>
          <w:t>https://www.ukcdr.org.uk/wp-content/uploads/2017/11/UKCDS-Five-trends-driving-change-in-research-for-development.pdf</w:t>
        </w:r>
      </w:hyperlink>
    </w:p>
    <w:p w14:paraId="6155EE2E" w14:textId="77777777" w:rsidR="00BB1D31" w:rsidRDefault="00BB1D31" w:rsidP="00BB1D31">
      <w:pPr>
        <w:pStyle w:val="ListParagraph"/>
        <w:spacing w:after="0" w:line="480" w:lineRule="auto"/>
      </w:pPr>
    </w:p>
    <w:p w14:paraId="389F3573" w14:textId="77777777" w:rsidR="000D3C4F" w:rsidRPr="008D38E0" w:rsidRDefault="000D3C4F" w:rsidP="000D3C4F">
      <w:pPr>
        <w:pStyle w:val="ListParagraph"/>
        <w:numPr>
          <w:ilvl w:val="0"/>
          <w:numId w:val="40"/>
        </w:numPr>
        <w:spacing w:after="0" w:line="480" w:lineRule="auto"/>
        <w:rPr>
          <w:rStyle w:val="Hyperlink"/>
          <w:rFonts w:cs="Arial"/>
          <w:color w:val="222222"/>
          <w:u w:val="none"/>
          <w:shd w:val="clear" w:color="auto" w:fill="FFFFFF"/>
        </w:rPr>
      </w:pPr>
      <w:r w:rsidRPr="008D38E0">
        <w:t>Department for International Development (DFID). DFID research strategy 2008-2013 working paper series: capacity building [Internet]. London, United Kingdom: Department for International Development; 2008 April [</w:t>
      </w:r>
      <w:r w:rsidRPr="008D38E0">
        <w:rPr>
          <w:color w:val="000000" w:themeColor="text1"/>
        </w:rPr>
        <w:t xml:space="preserve">cited 2018 Mar 14]. Available </w:t>
      </w:r>
      <w:r w:rsidRPr="008D38E0">
        <w:t xml:space="preserve">from: </w:t>
      </w:r>
      <w:hyperlink r:id="rId41" w:history="1">
        <w:r w:rsidRPr="008D38E0">
          <w:rPr>
            <w:rStyle w:val="Hyperlink"/>
          </w:rPr>
          <w:t>https://assets.publishing.service.gov.uk/media/57a08b8ee5274a31e0000c0a/ResearchStrategyWorkingPaperfinal_capacity_P1.pdf</w:t>
        </w:r>
      </w:hyperlink>
    </w:p>
    <w:p w14:paraId="4ED25558" w14:textId="77777777" w:rsidR="001D2292" w:rsidRPr="00BB1D31" w:rsidRDefault="001D2292" w:rsidP="001D2292">
      <w:pPr>
        <w:pStyle w:val="ListParagraph"/>
        <w:spacing w:after="0" w:line="480" w:lineRule="auto"/>
        <w:rPr>
          <w:rStyle w:val="Hyperlink"/>
          <w:rFonts w:cs="Arial"/>
          <w:color w:val="auto"/>
          <w:u w:val="none"/>
          <w:shd w:val="clear" w:color="auto" w:fill="FFFFFF"/>
        </w:rPr>
      </w:pPr>
    </w:p>
    <w:p w14:paraId="7620DF44" w14:textId="77777777" w:rsidR="00BB1D31" w:rsidRDefault="001D2292" w:rsidP="00BB1D31">
      <w:pPr>
        <w:pStyle w:val="ListParagraph"/>
        <w:numPr>
          <w:ilvl w:val="0"/>
          <w:numId w:val="40"/>
        </w:numPr>
        <w:spacing w:after="0" w:line="480" w:lineRule="auto"/>
      </w:pPr>
      <w:r w:rsidRPr="00BB1D31">
        <w:t xml:space="preserve">The Alliance for Accelerating Excellence in Science in Africa (AESA) </w:t>
      </w:r>
      <w:r w:rsidR="0022400A" w:rsidRPr="00BB1D31">
        <w:t>[Internet]. African Academy of Sciences; c</w:t>
      </w:r>
      <w:r w:rsidRPr="00BB1D31">
        <w:t>2017</w:t>
      </w:r>
      <w:r w:rsidR="0022400A" w:rsidRPr="00BB1D31">
        <w:t xml:space="preserve"> [cited 2018 Sep 13]</w:t>
      </w:r>
      <w:r w:rsidRPr="00BB1D31">
        <w:t>. Good Financial Grant Practice</w:t>
      </w:r>
      <w:r w:rsidR="0022400A" w:rsidRPr="00BB1D31">
        <w:t>; [about</w:t>
      </w:r>
      <w:r w:rsidRPr="00BB1D31">
        <w:t xml:space="preserve"> </w:t>
      </w:r>
      <w:r w:rsidR="0022400A" w:rsidRPr="00BB1D31">
        <w:t xml:space="preserve">3 screens]. </w:t>
      </w:r>
      <w:r w:rsidRPr="00BB1D31">
        <w:t>Available from</w:t>
      </w:r>
      <w:r w:rsidR="0022400A" w:rsidRPr="00BB1D31">
        <w:t>:</w:t>
      </w:r>
      <w:r w:rsidRPr="00BB1D31">
        <w:t xml:space="preserve"> </w:t>
      </w:r>
      <w:hyperlink r:id="rId42" w:history="1">
        <w:r w:rsidR="00BB1D31" w:rsidRPr="00560C7A">
          <w:rPr>
            <w:rStyle w:val="Hyperlink"/>
          </w:rPr>
          <w:t>https://www.aasciences.ac.ke/aesa/programmes/gfgp/</w:t>
        </w:r>
      </w:hyperlink>
    </w:p>
    <w:p w14:paraId="66222CC9" w14:textId="77777777" w:rsidR="001D2292" w:rsidRPr="00BB1D31" w:rsidRDefault="001D2292" w:rsidP="00BB1D31">
      <w:pPr>
        <w:pStyle w:val="ListParagraph"/>
        <w:spacing w:after="0" w:line="480" w:lineRule="auto"/>
      </w:pPr>
    </w:p>
    <w:p w14:paraId="481D093D" w14:textId="77777777" w:rsidR="001D2292" w:rsidRDefault="0022400A" w:rsidP="001D2292">
      <w:pPr>
        <w:pStyle w:val="ListParagraph"/>
        <w:numPr>
          <w:ilvl w:val="0"/>
          <w:numId w:val="40"/>
        </w:numPr>
        <w:spacing w:after="0" w:line="480" w:lineRule="auto"/>
      </w:pPr>
      <w:bookmarkStart w:id="47" w:name="_Hlk530594035"/>
      <w:r w:rsidRPr="00BB1D31">
        <w:t xml:space="preserve">Consort. Scoping work on research management in LMICs – India [Internet]. </w:t>
      </w:r>
      <w:r w:rsidR="001D2292" w:rsidRPr="00BB1D31">
        <w:t>Wellcome Trust Pro</w:t>
      </w:r>
      <w:r w:rsidR="003D6EE7" w:rsidRPr="00BB1D31">
        <w:t xml:space="preserve">ject Report. Cambridge: Consort; 2017 [cited 2018 Sep 14]. Available from: </w:t>
      </w:r>
      <w:r w:rsidR="001D2292" w:rsidRPr="00BB1D31">
        <w:t xml:space="preserve"> </w:t>
      </w:r>
      <w:bookmarkEnd w:id="47"/>
      <w:r w:rsidR="00BB1D31">
        <w:fldChar w:fldCharType="begin"/>
      </w:r>
      <w:r w:rsidR="00BB1D31">
        <w:instrText xml:space="preserve"> HYPERLINK "</w:instrText>
      </w:r>
      <w:r w:rsidR="00BB1D31" w:rsidRPr="00BB1D31">
        <w:instrText>https://wellcome.ac.uk/sites/default/files/current-state-of-research-management-in-india.pdf</w:instrText>
      </w:r>
      <w:r w:rsidR="00BB1D31">
        <w:instrText xml:space="preserve">" </w:instrText>
      </w:r>
      <w:r w:rsidR="00BB1D31">
        <w:fldChar w:fldCharType="separate"/>
      </w:r>
      <w:r w:rsidR="00BB1D31" w:rsidRPr="00560C7A">
        <w:rPr>
          <w:rStyle w:val="Hyperlink"/>
        </w:rPr>
        <w:t>https://wellcome.ac.uk/sites/default/files/current-state-of-research-management-in-india.pdf</w:t>
      </w:r>
      <w:r w:rsidR="00BB1D31">
        <w:fldChar w:fldCharType="end"/>
      </w:r>
    </w:p>
    <w:p w14:paraId="1CF84A6B" w14:textId="77777777" w:rsidR="009D2681" w:rsidRPr="00BB1D31" w:rsidRDefault="009D2681" w:rsidP="00BB1D31">
      <w:pPr>
        <w:pStyle w:val="ListParagraph"/>
        <w:spacing w:after="0" w:line="480" w:lineRule="auto"/>
      </w:pPr>
    </w:p>
    <w:p w14:paraId="7C4BBBDD" w14:textId="77777777" w:rsidR="001D2292" w:rsidRDefault="005266A1" w:rsidP="005266A1">
      <w:pPr>
        <w:pStyle w:val="ListParagraph"/>
        <w:numPr>
          <w:ilvl w:val="0"/>
          <w:numId w:val="40"/>
        </w:numPr>
        <w:spacing w:after="0" w:line="480" w:lineRule="auto"/>
      </w:pPr>
      <w:r w:rsidRPr="00BB1D31">
        <w:t xml:space="preserve">Consort. Scoping work on research management in LMICs – Sub-Saharan Africa [Internet]. Wellcome Trust Project Report. Cambridge: Consort; 2017 [cited 2018 Sep 14]. Available from: </w:t>
      </w:r>
      <w:hyperlink r:id="rId43" w:history="1">
        <w:r w:rsidR="00BB1D31" w:rsidRPr="00560C7A">
          <w:rPr>
            <w:rStyle w:val="Hyperlink"/>
          </w:rPr>
          <w:t>https://wellcome.ac.uk/sites/default/files/current-state-of-research-management-in-africa.pdf</w:t>
        </w:r>
      </w:hyperlink>
    </w:p>
    <w:p w14:paraId="00731B0E" w14:textId="77777777" w:rsidR="00EA1625" w:rsidRPr="00BB1D31" w:rsidRDefault="00EA1625" w:rsidP="00BB1D31">
      <w:pPr>
        <w:pStyle w:val="ListParagraph"/>
        <w:spacing w:after="0" w:line="480" w:lineRule="auto"/>
      </w:pPr>
    </w:p>
    <w:p w14:paraId="5AE18EAC" w14:textId="77777777" w:rsidR="004C17A0" w:rsidRPr="00627083" w:rsidRDefault="00627083" w:rsidP="00843C19">
      <w:pPr>
        <w:spacing w:after="0" w:line="480" w:lineRule="auto"/>
        <w:rPr>
          <w:b/>
          <w:sz w:val="36"/>
          <w:szCs w:val="36"/>
        </w:rPr>
      </w:pPr>
      <w:r w:rsidRPr="00627083">
        <w:rPr>
          <w:b/>
          <w:sz w:val="36"/>
          <w:szCs w:val="36"/>
        </w:rPr>
        <w:t>Supporting information</w:t>
      </w:r>
    </w:p>
    <w:p w14:paraId="1A2B4B3B" w14:textId="77777777" w:rsidR="0057721A" w:rsidRDefault="002A5DDB" w:rsidP="00FA0D31">
      <w:pPr>
        <w:pStyle w:val="Heading3"/>
      </w:pPr>
      <w:bookmarkStart w:id="48" w:name="_Toc481670975"/>
      <w:r w:rsidRPr="00334DBB">
        <w:t>Supplementary file</w:t>
      </w:r>
      <w:r w:rsidR="004256AE" w:rsidRPr="00334DBB">
        <w:t>s – see separate document</w:t>
      </w:r>
      <w:bookmarkEnd w:id="48"/>
      <w:r w:rsidR="00C43905">
        <w:t>s:</w:t>
      </w:r>
    </w:p>
    <w:p w14:paraId="48754B35" w14:textId="753F9628" w:rsidR="00DC403B" w:rsidRDefault="00DC403B" w:rsidP="00DC403B">
      <w:pPr>
        <w:spacing w:after="0" w:line="480" w:lineRule="auto"/>
      </w:pPr>
      <w:bookmarkStart w:id="49" w:name="_Hlk530734433"/>
      <w:r>
        <w:t>S1_ Supplementary file 1: List of African countries where ACBI is implemented</w:t>
      </w:r>
    </w:p>
    <w:p w14:paraId="56D31E2C" w14:textId="7C4B019D" w:rsidR="00DC403B" w:rsidRDefault="00DC403B" w:rsidP="00DC403B">
      <w:pPr>
        <w:spacing w:after="0" w:line="480" w:lineRule="auto"/>
      </w:pPr>
      <w:r>
        <w:t>S2_ Supplementary file 2: Theory of Change diagram for ACBI</w:t>
      </w:r>
    </w:p>
    <w:p w14:paraId="7C3969BA" w14:textId="77777777" w:rsidR="00DC403B" w:rsidRDefault="00DC403B" w:rsidP="00DC403B">
      <w:pPr>
        <w:spacing w:after="0" w:line="480" w:lineRule="auto"/>
      </w:pPr>
      <w:r>
        <w:lastRenderedPageBreak/>
        <w:t>S3_ Supplementary file 3: List of documents reviewed</w:t>
      </w:r>
    </w:p>
    <w:p w14:paraId="419A0C6A" w14:textId="77777777" w:rsidR="00DC403B" w:rsidRDefault="00DC403B" w:rsidP="00DC403B">
      <w:pPr>
        <w:spacing w:after="0" w:line="480" w:lineRule="auto"/>
      </w:pPr>
      <w:r>
        <w:t>S4_ Supplementary file 4: Pre-visit online questionnaire</w:t>
      </w:r>
    </w:p>
    <w:p w14:paraId="4DDB247C" w14:textId="77777777" w:rsidR="00DC403B" w:rsidRDefault="00DC403B" w:rsidP="00DC403B">
      <w:pPr>
        <w:spacing w:after="0" w:line="480" w:lineRule="auto"/>
      </w:pPr>
      <w:r>
        <w:t>S5_ Supplementary file 5: Interview guides</w:t>
      </w:r>
    </w:p>
    <w:p w14:paraId="6B138B0D" w14:textId="77777777" w:rsidR="00DC403B" w:rsidRDefault="00DC403B" w:rsidP="00DC403B">
      <w:pPr>
        <w:spacing w:after="0" w:line="480" w:lineRule="auto"/>
      </w:pPr>
      <w:r>
        <w:t>S6_ Supplementary file 6: Thematic framework used to analyse research capacity strengths and gaps</w:t>
      </w:r>
    </w:p>
    <w:p w14:paraId="09F1E736" w14:textId="73A16C49" w:rsidR="00C43905" w:rsidRPr="00C43905" w:rsidRDefault="00DC403B" w:rsidP="0028690E">
      <w:pPr>
        <w:spacing w:after="0" w:line="480" w:lineRule="auto"/>
      </w:pPr>
      <w:r>
        <w:t>S7_ Supplementary file 7: Strengths and gaps in research capacity that emerged from the data for each theme, with examples of good practices and ways of solving problems that may be useful to other institutions.</w:t>
      </w:r>
      <w:bookmarkEnd w:id="49"/>
    </w:p>
    <w:sectPr w:rsidR="00C43905" w:rsidRPr="00C43905" w:rsidSect="00843C19">
      <w:footerReference w:type="default" r:id="rId4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B52E9" w14:textId="77777777" w:rsidR="00AA169A" w:rsidRDefault="00AA169A" w:rsidP="0018764F">
      <w:pPr>
        <w:spacing w:after="0" w:line="240" w:lineRule="auto"/>
      </w:pPr>
      <w:r>
        <w:separator/>
      </w:r>
    </w:p>
  </w:endnote>
  <w:endnote w:type="continuationSeparator" w:id="0">
    <w:p w14:paraId="443C37CE" w14:textId="77777777" w:rsidR="00AA169A" w:rsidRDefault="00AA169A" w:rsidP="0018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 Sans">
    <w:altName w:val="Segoe UI"/>
    <w:panose1 w:val="020B0606030504020204"/>
    <w:charset w:val="00"/>
    <w:family w:val="auto"/>
    <w:pitch w:val="default"/>
  </w:font>
  <w:font w:name="Frutiger-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etica-Roman">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056203"/>
      <w:docPartObj>
        <w:docPartGallery w:val="Page Numbers (Bottom of Page)"/>
        <w:docPartUnique/>
      </w:docPartObj>
    </w:sdtPr>
    <w:sdtEndPr>
      <w:rPr>
        <w:noProof/>
      </w:rPr>
    </w:sdtEndPr>
    <w:sdtContent>
      <w:p w14:paraId="07B0CBBB" w14:textId="77777777" w:rsidR="00AA169A" w:rsidRDefault="00AA16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847DF5" w14:textId="77777777" w:rsidR="00AA169A" w:rsidRDefault="00AA1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FD633" w14:textId="77777777" w:rsidR="00AA169A" w:rsidRDefault="00AA169A" w:rsidP="0018764F">
      <w:pPr>
        <w:spacing w:after="0" w:line="240" w:lineRule="auto"/>
      </w:pPr>
      <w:r>
        <w:separator/>
      </w:r>
    </w:p>
  </w:footnote>
  <w:footnote w:type="continuationSeparator" w:id="0">
    <w:p w14:paraId="273B8C65" w14:textId="77777777" w:rsidR="00AA169A" w:rsidRDefault="00AA169A" w:rsidP="00187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EEA0DD"/>
    <w:multiLevelType w:val="hybridMultilevel"/>
    <w:tmpl w:val="4918A7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524463"/>
    <w:multiLevelType w:val="hybridMultilevel"/>
    <w:tmpl w:val="B417CB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9AD893"/>
    <w:multiLevelType w:val="hybridMultilevel"/>
    <w:tmpl w:val="2E4AFA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1F6669A"/>
    <w:multiLevelType w:val="hybridMultilevel"/>
    <w:tmpl w:val="C2568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6E03E4E"/>
    <w:multiLevelType w:val="hybridMultilevel"/>
    <w:tmpl w:val="9A6B18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3B97AB1"/>
    <w:multiLevelType w:val="hybridMultilevel"/>
    <w:tmpl w:val="80E242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E410782"/>
    <w:multiLevelType w:val="hybridMultilevel"/>
    <w:tmpl w:val="22AAC7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141324D"/>
    <w:multiLevelType w:val="hybridMultilevel"/>
    <w:tmpl w:val="A73EE2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55C9EA3"/>
    <w:multiLevelType w:val="hybridMultilevel"/>
    <w:tmpl w:val="715499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460D8A8"/>
    <w:multiLevelType w:val="hybridMultilevel"/>
    <w:tmpl w:val="1DC915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4D802FA"/>
    <w:multiLevelType w:val="hybridMultilevel"/>
    <w:tmpl w:val="B624F14C"/>
    <w:lvl w:ilvl="0" w:tplc="8930621A">
      <w:start w:val="1"/>
      <w:numFmt w:val="decimal"/>
      <w:lvlText w:val="%1."/>
      <w:lvlJc w:val="left"/>
      <w:pPr>
        <w:ind w:left="360" w:hanging="360"/>
      </w:pPr>
      <w:rPr>
        <w:rFonts w:asciiTheme="minorHAnsi" w:eastAsiaTheme="minorHAnsi" w:hAnsiTheme="minorHAnsi"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5A539FC"/>
    <w:multiLevelType w:val="hybridMultilevel"/>
    <w:tmpl w:val="0494DCE4"/>
    <w:lvl w:ilvl="0" w:tplc="ED5C72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081E9A"/>
    <w:multiLevelType w:val="hybridMultilevel"/>
    <w:tmpl w:val="53E4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2B32D1"/>
    <w:multiLevelType w:val="hybridMultilevel"/>
    <w:tmpl w:val="586EFD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9B8D020"/>
    <w:multiLevelType w:val="hybridMultilevel"/>
    <w:tmpl w:val="FA69CB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B68D24B"/>
    <w:multiLevelType w:val="hybridMultilevel"/>
    <w:tmpl w:val="F8C0D0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BEC07BF"/>
    <w:multiLevelType w:val="hybridMultilevel"/>
    <w:tmpl w:val="BD749C02"/>
    <w:lvl w:ilvl="0" w:tplc="2C02966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CB821AF"/>
    <w:multiLevelType w:val="hybridMultilevel"/>
    <w:tmpl w:val="7E2A8086"/>
    <w:lvl w:ilvl="0" w:tplc="4A12054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D884A3C"/>
    <w:multiLevelType w:val="hybridMultilevel"/>
    <w:tmpl w:val="4F9EC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96B5DAE"/>
    <w:multiLevelType w:val="hybridMultilevel"/>
    <w:tmpl w:val="7656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7C1274"/>
    <w:multiLevelType w:val="hybridMultilevel"/>
    <w:tmpl w:val="C554C3F6"/>
    <w:lvl w:ilvl="0" w:tplc="3EA826EA">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E0DDA13"/>
    <w:multiLevelType w:val="hybridMultilevel"/>
    <w:tmpl w:val="E93E11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7274450"/>
    <w:multiLevelType w:val="multilevel"/>
    <w:tmpl w:val="47341616"/>
    <w:lvl w:ilvl="0">
      <w:start w:val="1"/>
      <w:numFmt w:val="decimal"/>
      <w:lvlText w:val="%1."/>
      <w:lvlJc w:val="left"/>
      <w:pPr>
        <w:tabs>
          <w:tab w:val="num" w:pos="1080"/>
        </w:tabs>
        <w:ind w:left="1080" w:hanging="360"/>
      </w:pPr>
      <w:rPr>
        <w:rFonts w:asciiTheme="minorHAnsi" w:eastAsiaTheme="minorHAnsi" w:hAnsiTheme="minorHAnsi" w:cs="Corbel"/>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2AFB166A"/>
    <w:multiLevelType w:val="hybridMultilevel"/>
    <w:tmpl w:val="FFEE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2F1141"/>
    <w:multiLevelType w:val="hybridMultilevel"/>
    <w:tmpl w:val="A7D2BB1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8B234B6"/>
    <w:multiLevelType w:val="hybridMultilevel"/>
    <w:tmpl w:val="C0DC32C6"/>
    <w:lvl w:ilvl="0" w:tplc="9B6A9FE0">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751A00"/>
    <w:multiLevelType w:val="hybridMultilevel"/>
    <w:tmpl w:val="D4C87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DE7710"/>
    <w:multiLevelType w:val="hybridMultilevel"/>
    <w:tmpl w:val="D5B8A8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2A038A6"/>
    <w:multiLevelType w:val="hybridMultilevel"/>
    <w:tmpl w:val="C06EF58E"/>
    <w:lvl w:ilvl="0" w:tplc="1DCC72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72D477F"/>
    <w:multiLevelType w:val="multilevel"/>
    <w:tmpl w:val="47341616"/>
    <w:lvl w:ilvl="0">
      <w:start w:val="1"/>
      <w:numFmt w:val="decimal"/>
      <w:lvlText w:val="%1."/>
      <w:lvlJc w:val="left"/>
      <w:pPr>
        <w:tabs>
          <w:tab w:val="num" w:pos="1080"/>
        </w:tabs>
        <w:ind w:left="1080" w:hanging="360"/>
      </w:pPr>
      <w:rPr>
        <w:rFonts w:asciiTheme="minorHAnsi" w:eastAsiaTheme="minorHAnsi" w:hAnsiTheme="minorHAnsi" w:cs="Corbel"/>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4772E23D"/>
    <w:multiLevelType w:val="hybridMultilevel"/>
    <w:tmpl w:val="ADB16B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A8879FA"/>
    <w:multiLevelType w:val="hybridMultilevel"/>
    <w:tmpl w:val="2F1EF890"/>
    <w:lvl w:ilvl="0" w:tplc="8D7C3CF6">
      <w:start w:val="1"/>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7429CF"/>
    <w:multiLevelType w:val="hybridMultilevel"/>
    <w:tmpl w:val="BB36F4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2FB2E08"/>
    <w:multiLevelType w:val="hybridMultilevel"/>
    <w:tmpl w:val="5230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8BB848"/>
    <w:multiLevelType w:val="hybridMultilevel"/>
    <w:tmpl w:val="EB28AC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666DAC1"/>
    <w:multiLevelType w:val="hybridMultilevel"/>
    <w:tmpl w:val="B7F3B4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89352F8"/>
    <w:multiLevelType w:val="hybridMultilevel"/>
    <w:tmpl w:val="64EC1352"/>
    <w:lvl w:ilvl="0" w:tplc="2C02966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4E4FFE"/>
    <w:multiLevelType w:val="hybridMultilevel"/>
    <w:tmpl w:val="35348284"/>
    <w:lvl w:ilvl="0" w:tplc="0186ABBC">
      <w:start w:val="1"/>
      <w:numFmt w:val="bullet"/>
      <w:lvlText w:val="•"/>
      <w:lvlJc w:val="left"/>
      <w:pPr>
        <w:ind w:left="720" w:hanging="360"/>
      </w:pPr>
      <w:rPr>
        <w:rFonts w:ascii="Times" w:hAnsi="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D11AD3"/>
    <w:multiLevelType w:val="hybridMultilevel"/>
    <w:tmpl w:val="1C044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4A66AB"/>
    <w:multiLevelType w:val="hybridMultilevel"/>
    <w:tmpl w:val="E6D2B2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D836876"/>
    <w:multiLevelType w:val="hybridMultilevel"/>
    <w:tmpl w:val="BB0E8516"/>
    <w:lvl w:ilvl="0" w:tplc="D452EE04">
      <w:start w:val="1"/>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C74F6F"/>
    <w:multiLevelType w:val="hybridMultilevel"/>
    <w:tmpl w:val="111481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3"/>
  </w:num>
  <w:num w:numId="2">
    <w:abstractNumId w:val="23"/>
  </w:num>
  <w:num w:numId="3">
    <w:abstractNumId w:val="37"/>
  </w:num>
  <w:num w:numId="4">
    <w:abstractNumId w:val="39"/>
  </w:num>
  <w:num w:numId="5">
    <w:abstractNumId w:val="13"/>
  </w:num>
  <w:num w:numId="6">
    <w:abstractNumId w:val="22"/>
  </w:num>
  <w:num w:numId="7">
    <w:abstractNumId w:val="29"/>
  </w:num>
  <w:num w:numId="8">
    <w:abstractNumId w:val="21"/>
  </w:num>
  <w:num w:numId="9">
    <w:abstractNumId w:val="7"/>
  </w:num>
  <w:num w:numId="10">
    <w:abstractNumId w:val="38"/>
  </w:num>
  <w:num w:numId="11">
    <w:abstractNumId w:val="32"/>
  </w:num>
  <w:num w:numId="12">
    <w:abstractNumId w:val="30"/>
  </w:num>
  <w:num w:numId="13">
    <w:abstractNumId w:val="8"/>
  </w:num>
  <w:num w:numId="14">
    <w:abstractNumId w:val="2"/>
  </w:num>
  <w:num w:numId="15">
    <w:abstractNumId w:val="1"/>
  </w:num>
  <w:num w:numId="16">
    <w:abstractNumId w:val="14"/>
  </w:num>
  <w:num w:numId="17">
    <w:abstractNumId w:val="0"/>
  </w:num>
  <w:num w:numId="18">
    <w:abstractNumId w:val="15"/>
  </w:num>
  <w:num w:numId="19">
    <w:abstractNumId w:val="35"/>
  </w:num>
  <w:num w:numId="20">
    <w:abstractNumId w:val="9"/>
  </w:num>
  <w:num w:numId="21">
    <w:abstractNumId w:val="4"/>
  </w:num>
  <w:num w:numId="22">
    <w:abstractNumId w:val="5"/>
  </w:num>
  <w:num w:numId="23">
    <w:abstractNumId w:val="10"/>
  </w:num>
  <w:num w:numId="24">
    <w:abstractNumId w:val="34"/>
  </w:num>
  <w:num w:numId="25">
    <w:abstractNumId w:val="36"/>
  </w:num>
  <w:num w:numId="26">
    <w:abstractNumId w:val="3"/>
  </w:num>
  <w:num w:numId="27">
    <w:abstractNumId w:val="6"/>
  </w:num>
  <w:num w:numId="28">
    <w:abstractNumId w:val="16"/>
  </w:num>
  <w:num w:numId="29">
    <w:abstractNumId w:val="18"/>
  </w:num>
  <w:num w:numId="30">
    <w:abstractNumId w:val="19"/>
  </w:num>
  <w:num w:numId="31">
    <w:abstractNumId w:val="25"/>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1"/>
  </w:num>
  <w:num w:numId="36">
    <w:abstractNumId w:val="40"/>
  </w:num>
  <w:num w:numId="37">
    <w:abstractNumId w:val="26"/>
  </w:num>
  <w:num w:numId="38">
    <w:abstractNumId w:val="20"/>
  </w:num>
  <w:num w:numId="39">
    <w:abstractNumId w:val="12"/>
  </w:num>
  <w:num w:numId="40">
    <w:abstractNumId w:val="17"/>
  </w:num>
  <w:num w:numId="41">
    <w:abstractNumId w:val="24"/>
    <w:lvlOverride w:ilvl="0">
      <w:startOverride w:val="1"/>
    </w:lvlOverride>
    <w:lvlOverride w:ilvl="1"/>
    <w:lvlOverride w:ilvl="2"/>
    <w:lvlOverride w:ilvl="3"/>
    <w:lvlOverride w:ilvl="4"/>
    <w:lvlOverride w:ilvl="5"/>
    <w:lvlOverride w:ilvl="6"/>
    <w:lvlOverride w:ilvl="7"/>
    <w:lvlOverride w:ilvl="8"/>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A69"/>
    <w:rsid w:val="000013A0"/>
    <w:rsid w:val="00003734"/>
    <w:rsid w:val="000038BB"/>
    <w:rsid w:val="00004833"/>
    <w:rsid w:val="000061F3"/>
    <w:rsid w:val="000074E4"/>
    <w:rsid w:val="00010E21"/>
    <w:rsid w:val="00011690"/>
    <w:rsid w:val="0001209D"/>
    <w:rsid w:val="000133A6"/>
    <w:rsid w:val="00013B53"/>
    <w:rsid w:val="000174EF"/>
    <w:rsid w:val="00017631"/>
    <w:rsid w:val="00017664"/>
    <w:rsid w:val="000200FC"/>
    <w:rsid w:val="00020D0B"/>
    <w:rsid w:val="00021BF7"/>
    <w:rsid w:val="000226E3"/>
    <w:rsid w:val="00023CD3"/>
    <w:rsid w:val="00026637"/>
    <w:rsid w:val="000272D1"/>
    <w:rsid w:val="0002782E"/>
    <w:rsid w:val="000308CD"/>
    <w:rsid w:val="00031501"/>
    <w:rsid w:val="00031F86"/>
    <w:rsid w:val="000320C8"/>
    <w:rsid w:val="0003438F"/>
    <w:rsid w:val="0003501B"/>
    <w:rsid w:val="00035B64"/>
    <w:rsid w:val="00040CEB"/>
    <w:rsid w:val="000414DD"/>
    <w:rsid w:val="00041F30"/>
    <w:rsid w:val="00042B3A"/>
    <w:rsid w:val="0004365E"/>
    <w:rsid w:val="00043D03"/>
    <w:rsid w:val="000442A1"/>
    <w:rsid w:val="0004540F"/>
    <w:rsid w:val="00047A6B"/>
    <w:rsid w:val="000524D4"/>
    <w:rsid w:val="000530E2"/>
    <w:rsid w:val="00056839"/>
    <w:rsid w:val="00057C40"/>
    <w:rsid w:val="00060B93"/>
    <w:rsid w:val="0006284F"/>
    <w:rsid w:val="00063B47"/>
    <w:rsid w:val="000640B9"/>
    <w:rsid w:val="00065E7E"/>
    <w:rsid w:val="00066085"/>
    <w:rsid w:val="00067565"/>
    <w:rsid w:val="00067DAE"/>
    <w:rsid w:val="00071814"/>
    <w:rsid w:val="000729DC"/>
    <w:rsid w:val="00074BF8"/>
    <w:rsid w:val="00080926"/>
    <w:rsid w:val="00080A43"/>
    <w:rsid w:val="00083876"/>
    <w:rsid w:val="00083BA3"/>
    <w:rsid w:val="00083E95"/>
    <w:rsid w:val="00084040"/>
    <w:rsid w:val="000852A2"/>
    <w:rsid w:val="00086827"/>
    <w:rsid w:val="0009047B"/>
    <w:rsid w:val="00091219"/>
    <w:rsid w:val="00092528"/>
    <w:rsid w:val="00093FA7"/>
    <w:rsid w:val="000977FF"/>
    <w:rsid w:val="00097961"/>
    <w:rsid w:val="00097D27"/>
    <w:rsid w:val="000A09B6"/>
    <w:rsid w:val="000A4142"/>
    <w:rsid w:val="000A5B99"/>
    <w:rsid w:val="000A7D83"/>
    <w:rsid w:val="000B02E9"/>
    <w:rsid w:val="000B1C7A"/>
    <w:rsid w:val="000B2058"/>
    <w:rsid w:val="000B22A3"/>
    <w:rsid w:val="000B2B0B"/>
    <w:rsid w:val="000B49AA"/>
    <w:rsid w:val="000B4F7F"/>
    <w:rsid w:val="000B5815"/>
    <w:rsid w:val="000B5EA6"/>
    <w:rsid w:val="000B5EBB"/>
    <w:rsid w:val="000C199E"/>
    <w:rsid w:val="000C2175"/>
    <w:rsid w:val="000C37F9"/>
    <w:rsid w:val="000C52BE"/>
    <w:rsid w:val="000C5829"/>
    <w:rsid w:val="000C5ECE"/>
    <w:rsid w:val="000C607C"/>
    <w:rsid w:val="000C6545"/>
    <w:rsid w:val="000C69EA"/>
    <w:rsid w:val="000C7BCA"/>
    <w:rsid w:val="000C7F48"/>
    <w:rsid w:val="000D1CDF"/>
    <w:rsid w:val="000D1E0E"/>
    <w:rsid w:val="000D2A89"/>
    <w:rsid w:val="000D382F"/>
    <w:rsid w:val="000D3C4F"/>
    <w:rsid w:val="000D4249"/>
    <w:rsid w:val="000D4B04"/>
    <w:rsid w:val="000D544B"/>
    <w:rsid w:val="000D5DED"/>
    <w:rsid w:val="000D6075"/>
    <w:rsid w:val="000D6965"/>
    <w:rsid w:val="000D772B"/>
    <w:rsid w:val="000E1D2F"/>
    <w:rsid w:val="000E272A"/>
    <w:rsid w:val="000E56D7"/>
    <w:rsid w:val="000E61A2"/>
    <w:rsid w:val="000E6639"/>
    <w:rsid w:val="000E74F4"/>
    <w:rsid w:val="000F1D0E"/>
    <w:rsid w:val="000F2A2D"/>
    <w:rsid w:val="000F2C0E"/>
    <w:rsid w:val="000F2DAE"/>
    <w:rsid w:val="000F347F"/>
    <w:rsid w:val="000F3856"/>
    <w:rsid w:val="000F3B63"/>
    <w:rsid w:val="000F47CA"/>
    <w:rsid w:val="000F497B"/>
    <w:rsid w:val="000F4AF2"/>
    <w:rsid w:val="000F4E8E"/>
    <w:rsid w:val="000F7212"/>
    <w:rsid w:val="000F734E"/>
    <w:rsid w:val="001013E8"/>
    <w:rsid w:val="00101846"/>
    <w:rsid w:val="001046FA"/>
    <w:rsid w:val="00105219"/>
    <w:rsid w:val="001067C4"/>
    <w:rsid w:val="00110018"/>
    <w:rsid w:val="001108F7"/>
    <w:rsid w:val="00111970"/>
    <w:rsid w:val="0011693D"/>
    <w:rsid w:val="001171DD"/>
    <w:rsid w:val="00117736"/>
    <w:rsid w:val="001219D3"/>
    <w:rsid w:val="00124149"/>
    <w:rsid w:val="00124583"/>
    <w:rsid w:val="001245B0"/>
    <w:rsid w:val="00125521"/>
    <w:rsid w:val="00126AD3"/>
    <w:rsid w:val="001304B5"/>
    <w:rsid w:val="00132320"/>
    <w:rsid w:val="00135135"/>
    <w:rsid w:val="001358DC"/>
    <w:rsid w:val="001366C0"/>
    <w:rsid w:val="00136B36"/>
    <w:rsid w:val="00137F3D"/>
    <w:rsid w:val="00140B83"/>
    <w:rsid w:val="00141DCD"/>
    <w:rsid w:val="001450CC"/>
    <w:rsid w:val="00145CC5"/>
    <w:rsid w:val="00145FF9"/>
    <w:rsid w:val="00146542"/>
    <w:rsid w:val="00147685"/>
    <w:rsid w:val="00150501"/>
    <w:rsid w:val="0015051C"/>
    <w:rsid w:val="00150936"/>
    <w:rsid w:val="00151244"/>
    <w:rsid w:val="00154124"/>
    <w:rsid w:val="001552F0"/>
    <w:rsid w:val="0015538F"/>
    <w:rsid w:val="00162714"/>
    <w:rsid w:val="00162E62"/>
    <w:rsid w:val="00164765"/>
    <w:rsid w:val="00166C7F"/>
    <w:rsid w:val="0016728C"/>
    <w:rsid w:val="00167759"/>
    <w:rsid w:val="001734F8"/>
    <w:rsid w:val="0017413C"/>
    <w:rsid w:val="00174ABB"/>
    <w:rsid w:val="0017681B"/>
    <w:rsid w:val="00176CD4"/>
    <w:rsid w:val="00177197"/>
    <w:rsid w:val="0017731A"/>
    <w:rsid w:val="00177A40"/>
    <w:rsid w:val="00177D4F"/>
    <w:rsid w:val="0018002F"/>
    <w:rsid w:val="001802C5"/>
    <w:rsid w:val="00180E4F"/>
    <w:rsid w:val="00185251"/>
    <w:rsid w:val="00185B5B"/>
    <w:rsid w:val="00185E41"/>
    <w:rsid w:val="00186190"/>
    <w:rsid w:val="00186A62"/>
    <w:rsid w:val="0018764F"/>
    <w:rsid w:val="00190B0A"/>
    <w:rsid w:val="00191033"/>
    <w:rsid w:val="00194609"/>
    <w:rsid w:val="00194827"/>
    <w:rsid w:val="00194D2F"/>
    <w:rsid w:val="0019569C"/>
    <w:rsid w:val="00195C85"/>
    <w:rsid w:val="001963EA"/>
    <w:rsid w:val="001964DC"/>
    <w:rsid w:val="001A2BA5"/>
    <w:rsid w:val="001A3780"/>
    <w:rsid w:val="001A3C2D"/>
    <w:rsid w:val="001A528A"/>
    <w:rsid w:val="001B055F"/>
    <w:rsid w:val="001B091B"/>
    <w:rsid w:val="001B0B05"/>
    <w:rsid w:val="001B6BF4"/>
    <w:rsid w:val="001B7A97"/>
    <w:rsid w:val="001C1079"/>
    <w:rsid w:val="001C111E"/>
    <w:rsid w:val="001C1A7C"/>
    <w:rsid w:val="001C2094"/>
    <w:rsid w:val="001C491B"/>
    <w:rsid w:val="001C4C48"/>
    <w:rsid w:val="001C5284"/>
    <w:rsid w:val="001C54D0"/>
    <w:rsid w:val="001C71FE"/>
    <w:rsid w:val="001C7456"/>
    <w:rsid w:val="001D075D"/>
    <w:rsid w:val="001D1250"/>
    <w:rsid w:val="001D2292"/>
    <w:rsid w:val="001D3D85"/>
    <w:rsid w:val="001D4CD1"/>
    <w:rsid w:val="001D55EB"/>
    <w:rsid w:val="001D5CD0"/>
    <w:rsid w:val="001D5DA3"/>
    <w:rsid w:val="001D6E8B"/>
    <w:rsid w:val="001E288E"/>
    <w:rsid w:val="001E4E8B"/>
    <w:rsid w:val="001E5F75"/>
    <w:rsid w:val="001E61FF"/>
    <w:rsid w:val="001F16BE"/>
    <w:rsid w:val="001F3276"/>
    <w:rsid w:val="001F3ED1"/>
    <w:rsid w:val="001F3EEC"/>
    <w:rsid w:val="001F5401"/>
    <w:rsid w:val="001F7CC4"/>
    <w:rsid w:val="002014D7"/>
    <w:rsid w:val="00204075"/>
    <w:rsid w:val="00204372"/>
    <w:rsid w:val="00205900"/>
    <w:rsid w:val="002076CA"/>
    <w:rsid w:val="00211561"/>
    <w:rsid w:val="00214AFD"/>
    <w:rsid w:val="00215744"/>
    <w:rsid w:val="002162DE"/>
    <w:rsid w:val="00217595"/>
    <w:rsid w:val="00220842"/>
    <w:rsid w:val="00223965"/>
    <w:rsid w:val="0022400A"/>
    <w:rsid w:val="0022408E"/>
    <w:rsid w:val="00224671"/>
    <w:rsid w:val="00225944"/>
    <w:rsid w:val="00225DC6"/>
    <w:rsid w:val="00226408"/>
    <w:rsid w:val="00230FDB"/>
    <w:rsid w:val="0023186E"/>
    <w:rsid w:val="00231D85"/>
    <w:rsid w:val="002331C1"/>
    <w:rsid w:val="002340F7"/>
    <w:rsid w:val="00234161"/>
    <w:rsid w:val="002366C1"/>
    <w:rsid w:val="00240986"/>
    <w:rsid w:val="00241A01"/>
    <w:rsid w:val="00241A6D"/>
    <w:rsid w:val="00243AFE"/>
    <w:rsid w:val="002451B0"/>
    <w:rsid w:val="002463F9"/>
    <w:rsid w:val="00250EB0"/>
    <w:rsid w:val="002529A2"/>
    <w:rsid w:val="00253213"/>
    <w:rsid w:val="002539BA"/>
    <w:rsid w:val="00254230"/>
    <w:rsid w:val="00254825"/>
    <w:rsid w:val="002554B1"/>
    <w:rsid w:val="002566B9"/>
    <w:rsid w:val="002567FD"/>
    <w:rsid w:val="002569D9"/>
    <w:rsid w:val="0025751F"/>
    <w:rsid w:val="002613AF"/>
    <w:rsid w:val="0026151F"/>
    <w:rsid w:val="002625E7"/>
    <w:rsid w:val="002663D1"/>
    <w:rsid w:val="002665EA"/>
    <w:rsid w:val="002670DB"/>
    <w:rsid w:val="00267188"/>
    <w:rsid w:val="002701EA"/>
    <w:rsid w:val="002717CB"/>
    <w:rsid w:val="002733E1"/>
    <w:rsid w:val="00273661"/>
    <w:rsid w:val="00276390"/>
    <w:rsid w:val="002769CB"/>
    <w:rsid w:val="0028155B"/>
    <w:rsid w:val="00281655"/>
    <w:rsid w:val="00281C66"/>
    <w:rsid w:val="00281D24"/>
    <w:rsid w:val="002823D1"/>
    <w:rsid w:val="0028360E"/>
    <w:rsid w:val="00283A5C"/>
    <w:rsid w:val="002842B9"/>
    <w:rsid w:val="00284999"/>
    <w:rsid w:val="002852ED"/>
    <w:rsid w:val="002861D4"/>
    <w:rsid w:val="002864CD"/>
    <w:rsid w:val="0028690E"/>
    <w:rsid w:val="0028714F"/>
    <w:rsid w:val="00290179"/>
    <w:rsid w:val="0029239B"/>
    <w:rsid w:val="002934D8"/>
    <w:rsid w:val="002943BD"/>
    <w:rsid w:val="00294661"/>
    <w:rsid w:val="00295609"/>
    <w:rsid w:val="00297E2C"/>
    <w:rsid w:val="002A0E7D"/>
    <w:rsid w:val="002A1001"/>
    <w:rsid w:val="002A4707"/>
    <w:rsid w:val="002A4B64"/>
    <w:rsid w:val="002A4EA3"/>
    <w:rsid w:val="002A5023"/>
    <w:rsid w:val="002A5DDB"/>
    <w:rsid w:val="002A63ED"/>
    <w:rsid w:val="002B102C"/>
    <w:rsid w:val="002B27A9"/>
    <w:rsid w:val="002B3C47"/>
    <w:rsid w:val="002B625D"/>
    <w:rsid w:val="002B70BE"/>
    <w:rsid w:val="002B7DC8"/>
    <w:rsid w:val="002C0976"/>
    <w:rsid w:val="002C16B8"/>
    <w:rsid w:val="002C175A"/>
    <w:rsid w:val="002C20DD"/>
    <w:rsid w:val="002C3049"/>
    <w:rsid w:val="002C305C"/>
    <w:rsid w:val="002C3B0D"/>
    <w:rsid w:val="002C4835"/>
    <w:rsid w:val="002C5289"/>
    <w:rsid w:val="002C5C51"/>
    <w:rsid w:val="002D0280"/>
    <w:rsid w:val="002D43C3"/>
    <w:rsid w:val="002D4BC9"/>
    <w:rsid w:val="002D5686"/>
    <w:rsid w:val="002D661E"/>
    <w:rsid w:val="002D743A"/>
    <w:rsid w:val="002D74AF"/>
    <w:rsid w:val="002D7F77"/>
    <w:rsid w:val="002E05D1"/>
    <w:rsid w:val="002E0D01"/>
    <w:rsid w:val="002E20D2"/>
    <w:rsid w:val="002E3835"/>
    <w:rsid w:val="002E43EF"/>
    <w:rsid w:val="002E5201"/>
    <w:rsid w:val="002E5D8E"/>
    <w:rsid w:val="002E6488"/>
    <w:rsid w:val="002E6560"/>
    <w:rsid w:val="002E69A6"/>
    <w:rsid w:val="002E6FF3"/>
    <w:rsid w:val="002E7207"/>
    <w:rsid w:val="002E7450"/>
    <w:rsid w:val="002F0191"/>
    <w:rsid w:val="002F0D44"/>
    <w:rsid w:val="002F1250"/>
    <w:rsid w:val="002F12A7"/>
    <w:rsid w:val="002F2F64"/>
    <w:rsid w:val="002F5CFE"/>
    <w:rsid w:val="002F67E3"/>
    <w:rsid w:val="002F718F"/>
    <w:rsid w:val="003027EC"/>
    <w:rsid w:val="00303412"/>
    <w:rsid w:val="00303526"/>
    <w:rsid w:val="003041DB"/>
    <w:rsid w:val="00304881"/>
    <w:rsid w:val="00305A14"/>
    <w:rsid w:val="00310637"/>
    <w:rsid w:val="00310983"/>
    <w:rsid w:val="0031352D"/>
    <w:rsid w:val="00313970"/>
    <w:rsid w:val="00313B62"/>
    <w:rsid w:val="00313ECC"/>
    <w:rsid w:val="00313FBA"/>
    <w:rsid w:val="0031604E"/>
    <w:rsid w:val="00316138"/>
    <w:rsid w:val="00316EEB"/>
    <w:rsid w:val="003207E8"/>
    <w:rsid w:val="00320985"/>
    <w:rsid w:val="00322053"/>
    <w:rsid w:val="00322792"/>
    <w:rsid w:val="00324F87"/>
    <w:rsid w:val="00326E42"/>
    <w:rsid w:val="00327F4D"/>
    <w:rsid w:val="00330EBE"/>
    <w:rsid w:val="00330F4F"/>
    <w:rsid w:val="00331D76"/>
    <w:rsid w:val="00334DBB"/>
    <w:rsid w:val="003359BA"/>
    <w:rsid w:val="00336056"/>
    <w:rsid w:val="0033741B"/>
    <w:rsid w:val="003375D3"/>
    <w:rsid w:val="00340490"/>
    <w:rsid w:val="00340775"/>
    <w:rsid w:val="0034093D"/>
    <w:rsid w:val="00341075"/>
    <w:rsid w:val="00341A01"/>
    <w:rsid w:val="00342AC1"/>
    <w:rsid w:val="00344A8F"/>
    <w:rsid w:val="00345C3E"/>
    <w:rsid w:val="00347599"/>
    <w:rsid w:val="00350317"/>
    <w:rsid w:val="0035178B"/>
    <w:rsid w:val="0035227E"/>
    <w:rsid w:val="003525DC"/>
    <w:rsid w:val="00352A90"/>
    <w:rsid w:val="00357C95"/>
    <w:rsid w:val="00362806"/>
    <w:rsid w:val="003632A5"/>
    <w:rsid w:val="00363597"/>
    <w:rsid w:val="00363F20"/>
    <w:rsid w:val="00363F3F"/>
    <w:rsid w:val="003647B5"/>
    <w:rsid w:val="00365B03"/>
    <w:rsid w:val="00365EDA"/>
    <w:rsid w:val="0036618A"/>
    <w:rsid w:val="00367B5D"/>
    <w:rsid w:val="00370841"/>
    <w:rsid w:val="00372323"/>
    <w:rsid w:val="003728E2"/>
    <w:rsid w:val="00373687"/>
    <w:rsid w:val="0037481F"/>
    <w:rsid w:val="0037499C"/>
    <w:rsid w:val="003769F2"/>
    <w:rsid w:val="00376ECF"/>
    <w:rsid w:val="003800A4"/>
    <w:rsid w:val="00380529"/>
    <w:rsid w:val="00380774"/>
    <w:rsid w:val="00381ED2"/>
    <w:rsid w:val="0038334C"/>
    <w:rsid w:val="00383898"/>
    <w:rsid w:val="00383C45"/>
    <w:rsid w:val="00386354"/>
    <w:rsid w:val="00386DBF"/>
    <w:rsid w:val="00390914"/>
    <w:rsid w:val="00390A4F"/>
    <w:rsid w:val="00393D13"/>
    <w:rsid w:val="0039496C"/>
    <w:rsid w:val="0039645A"/>
    <w:rsid w:val="0039790C"/>
    <w:rsid w:val="003979A2"/>
    <w:rsid w:val="003A075B"/>
    <w:rsid w:val="003A2798"/>
    <w:rsid w:val="003A39A6"/>
    <w:rsid w:val="003A3C25"/>
    <w:rsid w:val="003A3F1E"/>
    <w:rsid w:val="003A669B"/>
    <w:rsid w:val="003A6C2B"/>
    <w:rsid w:val="003A6F0C"/>
    <w:rsid w:val="003A7FB9"/>
    <w:rsid w:val="003B1023"/>
    <w:rsid w:val="003B18FA"/>
    <w:rsid w:val="003B1CFA"/>
    <w:rsid w:val="003B2E8B"/>
    <w:rsid w:val="003B2FD0"/>
    <w:rsid w:val="003B3774"/>
    <w:rsid w:val="003B69B1"/>
    <w:rsid w:val="003B7D91"/>
    <w:rsid w:val="003C05A7"/>
    <w:rsid w:val="003C17F9"/>
    <w:rsid w:val="003C232C"/>
    <w:rsid w:val="003C288D"/>
    <w:rsid w:val="003C4826"/>
    <w:rsid w:val="003C4D92"/>
    <w:rsid w:val="003C6908"/>
    <w:rsid w:val="003C6BAE"/>
    <w:rsid w:val="003D0A4E"/>
    <w:rsid w:val="003D2DE7"/>
    <w:rsid w:val="003D6127"/>
    <w:rsid w:val="003D6541"/>
    <w:rsid w:val="003D65CE"/>
    <w:rsid w:val="003D6EE7"/>
    <w:rsid w:val="003D7F3E"/>
    <w:rsid w:val="003E06C4"/>
    <w:rsid w:val="003E14BA"/>
    <w:rsid w:val="003E15D8"/>
    <w:rsid w:val="003E2B7C"/>
    <w:rsid w:val="003E2BAA"/>
    <w:rsid w:val="003E2E19"/>
    <w:rsid w:val="003E2F89"/>
    <w:rsid w:val="003E3C32"/>
    <w:rsid w:val="003E47C1"/>
    <w:rsid w:val="003E5109"/>
    <w:rsid w:val="003E5C32"/>
    <w:rsid w:val="003E5E6C"/>
    <w:rsid w:val="003E5F74"/>
    <w:rsid w:val="003E6838"/>
    <w:rsid w:val="003E75D8"/>
    <w:rsid w:val="003F0841"/>
    <w:rsid w:val="003F156E"/>
    <w:rsid w:val="003F3266"/>
    <w:rsid w:val="003F3935"/>
    <w:rsid w:val="003F404D"/>
    <w:rsid w:val="003F4BC1"/>
    <w:rsid w:val="003F520F"/>
    <w:rsid w:val="003F5A92"/>
    <w:rsid w:val="003F62A2"/>
    <w:rsid w:val="003F6EA4"/>
    <w:rsid w:val="003F7760"/>
    <w:rsid w:val="003F7800"/>
    <w:rsid w:val="004003DE"/>
    <w:rsid w:val="00400D06"/>
    <w:rsid w:val="0040128F"/>
    <w:rsid w:val="00401B1C"/>
    <w:rsid w:val="0040370C"/>
    <w:rsid w:val="00403B5F"/>
    <w:rsid w:val="004041CE"/>
    <w:rsid w:val="00405744"/>
    <w:rsid w:val="00405DFA"/>
    <w:rsid w:val="0040709A"/>
    <w:rsid w:val="00410AB8"/>
    <w:rsid w:val="00412896"/>
    <w:rsid w:val="0041326B"/>
    <w:rsid w:val="00413938"/>
    <w:rsid w:val="00413996"/>
    <w:rsid w:val="004157C1"/>
    <w:rsid w:val="004168D3"/>
    <w:rsid w:val="00416C74"/>
    <w:rsid w:val="00421A87"/>
    <w:rsid w:val="00421CF5"/>
    <w:rsid w:val="00425554"/>
    <w:rsid w:val="004256AE"/>
    <w:rsid w:val="00425F2D"/>
    <w:rsid w:val="0042738B"/>
    <w:rsid w:val="00427484"/>
    <w:rsid w:val="00427D06"/>
    <w:rsid w:val="00432872"/>
    <w:rsid w:val="0043354A"/>
    <w:rsid w:val="004348EB"/>
    <w:rsid w:val="00434AB5"/>
    <w:rsid w:val="00434C8A"/>
    <w:rsid w:val="00434D0C"/>
    <w:rsid w:val="00435284"/>
    <w:rsid w:val="004358B8"/>
    <w:rsid w:val="004404A2"/>
    <w:rsid w:val="00441439"/>
    <w:rsid w:val="004418A9"/>
    <w:rsid w:val="0044221E"/>
    <w:rsid w:val="004429CD"/>
    <w:rsid w:val="00443CF5"/>
    <w:rsid w:val="004479A8"/>
    <w:rsid w:val="00455E8A"/>
    <w:rsid w:val="004572DB"/>
    <w:rsid w:val="004601AF"/>
    <w:rsid w:val="00460254"/>
    <w:rsid w:val="0046158D"/>
    <w:rsid w:val="004621C8"/>
    <w:rsid w:val="00465152"/>
    <w:rsid w:val="00466812"/>
    <w:rsid w:val="004670A3"/>
    <w:rsid w:val="0046755E"/>
    <w:rsid w:val="0046756D"/>
    <w:rsid w:val="00467B3C"/>
    <w:rsid w:val="00470FC7"/>
    <w:rsid w:val="00471597"/>
    <w:rsid w:val="00471D39"/>
    <w:rsid w:val="00472359"/>
    <w:rsid w:val="00473225"/>
    <w:rsid w:val="00474F1D"/>
    <w:rsid w:val="004759DC"/>
    <w:rsid w:val="00475F4A"/>
    <w:rsid w:val="0047661D"/>
    <w:rsid w:val="004767E8"/>
    <w:rsid w:val="00476978"/>
    <w:rsid w:val="00476B79"/>
    <w:rsid w:val="0047755F"/>
    <w:rsid w:val="00477C50"/>
    <w:rsid w:val="00480CFC"/>
    <w:rsid w:val="00481BEA"/>
    <w:rsid w:val="0048233D"/>
    <w:rsid w:val="004845A0"/>
    <w:rsid w:val="00484F66"/>
    <w:rsid w:val="00484FCC"/>
    <w:rsid w:val="00487204"/>
    <w:rsid w:val="00490E7B"/>
    <w:rsid w:val="00493830"/>
    <w:rsid w:val="00493BA0"/>
    <w:rsid w:val="00496A95"/>
    <w:rsid w:val="00496C9D"/>
    <w:rsid w:val="00497091"/>
    <w:rsid w:val="004975C1"/>
    <w:rsid w:val="00497E62"/>
    <w:rsid w:val="004A292B"/>
    <w:rsid w:val="004A35B2"/>
    <w:rsid w:val="004A63A8"/>
    <w:rsid w:val="004A7955"/>
    <w:rsid w:val="004B0AF7"/>
    <w:rsid w:val="004B0F60"/>
    <w:rsid w:val="004B2FBA"/>
    <w:rsid w:val="004B3B12"/>
    <w:rsid w:val="004B64FC"/>
    <w:rsid w:val="004C0033"/>
    <w:rsid w:val="004C0034"/>
    <w:rsid w:val="004C00D5"/>
    <w:rsid w:val="004C0576"/>
    <w:rsid w:val="004C10D5"/>
    <w:rsid w:val="004C1559"/>
    <w:rsid w:val="004C17A0"/>
    <w:rsid w:val="004C1B9D"/>
    <w:rsid w:val="004C4016"/>
    <w:rsid w:val="004C473D"/>
    <w:rsid w:val="004C4A6E"/>
    <w:rsid w:val="004C5D02"/>
    <w:rsid w:val="004C6037"/>
    <w:rsid w:val="004D1C5E"/>
    <w:rsid w:val="004D1CC5"/>
    <w:rsid w:val="004D32E3"/>
    <w:rsid w:val="004D3812"/>
    <w:rsid w:val="004D3D3C"/>
    <w:rsid w:val="004D4564"/>
    <w:rsid w:val="004D4E21"/>
    <w:rsid w:val="004D602D"/>
    <w:rsid w:val="004D64DE"/>
    <w:rsid w:val="004E106D"/>
    <w:rsid w:val="004E25E3"/>
    <w:rsid w:val="004E4A54"/>
    <w:rsid w:val="004E4BF4"/>
    <w:rsid w:val="004E4D76"/>
    <w:rsid w:val="004E5245"/>
    <w:rsid w:val="004E57FB"/>
    <w:rsid w:val="004E6A7C"/>
    <w:rsid w:val="004E71E3"/>
    <w:rsid w:val="004E7EA8"/>
    <w:rsid w:val="004F2846"/>
    <w:rsid w:val="004F2A6A"/>
    <w:rsid w:val="004F3D06"/>
    <w:rsid w:val="004F5E2F"/>
    <w:rsid w:val="004F5F1E"/>
    <w:rsid w:val="00501686"/>
    <w:rsid w:val="00501DE7"/>
    <w:rsid w:val="00502A2B"/>
    <w:rsid w:val="005048ED"/>
    <w:rsid w:val="00505D95"/>
    <w:rsid w:val="00506706"/>
    <w:rsid w:val="00510702"/>
    <w:rsid w:val="00513715"/>
    <w:rsid w:val="00513744"/>
    <w:rsid w:val="005155F6"/>
    <w:rsid w:val="00515EB4"/>
    <w:rsid w:val="005202D0"/>
    <w:rsid w:val="005211B6"/>
    <w:rsid w:val="0052180D"/>
    <w:rsid w:val="00521FB7"/>
    <w:rsid w:val="005227A3"/>
    <w:rsid w:val="0052401C"/>
    <w:rsid w:val="00525882"/>
    <w:rsid w:val="00525988"/>
    <w:rsid w:val="005259AF"/>
    <w:rsid w:val="00526243"/>
    <w:rsid w:val="005266A1"/>
    <w:rsid w:val="0053006A"/>
    <w:rsid w:val="005319F4"/>
    <w:rsid w:val="00531A8E"/>
    <w:rsid w:val="00532674"/>
    <w:rsid w:val="00534022"/>
    <w:rsid w:val="005377F6"/>
    <w:rsid w:val="00537D03"/>
    <w:rsid w:val="00543128"/>
    <w:rsid w:val="00545074"/>
    <w:rsid w:val="00545809"/>
    <w:rsid w:val="00545E34"/>
    <w:rsid w:val="00545F4E"/>
    <w:rsid w:val="00546B59"/>
    <w:rsid w:val="00547A2C"/>
    <w:rsid w:val="005506CF"/>
    <w:rsid w:val="00551693"/>
    <w:rsid w:val="00553559"/>
    <w:rsid w:val="005543AA"/>
    <w:rsid w:val="005555B9"/>
    <w:rsid w:val="00555C64"/>
    <w:rsid w:val="00555C79"/>
    <w:rsid w:val="00557F55"/>
    <w:rsid w:val="005601DD"/>
    <w:rsid w:val="00561E27"/>
    <w:rsid w:val="00562C36"/>
    <w:rsid w:val="005645B1"/>
    <w:rsid w:val="005653B1"/>
    <w:rsid w:val="005659AE"/>
    <w:rsid w:val="00567692"/>
    <w:rsid w:val="00567FA3"/>
    <w:rsid w:val="0057189B"/>
    <w:rsid w:val="00572548"/>
    <w:rsid w:val="00572FB3"/>
    <w:rsid w:val="00573478"/>
    <w:rsid w:val="00573A29"/>
    <w:rsid w:val="00574B9D"/>
    <w:rsid w:val="005752B9"/>
    <w:rsid w:val="00575F18"/>
    <w:rsid w:val="0057721A"/>
    <w:rsid w:val="00580078"/>
    <w:rsid w:val="005809E1"/>
    <w:rsid w:val="00580C35"/>
    <w:rsid w:val="00581698"/>
    <w:rsid w:val="005828E8"/>
    <w:rsid w:val="00582EB9"/>
    <w:rsid w:val="00583444"/>
    <w:rsid w:val="0058393B"/>
    <w:rsid w:val="005844C2"/>
    <w:rsid w:val="00586C7D"/>
    <w:rsid w:val="0059342D"/>
    <w:rsid w:val="00593A8A"/>
    <w:rsid w:val="005961EC"/>
    <w:rsid w:val="0059630D"/>
    <w:rsid w:val="005A26FE"/>
    <w:rsid w:val="005A4A5B"/>
    <w:rsid w:val="005A5EAB"/>
    <w:rsid w:val="005A669F"/>
    <w:rsid w:val="005A66A7"/>
    <w:rsid w:val="005A6BA9"/>
    <w:rsid w:val="005B20E1"/>
    <w:rsid w:val="005B2367"/>
    <w:rsid w:val="005B246E"/>
    <w:rsid w:val="005B417D"/>
    <w:rsid w:val="005B5CA6"/>
    <w:rsid w:val="005B63B9"/>
    <w:rsid w:val="005B6E6C"/>
    <w:rsid w:val="005B75E7"/>
    <w:rsid w:val="005C042F"/>
    <w:rsid w:val="005C0A40"/>
    <w:rsid w:val="005C2C43"/>
    <w:rsid w:val="005C2E97"/>
    <w:rsid w:val="005C34F2"/>
    <w:rsid w:val="005C5E71"/>
    <w:rsid w:val="005C79F5"/>
    <w:rsid w:val="005D1EAA"/>
    <w:rsid w:val="005D61AB"/>
    <w:rsid w:val="005E01B8"/>
    <w:rsid w:val="005E0D7A"/>
    <w:rsid w:val="005E3C44"/>
    <w:rsid w:val="005E49C7"/>
    <w:rsid w:val="005E5DCD"/>
    <w:rsid w:val="005E60C9"/>
    <w:rsid w:val="005E6633"/>
    <w:rsid w:val="005F298C"/>
    <w:rsid w:val="005F31A4"/>
    <w:rsid w:val="005F5E4C"/>
    <w:rsid w:val="005F7123"/>
    <w:rsid w:val="005F76E4"/>
    <w:rsid w:val="00600642"/>
    <w:rsid w:val="006030FE"/>
    <w:rsid w:val="00605674"/>
    <w:rsid w:val="00605855"/>
    <w:rsid w:val="00605903"/>
    <w:rsid w:val="00605FDE"/>
    <w:rsid w:val="00611D11"/>
    <w:rsid w:val="00611E23"/>
    <w:rsid w:val="00612398"/>
    <w:rsid w:val="006132B9"/>
    <w:rsid w:val="00616508"/>
    <w:rsid w:val="00623247"/>
    <w:rsid w:val="00623511"/>
    <w:rsid w:val="00623C06"/>
    <w:rsid w:val="00623F76"/>
    <w:rsid w:val="00624876"/>
    <w:rsid w:val="0062501F"/>
    <w:rsid w:val="00627083"/>
    <w:rsid w:val="0062727C"/>
    <w:rsid w:val="006279AF"/>
    <w:rsid w:val="0063035B"/>
    <w:rsid w:val="006306E1"/>
    <w:rsid w:val="00631985"/>
    <w:rsid w:val="006321D8"/>
    <w:rsid w:val="00633FAA"/>
    <w:rsid w:val="00635C47"/>
    <w:rsid w:val="006360CC"/>
    <w:rsid w:val="006378BD"/>
    <w:rsid w:val="0064296B"/>
    <w:rsid w:val="00644FA9"/>
    <w:rsid w:val="00646CA2"/>
    <w:rsid w:val="00647495"/>
    <w:rsid w:val="00647825"/>
    <w:rsid w:val="00647C6E"/>
    <w:rsid w:val="00647E0F"/>
    <w:rsid w:val="0065014E"/>
    <w:rsid w:val="00650F63"/>
    <w:rsid w:val="00652F17"/>
    <w:rsid w:val="00654BD1"/>
    <w:rsid w:val="00655356"/>
    <w:rsid w:val="0066096C"/>
    <w:rsid w:val="006622CD"/>
    <w:rsid w:val="00662874"/>
    <w:rsid w:val="006629F3"/>
    <w:rsid w:val="00662FCF"/>
    <w:rsid w:val="00663443"/>
    <w:rsid w:val="00663D15"/>
    <w:rsid w:val="006650F8"/>
    <w:rsid w:val="00665504"/>
    <w:rsid w:val="006657E5"/>
    <w:rsid w:val="006658AB"/>
    <w:rsid w:val="006672DB"/>
    <w:rsid w:val="00667E37"/>
    <w:rsid w:val="00667FCF"/>
    <w:rsid w:val="00670FB4"/>
    <w:rsid w:val="00671807"/>
    <w:rsid w:val="00672735"/>
    <w:rsid w:val="00672AEC"/>
    <w:rsid w:val="006740BA"/>
    <w:rsid w:val="00674B81"/>
    <w:rsid w:val="00677C0C"/>
    <w:rsid w:val="006803D9"/>
    <w:rsid w:val="00681864"/>
    <w:rsid w:val="00681B1E"/>
    <w:rsid w:val="00681EDC"/>
    <w:rsid w:val="00684685"/>
    <w:rsid w:val="00684A9C"/>
    <w:rsid w:val="00684C5C"/>
    <w:rsid w:val="00684CFB"/>
    <w:rsid w:val="006852C6"/>
    <w:rsid w:val="00686758"/>
    <w:rsid w:val="00687AA3"/>
    <w:rsid w:val="00691AB3"/>
    <w:rsid w:val="00691F8C"/>
    <w:rsid w:val="006934A4"/>
    <w:rsid w:val="006934B5"/>
    <w:rsid w:val="00693BBE"/>
    <w:rsid w:val="00694E6E"/>
    <w:rsid w:val="00696B83"/>
    <w:rsid w:val="00696D6B"/>
    <w:rsid w:val="006A0ECE"/>
    <w:rsid w:val="006A1560"/>
    <w:rsid w:val="006A1A93"/>
    <w:rsid w:val="006A50D6"/>
    <w:rsid w:val="006A55D4"/>
    <w:rsid w:val="006A573E"/>
    <w:rsid w:val="006B0A50"/>
    <w:rsid w:val="006B463D"/>
    <w:rsid w:val="006B4832"/>
    <w:rsid w:val="006B53E4"/>
    <w:rsid w:val="006B5D00"/>
    <w:rsid w:val="006B62CF"/>
    <w:rsid w:val="006C21BA"/>
    <w:rsid w:val="006C366C"/>
    <w:rsid w:val="006C5A8D"/>
    <w:rsid w:val="006C7FB5"/>
    <w:rsid w:val="006D0E49"/>
    <w:rsid w:val="006D19E0"/>
    <w:rsid w:val="006D1C7D"/>
    <w:rsid w:val="006D4551"/>
    <w:rsid w:val="006D494C"/>
    <w:rsid w:val="006D6622"/>
    <w:rsid w:val="006E074D"/>
    <w:rsid w:val="006E092D"/>
    <w:rsid w:val="006E0F68"/>
    <w:rsid w:val="006E1415"/>
    <w:rsid w:val="006E2CAC"/>
    <w:rsid w:val="006E2CDB"/>
    <w:rsid w:val="006E58BC"/>
    <w:rsid w:val="006E6783"/>
    <w:rsid w:val="006E7011"/>
    <w:rsid w:val="006E76C3"/>
    <w:rsid w:val="006F0C9E"/>
    <w:rsid w:val="006F1781"/>
    <w:rsid w:val="006F19B1"/>
    <w:rsid w:val="006F1EFD"/>
    <w:rsid w:val="006F289A"/>
    <w:rsid w:val="006F60B4"/>
    <w:rsid w:val="006F630E"/>
    <w:rsid w:val="006F6841"/>
    <w:rsid w:val="006F7D3B"/>
    <w:rsid w:val="007009E5"/>
    <w:rsid w:val="00700C2B"/>
    <w:rsid w:val="00700D21"/>
    <w:rsid w:val="00701320"/>
    <w:rsid w:val="00702CCC"/>
    <w:rsid w:val="00704141"/>
    <w:rsid w:val="007065D7"/>
    <w:rsid w:val="00707E92"/>
    <w:rsid w:val="0071236A"/>
    <w:rsid w:val="00712BD2"/>
    <w:rsid w:val="00713A46"/>
    <w:rsid w:val="00714105"/>
    <w:rsid w:val="00714572"/>
    <w:rsid w:val="00714653"/>
    <w:rsid w:val="007148B2"/>
    <w:rsid w:val="00715231"/>
    <w:rsid w:val="00715E69"/>
    <w:rsid w:val="00715ED6"/>
    <w:rsid w:val="00717DA8"/>
    <w:rsid w:val="0072163F"/>
    <w:rsid w:val="007236DA"/>
    <w:rsid w:val="00723B9D"/>
    <w:rsid w:val="007245C1"/>
    <w:rsid w:val="00724880"/>
    <w:rsid w:val="00726210"/>
    <w:rsid w:val="00726F68"/>
    <w:rsid w:val="00731349"/>
    <w:rsid w:val="007341CE"/>
    <w:rsid w:val="007349F4"/>
    <w:rsid w:val="00735C5C"/>
    <w:rsid w:val="00737932"/>
    <w:rsid w:val="00740625"/>
    <w:rsid w:val="00740CCA"/>
    <w:rsid w:val="007422A8"/>
    <w:rsid w:val="00743D78"/>
    <w:rsid w:val="00744BEE"/>
    <w:rsid w:val="00751584"/>
    <w:rsid w:val="0075312D"/>
    <w:rsid w:val="00753823"/>
    <w:rsid w:val="00753A74"/>
    <w:rsid w:val="007546CE"/>
    <w:rsid w:val="00756531"/>
    <w:rsid w:val="00756B7D"/>
    <w:rsid w:val="0075717C"/>
    <w:rsid w:val="00760903"/>
    <w:rsid w:val="007611CA"/>
    <w:rsid w:val="007636C8"/>
    <w:rsid w:val="00763E44"/>
    <w:rsid w:val="0076439E"/>
    <w:rsid w:val="007647AA"/>
    <w:rsid w:val="007647EF"/>
    <w:rsid w:val="0076511F"/>
    <w:rsid w:val="00765B08"/>
    <w:rsid w:val="007665A6"/>
    <w:rsid w:val="0077264D"/>
    <w:rsid w:val="007738DF"/>
    <w:rsid w:val="00774704"/>
    <w:rsid w:val="007747FE"/>
    <w:rsid w:val="00774CAC"/>
    <w:rsid w:val="007769EC"/>
    <w:rsid w:val="007801FC"/>
    <w:rsid w:val="007844C7"/>
    <w:rsid w:val="0078576D"/>
    <w:rsid w:val="00785A0E"/>
    <w:rsid w:val="007863E9"/>
    <w:rsid w:val="00786483"/>
    <w:rsid w:val="00786B28"/>
    <w:rsid w:val="00787B63"/>
    <w:rsid w:val="00790849"/>
    <w:rsid w:val="00790974"/>
    <w:rsid w:val="007911BF"/>
    <w:rsid w:val="0079244E"/>
    <w:rsid w:val="00792C4C"/>
    <w:rsid w:val="00793176"/>
    <w:rsid w:val="00793924"/>
    <w:rsid w:val="00797728"/>
    <w:rsid w:val="007977A7"/>
    <w:rsid w:val="007A00DF"/>
    <w:rsid w:val="007A0FE3"/>
    <w:rsid w:val="007A1516"/>
    <w:rsid w:val="007A2451"/>
    <w:rsid w:val="007A2E36"/>
    <w:rsid w:val="007A2EE0"/>
    <w:rsid w:val="007A3E4D"/>
    <w:rsid w:val="007A4303"/>
    <w:rsid w:val="007A487E"/>
    <w:rsid w:val="007A5A50"/>
    <w:rsid w:val="007B0E93"/>
    <w:rsid w:val="007B19F9"/>
    <w:rsid w:val="007B2DF6"/>
    <w:rsid w:val="007B60E4"/>
    <w:rsid w:val="007C09DA"/>
    <w:rsid w:val="007C1124"/>
    <w:rsid w:val="007C23EE"/>
    <w:rsid w:val="007C325E"/>
    <w:rsid w:val="007C3CA4"/>
    <w:rsid w:val="007C6268"/>
    <w:rsid w:val="007C632F"/>
    <w:rsid w:val="007C63E6"/>
    <w:rsid w:val="007C67F5"/>
    <w:rsid w:val="007C6BAB"/>
    <w:rsid w:val="007C75A2"/>
    <w:rsid w:val="007D059C"/>
    <w:rsid w:val="007D0CF8"/>
    <w:rsid w:val="007D334B"/>
    <w:rsid w:val="007D3A9D"/>
    <w:rsid w:val="007D4CD5"/>
    <w:rsid w:val="007D7AF5"/>
    <w:rsid w:val="007E0056"/>
    <w:rsid w:val="007E0AFF"/>
    <w:rsid w:val="007E0DD4"/>
    <w:rsid w:val="007E1350"/>
    <w:rsid w:val="007E1674"/>
    <w:rsid w:val="007E2530"/>
    <w:rsid w:val="007E2CA8"/>
    <w:rsid w:val="007E301D"/>
    <w:rsid w:val="007E33E3"/>
    <w:rsid w:val="007E4F5C"/>
    <w:rsid w:val="007E577A"/>
    <w:rsid w:val="007E76F7"/>
    <w:rsid w:val="007F178A"/>
    <w:rsid w:val="007F23E7"/>
    <w:rsid w:val="007F3705"/>
    <w:rsid w:val="007F39A3"/>
    <w:rsid w:val="007F4702"/>
    <w:rsid w:val="007F4FCA"/>
    <w:rsid w:val="007F65AD"/>
    <w:rsid w:val="007F7184"/>
    <w:rsid w:val="00801261"/>
    <w:rsid w:val="00801949"/>
    <w:rsid w:val="00802DBF"/>
    <w:rsid w:val="0080500F"/>
    <w:rsid w:val="00807CDA"/>
    <w:rsid w:val="008118E2"/>
    <w:rsid w:val="00812292"/>
    <w:rsid w:val="008144E9"/>
    <w:rsid w:val="008145F1"/>
    <w:rsid w:val="00814A04"/>
    <w:rsid w:val="00817D19"/>
    <w:rsid w:val="00821CEA"/>
    <w:rsid w:val="008222E6"/>
    <w:rsid w:val="00823F50"/>
    <w:rsid w:val="00830749"/>
    <w:rsid w:val="00832A6F"/>
    <w:rsid w:val="00832CCF"/>
    <w:rsid w:val="0083394B"/>
    <w:rsid w:val="008356D5"/>
    <w:rsid w:val="0083572E"/>
    <w:rsid w:val="00836B93"/>
    <w:rsid w:val="00836CEB"/>
    <w:rsid w:val="00837E4B"/>
    <w:rsid w:val="008409C2"/>
    <w:rsid w:val="008413DA"/>
    <w:rsid w:val="00841E6C"/>
    <w:rsid w:val="00842649"/>
    <w:rsid w:val="00843C19"/>
    <w:rsid w:val="0084568F"/>
    <w:rsid w:val="00845737"/>
    <w:rsid w:val="008504BB"/>
    <w:rsid w:val="00850696"/>
    <w:rsid w:val="00850BB7"/>
    <w:rsid w:val="00851ABC"/>
    <w:rsid w:val="00851CFA"/>
    <w:rsid w:val="0085267F"/>
    <w:rsid w:val="00852724"/>
    <w:rsid w:val="0085643A"/>
    <w:rsid w:val="008564F5"/>
    <w:rsid w:val="00857090"/>
    <w:rsid w:val="008637FD"/>
    <w:rsid w:val="00863840"/>
    <w:rsid w:val="008658F1"/>
    <w:rsid w:val="00867065"/>
    <w:rsid w:val="008744F8"/>
    <w:rsid w:val="00874EF8"/>
    <w:rsid w:val="0087572F"/>
    <w:rsid w:val="00880DB9"/>
    <w:rsid w:val="00881923"/>
    <w:rsid w:val="00881ACB"/>
    <w:rsid w:val="008825B5"/>
    <w:rsid w:val="00885E8B"/>
    <w:rsid w:val="0089085F"/>
    <w:rsid w:val="00890B41"/>
    <w:rsid w:val="00892770"/>
    <w:rsid w:val="008931BD"/>
    <w:rsid w:val="00894608"/>
    <w:rsid w:val="00894628"/>
    <w:rsid w:val="00896E89"/>
    <w:rsid w:val="00897C7A"/>
    <w:rsid w:val="008A19BB"/>
    <w:rsid w:val="008A271C"/>
    <w:rsid w:val="008A4087"/>
    <w:rsid w:val="008A4BE8"/>
    <w:rsid w:val="008A71E2"/>
    <w:rsid w:val="008B0002"/>
    <w:rsid w:val="008B0187"/>
    <w:rsid w:val="008B0C80"/>
    <w:rsid w:val="008B243A"/>
    <w:rsid w:val="008B3F24"/>
    <w:rsid w:val="008B3FC4"/>
    <w:rsid w:val="008B453A"/>
    <w:rsid w:val="008B586E"/>
    <w:rsid w:val="008B7761"/>
    <w:rsid w:val="008B78AE"/>
    <w:rsid w:val="008C1696"/>
    <w:rsid w:val="008C1788"/>
    <w:rsid w:val="008C19BF"/>
    <w:rsid w:val="008C3384"/>
    <w:rsid w:val="008C60C8"/>
    <w:rsid w:val="008C6922"/>
    <w:rsid w:val="008D0329"/>
    <w:rsid w:val="008D2334"/>
    <w:rsid w:val="008D23E1"/>
    <w:rsid w:val="008D36CB"/>
    <w:rsid w:val="008D37B0"/>
    <w:rsid w:val="008D38E0"/>
    <w:rsid w:val="008D43EB"/>
    <w:rsid w:val="008D44A7"/>
    <w:rsid w:val="008D4C43"/>
    <w:rsid w:val="008D507F"/>
    <w:rsid w:val="008D5639"/>
    <w:rsid w:val="008D5F9F"/>
    <w:rsid w:val="008E0218"/>
    <w:rsid w:val="008E035E"/>
    <w:rsid w:val="008E239D"/>
    <w:rsid w:val="008E2ABD"/>
    <w:rsid w:val="008E4207"/>
    <w:rsid w:val="008E5D98"/>
    <w:rsid w:val="008E5F43"/>
    <w:rsid w:val="008F0D47"/>
    <w:rsid w:val="008F16E4"/>
    <w:rsid w:val="008F5A79"/>
    <w:rsid w:val="008F6DCF"/>
    <w:rsid w:val="0090111C"/>
    <w:rsid w:val="0090143E"/>
    <w:rsid w:val="009028A1"/>
    <w:rsid w:val="009031D5"/>
    <w:rsid w:val="00905487"/>
    <w:rsid w:val="009054B9"/>
    <w:rsid w:val="00906964"/>
    <w:rsid w:val="00907510"/>
    <w:rsid w:val="0090758D"/>
    <w:rsid w:val="00910327"/>
    <w:rsid w:val="009105A2"/>
    <w:rsid w:val="00910A0C"/>
    <w:rsid w:val="00911705"/>
    <w:rsid w:val="009118D2"/>
    <w:rsid w:val="00911B13"/>
    <w:rsid w:val="009131B6"/>
    <w:rsid w:val="0091352A"/>
    <w:rsid w:val="00913607"/>
    <w:rsid w:val="0091404A"/>
    <w:rsid w:val="0091445E"/>
    <w:rsid w:val="00914D6D"/>
    <w:rsid w:val="00914E64"/>
    <w:rsid w:val="00915AF5"/>
    <w:rsid w:val="00915F6A"/>
    <w:rsid w:val="00916A45"/>
    <w:rsid w:val="00916C43"/>
    <w:rsid w:val="00917712"/>
    <w:rsid w:val="00924C30"/>
    <w:rsid w:val="00924DCE"/>
    <w:rsid w:val="00924FED"/>
    <w:rsid w:val="0092508E"/>
    <w:rsid w:val="00925402"/>
    <w:rsid w:val="009260FE"/>
    <w:rsid w:val="00926152"/>
    <w:rsid w:val="009269EF"/>
    <w:rsid w:val="00926E21"/>
    <w:rsid w:val="00930A3D"/>
    <w:rsid w:val="00931C4A"/>
    <w:rsid w:val="00932173"/>
    <w:rsid w:val="00934D47"/>
    <w:rsid w:val="00935298"/>
    <w:rsid w:val="0093622E"/>
    <w:rsid w:val="0094058F"/>
    <w:rsid w:val="00940861"/>
    <w:rsid w:val="009410B9"/>
    <w:rsid w:val="009419F9"/>
    <w:rsid w:val="00941DAB"/>
    <w:rsid w:val="00941F76"/>
    <w:rsid w:val="0094373F"/>
    <w:rsid w:val="00943CB3"/>
    <w:rsid w:val="0094402E"/>
    <w:rsid w:val="009460E2"/>
    <w:rsid w:val="00946176"/>
    <w:rsid w:val="00947C9D"/>
    <w:rsid w:val="0095004B"/>
    <w:rsid w:val="009525BF"/>
    <w:rsid w:val="009525D0"/>
    <w:rsid w:val="00952601"/>
    <w:rsid w:val="00953CAE"/>
    <w:rsid w:val="00957353"/>
    <w:rsid w:val="00957A3A"/>
    <w:rsid w:val="009610EF"/>
    <w:rsid w:val="00962F42"/>
    <w:rsid w:val="009634B9"/>
    <w:rsid w:val="00963906"/>
    <w:rsid w:val="009643F4"/>
    <w:rsid w:val="009712C3"/>
    <w:rsid w:val="00973DC7"/>
    <w:rsid w:val="009749A6"/>
    <w:rsid w:val="00975303"/>
    <w:rsid w:val="00983F2B"/>
    <w:rsid w:val="00984DCB"/>
    <w:rsid w:val="00984E3C"/>
    <w:rsid w:val="009859C9"/>
    <w:rsid w:val="00986BB4"/>
    <w:rsid w:val="009873AB"/>
    <w:rsid w:val="00987BB4"/>
    <w:rsid w:val="00991667"/>
    <w:rsid w:val="00992EAA"/>
    <w:rsid w:val="00993A18"/>
    <w:rsid w:val="009940A0"/>
    <w:rsid w:val="00996C46"/>
    <w:rsid w:val="009A03D6"/>
    <w:rsid w:val="009A258E"/>
    <w:rsid w:val="009A3FDC"/>
    <w:rsid w:val="009A4C7E"/>
    <w:rsid w:val="009A51FE"/>
    <w:rsid w:val="009A5A8A"/>
    <w:rsid w:val="009A7C86"/>
    <w:rsid w:val="009B1423"/>
    <w:rsid w:val="009B2B55"/>
    <w:rsid w:val="009B3767"/>
    <w:rsid w:val="009B392E"/>
    <w:rsid w:val="009B5797"/>
    <w:rsid w:val="009B7115"/>
    <w:rsid w:val="009C0ED5"/>
    <w:rsid w:val="009C10E0"/>
    <w:rsid w:val="009C28F9"/>
    <w:rsid w:val="009C331E"/>
    <w:rsid w:val="009C40D5"/>
    <w:rsid w:val="009C4832"/>
    <w:rsid w:val="009C49B9"/>
    <w:rsid w:val="009C577B"/>
    <w:rsid w:val="009D21AF"/>
    <w:rsid w:val="009D2681"/>
    <w:rsid w:val="009D3B38"/>
    <w:rsid w:val="009D47C3"/>
    <w:rsid w:val="009D488A"/>
    <w:rsid w:val="009D5391"/>
    <w:rsid w:val="009D53D5"/>
    <w:rsid w:val="009D5D66"/>
    <w:rsid w:val="009D645A"/>
    <w:rsid w:val="009D6F65"/>
    <w:rsid w:val="009D787D"/>
    <w:rsid w:val="009E044D"/>
    <w:rsid w:val="009E061C"/>
    <w:rsid w:val="009E6D32"/>
    <w:rsid w:val="009F01E4"/>
    <w:rsid w:val="009F21AF"/>
    <w:rsid w:val="009F32CD"/>
    <w:rsid w:val="009F36AB"/>
    <w:rsid w:val="009F37DB"/>
    <w:rsid w:val="009F3DCB"/>
    <w:rsid w:val="009F7CF4"/>
    <w:rsid w:val="00A009C6"/>
    <w:rsid w:val="00A01FC1"/>
    <w:rsid w:val="00A04C50"/>
    <w:rsid w:val="00A06754"/>
    <w:rsid w:val="00A07E2E"/>
    <w:rsid w:val="00A11AE5"/>
    <w:rsid w:val="00A11FCF"/>
    <w:rsid w:val="00A13FFE"/>
    <w:rsid w:val="00A15B25"/>
    <w:rsid w:val="00A15E92"/>
    <w:rsid w:val="00A16EFA"/>
    <w:rsid w:val="00A17045"/>
    <w:rsid w:val="00A170A3"/>
    <w:rsid w:val="00A20FBA"/>
    <w:rsid w:val="00A257E8"/>
    <w:rsid w:val="00A26041"/>
    <w:rsid w:val="00A2646C"/>
    <w:rsid w:val="00A26DBD"/>
    <w:rsid w:val="00A3054D"/>
    <w:rsid w:val="00A3126A"/>
    <w:rsid w:val="00A31CC1"/>
    <w:rsid w:val="00A324F4"/>
    <w:rsid w:val="00A3287C"/>
    <w:rsid w:val="00A332FD"/>
    <w:rsid w:val="00A33C33"/>
    <w:rsid w:val="00A36A27"/>
    <w:rsid w:val="00A402E5"/>
    <w:rsid w:val="00A44D47"/>
    <w:rsid w:val="00A47D3B"/>
    <w:rsid w:val="00A53254"/>
    <w:rsid w:val="00A5403F"/>
    <w:rsid w:val="00A56181"/>
    <w:rsid w:val="00A562F0"/>
    <w:rsid w:val="00A56843"/>
    <w:rsid w:val="00A57FBB"/>
    <w:rsid w:val="00A61445"/>
    <w:rsid w:val="00A61697"/>
    <w:rsid w:val="00A624F5"/>
    <w:rsid w:val="00A64219"/>
    <w:rsid w:val="00A6514E"/>
    <w:rsid w:val="00A668CF"/>
    <w:rsid w:val="00A67D63"/>
    <w:rsid w:val="00A70735"/>
    <w:rsid w:val="00A709C5"/>
    <w:rsid w:val="00A7149A"/>
    <w:rsid w:val="00A72797"/>
    <w:rsid w:val="00A75A32"/>
    <w:rsid w:val="00A75C5A"/>
    <w:rsid w:val="00A773E0"/>
    <w:rsid w:val="00A778C5"/>
    <w:rsid w:val="00A83F4C"/>
    <w:rsid w:val="00A8450B"/>
    <w:rsid w:val="00A87229"/>
    <w:rsid w:val="00A90742"/>
    <w:rsid w:val="00A909C3"/>
    <w:rsid w:val="00A91234"/>
    <w:rsid w:val="00A91C0D"/>
    <w:rsid w:val="00A91FA5"/>
    <w:rsid w:val="00A95D47"/>
    <w:rsid w:val="00A96015"/>
    <w:rsid w:val="00AA169A"/>
    <w:rsid w:val="00AA170F"/>
    <w:rsid w:val="00AA3C90"/>
    <w:rsid w:val="00AA41AE"/>
    <w:rsid w:val="00AA4BCF"/>
    <w:rsid w:val="00AA67EC"/>
    <w:rsid w:val="00AA7301"/>
    <w:rsid w:val="00AA73B6"/>
    <w:rsid w:val="00AB13CF"/>
    <w:rsid w:val="00AB26C5"/>
    <w:rsid w:val="00AB3073"/>
    <w:rsid w:val="00AB44B4"/>
    <w:rsid w:val="00AB6E54"/>
    <w:rsid w:val="00AB7227"/>
    <w:rsid w:val="00AC0B1D"/>
    <w:rsid w:val="00AC1E6A"/>
    <w:rsid w:val="00AC4AC2"/>
    <w:rsid w:val="00AC5032"/>
    <w:rsid w:val="00AC7236"/>
    <w:rsid w:val="00AC75D5"/>
    <w:rsid w:val="00AD05A3"/>
    <w:rsid w:val="00AD0982"/>
    <w:rsid w:val="00AD1F18"/>
    <w:rsid w:val="00AD2EE7"/>
    <w:rsid w:val="00AD3C8C"/>
    <w:rsid w:val="00AD5515"/>
    <w:rsid w:val="00AD6A6A"/>
    <w:rsid w:val="00AE1EF2"/>
    <w:rsid w:val="00AE266A"/>
    <w:rsid w:val="00AF050D"/>
    <w:rsid w:val="00AF0A6D"/>
    <w:rsid w:val="00AF3295"/>
    <w:rsid w:val="00AF5676"/>
    <w:rsid w:val="00AF598A"/>
    <w:rsid w:val="00AF6715"/>
    <w:rsid w:val="00B00993"/>
    <w:rsid w:val="00B014A4"/>
    <w:rsid w:val="00B01E81"/>
    <w:rsid w:val="00B025B5"/>
    <w:rsid w:val="00B02904"/>
    <w:rsid w:val="00B029D1"/>
    <w:rsid w:val="00B03B96"/>
    <w:rsid w:val="00B04B52"/>
    <w:rsid w:val="00B04D82"/>
    <w:rsid w:val="00B04EE9"/>
    <w:rsid w:val="00B06747"/>
    <w:rsid w:val="00B1043E"/>
    <w:rsid w:val="00B10BB9"/>
    <w:rsid w:val="00B11785"/>
    <w:rsid w:val="00B11859"/>
    <w:rsid w:val="00B12A07"/>
    <w:rsid w:val="00B1338B"/>
    <w:rsid w:val="00B14DA2"/>
    <w:rsid w:val="00B15E06"/>
    <w:rsid w:val="00B15FA3"/>
    <w:rsid w:val="00B1651D"/>
    <w:rsid w:val="00B17E5E"/>
    <w:rsid w:val="00B21BBD"/>
    <w:rsid w:val="00B23783"/>
    <w:rsid w:val="00B23B9A"/>
    <w:rsid w:val="00B25629"/>
    <w:rsid w:val="00B25A81"/>
    <w:rsid w:val="00B31109"/>
    <w:rsid w:val="00B31821"/>
    <w:rsid w:val="00B31DEF"/>
    <w:rsid w:val="00B33426"/>
    <w:rsid w:val="00B33E6A"/>
    <w:rsid w:val="00B34E2C"/>
    <w:rsid w:val="00B35148"/>
    <w:rsid w:val="00B36A3F"/>
    <w:rsid w:val="00B36D04"/>
    <w:rsid w:val="00B36D3C"/>
    <w:rsid w:val="00B3701A"/>
    <w:rsid w:val="00B375D3"/>
    <w:rsid w:val="00B37DD4"/>
    <w:rsid w:val="00B40932"/>
    <w:rsid w:val="00B40C6D"/>
    <w:rsid w:val="00B410BF"/>
    <w:rsid w:val="00B41305"/>
    <w:rsid w:val="00B43D9F"/>
    <w:rsid w:val="00B45E64"/>
    <w:rsid w:val="00B502C5"/>
    <w:rsid w:val="00B52D6C"/>
    <w:rsid w:val="00B532E7"/>
    <w:rsid w:val="00B5532B"/>
    <w:rsid w:val="00B56417"/>
    <w:rsid w:val="00B564F3"/>
    <w:rsid w:val="00B568A1"/>
    <w:rsid w:val="00B57057"/>
    <w:rsid w:val="00B601A2"/>
    <w:rsid w:val="00B619E6"/>
    <w:rsid w:val="00B6213D"/>
    <w:rsid w:val="00B62ED3"/>
    <w:rsid w:val="00B63B2B"/>
    <w:rsid w:val="00B6455B"/>
    <w:rsid w:val="00B64D25"/>
    <w:rsid w:val="00B67621"/>
    <w:rsid w:val="00B67ABD"/>
    <w:rsid w:val="00B703C7"/>
    <w:rsid w:val="00B71B3F"/>
    <w:rsid w:val="00B7278C"/>
    <w:rsid w:val="00B74650"/>
    <w:rsid w:val="00B75CFA"/>
    <w:rsid w:val="00B801AC"/>
    <w:rsid w:val="00B80AAA"/>
    <w:rsid w:val="00B80B7C"/>
    <w:rsid w:val="00B82ADD"/>
    <w:rsid w:val="00B8335F"/>
    <w:rsid w:val="00B83815"/>
    <w:rsid w:val="00B86020"/>
    <w:rsid w:val="00B87CC2"/>
    <w:rsid w:val="00B905F3"/>
    <w:rsid w:val="00B91F75"/>
    <w:rsid w:val="00B920C6"/>
    <w:rsid w:val="00B92AED"/>
    <w:rsid w:val="00B930C9"/>
    <w:rsid w:val="00B93898"/>
    <w:rsid w:val="00B94C0D"/>
    <w:rsid w:val="00B94C6A"/>
    <w:rsid w:val="00B965B3"/>
    <w:rsid w:val="00BA2756"/>
    <w:rsid w:val="00BA35B2"/>
    <w:rsid w:val="00BA5DA0"/>
    <w:rsid w:val="00BA6AD6"/>
    <w:rsid w:val="00BA71DC"/>
    <w:rsid w:val="00BA739C"/>
    <w:rsid w:val="00BB025C"/>
    <w:rsid w:val="00BB0F76"/>
    <w:rsid w:val="00BB1B3F"/>
    <w:rsid w:val="00BB1D31"/>
    <w:rsid w:val="00BB2185"/>
    <w:rsid w:val="00BB5F8E"/>
    <w:rsid w:val="00BC0B54"/>
    <w:rsid w:val="00BC1508"/>
    <w:rsid w:val="00BC18F9"/>
    <w:rsid w:val="00BC2211"/>
    <w:rsid w:val="00BC3A15"/>
    <w:rsid w:val="00BC5DFA"/>
    <w:rsid w:val="00BC6E6F"/>
    <w:rsid w:val="00BD06FF"/>
    <w:rsid w:val="00BD14BC"/>
    <w:rsid w:val="00BD2584"/>
    <w:rsid w:val="00BD2FB8"/>
    <w:rsid w:val="00BD3925"/>
    <w:rsid w:val="00BD3B77"/>
    <w:rsid w:val="00BD5776"/>
    <w:rsid w:val="00BD6788"/>
    <w:rsid w:val="00BD683B"/>
    <w:rsid w:val="00BD6999"/>
    <w:rsid w:val="00BD710E"/>
    <w:rsid w:val="00BD75E9"/>
    <w:rsid w:val="00BD7880"/>
    <w:rsid w:val="00BD7954"/>
    <w:rsid w:val="00BD7A31"/>
    <w:rsid w:val="00BD7D9E"/>
    <w:rsid w:val="00BE077E"/>
    <w:rsid w:val="00BE1F15"/>
    <w:rsid w:val="00BE30AB"/>
    <w:rsid w:val="00BE5A50"/>
    <w:rsid w:val="00BF048D"/>
    <w:rsid w:val="00BF1CD6"/>
    <w:rsid w:val="00BF2209"/>
    <w:rsid w:val="00BF2B00"/>
    <w:rsid w:val="00BF2B63"/>
    <w:rsid w:val="00BF3550"/>
    <w:rsid w:val="00BF38B0"/>
    <w:rsid w:val="00BF3EE2"/>
    <w:rsid w:val="00BF3FEC"/>
    <w:rsid w:val="00BF47C3"/>
    <w:rsid w:val="00BF4CE8"/>
    <w:rsid w:val="00BF599F"/>
    <w:rsid w:val="00BF5D22"/>
    <w:rsid w:val="00C00D94"/>
    <w:rsid w:val="00C01DD3"/>
    <w:rsid w:val="00C02FBB"/>
    <w:rsid w:val="00C0348F"/>
    <w:rsid w:val="00C03715"/>
    <w:rsid w:val="00C04463"/>
    <w:rsid w:val="00C04686"/>
    <w:rsid w:val="00C04867"/>
    <w:rsid w:val="00C058F8"/>
    <w:rsid w:val="00C06876"/>
    <w:rsid w:val="00C076F7"/>
    <w:rsid w:val="00C07F22"/>
    <w:rsid w:val="00C10C7E"/>
    <w:rsid w:val="00C117E3"/>
    <w:rsid w:val="00C1227A"/>
    <w:rsid w:val="00C12DFB"/>
    <w:rsid w:val="00C13D65"/>
    <w:rsid w:val="00C1475D"/>
    <w:rsid w:val="00C172B3"/>
    <w:rsid w:val="00C17B0C"/>
    <w:rsid w:val="00C2060D"/>
    <w:rsid w:val="00C220EE"/>
    <w:rsid w:val="00C22DD4"/>
    <w:rsid w:val="00C23C31"/>
    <w:rsid w:val="00C2582F"/>
    <w:rsid w:val="00C26483"/>
    <w:rsid w:val="00C268E1"/>
    <w:rsid w:val="00C26AE5"/>
    <w:rsid w:val="00C26E3A"/>
    <w:rsid w:val="00C30021"/>
    <w:rsid w:val="00C30060"/>
    <w:rsid w:val="00C305B3"/>
    <w:rsid w:val="00C33B64"/>
    <w:rsid w:val="00C3412D"/>
    <w:rsid w:val="00C34E43"/>
    <w:rsid w:val="00C3597E"/>
    <w:rsid w:val="00C36E70"/>
    <w:rsid w:val="00C373EC"/>
    <w:rsid w:val="00C40956"/>
    <w:rsid w:val="00C410F1"/>
    <w:rsid w:val="00C41B5B"/>
    <w:rsid w:val="00C423DC"/>
    <w:rsid w:val="00C42D51"/>
    <w:rsid w:val="00C43510"/>
    <w:rsid w:val="00C43905"/>
    <w:rsid w:val="00C43A0D"/>
    <w:rsid w:val="00C43DFE"/>
    <w:rsid w:val="00C44807"/>
    <w:rsid w:val="00C44B22"/>
    <w:rsid w:val="00C463AA"/>
    <w:rsid w:val="00C46B7D"/>
    <w:rsid w:val="00C50AF7"/>
    <w:rsid w:val="00C51838"/>
    <w:rsid w:val="00C52D20"/>
    <w:rsid w:val="00C542EF"/>
    <w:rsid w:val="00C55507"/>
    <w:rsid w:val="00C60910"/>
    <w:rsid w:val="00C6339B"/>
    <w:rsid w:val="00C641F4"/>
    <w:rsid w:val="00C65AD4"/>
    <w:rsid w:val="00C65B3C"/>
    <w:rsid w:val="00C67B8E"/>
    <w:rsid w:val="00C70D50"/>
    <w:rsid w:val="00C73C49"/>
    <w:rsid w:val="00C7517C"/>
    <w:rsid w:val="00C752B7"/>
    <w:rsid w:val="00C77709"/>
    <w:rsid w:val="00C77D84"/>
    <w:rsid w:val="00C801A3"/>
    <w:rsid w:val="00C80525"/>
    <w:rsid w:val="00C80A7E"/>
    <w:rsid w:val="00C8209D"/>
    <w:rsid w:val="00C82BEC"/>
    <w:rsid w:val="00C86E11"/>
    <w:rsid w:val="00C87AF8"/>
    <w:rsid w:val="00C90AF3"/>
    <w:rsid w:val="00C93A1E"/>
    <w:rsid w:val="00C94FBB"/>
    <w:rsid w:val="00C952A5"/>
    <w:rsid w:val="00CA0A3A"/>
    <w:rsid w:val="00CA24F4"/>
    <w:rsid w:val="00CA302E"/>
    <w:rsid w:val="00CA5603"/>
    <w:rsid w:val="00CA6026"/>
    <w:rsid w:val="00CA7DD1"/>
    <w:rsid w:val="00CB19A5"/>
    <w:rsid w:val="00CB4871"/>
    <w:rsid w:val="00CB49AC"/>
    <w:rsid w:val="00CB5432"/>
    <w:rsid w:val="00CB6608"/>
    <w:rsid w:val="00CC00DE"/>
    <w:rsid w:val="00CC0E27"/>
    <w:rsid w:val="00CC363C"/>
    <w:rsid w:val="00CC3E9E"/>
    <w:rsid w:val="00CC4ABF"/>
    <w:rsid w:val="00CC4AFE"/>
    <w:rsid w:val="00CC54F3"/>
    <w:rsid w:val="00CC6908"/>
    <w:rsid w:val="00CD0725"/>
    <w:rsid w:val="00CD0A63"/>
    <w:rsid w:val="00CD144C"/>
    <w:rsid w:val="00CD2419"/>
    <w:rsid w:val="00CD2E92"/>
    <w:rsid w:val="00CD3A6C"/>
    <w:rsid w:val="00CD489C"/>
    <w:rsid w:val="00CD6DB8"/>
    <w:rsid w:val="00CD7329"/>
    <w:rsid w:val="00CE0FAE"/>
    <w:rsid w:val="00CE1DFF"/>
    <w:rsid w:val="00CE33DA"/>
    <w:rsid w:val="00CE3C1E"/>
    <w:rsid w:val="00CE64DE"/>
    <w:rsid w:val="00CF1915"/>
    <w:rsid w:val="00CF4180"/>
    <w:rsid w:val="00D0099E"/>
    <w:rsid w:val="00D018E9"/>
    <w:rsid w:val="00D0480A"/>
    <w:rsid w:val="00D0670B"/>
    <w:rsid w:val="00D0711B"/>
    <w:rsid w:val="00D0738D"/>
    <w:rsid w:val="00D0779A"/>
    <w:rsid w:val="00D07B19"/>
    <w:rsid w:val="00D11938"/>
    <w:rsid w:val="00D12FF3"/>
    <w:rsid w:val="00D1612E"/>
    <w:rsid w:val="00D168EB"/>
    <w:rsid w:val="00D17693"/>
    <w:rsid w:val="00D17C29"/>
    <w:rsid w:val="00D17FA2"/>
    <w:rsid w:val="00D20DC9"/>
    <w:rsid w:val="00D21168"/>
    <w:rsid w:val="00D22396"/>
    <w:rsid w:val="00D23D06"/>
    <w:rsid w:val="00D27A4C"/>
    <w:rsid w:val="00D3020B"/>
    <w:rsid w:val="00D304EA"/>
    <w:rsid w:val="00D31331"/>
    <w:rsid w:val="00D31440"/>
    <w:rsid w:val="00D3171D"/>
    <w:rsid w:val="00D33792"/>
    <w:rsid w:val="00D34560"/>
    <w:rsid w:val="00D352D5"/>
    <w:rsid w:val="00D35611"/>
    <w:rsid w:val="00D35678"/>
    <w:rsid w:val="00D356E9"/>
    <w:rsid w:val="00D35934"/>
    <w:rsid w:val="00D35C5D"/>
    <w:rsid w:val="00D35D10"/>
    <w:rsid w:val="00D3673C"/>
    <w:rsid w:val="00D3793C"/>
    <w:rsid w:val="00D379E3"/>
    <w:rsid w:val="00D37F1C"/>
    <w:rsid w:val="00D4107F"/>
    <w:rsid w:val="00D4421D"/>
    <w:rsid w:val="00D442B3"/>
    <w:rsid w:val="00D462F8"/>
    <w:rsid w:val="00D46878"/>
    <w:rsid w:val="00D476EB"/>
    <w:rsid w:val="00D5009F"/>
    <w:rsid w:val="00D507CF"/>
    <w:rsid w:val="00D50E7E"/>
    <w:rsid w:val="00D52788"/>
    <w:rsid w:val="00D53B08"/>
    <w:rsid w:val="00D53F81"/>
    <w:rsid w:val="00D55AFE"/>
    <w:rsid w:val="00D56890"/>
    <w:rsid w:val="00D5767F"/>
    <w:rsid w:val="00D62D2B"/>
    <w:rsid w:val="00D64EE6"/>
    <w:rsid w:val="00D66A20"/>
    <w:rsid w:val="00D66FDC"/>
    <w:rsid w:val="00D67C2C"/>
    <w:rsid w:val="00D7311C"/>
    <w:rsid w:val="00D74C04"/>
    <w:rsid w:val="00D74D4D"/>
    <w:rsid w:val="00D76225"/>
    <w:rsid w:val="00D80CD7"/>
    <w:rsid w:val="00D818B5"/>
    <w:rsid w:val="00D81F86"/>
    <w:rsid w:val="00D826A8"/>
    <w:rsid w:val="00D82F67"/>
    <w:rsid w:val="00D831F7"/>
    <w:rsid w:val="00D83676"/>
    <w:rsid w:val="00D83DF5"/>
    <w:rsid w:val="00D85FDB"/>
    <w:rsid w:val="00D873CB"/>
    <w:rsid w:val="00D91ABD"/>
    <w:rsid w:val="00D92063"/>
    <w:rsid w:val="00D92BFB"/>
    <w:rsid w:val="00D92ED7"/>
    <w:rsid w:val="00D93DCA"/>
    <w:rsid w:val="00D93E5C"/>
    <w:rsid w:val="00D948F4"/>
    <w:rsid w:val="00D95A11"/>
    <w:rsid w:val="00D95BB8"/>
    <w:rsid w:val="00D95E44"/>
    <w:rsid w:val="00D976F0"/>
    <w:rsid w:val="00DA0003"/>
    <w:rsid w:val="00DA0489"/>
    <w:rsid w:val="00DA4434"/>
    <w:rsid w:val="00DB048E"/>
    <w:rsid w:val="00DB353B"/>
    <w:rsid w:val="00DB4E95"/>
    <w:rsid w:val="00DB60CC"/>
    <w:rsid w:val="00DC0E27"/>
    <w:rsid w:val="00DC15E1"/>
    <w:rsid w:val="00DC24D4"/>
    <w:rsid w:val="00DC2900"/>
    <w:rsid w:val="00DC29BC"/>
    <w:rsid w:val="00DC2F37"/>
    <w:rsid w:val="00DC3D0F"/>
    <w:rsid w:val="00DC3D52"/>
    <w:rsid w:val="00DC403B"/>
    <w:rsid w:val="00DC5762"/>
    <w:rsid w:val="00DC6C18"/>
    <w:rsid w:val="00DD10DC"/>
    <w:rsid w:val="00DD151E"/>
    <w:rsid w:val="00DD2228"/>
    <w:rsid w:val="00DD29B4"/>
    <w:rsid w:val="00DD50F3"/>
    <w:rsid w:val="00DD6737"/>
    <w:rsid w:val="00DD7E3B"/>
    <w:rsid w:val="00DE19D1"/>
    <w:rsid w:val="00DE2465"/>
    <w:rsid w:val="00DE2850"/>
    <w:rsid w:val="00DE3796"/>
    <w:rsid w:val="00DE3F4A"/>
    <w:rsid w:val="00DE49D3"/>
    <w:rsid w:val="00DE6D37"/>
    <w:rsid w:val="00DE7AE9"/>
    <w:rsid w:val="00DF00F8"/>
    <w:rsid w:val="00DF08AF"/>
    <w:rsid w:val="00DF2656"/>
    <w:rsid w:val="00DF2682"/>
    <w:rsid w:val="00DF29F7"/>
    <w:rsid w:val="00DF32AF"/>
    <w:rsid w:val="00DF4FD6"/>
    <w:rsid w:val="00DF561E"/>
    <w:rsid w:val="00DF709A"/>
    <w:rsid w:val="00DF7522"/>
    <w:rsid w:val="00E003A3"/>
    <w:rsid w:val="00E011EE"/>
    <w:rsid w:val="00E0268B"/>
    <w:rsid w:val="00E02AC3"/>
    <w:rsid w:val="00E03110"/>
    <w:rsid w:val="00E04BC7"/>
    <w:rsid w:val="00E10375"/>
    <w:rsid w:val="00E111F4"/>
    <w:rsid w:val="00E11EA3"/>
    <w:rsid w:val="00E14C07"/>
    <w:rsid w:val="00E15749"/>
    <w:rsid w:val="00E161B4"/>
    <w:rsid w:val="00E1759C"/>
    <w:rsid w:val="00E20BF4"/>
    <w:rsid w:val="00E222D4"/>
    <w:rsid w:val="00E22DEA"/>
    <w:rsid w:val="00E23754"/>
    <w:rsid w:val="00E251F3"/>
    <w:rsid w:val="00E2699C"/>
    <w:rsid w:val="00E27B58"/>
    <w:rsid w:val="00E30E5D"/>
    <w:rsid w:val="00E30EA1"/>
    <w:rsid w:val="00E31DEE"/>
    <w:rsid w:val="00E3377D"/>
    <w:rsid w:val="00E33B64"/>
    <w:rsid w:val="00E35068"/>
    <w:rsid w:val="00E35459"/>
    <w:rsid w:val="00E36652"/>
    <w:rsid w:val="00E40335"/>
    <w:rsid w:val="00E414DC"/>
    <w:rsid w:val="00E4245A"/>
    <w:rsid w:val="00E43088"/>
    <w:rsid w:val="00E44DF1"/>
    <w:rsid w:val="00E45377"/>
    <w:rsid w:val="00E46DC3"/>
    <w:rsid w:val="00E50913"/>
    <w:rsid w:val="00E5157F"/>
    <w:rsid w:val="00E54163"/>
    <w:rsid w:val="00E5446E"/>
    <w:rsid w:val="00E54EA2"/>
    <w:rsid w:val="00E54F96"/>
    <w:rsid w:val="00E55F5D"/>
    <w:rsid w:val="00E57472"/>
    <w:rsid w:val="00E63D41"/>
    <w:rsid w:val="00E65BEF"/>
    <w:rsid w:val="00E669BB"/>
    <w:rsid w:val="00E673B6"/>
    <w:rsid w:val="00E7090A"/>
    <w:rsid w:val="00E71C5E"/>
    <w:rsid w:val="00E7333D"/>
    <w:rsid w:val="00E74237"/>
    <w:rsid w:val="00E745E7"/>
    <w:rsid w:val="00E74A0E"/>
    <w:rsid w:val="00E76F44"/>
    <w:rsid w:val="00E773BA"/>
    <w:rsid w:val="00E80821"/>
    <w:rsid w:val="00E81722"/>
    <w:rsid w:val="00E817E4"/>
    <w:rsid w:val="00E82AE3"/>
    <w:rsid w:val="00E82C5B"/>
    <w:rsid w:val="00E8498C"/>
    <w:rsid w:val="00E8583E"/>
    <w:rsid w:val="00E87507"/>
    <w:rsid w:val="00E87D85"/>
    <w:rsid w:val="00E87FE1"/>
    <w:rsid w:val="00E90836"/>
    <w:rsid w:val="00E90AE2"/>
    <w:rsid w:val="00E912B8"/>
    <w:rsid w:val="00E919A1"/>
    <w:rsid w:val="00E95253"/>
    <w:rsid w:val="00E97030"/>
    <w:rsid w:val="00E974BD"/>
    <w:rsid w:val="00EA0658"/>
    <w:rsid w:val="00EA10DE"/>
    <w:rsid w:val="00EA14CC"/>
    <w:rsid w:val="00EA1625"/>
    <w:rsid w:val="00EA174D"/>
    <w:rsid w:val="00EA59F9"/>
    <w:rsid w:val="00EA5E3C"/>
    <w:rsid w:val="00EB0213"/>
    <w:rsid w:val="00EB1D05"/>
    <w:rsid w:val="00EB291A"/>
    <w:rsid w:val="00EB2D37"/>
    <w:rsid w:val="00EB3161"/>
    <w:rsid w:val="00EB6C36"/>
    <w:rsid w:val="00EC11D5"/>
    <w:rsid w:val="00EC349C"/>
    <w:rsid w:val="00EC43A8"/>
    <w:rsid w:val="00EC508B"/>
    <w:rsid w:val="00EC50E5"/>
    <w:rsid w:val="00EC552B"/>
    <w:rsid w:val="00EC55D2"/>
    <w:rsid w:val="00ED01BE"/>
    <w:rsid w:val="00ED02B7"/>
    <w:rsid w:val="00ED227D"/>
    <w:rsid w:val="00ED36A8"/>
    <w:rsid w:val="00ED405A"/>
    <w:rsid w:val="00ED4CF3"/>
    <w:rsid w:val="00ED4E35"/>
    <w:rsid w:val="00ED525A"/>
    <w:rsid w:val="00ED59BE"/>
    <w:rsid w:val="00ED7A4F"/>
    <w:rsid w:val="00EE1B38"/>
    <w:rsid w:val="00EE27CE"/>
    <w:rsid w:val="00EE340C"/>
    <w:rsid w:val="00EE66F0"/>
    <w:rsid w:val="00EE7BCC"/>
    <w:rsid w:val="00EF01D1"/>
    <w:rsid w:val="00EF02B8"/>
    <w:rsid w:val="00EF07A7"/>
    <w:rsid w:val="00EF10F1"/>
    <w:rsid w:val="00EF151C"/>
    <w:rsid w:val="00EF541B"/>
    <w:rsid w:val="00EF6941"/>
    <w:rsid w:val="00EF6CB5"/>
    <w:rsid w:val="00F001F2"/>
    <w:rsid w:val="00F011E0"/>
    <w:rsid w:val="00F02C8A"/>
    <w:rsid w:val="00F046B3"/>
    <w:rsid w:val="00F06B57"/>
    <w:rsid w:val="00F106B0"/>
    <w:rsid w:val="00F11CBF"/>
    <w:rsid w:val="00F12E84"/>
    <w:rsid w:val="00F147EB"/>
    <w:rsid w:val="00F15184"/>
    <w:rsid w:val="00F156E5"/>
    <w:rsid w:val="00F168E7"/>
    <w:rsid w:val="00F20149"/>
    <w:rsid w:val="00F230D7"/>
    <w:rsid w:val="00F23116"/>
    <w:rsid w:val="00F2311A"/>
    <w:rsid w:val="00F239F1"/>
    <w:rsid w:val="00F23B56"/>
    <w:rsid w:val="00F23F90"/>
    <w:rsid w:val="00F2506D"/>
    <w:rsid w:val="00F25D45"/>
    <w:rsid w:val="00F30A69"/>
    <w:rsid w:val="00F31967"/>
    <w:rsid w:val="00F324EC"/>
    <w:rsid w:val="00F32D67"/>
    <w:rsid w:val="00F33EBF"/>
    <w:rsid w:val="00F347D3"/>
    <w:rsid w:val="00F35F25"/>
    <w:rsid w:val="00F361AB"/>
    <w:rsid w:val="00F40B57"/>
    <w:rsid w:val="00F40E67"/>
    <w:rsid w:val="00F41E19"/>
    <w:rsid w:val="00F41EE8"/>
    <w:rsid w:val="00F41F26"/>
    <w:rsid w:val="00F44539"/>
    <w:rsid w:val="00F4600B"/>
    <w:rsid w:val="00F4785C"/>
    <w:rsid w:val="00F47C29"/>
    <w:rsid w:val="00F50123"/>
    <w:rsid w:val="00F50C17"/>
    <w:rsid w:val="00F5466C"/>
    <w:rsid w:val="00F54711"/>
    <w:rsid w:val="00F55AD8"/>
    <w:rsid w:val="00F55CF9"/>
    <w:rsid w:val="00F56D87"/>
    <w:rsid w:val="00F60A39"/>
    <w:rsid w:val="00F61827"/>
    <w:rsid w:val="00F62BF3"/>
    <w:rsid w:val="00F645D2"/>
    <w:rsid w:val="00F64B42"/>
    <w:rsid w:val="00F65973"/>
    <w:rsid w:val="00F67763"/>
    <w:rsid w:val="00F73EC8"/>
    <w:rsid w:val="00F74B80"/>
    <w:rsid w:val="00F75F99"/>
    <w:rsid w:val="00F76E94"/>
    <w:rsid w:val="00F8293A"/>
    <w:rsid w:val="00F8458C"/>
    <w:rsid w:val="00F84B4A"/>
    <w:rsid w:val="00F8510D"/>
    <w:rsid w:val="00F8667A"/>
    <w:rsid w:val="00F86CD0"/>
    <w:rsid w:val="00F874F9"/>
    <w:rsid w:val="00F90497"/>
    <w:rsid w:val="00F90618"/>
    <w:rsid w:val="00F90D9B"/>
    <w:rsid w:val="00F916FE"/>
    <w:rsid w:val="00F91BA7"/>
    <w:rsid w:val="00F9295E"/>
    <w:rsid w:val="00F93198"/>
    <w:rsid w:val="00F931C2"/>
    <w:rsid w:val="00F93E26"/>
    <w:rsid w:val="00F94EB4"/>
    <w:rsid w:val="00F97B98"/>
    <w:rsid w:val="00FA0D31"/>
    <w:rsid w:val="00FA0E79"/>
    <w:rsid w:val="00FA11FE"/>
    <w:rsid w:val="00FA23E7"/>
    <w:rsid w:val="00FA2A0F"/>
    <w:rsid w:val="00FA2B4E"/>
    <w:rsid w:val="00FA2ECC"/>
    <w:rsid w:val="00FA3751"/>
    <w:rsid w:val="00FA5AFF"/>
    <w:rsid w:val="00FA70FD"/>
    <w:rsid w:val="00FA728F"/>
    <w:rsid w:val="00FA7AE4"/>
    <w:rsid w:val="00FB0365"/>
    <w:rsid w:val="00FB06B3"/>
    <w:rsid w:val="00FB2EBE"/>
    <w:rsid w:val="00FB39A6"/>
    <w:rsid w:val="00FB4A99"/>
    <w:rsid w:val="00FB4CBF"/>
    <w:rsid w:val="00FB5DBF"/>
    <w:rsid w:val="00FB67F6"/>
    <w:rsid w:val="00FB6D3E"/>
    <w:rsid w:val="00FC0715"/>
    <w:rsid w:val="00FC16C2"/>
    <w:rsid w:val="00FC2C93"/>
    <w:rsid w:val="00FC409B"/>
    <w:rsid w:val="00FC44F5"/>
    <w:rsid w:val="00FC4A97"/>
    <w:rsid w:val="00FC63DB"/>
    <w:rsid w:val="00FC6472"/>
    <w:rsid w:val="00FC6745"/>
    <w:rsid w:val="00FC6A69"/>
    <w:rsid w:val="00FC6E13"/>
    <w:rsid w:val="00FC7BC0"/>
    <w:rsid w:val="00FC7D0C"/>
    <w:rsid w:val="00FD0087"/>
    <w:rsid w:val="00FD0D80"/>
    <w:rsid w:val="00FD163C"/>
    <w:rsid w:val="00FD213C"/>
    <w:rsid w:val="00FD406E"/>
    <w:rsid w:val="00FD461B"/>
    <w:rsid w:val="00FD47F6"/>
    <w:rsid w:val="00FD494D"/>
    <w:rsid w:val="00FD4AE7"/>
    <w:rsid w:val="00FD4B6F"/>
    <w:rsid w:val="00FD647B"/>
    <w:rsid w:val="00FD7AD3"/>
    <w:rsid w:val="00FE036F"/>
    <w:rsid w:val="00FE0A3A"/>
    <w:rsid w:val="00FE1198"/>
    <w:rsid w:val="00FE127B"/>
    <w:rsid w:val="00FE1C6A"/>
    <w:rsid w:val="00FE2A1D"/>
    <w:rsid w:val="00FE643D"/>
    <w:rsid w:val="00FE65AA"/>
    <w:rsid w:val="00FF103E"/>
    <w:rsid w:val="00FF24B7"/>
    <w:rsid w:val="00FF3770"/>
    <w:rsid w:val="00FF4857"/>
    <w:rsid w:val="00FF5122"/>
    <w:rsid w:val="00FF635F"/>
    <w:rsid w:val="00FF67D2"/>
    <w:rsid w:val="00FF6E19"/>
    <w:rsid w:val="00FF7D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1CBA"/>
  <w15:chartTrackingRefBased/>
  <w15:docId w15:val="{D87BE0A4-A989-4D09-92FC-C13E4735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D20"/>
  </w:style>
  <w:style w:type="paragraph" w:styleId="Heading1">
    <w:name w:val="heading 1"/>
    <w:basedOn w:val="Normal"/>
    <w:next w:val="Normal"/>
    <w:link w:val="Heading1Char"/>
    <w:uiPriority w:val="9"/>
    <w:qFormat/>
    <w:rsid w:val="00915A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30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FA0D31"/>
    <w:pPr>
      <w:keepNext/>
      <w:keepLines/>
      <w:spacing w:after="240" w:line="247" w:lineRule="auto"/>
      <w:outlineLvl w:val="2"/>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8764F"/>
    <w:pPr>
      <w:spacing w:after="0" w:line="240" w:lineRule="auto"/>
    </w:pPr>
    <w:rPr>
      <w:sz w:val="20"/>
      <w:szCs w:val="20"/>
    </w:rPr>
  </w:style>
  <w:style w:type="character" w:customStyle="1" w:styleId="FootnoteTextChar">
    <w:name w:val="Footnote Text Char"/>
    <w:basedOn w:val="DefaultParagraphFont"/>
    <w:link w:val="FootnoteText"/>
    <w:uiPriority w:val="99"/>
    <w:rsid w:val="0018764F"/>
    <w:rPr>
      <w:sz w:val="20"/>
      <w:szCs w:val="20"/>
    </w:rPr>
  </w:style>
  <w:style w:type="character" w:styleId="FootnoteReference">
    <w:name w:val="footnote reference"/>
    <w:basedOn w:val="DefaultParagraphFont"/>
    <w:uiPriority w:val="99"/>
    <w:unhideWhenUsed/>
    <w:rsid w:val="0018764F"/>
    <w:rPr>
      <w:vertAlign w:val="superscript"/>
    </w:rPr>
  </w:style>
  <w:style w:type="paragraph" w:styleId="ListParagraph">
    <w:name w:val="List Paragraph"/>
    <w:basedOn w:val="Normal"/>
    <w:uiPriority w:val="34"/>
    <w:qFormat/>
    <w:rsid w:val="0018764F"/>
    <w:pPr>
      <w:ind w:left="720"/>
      <w:contextualSpacing/>
    </w:pPr>
  </w:style>
  <w:style w:type="character" w:customStyle="1" w:styleId="apple-converted-space">
    <w:name w:val="apple-converted-space"/>
    <w:basedOn w:val="DefaultParagraphFont"/>
    <w:rsid w:val="0018764F"/>
  </w:style>
  <w:style w:type="character" w:customStyle="1" w:styleId="Heading3Char">
    <w:name w:val="Heading 3 Char"/>
    <w:basedOn w:val="DefaultParagraphFont"/>
    <w:link w:val="Heading3"/>
    <w:uiPriority w:val="9"/>
    <w:rsid w:val="00FA0D31"/>
    <w:rPr>
      <w:rFonts w:eastAsiaTheme="majorEastAsia" w:cstheme="majorBidi"/>
      <w:b/>
      <w:sz w:val="32"/>
      <w:szCs w:val="32"/>
    </w:rPr>
  </w:style>
  <w:style w:type="table" w:styleId="TableGrid">
    <w:name w:val="Table Grid"/>
    <w:basedOn w:val="TableNormal"/>
    <w:uiPriority w:val="39"/>
    <w:rsid w:val="00187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E301D"/>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rsid w:val="007E301D"/>
    <w:pPr>
      <w:spacing w:line="240" w:lineRule="auto"/>
    </w:pPr>
    <w:rPr>
      <w:sz w:val="20"/>
      <w:szCs w:val="20"/>
    </w:rPr>
  </w:style>
  <w:style w:type="character" w:customStyle="1" w:styleId="CommentTextChar">
    <w:name w:val="Comment Text Char"/>
    <w:basedOn w:val="DefaultParagraphFont"/>
    <w:link w:val="CommentText"/>
    <w:uiPriority w:val="99"/>
    <w:rsid w:val="007E301D"/>
    <w:rPr>
      <w:sz w:val="20"/>
      <w:szCs w:val="20"/>
    </w:rPr>
  </w:style>
  <w:style w:type="paragraph" w:styleId="PlainText">
    <w:name w:val="Plain Text"/>
    <w:basedOn w:val="Normal"/>
    <w:link w:val="PlainTextChar"/>
    <w:uiPriority w:val="99"/>
    <w:rsid w:val="007E301D"/>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7E301D"/>
    <w:rPr>
      <w:rFonts w:ascii="Consolas" w:eastAsia="Times New Roman" w:hAnsi="Consolas" w:cs="Times New Roman"/>
      <w:sz w:val="21"/>
      <w:szCs w:val="21"/>
      <w:lang w:val="x-none" w:eastAsia="x-none"/>
    </w:rPr>
  </w:style>
  <w:style w:type="character" w:styleId="Hyperlink">
    <w:name w:val="Hyperlink"/>
    <w:basedOn w:val="DefaultParagraphFont"/>
    <w:uiPriority w:val="99"/>
    <w:unhideWhenUsed/>
    <w:rsid w:val="00A90742"/>
    <w:rPr>
      <w:color w:val="0563C1" w:themeColor="hyperlink"/>
      <w:u w:val="single"/>
    </w:rPr>
  </w:style>
  <w:style w:type="character" w:customStyle="1" w:styleId="highlight">
    <w:name w:val="highlight"/>
    <w:basedOn w:val="DefaultParagraphFont"/>
    <w:rsid w:val="00F23F90"/>
  </w:style>
  <w:style w:type="character" w:styleId="CommentReference">
    <w:name w:val="annotation reference"/>
    <w:basedOn w:val="DefaultParagraphFont"/>
    <w:uiPriority w:val="99"/>
    <w:semiHidden/>
    <w:unhideWhenUsed/>
    <w:rsid w:val="000C52BE"/>
    <w:rPr>
      <w:sz w:val="16"/>
      <w:szCs w:val="16"/>
    </w:rPr>
  </w:style>
  <w:style w:type="paragraph" w:styleId="CommentSubject">
    <w:name w:val="annotation subject"/>
    <w:basedOn w:val="CommentText"/>
    <w:next w:val="CommentText"/>
    <w:link w:val="CommentSubjectChar"/>
    <w:uiPriority w:val="99"/>
    <w:semiHidden/>
    <w:unhideWhenUsed/>
    <w:rsid w:val="000C52BE"/>
    <w:rPr>
      <w:b/>
      <w:bCs/>
    </w:rPr>
  </w:style>
  <w:style w:type="character" w:customStyle="1" w:styleId="CommentSubjectChar">
    <w:name w:val="Comment Subject Char"/>
    <w:basedOn w:val="CommentTextChar"/>
    <w:link w:val="CommentSubject"/>
    <w:uiPriority w:val="99"/>
    <w:semiHidden/>
    <w:rsid w:val="000C52BE"/>
    <w:rPr>
      <w:b/>
      <w:bCs/>
      <w:sz w:val="20"/>
      <w:szCs w:val="20"/>
    </w:rPr>
  </w:style>
  <w:style w:type="paragraph" w:styleId="BalloonText">
    <w:name w:val="Balloon Text"/>
    <w:basedOn w:val="Normal"/>
    <w:link w:val="BalloonTextChar"/>
    <w:uiPriority w:val="99"/>
    <w:semiHidden/>
    <w:unhideWhenUsed/>
    <w:rsid w:val="000C5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2BE"/>
    <w:rPr>
      <w:rFonts w:ascii="Segoe UI" w:hAnsi="Segoe UI" w:cs="Segoe UI"/>
      <w:sz w:val="18"/>
      <w:szCs w:val="18"/>
    </w:rPr>
  </w:style>
  <w:style w:type="character" w:styleId="UnresolvedMention">
    <w:name w:val="Unresolved Mention"/>
    <w:basedOn w:val="DefaultParagraphFont"/>
    <w:uiPriority w:val="99"/>
    <w:semiHidden/>
    <w:unhideWhenUsed/>
    <w:rsid w:val="00FF24B7"/>
    <w:rPr>
      <w:color w:val="808080"/>
      <w:shd w:val="clear" w:color="auto" w:fill="E6E6E6"/>
    </w:rPr>
  </w:style>
  <w:style w:type="paragraph" w:customStyle="1" w:styleId="Default">
    <w:name w:val="Default"/>
    <w:rsid w:val="00FF24B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15AF5"/>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57189B"/>
    <w:rPr>
      <w:color w:val="954F72" w:themeColor="followedHyperlink"/>
      <w:u w:val="single"/>
    </w:rPr>
  </w:style>
  <w:style w:type="character" w:customStyle="1" w:styleId="article-title-and-info">
    <w:name w:val="article-title-and-info"/>
    <w:basedOn w:val="DefaultParagraphFont"/>
    <w:rsid w:val="00C60910"/>
  </w:style>
  <w:style w:type="paragraph" w:styleId="Revision">
    <w:name w:val="Revision"/>
    <w:hidden/>
    <w:uiPriority w:val="99"/>
    <w:semiHidden/>
    <w:rsid w:val="00DF32AF"/>
    <w:pPr>
      <w:spacing w:after="0" w:line="240" w:lineRule="auto"/>
    </w:pPr>
  </w:style>
  <w:style w:type="character" w:customStyle="1" w:styleId="infolabel">
    <w:name w:val="info_label"/>
    <w:basedOn w:val="DefaultParagraphFont"/>
    <w:rsid w:val="00774CAC"/>
  </w:style>
  <w:style w:type="character" w:customStyle="1" w:styleId="infovalue">
    <w:name w:val="info_value"/>
    <w:basedOn w:val="DefaultParagraphFont"/>
    <w:rsid w:val="00774CAC"/>
  </w:style>
  <w:style w:type="paragraph" w:styleId="NoSpacing">
    <w:name w:val="No Spacing"/>
    <w:basedOn w:val="Normal"/>
    <w:link w:val="NoSpacingChar"/>
    <w:uiPriority w:val="1"/>
    <w:qFormat/>
    <w:rsid w:val="000F4AF2"/>
    <w:pPr>
      <w:spacing w:after="0" w:line="240" w:lineRule="auto"/>
    </w:pPr>
    <w:rPr>
      <w:rFonts w:eastAsiaTheme="minorEastAsia"/>
      <w:sz w:val="20"/>
      <w:szCs w:val="20"/>
      <w:lang w:bidi="en-US"/>
    </w:rPr>
  </w:style>
  <w:style w:type="character" w:customStyle="1" w:styleId="NoSpacingChar">
    <w:name w:val="No Spacing Char"/>
    <w:basedOn w:val="DefaultParagraphFont"/>
    <w:link w:val="NoSpacing"/>
    <w:uiPriority w:val="1"/>
    <w:rsid w:val="000F4AF2"/>
    <w:rPr>
      <w:rFonts w:eastAsiaTheme="minorEastAsia"/>
      <w:sz w:val="20"/>
      <w:szCs w:val="20"/>
      <w:lang w:bidi="en-US"/>
    </w:rPr>
  </w:style>
  <w:style w:type="character" w:styleId="Strong">
    <w:name w:val="Strong"/>
    <w:basedOn w:val="DefaultParagraphFont"/>
    <w:uiPriority w:val="22"/>
    <w:qFormat/>
    <w:rsid w:val="00320985"/>
    <w:rPr>
      <w:b/>
      <w:bCs/>
    </w:rPr>
  </w:style>
  <w:style w:type="paragraph" w:styleId="NormalWeb">
    <w:name w:val="Normal (Web)"/>
    <w:basedOn w:val="Normal"/>
    <w:uiPriority w:val="99"/>
    <w:semiHidden/>
    <w:unhideWhenUsed/>
    <w:rsid w:val="00913607"/>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273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3E1"/>
  </w:style>
  <w:style w:type="paragraph" w:styleId="Footer">
    <w:name w:val="footer"/>
    <w:basedOn w:val="Normal"/>
    <w:link w:val="FooterChar"/>
    <w:uiPriority w:val="99"/>
    <w:unhideWhenUsed/>
    <w:rsid w:val="00273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3E1"/>
  </w:style>
  <w:style w:type="character" w:styleId="LineNumber">
    <w:name w:val="line number"/>
    <w:basedOn w:val="DefaultParagraphFont"/>
    <w:uiPriority w:val="99"/>
    <w:semiHidden/>
    <w:unhideWhenUsed/>
    <w:rsid w:val="00843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3331">
      <w:bodyDiv w:val="1"/>
      <w:marLeft w:val="0"/>
      <w:marRight w:val="0"/>
      <w:marTop w:val="0"/>
      <w:marBottom w:val="0"/>
      <w:divBdr>
        <w:top w:val="none" w:sz="0" w:space="0" w:color="auto"/>
        <w:left w:val="none" w:sz="0" w:space="0" w:color="auto"/>
        <w:bottom w:val="none" w:sz="0" w:space="0" w:color="auto"/>
        <w:right w:val="none" w:sz="0" w:space="0" w:color="auto"/>
      </w:divBdr>
    </w:div>
    <w:div w:id="603806386">
      <w:bodyDiv w:val="1"/>
      <w:marLeft w:val="0"/>
      <w:marRight w:val="0"/>
      <w:marTop w:val="0"/>
      <w:marBottom w:val="0"/>
      <w:divBdr>
        <w:top w:val="none" w:sz="0" w:space="0" w:color="auto"/>
        <w:left w:val="none" w:sz="0" w:space="0" w:color="auto"/>
        <w:bottom w:val="none" w:sz="0" w:space="0" w:color="auto"/>
        <w:right w:val="none" w:sz="0" w:space="0" w:color="auto"/>
      </w:divBdr>
    </w:div>
    <w:div w:id="963345369">
      <w:bodyDiv w:val="1"/>
      <w:marLeft w:val="0"/>
      <w:marRight w:val="0"/>
      <w:marTop w:val="0"/>
      <w:marBottom w:val="0"/>
      <w:divBdr>
        <w:top w:val="none" w:sz="0" w:space="0" w:color="auto"/>
        <w:left w:val="none" w:sz="0" w:space="0" w:color="auto"/>
        <w:bottom w:val="none" w:sz="0" w:space="0" w:color="auto"/>
        <w:right w:val="none" w:sz="0" w:space="0" w:color="auto"/>
      </w:divBdr>
    </w:div>
    <w:div w:id="1028608222">
      <w:bodyDiv w:val="1"/>
      <w:marLeft w:val="0"/>
      <w:marRight w:val="0"/>
      <w:marTop w:val="0"/>
      <w:marBottom w:val="0"/>
      <w:divBdr>
        <w:top w:val="none" w:sz="0" w:space="0" w:color="auto"/>
        <w:left w:val="none" w:sz="0" w:space="0" w:color="auto"/>
        <w:bottom w:val="none" w:sz="0" w:space="0" w:color="auto"/>
        <w:right w:val="none" w:sz="0" w:space="0" w:color="auto"/>
      </w:divBdr>
      <w:divsChild>
        <w:div w:id="983503590">
          <w:marLeft w:val="0"/>
          <w:marRight w:val="0"/>
          <w:marTop w:val="225"/>
          <w:marBottom w:val="225"/>
          <w:divBdr>
            <w:top w:val="none" w:sz="0" w:space="0" w:color="auto"/>
            <w:left w:val="none" w:sz="0" w:space="0" w:color="auto"/>
            <w:bottom w:val="none" w:sz="0" w:space="0" w:color="auto"/>
            <w:right w:val="none" w:sz="0" w:space="0" w:color="auto"/>
          </w:divBdr>
          <w:divsChild>
            <w:div w:id="1223830956">
              <w:marLeft w:val="0"/>
              <w:marRight w:val="0"/>
              <w:marTop w:val="0"/>
              <w:marBottom w:val="0"/>
              <w:divBdr>
                <w:top w:val="none" w:sz="0" w:space="0" w:color="auto"/>
                <w:left w:val="none" w:sz="0" w:space="0" w:color="auto"/>
                <w:bottom w:val="none" w:sz="0" w:space="0" w:color="auto"/>
                <w:right w:val="none" w:sz="0" w:space="0" w:color="auto"/>
              </w:divBdr>
              <w:divsChild>
                <w:div w:id="1112823519">
                  <w:marLeft w:val="0"/>
                  <w:marRight w:val="0"/>
                  <w:marTop w:val="0"/>
                  <w:marBottom w:val="0"/>
                  <w:divBdr>
                    <w:top w:val="none" w:sz="0" w:space="0" w:color="auto"/>
                    <w:left w:val="none" w:sz="0" w:space="0" w:color="auto"/>
                    <w:bottom w:val="none" w:sz="0" w:space="0" w:color="auto"/>
                    <w:right w:val="none" w:sz="0" w:space="0" w:color="auto"/>
                  </w:divBdr>
                  <w:divsChild>
                    <w:div w:id="13270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4788">
          <w:marLeft w:val="0"/>
          <w:marRight w:val="0"/>
          <w:marTop w:val="225"/>
          <w:marBottom w:val="225"/>
          <w:divBdr>
            <w:top w:val="none" w:sz="0" w:space="0" w:color="auto"/>
            <w:left w:val="none" w:sz="0" w:space="0" w:color="auto"/>
            <w:bottom w:val="none" w:sz="0" w:space="0" w:color="auto"/>
            <w:right w:val="none" w:sz="0" w:space="0" w:color="auto"/>
          </w:divBdr>
          <w:divsChild>
            <w:div w:id="2114007759">
              <w:marLeft w:val="0"/>
              <w:marRight w:val="0"/>
              <w:marTop w:val="0"/>
              <w:marBottom w:val="75"/>
              <w:divBdr>
                <w:top w:val="none" w:sz="0" w:space="0" w:color="auto"/>
                <w:left w:val="none" w:sz="0" w:space="0" w:color="auto"/>
                <w:bottom w:val="none" w:sz="0" w:space="0" w:color="auto"/>
                <w:right w:val="none" w:sz="0" w:space="0" w:color="auto"/>
              </w:divBdr>
            </w:div>
            <w:div w:id="1395471697">
              <w:marLeft w:val="0"/>
              <w:marRight w:val="0"/>
              <w:marTop w:val="0"/>
              <w:marBottom w:val="75"/>
              <w:divBdr>
                <w:top w:val="none" w:sz="0" w:space="0" w:color="auto"/>
                <w:left w:val="none" w:sz="0" w:space="0" w:color="auto"/>
                <w:bottom w:val="none" w:sz="0" w:space="0" w:color="auto"/>
                <w:right w:val="none" w:sz="0" w:space="0" w:color="auto"/>
              </w:divBdr>
            </w:div>
            <w:div w:id="444547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1295984">
      <w:bodyDiv w:val="1"/>
      <w:marLeft w:val="0"/>
      <w:marRight w:val="0"/>
      <w:marTop w:val="0"/>
      <w:marBottom w:val="0"/>
      <w:divBdr>
        <w:top w:val="none" w:sz="0" w:space="0" w:color="auto"/>
        <w:left w:val="none" w:sz="0" w:space="0" w:color="auto"/>
        <w:bottom w:val="none" w:sz="0" w:space="0" w:color="auto"/>
        <w:right w:val="none" w:sz="0" w:space="0" w:color="auto"/>
      </w:divBdr>
      <w:divsChild>
        <w:div w:id="1637028093">
          <w:marLeft w:val="0"/>
          <w:marRight w:val="0"/>
          <w:marTop w:val="0"/>
          <w:marBottom w:val="75"/>
          <w:divBdr>
            <w:top w:val="none" w:sz="0" w:space="0" w:color="auto"/>
            <w:left w:val="none" w:sz="0" w:space="0" w:color="auto"/>
            <w:bottom w:val="none" w:sz="0" w:space="0" w:color="auto"/>
            <w:right w:val="none" w:sz="0" w:space="0" w:color="auto"/>
          </w:divBdr>
        </w:div>
      </w:divsChild>
    </w:div>
    <w:div w:id="1097751980">
      <w:bodyDiv w:val="1"/>
      <w:marLeft w:val="0"/>
      <w:marRight w:val="0"/>
      <w:marTop w:val="0"/>
      <w:marBottom w:val="0"/>
      <w:divBdr>
        <w:top w:val="none" w:sz="0" w:space="0" w:color="auto"/>
        <w:left w:val="none" w:sz="0" w:space="0" w:color="auto"/>
        <w:bottom w:val="none" w:sz="0" w:space="0" w:color="auto"/>
        <w:right w:val="none" w:sz="0" w:space="0" w:color="auto"/>
      </w:divBdr>
      <w:divsChild>
        <w:div w:id="1808624250">
          <w:marLeft w:val="0"/>
          <w:marRight w:val="0"/>
          <w:marTop w:val="0"/>
          <w:marBottom w:val="0"/>
          <w:divBdr>
            <w:top w:val="none" w:sz="0" w:space="0" w:color="auto"/>
            <w:left w:val="none" w:sz="0" w:space="0" w:color="auto"/>
            <w:bottom w:val="none" w:sz="0" w:space="0" w:color="auto"/>
            <w:right w:val="none" w:sz="0" w:space="0" w:color="auto"/>
          </w:divBdr>
          <w:divsChild>
            <w:div w:id="229003359">
              <w:marLeft w:val="0"/>
              <w:marRight w:val="0"/>
              <w:marTop w:val="120"/>
              <w:marBottom w:val="0"/>
              <w:divBdr>
                <w:top w:val="none" w:sz="0" w:space="0" w:color="auto"/>
                <w:left w:val="none" w:sz="0" w:space="0" w:color="auto"/>
                <w:bottom w:val="none" w:sz="0" w:space="0" w:color="auto"/>
                <w:right w:val="none" w:sz="0" w:space="0" w:color="auto"/>
              </w:divBdr>
            </w:div>
          </w:divsChild>
        </w:div>
        <w:div w:id="885868440">
          <w:marLeft w:val="0"/>
          <w:marRight w:val="0"/>
          <w:marTop w:val="0"/>
          <w:marBottom w:val="0"/>
          <w:divBdr>
            <w:top w:val="none" w:sz="0" w:space="0" w:color="auto"/>
            <w:left w:val="none" w:sz="0" w:space="0" w:color="auto"/>
            <w:bottom w:val="none" w:sz="0" w:space="0" w:color="auto"/>
            <w:right w:val="none" w:sz="0" w:space="0" w:color="auto"/>
          </w:divBdr>
          <w:divsChild>
            <w:div w:id="224268307">
              <w:marLeft w:val="0"/>
              <w:marRight w:val="0"/>
              <w:marTop w:val="120"/>
              <w:marBottom w:val="0"/>
              <w:divBdr>
                <w:top w:val="none" w:sz="0" w:space="0" w:color="auto"/>
                <w:left w:val="none" w:sz="0" w:space="0" w:color="auto"/>
                <w:bottom w:val="none" w:sz="0" w:space="0" w:color="auto"/>
                <w:right w:val="none" w:sz="0" w:space="0" w:color="auto"/>
              </w:divBdr>
              <w:divsChild>
                <w:div w:id="699090439">
                  <w:marLeft w:val="0"/>
                  <w:marRight w:val="0"/>
                  <w:marTop w:val="120"/>
                  <w:marBottom w:val="0"/>
                  <w:divBdr>
                    <w:top w:val="none" w:sz="0" w:space="0" w:color="auto"/>
                    <w:left w:val="none" w:sz="0" w:space="0" w:color="auto"/>
                    <w:bottom w:val="none" w:sz="0" w:space="0" w:color="auto"/>
                    <w:right w:val="none" w:sz="0" w:space="0" w:color="auto"/>
                  </w:divBdr>
                  <w:divsChild>
                    <w:div w:id="1952009057">
                      <w:marLeft w:val="0"/>
                      <w:marRight w:val="0"/>
                      <w:marTop w:val="0"/>
                      <w:marBottom w:val="150"/>
                      <w:divBdr>
                        <w:top w:val="none" w:sz="0" w:space="0" w:color="auto"/>
                        <w:left w:val="none" w:sz="0" w:space="0" w:color="auto"/>
                        <w:bottom w:val="none" w:sz="0" w:space="0" w:color="auto"/>
                        <w:right w:val="none" w:sz="0" w:space="0" w:color="auto"/>
                      </w:divBdr>
                    </w:div>
                    <w:div w:id="1805729334">
                      <w:marLeft w:val="0"/>
                      <w:marRight w:val="0"/>
                      <w:marTop w:val="0"/>
                      <w:marBottom w:val="150"/>
                      <w:divBdr>
                        <w:top w:val="none" w:sz="0" w:space="0" w:color="auto"/>
                        <w:left w:val="none" w:sz="0" w:space="0" w:color="auto"/>
                        <w:bottom w:val="none" w:sz="0" w:space="0" w:color="auto"/>
                        <w:right w:val="none" w:sz="0" w:space="0" w:color="auto"/>
                      </w:divBdr>
                    </w:div>
                    <w:div w:id="955798583">
                      <w:marLeft w:val="0"/>
                      <w:marRight w:val="0"/>
                      <w:marTop w:val="0"/>
                      <w:marBottom w:val="150"/>
                      <w:divBdr>
                        <w:top w:val="none" w:sz="0" w:space="0" w:color="auto"/>
                        <w:left w:val="none" w:sz="0" w:space="0" w:color="auto"/>
                        <w:bottom w:val="none" w:sz="0" w:space="0" w:color="auto"/>
                        <w:right w:val="none" w:sz="0" w:space="0" w:color="auto"/>
                      </w:divBdr>
                    </w:div>
                    <w:div w:id="13893030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ghreed.ElHajj@lstmed.ac.uk" TargetMode="External"/><Relationship Id="rId13" Type="http://schemas.openxmlformats.org/officeDocument/2006/relationships/hyperlink" Target="https://doi.org/10.1371/journal.pmed.1001081" TargetMode="External"/><Relationship Id="rId18" Type="http://schemas.openxmlformats.org/officeDocument/2006/relationships/hyperlink" Target="http://www.ukcdr.org.uk/wp-content/uploads/2018/03/UKCDS_Capacity_Building_Report_July_2012.pdf" TargetMode="External"/><Relationship Id="rId26" Type="http://schemas.openxmlformats.org/officeDocument/2006/relationships/hyperlink" Target="http://dx.doi.org/10.12688/f1000research.12496.3" TargetMode="External"/><Relationship Id="rId39" Type="http://schemas.openxmlformats.org/officeDocument/2006/relationships/hyperlink" Target="https://onthinktanks.org/wp-content/uploads/2018/10/429-430-Research-systems-concepts-actions-and-actors_REV.pdf" TargetMode="External"/><Relationship Id="rId3" Type="http://schemas.openxmlformats.org/officeDocument/2006/relationships/styles" Target="styles.xml"/><Relationship Id="rId21" Type="http://schemas.openxmlformats.org/officeDocument/2006/relationships/hyperlink" Target="https://doi.org/10.1093/heapol/czm019" TargetMode="External"/><Relationship Id="rId34" Type="http://schemas.openxmlformats.org/officeDocument/2006/relationships/hyperlink" Target="https://doi.org/10.1186/1475-9276-11-79" TargetMode="External"/><Relationship Id="rId42" Type="http://schemas.openxmlformats.org/officeDocument/2006/relationships/hyperlink" Target="https://www.aasciences.ac.ke/aesa/programmes/gfgp/" TargetMode="External"/><Relationship Id="rId7" Type="http://schemas.openxmlformats.org/officeDocument/2006/relationships/endnotes" Target="endnotes.xml"/><Relationship Id="rId12" Type="http://schemas.openxmlformats.org/officeDocument/2006/relationships/hyperlink" Target="http://www.who.int/alliance-hpsr/alliancehpsr_backgroundpaperembeddingresearch.pdf" TargetMode="External"/><Relationship Id="rId17" Type="http://schemas.openxmlformats.org/officeDocument/2006/relationships/hyperlink" Target="https://en.unesco.org/sites/default/files/usr15_focus_sub-saharan_africa.pdf" TargetMode="External"/><Relationship Id="rId25" Type="http://schemas.openxmlformats.org/officeDocument/2006/relationships/hyperlink" Target="https://royalsociety.org/grants-schemes-awards/grants/africa-capacity-building/" TargetMode="External"/><Relationship Id="rId33" Type="http://schemas.openxmlformats.org/officeDocument/2006/relationships/hyperlink" Target="http://www.who.int/alliance-hpsr/resources/Alliance_BR.pdf" TargetMode="External"/><Relationship Id="rId38" Type="http://schemas.openxmlformats.org/officeDocument/2006/relationships/hyperlink" Target="https://doi.org/10.1186/s12961-015-0071-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kri.org/research/global-challenges-research-fund/" TargetMode="External"/><Relationship Id="rId20" Type="http://schemas.openxmlformats.org/officeDocument/2006/relationships/hyperlink" Target="http://www.ukcdr.org.uk/wp-content/uploads/2018/07/Health-Research-Capacity-Strengthening.pdf" TargetMode="External"/><Relationship Id="rId29" Type="http://schemas.openxmlformats.org/officeDocument/2006/relationships/hyperlink" Target="https://doi.org/10.1080/14780887.2013.801543" TargetMode="External"/><Relationship Id="rId41" Type="http://schemas.openxmlformats.org/officeDocument/2006/relationships/hyperlink" Target="https://assets.publishing.service.gov.uk/media/57a08b8ee5274a31e0000c0a/ResearchStrategyWorkingPaperfinal_capacity_P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su10082626" TargetMode="External"/><Relationship Id="rId24" Type="http://schemas.openxmlformats.org/officeDocument/2006/relationships/hyperlink" Target="https://doi.org/10.1186/1478-4505-12-17" TargetMode="External"/><Relationship Id="rId32" Type="http://schemas.openxmlformats.org/officeDocument/2006/relationships/hyperlink" Target="https://doi.org/10.1186/1478-4505-1-1" TargetMode="External"/><Relationship Id="rId37" Type="http://schemas.openxmlformats.org/officeDocument/2006/relationships/hyperlink" Target="https://doi.org/10.1111/voxs.12096" TargetMode="External"/><Relationship Id="rId40" Type="http://schemas.openxmlformats.org/officeDocument/2006/relationships/hyperlink" Target="https://www.ukcdr.org.uk/wp-content/uploads/2017/11/UKCDS-Five-trends-driving-change-in-research-for-development.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sets.publishing.service.gov.uk/media/57a089aced915d622c000343/impact-of-research-on-international-development.pdf" TargetMode="External"/><Relationship Id="rId23" Type="http://schemas.openxmlformats.org/officeDocument/2006/relationships/hyperlink" Target="https://doi.org/10.1186/1478-4505-12-11" TargetMode="External"/><Relationship Id="rId28" Type="http://schemas.openxmlformats.org/officeDocument/2006/relationships/hyperlink" Target="https://doi.org/10.1371/journal.pmed.1001068" TargetMode="External"/><Relationship Id="rId36" Type="http://schemas.openxmlformats.org/officeDocument/2006/relationships/hyperlink" Target="http://www.who.int/tb/laboratory/afro-slipta-checklist-guidance.pdf" TargetMode="External"/><Relationship Id="rId10" Type="http://schemas.openxmlformats.org/officeDocument/2006/relationships/hyperlink" Target="https://www.un.org/sustainabledevelopment/wp-content/uploads/2018/09/Goal-7.pdf" TargetMode="External"/><Relationship Id="rId19" Type="http://schemas.openxmlformats.org/officeDocument/2006/relationships/hyperlink" Target="http://www.ukcdr.org.uk/wp-content/uploads/2017/11/UKCDS-rapid-RCS-mapping-for-DFID.pdf" TargetMode="External"/><Relationship Id="rId31" Type="http://schemas.openxmlformats.org/officeDocument/2006/relationships/hyperlink" Target="https://doi.org/10.1093/heapol/czt065"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nesdoc.unesco.org/images/0023/002354/235406e.pdf" TargetMode="External"/><Relationship Id="rId14" Type="http://schemas.openxmlformats.org/officeDocument/2006/relationships/hyperlink" Target="http://apps.who.int/iris/bitstream/handle/10665/200009/9789241?sequence=1" TargetMode="External"/><Relationship Id="rId22" Type="http://schemas.openxmlformats.org/officeDocument/2006/relationships/hyperlink" Target="https://doi.org/10.1093/heapol/czu016" TargetMode="External"/><Relationship Id="rId27" Type="http://schemas.openxmlformats.org/officeDocument/2006/relationships/hyperlink" Target="http://dx.doi.org/10.1136/bmjopen-2017-016660" TargetMode="External"/><Relationship Id="rId30" Type="http://schemas.openxmlformats.org/officeDocument/2006/relationships/hyperlink" Target="https://doi.org/10.1186/1471-2288-13-117" TargetMode="External"/><Relationship Id="rId35" Type="http://schemas.openxmlformats.org/officeDocument/2006/relationships/hyperlink" Target="http://unesdoc.unesco.org/images/0015/001541/154108e.pdf" TargetMode="External"/><Relationship Id="rId43" Type="http://schemas.openxmlformats.org/officeDocument/2006/relationships/hyperlink" Target="https://wellcome.ac.uk/sites/default/files/current-state-of-research-management-in-afric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8E8DB-82F5-4B99-B5DF-F04695F6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11914</Words>
  <Characters>67912</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Pramod Regmi</dc:creator>
  <cp:keywords/>
  <dc:description/>
  <cp:lastModifiedBy>Taghreed El Hajj</cp:lastModifiedBy>
  <cp:revision>3</cp:revision>
  <cp:lastPrinted>2018-08-13T14:35:00Z</cp:lastPrinted>
  <dcterms:created xsi:type="dcterms:W3CDTF">2020-01-15T19:45:00Z</dcterms:created>
  <dcterms:modified xsi:type="dcterms:W3CDTF">2020-01-15T19:47:00Z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