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571E" w14:textId="5119E739" w:rsidR="0028332C" w:rsidRPr="00C231A2" w:rsidRDefault="000B6985" w:rsidP="00C231A2">
      <w:pPr>
        <w:pStyle w:val="Body"/>
        <w:spacing w:after="0" w:line="360" w:lineRule="auto"/>
        <w:jc w:val="both"/>
        <w:rPr>
          <w:b/>
          <w:bCs/>
          <w:lang w:val="en-GB"/>
        </w:rPr>
      </w:pPr>
      <w:r w:rsidRPr="00C231A2">
        <w:rPr>
          <w:b/>
          <w:bCs/>
          <w:lang w:val="en-GB"/>
        </w:rPr>
        <w:t>Article Title</w:t>
      </w:r>
    </w:p>
    <w:p w14:paraId="431458EA" w14:textId="434D45BC" w:rsidR="00F56D94" w:rsidRPr="009E35FA" w:rsidRDefault="00277063" w:rsidP="00C231A2">
      <w:pPr>
        <w:pStyle w:val="Body"/>
        <w:spacing w:line="360" w:lineRule="auto"/>
        <w:jc w:val="both"/>
        <w:rPr>
          <w:color w:val="1F497D"/>
          <w:u w:color="1F497D"/>
          <w:lang w:val="en-GB"/>
        </w:rPr>
      </w:pPr>
      <w:bookmarkStart w:id="0" w:name="_GoBack"/>
      <w:r w:rsidRPr="009E35FA">
        <w:rPr>
          <w:color w:val="000000" w:themeColor="text1"/>
        </w:rPr>
        <w:t>Data</w:t>
      </w:r>
      <w:r w:rsidR="002C27BB" w:rsidRPr="009E35FA">
        <w:rPr>
          <w:color w:val="000000" w:themeColor="text1"/>
        </w:rPr>
        <w:t>set</w:t>
      </w:r>
      <w:r w:rsidRPr="009E35FA">
        <w:rPr>
          <w:color w:val="000000" w:themeColor="text1"/>
        </w:rPr>
        <w:t xml:space="preserve"> </w:t>
      </w:r>
      <w:r w:rsidR="008155F3" w:rsidRPr="009E35FA">
        <w:rPr>
          <w:color w:val="000000" w:themeColor="text1"/>
        </w:rPr>
        <w:t>on</w:t>
      </w:r>
      <w:r w:rsidRPr="009E35FA">
        <w:rPr>
          <w:color w:val="1F497D"/>
          <w:u w:color="1F497D"/>
          <w:lang w:val="en-GB"/>
        </w:rPr>
        <w:t xml:space="preserve"> </w:t>
      </w:r>
      <w:r w:rsidR="00086579" w:rsidRPr="00C231A2">
        <w:rPr>
          <w:i/>
          <w:color w:val="000000" w:themeColor="text1"/>
        </w:rPr>
        <w:t>i</w:t>
      </w:r>
      <w:r w:rsidRPr="009E35FA">
        <w:rPr>
          <w:i/>
          <w:color w:val="000000" w:themeColor="text1"/>
        </w:rPr>
        <w:t>n vitro</w:t>
      </w:r>
      <w:r w:rsidRPr="009E35FA">
        <w:rPr>
          <w:color w:val="000000" w:themeColor="text1"/>
        </w:rPr>
        <w:t xml:space="preserve"> maintenance of </w:t>
      </w:r>
      <w:r w:rsidRPr="009E35FA">
        <w:rPr>
          <w:i/>
          <w:color w:val="000000" w:themeColor="text1"/>
        </w:rPr>
        <w:t>Mansonella perstans</w:t>
      </w:r>
      <w:r w:rsidRPr="009E35FA">
        <w:rPr>
          <w:color w:val="000000" w:themeColor="text1"/>
        </w:rPr>
        <w:t xml:space="preserve"> microfilariae</w:t>
      </w:r>
      <w:r w:rsidR="00C572B4" w:rsidRPr="009E35FA">
        <w:rPr>
          <w:color w:val="1F497D"/>
          <w:u w:color="1F497D"/>
          <w:lang w:val="en-GB"/>
        </w:rPr>
        <w:t xml:space="preserve"> </w:t>
      </w:r>
      <w:r w:rsidR="00C572B4" w:rsidRPr="009E35FA">
        <w:rPr>
          <w:color w:val="000000" w:themeColor="text1"/>
        </w:rPr>
        <w:t>and drug testing</w:t>
      </w:r>
    </w:p>
    <w:bookmarkEnd w:id="0"/>
    <w:p w14:paraId="7EA3F041" w14:textId="06EFBCB2" w:rsidR="0028332C" w:rsidRPr="00C231A2" w:rsidRDefault="000B6985" w:rsidP="00C231A2">
      <w:pPr>
        <w:pStyle w:val="Body"/>
        <w:spacing w:after="0" w:line="360" w:lineRule="auto"/>
        <w:jc w:val="both"/>
        <w:rPr>
          <w:b/>
          <w:bCs/>
          <w:lang w:val="en-GB"/>
        </w:rPr>
      </w:pPr>
      <w:r w:rsidRPr="00C231A2">
        <w:rPr>
          <w:b/>
          <w:bCs/>
          <w:lang w:val="en-GB"/>
        </w:rPr>
        <w:t>Authors</w:t>
      </w:r>
    </w:p>
    <w:p w14:paraId="39DC2937" w14:textId="3D12BAD8" w:rsidR="00C572B4" w:rsidRPr="00C231A2" w:rsidRDefault="00C572B4" w:rsidP="00EE38B2">
      <w:pPr>
        <w:pStyle w:val="Body"/>
        <w:spacing w:after="0" w:line="360" w:lineRule="auto"/>
        <w:jc w:val="both"/>
        <w:rPr>
          <w:rStyle w:val="PageNumber"/>
          <w:rFonts w:eastAsiaTheme="minorEastAsia"/>
          <w:color w:val="000000" w:themeColor="text1"/>
          <w:vertAlign w:val="superscript"/>
          <w:lang w:val="en-GB" w:eastAsia="de-DE"/>
        </w:rPr>
      </w:pPr>
      <w:r w:rsidRPr="00C231A2">
        <w:rPr>
          <w:color w:val="000000" w:themeColor="text1"/>
        </w:rPr>
        <w:t>Abdel Jelil Njouendou</w:t>
      </w:r>
      <w:r w:rsidRPr="00C231A2">
        <w:rPr>
          <w:color w:val="000000" w:themeColor="text1"/>
          <w:vertAlign w:val="superscript"/>
        </w:rPr>
        <w:t>1,2</w:t>
      </w:r>
      <w:r w:rsidRPr="00C231A2">
        <w:rPr>
          <w:rStyle w:val="PageNumber"/>
          <w:color w:val="000000" w:themeColor="text1"/>
          <w:vertAlign w:val="superscript"/>
        </w:rPr>
        <w:t>†</w:t>
      </w:r>
      <w:r w:rsidRPr="00C231A2">
        <w:rPr>
          <w:color w:val="000000" w:themeColor="text1"/>
        </w:rPr>
        <w:t>, Manuel Ritter</w:t>
      </w:r>
      <w:r w:rsidRPr="00C231A2">
        <w:rPr>
          <w:color w:val="000000" w:themeColor="text1"/>
          <w:vertAlign w:val="superscript"/>
        </w:rPr>
        <w:t>3</w:t>
      </w:r>
      <w:r w:rsidRPr="00C231A2">
        <w:rPr>
          <w:rStyle w:val="PageNumber"/>
          <w:color w:val="000000" w:themeColor="text1"/>
          <w:vertAlign w:val="superscript"/>
        </w:rPr>
        <w:t>†</w:t>
      </w:r>
      <w:r w:rsidRPr="00C231A2">
        <w:rPr>
          <w:color w:val="000000" w:themeColor="text1"/>
        </w:rPr>
        <w:t>, Chi Anizette Kien</w:t>
      </w:r>
      <w:r w:rsidRPr="00C231A2">
        <w:rPr>
          <w:color w:val="000000" w:themeColor="text1"/>
          <w:vertAlign w:val="superscript"/>
        </w:rPr>
        <w:t>1,4</w:t>
      </w:r>
      <w:r w:rsidRPr="00C231A2">
        <w:rPr>
          <w:color w:val="000000" w:themeColor="text1"/>
        </w:rPr>
        <w:t>, Mathias E. Esum</w:t>
      </w:r>
      <w:r w:rsidRPr="00C231A2">
        <w:rPr>
          <w:color w:val="000000" w:themeColor="text1"/>
          <w:vertAlign w:val="superscript"/>
        </w:rPr>
        <w:t>1,4</w:t>
      </w:r>
      <w:r w:rsidRPr="00C231A2">
        <w:rPr>
          <w:color w:val="000000" w:themeColor="text1"/>
        </w:rPr>
        <w:t>, Winston Patrick Chounna Ndongmo</w:t>
      </w:r>
      <w:r w:rsidRPr="00C231A2">
        <w:rPr>
          <w:color w:val="000000" w:themeColor="text1"/>
          <w:vertAlign w:val="superscript"/>
        </w:rPr>
        <w:t>1,4</w:t>
      </w:r>
      <w:r w:rsidRPr="00C231A2">
        <w:rPr>
          <w:color w:val="000000" w:themeColor="text1"/>
        </w:rPr>
        <w:t>, Fanny Fri Fombad</w:t>
      </w:r>
      <w:r w:rsidRPr="00C231A2">
        <w:rPr>
          <w:color w:val="000000" w:themeColor="text1"/>
          <w:vertAlign w:val="superscript"/>
        </w:rPr>
        <w:t>1,5</w:t>
      </w:r>
      <w:r w:rsidRPr="00C231A2">
        <w:rPr>
          <w:color w:val="000000" w:themeColor="text1"/>
        </w:rPr>
        <w:t>, Narcisse Victor T. Gandjui</w:t>
      </w:r>
      <w:r w:rsidRPr="00C231A2">
        <w:rPr>
          <w:color w:val="000000" w:themeColor="text1"/>
          <w:vertAlign w:val="superscript"/>
        </w:rPr>
        <w:t>1,4</w:t>
      </w:r>
      <w:r w:rsidRPr="00C231A2">
        <w:rPr>
          <w:rStyle w:val="PageNumber"/>
          <w:color w:val="000000" w:themeColor="text1"/>
        </w:rPr>
        <w:t>, Flobert Njiokou</w:t>
      </w:r>
      <w:r w:rsidRPr="00C231A2">
        <w:rPr>
          <w:rStyle w:val="PageNumber"/>
          <w:color w:val="000000" w:themeColor="text1"/>
          <w:vertAlign w:val="superscript"/>
        </w:rPr>
        <w:t>6</w:t>
      </w:r>
      <w:r w:rsidRPr="00C231A2">
        <w:rPr>
          <w:rStyle w:val="PageNumber"/>
          <w:color w:val="000000" w:themeColor="text1"/>
        </w:rPr>
        <w:t>, Peter Enyong</w:t>
      </w:r>
      <w:r w:rsidRPr="00C231A2">
        <w:rPr>
          <w:rStyle w:val="PageNumber"/>
          <w:color w:val="000000" w:themeColor="text1"/>
          <w:vertAlign w:val="superscript"/>
        </w:rPr>
        <w:t>1,4</w:t>
      </w:r>
      <w:r w:rsidRPr="00C231A2">
        <w:rPr>
          <w:rStyle w:val="PageNumber"/>
          <w:color w:val="000000" w:themeColor="text1"/>
        </w:rPr>
        <w:t xml:space="preserve">, </w:t>
      </w:r>
      <w:r w:rsidRPr="00C231A2">
        <w:rPr>
          <w:color w:val="000000" w:themeColor="text1"/>
        </w:rPr>
        <w:t>Kenneth Pfarr</w:t>
      </w:r>
      <w:r w:rsidRPr="00C231A2">
        <w:rPr>
          <w:color w:val="000000" w:themeColor="text1"/>
          <w:vertAlign w:val="superscript"/>
        </w:rPr>
        <w:t>3,7</w:t>
      </w:r>
      <w:r w:rsidRPr="00C231A2">
        <w:rPr>
          <w:color w:val="000000" w:themeColor="text1"/>
        </w:rPr>
        <w:t xml:space="preserve">, </w:t>
      </w:r>
      <w:r w:rsidRPr="00C231A2">
        <w:rPr>
          <w:rStyle w:val="PageNumber"/>
          <w:color w:val="000000" w:themeColor="text1"/>
        </w:rPr>
        <w:t>Joseph Turner</w:t>
      </w:r>
      <w:r w:rsidRPr="00C231A2">
        <w:rPr>
          <w:rStyle w:val="PageNumber"/>
          <w:color w:val="000000" w:themeColor="text1"/>
          <w:vertAlign w:val="superscript"/>
        </w:rPr>
        <w:t>8</w:t>
      </w:r>
      <w:r w:rsidRPr="00C231A2">
        <w:rPr>
          <w:rStyle w:val="PageNumber"/>
          <w:color w:val="000000" w:themeColor="text1"/>
        </w:rPr>
        <w:t xml:space="preserve">, </w:t>
      </w:r>
      <w:r w:rsidRPr="00C231A2">
        <w:rPr>
          <w:color w:val="000000" w:themeColor="text1"/>
        </w:rPr>
        <w:t>Laura E. Layland</w:t>
      </w:r>
      <w:r w:rsidRPr="00C231A2">
        <w:rPr>
          <w:color w:val="000000" w:themeColor="text1"/>
          <w:vertAlign w:val="superscript"/>
        </w:rPr>
        <w:t>3,7</w:t>
      </w:r>
      <w:r w:rsidRPr="00C231A2">
        <w:rPr>
          <w:color w:val="000000" w:themeColor="text1"/>
        </w:rPr>
        <w:t>, Achim Hoerauf</w:t>
      </w:r>
      <w:r w:rsidRPr="00C231A2">
        <w:rPr>
          <w:color w:val="000000" w:themeColor="text1"/>
          <w:vertAlign w:val="superscript"/>
        </w:rPr>
        <w:t>3,7</w:t>
      </w:r>
      <w:r w:rsidRPr="00C231A2">
        <w:rPr>
          <w:rStyle w:val="PageNumber"/>
          <w:color w:val="000000" w:themeColor="text1"/>
        </w:rPr>
        <w:t xml:space="preserve"> and Samuel Wanji</w:t>
      </w:r>
      <w:r w:rsidRPr="00C231A2">
        <w:rPr>
          <w:rStyle w:val="PageNumber"/>
          <w:color w:val="000000" w:themeColor="text1"/>
          <w:vertAlign w:val="superscript"/>
        </w:rPr>
        <w:t>1,4*</w:t>
      </w:r>
    </w:p>
    <w:p w14:paraId="4E25F6F9" w14:textId="77777777" w:rsidR="00C572B4" w:rsidRPr="00086579" w:rsidRDefault="00C572B4" w:rsidP="00C231A2">
      <w:pPr>
        <w:spacing w:line="360" w:lineRule="auto"/>
        <w:rPr>
          <w:color w:val="000000" w:themeColor="text1"/>
        </w:rPr>
      </w:pPr>
    </w:p>
    <w:p w14:paraId="5B1EE8C1" w14:textId="77777777" w:rsidR="0028332C" w:rsidRPr="00C231A2" w:rsidRDefault="000B6985" w:rsidP="00C231A2">
      <w:pPr>
        <w:pStyle w:val="Body"/>
        <w:spacing w:after="0" w:line="360" w:lineRule="auto"/>
        <w:rPr>
          <w:b/>
          <w:bCs/>
          <w:lang w:val="en-GB"/>
        </w:rPr>
      </w:pPr>
      <w:r w:rsidRPr="00C231A2">
        <w:rPr>
          <w:b/>
          <w:bCs/>
          <w:lang w:val="en-GB"/>
        </w:rPr>
        <w:t>Affiliations</w:t>
      </w:r>
    </w:p>
    <w:p w14:paraId="1144EFB5" w14:textId="77777777" w:rsidR="00C572B4" w:rsidRPr="00C231A2" w:rsidRDefault="00C572B4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Research Foundation for Tropical Diseases and the Environment (REFOTDE), </w:t>
      </w:r>
      <w:proofErr w:type="spellStart"/>
      <w:r w:rsidRPr="00C231A2">
        <w:rPr>
          <w:rFonts w:ascii="Calibri" w:hAnsi="Calibri" w:cs="Calibri"/>
          <w:color w:val="000000" w:themeColor="text1"/>
          <w:sz w:val="22"/>
          <w:szCs w:val="22"/>
        </w:rPr>
        <w:t>Buea</w:t>
      </w:r>
      <w:proofErr w:type="spellEnd"/>
      <w:r w:rsidRPr="00C231A2">
        <w:rPr>
          <w:rFonts w:ascii="Calibri" w:hAnsi="Calibri" w:cs="Calibri"/>
          <w:color w:val="000000" w:themeColor="text1"/>
          <w:sz w:val="22"/>
          <w:szCs w:val="22"/>
        </w:rPr>
        <w:t>, Cameroon.</w:t>
      </w:r>
    </w:p>
    <w:p w14:paraId="1CAC9B71" w14:textId="77777777" w:rsidR="00C572B4" w:rsidRPr="00C231A2" w:rsidRDefault="00C572B4" w:rsidP="00C231A2">
      <w:pPr>
        <w:spacing w:line="360" w:lineRule="auto"/>
        <w:jc w:val="both"/>
        <w:rPr>
          <w:rStyle w:val="PageNumber"/>
          <w:rFonts w:ascii="Calibri" w:eastAsiaTheme="minorEastAsia" w:hAnsi="Calibri" w:cs="Calibri"/>
          <w:color w:val="000000" w:themeColor="text1"/>
          <w:sz w:val="22"/>
          <w:szCs w:val="22"/>
          <w:lang w:eastAsia="de-DE"/>
        </w:rPr>
      </w:pPr>
      <w:r w:rsidRPr="00C231A2">
        <w:rPr>
          <w:rStyle w:val="PageNumber"/>
          <w:rFonts w:ascii="Calibri" w:hAnsi="Calibri" w:cs="Calibri"/>
          <w:color w:val="000000" w:themeColor="text1"/>
          <w:sz w:val="22"/>
          <w:szCs w:val="22"/>
          <w:vertAlign w:val="superscript"/>
        </w:rPr>
        <w:t>2</w:t>
      </w:r>
      <w:r w:rsidRPr="00C231A2">
        <w:rPr>
          <w:rStyle w:val="PageNumber"/>
          <w:rFonts w:ascii="Calibri" w:hAnsi="Calibri" w:cs="Calibri"/>
          <w:color w:val="000000" w:themeColor="text1"/>
          <w:sz w:val="22"/>
          <w:szCs w:val="22"/>
        </w:rPr>
        <w:t xml:space="preserve">Department of Biomedical Sciences, Faculty of Health Sciences, University of </w:t>
      </w:r>
      <w:proofErr w:type="spellStart"/>
      <w:r w:rsidRPr="00C231A2">
        <w:rPr>
          <w:rStyle w:val="PageNumber"/>
          <w:rFonts w:ascii="Calibri" w:hAnsi="Calibri" w:cs="Calibri"/>
          <w:color w:val="000000" w:themeColor="text1"/>
          <w:sz w:val="22"/>
          <w:szCs w:val="22"/>
        </w:rPr>
        <w:t>Buea</w:t>
      </w:r>
      <w:proofErr w:type="spellEnd"/>
      <w:r w:rsidRPr="00C231A2">
        <w:rPr>
          <w:rStyle w:val="PageNumber"/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C231A2">
        <w:rPr>
          <w:rStyle w:val="PageNumber"/>
          <w:rFonts w:ascii="Calibri" w:hAnsi="Calibri" w:cs="Calibri"/>
          <w:color w:val="000000" w:themeColor="text1"/>
          <w:sz w:val="22"/>
          <w:szCs w:val="22"/>
        </w:rPr>
        <w:t>Buea</w:t>
      </w:r>
      <w:proofErr w:type="spellEnd"/>
      <w:r w:rsidRPr="00C231A2">
        <w:rPr>
          <w:rStyle w:val="PageNumber"/>
          <w:rFonts w:ascii="Calibri" w:hAnsi="Calibri" w:cs="Calibri"/>
          <w:color w:val="000000" w:themeColor="text1"/>
          <w:sz w:val="22"/>
          <w:szCs w:val="22"/>
        </w:rPr>
        <w:t>, Cameroon.</w:t>
      </w:r>
    </w:p>
    <w:p w14:paraId="24D409BB" w14:textId="77777777" w:rsidR="00C572B4" w:rsidRPr="00C231A2" w:rsidRDefault="00C572B4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3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>Institute of Medical Microbiology, Immunology and Parasitology, University Hospital Bonn, Germany.</w:t>
      </w:r>
    </w:p>
    <w:p w14:paraId="75860FF1" w14:textId="77777777" w:rsidR="00C572B4" w:rsidRPr="00C231A2" w:rsidRDefault="00C572B4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4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Parasite and Vector Research Unit (PAVRU), Department of Microbiology and Parasitology, University of </w:t>
      </w:r>
      <w:proofErr w:type="spellStart"/>
      <w:r w:rsidRPr="00C231A2">
        <w:rPr>
          <w:rFonts w:ascii="Calibri" w:hAnsi="Calibri" w:cs="Calibri"/>
          <w:color w:val="000000" w:themeColor="text1"/>
          <w:sz w:val="22"/>
          <w:szCs w:val="22"/>
        </w:rPr>
        <w:t>Buea</w:t>
      </w:r>
      <w:proofErr w:type="spellEnd"/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C231A2">
        <w:rPr>
          <w:rFonts w:ascii="Calibri" w:hAnsi="Calibri" w:cs="Calibri"/>
          <w:color w:val="000000" w:themeColor="text1"/>
          <w:sz w:val="22"/>
          <w:szCs w:val="22"/>
        </w:rPr>
        <w:t>Buea</w:t>
      </w:r>
      <w:proofErr w:type="spellEnd"/>
      <w:r w:rsidRPr="00C231A2">
        <w:rPr>
          <w:rFonts w:ascii="Calibri" w:hAnsi="Calibri" w:cs="Calibri"/>
          <w:color w:val="000000" w:themeColor="text1"/>
          <w:sz w:val="22"/>
          <w:szCs w:val="22"/>
        </w:rPr>
        <w:t>, Cameroon.</w:t>
      </w:r>
    </w:p>
    <w:p w14:paraId="331E758E" w14:textId="77777777" w:rsidR="00C572B4" w:rsidRPr="00C231A2" w:rsidRDefault="00C572B4" w:rsidP="00EE38B2">
      <w:pPr>
        <w:pStyle w:val="Body"/>
        <w:spacing w:after="0" w:line="360" w:lineRule="auto"/>
        <w:jc w:val="both"/>
        <w:rPr>
          <w:rStyle w:val="PageNumber"/>
          <w:rFonts w:eastAsiaTheme="minorEastAsia"/>
          <w:color w:val="000000" w:themeColor="text1"/>
          <w:lang w:val="en-GB" w:eastAsia="de-DE"/>
        </w:rPr>
      </w:pPr>
      <w:r w:rsidRPr="00C231A2">
        <w:rPr>
          <w:rStyle w:val="PageNumber"/>
          <w:color w:val="000000" w:themeColor="text1"/>
          <w:vertAlign w:val="superscript"/>
        </w:rPr>
        <w:t>5</w:t>
      </w:r>
      <w:r w:rsidRPr="00C231A2">
        <w:rPr>
          <w:rStyle w:val="PageNumber"/>
          <w:color w:val="000000" w:themeColor="text1"/>
        </w:rPr>
        <w:t>Department of Zoology and Animal Physiology, Faculty of Science, University of Buea, Buea, Cameroon.</w:t>
      </w:r>
    </w:p>
    <w:p w14:paraId="32909CBB" w14:textId="77777777" w:rsidR="00C572B4" w:rsidRPr="00C231A2" w:rsidRDefault="00C572B4">
      <w:pPr>
        <w:pStyle w:val="Body"/>
        <w:spacing w:after="0" w:line="360" w:lineRule="auto"/>
        <w:jc w:val="both"/>
        <w:rPr>
          <w:rStyle w:val="PageNumber"/>
          <w:rFonts w:eastAsiaTheme="minorEastAsia"/>
          <w:color w:val="000000" w:themeColor="text1"/>
          <w:lang w:val="en-GB" w:eastAsia="de-DE"/>
        </w:rPr>
      </w:pPr>
      <w:r w:rsidRPr="00C231A2">
        <w:rPr>
          <w:rStyle w:val="PageNumber"/>
          <w:color w:val="000000" w:themeColor="text1"/>
          <w:vertAlign w:val="superscript"/>
        </w:rPr>
        <w:t>6</w:t>
      </w:r>
      <w:r w:rsidRPr="00C231A2">
        <w:rPr>
          <w:rStyle w:val="PageNumber"/>
          <w:color w:val="000000" w:themeColor="text1"/>
        </w:rPr>
        <w:t>Department of Animal Biology and Physiology, Faculty of Science, University of Yaounde I, Yaounde, Cameroon.</w:t>
      </w:r>
    </w:p>
    <w:p w14:paraId="70D98B18" w14:textId="77777777" w:rsidR="00C572B4" w:rsidRPr="00C231A2" w:rsidRDefault="00C572B4">
      <w:pPr>
        <w:pStyle w:val="Body"/>
        <w:spacing w:after="0" w:line="360" w:lineRule="auto"/>
        <w:jc w:val="both"/>
        <w:rPr>
          <w:color w:val="000000" w:themeColor="text1"/>
        </w:rPr>
      </w:pPr>
      <w:r w:rsidRPr="00C231A2">
        <w:rPr>
          <w:color w:val="000000" w:themeColor="text1"/>
          <w:vertAlign w:val="superscript"/>
        </w:rPr>
        <w:t>7</w:t>
      </w:r>
      <w:r w:rsidRPr="00C231A2">
        <w:rPr>
          <w:color w:val="000000" w:themeColor="text1"/>
        </w:rPr>
        <w:t>German Center for Infection Research (DZIF), Bonn - Cologne partner site, Bonn, Germany.</w:t>
      </w:r>
    </w:p>
    <w:p w14:paraId="64BA1DC3" w14:textId="77777777" w:rsidR="00C572B4" w:rsidRPr="00C231A2" w:rsidRDefault="00C572B4">
      <w:pPr>
        <w:pStyle w:val="Body"/>
        <w:spacing w:after="0" w:line="360" w:lineRule="auto"/>
        <w:jc w:val="both"/>
        <w:rPr>
          <w:rStyle w:val="PageNumber"/>
          <w:rFonts w:eastAsiaTheme="minorEastAsia"/>
          <w:color w:val="000000" w:themeColor="text1"/>
          <w:lang w:val="en-GB" w:eastAsia="de-DE"/>
        </w:rPr>
      </w:pPr>
      <w:r w:rsidRPr="00C231A2">
        <w:rPr>
          <w:rStyle w:val="PageNumber"/>
          <w:color w:val="000000" w:themeColor="text1"/>
          <w:vertAlign w:val="superscript"/>
        </w:rPr>
        <w:t>8</w:t>
      </w:r>
      <w:r w:rsidRPr="00C231A2">
        <w:rPr>
          <w:rStyle w:val="PageNumber"/>
          <w:color w:val="000000" w:themeColor="text1"/>
        </w:rPr>
        <w:t>Department of Tropical Disease Biology, Liverpool School of Tropical Medicine, UK.</w:t>
      </w:r>
    </w:p>
    <w:p w14:paraId="5CC1FC6A" w14:textId="77777777" w:rsidR="00C572B4" w:rsidRPr="00C231A2" w:rsidRDefault="00C572B4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>†Shared authorship</w:t>
      </w:r>
    </w:p>
    <w:p w14:paraId="125102A9" w14:textId="77777777" w:rsidR="0028332C" w:rsidRPr="009E35FA" w:rsidRDefault="0028332C" w:rsidP="00C231A2">
      <w:pPr>
        <w:pStyle w:val="Body"/>
        <w:spacing w:after="0" w:line="360" w:lineRule="auto"/>
        <w:jc w:val="both"/>
        <w:rPr>
          <w:lang w:val="en-GB"/>
        </w:rPr>
      </w:pPr>
    </w:p>
    <w:p w14:paraId="48DFC3B8" w14:textId="6991F543" w:rsidR="0028332C" w:rsidRPr="00C231A2" w:rsidRDefault="00C572B4" w:rsidP="00C231A2">
      <w:pPr>
        <w:pStyle w:val="Body"/>
        <w:spacing w:after="0" w:line="360" w:lineRule="auto"/>
        <w:jc w:val="both"/>
        <w:rPr>
          <w:b/>
          <w:bCs/>
          <w:lang w:val="en-GB"/>
        </w:rPr>
      </w:pPr>
      <w:r w:rsidRPr="009E35FA">
        <w:rPr>
          <w:color w:val="000000" w:themeColor="text1"/>
          <w:lang w:val="en-US"/>
        </w:rPr>
        <w:t xml:space="preserve">* </w:t>
      </w:r>
      <w:r w:rsidR="000B6985" w:rsidRPr="00C231A2">
        <w:rPr>
          <w:b/>
          <w:bCs/>
          <w:lang w:val="en-GB"/>
        </w:rPr>
        <w:t>Corresponding author(s)</w:t>
      </w:r>
    </w:p>
    <w:p w14:paraId="55E7F2E0" w14:textId="25EBFE92" w:rsidR="00C572B4" w:rsidRPr="00C231A2" w:rsidRDefault="00C572B4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>swanji@yahoo.fr</w:t>
      </w:r>
    </w:p>
    <w:p w14:paraId="7A5B1FA8" w14:textId="77777777" w:rsidR="0028332C" w:rsidRPr="00C572B4" w:rsidRDefault="0028332C" w:rsidP="00C231A2">
      <w:pPr>
        <w:pStyle w:val="Body"/>
        <w:spacing w:line="360" w:lineRule="auto"/>
        <w:rPr>
          <w:b/>
          <w:bCs/>
          <w:lang w:val="en-US"/>
        </w:rPr>
      </w:pPr>
    </w:p>
    <w:p w14:paraId="1BE535FA" w14:textId="77777777" w:rsidR="0028332C" w:rsidRPr="00C231A2" w:rsidRDefault="000B6985" w:rsidP="00C231A2">
      <w:pPr>
        <w:pStyle w:val="Body"/>
        <w:spacing w:after="0" w:line="360" w:lineRule="auto"/>
        <w:rPr>
          <w:b/>
          <w:bCs/>
          <w:lang w:val="en-GB"/>
        </w:rPr>
      </w:pPr>
      <w:r w:rsidRPr="00C231A2">
        <w:rPr>
          <w:b/>
          <w:bCs/>
          <w:lang w:val="en-GB"/>
        </w:rPr>
        <w:t>Abstract</w:t>
      </w:r>
    </w:p>
    <w:p w14:paraId="28853ADF" w14:textId="06791EC8" w:rsidR="008155F3" w:rsidRPr="009E35FA" w:rsidRDefault="008155F3" w:rsidP="00C231A2">
      <w:pPr>
        <w:pStyle w:val="Body"/>
        <w:spacing w:line="360" w:lineRule="auto"/>
        <w:jc w:val="both"/>
        <w:rPr>
          <w:color w:val="1F497D"/>
          <w:u w:color="1F497D"/>
          <w:lang w:val="en-GB"/>
        </w:rPr>
      </w:pPr>
      <w:r w:rsidRPr="009E35FA">
        <w:rPr>
          <w:color w:val="000000" w:themeColor="text1"/>
        </w:rPr>
        <w:t xml:space="preserve">The data presented here were collected from </w:t>
      </w:r>
      <w:r w:rsidRPr="00C231A2">
        <w:rPr>
          <w:i/>
          <w:iCs/>
          <w:color w:val="000000" w:themeColor="text1"/>
        </w:rPr>
        <w:t>in vitro</w:t>
      </w:r>
      <w:r w:rsidRPr="009E35FA">
        <w:rPr>
          <w:color w:val="000000" w:themeColor="text1"/>
        </w:rPr>
        <w:t xml:space="preserve"> culture of </w:t>
      </w:r>
      <w:r w:rsidRPr="009E35FA">
        <w:rPr>
          <w:i/>
          <w:color w:val="000000" w:themeColor="text1"/>
        </w:rPr>
        <w:t>M. perstans</w:t>
      </w:r>
      <w:r w:rsidRPr="009E35FA">
        <w:rPr>
          <w:color w:val="000000" w:themeColor="text1"/>
        </w:rPr>
        <w:t xml:space="preserve"> microfilariae, while asssessing the ability of two basic culture media; Dulbecco’s Modified Eagle’s Medium (DMEM) and Roswell Park Memorial Institute (RPMI-1640) supplemented with 10% fetal bovine serum (FBS) and a monkey kidney epithelial cell line (LLC-MK</w:t>
      </w:r>
      <w:r w:rsidRPr="009E35FA">
        <w:rPr>
          <w:color w:val="000000" w:themeColor="text1"/>
          <w:vertAlign w:val="subscript"/>
        </w:rPr>
        <w:t>2</w:t>
      </w:r>
      <w:r w:rsidRPr="009E35FA">
        <w:rPr>
          <w:color w:val="000000" w:themeColor="text1"/>
        </w:rPr>
        <w:t xml:space="preserve">) to support the survival of </w:t>
      </w:r>
      <w:r w:rsidRPr="00700EA8">
        <w:rPr>
          <w:color w:val="000000" w:themeColor="text1"/>
        </w:rPr>
        <w:t>this parasite stage; and their sussceptibility to chemotherapeutic agents. Parasites motlity were scored</w:t>
      </w:r>
      <w:r w:rsidR="002F3321" w:rsidRPr="00700EA8">
        <w:rPr>
          <w:color w:val="000000" w:themeColor="text1"/>
        </w:rPr>
        <w:t xml:space="preserve"> da</w:t>
      </w:r>
      <w:r w:rsidR="00086579" w:rsidRPr="00C231A2">
        <w:rPr>
          <w:color w:val="000000" w:themeColor="text1"/>
        </w:rPr>
        <w:t>i</w:t>
      </w:r>
      <w:r w:rsidR="002F3321" w:rsidRPr="009E35FA">
        <w:rPr>
          <w:color w:val="000000" w:themeColor="text1"/>
        </w:rPr>
        <w:t>ly</w:t>
      </w:r>
      <w:r w:rsidRPr="009E35FA">
        <w:rPr>
          <w:color w:val="000000" w:themeColor="text1"/>
        </w:rPr>
        <w:t xml:space="preserve"> on a 4 scale</w:t>
      </w:r>
      <w:r w:rsidR="002F3321" w:rsidRPr="009E35FA">
        <w:rPr>
          <w:color w:val="000000" w:themeColor="text1"/>
        </w:rPr>
        <w:t>s system</w:t>
      </w:r>
      <w:r w:rsidRPr="009E35FA">
        <w:rPr>
          <w:color w:val="000000" w:themeColor="text1"/>
        </w:rPr>
        <w:t>, and the average motility computed</w:t>
      </w:r>
      <w:r w:rsidR="002F3321" w:rsidRPr="009E35FA">
        <w:rPr>
          <w:color w:val="000000" w:themeColor="text1"/>
        </w:rPr>
        <w:t>, as well as the area under the motility curve. Mortility was determined as the percentges of imotiled worms.</w:t>
      </w:r>
    </w:p>
    <w:p w14:paraId="5521464E" w14:textId="77777777" w:rsidR="00086579" w:rsidRDefault="00086579" w:rsidP="00F56D94">
      <w:pPr>
        <w:pStyle w:val="Body"/>
        <w:jc w:val="both"/>
        <w:rPr>
          <w:b/>
          <w:bCs/>
          <w:sz w:val="24"/>
          <w:szCs w:val="24"/>
          <w:lang w:val="en-GB"/>
        </w:rPr>
      </w:pPr>
    </w:p>
    <w:p w14:paraId="3D1CA531" w14:textId="4915671B" w:rsidR="0028332C" w:rsidRPr="009E35FA" w:rsidRDefault="000B6985" w:rsidP="00C231A2">
      <w:pPr>
        <w:pStyle w:val="Body"/>
        <w:spacing w:after="0"/>
        <w:jc w:val="both"/>
        <w:rPr>
          <w:color w:val="1F497D"/>
          <w:u w:color="1F497D"/>
          <w:lang w:val="en-GB"/>
        </w:rPr>
      </w:pPr>
      <w:r w:rsidRPr="00C231A2">
        <w:rPr>
          <w:b/>
          <w:bCs/>
          <w:lang w:val="en-GB"/>
        </w:rPr>
        <w:t>Keywords</w:t>
      </w:r>
    </w:p>
    <w:p w14:paraId="2BEA8C71" w14:textId="5DAC61C8" w:rsidR="0028332C" w:rsidRPr="00C231A2" w:rsidRDefault="00C572B4">
      <w:pPr>
        <w:pStyle w:val="Body"/>
        <w:spacing w:after="0"/>
        <w:jc w:val="both"/>
        <w:rPr>
          <w:i/>
          <w:iCs/>
          <w:color w:val="000000" w:themeColor="text1"/>
          <w:lang w:val="en-GB"/>
        </w:rPr>
      </w:pPr>
      <w:r w:rsidRPr="009E35FA">
        <w:rPr>
          <w:color w:val="000000" w:themeColor="text1"/>
        </w:rPr>
        <w:t>Motility, microfilaria</w:t>
      </w:r>
      <w:r w:rsidRPr="00C231A2">
        <w:rPr>
          <w:i/>
          <w:iCs/>
          <w:color w:val="000000" w:themeColor="text1"/>
        </w:rPr>
        <w:t>, in vitro</w:t>
      </w:r>
      <w:r w:rsidR="009E35FA">
        <w:rPr>
          <w:i/>
          <w:iCs/>
          <w:color w:val="000000" w:themeColor="text1"/>
        </w:rPr>
        <w:t>, Mansonella perstans</w:t>
      </w:r>
    </w:p>
    <w:p w14:paraId="5B26C7D4" w14:textId="7E0562BA" w:rsidR="009E35FA" w:rsidRDefault="009E35FA">
      <w:pPr>
        <w:pStyle w:val="Body"/>
        <w:spacing w:after="0"/>
        <w:jc w:val="both"/>
        <w:rPr>
          <w:color w:val="000000" w:themeColor="text1"/>
        </w:rPr>
      </w:pPr>
    </w:p>
    <w:p w14:paraId="2FA97162" w14:textId="77777777" w:rsidR="009E35FA" w:rsidRPr="007330C0" w:rsidRDefault="009E35FA">
      <w:pPr>
        <w:pStyle w:val="Body"/>
        <w:spacing w:after="0"/>
        <w:jc w:val="both"/>
        <w:rPr>
          <w:color w:val="000000" w:themeColor="text1"/>
        </w:rPr>
      </w:pPr>
    </w:p>
    <w:p w14:paraId="60E4C2F3" w14:textId="09A827AA" w:rsidR="0028332C" w:rsidRPr="00C231A2" w:rsidRDefault="000B6985">
      <w:pPr>
        <w:pStyle w:val="Body"/>
        <w:spacing w:after="0"/>
        <w:rPr>
          <w:b/>
          <w:bCs/>
          <w:lang w:val="en-GB"/>
        </w:rPr>
      </w:pPr>
      <w:r w:rsidRPr="00C231A2">
        <w:rPr>
          <w:b/>
          <w:bCs/>
          <w:lang w:val="en-GB"/>
        </w:rPr>
        <w:t xml:space="preserve">Specifications Table 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7"/>
        <w:gridCol w:w="6773"/>
      </w:tblGrid>
      <w:tr w:rsidR="0028332C" w:rsidRPr="0009012D" w14:paraId="1BE1AE64" w14:textId="77777777" w:rsidTr="00136E5C">
        <w:trPr>
          <w:trHeight w:val="27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FA62" w14:textId="77777777" w:rsidR="0028332C" w:rsidRPr="0009012D" w:rsidRDefault="000B6985">
            <w:pPr>
              <w:pStyle w:val="Body"/>
              <w:tabs>
                <w:tab w:val="left" w:pos="1290"/>
              </w:tabs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Subject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2497" w14:textId="740E3866" w:rsidR="0028332C" w:rsidRPr="007B466F" w:rsidRDefault="007B466F" w:rsidP="007B466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Parasitology</w:t>
            </w:r>
          </w:p>
        </w:tc>
      </w:tr>
      <w:tr w:rsidR="0028332C" w:rsidRPr="0009012D" w14:paraId="00DE9ADA" w14:textId="77777777" w:rsidTr="00136E5C">
        <w:trPr>
          <w:trHeight w:val="31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FDA2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Specific subject area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F861" w14:textId="5E61D9E1" w:rsidR="0028332C" w:rsidRPr="0009012D" w:rsidRDefault="00FE1BDB">
            <w:pPr>
              <w:pStyle w:val="Body"/>
              <w:spacing w:after="0" w:line="240" w:lineRule="auto"/>
              <w:rPr>
                <w:lang w:val="en-GB"/>
              </w:rPr>
            </w:pPr>
            <w:r w:rsidRPr="00FE1BDB">
              <w:rPr>
                <w:i/>
                <w:lang w:val="en-GB"/>
              </w:rPr>
              <w:t xml:space="preserve">In vitro </w:t>
            </w:r>
            <w:r>
              <w:rPr>
                <w:lang w:val="en-GB"/>
              </w:rPr>
              <w:t>culture</w:t>
            </w:r>
            <w:r w:rsidR="009E35FA">
              <w:rPr>
                <w:lang w:val="en-GB"/>
              </w:rPr>
              <w:t xml:space="preserve"> systems</w:t>
            </w:r>
          </w:p>
        </w:tc>
      </w:tr>
      <w:tr w:rsidR="0028332C" w:rsidRPr="0009012D" w14:paraId="0D15E71A" w14:textId="77777777" w:rsidTr="00136E5C">
        <w:trPr>
          <w:trHeight w:val="378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91A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Type of data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0515" w14:textId="3FBA4E71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Table</w:t>
            </w:r>
          </w:p>
        </w:tc>
      </w:tr>
      <w:tr w:rsidR="0028332C" w:rsidRPr="0009012D" w14:paraId="7966AB2D" w14:textId="77777777" w:rsidTr="00136E5C">
        <w:trPr>
          <w:trHeight w:val="3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7636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How data w</w:t>
            </w:r>
            <w:r w:rsidR="0006058F" w:rsidRPr="0009012D">
              <w:rPr>
                <w:b/>
                <w:bCs/>
                <w:lang w:val="en-GB"/>
              </w:rPr>
              <w:t>ere</w:t>
            </w:r>
            <w:r w:rsidRPr="0009012D">
              <w:rPr>
                <w:b/>
                <w:bCs/>
                <w:lang w:val="en-GB"/>
              </w:rPr>
              <w:t xml:space="preserve"> acquired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BE13" w14:textId="44E4E098" w:rsidR="00511615" w:rsidRPr="00136E5C" w:rsidRDefault="00CC714F" w:rsidP="00CA7086">
            <w:pPr>
              <w:pStyle w:val="Body"/>
              <w:spacing w:after="0" w:line="240" w:lineRule="auto"/>
              <w:rPr>
                <w:lang w:val="en-GB"/>
              </w:rPr>
            </w:pPr>
            <w:r w:rsidRPr="00136E5C">
              <w:rPr>
                <w:lang w:val="en-GB"/>
              </w:rPr>
              <w:t>Microscopy</w:t>
            </w:r>
          </w:p>
        </w:tc>
      </w:tr>
      <w:tr w:rsidR="0028332C" w:rsidRPr="0009012D" w14:paraId="0C51CE30" w14:textId="77777777" w:rsidTr="00136E5C">
        <w:trPr>
          <w:trHeight w:val="468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DA1A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Data format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BE6A" w14:textId="6F9E9E31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Raw</w:t>
            </w:r>
            <w:r w:rsidR="00CC714F">
              <w:rPr>
                <w:lang w:val="en-GB"/>
              </w:rPr>
              <w:t xml:space="preserve"> and </w:t>
            </w:r>
            <w:r w:rsidRPr="0009012D">
              <w:rPr>
                <w:lang w:val="en-GB"/>
              </w:rPr>
              <w:t>Analy</w:t>
            </w:r>
            <w:r w:rsidR="009E35FA">
              <w:rPr>
                <w:lang w:val="en-GB"/>
              </w:rPr>
              <w:t>s</w:t>
            </w:r>
            <w:r w:rsidRPr="0009012D">
              <w:rPr>
                <w:lang w:val="en-GB"/>
              </w:rPr>
              <w:t>ed</w:t>
            </w:r>
          </w:p>
        </w:tc>
      </w:tr>
      <w:tr w:rsidR="0028332C" w:rsidRPr="0009012D" w14:paraId="58100F60" w14:textId="77777777">
        <w:trPr>
          <w:trHeight w:val="7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CD92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Parameters for data collection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347B" w14:textId="3327BF34" w:rsidR="0028332C" w:rsidRPr="0009012D" w:rsidRDefault="00CF54FE" w:rsidP="00C231A2">
            <w:pPr>
              <w:pStyle w:val="Body"/>
              <w:spacing w:after="0" w:line="360" w:lineRule="auto"/>
              <w:jc w:val="both"/>
              <w:rPr>
                <w:lang w:val="en-GB"/>
              </w:rPr>
            </w:pPr>
            <w:r w:rsidRPr="00466B61">
              <w:rPr>
                <w:i/>
                <w:color w:val="000000" w:themeColor="text1"/>
              </w:rPr>
              <w:t>In vitro</w:t>
            </w:r>
            <w:r>
              <w:rPr>
                <w:color w:val="000000" w:themeColor="text1"/>
              </w:rPr>
              <w:t xml:space="preserve"> cultures</w:t>
            </w:r>
            <w:r w:rsidRPr="001B4A58">
              <w:rPr>
                <w:color w:val="000000" w:themeColor="text1"/>
              </w:rPr>
              <w:t xml:space="preserve"> of </w:t>
            </w:r>
            <w:r w:rsidRPr="001B4A58">
              <w:rPr>
                <w:i/>
                <w:color w:val="000000" w:themeColor="text1"/>
              </w:rPr>
              <w:t>M. perstans</w:t>
            </w:r>
            <w:r w:rsidRPr="001B4A58">
              <w:rPr>
                <w:color w:val="000000" w:themeColor="text1"/>
              </w:rPr>
              <w:t xml:space="preserve"> </w:t>
            </w:r>
            <w:r w:rsidR="009E35FA">
              <w:rPr>
                <w:color w:val="000000" w:themeColor="text1"/>
              </w:rPr>
              <w:t>microfilariae</w:t>
            </w:r>
            <w:r w:rsidRPr="001B4A58">
              <w:rPr>
                <w:color w:val="000000" w:themeColor="text1"/>
              </w:rPr>
              <w:t xml:space="preserve"> </w:t>
            </w:r>
            <w:r w:rsidRPr="00466B61">
              <w:rPr>
                <w:color w:val="000000" w:themeColor="text1"/>
              </w:rPr>
              <w:t>were</w:t>
            </w:r>
            <w:r w:rsidRPr="001B4A58">
              <w:rPr>
                <w:color w:val="000000" w:themeColor="text1"/>
              </w:rPr>
              <w:t xml:space="preserve"> performed </w:t>
            </w:r>
            <w:r w:rsidR="004F1C6F">
              <w:rPr>
                <w:color w:val="000000" w:themeColor="text1"/>
              </w:rPr>
              <w:t xml:space="preserve">by culturing </w:t>
            </w:r>
            <w:r w:rsidR="004072EC" w:rsidRPr="001B4A58">
              <w:rPr>
                <w:color w:val="000000" w:themeColor="text1"/>
              </w:rPr>
              <w:t>30 – 50 mf/well in a 48-well flat-bottomed plate</w:t>
            </w:r>
            <w:r w:rsidR="004072EC">
              <w:rPr>
                <w:color w:val="000000" w:themeColor="text1"/>
              </w:rPr>
              <w:t xml:space="preserve">s </w:t>
            </w:r>
            <w:r w:rsidR="004072EC" w:rsidRPr="001B4A58">
              <w:rPr>
                <w:color w:val="000000" w:themeColor="text1"/>
              </w:rPr>
              <w:t xml:space="preserve">with or without confluent monolayers of </w:t>
            </w:r>
            <w:r w:rsidR="009E35FA" w:rsidRPr="006308A4">
              <w:rPr>
                <w:color w:val="000000" w:themeColor="text1"/>
              </w:rPr>
              <w:t xml:space="preserve">monkey kidney epithelial cell line </w:t>
            </w:r>
            <w:r w:rsidR="009E35FA">
              <w:rPr>
                <w:color w:val="000000" w:themeColor="text1"/>
              </w:rPr>
              <w:t>(</w:t>
            </w:r>
            <w:r w:rsidR="004072EC" w:rsidRPr="001B4A58">
              <w:rPr>
                <w:color w:val="000000" w:themeColor="text1"/>
              </w:rPr>
              <w:t>LLC-MK</w:t>
            </w:r>
            <w:r w:rsidR="004072EC" w:rsidRPr="001B4A58">
              <w:rPr>
                <w:color w:val="000000" w:themeColor="text1"/>
                <w:vertAlign w:val="subscript"/>
              </w:rPr>
              <w:t>2</w:t>
            </w:r>
            <w:r w:rsidR="009E35FA">
              <w:rPr>
                <w:color w:val="000000" w:themeColor="text1"/>
              </w:rPr>
              <w:t>)</w:t>
            </w:r>
            <w:r w:rsidR="004072EC" w:rsidRPr="001B4A58">
              <w:rPr>
                <w:color w:val="000000" w:themeColor="text1"/>
              </w:rPr>
              <w:t xml:space="preserve"> as feeder cells in either RPMI-1640 or DMEM media supplemented with 5 </w:t>
            </w:r>
            <w:r w:rsidR="004072EC" w:rsidRPr="001B4A58">
              <w:rPr>
                <w:color w:val="000000" w:themeColor="text1"/>
                <w:lang w:val="de-DE"/>
              </w:rPr>
              <w:t>μ</w:t>
            </w:r>
            <w:r w:rsidR="004072EC" w:rsidRPr="001B4A58">
              <w:rPr>
                <w:color w:val="000000" w:themeColor="text1"/>
              </w:rPr>
              <w:t xml:space="preserve">g/ml ciprofloxacin and 10 </w:t>
            </w:r>
            <w:r w:rsidR="004072EC" w:rsidRPr="001B4A58">
              <w:rPr>
                <w:color w:val="000000" w:themeColor="text1"/>
                <w:lang w:val="de-DE"/>
              </w:rPr>
              <w:t>μ</w:t>
            </w:r>
            <w:r w:rsidR="004F1C6F">
              <w:rPr>
                <w:color w:val="000000" w:themeColor="text1"/>
              </w:rPr>
              <w:t xml:space="preserve">g/ml fluconazole </w:t>
            </w:r>
            <w:r w:rsidR="004072EC">
              <w:rPr>
                <w:color w:val="000000" w:themeColor="text1"/>
              </w:rPr>
              <w:t xml:space="preserve">and either with or without </w:t>
            </w:r>
            <w:r w:rsidR="004072EC" w:rsidRPr="001B4A58">
              <w:rPr>
                <w:color w:val="000000" w:themeColor="text1"/>
              </w:rPr>
              <w:t xml:space="preserve">10 % </w:t>
            </w:r>
            <w:r w:rsidR="009E35FA">
              <w:rPr>
                <w:color w:val="000000" w:themeColor="text1"/>
              </w:rPr>
              <w:t>fetal bovine serum (</w:t>
            </w:r>
            <w:r w:rsidR="004072EC" w:rsidRPr="001B4A58">
              <w:rPr>
                <w:color w:val="000000" w:themeColor="text1"/>
              </w:rPr>
              <w:t>FBS</w:t>
            </w:r>
            <w:r w:rsidR="009E35FA">
              <w:rPr>
                <w:color w:val="000000" w:themeColor="text1"/>
              </w:rPr>
              <w:t>)</w:t>
            </w:r>
            <w:r w:rsidR="004072EC" w:rsidRPr="001B4A58">
              <w:rPr>
                <w:color w:val="000000" w:themeColor="text1"/>
              </w:rPr>
              <w:t>.</w:t>
            </w:r>
          </w:p>
        </w:tc>
      </w:tr>
      <w:tr w:rsidR="0028332C" w:rsidRPr="0009012D" w14:paraId="28C2EB58" w14:textId="77777777">
        <w:trPr>
          <w:trHeight w:val="7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B4A8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Description of data collection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889E" w14:textId="02D00D04" w:rsidR="0028332C" w:rsidRPr="00C231A2" w:rsidRDefault="00646075" w:rsidP="00C231A2">
            <w:pPr>
              <w:pStyle w:val="Heading2"/>
              <w:spacing w:after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AU"/>
              </w:rPr>
            </w:pPr>
            <w:r w:rsidRPr="00C231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="00F5134A" w:rsidRPr="00C231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icrofilaria </w:t>
            </w:r>
            <w:r w:rsidRPr="00C231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motility was daily scored under x10 magnification using an inverted microscope</w:t>
            </w:r>
            <w:r w:rsidRPr="00C231A2">
              <w:rPr>
                <w:rFonts w:ascii="Calibri" w:hAnsi="Calibri" w:cs="Calibri"/>
                <w:color w:val="000000" w:themeColor="text1"/>
                <w:sz w:val="22"/>
                <w:szCs w:val="22"/>
                <w:lang w:val="en-AU"/>
              </w:rPr>
              <w:t xml:space="preserve"> by applying a 4-point scale: 0, no movement or immotile; 1, intermittent shaking of head and tail; 2, sluggish (shaking of the whole form whilst the mf remained stationary); 3, vigorous movement (shaking of the whole form and with migration around the well).</w:t>
            </w:r>
          </w:p>
        </w:tc>
      </w:tr>
      <w:tr w:rsidR="0028332C" w:rsidRPr="0009012D" w14:paraId="22A2238D" w14:textId="77777777" w:rsidTr="00CF54FE">
        <w:trPr>
          <w:trHeight w:val="6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6B50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Data accessibility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1561" w14:textId="18ED7960" w:rsidR="0028332C" w:rsidRPr="00C231A2" w:rsidRDefault="00CF54FE" w:rsidP="009E35FA">
            <w:pPr>
              <w:pStyle w:val="Body"/>
              <w:spacing w:after="0" w:line="240" w:lineRule="auto"/>
              <w:rPr>
                <w:color w:val="000000" w:themeColor="text1"/>
                <w:bdr w:val="none" w:sz="0" w:space="0" w:color="auto"/>
                <w:lang w:val="en-AU"/>
              </w:rPr>
            </w:pPr>
            <w:r w:rsidRPr="00C231A2">
              <w:rPr>
                <w:color w:val="000000" w:themeColor="text1"/>
                <w:bdr w:val="none" w:sz="0" w:space="0" w:color="auto"/>
                <w:lang w:val="en-AU"/>
              </w:rPr>
              <w:t>Data is provided in this article</w:t>
            </w:r>
          </w:p>
        </w:tc>
      </w:tr>
    </w:tbl>
    <w:p w14:paraId="2C05B7B7" w14:textId="77777777" w:rsidR="0028332C" w:rsidRPr="0009012D" w:rsidRDefault="0028332C">
      <w:pPr>
        <w:pStyle w:val="Body"/>
        <w:spacing w:after="0"/>
        <w:rPr>
          <w:sz w:val="24"/>
          <w:szCs w:val="24"/>
          <w:lang w:val="en-GB"/>
        </w:rPr>
      </w:pPr>
    </w:p>
    <w:p w14:paraId="7265AC08" w14:textId="77777777" w:rsidR="0028332C" w:rsidRPr="00C231A2" w:rsidRDefault="000B6985" w:rsidP="00C231A2">
      <w:pPr>
        <w:pStyle w:val="Body"/>
        <w:spacing w:after="0"/>
        <w:jc w:val="both"/>
        <w:rPr>
          <w:b/>
          <w:bCs/>
          <w:lang w:val="en-GB"/>
        </w:rPr>
      </w:pPr>
      <w:r w:rsidRPr="00C231A2">
        <w:rPr>
          <w:b/>
          <w:bCs/>
          <w:lang w:val="en-GB"/>
        </w:rPr>
        <w:t>Value of the Data</w:t>
      </w:r>
    </w:p>
    <w:p w14:paraId="1A3D1FC0" w14:textId="16DEFC0B" w:rsidR="0028332C" w:rsidRPr="00C231A2" w:rsidRDefault="005725F1" w:rsidP="00C231A2">
      <w:pPr>
        <w:pStyle w:val="ListParagraph"/>
        <w:numPr>
          <w:ilvl w:val="0"/>
          <w:numId w:val="6"/>
        </w:numPr>
        <w:jc w:val="both"/>
        <w:rPr>
          <w:color w:val="000000" w:themeColor="text1"/>
          <w:bdr w:val="none" w:sz="0" w:space="0" w:color="auto"/>
          <w:lang w:val="en-GB"/>
        </w:rPr>
      </w:pPr>
      <w:r w:rsidRPr="00C231A2">
        <w:rPr>
          <w:color w:val="000000" w:themeColor="text1"/>
          <w:bdr w:val="none" w:sz="0" w:space="0" w:color="auto"/>
          <w:lang w:val="en-GB"/>
        </w:rPr>
        <w:t>Scoring of the microfilariae motility is useful for the assessment of suitable conditions for parasites survival as well as testing drug efficacy.</w:t>
      </w:r>
    </w:p>
    <w:p w14:paraId="35F7D75A" w14:textId="0377F6C9" w:rsidR="0028332C" w:rsidRPr="00C231A2" w:rsidRDefault="005725F1" w:rsidP="00C231A2">
      <w:pPr>
        <w:pStyle w:val="ListParagraph"/>
        <w:numPr>
          <w:ilvl w:val="0"/>
          <w:numId w:val="6"/>
        </w:numPr>
        <w:jc w:val="both"/>
        <w:rPr>
          <w:color w:val="000000" w:themeColor="text1"/>
          <w:bdr w:val="none" w:sz="0" w:space="0" w:color="auto"/>
          <w:lang w:val="en-GB"/>
        </w:rPr>
      </w:pPr>
      <w:r w:rsidRPr="00C231A2">
        <w:rPr>
          <w:color w:val="000000" w:themeColor="text1"/>
          <w:bdr w:val="none" w:sz="0" w:space="0" w:color="auto"/>
          <w:lang w:val="en-GB"/>
        </w:rPr>
        <w:t xml:space="preserve">Data presented here can be used as reference for further culture of </w:t>
      </w:r>
      <w:r w:rsidRPr="00C231A2">
        <w:rPr>
          <w:i/>
          <w:color w:val="000000" w:themeColor="text1"/>
          <w:bdr w:val="none" w:sz="0" w:space="0" w:color="auto"/>
          <w:lang w:val="en-GB"/>
        </w:rPr>
        <w:t>M. perstans</w:t>
      </w:r>
      <w:r w:rsidRPr="00C231A2">
        <w:rPr>
          <w:color w:val="000000" w:themeColor="text1"/>
          <w:bdr w:val="none" w:sz="0" w:space="0" w:color="auto"/>
          <w:lang w:val="en-GB"/>
        </w:rPr>
        <w:t xml:space="preserve"> m</w:t>
      </w:r>
      <w:r w:rsidR="00700EA8" w:rsidRPr="00C231A2">
        <w:rPr>
          <w:color w:val="000000" w:themeColor="text1"/>
          <w:bdr w:val="none" w:sz="0" w:space="0" w:color="auto"/>
          <w:lang w:val="en-GB"/>
        </w:rPr>
        <w:t>icrofilariae</w:t>
      </w:r>
      <w:r w:rsidRPr="00C231A2">
        <w:rPr>
          <w:color w:val="000000" w:themeColor="text1"/>
          <w:bdr w:val="none" w:sz="0" w:space="0" w:color="auto"/>
          <w:lang w:val="en-GB"/>
        </w:rPr>
        <w:t>.</w:t>
      </w:r>
    </w:p>
    <w:p w14:paraId="000D5FEE" w14:textId="1A4C081F" w:rsidR="0028332C" w:rsidRPr="00C231A2" w:rsidRDefault="00621772" w:rsidP="00C231A2">
      <w:pPr>
        <w:pStyle w:val="ListParagraph"/>
        <w:numPr>
          <w:ilvl w:val="0"/>
          <w:numId w:val="6"/>
        </w:numPr>
        <w:jc w:val="both"/>
        <w:rPr>
          <w:color w:val="000000" w:themeColor="text1"/>
          <w:bdr w:val="none" w:sz="0" w:space="0" w:color="auto"/>
          <w:lang w:val="en-GB"/>
        </w:rPr>
      </w:pPr>
      <w:r w:rsidRPr="00C231A2">
        <w:rPr>
          <w:color w:val="000000" w:themeColor="text1"/>
          <w:bdr w:val="none" w:sz="0" w:space="0" w:color="auto"/>
          <w:lang w:val="en-GB"/>
        </w:rPr>
        <w:lastRenderedPageBreak/>
        <w:t xml:space="preserve">Data processing </w:t>
      </w:r>
      <w:r w:rsidR="005725F1" w:rsidRPr="00C231A2">
        <w:rPr>
          <w:color w:val="000000" w:themeColor="text1"/>
          <w:bdr w:val="none" w:sz="0" w:space="0" w:color="auto"/>
          <w:lang w:val="en-GB"/>
        </w:rPr>
        <w:t>approach of this dataset</w:t>
      </w:r>
      <w:r w:rsidR="00685DEA" w:rsidRPr="00C231A2">
        <w:rPr>
          <w:color w:val="000000" w:themeColor="text1"/>
          <w:bdr w:val="none" w:sz="0" w:space="0" w:color="auto"/>
          <w:lang w:val="en-GB"/>
        </w:rPr>
        <w:t>s</w:t>
      </w:r>
      <w:r w:rsidR="005725F1" w:rsidRPr="00C231A2">
        <w:rPr>
          <w:color w:val="000000" w:themeColor="text1"/>
          <w:bdr w:val="none" w:sz="0" w:space="0" w:color="auto"/>
          <w:lang w:val="en-GB"/>
        </w:rPr>
        <w:t xml:space="preserve"> is </w:t>
      </w:r>
      <w:r w:rsidRPr="00C231A2">
        <w:rPr>
          <w:color w:val="000000" w:themeColor="text1"/>
          <w:bdr w:val="none" w:sz="0" w:space="0" w:color="auto"/>
          <w:lang w:val="en-GB"/>
        </w:rPr>
        <w:t xml:space="preserve">easy to replicate and </w:t>
      </w:r>
      <w:r w:rsidR="005725F1" w:rsidRPr="00C231A2">
        <w:rPr>
          <w:color w:val="000000" w:themeColor="text1"/>
          <w:bdr w:val="none" w:sz="0" w:space="0" w:color="auto"/>
          <w:lang w:val="en-GB"/>
        </w:rPr>
        <w:t xml:space="preserve">relevant </w:t>
      </w:r>
      <w:r w:rsidR="00685DEA" w:rsidRPr="00C231A2">
        <w:rPr>
          <w:color w:val="000000" w:themeColor="text1"/>
          <w:bdr w:val="none" w:sz="0" w:space="0" w:color="auto"/>
          <w:lang w:val="en-GB"/>
        </w:rPr>
        <w:t xml:space="preserve">for the </w:t>
      </w:r>
      <w:r w:rsidRPr="00C231A2">
        <w:rPr>
          <w:color w:val="000000" w:themeColor="text1"/>
          <w:bdr w:val="none" w:sz="0" w:space="0" w:color="auto"/>
          <w:lang w:val="en-GB"/>
        </w:rPr>
        <w:t xml:space="preserve">comparative analysis </w:t>
      </w:r>
      <w:r w:rsidR="00685DEA" w:rsidRPr="00C231A2">
        <w:rPr>
          <w:color w:val="000000" w:themeColor="text1"/>
          <w:bdr w:val="none" w:sz="0" w:space="0" w:color="auto"/>
          <w:lang w:val="en-GB"/>
        </w:rPr>
        <w:t xml:space="preserve">of </w:t>
      </w:r>
      <w:r w:rsidRPr="00C231A2">
        <w:rPr>
          <w:color w:val="000000" w:themeColor="text1"/>
          <w:bdr w:val="none" w:sz="0" w:space="0" w:color="auto"/>
          <w:lang w:val="en-GB"/>
        </w:rPr>
        <w:t xml:space="preserve">the motility of </w:t>
      </w:r>
      <w:r w:rsidR="00685DEA" w:rsidRPr="00C231A2">
        <w:rPr>
          <w:color w:val="000000" w:themeColor="text1"/>
          <w:bdr w:val="none" w:sz="0" w:space="0" w:color="auto"/>
          <w:lang w:val="en-GB"/>
        </w:rPr>
        <w:t>filarial species</w:t>
      </w:r>
      <w:r w:rsidRPr="00C231A2">
        <w:rPr>
          <w:color w:val="000000" w:themeColor="text1"/>
          <w:bdr w:val="none" w:sz="0" w:space="0" w:color="auto"/>
          <w:lang w:val="en-GB"/>
        </w:rPr>
        <w:t xml:space="preserve"> </w:t>
      </w:r>
      <w:r w:rsidRPr="00C231A2">
        <w:rPr>
          <w:i/>
          <w:color w:val="000000" w:themeColor="text1"/>
          <w:bdr w:val="none" w:sz="0" w:space="0" w:color="auto"/>
          <w:lang w:val="en-GB"/>
        </w:rPr>
        <w:t>in vitro</w:t>
      </w:r>
      <w:r w:rsidRPr="00C231A2">
        <w:rPr>
          <w:color w:val="000000" w:themeColor="text1"/>
          <w:bdr w:val="none" w:sz="0" w:space="0" w:color="auto"/>
          <w:lang w:val="en-GB"/>
        </w:rPr>
        <w:t>.</w:t>
      </w:r>
    </w:p>
    <w:p w14:paraId="74C8A222" w14:textId="533A3AAA" w:rsidR="0028332C" w:rsidRPr="00C231A2" w:rsidRDefault="003A25F0" w:rsidP="00C231A2">
      <w:pPr>
        <w:pStyle w:val="ListParagraph"/>
        <w:numPr>
          <w:ilvl w:val="0"/>
          <w:numId w:val="6"/>
        </w:numPr>
        <w:jc w:val="both"/>
        <w:rPr>
          <w:color w:val="000000" w:themeColor="text1"/>
          <w:bdr w:val="none" w:sz="0" w:space="0" w:color="auto"/>
          <w:lang w:val="en-GB"/>
        </w:rPr>
      </w:pPr>
      <w:r w:rsidRPr="00C231A2">
        <w:rPr>
          <w:color w:val="000000" w:themeColor="text1"/>
          <w:bdr w:val="none" w:sz="0" w:space="0" w:color="auto"/>
          <w:lang w:val="en-GB"/>
        </w:rPr>
        <w:t>The dataset supplied with this article can be subsequently used for meta-analysis.</w:t>
      </w:r>
    </w:p>
    <w:p w14:paraId="458788A8" w14:textId="2C4326C2" w:rsidR="00621772" w:rsidRPr="00C231A2" w:rsidRDefault="00621772" w:rsidP="00C231A2">
      <w:pPr>
        <w:pStyle w:val="ListParagraph"/>
        <w:numPr>
          <w:ilvl w:val="0"/>
          <w:numId w:val="6"/>
        </w:numPr>
        <w:jc w:val="both"/>
        <w:rPr>
          <w:color w:val="000000" w:themeColor="text1"/>
          <w:bdr w:val="none" w:sz="0" w:space="0" w:color="auto"/>
          <w:lang w:val="en-GB"/>
        </w:rPr>
      </w:pPr>
      <w:r w:rsidRPr="00C231A2">
        <w:rPr>
          <w:color w:val="000000" w:themeColor="text1"/>
          <w:bdr w:val="none" w:sz="0" w:space="0" w:color="auto"/>
          <w:lang w:val="en-GB"/>
        </w:rPr>
        <w:t xml:space="preserve">Analytical approach here can be </w:t>
      </w:r>
      <w:r w:rsidR="00700EA8" w:rsidRPr="00700EA8">
        <w:rPr>
          <w:color w:val="000000" w:themeColor="text1"/>
          <w:bdr w:val="none" w:sz="0" w:space="0" w:color="auto"/>
          <w:lang w:val="en-GB"/>
        </w:rPr>
        <w:t>useful</w:t>
      </w:r>
      <w:r w:rsidRPr="00C231A2">
        <w:rPr>
          <w:color w:val="000000" w:themeColor="text1"/>
          <w:bdr w:val="none" w:sz="0" w:space="0" w:color="auto"/>
          <w:lang w:val="en-GB"/>
        </w:rPr>
        <w:t xml:space="preserve"> while assessing the efficacy of chemotherapeutic agents against microfilariae.</w:t>
      </w:r>
    </w:p>
    <w:p w14:paraId="5000E943" w14:textId="27329A9F" w:rsidR="0028332C" w:rsidRPr="0009012D" w:rsidRDefault="0028332C" w:rsidP="005725F1">
      <w:pPr>
        <w:pStyle w:val="ListParagraph"/>
        <w:rPr>
          <w:color w:val="1F497D"/>
          <w:lang w:val="en-GB"/>
        </w:rPr>
      </w:pPr>
    </w:p>
    <w:p w14:paraId="0F669A82" w14:textId="77777777" w:rsidR="00700EA8" w:rsidRDefault="00700EA8" w:rsidP="00700EA8">
      <w:pPr>
        <w:pStyle w:val="Body"/>
        <w:spacing w:after="0" w:line="240" w:lineRule="auto"/>
        <w:rPr>
          <w:b/>
          <w:bCs/>
          <w:lang w:val="en-GB"/>
        </w:rPr>
      </w:pPr>
    </w:p>
    <w:p w14:paraId="4E01935E" w14:textId="2264C858" w:rsidR="0028332C" w:rsidRPr="00C231A2" w:rsidRDefault="000B6985" w:rsidP="00C231A2">
      <w:pPr>
        <w:pStyle w:val="Body"/>
        <w:spacing w:after="0" w:line="240" w:lineRule="auto"/>
        <w:jc w:val="both"/>
        <w:rPr>
          <w:b/>
          <w:bCs/>
          <w:lang w:val="en-GB"/>
        </w:rPr>
      </w:pPr>
      <w:r w:rsidRPr="00C231A2">
        <w:rPr>
          <w:b/>
          <w:bCs/>
          <w:lang w:val="en-GB"/>
        </w:rPr>
        <w:t>Data</w:t>
      </w:r>
    </w:p>
    <w:p w14:paraId="2D7F69CC" w14:textId="56ED97D1" w:rsidR="0028332C" w:rsidRPr="00C231A2" w:rsidRDefault="00554687" w:rsidP="00C231A2">
      <w:pPr>
        <w:pStyle w:val="Heading2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  <w:r w:rsidRPr="00C231A2">
        <w:rPr>
          <w:rFonts w:ascii="Calibri" w:hAnsi="Calibri" w:cs="Calibri"/>
          <w:sz w:val="22"/>
          <w:szCs w:val="22"/>
        </w:rPr>
        <w:t xml:space="preserve">Data on the optimization of the </w:t>
      </w:r>
      <w:r w:rsidRPr="00C231A2">
        <w:rPr>
          <w:rFonts w:ascii="Calibri" w:hAnsi="Calibri" w:cs="Calibri"/>
          <w:i/>
          <w:sz w:val="22"/>
          <w:szCs w:val="22"/>
        </w:rPr>
        <w:t>in vitro</w:t>
      </w:r>
      <w:r w:rsidRPr="00C231A2">
        <w:rPr>
          <w:rFonts w:ascii="Calibri" w:hAnsi="Calibri" w:cs="Calibri"/>
          <w:sz w:val="22"/>
          <w:szCs w:val="22"/>
        </w:rPr>
        <w:t xml:space="preserve"> culture condition</w:t>
      </w:r>
      <w:r w:rsidR="00700EA8">
        <w:rPr>
          <w:rFonts w:ascii="Calibri" w:hAnsi="Calibri" w:cs="Calibri"/>
          <w:sz w:val="22"/>
          <w:szCs w:val="22"/>
        </w:rPr>
        <w:t>s</w:t>
      </w:r>
      <w:r w:rsidRPr="00C231A2">
        <w:rPr>
          <w:rFonts w:ascii="Calibri" w:hAnsi="Calibri" w:cs="Calibri"/>
          <w:sz w:val="22"/>
          <w:szCs w:val="22"/>
        </w:rPr>
        <w:t xml:space="preserve"> for the maintenance of </w:t>
      </w:r>
      <w:r w:rsidRPr="00C231A2">
        <w:rPr>
          <w:rFonts w:ascii="Calibri" w:hAnsi="Calibri" w:cs="Calibri"/>
          <w:i/>
          <w:sz w:val="22"/>
          <w:szCs w:val="22"/>
        </w:rPr>
        <w:t>M. perstans</w:t>
      </w:r>
      <w:r w:rsidRPr="00C231A2">
        <w:rPr>
          <w:rFonts w:ascii="Calibri" w:hAnsi="Calibri" w:cs="Calibri"/>
          <w:sz w:val="22"/>
          <w:szCs w:val="22"/>
        </w:rPr>
        <w:t xml:space="preserve"> microfilaria</w:t>
      </w:r>
      <w:r w:rsidR="003542A3" w:rsidRPr="00C231A2">
        <w:rPr>
          <w:rFonts w:ascii="Calibri" w:hAnsi="Calibri" w:cs="Calibri"/>
          <w:sz w:val="22"/>
          <w:szCs w:val="22"/>
        </w:rPr>
        <w:t xml:space="preserve"> are summarized in table 1 for culture in RPMI and table 2 for DMEM</w:t>
      </w:r>
      <w:r w:rsidR="00700EA8">
        <w:rPr>
          <w:rFonts w:ascii="Calibri" w:hAnsi="Calibri" w:cs="Calibri"/>
          <w:sz w:val="22"/>
          <w:szCs w:val="22"/>
        </w:rPr>
        <w:t xml:space="preserve">, showing </w:t>
      </w:r>
      <w:r w:rsidR="00700EA8">
        <w:rPr>
          <w:rFonts w:ascii="Calibri" w:hAnsi="Calibri" w:cs="Calibri"/>
          <w:color w:val="000000" w:themeColor="text1"/>
          <w:sz w:val="22"/>
          <w:szCs w:val="22"/>
          <w:u w:color="000000"/>
          <w:bdr w:val="nil"/>
        </w:rPr>
        <w:t>t</w:t>
      </w:r>
      <w:r w:rsidR="003542A3" w:rsidRPr="00700EA8">
        <w:rPr>
          <w:rFonts w:ascii="Calibri" w:hAnsi="Calibri" w:cs="Calibri"/>
          <w:color w:val="000000" w:themeColor="text1"/>
          <w:sz w:val="22"/>
          <w:szCs w:val="22"/>
          <w:u w:color="000000"/>
          <w:bdr w:val="nil"/>
        </w:rPr>
        <w:t xml:space="preserve">he average motility recorded daily </w:t>
      </w:r>
      <w:r w:rsidR="00924563" w:rsidRPr="00700EA8">
        <w:rPr>
          <w:rFonts w:ascii="Calibri" w:hAnsi="Calibri" w:cs="Calibri"/>
          <w:color w:val="000000" w:themeColor="text1"/>
          <w:sz w:val="22"/>
          <w:szCs w:val="22"/>
          <w:u w:color="000000"/>
          <w:bdr w:val="nil"/>
        </w:rPr>
        <w:t>for each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culture </w:t>
      </w:r>
      <w:r w:rsidR="003542A3" w:rsidRPr="00C231A2">
        <w:rPr>
          <w:rFonts w:ascii="Calibri" w:hAnsi="Calibri" w:cs="Calibri"/>
          <w:color w:val="000000" w:themeColor="text1"/>
          <w:sz w:val="22"/>
          <w:szCs w:val="22"/>
        </w:rPr>
        <w:t>system, the areas under the curves (AUC) and s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>tatistical analysis</w:t>
      </w:r>
      <w:r w:rsidR="00700EA8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E6D42"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The </w:t>
      </w:r>
      <w:r w:rsidR="00700EA8">
        <w:rPr>
          <w:rFonts w:ascii="Calibri" w:hAnsi="Calibri" w:cs="Calibri"/>
          <w:color w:val="000000" w:themeColor="text1"/>
          <w:sz w:val="22"/>
          <w:szCs w:val="22"/>
        </w:rPr>
        <w:t xml:space="preserve">raw </w:t>
      </w:r>
      <w:r w:rsidR="00BE6D42"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dataset is found </w:t>
      </w:r>
      <w:r w:rsidR="00700EA8">
        <w:rPr>
          <w:rFonts w:ascii="Calibri" w:hAnsi="Calibri" w:cs="Calibri"/>
          <w:color w:val="000000" w:themeColor="text1"/>
          <w:sz w:val="22"/>
          <w:szCs w:val="22"/>
        </w:rPr>
        <w:t xml:space="preserve">in the Supplementary </w:t>
      </w:r>
      <w:r w:rsidR="00BE6D42" w:rsidRPr="00C231A2">
        <w:rPr>
          <w:rFonts w:ascii="Calibri" w:hAnsi="Calibri" w:cs="Calibri"/>
          <w:color w:val="000000" w:themeColor="text1"/>
          <w:sz w:val="22"/>
          <w:szCs w:val="22"/>
        </w:rPr>
        <w:t>data</w:t>
      </w:r>
      <w:r w:rsidR="00FA28D2" w:rsidRPr="00C231A2">
        <w:rPr>
          <w:rFonts w:ascii="Calibri" w:hAnsi="Calibri" w:cs="Calibri"/>
          <w:color w:val="000000" w:themeColor="text1"/>
          <w:sz w:val="22"/>
          <w:szCs w:val="22"/>
        </w:rPr>
        <w:t>set</w:t>
      </w:r>
      <w:r w:rsidR="00700EA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70BD038" w14:textId="1389102F" w:rsidR="00EE38B2" w:rsidRDefault="00EE38B2">
      <w:pPr>
        <w:rPr>
          <w:rFonts w:ascii="Calibri" w:eastAsia="Calibri" w:hAnsi="Calibri" w:cs="Calibri"/>
          <w:color w:val="1F497D"/>
          <w:sz w:val="22"/>
          <w:szCs w:val="22"/>
          <w:u w:color="1F497D"/>
          <w:lang w:val="en-GB" w:eastAsia="en-GB"/>
        </w:rPr>
      </w:pPr>
      <w:r>
        <w:rPr>
          <w:color w:val="1F497D"/>
          <w:u w:color="1F497D"/>
          <w:lang w:val="en-GB"/>
        </w:rPr>
        <w:br w:type="page"/>
      </w:r>
    </w:p>
    <w:p w14:paraId="0C3EA93A" w14:textId="77777777" w:rsidR="003C104D" w:rsidRDefault="003C104D" w:rsidP="00C75C7A">
      <w:pPr>
        <w:pStyle w:val="Body"/>
        <w:spacing w:after="0"/>
        <w:rPr>
          <w:color w:val="1F497D"/>
          <w:u w:color="1F497D"/>
          <w:lang w:val="en-GB"/>
        </w:rPr>
      </w:pPr>
    </w:p>
    <w:p w14:paraId="0F10DABA" w14:textId="07D6D090" w:rsidR="00C75C7A" w:rsidRPr="00C75C7A" w:rsidRDefault="00C75C7A" w:rsidP="00C231A2">
      <w:pPr>
        <w:pStyle w:val="Body"/>
        <w:spacing w:after="0"/>
        <w:jc w:val="both"/>
        <w:rPr>
          <w:b/>
          <w:color w:val="000000" w:themeColor="text1"/>
          <w:lang w:val="en-US"/>
        </w:rPr>
      </w:pPr>
      <w:r w:rsidRPr="00C75C7A">
        <w:rPr>
          <w:b/>
          <w:color w:val="000000" w:themeColor="text1"/>
          <w:lang w:val="en-US"/>
        </w:rPr>
        <w:t>Table</w:t>
      </w:r>
      <w:r>
        <w:rPr>
          <w:b/>
          <w:color w:val="000000" w:themeColor="text1"/>
          <w:lang w:val="en-US"/>
        </w:rPr>
        <w:t xml:space="preserve"> 1</w:t>
      </w:r>
    </w:p>
    <w:p w14:paraId="14A3D10A" w14:textId="38D9D6B2" w:rsidR="00C75C7A" w:rsidRPr="00C75C7A" w:rsidRDefault="00C75C7A" w:rsidP="00C231A2">
      <w:pPr>
        <w:pStyle w:val="Body"/>
        <w:spacing w:after="0" w:line="360" w:lineRule="auto"/>
        <w:jc w:val="both"/>
        <w:rPr>
          <w:color w:val="1F497D"/>
          <w:u w:color="1F497D"/>
          <w:lang w:val="en-GB"/>
        </w:rPr>
      </w:pPr>
      <w:r>
        <w:rPr>
          <w:color w:val="000000" w:themeColor="text1"/>
          <w:lang w:val="en-US"/>
        </w:rPr>
        <w:t>Average m</w:t>
      </w:r>
      <w:r w:rsidRPr="00C75C7A">
        <w:rPr>
          <w:color w:val="000000" w:themeColor="text1"/>
          <w:lang w:val="en-US"/>
        </w:rPr>
        <w:t xml:space="preserve">otility </w:t>
      </w:r>
      <w:r>
        <w:rPr>
          <w:color w:val="000000" w:themeColor="text1"/>
          <w:lang w:val="en-US"/>
        </w:rPr>
        <w:t xml:space="preserve">and area under the curve </w:t>
      </w:r>
      <w:r w:rsidR="00700EA8">
        <w:rPr>
          <w:color w:val="000000" w:themeColor="text1"/>
          <w:lang w:val="en-US"/>
        </w:rPr>
        <w:t xml:space="preserve">(AUC) </w:t>
      </w:r>
      <w:r w:rsidRPr="00C75C7A">
        <w:rPr>
          <w:color w:val="000000" w:themeColor="text1"/>
          <w:lang w:val="en-US"/>
        </w:rPr>
        <w:t xml:space="preserve">of </w:t>
      </w:r>
      <w:r w:rsidRPr="00C75C7A">
        <w:rPr>
          <w:i/>
          <w:color w:val="000000" w:themeColor="text1"/>
          <w:lang w:val="en-US"/>
        </w:rPr>
        <w:t xml:space="preserve">M. perstans </w:t>
      </w:r>
      <w:r w:rsidRPr="00C75C7A">
        <w:rPr>
          <w:color w:val="000000" w:themeColor="text1"/>
          <w:lang w:val="en-US"/>
        </w:rPr>
        <w:t xml:space="preserve">microfilariae </w:t>
      </w:r>
      <w:r w:rsidRPr="00C75C7A">
        <w:rPr>
          <w:i/>
          <w:color w:val="000000" w:themeColor="text1"/>
          <w:lang w:val="en-US"/>
        </w:rPr>
        <w:t>in vitro</w:t>
      </w:r>
      <w:r w:rsidRPr="00C75C7A">
        <w:rPr>
          <w:color w:val="000000" w:themeColor="text1"/>
        </w:rPr>
        <w:t xml:space="preserve"> in </w:t>
      </w:r>
      <w:r>
        <w:rPr>
          <w:color w:val="000000" w:themeColor="text1"/>
        </w:rPr>
        <w:t>RPMI</w:t>
      </w:r>
      <w:r w:rsidRPr="00C75C7A">
        <w:rPr>
          <w:color w:val="000000" w:themeColor="text1"/>
        </w:rPr>
        <w:t xml:space="preserve"> medium supplemented with or without 10 % fetal bovine serum (FBS) and </w:t>
      </w:r>
      <w:r>
        <w:rPr>
          <w:color w:val="000000" w:themeColor="text1"/>
        </w:rPr>
        <w:t xml:space="preserve">/ or </w:t>
      </w:r>
      <w:r w:rsidRPr="00C75C7A">
        <w:rPr>
          <w:color w:val="000000" w:themeColor="text1"/>
        </w:rPr>
        <w:t>monkey kidney epithelial feeder cells (LLC-MK</w:t>
      </w:r>
      <w:r w:rsidRPr="00C75C7A">
        <w:rPr>
          <w:color w:val="000000" w:themeColor="text1"/>
          <w:vertAlign w:val="subscript"/>
        </w:rPr>
        <w:t>2</w:t>
      </w:r>
      <w:r w:rsidRPr="00C75C7A">
        <w:rPr>
          <w:color w:val="000000" w:themeColor="text1"/>
        </w:rPr>
        <w:t>)</w:t>
      </w:r>
      <w:r>
        <w:rPr>
          <w:color w:val="000000" w:themeColor="text1"/>
        </w:rPr>
        <w:t xml:space="preserve"> within 20 days.</w:t>
      </w:r>
    </w:p>
    <w:p w14:paraId="6B971A56" w14:textId="77777777" w:rsidR="00C75C7A" w:rsidRPr="00883ADB" w:rsidRDefault="00C75C7A" w:rsidP="00C75C7A">
      <w:pPr>
        <w:pStyle w:val="Body"/>
        <w:spacing w:after="0"/>
        <w:rPr>
          <w:iCs/>
          <w:color w:val="1F497D"/>
          <w:sz w:val="24"/>
          <w:szCs w:val="24"/>
          <w:u w:color="1F497D"/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920"/>
        <w:gridCol w:w="1639"/>
        <w:gridCol w:w="1072"/>
        <w:gridCol w:w="1980"/>
        <w:gridCol w:w="1260"/>
      </w:tblGrid>
      <w:tr w:rsidR="00C75C7A" w14:paraId="66066C08" w14:textId="77777777" w:rsidTr="004A671C">
        <w:trPr>
          <w:trHeight w:val="271"/>
        </w:trPr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DA4DCE" w14:textId="77777777" w:rsidR="00C75C7A" w:rsidRPr="00883ADB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Incubation days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E7955A" w14:textId="77777777" w:rsidR="00C75C7A" w:rsidRPr="00883ADB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Cell-free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597C68" w14:textId="77777777" w:rsidR="00C75C7A" w:rsidRPr="00883ADB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LLC-MK</w:t>
            </w:r>
            <w:r w:rsidRPr="00C231A2">
              <w:rPr>
                <w:rFonts w:ascii="Calibri" w:hAnsi="Calibri" w:cs="Calibri"/>
                <w:b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</w:tr>
      <w:tr w:rsidR="00C75C7A" w14:paraId="53A52AA5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6B6F56" w14:textId="77777777" w:rsidR="00C75C7A" w:rsidRPr="00883ADB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9AF674" w14:textId="77777777" w:rsidR="00C75C7A" w:rsidRPr="00883ADB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Serum-free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EDB389" w14:textId="77777777" w:rsidR="00C75C7A" w:rsidRPr="00883ADB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10% FBS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0D37C1" w14:textId="77777777" w:rsidR="00C75C7A" w:rsidRPr="00883ADB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Serum-free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20CEAB" w14:textId="77777777" w:rsidR="00C75C7A" w:rsidRPr="00883ADB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10% FBS</w:t>
            </w:r>
          </w:p>
        </w:tc>
      </w:tr>
      <w:tr w:rsidR="00C75C7A" w14:paraId="02A16511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261E273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038F57A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42DF66E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53B1C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D7BE04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12F96362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4AEE6D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4DA7949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99.58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C6BB251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A4789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B2DDF2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99.78</w:t>
            </w:r>
          </w:p>
        </w:tc>
      </w:tr>
      <w:tr w:rsidR="00C75C7A" w14:paraId="354A1A25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466719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9211A54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81.02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5FBEC3F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98.29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2FDA9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EA0EE4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5D98F258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6D9C4B2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B5BD6E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72.25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D5027A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95.76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0EBD75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8738C1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66B45B2D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F95F694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721791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41.86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A2F1B5A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84.84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394E2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77C459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2DF67E02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01ACD2D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F3E0C8B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28.46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A73F820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82.31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02D65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E5A4F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6A062CEC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44CEA3E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5C32C5B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B89851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80.68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C46C4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7B7362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1A15EA12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9F64E0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91C126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25.36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4FB95B2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AAAD0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BD87F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05130E65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5C17833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A2D1730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25.36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EDF846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E70F8D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4C6D89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4F24AD2A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71BE24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3C4905E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6E32011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25215AE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165E19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6291C4F6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D140B0F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4F92062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45C129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41ED2B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345AF2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44760C00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D3E0369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F159828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A7AF52D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1C6D20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93642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710D9AFF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FB7420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6DD5B3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4ABF9EF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A031BA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A04F44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7FA54B21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2002ACA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B764E7D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4ADF9B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518EF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E65705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99.63</w:t>
            </w:r>
          </w:p>
        </w:tc>
      </w:tr>
      <w:tr w:rsidR="00C75C7A" w14:paraId="2109862A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3403BE9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2470421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9763F75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6D315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0A952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75C7A" w14:paraId="57F9F4BF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56CB02F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5AFB405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099FF74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E9E49A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F3AB29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99.62</w:t>
            </w:r>
          </w:p>
        </w:tc>
      </w:tr>
      <w:tr w:rsidR="00C75C7A" w14:paraId="40BE1B1E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B2F2DB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BF96F4A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B2F515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510A58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06963B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99.63</w:t>
            </w:r>
          </w:p>
        </w:tc>
      </w:tr>
      <w:tr w:rsidR="00C75C7A" w14:paraId="07645C47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82324E4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74B143F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654916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5BC29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44D320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99.46</w:t>
            </w:r>
          </w:p>
        </w:tc>
      </w:tr>
      <w:tr w:rsidR="00C75C7A" w14:paraId="50F2FA7F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034C79E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3DAB83C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8DACCB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EC1FC8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8C284E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99.46</w:t>
            </w:r>
          </w:p>
        </w:tc>
      </w:tr>
      <w:tr w:rsidR="00C75C7A" w14:paraId="72182DD4" w14:textId="77777777" w:rsidTr="004A671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480C2E4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AC155C2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25.38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603BE6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78.73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AC67D5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183E3B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99.46</w:t>
            </w:r>
          </w:p>
        </w:tc>
      </w:tr>
      <w:tr w:rsidR="00C75C7A" w14:paraId="164433EA" w14:textId="77777777" w:rsidTr="00587EDC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1A66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8829D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25.38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7866B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985A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9A98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99.46</w:t>
            </w:r>
          </w:p>
          <w:p w14:paraId="6840BA9E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75C7A" w14:paraId="0E874631" w14:textId="77777777" w:rsidTr="00587EDC">
        <w:trPr>
          <w:trHeight w:val="271"/>
        </w:trPr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</w:tcPr>
          <w:p w14:paraId="51885CCB" w14:textId="77777777" w:rsidR="00C75C7A" w:rsidRP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C75C7A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Average AUC (%)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nil"/>
            </w:tcBorders>
          </w:tcPr>
          <w:p w14:paraId="775CA7D7" w14:textId="77777777" w:rsidR="00C75C7A" w:rsidRDefault="00C75C7A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37.04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nil"/>
            </w:tcBorders>
          </w:tcPr>
          <w:p w14:paraId="389FE9FA" w14:textId="77777777" w:rsidR="00C75C7A" w:rsidRDefault="00C75C7A" w:rsidP="00587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82.92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9DFF3DC" w14:textId="77777777" w:rsidR="00C75C7A" w:rsidRDefault="00C75C7A" w:rsidP="00587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4F9B292B" w14:textId="77777777" w:rsidR="00C75C7A" w:rsidRDefault="00C75C7A" w:rsidP="00587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99.84</w:t>
            </w:r>
          </w:p>
        </w:tc>
      </w:tr>
      <w:tr w:rsidR="00587EDC" w14:paraId="7260965A" w14:textId="77777777" w:rsidTr="00587EDC">
        <w:trPr>
          <w:trHeight w:val="273"/>
        </w:trPr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14:paraId="24480746" w14:textId="0DE2B71B" w:rsidR="00587EDC" w:rsidRPr="00C75C7A" w:rsidRDefault="00587EDC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C62C83">
              <w:rPr>
                <w:i/>
                <w:color w:val="000000" w:themeColor="text1"/>
              </w:rPr>
              <w:t>p.</w:t>
            </w:r>
            <w:r w:rsidRPr="00C62C83">
              <w:rPr>
                <w:color w:val="000000" w:themeColor="text1"/>
              </w:rPr>
              <w:t xml:space="preserve"> value</w:t>
            </w:r>
            <w:r w:rsidRPr="00C62C83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639" w:type="dxa"/>
            <w:tcBorders>
              <w:left w:val="nil"/>
              <w:bottom w:val="single" w:sz="4" w:space="0" w:color="auto"/>
              <w:right w:val="nil"/>
            </w:tcBorders>
          </w:tcPr>
          <w:p w14:paraId="7A4BC8CA" w14:textId="2CF8A7B5" w:rsidR="00587EDC" w:rsidRDefault="00587EDC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</w:tcPr>
          <w:p w14:paraId="4862EEB5" w14:textId="225CD1B8" w:rsidR="00587EDC" w:rsidRPr="00587EDC" w:rsidRDefault="00587EDC" w:rsidP="00587E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ED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0.2623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66C8360" w14:textId="5B59E2C0" w:rsidR="00587EDC" w:rsidRPr="00587EDC" w:rsidRDefault="00587EDC" w:rsidP="00587E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ED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0.0003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5BF8C9BF" w14:textId="4F10BABA" w:rsidR="00587EDC" w:rsidRPr="00587EDC" w:rsidRDefault="00587EDC" w:rsidP="00587E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ED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0.0034</w:t>
            </w:r>
          </w:p>
        </w:tc>
      </w:tr>
    </w:tbl>
    <w:p w14:paraId="2512587C" w14:textId="62E53AAF" w:rsidR="00587EDC" w:rsidRPr="00C231A2" w:rsidRDefault="00587EDC" w:rsidP="00EE38B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Kruskal-Wallis rank sum test: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X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  <w:vertAlign w:val="superscript"/>
        </w:rPr>
        <w:t>2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= 21.08,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df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= 3,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= 0.0001013</w:t>
      </w:r>
    </w:p>
    <w:p w14:paraId="27B7B2CB" w14:textId="77777777" w:rsidR="00587EDC" w:rsidRPr="00C231A2" w:rsidRDefault="00587ED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bCs/>
          <w:iCs/>
          <w:color w:val="000000" w:themeColor="text1"/>
          <w:sz w:val="22"/>
          <w:szCs w:val="22"/>
        </w:rPr>
        <w:t>*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Pairwise comparisons using Dunn's-test for multiple comparisons of independent samples.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-values presented in the table compare each system to the serum free and cell free system. </w:t>
      </w:r>
    </w:p>
    <w:p w14:paraId="4D52EB9D" w14:textId="77777777" w:rsidR="00587EDC" w:rsidRPr="00C231A2" w:rsidRDefault="00587ED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># Statistical differences were found between 10% FBS, Cell-free and Serum-free, LLC-MK</w:t>
      </w:r>
      <w:r w:rsidRPr="00C231A2">
        <w:rPr>
          <w:rFonts w:ascii="Calibri" w:hAnsi="Calibri" w:cs="Calibri"/>
          <w:color w:val="000000" w:themeColor="text1"/>
          <w:sz w:val="22"/>
          <w:szCs w:val="22"/>
          <w:vertAlign w:val="subscript"/>
        </w:rPr>
        <w:t>2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systems with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>-values of 0.0330 and 0.0116 for RPMI and DMEM respectively. However, no difference was observed between the two systems using LLC-MK</w:t>
      </w:r>
      <w:r w:rsidRPr="00C231A2">
        <w:rPr>
          <w:rFonts w:ascii="Calibri" w:hAnsi="Calibri" w:cs="Calibri"/>
          <w:color w:val="000000" w:themeColor="text1"/>
          <w:sz w:val="22"/>
          <w:szCs w:val="22"/>
          <w:vertAlign w:val="subscript"/>
        </w:rPr>
        <w:t>2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0125C606" w14:textId="0EF6C58C" w:rsidR="00587EDC" w:rsidRPr="00C231A2" w:rsidRDefault="00587ED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>Abbreviat</w:t>
      </w:r>
      <w:r w:rsidR="005256A3" w:rsidRPr="00C231A2">
        <w:rPr>
          <w:rFonts w:ascii="Calibri" w:hAnsi="Calibri" w:cs="Calibri"/>
          <w:color w:val="000000" w:themeColor="text1"/>
          <w:sz w:val="22"/>
          <w:szCs w:val="22"/>
        </w:rPr>
        <w:t>ions. AUC: area under the curve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86CF9CC" w14:textId="77777777" w:rsidR="00587EDC" w:rsidRDefault="00587EDC">
      <w:pPr>
        <w:jc w:val="both"/>
        <w:rPr>
          <w:color w:val="000000" w:themeColor="text1"/>
        </w:rPr>
      </w:pPr>
    </w:p>
    <w:p w14:paraId="7C4C1D66" w14:textId="5AEEDADA" w:rsidR="00EE38B2" w:rsidRDefault="00EE38B2">
      <w:pPr>
        <w:rPr>
          <w:rFonts w:ascii="Calibri" w:eastAsia="Calibri" w:hAnsi="Calibri" w:cs="Calibri"/>
          <w:color w:val="1F497D"/>
          <w:sz w:val="22"/>
          <w:szCs w:val="22"/>
          <w:u w:color="1F497D"/>
          <w:lang w:val="en-GB" w:eastAsia="en-GB"/>
        </w:rPr>
      </w:pPr>
      <w:r>
        <w:rPr>
          <w:color w:val="1F497D"/>
          <w:u w:color="1F497D"/>
          <w:lang w:val="en-GB"/>
        </w:rPr>
        <w:br w:type="page"/>
      </w:r>
    </w:p>
    <w:p w14:paraId="4C5AFB53" w14:textId="0EADDB97" w:rsidR="00C75C7A" w:rsidRPr="00C75C7A" w:rsidRDefault="00C75C7A" w:rsidP="00C231A2">
      <w:pPr>
        <w:pStyle w:val="Body"/>
        <w:spacing w:after="0" w:line="360" w:lineRule="auto"/>
        <w:jc w:val="both"/>
        <w:rPr>
          <w:b/>
          <w:color w:val="000000" w:themeColor="text1"/>
          <w:lang w:val="en-US"/>
        </w:rPr>
      </w:pPr>
      <w:r w:rsidRPr="00C75C7A">
        <w:rPr>
          <w:b/>
          <w:color w:val="000000" w:themeColor="text1"/>
          <w:lang w:val="en-US"/>
        </w:rPr>
        <w:lastRenderedPageBreak/>
        <w:t>Table</w:t>
      </w:r>
      <w:r>
        <w:rPr>
          <w:b/>
          <w:color w:val="000000" w:themeColor="text1"/>
          <w:lang w:val="en-US"/>
        </w:rPr>
        <w:t xml:space="preserve"> 2</w:t>
      </w:r>
    </w:p>
    <w:p w14:paraId="0BA42B03" w14:textId="77F06806" w:rsidR="00C75C7A" w:rsidRPr="00C75C7A" w:rsidRDefault="00C75C7A" w:rsidP="00C231A2">
      <w:pPr>
        <w:pStyle w:val="Body"/>
        <w:spacing w:after="0" w:line="360" w:lineRule="auto"/>
        <w:jc w:val="both"/>
        <w:rPr>
          <w:color w:val="1F497D"/>
          <w:u w:color="1F497D"/>
          <w:lang w:val="en-GB"/>
        </w:rPr>
      </w:pPr>
      <w:r>
        <w:rPr>
          <w:color w:val="000000" w:themeColor="text1"/>
          <w:lang w:val="en-US"/>
        </w:rPr>
        <w:t>Average m</w:t>
      </w:r>
      <w:r w:rsidRPr="00C75C7A">
        <w:rPr>
          <w:color w:val="000000" w:themeColor="text1"/>
          <w:lang w:val="en-US"/>
        </w:rPr>
        <w:t xml:space="preserve">otility </w:t>
      </w:r>
      <w:r>
        <w:rPr>
          <w:color w:val="000000" w:themeColor="text1"/>
          <w:lang w:val="en-US"/>
        </w:rPr>
        <w:t xml:space="preserve">and area under the curve </w:t>
      </w:r>
      <w:r w:rsidR="00171692">
        <w:rPr>
          <w:color w:val="000000" w:themeColor="text1"/>
          <w:lang w:val="en-US"/>
        </w:rPr>
        <w:t xml:space="preserve">(AUC) </w:t>
      </w:r>
      <w:r w:rsidRPr="00C75C7A">
        <w:rPr>
          <w:color w:val="000000" w:themeColor="text1"/>
          <w:lang w:val="en-US"/>
        </w:rPr>
        <w:t xml:space="preserve">of </w:t>
      </w:r>
      <w:r w:rsidRPr="00C75C7A">
        <w:rPr>
          <w:i/>
          <w:color w:val="000000" w:themeColor="text1"/>
          <w:lang w:val="en-US"/>
        </w:rPr>
        <w:t xml:space="preserve">M. perstans </w:t>
      </w:r>
      <w:r w:rsidRPr="00C75C7A">
        <w:rPr>
          <w:color w:val="000000" w:themeColor="text1"/>
          <w:lang w:val="en-US"/>
        </w:rPr>
        <w:t xml:space="preserve">microfilariae </w:t>
      </w:r>
      <w:r w:rsidRPr="00C75C7A">
        <w:rPr>
          <w:i/>
          <w:color w:val="000000" w:themeColor="text1"/>
          <w:lang w:val="en-US"/>
        </w:rPr>
        <w:t>in vitro</w:t>
      </w:r>
      <w:r w:rsidRPr="00C75C7A">
        <w:rPr>
          <w:color w:val="000000" w:themeColor="text1"/>
        </w:rPr>
        <w:t xml:space="preserve"> in DMEM medium supplemented with or without 10 % fetal bovine serum (FBS) and </w:t>
      </w:r>
      <w:r>
        <w:rPr>
          <w:color w:val="000000" w:themeColor="text1"/>
        </w:rPr>
        <w:t xml:space="preserve">/ or </w:t>
      </w:r>
      <w:r w:rsidRPr="00C75C7A">
        <w:rPr>
          <w:color w:val="000000" w:themeColor="text1"/>
        </w:rPr>
        <w:t>monkey kidney epithelial feeder cells (LLC-MK</w:t>
      </w:r>
      <w:r w:rsidRPr="00C75C7A">
        <w:rPr>
          <w:color w:val="000000" w:themeColor="text1"/>
          <w:vertAlign w:val="subscript"/>
        </w:rPr>
        <w:t>2</w:t>
      </w:r>
      <w:r w:rsidRPr="00C75C7A">
        <w:rPr>
          <w:color w:val="000000" w:themeColor="text1"/>
        </w:rPr>
        <w:t>)</w:t>
      </w:r>
      <w:r>
        <w:rPr>
          <w:color w:val="000000" w:themeColor="text1"/>
        </w:rPr>
        <w:t xml:space="preserve"> within 20 days.</w:t>
      </w:r>
    </w:p>
    <w:p w14:paraId="0CEA7996" w14:textId="77777777" w:rsidR="00C75C7A" w:rsidRDefault="00C75C7A">
      <w:pPr>
        <w:pStyle w:val="Body"/>
        <w:spacing w:after="0"/>
        <w:rPr>
          <w:color w:val="1F497D"/>
          <w:u w:color="1F497D"/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10"/>
        <w:gridCol w:w="147"/>
        <w:gridCol w:w="992"/>
        <w:gridCol w:w="211"/>
        <w:gridCol w:w="2070"/>
        <w:gridCol w:w="270"/>
        <w:gridCol w:w="911"/>
        <w:gridCol w:w="259"/>
        <w:gridCol w:w="1598"/>
        <w:gridCol w:w="209"/>
      </w:tblGrid>
      <w:tr w:rsidR="00883ADB" w14:paraId="0321B0F9" w14:textId="77777777" w:rsidTr="00883ADB">
        <w:trPr>
          <w:gridAfter w:val="1"/>
          <w:wAfter w:w="209" w:type="dxa"/>
          <w:trHeight w:val="543"/>
        </w:trPr>
        <w:tc>
          <w:tcPr>
            <w:tcW w:w="20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B4141E" w14:textId="77777777" w:rsidR="00883ADB" w:rsidRP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Incubation days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188291" w14:textId="39479A0D" w:rsidR="00883ADB" w:rsidRP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Cell-free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A6C6B3" w14:textId="706B7470" w:rsidR="00883ADB" w:rsidRP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LLC-MK</w:t>
            </w:r>
            <w:r w:rsidRPr="00C231A2">
              <w:rPr>
                <w:rFonts w:ascii="Calibri" w:hAnsi="Calibri" w:cs="Calibri"/>
                <w:b/>
                <w:color w:val="000000"/>
                <w:sz w:val="22"/>
                <w:szCs w:val="22"/>
                <w:vertAlign w:val="subscript"/>
                <w:lang w:val="en-GB" w:eastAsia="en-GB"/>
              </w:rPr>
              <w:t>2</w:t>
            </w:r>
          </w:p>
        </w:tc>
      </w:tr>
      <w:tr w:rsidR="00883ADB" w14:paraId="7F7FA9B3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8F0252" w14:textId="77777777" w:rsidR="00883ADB" w:rsidRP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58D0AC" w14:textId="77777777" w:rsidR="00883ADB" w:rsidRP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Serum-free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4A0889" w14:textId="77777777" w:rsidR="00883ADB" w:rsidRP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10% FBS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36567E" w14:textId="77777777" w:rsidR="00883ADB" w:rsidRP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Serum-free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A12119" w14:textId="77777777" w:rsidR="00883ADB" w:rsidRP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883ADB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10% FBS</w:t>
            </w:r>
          </w:p>
        </w:tc>
      </w:tr>
      <w:tr w:rsidR="00883ADB" w14:paraId="375C43CF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F9E2E43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1B274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907FE7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A959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B08B033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883ADB" w14:paraId="5651D7B1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9A22746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9A8C9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F5CE044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461DA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DFAB72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883ADB" w14:paraId="1F91A0F3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CCC90C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BA05F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AA45A8A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98.83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24E0E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AE9348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45B2FAA7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0D845B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69913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88.97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5B5ED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95.17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16DF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0F36D3F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306EC179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E46C0B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D1E53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61462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87.43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DCEBE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68110CF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02FCE639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401047E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61ED4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9A988A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84.41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D30A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16FA440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62BD261A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B18CA4F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61BFB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3C5084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79.37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993C0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7D5DE46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645F31EC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D6BAB4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5C77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11D474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05736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BEE69D7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030FBB89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30B1C40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7A43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37360B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32A8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D94085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33E697E3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D9A1B6A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A5E2A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A9B6BF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AB72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FA04E3F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1D014830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05DA08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341D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360B74F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78.99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51703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130823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6FF3A19B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53B0DB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ADD4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B56FF66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0BE66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2E540C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39AFFDDD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08BACCB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0E0C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A6B337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13C09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D88F1C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99.76</w:t>
            </w:r>
          </w:p>
        </w:tc>
      </w:tr>
      <w:tr w:rsidR="00883ADB" w14:paraId="76008263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FAAE55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C530E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7B18E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62C9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299167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99.42</w:t>
            </w:r>
          </w:p>
        </w:tc>
      </w:tr>
      <w:tr w:rsidR="00883ADB" w14:paraId="13F8C3CC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C970D2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1188B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7751E1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D0638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99.72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C34785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99.42</w:t>
            </w:r>
          </w:p>
        </w:tc>
      </w:tr>
      <w:tr w:rsidR="00883ADB" w14:paraId="660AFBCD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97C3310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FD15E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5CFD3D9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EF75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06461DC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99.42</w:t>
            </w:r>
          </w:p>
        </w:tc>
      </w:tr>
      <w:tr w:rsidR="00883ADB" w14:paraId="78F96C19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E6AE13B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F74A3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43A9A1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6F89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2EC941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99.42</w:t>
            </w:r>
          </w:p>
        </w:tc>
      </w:tr>
      <w:tr w:rsidR="00883ADB" w14:paraId="4EE76503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3B4FB23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33187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5FCA47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FF584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3DA75D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99.42</w:t>
            </w:r>
          </w:p>
        </w:tc>
      </w:tr>
      <w:tr w:rsidR="00883ADB" w14:paraId="7EDEE331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E1B0EDD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607E9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B3A1E08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EEF12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F46816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99.42</w:t>
            </w:r>
          </w:p>
        </w:tc>
      </w:tr>
      <w:tr w:rsidR="00883ADB" w14:paraId="6C9F459A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7BED76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A1C9F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F090549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C8F5E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AB4FEC9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99.42</w:t>
            </w:r>
          </w:p>
        </w:tc>
      </w:tr>
      <w:tr w:rsidR="00883ADB" w14:paraId="680A79A1" w14:textId="77777777" w:rsidTr="00587EDC">
        <w:trPr>
          <w:gridAfter w:val="1"/>
          <w:wAfter w:w="209" w:type="dxa"/>
          <w:trHeight w:val="27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53E03F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A8DC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8D8826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79.13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CDB85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4EB3C99" w14:textId="77777777" w:rsidR="00883ADB" w:rsidRDefault="00883AD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99.42</w:t>
            </w:r>
          </w:p>
          <w:p w14:paraId="686E3C41" w14:textId="226557EF" w:rsidR="006061AB" w:rsidRDefault="006061AB" w:rsidP="00883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87EDC" w14:paraId="2485566C" w14:textId="77777777" w:rsidTr="00C231A2">
        <w:trPr>
          <w:trHeight w:val="271"/>
        </w:trPr>
        <w:tc>
          <w:tcPr>
            <w:tcW w:w="215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687ED72" w14:textId="77777777" w:rsidR="00587EDC" w:rsidRPr="00171692" w:rsidRDefault="00587EDC" w:rsidP="00C231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Average AUC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77ACF6B7" w14:textId="0E1FA18A" w:rsidR="00587EDC" w:rsidRPr="00171692" w:rsidRDefault="00587EDC" w:rsidP="00587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81.08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181D58C" w14:textId="7B0670B6" w:rsidR="00587EDC" w:rsidRPr="00171692" w:rsidRDefault="00587EDC" w:rsidP="00587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83.21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</w:tcPr>
          <w:p w14:paraId="2CEA3A7F" w14:textId="59DCD08E" w:rsidR="00587EDC" w:rsidRPr="00171692" w:rsidRDefault="00587EDC" w:rsidP="00587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99.99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0D2DD6C" w14:textId="4D04C100" w:rsidR="00587EDC" w:rsidRPr="00171692" w:rsidRDefault="00587EDC" w:rsidP="00587E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99.65</w:t>
            </w:r>
          </w:p>
        </w:tc>
      </w:tr>
      <w:tr w:rsidR="00587EDC" w14:paraId="3A1CE4EE" w14:textId="77777777" w:rsidTr="00C231A2">
        <w:trPr>
          <w:trHeight w:val="273"/>
        </w:trPr>
        <w:tc>
          <w:tcPr>
            <w:tcW w:w="21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512D13" w14:textId="77777777" w:rsidR="00587EDC" w:rsidRPr="00171692" w:rsidRDefault="00587EDC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C231A2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p.</w:t>
            </w:r>
            <w:r w:rsidRPr="00C231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value</w:t>
            </w:r>
            <w:r w:rsidRPr="00C231A2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73B0274" w14:textId="77777777" w:rsidR="00587EDC" w:rsidRPr="00171692" w:rsidRDefault="00587EDC" w:rsidP="004A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D9D9BA" w14:textId="54B72998" w:rsidR="00587EDC" w:rsidRPr="00171692" w:rsidRDefault="005256A3" w:rsidP="004A6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0.999</w:t>
            </w:r>
          </w:p>
        </w:tc>
        <w:tc>
          <w:tcPr>
            <w:tcW w:w="911" w:type="dxa"/>
            <w:tcBorders>
              <w:left w:val="nil"/>
              <w:bottom w:val="single" w:sz="4" w:space="0" w:color="auto"/>
              <w:right w:val="nil"/>
            </w:tcBorders>
          </w:tcPr>
          <w:p w14:paraId="2982C09D" w14:textId="106AFD2E" w:rsidR="00587EDC" w:rsidRPr="00171692" w:rsidRDefault="005256A3" w:rsidP="004A6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0.0041</w:t>
            </w:r>
          </w:p>
        </w:tc>
        <w:tc>
          <w:tcPr>
            <w:tcW w:w="20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8240D3F" w14:textId="7A32F03A" w:rsidR="00587EDC" w:rsidRPr="00171692" w:rsidRDefault="005256A3" w:rsidP="004A6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7169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0.0110</w:t>
            </w:r>
          </w:p>
        </w:tc>
      </w:tr>
    </w:tbl>
    <w:p w14:paraId="01875D66" w14:textId="58392C7A" w:rsidR="00587EDC" w:rsidRPr="00C231A2" w:rsidRDefault="00587EDC" w:rsidP="00587ED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Kruskal-Wallis rank sum test: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X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  <w:vertAlign w:val="superscript"/>
        </w:rPr>
        <w:t>2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=18.52,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df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= 3,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= 0.0003436.</w:t>
      </w:r>
    </w:p>
    <w:p w14:paraId="4116CADA" w14:textId="77777777" w:rsidR="00587EDC" w:rsidRPr="00C231A2" w:rsidRDefault="00587EDC" w:rsidP="00587ED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bCs/>
          <w:iCs/>
          <w:color w:val="000000" w:themeColor="text1"/>
          <w:sz w:val="22"/>
          <w:szCs w:val="22"/>
        </w:rPr>
        <w:t>*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Pairwise comparisons using Dunn's-test for multiple comparisons of independent samples.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-values presented in the table compare each system to the serum free and cell free system. </w:t>
      </w:r>
    </w:p>
    <w:p w14:paraId="2270DAE6" w14:textId="77777777" w:rsidR="00587EDC" w:rsidRPr="00C231A2" w:rsidRDefault="00587EDC" w:rsidP="00587ED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># Statistical differences were found between 10% FBS, Cell-free and Serum-free, LLC-MK</w:t>
      </w:r>
      <w:r w:rsidRPr="00C231A2">
        <w:rPr>
          <w:rFonts w:ascii="Calibri" w:hAnsi="Calibri" w:cs="Calibri"/>
          <w:color w:val="000000" w:themeColor="text1"/>
          <w:sz w:val="22"/>
          <w:szCs w:val="22"/>
          <w:vertAlign w:val="subscript"/>
        </w:rPr>
        <w:t>2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systems with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>-values of 0.0330 and 0.0116 for RPMI and DMEM respectively. However, no difference was observed between the two systems using LLC-MK</w:t>
      </w:r>
      <w:r w:rsidRPr="00C231A2">
        <w:rPr>
          <w:rFonts w:ascii="Calibri" w:hAnsi="Calibri" w:cs="Calibri"/>
          <w:color w:val="000000" w:themeColor="text1"/>
          <w:sz w:val="22"/>
          <w:szCs w:val="22"/>
          <w:vertAlign w:val="subscript"/>
        </w:rPr>
        <w:t>2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E8A765B" w14:textId="104A281F" w:rsidR="00587EDC" w:rsidRPr="00C231A2" w:rsidRDefault="00587EDC" w:rsidP="00587ED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>Abbreviati</w:t>
      </w:r>
      <w:r w:rsidR="005256A3" w:rsidRPr="00C231A2">
        <w:rPr>
          <w:rFonts w:ascii="Calibri" w:hAnsi="Calibri" w:cs="Calibri"/>
          <w:color w:val="000000" w:themeColor="text1"/>
          <w:sz w:val="22"/>
          <w:szCs w:val="22"/>
        </w:rPr>
        <w:t>ons. AUC: area under the curve.</w:t>
      </w:r>
    </w:p>
    <w:p w14:paraId="01E15607" w14:textId="08C9690D" w:rsidR="00883ADB" w:rsidRDefault="00883ADB">
      <w:pPr>
        <w:pStyle w:val="Body"/>
        <w:spacing w:after="0"/>
        <w:rPr>
          <w:iCs/>
          <w:color w:val="1F497D"/>
          <w:sz w:val="24"/>
          <w:szCs w:val="24"/>
          <w:u w:color="1F497D"/>
          <w:lang w:val="en-US"/>
        </w:rPr>
      </w:pPr>
    </w:p>
    <w:p w14:paraId="31CFC654" w14:textId="0AF85D9C" w:rsidR="00EE38B2" w:rsidRDefault="00EE38B2">
      <w:pPr>
        <w:pStyle w:val="Body"/>
        <w:spacing w:after="0"/>
        <w:rPr>
          <w:iCs/>
          <w:color w:val="1F497D"/>
          <w:sz w:val="24"/>
          <w:szCs w:val="24"/>
          <w:u w:color="1F497D"/>
          <w:lang w:val="en-US"/>
        </w:rPr>
      </w:pPr>
    </w:p>
    <w:p w14:paraId="752BDC05" w14:textId="2EA4AE6B" w:rsidR="00EE38B2" w:rsidRDefault="00EE38B2">
      <w:pPr>
        <w:pStyle w:val="Body"/>
        <w:spacing w:after="0"/>
        <w:rPr>
          <w:iCs/>
          <w:color w:val="1F497D"/>
          <w:sz w:val="24"/>
          <w:szCs w:val="24"/>
          <w:u w:color="1F497D"/>
          <w:lang w:val="en-US"/>
        </w:rPr>
      </w:pPr>
    </w:p>
    <w:p w14:paraId="7EC4096C" w14:textId="77777777" w:rsidR="00EE38B2" w:rsidRPr="00587EDC" w:rsidRDefault="00EE38B2">
      <w:pPr>
        <w:pStyle w:val="Body"/>
        <w:spacing w:after="0"/>
        <w:rPr>
          <w:iCs/>
          <w:color w:val="1F497D"/>
          <w:sz w:val="24"/>
          <w:szCs w:val="24"/>
          <w:u w:color="1F497D"/>
          <w:lang w:val="en-US"/>
        </w:rPr>
      </w:pPr>
    </w:p>
    <w:p w14:paraId="0EBF3D77" w14:textId="14C43ABD" w:rsidR="0028332C" w:rsidRPr="00C231A2" w:rsidRDefault="000B6985" w:rsidP="00C231A2">
      <w:pPr>
        <w:pStyle w:val="Body"/>
        <w:spacing w:after="0" w:line="360" w:lineRule="auto"/>
        <w:jc w:val="both"/>
        <w:rPr>
          <w:b/>
          <w:bCs/>
          <w:lang w:val="en-GB"/>
        </w:rPr>
      </w:pPr>
      <w:r w:rsidRPr="00C231A2">
        <w:rPr>
          <w:b/>
          <w:bCs/>
          <w:lang w:val="en-GB"/>
        </w:rPr>
        <w:t>Experimental Design, Materials, and Methods</w:t>
      </w:r>
    </w:p>
    <w:p w14:paraId="77BB1133" w14:textId="2E953E42" w:rsidR="00EF19EB" w:rsidRPr="00C231A2" w:rsidRDefault="00F07710" w:rsidP="00EE38B2">
      <w:pPr>
        <w:pStyle w:val="Heading2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bookmarkStart w:id="1" w:name="_Toc463005080"/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lastRenderedPageBreak/>
        <w:t>M. perstans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mf </w:t>
      </w:r>
      <w:r w:rsidR="007769C8"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extracted from human blood were cultured </w:t>
      </w:r>
      <w:r w:rsidR="007769C8" w:rsidRPr="00C231A2">
        <w:rPr>
          <w:rFonts w:ascii="Calibri" w:hAnsi="Calibri" w:cs="Calibri"/>
          <w:i/>
          <w:color w:val="000000" w:themeColor="text1"/>
          <w:sz w:val="22"/>
          <w:szCs w:val="22"/>
        </w:rPr>
        <w:t>in vitro</w:t>
      </w:r>
      <w:r w:rsidR="007769C8"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as recently described for </w:t>
      </w:r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 xml:space="preserve">L. </w:t>
      </w:r>
      <w:proofErr w:type="spellStart"/>
      <w:r w:rsidRPr="00C231A2">
        <w:rPr>
          <w:rFonts w:ascii="Calibri" w:hAnsi="Calibri" w:cs="Calibri"/>
          <w:i/>
          <w:color w:val="000000" w:themeColor="text1"/>
          <w:sz w:val="22"/>
          <w:szCs w:val="22"/>
        </w:rPr>
        <w:t>loa</w:t>
      </w:r>
      <w:proofErr w:type="spellEnd"/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parasites</w:t>
      </w:r>
      <w:r w:rsidR="008516FE"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[1,2]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>. Briefly, 30 – 50 mf/well were cultured in a 48-well flat-bottomed plates (Corning, New York, USA) with or without confluent monolayers of LLC-MK</w:t>
      </w:r>
      <w:r w:rsidRPr="00C231A2">
        <w:rPr>
          <w:rFonts w:ascii="Calibri" w:hAnsi="Calibri" w:cs="Calibri"/>
          <w:color w:val="000000" w:themeColor="text1"/>
          <w:sz w:val="22"/>
          <w:szCs w:val="22"/>
          <w:vertAlign w:val="subscript"/>
        </w:rPr>
        <w:t>2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(LGC Standard GmbH, Wesel, Germany) as feeder cells in either RPMI-1640 or DMEM media (Gibco) supplemented with 5 </w:t>
      </w:r>
      <w:r w:rsidRPr="00C231A2">
        <w:rPr>
          <w:rFonts w:ascii="Calibri" w:hAnsi="Calibri" w:cs="Calibri"/>
          <w:color w:val="000000" w:themeColor="text1"/>
          <w:sz w:val="22"/>
          <w:szCs w:val="22"/>
          <w:lang w:val="de-DE"/>
        </w:rPr>
        <w:t>μ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g/ml ciprofloxacin and 10 </w:t>
      </w:r>
      <w:r w:rsidRPr="00C231A2">
        <w:rPr>
          <w:rFonts w:ascii="Calibri" w:hAnsi="Calibri" w:cs="Calibri"/>
          <w:color w:val="000000" w:themeColor="text1"/>
          <w:sz w:val="22"/>
          <w:szCs w:val="22"/>
          <w:lang w:val="de-DE"/>
        </w:rPr>
        <w:t>μ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>g/ml fluconazole (Sigma Aldrich) and either with or without 10 % FBS (Lonza, Verviers, Belgium). Cultures were incubated at 37 °C and 5 % CO</w:t>
      </w:r>
      <w:r w:rsidRPr="00C231A2">
        <w:rPr>
          <w:rFonts w:ascii="Calibri" w:hAnsi="Calibri" w:cs="Calibri"/>
          <w:color w:val="000000" w:themeColor="text1"/>
          <w:sz w:val="22"/>
          <w:szCs w:val="22"/>
          <w:vertAlign w:val="subscript"/>
        </w:rPr>
        <w:t>2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for 20 days and parasite viability was evaluated using their motility as the primary indicator. </w:t>
      </w:r>
      <w:proofErr w:type="spellStart"/>
      <w:r w:rsidRPr="00C231A2">
        <w:rPr>
          <w:rFonts w:ascii="Calibri" w:hAnsi="Calibri" w:cs="Calibri"/>
          <w:color w:val="000000" w:themeColor="text1"/>
          <w:sz w:val="22"/>
          <w:szCs w:val="22"/>
        </w:rPr>
        <w:t>Mf</w:t>
      </w:r>
      <w:proofErr w:type="spellEnd"/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motility was daily scored under x10 magnification using an inverted microscope (</w:t>
      </w:r>
      <w:proofErr w:type="spellStart"/>
      <w:r w:rsidRPr="00C231A2">
        <w:rPr>
          <w:rFonts w:ascii="Calibri" w:hAnsi="Calibri" w:cs="Calibri"/>
          <w:color w:val="000000" w:themeColor="text1"/>
          <w:sz w:val="22"/>
          <w:szCs w:val="22"/>
        </w:rPr>
        <w:t>Motic</w:t>
      </w:r>
      <w:proofErr w:type="spellEnd"/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C231A2">
        <w:rPr>
          <w:rFonts w:ascii="Calibri" w:hAnsi="Calibri" w:cs="Calibri"/>
          <w:color w:val="000000" w:themeColor="text1"/>
          <w:sz w:val="22"/>
          <w:szCs w:val="22"/>
        </w:rPr>
        <w:t>Wetzlar</w:t>
      </w:r>
      <w:proofErr w:type="spellEnd"/>
      <w:r w:rsidRPr="00C231A2">
        <w:rPr>
          <w:rFonts w:ascii="Calibri" w:hAnsi="Calibri" w:cs="Calibri"/>
          <w:color w:val="000000" w:themeColor="text1"/>
          <w:sz w:val="22"/>
          <w:szCs w:val="22"/>
        </w:rPr>
        <w:t>, Germany)</w:t>
      </w:r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by applying a 4-point scale: </w:t>
      </w:r>
    </w:p>
    <w:p w14:paraId="07A6A5FE" w14:textId="3BE9BBC1" w:rsidR="00EF19EB" w:rsidRPr="00C231A2" w:rsidRDefault="00EF19EB">
      <w:pPr>
        <w:pStyle w:val="Heading2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- </w:t>
      </w:r>
      <w:r w:rsidR="00F07710"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0, no movement or immotile; </w:t>
      </w:r>
    </w:p>
    <w:p w14:paraId="0B4A082A" w14:textId="77777777" w:rsidR="00EF19EB" w:rsidRPr="00C231A2" w:rsidRDefault="00EF19EB">
      <w:pPr>
        <w:pStyle w:val="Heading2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- </w:t>
      </w:r>
      <w:r w:rsidR="00F07710"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1, intermittent shaking of head and tail; </w:t>
      </w:r>
    </w:p>
    <w:p w14:paraId="337D6089" w14:textId="77777777" w:rsidR="00EF19EB" w:rsidRPr="00C231A2" w:rsidRDefault="00EF19EB">
      <w:pPr>
        <w:pStyle w:val="Heading2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- </w:t>
      </w:r>
      <w:r w:rsidR="00F07710"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2, sluggish (shaking of the whole form whilst the mf remained stationary); </w:t>
      </w:r>
    </w:p>
    <w:p w14:paraId="61AEE6E9" w14:textId="077C550A" w:rsidR="00F07710" w:rsidRPr="00C231A2" w:rsidRDefault="00EF19EB">
      <w:pPr>
        <w:pStyle w:val="Heading2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- </w:t>
      </w:r>
      <w:r w:rsidR="00F07710"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>3, vigorous movement (shaking of the whole form and with migration around the well).</w:t>
      </w:r>
    </w:p>
    <w:bookmarkEnd w:id="1"/>
    <w:p w14:paraId="380A1E9D" w14:textId="7F541757" w:rsidR="00F07710" w:rsidRDefault="00F07710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C231A2">
        <w:rPr>
          <w:rFonts w:ascii="Calibri" w:eastAsia="Times New Roman" w:hAnsi="Calibri" w:cs="Calibri"/>
          <w:bCs/>
          <w:color w:val="000000" w:themeColor="text1"/>
          <w:sz w:val="22"/>
          <w:szCs w:val="22"/>
        </w:rPr>
        <w:t xml:space="preserve">Raw data were saved in a spreadsheet and </w:t>
      </w:r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>using the above described 4-point scale</w:t>
      </w:r>
      <w:r w:rsidRPr="00C231A2">
        <w:rPr>
          <w:rFonts w:ascii="Calibri" w:eastAsia="Times New Roman" w:hAnsi="Calibri" w:cs="Calibri"/>
          <w:bCs/>
          <w:color w:val="000000" w:themeColor="text1"/>
          <w:sz w:val="22"/>
          <w:szCs w:val="22"/>
        </w:rPr>
        <w:t xml:space="preserve"> the percentage</w:t>
      </w:r>
      <w:r w:rsidRPr="00C231A2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(%) of</w:t>
      </w:r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motility was calculated according to the following formula:</w:t>
      </w:r>
    </w:p>
    <w:p w14:paraId="581072E5" w14:textId="77777777" w:rsidR="00B43B2D" w:rsidRPr="00C231A2" w:rsidRDefault="00B43B2D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</w:p>
    <w:p w14:paraId="77454D2A" w14:textId="0A1492A3" w:rsidR="00F07710" w:rsidRPr="00B43B2D" w:rsidRDefault="00F07710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m:oMathPara>
        <m:oMath>
          <m:r>
            <w:rPr>
              <w:rFonts w:ascii="Cambria Math" w:hAnsi="Cambria Math" w:cs="Calibri"/>
              <w:color w:val="000000" w:themeColor="text1"/>
              <w:sz w:val="22"/>
              <w:szCs w:val="22"/>
              <w:lang w:val="en-AU"/>
            </w:rPr>
            <m:t xml:space="preserve"> </m:t>
          </m:r>
          <m:r>
            <m:rPr>
              <m:sty m:val="p"/>
            </m:rPr>
            <w:rPr>
              <w:rFonts w:ascii="Cambria Math" w:hAnsi="Cambria Math" w:cs="Calibri"/>
              <w:color w:val="000000" w:themeColor="text1"/>
              <w:sz w:val="22"/>
              <w:szCs w:val="22"/>
              <w:lang w:val="en-AU"/>
            </w:rPr>
            <m:t xml:space="preserve">Motility </m:t>
          </m:r>
          <m:d>
            <m:dPr>
              <m:ctrlPr>
                <w:rPr>
                  <w:rFonts w:ascii="Cambria Math" w:hAnsi="Cambria Math" w:cs="Calibri"/>
                  <w:color w:val="000000" w:themeColor="text1"/>
                  <w:sz w:val="22"/>
                  <w:szCs w:val="22"/>
                  <w:lang w:val="en-A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color w:val="000000" w:themeColor="text1"/>
                  <w:sz w:val="22"/>
                  <w:szCs w:val="22"/>
                  <w:lang w:val="en-AU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Calibri"/>
              <w:color w:val="000000" w:themeColor="text1"/>
              <w:sz w:val="22"/>
              <w:szCs w:val="22"/>
              <w:lang w:val="en-AU"/>
            </w:rPr>
            <m:t>=</m:t>
          </m:r>
          <m:f>
            <m:fPr>
              <m:ctrlPr>
                <w:rPr>
                  <w:rFonts w:ascii="Cambria Math" w:hAnsi="Cambria Math" w:cs="Calibri"/>
                  <w:color w:val="000000" w:themeColor="text1"/>
                  <w:sz w:val="22"/>
                  <w:szCs w:val="22"/>
                  <w:lang w:val="en-A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alibri"/>
                      <w:color w:val="000000" w:themeColor="text1"/>
                      <w:sz w:val="22"/>
                      <w:szCs w:val="22"/>
                      <w:lang w:val="en-AU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 w:themeColor="text1"/>
                      <w:sz w:val="22"/>
                      <w:szCs w:val="22"/>
                      <w:lang w:val="en-AU"/>
                    </w:rPr>
                    <m:t>SiNi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color w:val="000000" w:themeColor="text1"/>
                  <w:sz w:val="22"/>
                  <w:szCs w:val="22"/>
                  <w:lang w:val="en-AU"/>
                </w:rPr>
                <m:t>3.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alibri"/>
                      <w:color w:val="000000" w:themeColor="text1"/>
                      <w:sz w:val="22"/>
                      <w:szCs w:val="22"/>
                      <w:lang w:val="en-AU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 w:themeColor="text1"/>
                      <w:sz w:val="22"/>
                      <w:szCs w:val="22"/>
                      <w:lang w:val="en-AU"/>
                    </w:rPr>
                    <m:t>Ni</m:t>
                  </m:r>
                </m:e>
              </m:nary>
            </m:den>
          </m:f>
          <m:r>
            <m:rPr>
              <m:sty m:val="p"/>
            </m:rPr>
            <w:rPr>
              <w:rFonts w:ascii="Cambria Math" w:hAnsi="Cambria Math" w:cs="Calibri"/>
              <w:color w:val="000000" w:themeColor="text1"/>
              <w:sz w:val="22"/>
              <w:szCs w:val="22"/>
              <w:lang w:val="en-AU"/>
            </w:rPr>
            <m:t>×</m:t>
          </m:r>
          <m:r>
            <w:rPr>
              <w:rFonts w:ascii="Cambria Math" w:hAnsi="Cambria Math" w:cs="Calibri"/>
              <w:color w:val="000000" w:themeColor="text1"/>
              <w:sz w:val="22"/>
              <w:szCs w:val="22"/>
              <w:lang w:val="en-AU"/>
            </w:rPr>
            <m:t>100</m:t>
          </m:r>
        </m:oMath>
      </m:oMathPara>
    </w:p>
    <w:p w14:paraId="524A29B7" w14:textId="77777777" w:rsidR="00B43B2D" w:rsidRPr="00C231A2" w:rsidRDefault="00B43B2D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</w:p>
    <w:p w14:paraId="38AE462F" w14:textId="44045308" w:rsidR="00F07710" w:rsidRPr="00C231A2" w:rsidRDefault="00F07710" w:rsidP="00C231A2">
      <w:pPr>
        <w:spacing w:line="36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where Si is the score of point scale </w:t>
      </w:r>
      <w:proofErr w:type="spellStart"/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>i</w:t>
      </w:r>
      <w:proofErr w:type="spellEnd"/>
      <w:r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 and Ni is the total number of worms at a point scale </w:t>
      </w:r>
      <w:r w:rsidR="008516FE" w:rsidRPr="00C231A2">
        <w:rPr>
          <w:rFonts w:ascii="Calibri" w:hAnsi="Calibri" w:cs="Calibri"/>
          <w:color w:val="000000" w:themeColor="text1"/>
          <w:sz w:val="22"/>
          <w:szCs w:val="22"/>
          <w:lang w:val="en-AU"/>
        </w:rPr>
        <w:t>I [2]</w:t>
      </w:r>
      <w:r w:rsidRPr="00C231A2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10C751B8" w14:textId="022F3BA8" w:rsidR="00F07710" w:rsidRDefault="00F07710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>The means of the area under curve (AUC) were calculated using the percentage motility of the drugs from 0 to 5 days according to the following formula:</w:t>
      </w:r>
    </w:p>
    <w:p w14:paraId="69105E44" w14:textId="77777777" w:rsidR="00B43B2D" w:rsidRPr="00C231A2" w:rsidRDefault="00B43B2D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96AEC0" w14:textId="77777777" w:rsidR="00F07710" w:rsidRPr="00C231A2" w:rsidRDefault="00F07710" w:rsidP="00C231A2">
      <w:pPr>
        <w:spacing w:line="360" w:lineRule="auto"/>
        <w:jc w:val="both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b/>
          <w:noProof/>
          <w:color w:val="000000" w:themeColor="text1"/>
          <w:sz w:val="22"/>
          <w:szCs w:val="22"/>
        </w:rPr>
        <w:drawing>
          <wp:inline distT="0" distB="0" distL="0" distR="0" wp14:anchorId="5D9DAFD5" wp14:editId="056F6137">
            <wp:extent cx="2679590" cy="62354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37" cy="63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1A2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</w:t>
      </w:r>
    </w:p>
    <w:p w14:paraId="74E75F72" w14:textId="69EACA22" w:rsidR="00B43B2D" w:rsidRDefault="00F07710" w:rsidP="00C231A2">
      <w:pPr>
        <w:spacing w:line="360" w:lineRule="auto"/>
        <w:jc w:val="both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noProof/>
          <w:color w:val="000000" w:themeColor="text1"/>
          <w:sz w:val="22"/>
          <w:szCs w:val="22"/>
        </w:rPr>
        <w:t>where AUC = area under curve; y = motility; t = time point; n = an integer</w:t>
      </w:r>
      <w:r w:rsidR="00FA28D2" w:rsidRPr="00C231A2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 [4]</w:t>
      </w:r>
      <w:r w:rsidR="00B43B2D">
        <w:rPr>
          <w:rFonts w:ascii="Calibri" w:hAnsi="Calibri" w:cs="Calibri"/>
          <w:noProof/>
          <w:color w:val="000000" w:themeColor="text1"/>
          <w:sz w:val="22"/>
          <w:szCs w:val="22"/>
        </w:rPr>
        <w:t>.</w:t>
      </w:r>
    </w:p>
    <w:p w14:paraId="66CCE9F5" w14:textId="3312CFCC" w:rsidR="0028332C" w:rsidRDefault="00F07710" w:rsidP="00C231A2">
      <w:pPr>
        <w:spacing w:line="360" w:lineRule="auto"/>
        <w:jc w:val="both"/>
        <w:rPr>
          <w:rStyle w:val="PageNumber"/>
          <w:rFonts w:ascii="Calibri" w:hAnsi="Calibri" w:cs="Calibri"/>
          <w:color w:val="000000" w:themeColor="text1"/>
          <w:sz w:val="22"/>
          <w:szCs w:val="22"/>
        </w:rPr>
      </w:pPr>
      <w:r w:rsidRPr="00B43B2D">
        <w:rPr>
          <w:rStyle w:val="PageNumber"/>
          <w:rFonts w:ascii="Calibri" w:hAnsi="Calibri" w:cs="Calibri"/>
          <w:color w:val="000000" w:themeColor="text1"/>
          <w:sz w:val="22"/>
          <w:szCs w:val="22"/>
          <w:u w:color="70AD47"/>
        </w:rPr>
        <w:t xml:space="preserve">The effects of media </w:t>
      </w:r>
      <w:r w:rsidR="00441718" w:rsidRPr="00B43B2D">
        <w:rPr>
          <w:rStyle w:val="PageNumber"/>
          <w:rFonts w:ascii="Calibri" w:hAnsi="Calibri" w:cs="Calibri"/>
          <w:color w:val="000000" w:themeColor="text1"/>
          <w:sz w:val="22"/>
          <w:szCs w:val="22"/>
          <w:u w:color="70AD47"/>
        </w:rPr>
        <w:t xml:space="preserve">and supplements </w:t>
      </w:r>
      <w:r w:rsidRPr="00B43B2D">
        <w:rPr>
          <w:rStyle w:val="PageNumber"/>
          <w:rFonts w:ascii="Calibri" w:hAnsi="Calibri" w:cs="Calibri"/>
          <w:color w:val="000000" w:themeColor="text1"/>
          <w:sz w:val="22"/>
          <w:szCs w:val="22"/>
          <w:u w:color="70AD47"/>
        </w:rPr>
        <w:t xml:space="preserve">on the mf motility were compared using non-parametric tests. </w:t>
      </w:r>
      <w:r w:rsidRPr="00C231A2">
        <w:rPr>
          <w:rStyle w:val="apple-style-span"/>
          <w:rFonts w:ascii="Calibri" w:hAnsi="Calibri" w:cs="Calibri"/>
          <w:color w:val="000000" w:themeColor="text1"/>
          <w:sz w:val="22"/>
          <w:szCs w:val="22"/>
        </w:rPr>
        <w:t xml:space="preserve">The Kruskal-Wallis one-way analysis test was used to assess the global significant differences between the median AUC and when a difference was detected, Dunn's </w:t>
      </w:r>
      <w:r w:rsidRPr="00C231A2">
        <w:rPr>
          <w:rStyle w:val="apple-style-span"/>
          <w:rFonts w:ascii="Calibri" w:hAnsi="Calibri" w:cs="Calibri"/>
          <w:iCs/>
          <w:color w:val="000000" w:themeColor="text1"/>
          <w:sz w:val="22"/>
          <w:szCs w:val="22"/>
        </w:rPr>
        <w:t>post-hoc</w:t>
      </w:r>
      <w:r w:rsidRPr="00C231A2">
        <w:rPr>
          <w:rStyle w:val="apple-style-span"/>
          <w:rFonts w:ascii="Calibri" w:hAnsi="Calibri" w:cs="Calibri"/>
          <w:color w:val="000000" w:themeColor="text1"/>
          <w:sz w:val="22"/>
          <w:szCs w:val="22"/>
        </w:rPr>
        <w:t xml:space="preserve"> test was applied for pairwise multiple </w:t>
      </w:r>
      <w:r w:rsidRPr="00C231A2">
        <w:rPr>
          <w:rStyle w:val="apple-style-span"/>
          <w:rFonts w:ascii="Calibri" w:hAnsi="Calibri" w:cs="Calibri"/>
          <w:color w:val="000000" w:themeColor="text1"/>
          <w:sz w:val="22"/>
          <w:szCs w:val="22"/>
        </w:rPr>
        <w:lastRenderedPageBreak/>
        <w:t>comparisons of the ranked data. This analysis was performed using the Pairwise Multiple Comparisons of Mean Rank Sums (</w:t>
      </w:r>
      <w:r w:rsidRPr="00C231A2">
        <w:rPr>
          <w:rStyle w:val="apple-style-span"/>
          <w:rFonts w:ascii="Calibri" w:hAnsi="Calibri" w:cs="Calibri"/>
          <w:i/>
          <w:color w:val="000000" w:themeColor="text1"/>
          <w:sz w:val="22"/>
          <w:szCs w:val="22"/>
        </w:rPr>
        <w:t>PMCMR</w:t>
      </w:r>
      <w:r w:rsidR="00441718" w:rsidRPr="00C231A2">
        <w:rPr>
          <w:rStyle w:val="apple-style-span"/>
          <w:rFonts w:ascii="Calibri" w:hAnsi="Calibri" w:cs="Calibri"/>
          <w:color w:val="000000" w:themeColor="text1"/>
          <w:sz w:val="22"/>
          <w:szCs w:val="22"/>
        </w:rPr>
        <w:t>) package in R version 3.4.1</w:t>
      </w:r>
      <w:r w:rsidR="00441718"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 [5]</w:t>
      </w:r>
      <w:r w:rsidR="00441718" w:rsidRPr="00C231A2">
        <w:rPr>
          <w:rStyle w:val="PageNumber"/>
          <w:rFonts w:ascii="Calibri" w:hAnsi="Calibri" w:cs="Calibri"/>
          <w:color w:val="000000" w:themeColor="text1"/>
          <w:sz w:val="22"/>
          <w:szCs w:val="22"/>
        </w:rPr>
        <w:t>.</w:t>
      </w:r>
    </w:p>
    <w:p w14:paraId="73BA8DB6" w14:textId="77777777" w:rsidR="00B43B2D" w:rsidRPr="00C231A2" w:rsidRDefault="00B43B2D" w:rsidP="00C231A2">
      <w:pPr>
        <w:spacing w:line="360" w:lineRule="auto"/>
        <w:jc w:val="both"/>
        <w:rPr>
          <w:b/>
          <w:bCs/>
          <w:sz w:val="22"/>
          <w:szCs w:val="22"/>
          <w:lang w:val="en-GB"/>
        </w:rPr>
      </w:pPr>
    </w:p>
    <w:p w14:paraId="5E3857DC" w14:textId="77777777" w:rsidR="0028332C" w:rsidRPr="00C231A2" w:rsidRDefault="000B6985" w:rsidP="00C231A2">
      <w:pPr>
        <w:pStyle w:val="Body"/>
        <w:spacing w:after="0" w:line="360" w:lineRule="auto"/>
        <w:jc w:val="both"/>
        <w:rPr>
          <w:b/>
          <w:bCs/>
          <w:lang w:val="en-GB"/>
        </w:rPr>
      </w:pPr>
      <w:r w:rsidRPr="00C231A2">
        <w:rPr>
          <w:b/>
          <w:bCs/>
          <w:lang w:val="en-GB"/>
        </w:rPr>
        <w:t>Acknowledgments</w:t>
      </w:r>
    </w:p>
    <w:p w14:paraId="2DAF854C" w14:textId="0A889D9E" w:rsidR="00463552" w:rsidRPr="00C231A2" w:rsidRDefault="00F07710" w:rsidP="00C231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We sincerely thank the microfilaria donors for their voluntary participation in this study. </w:t>
      </w:r>
      <w:r w:rsidR="00463552">
        <w:rPr>
          <w:rFonts w:ascii="Calibri" w:hAnsi="Calibri" w:cs="Calibri"/>
          <w:color w:val="000000" w:themeColor="text1"/>
          <w:sz w:val="22"/>
          <w:szCs w:val="22"/>
        </w:rPr>
        <w:t>In addition, w</w:t>
      </w:r>
      <w:r w:rsidRPr="00C231A2">
        <w:rPr>
          <w:rFonts w:ascii="Calibri" w:hAnsi="Calibri" w:cs="Calibri"/>
          <w:color w:val="000000" w:themeColor="text1"/>
          <w:sz w:val="22"/>
          <w:szCs w:val="22"/>
        </w:rPr>
        <w:t xml:space="preserve">e thank </w:t>
      </w:r>
      <w:r w:rsidRPr="00C231A2">
        <w:rPr>
          <w:rFonts w:ascii="Calibri" w:hAnsi="Calibri" w:cs="Calibri"/>
          <w:sz w:val="22"/>
          <w:szCs w:val="22"/>
        </w:rPr>
        <w:t>the German Research Council (DFG</w:t>
      </w:r>
      <w:r w:rsidR="00463552" w:rsidRPr="00463552">
        <w:rPr>
          <w:rFonts w:ascii="Calibri" w:hAnsi="Calibri" w:cs="Calibri"/>
          <w:sz w:val="22"/>
          <w:szCs w:val="22"/>
        </w:rPr>
        <w:t xml:space="preserve">; </w:t>
      </w:r>
      <w:r w:rsidR="00463552" w:rsidRPr="00C231A2">
        <w:rPr>
          <w:rFonts w:ascii="Calibri" w:hAnsi="Calibri" w:cs="Calibri"/>
          <w:sz w:val="22"/>
          <w:szCs w:val="22"/>
        </w:rPr>
        <w:t>Grant DFG HO2009/10-1; HO 2009/14-1</w:t>
      </w:r>
      <w:r w:rsidRPr="00C231A2">
        <w:rPr>
          <w:rFonts w:ascii="Calibri" w:hAnsi="Calibri" w:cs="Calibri"/>
          <w:sz w:val="22"/>
          <w:szCs w:val="22"/>
        </w:rPr>
        <w:t>) and the German Ministry for Education and Research (BMBF initiative Research Networks for Health Innovations in Sub-Sahara Africa</w:t>
      </w:r>
      <w:r w:rsidR="00463552" w:rsidRPr="00463552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463552" w:rsidRPr="00463552">
        <w:rPr>
          <w:rFonts w:ascii="Calibri" w:hAnsi="Calibri" w:cs="Calibri"/>
          <w:sz w:val="22"/>
          <w:szCs w:val="22"/>
        </w:rPr>
        <w:t>TAKeOFF</w:t>
      </w:r>
      <w:proofErr w:type="spellEnd"/>
      <w:r w:rsidR="00B43B2D" w:rsidRPr="00C231A2">
        <w:rPr>
          <w:rFonts w:ascii="Calibri" w:hAnsi="Calibri" w:cs="Calibri"/>
          <w:sz w:val="22"/>
          <w:szCs w:val="22"/>
        </w:rPr>
        <w:t>)</w:t>
      </w:r>
      <w:r w:rsidRPr="00C231A2">
        <w:rPr>
          <w:rFonts w:ascii="Calibri" w:hAnsi="Calibri" w:cs="Calibri"/>
          <w:sz w:val="22"/>
          <w:szCs w:val="22"/>
        </w:rPr>
        <w:t xml:space="preserve"> for financial support.</w:t>
      </w:r>
    </w:p>
    <w:p w14:paraId="3DCC5A74" w14:textId="42421327" w:rsidR="00B43B2D" w:rsidRPr="00C231A2" w:rsidRDefault="00B43B2D" w:rsidP="00C231A2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31A2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71B544DF" w14:textId="7777777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lastRenderedPageBreak/>
        <w:t>References</w:t>
      </w:r>
    </w:p>
    <w:p w14:paraId="1EBA3D59" w14:textId="77777777" w:rsidR="00EF19EB" w:rsidRPr="00EF19EB" w:rsidRDefault="00EF19EB" w:rsidP="00C231A2">
      <w:pPr>
        <w:pStyle w:val="Body"/>
        <w:ind w:left="540" w:hanging="450"/>
        <w:jc w:val="both"/>
        <w:rPr>
          <w:lang w:val="en-GB"/>
        </w:rPr>
      </w:pPr>
      <w:r w:rsidRPr="00EF19EB">
        <w:rPr>
          <w:lang w:val="en-GB"/>
        </w:rPr>
        <w:t>1.</w:t>
      </w:r>
      <w:r w:rsidRPr="00EF19EB">
        <w:rPr>
          <w:lang w:val="en-GB"/>
        </w:rPr>
        <w:tab/>
        <w:t xml:space="preserve">D. </w:t>
      </w:r>
      <w:proofErr w:type="spellStart"/>
      <w:r w:rsidRPr="00EF19EB">
        <w:rPr>
          <w:lang w:val="en-GB"/>
        </w:rPr>
        <w:t>Zofou</w:t>
      </w:r>
      <w:proofErr w:type="spellEnd"/>
      <w:r w:rsidRPr="00EF19EB">
        <w:rPr>
          <w:lang w:val="en-GB"/>
        </w:rPr>
        <w:t xml:space="preserve">, F. F. </w:t>
      </w:r>
      <w:proofErr w:type="spellStart"/>
      <w:r w:rsidRPr="00EF19EB">
        <w:rPr>
          <w:lang w:val="en-GB"/>
        </w:rPr>
        <w:t>Fombad</w:t>
      </w:r>
      <w:proofErr w:type="spellEnd"/>
      <w:r w:rsidRPr="00EF19EB">
        <w:rPr>
          <w:lang w:val="en-GB"/>
        </w:rPr>
        <w:t xml:space="preserve">, N. V. T. </w:t>
      </w:r>
      <w:proofErr w:type="spellStart"/>
      <w:r w:rsidRPr="00EF19EB">
        <w:rPr>
          <w:lang w:val="en-GB"/>
        </w:rPr>
        <w:t>Gandjui</w:t>
      </w:r>
      <w:proofErr w:type="spellEnd"/>
      <w:r w:rsidRPr="00EF19EB">
        <w:rPr>
          <w:lang w:val="en-GB"/>
        </w:rPr>
        <w:t xml:space="preserve">, A. J. </w:t>
      </w:r>
      <w:proofErr w:type="spellStart"/>
      <w:r w:rsidRPr="00EF19EB">
        <w:rPr>
          <w:lang w:val="en-GB"/>
        </w:rPr>
        <w:t>Njouendou</w:t>
      </w:r>
      <w:proofErr w:type="spellEnd"/>
      <w:r w:rsidRPr="00EF19EB">
        <w:rPr>
          <w:lang w:val="en-GB"/>
        </w:rPr>
        <w:t xml:space="preserve">, A. J. </w:t>
      </w:r>
      <w:proofErr w:type="spellStart"/>
      <w:r w:rsidRPr="00EF19EB">
        <w:rPr>
          <w:lang w:val="en-GB"/>
        </w:rPr>
        <w:t>Kengne-Ouafo</w:t>
      </w:r>
      <w:proofErr w:type="spellEnd"/>
      <w:r w:rsidRPr="00EF19EB">
        <w:rPr>
          <w:lang w:val="en-GB"/>
        </w:rPr>
        <w:t xml:space="preserve">, P. W. </w:t>
      </w:r>
      <w:proofErr w:type="spellStart"/>
      <w:r w:rsidRPr="00EF19EB">
        <w:rPr>
          <w:lang w:val="en-GB"/>
        </w:rPr>
        <w:t>Chounna</w:t>
      </w:r>
      <w:proofErr w:type="spellEnd"/>
      <w:r w:rsidRPr="00EF19EB">
        <w:rPr>
          <w:lang w:val="en-GB"/>
        </w:rPr>
        <w:t xml:space="preserve"> </w:t>
      </w:r>
      <w:proofErr w:type="spellStart"/>
      <w:r w:rsidRPr="00EF19EB">
        <w:rPr>
          <w:lang w:val="en-GB"/>
        </w:rPr>
        <w:t>Ndongmo</w:t>
      </w:r>
      <w:proofErr w:type="spellEnd"/>
      <w:r w:rsidRPr="00EF19EB">
        <w:rPr>
          <w:lang w:val="en-GB"/>
        </w:rPr>
        <w:t xml:space="preserve">, et al., Evaluation of </w:t>
      </w:r>
      <w:r w:rsidRPr="00EF19EB">
        <w:rPr>
          <w:i/>
          <w:lang w:val="en-GB"/>
        </w:rPr>
        <w:t xml:space="preserve">in vitro </w:t>
      </w:r>
      <w:r w:rsidRPr="00EF19EB">
        <w:rPr>
          <w:lang w:val="en-GB"/>
        </w:rPr>
        <w:t xml:space="preserve">culture systems for the maintenance of microfilariae and infective larvae of </w:t>
      </w:r>
      <w:r w:rsidRPr="00EF19EB">
        <w:rPr>
          <w:i/>
          <w:lang w:val="en-GB"/>
        </w:rPr>
        <w:t xml:space="preserve">Loa </w:t>
      </w:r>
      <w:proofErr w:type="spellStart"/>
      <w:r w:rsidRPr="00EF19EB">
        <w:rPr>
          <w:i/>
          <w:lang w:val="en-GB"/>
        </w:rPr>
        <w:t>loa</w:t>
      </w:r>
      <w:proofErr w:type="spellEnd"/>
      <w:r w:rsidRPr="00EF19EB">
        <w:rPr>
          <w:lang w:val="en-GB"/>
        </w:rPr>
        <w:t xml:space="preserve">, </w:t>
      </w:r>
      <w:proofErr w:type="spellStart"/>
      <w:r w:rsidRPr="00EF19EB">
        <w:rPr>
          <w:lang w:val="en-GB"/>
        </w:rPr>
        <w:t>Parasit</w:t>
      </w:r>
      <w:proofErr w:type="spellEnd"/>
      <w:r w:rsidRPr="00EF19EB">
        <w:rPr>
          <w:lang w:val="en-GB"/>
        </w:rPr>
        <w:t xml:space="preserve"> Vectors 11(1) (2018) 275.</w:t>
      </w:r>
    </w:p>
    <w:p w14:paraId="69D0379A" w14:textId="7D24D78E" w:rsidR="00EF19EB" w:rsidRPr="00EF19EB" w:rsidRDefault="00EF19EB" w:rsidP="00C231A2">
      <w:pPr>
        <w:pStyle w:val="Body"/>
        <w:ind w:left="540" w:hanging="450"/>
        <w:jc w:val="both"/>
        <w:rPr>
          <w:lang w:val="en-GB"/>
        </w:rPr>
      </w:pPr>
      <w:r w:rsidRPr="00EF19EB">
        <w:rPr>
          <w:lang w:val="en-GB"/>
        </w:rPr>
        <w:t>2.</w:t>
      </w:r>
      <w:r w:rsidRPr="00EF19EB">
        <w:rPr>
          <w:lang w:val="en-GB"/>
        </w:rPr>
        <w:tab/>
        <w:t xml:space="preserve">A. J. </w:t>
      </w:r>
      <w:proofErr w:type="spellStart"/>
      <w:r w:rsidRPr="00EF19EB">
        <w:rPr>
          <w:lang w:val="en-GB"/>
        </w:rPr>
        <w:t>Njouendou</w:t>
      </w:r>
      <w:proofErr w:type="spellEnd"/>
      <w:r w:rsidRPr="00EF19EB">
        <w:rPr>
          <w:lang w:val="en-GB"/>
        </w:rPr>
        <w:t xml:space="preserve">, F. F. </w:t>
      </w:r>
      <w:proofErr w:type="spellStart"/>
      <w:r w:rsidRPr="00EF19EB">
        <w:rPr>
          <w:lang w:val="en-GB"/>
        </w:rPr>
        <w:t>Fombad</w:t>
      </w:r>
      <w:proofErr w:type="spellEnd"/>
      <w:r w:rsidRPr="00EF19EB">
        <w:rPr>
          <w:lang w:val="en-GB"/>
        </w:rPr>
        <w:t xml:space="preserve">, M. O’Neill, D. </w:t>
      </w:r>
      <w:proofErr w:type="spellStart"/>
      <w:r w:rsidRPr="00EF19EB">
        <w:rPr>
          <w:lang w:val="en-GB"/>
        </w:rPr>
        <w:t>Zofou</w:t>
      </w:r>
      <w:proofErr w:type="spellEnd"/>
      <w:r w:rsidRPr="00EF19EB">
        <w:rPr>
          <w:lang w:val="en-GB"/>
        </w:rPr>
        <w:t xml:space="preserve">, C. Nutting, P. C. </w:t>
      </w:r>
      <w:proofErr w:type="spellStart"/>
      <w:r w:rsidRPr="00EF19EB">
        <w:rPr>
          <w:lang w:val="en-GB"/>
        </w:rPr>
        <w:t>Ndongmo</w:t>
      </w:r>
      <w:proofErr w:type="spellEnd"/>
      <w:r w:rsidRPr="00EF19EB">
        <w:rPr>
          <w:lang w:val="en-GB"/>
        </w:rPr>
        <w:t xml:space="preserve">, et al., Heterogeneity in the in vitro susceptibility of Loa </w:t>
      </w:r>
      <w:proofErr w:type="spellStart"/>
      <w:r w:rsidRPr="00EF19EB">
        <w:rPr>
          <w:lang w:val="en-GB"/>
        </w:rPr>
        <w:t>loa</w:t>
      </w:r>
      <w:proofErr w:type="spellEnd"/>
      <w:r w:rsidRPr="00EF19EB">
        <w:rPr>
          <w:lang w:val="en-GB"/>
        </w:rPr>
        <w:t xml:space="preserve"> microfilariae to drugs commonly used in parasitological infections, </w:t>
      </w:r>
      <w:proofErr w:type="spellStart"/>
      <w:r w:rsidRPr="00EF19EB">
        <w:rPr>
          <w:lang w:val="en-GB"/>
        </w:rPr>
        <w:t>Parasit</w:t>
      </w:r>
      <w:proofErr w:type="spellEnd"/>
      <w:r>
        <w:rPr>
          <w:lang w:val="en-GB"/>
        </w:rPr>
        <w:t>.</w:t>
      </w:r>
      <w:r w:rsidRPr="00EF19EB">
        <w:rPr>
          <w:lang w:val="en-GB"/>
        </w:rPr>
        <w:t xml:space="preserve"> Vectors 11(1) (2018) 223.</w:t>
      </w:r>
    </w:p>
    <w:p w14:paraId="40D83693" w14:textId="77777777" w:rsidR="00BB1101" w:rsidRDefault="00EF19EB" w:rsidP="00C231A2">
      <w:pPr>
        <w:pStyle w:val="Body"/>
        <w:ind w:left="540" w:hanging="450"/>
        <w:jc w:val="both"/>
        <w:rPr>
          <w:lang w:val="en-GB"/>
        </w:rPr>
      </w:pPr>
      <w:r w:rsidRPr="00EF19EB">
        <w:rPr>
          <w:lang w:val="en-GB"/>
        </w:rPr>
        <w:t>3.</w:t>
      </w:r>
      <w:r w:rsidRPr="00EF19EB">
        <w:rPr>
          <w:lang w:val="en-GB"/>
        </w:rPr>
        <w:tab/>
        <w:t xml:space="preserve">F. F. </w:t>
      </w:r>
      <w:proofErr w:type="spellStart"/>
      <w:r w:rsidRPr="00EF19EB">
        <w:rPr>
          <w:lang w:val="en-GB"/>
        </w:rPr>
        <w:t>Fombad</w:t>
      </w:r>
      <w:proofErr w:type="spellEnd"/>
      <w:r w:rsidRPr="00EF19EB">
        <w:rPr>
          <w:lang w:val="en-GB"/>
        </w:rPr>
        <w:t xml:space="preserve">, A. J. </w:t>
      </w:r>
      <w:proofErr w:type="spellStart"/>
      <w:r w:rsidRPr="00EF19EB">
        <w:rPr>
          <w:lang w:val="en-GB"/>
        </w:rPr>
        <w:t>Njouendou</w:t>
      </w:r>
      <w:proofErr w:type="spellEnd"/>
      <w:r w:rsidRPr="00EF19EB">
        <w:rPr>
          <w:lang w:val="en-GB"/>
        </w:rPr>
        <w:t xml:space="preserve">, P. C. </w:t>
      </w:r>
      <w:proofErr w:type="spellStart"/>
      <w:r w:rsidRPr="00EF19EB">
        <w:rPr>
          <w:lang w:val="en-GB"/>
        </w:rPr>
        <w:t>Ndongmo</w:t>
      </w:r>
      <w:proofErr w:type="spellEnd"/>
      <w:r w:rsidRPr="00EF19EB">
        <w:rPr>
          <w:lang w:val="en-GB"/>
        </w:rPr>
        <w:t xml:space="preserve">, M. Ritter, V. C. </w:t>
      </w:r>
      <w:proofErr w:type="spellStart"/>
      <w:r w:rsidRPr="00EF19EB">
        <w:rPr>
          <w:lang w:val="en-GB"/>
        </w:rPr>
        <w:t>Chunda</w:t>
      </w:r>
      <w:proofErr w:type="spellEnd"/>
      <w:r w:rsidRPr="00EF19EB">
        <w:rPr>
          <w:lang w:val="en-GB"/>
        </w:rPr>
        <w:t xml:space="preserve">, H. M. </w:t>
      </w:r>
      <w:proofErr w:type="spellStart"/>
      <w:r w:rsidRPr="00EF19EB">
        <w:rPr>
          <w:lang w:val="en-GB"/>
        </w:rPr>
        <w:t>Metuge</w:t>
      </w:r>
      <w:proofErr w:type="spellEnd"/>
      <w:r w:rsidRPr="00EF19EB">
        <w:rPr>
          <w:lang w:val="en-GB"/>
        </w:rPr>
        <w:t xml:space="preserve">, et al., Effect of flubendazole on developing stages of Loa </w:t>
      </w:r>
      <w:proofErr w:type="spellStart"/>
      <w:r w:rsidRPr="00EF19EB">
        <w:rPr>
          <w:lang w:val="en-GB"/>
        </w:rPr>
        <w:t>loa</w:t>
      </w:r>
      <w:proofErr w:type="spellEnd"/>
      <w:r w:rsidRPr="00EF19EB">
        <w:rPr>
          <w:lang w:val="en-GB"/>
        </w:rPr>
        <w:t xml:space="preserve"> in vitro and in vivo: a new approach for screening filaricidal agents, </w:t>
      </w:r>
      <w:proofErr w:type="spellStart"/>
      <w:r w:rsidRPr="00EF19EB">
        <w:rPr>
          <w:lang w:val="en-GB"/>
        </w:rPr>
        <w:t>Parasit</w:t>
      </w:r>
      <w:proofErr w:type="spellEnd"/>
      <w:r>
        <w:rPr>
          <w:lang w:val="en-GB"/>
        </w:rPr>
        <w:t>.</w:t>
      </w:r>
      <w:r w:rsidRPr="00EF19EB">
        <w:rPr>
          <w:lang w:val="en-GB"/>
        </w:rPr>
        <w:t xml:space="preserve"> Vectors 12(1) (2019) 14.</w:t>
      </w:r>
    </w:p>
    <w:p w14:paraId="679C468A" w14:textId="35E7FF3F" w:rsidR="00FA28D2" w:rsidRPr="00EF19EB" w:rsidRDefault="00BB1101" w:rsidP="00C231A2">
      <w:pPr>
        <w:pStyle w:val="Body"/>
        <w:ind w:left="540" w:hanging="450"/>
        <w:jc w:val="both"/>
        <w:rPr>
          <w:lang w:val="en-GB"/>
        </w:rPr>
      </w:pPr>
      <w:r>
        <w:rPr>
          <w:lang w:val="en-GB"/>
        </w:rPr>
        <w:t xml:space="preserve">4. </w:t>
      </w:r>
      <w:r>
        <w:rPr>
          <w:lang w:val="en-GB"/>
        </w:rPr>
        <w:tab/>
      </w:r>
      <w:r w:rsidRPr="00BB1101">
        <w:rPr>
          <w:lang w:val="en-GB"/>
        </w:rPr>
        <w:t>J. Peacock, J. L. Peacock, P. Peacock. Oxford handbook of medical stati</w:t>
      </w:r>
      <w:r>
        <w:rPr>
          <w:lang w:val="en-GB"/>
        </w:rPr>
        <w:t xml:space="preserve">stics, Oxford University Press </w:t>
      </w:r>
      <w:r>
        <w:rPr>
          <w:lang w:val="en-GB"/>
        </w:rPr>
        <w:tab/>
        <w:t>(</w:t>
      </w:r>
      <w:r w:rsidRPr="00BB1101">
        <w:rPr>
          <w:lang w:val="en-GB"/>
        </w:rPr>
        <w:t>2011</w:t>
      </w:r>
      <w:r>
        <w:rPr>
          <w:lang w:val="en-GB"/>
        </w:rPr>
        <w:t>)</w:t>
      </w:r>
      <w:r w:rsidRPr="00BB1101">
        <w:rPr>
          <w:lang w:val="en-GB"/>
        </w:rPr>
        <w:t>.</w:t>
      </w:r>
    </w:p>
    <w:p w14:paraId="24DABD68" w14:textId="3B0ECAFE" w:rsidR="00EF19EB" w:rsidRPr="00EF19EB" w:rsidRDefault="00FA28D2" w:rsidP="00C231A2">
      <w:pPr>
        <w:pStyle w:val="Body"/>
        <w:ind w:left="540" w:hanging="450"/>
        <w:jc w:val="both"/>
        <w:rPr>
          <w:lang w:val="en-GB"/>
        </w:rPr>
      </w:pPr>
      <w:r>
        <w:rPr>
          <w:lang w:val="en-GB"/>
        </w:rPr>
        <w:t>5</w:t>
      </w:r>
      <w:r w:rsidR="00EF19EB" w:rsidRPr="00EF19EB">
        <w:rPr>
          <w:lang w:val="en-GB"/>
        </w:rPr>
        <w:t>.</w:t>
      </w:r>
      <w:r w:rsidR="00EF19EB" w:rsidRPr="00EF19EB">
        <w:rPr>
          <w:lang w:val="en-GB"/>
        </w:rPr>
        <w:tab/>
        <w:t>R Cor</w:t>
      </w:r>
      <w:r w:rsidR="00EF19EB">
        <w:rPr>
          <w:lang w:val="en-GB"/>
        </w:rPr>
        <w:t>e Team,</w:t>
      </w:r>
      <w:r w:rsidR="00EF19EB" w:rsidRPr="00EF19EB">
        <w:rPr>
          <w:lang w:val="en-GB"/>
        </w:rPr>
        <w:t xml:space="preserve"> A Language and Environment for Statistical Computing. 3.4.1 ed. Vienna, Austria: Found</w:t>
      </w:r>
      <w:r w:rsidR="00EF19EB">
        <w:rPr>
          <w:lang w:val="en-GB"/>
        </w:rPr>
        <w:t>ation for Statistical Computing</w:t>
      </w:r>
      <w:r w:rsidR="00EF19EB" w:rsidRPr="00EF19EB">
        <w:rPr>
          <w:lang w:val="en-GB"/>
        </w:rPr>
        <w:t xml:space="preserve"> </w:t>
      </w:r>
      <w:r w:rsidR="00EF19EB">
        <w:rPr>
          <w:lang w:val="en-GB"/>
        </w:rPr>
        <w:t>(</w:t>
      </w:r>
      <w:r w:rsidR="00EF19EB" w:rsidRPr="00EF19EB">
        <w:rPr>
          <w:lang w:val="en-GB"/>
        </w:rPr>
        <w:t>2014</w:t>
      </w:r>
      <w:r w:rsidR="00EF19EB">
        <w:rPr>
          <w:lang w:val="en-GB"/>
        </w:rPr>
        <w:t>)</w:t>
      </w:r>
      <w:r w:rsidR="00EF19EB" w:rsidRPr="00EF19EB">
        <w:rPr>
          <w:lang w:val="en-GB"/>
        </w:rPr>
        <w:t>.</w:t>
      </w:r>
    </w:p>
    <w:p w14:paraId="7D3D551A" w14:textId="2B5C6C40" w:rsidR="0028332C" w:rsidRPr="0009012D" w:rsidRDefault="0028332C" w:rsidP="00E30B38">
      <w:pPr>
        <w:pStyle w:val="Body"/>
        <w:ind w:left="540" w:hanging="450"/>
        <w:rPr>
          <w:lang w:val="en-GB"/>
        </w:rPr>
      </w:pPr>
    </w:p>
    <w:sectPr w:rsidR="0028332C" w:rsidRPr="0009012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ACC0" w14:textId="77777777" w:rsidR="00E83BFD" w:rsidRDefault="00E83BFD">
      <w:r>
        <w:separator/>
      </w:r>
    </w:p>
  </w:endnote>
  <w:endnote w:type="continuationSeparator" w:id="0">
    <w:p w14:paraId="43422D0B" w14:textId="77777777" w:rsidR="00E83BFD" w:rsidRDefault="00E8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234C" w14:textId="77777777" w:rsidR="00683BED" w:rsidRDefault="00683BE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F35E" w14:textId="77777777" w:rsidR="00E83BFD" w:rsidRDefault="00E83BFD">
      <w:r>
        <w:separator/>
      </w:r>
    </w:p>
  </w:footnote>
  <w:footnote w:type="continuationSeparator" w:id="0">
    <w:p w14:paraId="380B1E71" w14:textId="77777777" w:rsidR="00E83BFD" w:rsidRDefault="00E8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9006" w14:textId="77777777" w:rsidR="00683BED" w:rsidRDefault="00683BE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FD7"/>
    <w:multiLevelType w:val="hybridMultilevel"/>
    <w:tmpl w:val="E94E00D6"/>
    <w:styleLink w:val="ImportedStyle3"/>
    <w:lvl w:ilvl="0" w:tplc="55844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8B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BE5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4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25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3A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2B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219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8B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B53089"/>
    <w:multiLevelType w:val="hybridMultilevel"/>
    <w:tmpl w:val="BE5C7AC0"/>
    <w:numStyleLink w:val="ImportedStyle2"/>
  </w:abstractNum>
  <w:abstractNum w:abstractNumId="2" w15:restartNumberingAfterBreak="0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0801"/>
    <w:multiLevelType w:val="hybridMultilevel"/>
    <w:tmpl w:val="5EE60AB2"/>
    <w:styleLink w:val="ImportedStyle1"/>
    <w:lvl w:ilvl="0" w:tplc="BB60F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1C5C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CC2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A0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2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2DD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46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7EA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A29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490F31"/>
    <w:multiLevelType w:val="hybridMultilevel"/>
    <w:tmpl w:val="A4A6E04C"/>
    <w:lvl w:ilvl="0" w:tplc="676295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54F3"/>
    <w:multiLevelType w:val="hybridMultilevel"/>
    <w:tmpl w:val="5EE60AB2"/>
    <w:numStyleLink w:val="ImportedStyle1"/>
  </w:abstractNum>
  <w:abstractNum w:abstractNumId="6" w15:restartNumberingAfterBreak="0">
    <w:nsid w:val="6F380ECF"/>
    <w:multiLevelType w:val="hybridMultilevel"/>
    <w:tmpl w:val="BE5C7AC0"/>
    <w:styleLink w:val="ImportedStyle2"/>
    <w:lvl w:ilvl="0" w:tplc="73F63F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23A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0CD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C2F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65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C65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001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A2E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C7F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6922110"/>
    <w:multiLevelType w:val="hybridMultilevel"/>
    <w:tmpl w:val="E94E00D6"/>
    <w:numStyleLink w:val="ImportedStyle3"/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MLEwNbE0MDcyNzVR0lEKTi0uzszPAykwrAUAA3dCM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ata-in-Brie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dtrdavd6zt2ske2t595s95lwvr20at52xte&quot;&gt;My EndNote Library&lt;record-ids&gt;&lt;item&gt;33&lt;/item&gt;&lt;item&gt;64&lt;/item&gt;&lt;item&gt;508&lt;/item&gt;&lt;item&gt;510&lt;/item&gt;&lt;/record-ids&gt;&lt;/item&gt;&lt;/Libraries&gt;"/>
  </w:docVars>
  <w:rsids>
    <w:rsidRoot w:val="0028332C"/>
    <w:rsid w:val="000112F7"/>
    <w:rsid w:val="000331FE"/>
    <w:rsid w:val="00037E39"/>
    <w:rsid w:val="0006058F"/>
    <w:rsid w:val="0006134F"/>
    <w:rsid w:val="000833C9"/>
    <w:rsid w:val="00086579"/>
    <w:rsid w:val="0009012D"/>
    <w:rsid w:val="00092F3D"/>
    <w:rsid w:val="000B0548"/>
    <w:rsid w:val="000B6985"/>
    <w:rsid w:val="000E310D"/>
    <w:rsid w:val="000F07FF"/>
    <w:rsid w:val="000F725F"/>
    <w:rsid w:val="00123EF1"/>
    <w:rsid w:val="00136E5C"/>
    <w:rsid w:val="00150CC5"/>
    <w:rsid w:val="00171692"/>
    <w:rsid w:val="00175FC4"/>
    <w:rsid w:val="00176E34"/>
    <w:rsid w:val="00180692"/>
    <w:rsid w:val="00191574"/>
    <w:rsid w:val="001B7B0B"/>
    <w:rsid w:val="001C0212"/>
    <w:rsid w:val="001C0C5F"/>
    <w:rsid w:val="001C4BAB"/>
    <w:rsid w:val="001E00C0"/>
    <w:rsid w:val="001E772C"/>
    <w:rsid w:val="001F6E2C"/>
    <w:rsid w:val="001F77C3"/>
    <w:rsid w:val="002154C3"/>
    <w:rsid w:val="00221B9F"/>
    <w:rsid w:val="00240AD7"/>
    <w:rsid w:val="00250FA3"/>
    <w:rsid w:val="00257A5F"/>
    <w:rsid w:val="00277063"/>
    <w:rsid w:val="0028332C"/>
    <w:rsid w:val="002C27BB"/>
    <w:rsid w:val="002F2710"/>
    <w:rsid w:val="002F3321"/>
    <w:rsid w:val="00304DF2"/>
    <w:rsid w:val="003114B9"/>
    <w:rsid w:val="003542A3"/>
    <w:rsid w:val="0035574D"/>
    <w:rsid w:val="003834B2"/>
    <w:rsid w:val="003A25F0"/>
    <w:rsid w:val="003A63AA"/>
    <w:rsid w:val="003C104D"/>
    <w:rsid w:val="003F3F52"/>
    <w:rsid w:val="003F571E"/>
    <w:rsid w:val="00403B5F"/>
    <w:rsid w:val="004072EC"/>
    <w:rsid w:val="00430DF9"/>
    <w:rsid w:val="00441718"/>
    <w:rsid w:val="00463552"/>
    <w:rsid w:val="00465680"/>
    <w:rsid w:val="004727A4"/>
    <w:rsid w:val="0048423D"/>
    <w:rsid w:val="00485892"/>
    <w:rsid w:val="00486A01"/>
    <w:rsid w:val="004A170B"/>
    <w:rsid w:val="004A39C3"/>
    <w:rsid w:val="004C6DE5"/>
    <w:rsid w:val="004E0576"/>
    <w:rsid w:val="004F1C6F"/>
    <w:rsid w:val="004F44C8"/>
    <w:rsid w:val="00511615"/>
    <w:rsid w:val="005155C5"/>
    <w:rsid w:val="005256A3"/>
    <w:rsid w:val="00536087"/>
    <w:rsid w:val="00547E98"/>
    <w:rsid w:val="00551F35"/>
    <w:rsid w:val="00554687"/>
    <w:rsid w:val="0056606E"/>
    <w:rsid w:val="00567928"/>
    <w:rsid w:val="005725F1"/>
    <w:rsid w:val="00587EDC"/>
    <w:rsid w:val="005B36EE"/>
    <w:rsid w:val="005C2024"/>
    <w:rsid w:val="005D4899"/>
    <w:rsid w:val="005F3708"/>
    <w:rsid w:val="005F785C"/>
    <w:rsid w:val="006061AB"/>
    <w:rsid w:val="006202CA"/>
    <w:rsid w:val="00621772"/>
    <w:rsid w:val="0062272A"/>
    <w:rsid w:val="00646075"/>
    <w:rsid w:val="00651A96"/>
    <w:rsid w:val="006617F3"/>
    <w:rsid w:val="0066395E"/>
    <w:rsid w:val="00675E70"/>
    <w:rsid w:val="00683BED"/>
    <w:rsid w:val="006856D8"/>
    <w:rsid w:val="00685DEA"/>
    <w:rsid w:val="006A2262"/>
    <w:rsid w:val="00700EA8"/>
    <w:rsid w:val="007010B9"/>
    <w:rsid w:val="007113AC"/>
    <w:rsid w:val="00720CB0"/>
    <w:rsid w:val="007330C0"/>
    <w:rsid w:val="0074642B"/>
    <w:rsid w:val="007769C8"/>
    <w:rsid w:val="007844E7"/>
    <w:rsid w:val="007912EB"/>
    <w:rsid w:val="007B25AC"/>
    <w:rsid w:val="007B466F"/>
    <w:rsid w:val="007C0781"/>
    <w:rsid w:val="007C1FEA"/>
    <w:rsid w:val="007E4BF3"/>
    <w:rsid w:val="00807FE7"/>
    <w:rsid w:val="008155F3"/>
    <w:rsid w:val="00816250"/>
    <w:rsid w:val="008264CD"/>
    <w:rsid w:val="008346C7"/>
    <w:rsid w:val="00843EDF"/>
    <w:rsid w:val="008516FE"/>
    <w:rsid w:val="00864F7E"/>
    <w:rsid w:val="00874EFA"/>
    <w:rsid w:val="00883ADB"/>
    <w:rsid w:val="0088623F"/>
    <w:rsid w:val="00890119"/>
    <w:rsid w:val="008A01D8"/>
    <w:rsid w:val="008A5F7C"/>
    <w:rsid w:val="008B41DC"/>
    <w:rsid w:val="008B5189"/>
    <w:rsid w:val="008C2943"/>
    <w:rsid w:val="008C456D"/>
    <w:rsid w:val="008F4318"/>
    <w:rsid w:val="00912105"/>
    <w:rsid w:val="009142FD"/>
    <w:rsid w:val="00924563"/>
    <w:rsid w:val="00927E0F"/>
    <w:rsid w:val="009521F1"/>
    <w:rsid w:val="00955E6C"/>
    <w:rsid w:val="00975E81"/>
    <w:rsid w:val="009835D0"/>
    <w:rsid w:val="00987ADC"/>
    <w:rsid w:val="00991108"/>
    <w:rsid w:val="009B46A8"/>
    <w:rsid w:val="009C010A"/>
    <w:rsid w:val="009E042D"/>
    <w:rsid w:val="009E35FA"/>
    <w:rsid w:val="009F2350"/>
    <w:rsid w:val="009F23CF"/>
    <w:rsid w:val="009F40C6"/>
    <w:rsid w:val="00A00569"/>
    <w:rsid w:val="00A044C0"/>
    <w:rsid w:val="00A41F40"/>
    <w:rsid w:val="00A531EA"/>
    <w:rsid w:val="00A628BE"/>
    <w:rsid w:val="00AB4E3B"/>
    <w:rsid w:val="00AD4FCE"/>
    <w:rsid w:val="00AE6404"/>
    <w:rsid w:val="00AF278E"/>
    <w:rsid w:val="00B27EA9"/>
    <w:rsid w:val="00B4125D"/>
    <w:rsid w:val="00B43B2D"/>
    <w:rsid w:val="00B461DB"/>
    <w:rsid w:val="00B5415E"/>
    <w:rsid w:val="00B55948"/>
    <w:rsid w:val="00B62514"/>
    <w:rsid w:val="00B77AA4"/>
    <w:rsid w:val="00B91EE2"/>
    <w:rsid w:val="00BA7068"/>
    <w:rsid w:val="00BB1101"/>
    <w:rsid w:val="00BB51DB"/>
    <w:rsid w:val="00BE2B53"/>
    <w:rsid w:val="00BE6D42"/>
    <w:rsid w:val="00C0600A"/>
    <w:rsid w:val="00C2263C"/>
    <w:rsid w:val="00C231A2"/>
    <w:rsid w:val="00C3498D"/>
    <w:rsid w:val="00C378B7"/>
    <w:rsid w:val="00C572B4"/>
    <w:rsid w:val="00C613C8"/>
    <w:rsid w:val="00C73BC9"/>
    <w:rsid w:val="00C75C7A"/>
    <w:rsid w:val="00C834B0"/>
    <w:rsid w:val="00C93FF5"/>
    <w:rsid w:val="00C96000"/>
    <w:rsid w:val="00CA7086"/>
    <w:rsid w:val="00CB7302"/>
    <w:rsid w:val="00CC714F"/>
    <w:rsid w:val="00CF1BB2"/>
    <w:rsid w:val="00CF54FE"/>
    <w:rsid w:val="00D14BDA"/>
    <w:rsid w:val="00D23D1E"/>
    <w:rsid w:val="00D33993"/>
    <w:rsid w:val="00D357C6"/>
    <w:rsid w:val="00D44B1C"/>
    <w:rsid w:val="00D547CC"/>
    <w:rsid w:val="00D71832"/>
    <w:rsid w:val="00D71CDA"/>
    <w:rsid w:val="00D77669"/>
    <w:rsid w:val="00D876BD"/>
    <w:rsid w:val="00DB4BAB"/>
    <w:rsid w:val="00DC1D53"/>
    <w:rsid w:val="00DD017D"/>
    <w:rsid w:val="00DD2F91"/>
    <w:rsid w:val="00DD5D76"/>
    <w:rsid w:val="00DE0683"/>
    <w:rsid w:val="00DE3C61"/>
    <w:rsid w:val="00DF53A9"/>
    <w:rsid w:val="00E03BF6"/>
    <w:rsid w:val="00E22423"/>
    <w:rsid w:val="00E23BF8"/>
    <w:rsid w:val="00E30B38"/>
    <w:rsid w:val="00E35D80"/>
    <w:rsid w:val="00E56C28"/>
    <w:rsid w:val="00E617CC"/>
    <w:rsid w:val="00E64C3B"/>
    <w:rsid w:val="00E813A0"/>
    <w:rsid w:val="00E83BFD"/>
    <w:rsid w:val="00E8736C"/>
    <w:rsid w:val="00EE2E3E"/>
    <w:rsid w:val="00EE38B2"/>
    <w:rsid w:val="00EF19EB"/>
    <w:rsid w:val="00EF53E1"/>
    <w:rsid w:val="00F07710"/>
    <w:rsid w:val="00F24175"/>
    <w:rsid w:val="00F360A3"/>
    <w:rsid w:val="00F5134A"/>
    <w:rsid w:val="00F56D94"/>
    <w:rsid w:val="00F65FC2"/>
    <w:rsid w:val="00F710FF"/>
    <w:rsid w:val="00F83C55"/>
    <w:rsid w:val="00FA28D2"/>
    <w:rsid w:val="00FA6091"/>
    <w:rsid w:val="00FC0B96"/>
    <w:rsid w:val="00FD3201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93E4"/>
  <w15:docId w15:val="{B4D54065-86A5-491C-BC54-B312D99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0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360" w:lineRule="auto"/>
      <w:outlineLvl w:val="1"/>
    </w:pPr>
    <w:rPr>
      <w:rFonts w:eastAsia="Calibri"/>
      <w:color w:val="000000"/>
      <w:bdr w:val="none" w:sz="0" w:space="0" w:color="auto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7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70C0"/>
      <w:u w:val="single" w:color="0070C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070C0"/>
      <w:u w:val="single" w:color="0070C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1F497D"/>
      <w:sz w:val="32"/>
      <w:szCs w:val="32"/>
      <w:u w:val="single" w:color="1F497D"/>
    </w:r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Link"/>
    <w:rPr>
      <w:color w:val="0070C0"/>
      <w:u w:val="single" w:color="0070C0"/>
      <w:lang w:val="en-US"/>
    </w:rPr>
  </w:style>
  <w:style w:type="character" w:customStyle="1" w:styleId="Hyperlink5">
    <w:name w:val="Hyperlink.5"/>
    <w:basedOn w:val="Link"/>
    <w:rPr>
      <w:color w:val="0000FF"/>
      <w:u w:val="single" w:color="0000FF"/>
      <w:shd w:val="clear" w:color="auto" w:fill="FFFF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6">
    <w:name w:val="Hyperlink.6"/>
    <w:basedOn w:val="Link"/>
    <w:rPr>
      <w:color w:val="1F497D"/>
      <w:u w:val="single" w:color="1F497D"/>
      <w:lang w:val="en-US"/>
    </w:rPr>
  </w:style>
  <w:style w:type="character" w:customStyle="1" w:styleId="Hyperlink7">
    <w:name w:val="Hyperlink.7"/>
    <w:basedOn w:val="Link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92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D76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A9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3BED"/>
    <w:rPr>
      <w:color w:val="808080"/>
    </w:rPr>
  </w:style>
  <w:style w:type="character" w:customStyle="1" w:styleId="BodyChar">
    <w:name w:val="Body Char"/>
    <w:basedOn w:val="DefaultParagraphFont"/>
    <w:link w:val="Body"/>
    <w:locked/>
    <w:rsid w:val="00C572B4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styleId="PageNumber">
    <w:name w:val="page number"/>
    <w:basedOn w:val="DefaultParagraphFont"/>
    <w:unhideWhenUsed/>
    <w:rsid w:val="00C572B4"/>
  </w:style>
  <w:style w:type="character" w:customStyle="1" w:styleId="Heading2Char">
    <w:name w:val="Heading 2 Char"/>
    <w:basedOn w:val="DefaultParagraphFont"/>
    <w:link w:val="Heading2"/>
    <w:uiPriority w:val="9"/>
    <w:rsid w:val="00646075"/>
    <w:rPr>
      <w:rFonts w:eastAsia="Calibri"/>
      <w:color w:val="000000"/>
      <w:sz w:val="24"/>
      <w:szCs w:val="24"/>
      <w:bdr w:val="none" w:sz="0" w:space="0" w:color="auto"/>
      <w:lang w:val="en-US"/>
    </w:rPr>
  </w:style>
  <w:style w:type="character" w:customStyle="1" w:styleId="apple-style-span">
    <w:name w:val="apple-style-span"/>
    <w:basedOn w:val="DefaultParagraphFont"/>
    <w:rsid w:val="00646075"/>
  </w:style>
  <w:style w:type="character" w:customStyle="1" w:styleId="Heading3Char">
    <w:name w:val="Heading 3 Char"/>
    <w:basedOn w:val="DefaultParagraphFont"/>
    <w:link w:val="Heading3"/>
    <w:uiPriority w:val="9"/>
    <w:semiHidden/>
    <w:rsid w:val="00F07710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</w:rPr>
  </w:style>
  <w:style w:type="paragraph" w:customStyle="1" w:styleId="EndNoteBibliographyTitle">
    <w:name w:val="EndNote Bibliography Title"/>
    <w:basedOn w:val="Normal"/>
    <w:link w:val="EndNoteBibliographyTitleChar"/>
    <w:rsid w:val="00DB4BAB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4BAB"/>
    <w:rPr>
      <w:rFonts w:ascii="Calibri" w:hAnsi="Calibri" w:cs="Calibri"/>
      <w:noProof/>
      <w:sz w:val="22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4BAB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B4BAB"/>
    <w:rPr>
      <w:rFonts w:ascii="Calibri" w:hAnsi="Calibri" w:cs="Calibri"/>
      <w:noProof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0C6301D14EE489C97280B3069FD6D" ma:contentTypeVersion="11" ma:contentTypeDescription="Create a new document." ma:contentTypeScope="" ma:versionID="7e9fd6613bde3d0d8dc036b8888b8d17">
  <xsd:schema xmlns:xsd="http://www.w3.org/2001/XMLSchema" xmlns:xs="http://www.w3.org/2001/XMLSchema" xmlns:p="http://schemas.microsoft.com/office/2006/metadata/properties" xmlns:ns3="e7e3e935-736f-42bc-98dc-8c9153baad5b" xmlns:ns4="e21d2c74-bcb5-49ad-8e84-1b9924202b1f" targetNamespace="http://schemas.microsoft.com/office/2006/metadata/properties" ma:root="true" ma:fieldsID="0a56287485df3545a5abe2d55ab11127" ns3:_="" ns4:_="">
    <xsd:import namespace="e7e3e935-736f-42bc-98dc-8c9153baad5b"/>
    <xsd:import namespace="e21d2c74-bcb5-49ad-8e84-1b9924202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3e935-736f-42bc-98dc-8c9153baa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2c74-bcb5-49ad-8e84-1b9924202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143C-865A-4825-B371-98B79A3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3e935-736f-42bc-98dc-8c9153baad5b"/>
    <ds:schemaRef ds:uri="e21d2c74-bcb5-49ad-8e84-1b992420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D958A-64B8-4F32-97C1-FDAE9A440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FEEAC-1242-4125-80BC-B619BAEA47FE}">
  <ds:schemaRefs>
    <ds:schemaRef ds:uri="http://schemas.microsoft.com/office/infopath/2007/PartnerControls"/>
    <ds:schemaRef ds:uri="http://purl.org/dc/dcmitype/"/>
    <ds:schemaRef ds:uri="http://purl.org/dc/terms/"/>
    <ds:schemaRef ds:uri="e21d2c74-bcb5-49ad-8e84-1b9924202b1f"/>
    <ds:schemaRef ds:uri="e7e3e935-736f-42bc-98dc-8c9153baad5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040003F-D85E-4015-8CB0-343D1ED5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8796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Hildrew, Ross (ELS-LOW)</dc:creator>
  <cp:lastModifiedBy>Cathy Waldron</cp:lastModifiedBy>
  <cp:revision>2</cp:revision>
  <cp:lastPrinted>2019-04-10T09:19:00Z</cp:lastPrinted>
  <dcterms:created xsi:type="dcterms:W3CDTF">2020-01-24T00:24:00Z</dcterms:created>
  <dcterms:modified xsi:type="dcterms:W3CDTF">2020-01-24T00:24:00Z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0x0101000900C6301D14EE489C97280B3069FD6D</vt:lpwstr>
  </property>
</Properties>
</file>