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4C2A" w14:textId="2F9A24A9" w:rsidR="00904F2A" w:rsidRDefault="00904F2A" w:rsidP="000C3F9B"/>
    <w:p w14:paraId="477D46EE" w14:textId="2C16E2A4" w:rsidR="0059480A" w:rsidRDefault="0059480A" w:rsidP="000C3F9B"/>
    <w:p w14:paraId="128CB7F4" w14:textId="77777777" w:rsidR="007B7334" w:rsidRDefault="007B7334" w:rsidP="00A67253">
      <w:pPr>
        <w:spacing w:line="360" w:lineRule="auto"/>
        <w:jc w:val="center"/>
        <w:rPr>
          <w:rFonts w:ascii="Arial" w:hAnsi="Arial" w:cs="Arial"/>
          <w:b/>
        </w:rPr>
      </w:pPr>
    </w:p>
    <w:p w14:paraId="195D4672" w14:textId="07E7CA51" w:rsidR="0059480A" w:rsidRPr="00553862" w:rsidRDefault="00E2419B" w:rsidP="00DE217E">
      <w:pPr>
        <w:spacing w:line="360" w:lineRule="auto"/>
        <w:jc w:val="center"/>
        <w:rPr>
          <w:rFonts w:ascii="Arial" w:hAnsi="Arial" w:cs="Arial"/>
          <w:b/>
          <w:sz w:val="24"/>
        </w:rPr>
      </w:pPr>
      <w:r w:rsidRPr="00E2419B">
        <w:rPr>
          <w:rFonts w:ascii="Arial" w:hAnsi="Arial" w:cs="Arial"/>
          <w:b/>
          <w:sz w:val="24"/>
        </w:rPr>
        <w:t xml:space="preserve">Dolutegravir versus Efavirenz when </w:t>
      </w:r>
      <w:r w:rsidR="00F1367E">
        <w:rPr>
          <w:rFonts w:ascii="Arial" w:hAnsi="Arial" w:cs="Arial"/>
          <w:b/>
          <w:sz w:val="24"/>
        </w:rPr>
        <w:t>S</w:t>
      </w:r>
      <w:r w:rsidRPr="00E2419B">
        <w:rPr>
          <w:rFonts w:ascii="Arial" w:hAnsi="Arial" w:cs="Arial"/>
          <w:b/>
          <w:sz w:val="24"/>
        </w:rPr>
        <w:t>tarting HIV Therapy in Late Pregnancy</w:t>
      </w:r>
      <w:r w:rsidR="00B7124E">
        <w:rPr>
          <w:rFonts w:ascii="Arial" w:hAnsi="Arial" w:cs="Arial"/>
          <w:b/>
          <w:sz w:val="24"/>
        </w:rPr>
        <w:t xml:space="preserve">: a </w:t>
      </w:r>
      <w:proofErr w:type="spellStart"/>
      <w:r w:rsidR="00B7124E">
        <w:rPr>
          <w:rFonts w:ascii="Arial" w:hAnsi="Arial" w:cs="Arial"/>
          <w:b/>
          <w:sz w:val="24"/>
        </w:rPr>
        <w:t>randomised</w:t>
      </w:r>
      <w:proofErr w:type="spellEnd"/>
      <w:r w:rsidR="00B7124E">
        <w:rPr>
          <w:rFonts w:ascii="Arial" w:hAnsi="Arial" w:cs="Arial"/>
          <w:b/>
          <w:sz w:val="24"/>
        </w:rPr>
        <w:t xml:space="preserve"> controlled trial</w:t>
      </w:r>
      <w:r w:rsidRPr="00E2419B" w:rsidDel="00E2419B">
        <w:rPr>
          <w:rFonts w:ascii="Arial" w:hAnsi="Arial" w:cs="Arial"/>
          <w:b/>
          <w:sz w:val="24"/>
        </w:rPr>
        <w:t xml:space="preserve"> </w:t>
      </w:r>
    </w:p>
    <w:p w14:paraId="2A6432D8" w14:textId="77777777" w:rsidR="0059480A" w:rsidRDefault="0059480A" w:rsidP="00354296">
      <w:pPr>
        <w:spacing w:line="360" w:lineRule="auto"/>
        <w:jc w:val="both"/>
        <w:rPr>
          <w:rFonts w:ascii="Arial" w:hAnsi="Arial" w:cs="Arial"/>
        </w:rPr>
      </w:pPr>
    </w:p>
    <w:p w14:paraId="14C86CD0" w14:textId="77777777" w:rsidR="00553862" w:rsidRDefault="00553862" w:rsidP="00354296">
      <w:pPr>
        <w:spacing w:line="360" w:lineRule="auto"/>
        <w:jc w:val="both"/>
        <w:rPr>
          <w:rFonts w:ascii="Arial" w:hAnsi="Arial" w:cs="Arial"/>
        </w:rPr>
      </w:pPr>
    </w:p>
    <w:p w14:paraId="1EB70F0E" w14:textId="3FAF227E" w:rsidR="006B0F04" w:rsidRPr="006B0F04" w:rsidRDefault="006B0F04" w:rsidP="00354296">
      <w:pPr>
        <w:spacing w:line="360" w:lineRule="auto"/>
        <w:jc w:val="both"/>
        <w:rPr>
          <w:rFonts w:ascii="Arial" w:hAnsi="Arial" w:cs="Arial"/>
          <w:lang w:val="en-GB"/>
        </w:rPr>
      </w:pPr>
      <w:r w:rsidRPr="006B0F04">
        <w:rPr>
          <w:rFonts w:ascii="Arial" w:hAnsi="Arial" w:cs="Arial"/>
          <w:lang w:val="en-GB"/>
        </w:rPr>
        <w:t>Kenneth Kintu</w:t>
      </w:r>
      <w:r w:rsidR="005C00C5" w:rsidRPr="009F387E">
        <w:rPr>
          <w:rFonts w:ascii="Arial" w:hAnsi="Arial" w:cs="Arial"/>
          <w:vertAlign w:val="superscript"/>
          <w:lang w:val="en-GB"/>
        </w:rPr>
        <w:t>1</w:t>
      </w:r>
      <w:r w:rsidRPr="006B0F04">
        <w:rPr>
          <w:rFonts w:ascii="Arial" w:hAnsi="Arial" w:cs="Arial"/>
          <w:lang w:val="en-GB"/>
        </w:rPr>
        <w:t>, Thoko</w:t>
      </w:r>
      <w:r w:rsidR="00580D91">
        <w:rPr>
          <w:rFonts w:ascii="Arial" w:hAnsi="Arial" w:cs="Arial"/>
          <w:lang w:val="en-GB"/>
        </w:rPr>
        <w:t>zile R.</w:t>
      </w:r>
      <w:r w:rsidRPr="006B0F04">
        <w:rPr>
          <w:rFonts w:ascii="Arial" w:hAnsi="Arial" w:cs="Arial"/>
          <w:lang w:val="en-GB"/>
        </w:rPr>
        <w:t xml:space="preserve"> Malaba</w:t>
      </w:r>
      <w:r w:rsidR="005C00C5" w:rsidRPr="009F387E">
        <w:rPr>
          <w:rFonts w:ascii="Arial" w:hAnsi="Arial" w:cs="Arial"/>
          <w:vertAlign w:val="superscript"/>
          <w:lang w:val="en-GB"/>
        </w:rPr>
        <w:t>2</w:t>
      </w:r>
      <w:r w:rsidRPr="006B0F04">
        <w:rPr>
          <w:rFonts w:ascii="Arial" w:hAnsi="Arial" w:cs="Arial"/>
          <w:lang w:val="en-GB"/>
        </w:rPr>
        <w:t>, Jesca Nakibuka</w:t>
      </w:r>
      <w:r w:rsidR="005C00C5" w:rsidRPr="009F387E">
        <w:rPr>
          <w:rFonts w:ascii="Arial" w:hAnsi="Arial" w:cs="Arial"/>
          <w:vertAlign w:val="superscript"/>
          <w:lang w:val="en-GB"/>
        </w:rPr>
        <w:t>1</w:t>
      </w:r>
      <w:r w:rsidRPr="006B0F04">
        <w:rPr>
          <w:rFonts w:ascii="Arial" w:hAnsi="Arial" w:cs="Arial"/>
          <w:lang w:val="en-GB"/>
        </w:rPr>
        <w:t>, Christiana Papamichael</w:t>
      </w:r>
      <w:r w:rsidR="005C00C5" w:rsidRPr="009F387E">
        <w:rPr>
          <w:rFonts w:ascii="Arial" w:hAnsi="Arial" w:cs="Arial"/>
          <w:vertAlign w:val="superscript"/>
          <w:lang w:val="en-GB"/>
        </w:rPr>
        <w:t>4</w:t>
      </w:r>
      <w:r w:rsidRPr="006B0F04">
        <w:rPr>
          <w:rFonts w:ascii="Arial" w:hAnsi="Arial" w:cs="Arial"/>
          <w:lang w:val="en-GB"/>
        </w:rPr>
        <w:t>, Angela Colbers</w:t>
      </w:r>
      <w:r w:rsidR="005C00C5" w:rsidRPr="009F387E">
        <w:rPr>
          <w:rFonts w:ascii="Arial" w:hAnsi="Arial" w:cs="Arial"/>
          <w:vertAlign w:val="superscript"/>
          <w:lang w:val="en-GB"/>
        </w:rPr>
        <w:t>5</w:t>
      </w:r>
      <w:r w:rsidRPr="006B0F04">
        <w:rPr>
          <w:rFonts w:ascii="Arial" w:hAnsi="Arial" w:cs="Arial"/>
          <w:lang w:val="en-GB"/>
        </w:rPr>
        <w:t xml:space="preserve">, </w:t>
      </w:r>
      <w:r w:rsidR="00FB1421">
        <w:rPr>
          <w:rFonts w:ascii="Arial" w:hAnsi="Arial" w:cs="Arial"/>
          <w:lang w:val="en-GB"/>
        </w:rPr>
        <w:t>Kelly Byrne</w:t>
      </w:r>
      <w:r w:rsidR="00FB1421" w:rsidRPr="009F387E">
        <w:rPr>
          <w:rFonts w:ascii="Arial" w:hAnsi="Arial" w:cs="Arial"/>
          <w:vertAlign w:val="superscript"/>
          <w:lang w:val="en-GB"/>
        </w:rPr>
        <w:t>4</w:t>
      </w:r>
      <w:r w:rsidR="00FB1421">
        <w:rPr>
          <w:rFonts w:ascii="Arial" w:hAnsi="Arial" w:cs="Arial"/>
          <w:lang w:val="en-GB"/>
        </w:rPr>
        <w:t xml:space="preserve">, </w:t>
      </w:r>
      <w:r w:rsidRPr="006B0F04">
        <w:rPr>
          <w:rFonts w:ascii="Arial" w:hAnsi="Arial" w:cs="Arial"/>
          <w:lang w:val="en-GB"/>
        </w:rPr>
        <w:t>Kay Seden</w:t>
      </w:r>
      <w:r w:rsidR="005C00C5" w:rsidRPr="009F387E">
        <w:rPr>
          <w:rFonts w:ascii="Arial" w:hAnsi="Arial" w:cs="Arial"/>
          <w:vertAlign w:val="superscript"/>
          <w:lang w:val="en-GB"/>
        </w:rPr>
        <w:t>6</w:t>
      </w:r>
      <w:r w:rsidRPr="006B0F04">
        <w:rPr>
          <w:rFonts w:ascii="Arial" w:hAnsi="Arial" w:cs="Arial"/>
          <w:lang w:val="en-GB"/>
        </w:rPr>
        <w:t xml:space="preserve">, </w:t>
      </w:r>
      <w:r>
        <w:rPr>
          <w:rFonts w:ascii="Arial" w:hAnsi="Arial" w:cs="Arial"/>
          <w:lang w:val="en-GB"/>
        </w:rPr>
        <w:t>Eva Maria Hodel</w:t>
      </w:r>
      <w:r w:rsidR="005C00C5" w:rsidRPr="009F387E">
        <w:rPr>
          <w:rFonts w:ascii="Arial" w:hAnsi="Arial" w:cs="Arial"/>
          <w:vertAlign w:val="superscript"/>
          <w:lang w:val="en-GB"/>
        </w:rPr>
        <w:t>6</w:t>
      </w:r>
      <w:r>
        <w:rPr>
          <w:rFonts w:ascii="Arial" w:hAnsi="Arial" w:cs="Arial"/>
          <w:lang w:val="en-GB"/>
        </w:rPr>
        <w:t xml:space="preserve">, </w:t>
      </w:r>
      <w:r w:rsidR="005C00C5">
        <w:rPr>
          <w:rFonts w:ascii="Arial" w:hAnsi="Arial" w:cs="Arial"/>
          <w:lang w:val="en-GB"/>
        </w:rPr>
        <w:t>Tao Chen</w:t>
      </w:r>
      <w:r w:rsidR="005C00C5" w:rsidRPr="009F387E">
        <w:rPr>
          <w:rFonts w:ascii="Arial" w:hAnsi="Arial" w:cs="Arial"/>
          <w:vertAlign w:val="superscript"/>
          <w:lang w:val="en-GB"/>
        </w:rPr>
        <w:t>4</w:t>
      </w:r>
      <w:r w:rsidR="005C00C5">
        <w:rPr>
          <w:rFonts w:ascii="Arial" w:hAnsi="Arial" w:cs="Arial"/>
          <w:lang w:val="en-GB"/>
        </w:rPr>
        <w:t>,</w:t>
      </w:r>
      <w:r w:rsidR="009E7E75">
        <w:rPr>
          <w:rFonts w:ascii="Arial" w:hAnsi="Arial" w:cs="Arial"/>
          <w:lang w:val="en-GB"/>
        </w:rPr>
        <w:t xml:space="preserve"> </w:t>
      </w:r>
      <w:r w:rsidR="009E7E75" w:rsidRPr="009E7E75">
        <w:rPr>
          <w:rFonts w:ascii="Arial" w:hAnsi="Arial" w:cs="Arial"/>
        </w:rPr>
        <w:t>Adelline Twimukye</w:t>
      </w:r>
      <w:r w:rsidR="009E7E75" w:rsidRPr="00881686">
        <w:rPr>
          <w:rFonts w:ascii="Arial" w:hAnsi="Arial" w:cs="Arial"/>
          <w:vertAlign w:val="superscript"/>
        </w:rPr>
        <w:t>1</w:t>
      </w:r>
      <w:r w:rsidR="009E7E75">
        <w:rPr>
          <w:rFonts w:ascii="Arial" w:hAnsi="Arial" w:cs="Arial"/>
        </w:rPr>
        <w:t xml:space="preserve">, </w:t>
      </w:r>
      <w:r w:rsidR="009E7E75" w:rsidRPr="009E7E75">
        <w:rPr>
          <w:rFonts w:ascii="Arial" w:hAnsi="Arial" w:cs="Arial"/>
        </w:rPr>
        <w:t>Josaphat Byamugisha</w:t>
      </w:r>
      <w:r w:rsidR="009E7E75" w:rsidRPr="00881686">
        <w:rPr>
          <w:rFonts w:ascii="Arial" w:hAnsi="Arial" w:cs="Arial"/>
          <w:vertAlign w:val="superscript"/>
        </w:rPr>
        <w:t>1</w:t>
      </w:r>
      <w:r w:rsidR="002116F9">
        <w:rPr>
          <w:rFonts w:ascii="Arial" w:hAnsi="Arial" w:cs="Arial"/>
          <w:vertAlign w:val="superscript"/>
        </w:rPr>
        <w:t>,10</w:t>
      </w:r>
      <w:r w:rsidR="009E7E75">
        <w:rPr>
          <w:rFonts w:ascii="Arial" w:hAnsi="Arial" w:cs="Arial"/>
        </w:rPr>
        <w:t xml:space="preserve">, </w:t>
      </w:r>
      <w:r w:rsidRPr="006B0F04">
        <w:rPr>
          <w:rFonts w:ascii="Arial" w:hAnsi="Arial" w:cs="Arial"/>
          <w:lang w:val="en-GB"/>
        </w:rPr>
        <w:t>Helen Reynolds</w:t>
      </w:r>
      <w:r w:rsidR="005C00C5" w:rsidRPr="009F387E">
        <w:rPr>
          <w:rFonts w:ascii="Arial" w:hAnsi="Arial" w:cs="Arial"/>
          <w:vertAlign w:val="superscript"/>
          <w:lang w:val="en-GB"/>
        </w:rPr>
        <w:t>6,7</w:t>
      </w:r>
      <w:r w:rsidRPr="006B0F04">
        <w:rPr>
          <w:rFonts w:ascii="Arial" w:hAnsi="Arial" w:cs="Arial"/>
          <w:lang w:val="en-GB"/>
        </w:rPr>
        <w:t xml:space="preserve">, </w:t>
      </w:r>
      <w:r w:rsidR="00D019AF" w:rsidRPr="006B0F04">
        <w:rPr>
          <w:rFonts w:ascii="Arial" w:hAnsi="Arial" w:cs="Arial"/>
          <w:lang w:val="en-GB"/>
        </w:rPr>
        <w:t>Victoria</w:t>
      </w:r>
      <w:r w:rsidR="00D019AF">
        <w:rPr>
          <w:rFonts w:ascii="Arial" w:hAnsi="Arial" w:cs="Arial"/>
          <w:lang w:val="en-GB"/>
        </w:rPr>
        <w:t xml:space="preserve"> </w:t>
      </w:r>
      <w:r w:rsidR="00D019AF" w:rsidRPr="006B0F04">
        <w:rPr>
          <w:rFonts w:ascii="Arial" w:hAnsi="Arial" w:cs="Arial"/>
          <w:lang w:val="en-GB"/>
        </w:rPr>
        <w:t>Watson</w:t>
      </w:r>
      <w:r w:rsidR="00D019AF">
        <w:rPr>
          <w:rFonts w:ascii="Arial" w:hAnsi="Arial" w:cs="Arial"/>
          <w:vertAlign w:val="superscript"/>
          <w:lang w:val="en-GB"/>
        </w:rPr>
        <w:t>4</w:t>
      </w:r>
      <w:r w:rsidR="00D019AF">
        <w:rPr>
          <w:rFonts w:ascii="Arial" w:hAnsi="Arial" w:cs="Arial"/>
          <w:lang w:val="en-GB"/>
        </w:rPr>
        <w:t xml:space="preserve">, </w:t>
      </w:r>
      <w:r w:rsidR="004F418A">
        <w:rPr>
          <w:rFonts w:ascii="Arial" w:hAnsi="Arial" w:cs="Arial"/>
          <w:lang w:val="en-GB"/>
        </w:rPr>
        <w:t>David Burger</w:t>
      </w:r>
      <w:r w:rsidR="004F418A" w:rsidRPr="009F387E">
        <w:rPr>
          <w:rFonts w:ascii="Arial" w:hAnsi="Arial" w:cs="Arial"/>
          <w:vertAlign w:val="superscript"/>
          <w:lang w:val="en-GB"/>
        </w:rPr>
        <w:t>5</w:t>
      </w:r>
      <w:r w:rsidR="004F418A">
        <w:rPr>
          <w:rFonts w:ascii="Arial" w:hAnsi="Arial" w:cs="Arial"/>
          <w:lang w:val="en-GB"/>
        </w:rPr>
        <w:t xml:space="preserve">, </w:t>
      </w:r>
      <w:proofErr w:type="spellStart"/>
      <w:r w:rsidRPr="006B0F04">
        <w:rPr>
          <w:rFonts w:ascii="Arial" w:hAnsi="Arial" w:cs="Arial"/>
          <w:lang w:val="en-GB"/>
        </w:rPr>
        <w:t>Duolao</w:t>
      </w:r>
      <w:proofErr w:type="spellEnd"/>
      <w:r w:rsidRPr="006B0F04">
        <w:rPr>
          <w:rFonts w:ascii="Arial" w:hAnsi="Arial" w:cs="Arial"/>
          <w:lang w:val="en-GB"/>
        </w:rPr>
        <w:t xml:space="preserve"> Wang</w:t>
      </w:r>
      <w:r w:rsidR="005C00C5" w:rsidRPr="009F387E">
        <w:rPr>
          <w:rFonts w:ascii="Arial" w:hAnsi="Arial" w:cs="Arial"/>
          <w:vertAlign w:val="superscript"/>
          <w:lang w:val="en-GB"/>
        </w:rPr>
        <w:t>4</w:t>
      </w:r>
      <w:r w:rsidRPr="006B0F04">
        <w:rPr>
          <w:rFonts w:ascii="Arial" w:hAnsi="Arial" w:cs="Arial"/>
          <w:lang w:val="en-GB"/>
        </w:rPr>
        <w:t>, Catriona Waitt</w:t>
      </w:r>
      <w:r w:rsidR="005C00C5" w:rsidRPr="009F387E">
        <w:rPr>
          <w:rFonts w:ascii="Arial" w:hAnsi="Arial" w:cs="Arial"/>
          <w:vertAlign w:val="superscript"/>
          <w:lang w:val="en-GB"/>
        </w:rPr>
        <w:t>1,6</w:t>
      </w:r>
      <w:r w:rsidR="00354296">
        <w:rPr>
          <w:rFonts w:ascii="Arial" w:hAnsi="Arial" w:cs="Arial"/>
          <w:vertAlign w:val="superscript"/>
          <w:lang w:val="en-GB"/>
        </w:rPr>
        <w:t>,7</w:t>
      </w:r>
      <w:r w:rsidRPr="006B0F04">
        <w:rPr>
          <w:rFonts w:ascii="Arial" w:hAnsi="Arial" w:cs="Arial"/>
          <w:lang w:val="en-GB"/>
        </w:rPr>
        <w:t xml:space="preserve">, </w:t>
      </w:r>
      <w:r w:rsidR="005C00C5">
        <w:rPr>
          <w:rFonts w:ascii="Arial" w:hAnsi="Arial" w:cs="Arial"/>
          <w:lang w:val="en-GB"/>
        </w:rPr>
        <w:t>Miriam Taegtmeyer</w:t>
      </w:r>
      <w:r w:rsidR="00354296">
        <w:rPr>
          <w:rFonts w:ascii="Arial" w:hAnsi="Arial" w:cs="Arial"/>
          <w:vertAlign w:val="superscript"/>
          <w:lang w:val="en-GB"/>
        </w:rPr>
        <w:t>8</w:t>
      </w:r>
      <w:r w:rsidR="005C00C5">
        <w:rPr>
          <w:rFonts w:ascii="Arial" w:hAnsi="Arial" w:cs="Arial"/>
          <w:lang w:val="en-GB"/>
        </w:rPr>
        <w:t xml:space="preserve">, </w:t>
      </w:r>
      <w:r w:rsidRPr="006B0F04">
        <w:rPr>
          <w:rFonts w:ascii="Arial" w:hAnsi="Arial" w:cs="Arial"/>
          <w:lang w:val="en-GB"/>
        </w:rPr>
        <w:t>Catherine Orrell</w:t>
      </w:r>
      <w:r w:rsidR="00354296">
        <w:rPr>
          <w:rFonts w:ascii="Arial" w:hAnsi="Arial" w:cs="Arial"/>
          <w:vertAlign w:val="superscript"/>
          <w:lang w:val="en-GB"/>
        </w:rPr>
        <w:t>,9</w:t>
      </w:r>
      <w:r w:rsidRPr="006B0F04">
        <w:rPr>
          <w:rFonts w:ascii="Arial" w:hAnsi="Arial" w:cs="Arial"/>
          <w:lang w:val="en-GB"/>
        </w:rPr>
        <w:t>, Mohammed Lamorde</w:t>
      </w:r>
      <w:r w:rsidR="005C00C5" w:rsidRPr="009F387E">
        <w:rPr>
          <w:rFonts w:ascii="Arial" w:hAnsi="Arial" w:cs="Arial"/>
          <w:vertAlign w:val="superscript"/>
          <w:lang w:val="en-GB"/>
        </w:rPr>
        <w:t>1</w:t>
      </w:r>
      <w:r w:rsidRPr="006B0F04">
        <w:rPr>
          <w:rFonts w:ascii="Arial" w:hAnsi="Arial" w:cs="Arial"/>
          <w:lang w:val="en-GB"/>
        </w:rPr>
        <w:t>, Landon Myer</w:t>
      </w:r>
      <w:r w:rsidR="005C00C5" w:rsidRPr="009F387E">
        <w:rPr>
          <w:rFonts w:ascii="Arial" w:hAnsi="Arial" w:cs="Arial"/>
          <w:vertAlign w:val="superscript"/>
          <w:lang w:val="en-GB"/>
        </w:rPr>
        <w:t>2,3</w:t>
      </w:r>
      <w:r w:rsidRPr="006B0F04">
        <w:rPr>
          <w:rFonts w:ascii="Arial" w:hAnsi="Arial" w:cs="Arial"/>
          <w:lang w:val="en-GB"/>
        </w:rPr>
        <w:t>,</w:t>
      </w:r>
      <w:r>
        <w:rPr>
          <w:rFonts w:ascii="Arial" w:hAnsi="Arial" w:cs="Arial"/>
          <w:lang w:val="en-GB"/>
        </w:rPr>
        <w:t xml:space="preserve"> </w:t>
      </w:r>
      <w:r w:rsidRPr="006B0F04">
        <w:rPr>
          <w:rFonts w:ascii="Arial" w:hAnsi="Arial" w:cs="Arial"/>
          <w:lang w:val="en-GB"/>
        </w:rPr>
        <w:t>Saye Khoo</w:t>
      </w:r>
      <w:r w:rsidR="005C00C5" w:rsidRPr="009F387E">
        <w:rPr>
          <w:rFonts w:ascii="Arial" w:hAnsi="Arial" w:cs="Arial"/>
          <w:vertAlign w:val="superscript"/>
          <w:lang w:val="en-GB"/>
        </w:rPr>
        <w:t>6,7</w:t>
      </w:r>
      <w:r w:rsidRPr="006B0F04">
        <w:rPr>
          <w:rFonts w:ascii="Arial" w:hAnsi="Arial" w:cs="Arial"/>
          <w:lang w:val="en-GB"/>
        </w:rPr>
        <w:t>, for the DolPHIN-2 Study Group</w:t>
      </w:r>
    </w:p>
    <w:p w14:paraId="5953CA43" w14:textId="77777777" w:rsidR="00553862" w:rsidRDefault="00553862" w:rsidP="00354296">
      <w:pPr>
        <w:spacing w:line="360" w:lineRule="auto"/>
        <w:jc w:val="both"/>
        <w:rPr>
          <w:rFonts w:ascii="Arial" w:hAnsi="Arial" w:cs="Arial"/>
        </w:rPr>
      </w:pPr>
    </w:p>
    <w:p w14:paraId="7E835024" w14:textId="77777777" w:rsidR="00553862" w:rsidRDefault="00553862" w:rsidP="00354296">
      <w:pPr>
        <w:spacing w:line="360" w:lineRule="auto"/>
        <w:jc w:val="both"/>
        <w:rPr>
          <w:rFonts w:ascii="Arial" w:hAnsi="Arial" w:cs="Arial"/>
        </w:rPr>
      </w:pPr>
    </w:p>
    <w:p w14:paraId="28FE8893" w14:textId="77777777" w:rsidR="005C00C5" w:rsidRDefault="005C00C5" w:rsidP="00354296">
      <w:pPr>
        <w:spacing w:line="360" w:lineRule="auto"/>
        <w:jc w:val="both"/>
        <w:rPr>
          <w:rFonts w:ascii="Arial" w:hAnsi="Arial" w:cs="Arial"/>
        </w:rPr>
      </w:pPr>
    </w:p>
    <w:p w14:paraId="1FDF6759" w14:textId="3CCB086D" w:rsidR="002116F9" w:rsidRDefault="005C00C5" w:rsidP="002116F9">
      <w:pPr>
        <w:spacing w:line="360" w:lineRule="auto"/>
        <w:ind w:left="426" w:hanging="426"/>
        <w:jc w:val="both"/>
        <w:rPr>
          <w:rFonts w:ascii="Arial" w:hAnsi="Arial" w:cs="Arial"/>
        </w:rPr>
      </w:pPr>
      <w:r>
        <w:rPr>
          <w:rFonts w:ascii="Arial" w:hAnsi="Arial" w:cs="Arial"/>
        </w:rPr>
        <w:t>1</w:t>
      </w:r>
      <w:r>
        <w:rPr>
          <w:rFonts w:ascii="Arial" w:hAnsi="Arial" w:cs="Arial"/>
        </w:rPr>
        <w:tab/>
        <w:t xml:space="preserve">Infectious Diseases Institute, </w:t>
      </w:r>
      <w:r w:rsidRPr="005C00C5">
        <w:rPr>
          <w:rFonts w:ascii="Arial" w:hAnsi="Arial" w:cs="Arial"/>
        </w:rPr>
        <w:t>College of Health Sciences, Makerere University</w:t>
      </w:r>
      <w:r>
        <w:rPr>
          <w:rFonts w:ascii="Arial" w:hAnsi="Arial" w:cs="Arial"/>
        </w:rPr>
        <w:t>, Kampala, Uganda</w:t>
      </w:r>
      <w:r w:rsidR="002116F9">
        <w:rPr>
          <w:rFonts w:ascii="Arial" w:hAnsi="Arial" w:cs="Arial"/>
        </w:rPr>
        <w:t xml:space="preserve"> (Kenneth Kintu MMED, </w:t>
      </w:r>
      <w:proofErr w:type="spellStart"/>
      <w:r w:rsidR="002116F9">
        <w:rPr>
          <w:rFonts w:ascii="Arial" w:hAnsi="Arial" w:cs="Arial"/>
        </w:rPr>
        <w:t>Jesica</w:t>
      </w:r>
      <w:proofErr w:type="spellEnd"/>
      <w:r w:rsidR="002116F9">
        <w:rPr>
          <w:rFonts w:ascii="Arial" w:hAnsi="Arial" w:cs="Arial"/>
        </w:rPr>
        <w:t xml:space="preserve"> Nakibuka MMED, Adelline Twimukye </w:t>
      </w:r>
      <w:proofErr w:type="gramStart"/>
      <w:r w:rsidR="002116F9" w:rsidRPr="006B1517">
        <w:rPr>
          <w:bCs/>
          <w:color w:val="23347D"/>
          <w:sz w:val="24"/>
          <w:szCs w:val="24"/>
        </w:rPr>
        <w:t>MA</w:t>
      </w:r>
      <w:r w:rsidR="0090476F">
        <w:rPr>
          <w:bCs/>
          <w:color w:val="23347D"/>
          <w:sz w:val="24"/>
          <w:szCs w:val="24"/>
        </w:rPr>
        <w:t>,</w:t>
      </w:r>
      <w:r w:rsidR="002116F9">
        <w:rPr>
          <w:rFonts w:ascii="Arial" w:hAnsi="Arial" w:cs="Arial"/>
        </w:rPr>
        <w:t>,</w:t>
      </w:r>
      <w:proofErr w:type="gramEnd"/>
      <w:r w:rsidR="002116F9">
        <w:rPr>
          <w:rFonts w:ascii="Arial" w:hAnsi="Arial" w:cs="Arial"/>
        </w:rPr>
        <w:t xml:space="preserve"> </w:t>
      </w:r>
      <w:r w:rsidR="002116F9" w:rsidRPr="006B0F04">
        <w:rPr>
          <w:rFonts w:ascii="Arial" w:hAnsi="Arial" w:cs="Arial"/>
        </w:rPr>
        <w:t>Catriona Waitt</w:t>
      </w:r>
      <w:r w:rsidR="002116F9">
        <w:rPr>
          <w:rFonts w:ascii="Arial" w:hAnsi="Arial" w:cs="Arial"/>
        </w:rPr>
        <w:t xml:space="preserve"> PhD, </w:t>
      </w:r>
      <w:r w:rsidR="002116F9" w:rsidRPr="009E7E75">
        <w:rPr>
          <w:rFonts w:ascii="Arial" w:hAnsi="Arial" w:cs="Arial"/>
        </w:rPr>
        <w:t xml:space="preserve">Josaphat </w:t>
      </w:r>
      <w:proofErr w:type="spellStart"/>
      <w:r w:rsidR="002116F9" w:rsidRPr="009E7E75">
        <w:rPr>
          <w:rFonts w:ascii="Arial" w:hAnsi="Arial" w:cs="Arial"/>
        </w:rPr>
        <w:t>Byamugisha</w:t>
      </w:r>
      <w:proofErr w:type="spellEnd"/>
      <w:r w:rsidR="002116F9">
        <w:rPr>
          <w:rFonts w:ascii="Arial" w:hAnsi="Arial" w:cs="Arial"/>
        </w:rPr>
        <w:t xml:space="preserve"> </w:t>
      </w:r>
      <w:r w:rsidR="002116F9" w:rsidRPr="007255AB">
        <w:rPr>
          <w:rFonts w:ascii="Arial" w:hAnsi="Arial" w:cs="Arial"/>
        </w:rPr>
        <w:t>PhD</w:t>
      </w:r>
      <w:r w:rsidR="002116F9">
        <w:rPr>
          <w:rFonts w:ascii="Arial" w:hAnsi="Arial" w:cs="Arial"/>
        </w:rPr>
        <w:t xml:space="preserve">, Mohammed Lamorde PhD)  </w:t>
      </w:r>
    </w:p>
    <w:p w14:paraId="47CA4AAA" w14:textId="69A2C9EC" w:rsidR="005C00C5" w:rsidRDefault="005C00C5" w:rsidP="00354296">
      <w:pPr>
        <w:spacing w:line="360" w:lineRule="auto"/>
        <w:ind w:left="426" w:hanging="426"/>
        <w:jc w:val="both"/>
        <w:rPr>
          <w:rFonts w:ascii="Arial" w:hAnsi="Arial" w:cs="Arial"/>
        </w:rPr>
      </w:pPr>
    </w:p>
    <w:p w14:paraId="626788EE" w14:textId="540F1078" w:rsidR="002116F9" w:rsidRDefault="005C00C5" w:rsidP="002116F9">
      <w:pPr>
        <w:spacing w:line="360" w:lineRule="auto"/>
        <w:ind w:left="426" w:hanging="426"/>
        <w:jc w:val="both"/>
        <w:rPr>
          <w:rFonts w:ascii="Arial" w:hAnsi="Arial" w:cs="Arial"/>
        </w:rPr>
      </w:pPr>
      <w:r>
        <w:rPr>
          <w:rFonts w:ascii="Arial" w:hAnsi="Arial" w:cs="Arial"/>
        </w:rPr>
        <w:t>2</w:t>
      </w:r>
      <w:r>
        <w:rPr>
          <w:rFonts w:ascii="Arial" w:hAnsi="Arial" w:cs="Arial"/>
        </w:rPr>
        <w:tab/>
      </w:r>
      <w:r w:rsidR="00354296" w:rsidRPr="00354296">
        <w:rPr>
          <w:rFonts w:ascii="Arial" w:hAnsi="Arial" w:cs="Arial"/>
        </w:rPr>
        <w:t>Division of Epidemiology &amp; Biostatistics, School of Public Health &amp; Family Medicine, University of Cape Town Faculty of Health Sciences, Observatory 7925, South Africa</w:t>
      </w:r>
      <w:r w:rsidR="00354296" w:rsidRPr="00354296" w:rsidDel="00354296">
        <w:rPr>
          <w:rFonts w:ascii="Arial" w:hAnsi="Arial" w:cs="Arial"/>
        </w:rPr>
        <w:t xml:space="preserve"> </w:t>
      </w:r>
      <w:r w:rsidR="002116F9">
        <w:rPr>
          <w:rFonts w:ascii="Arial" w:hAnsi="Arial" w:cs="Arial"/>
        </w:rPr>
        <w:t>(Thokozile R.</w:t>
      </w:r>
      <w:r w:rsidR="002116F9" w:rsidRPr="006B0F04">
        <w:rPr>
          <w:rFonts w:ascii="Arial" w:hAnsi="Arial" w:cs="Arial"/>
        </w:rPr>
        <w:t xml:space="preserve"> Malaba</w:t>
      </w:r>
      <w:r w:rsidR="002116F9">
        <w:rPr>
          <w:rFonts w:ascii="Arial" w:hAnsi="Arial" w:cs="Arial"/>
        </w:rPr>
        <w:t xml:space="preserve"> MPH, </w:t>
      </w:r>
      <w:r w:rsidR="00F935CA">
        <w:rPr>
          <w:rFonts w:ascii="Arial" w:hAnsi="Arial" w:cs="Arial"/>
        </w:rPr>
        <w:t xml:space="preserve">Professor </w:t>
      </w:r>
      <w:r w:rsidR="002116F9" w:rsidRPr="006B0F04">
        <w:rPr>
          <w:rFonts w:ascii="Arial" w:hAnsi="Arial" w:cs="Arial"/>
        </w:rPr>
        <w:t>Landon Myer</w:t>
      </w:r>
      <w:r w:rsidR="002116F9">
        <w:rPr>
          <w:rFonts w:ascii="Arial" w:hAnsi="Arial" w:cs="Arial"/>
        </w:rPr>
        <w:t xml:space="preserve"> PhD)</w:t>
      </w:r>
    </w:p>
    <w:p w14:paraId="09C0CA63" w14:textId="1173216D" w:rsidR="005C00C5" w:rsidRDefault="005C00C5" w:rsidP="00354296">
      <w:pPr>
        <w:spacing w:line="360" w:lineRule="auto"/>
        <w:ind w:left="426" w:hanging="426"/>
        <w:jc w:val="both"/>
        <w:rPr>
          <w:rFonts w:ascii="Arial" w:hAnsi="Arial" w:cs="Arial"/>
        </w:rPr>
      </w:pPr>
    </w:p>
    <w:p w14:paraId="70E5C17D" w14:textId="60F7A163" w:rsidR="002116F9" w:rsidRDefault="005C00C5" w:rsidP="002116F9">
      <w:pPr>
        <w:spacing w:line="360" w:lineRule="auto"/>
        <w:ind w:left="426" w:hanging="426"/>
        <w:jc w:val="both"/>
        <w:rPr>
          <w:rFonts w:ascii="Arial" w:hAnsi="Arial" w:cs="Arial"/>
        </w:rPr>
      </w:pPr>
      <w:r>
        <w:rPr>
          <w:rFonts w:ascii="Arial" w:hAnsi="Arial" w:cs="Arial"/>
        </w:rPr>
        <w:t>3</w:t>
      </w:r>
      <w:r>
        <w:rPr>
          <w:rFonts w:ascii="Arial" w:hAnsi="Arial" w:cs="Arial"/>
        </w:rPr>
        <w:tab/>
      </w:r>
      <w:r w:rsidR="009C6A43" w:rsidRPr="009C6A43">
        <w:rPr>
          <w:rFonts w:ascii="Arial" w:hAnsi="Arial" w:cs="Arial"/>
          <w:lang w:val="en-ZA"/>
        </w:rPr>
        <w:t>Centre for Infectious Diseases Epidemiology &amp; Research, School of Public Health &amp; Family Medicine, University of Cape Town, South Africa</w:t>
      </w:r>
      <w:r w:rsidR="0090476F">
        <w:rPr>
          <w:rFonts w:ascii="Arial" w:hAnsi="Arial" w:cs="Arial"/>
          <w:lang w:val="en-ZA"/>
        </w:rPr>
        <w:t xml:space="preserve"> </w:t>
      </w:r>
      <w:r w:rsidR="002116F9">
        <w:rPr>
          <w:rFonts w:ascii="Arial" w:hAnsi="Arial" w:cs="Arial"/>
        </w:rPr>
        <w:t>(</w:t>
      </w:r>
      <w:r w:rsidR="00F935CA">
        <w:rPr>
          <w:rFonts w:ascii="Arial" w:hAnsi="Arial" w:cs="Arial"/>
        </w:rPr>
        <w:t xml:space="preserve">Professor </w:t>
      </w:r>
      <w:r w:rsidR="002116F9" w:rsidRPr="006B0F04">
        <w:rPr>
          <w:rFonts w:ascii="Arial" w:hAnsi="Arial" w:cs="Arial"/>
        </w:rPr>
        <w:t>Landon Myer</w:t>
      </w:r>
      <w:r w:rsidR="002116F9">
        <w:rPr>
          <w:rFonts w:ascii="Arial" w:hAnsi="Arial" w:cs="Arial"/>
        </w:rPr>
        <w:t xml:space="preserve"> PhD)</w:t>
      </w:r>
    </w:p>
    <w:p w14:paraId="7640B3DA" w14:textId="7DBF7BDD" w:rsidR="005C00C5" w:rsidRDefault="005C00C5" w:rsidP="00354296">
      <w:pPr>
        <w:spacing w:line="360" w:lineRule="auto"/>
        <w:ind w:left="426" w:hanging="426"/>
        <w:jc w:val="both"/>
        <w:rPr>
          <w:rFonts w:ascii="Arial" w:hAnsi="Arial" w:cs="Arial"/>
        </w:rPr>
      </w:pPr>
    </w:p>
    <w:p w14:paraId="22E00265" w14:textId="5B792E22" w:rsidR="00F84C19" w:rsidRDefault="005C00C5" w:rsidP="00F84C19">
      <w:pPr>
        <w:spacing w:line="360" w:lineRule="auto"/>
        <w:ind w:left="426" w:hanging="426"/>
        <w:jc w:val="both"/>
        <w:rPr>
          <w:rFonts w:ascii="Arial" w:hAnsi="Arial" w:cs="Arial"/>
        </w:rPr>
      </w:pPr>
      <w:r>
        <w:rPr>
          <w:rFonts w:ascii="Arial" w:hAnsi="Arial" w:cs="Arial"/>
        </w:rPr>
        <w:t>4</w:t>
      </w:r>
      <w:r>
        <w:rPr>
          <w:rFonts w:ascii="Arial" w:hAnsi="Arial" w:cs="Arial"/>
        </w:rPr>
        <w:tab/>
      </w:r>
      <w:r w:rsidR="00354296">
        <w:rPr>
          <w:rFonts w:ascii="Arial" w:hAnsi="Arial" w:cs="Arial"/>
        </w:rPr>
        <w:t xml:space="preserve">Tropical Clinical Trials Unit, </w:t>
      </w:r>
      <w:r>
        <w:rPr>
          <w:rFonts w:ascii="Arial" w:hAnsi="Arial" w:cs="Arial"/>
        </w:rPr>
        <w:t>Liverpool School of Tropical Medicine, Liverpool UK</w:t>
      </w:r>
      <w:r w:rsidR="00F84C19">
        <w:rPr>
          <w:rFonts w:ascii="Arial" w:hAnsi="Arial" w:cs="Arial"/>
        </w:rPr>
        <w:t xml:space="preserve"> (</w:t>
      </w:r>
      <w:r w:rsidR="00F84C19" w:rsidRPr="006B0F04">
        <w:rPr>
          <w:rFonts w:ascii="Arial" w:hAnsi="Arial" w:cs="Arial"/>
        </w:rPr>
        <w:t>Christiana Papamichae</w:t>
      </w:r>
      <w:r w:rsidR="00F84C19">
        <w:rPr>
          <w:rFonts w:ascii="Arial" w:hAnsi="Arial" w:cs="Arial"/>
        </w:rPr>
        <w:t xml:space="preserve">l PhD, Kelly Byrne, Tao Chen PhD, </w:t>
      </w:r>
      <w:r w:rsidR="00F84C19" w:rsidRPr="006B0F04">
        <w:rPr>
          <w:rFonts w:ascii="Arial" w:hAnsi="Arial" w:cs="Arial"/>
        </w:rPr>
        <w:t>Victoria</w:t>
      </w:r>
      <w:r w:rsidR="00F84C19">
        <w:rPr>
          <w:rFonts w:ascii="Arial" w:hAnsi="Arial" w:cs="Arial"/>
        </w:rPr>
        <w:t xml:space="preserve"> </w:t>
      </w:r>
      <w:r w:rsidR="00F84C19" w:rsidRPr="006B0F04">
        <w:rPr>
          <w:rFonts w:ascii="Arial" w:hAnsi="Arial" w:cs="Arial"/>
        </w:rPr>
        <w:t>Watson</w:t>
      </w:r>
      <w:r w:rsidR="002C1DEA">
        <w:rPr>
          <w:rFonts w:ascii="Arial" w:hAnsi="Arial" w:cs="Arial"/>
        </w:rPr>
        <w:t xml:space="preserve"> </w:t>
      </w:r>
      <w:r w:rsidR="007303AD">
        <w:rPr>
          <w:rFonts w:ascii="Arial" w:hAnsi="Arial" w:cs="Arial"/>
        </w:rPr>
        <w:t>BSc</w:t>
      </w:r>
      <w:r w:rsidR="00F84C19">
        <w:rPr>
          <w:rFonts w:ascii="Arial" w:hAnsi="Arial" w:cs="Arial"/>
        </w:rPr>
        <w:t xml:space="preserve">, </w:t>
      </w:r>
      <w:r w:rsidR="00F935CA">
        <w:rPr>
          <w:rFonts w:ascii="Arial" w:hAnsi="Arial" w:cs="Arial"/>
        </w:rPr>
        <w:t xml:space="preserve">Professor </w:t>
      </w:r>
      <w:proofErr w:type="spellStart"/>
      <w:r w:rsidR="00F84C19" w:rsidRPr="006B0F04">
        <w:rPr>
          <w:rFonts w:ascii="Arial" w:hAnsi="Arial" w:cs="Arial"/>
        </w:rPr>
        <w:t>Duolao</w:t>
      </w:r>
      <w:proofErr w:type="spellEnd"/>
      <w:r w:rsidR="00F84C19" w:rsidRPr="006B0F04">
        <w:rPr>
          <w:rFonts w:ascii="Arial" w:hAnsi="Arial" w:cs="Arial"/>
        </w:rPr>
        <w:t xml:space="preserve"> Wang</w:t>
      </w:r>
      <w:r w:rsidR="00F84C19">
        <w:rPr>
          <w:rFonts w:ascii="Arial" w:hAnsi="Arial" w:cs="Arial"/>
        </w:rPr>
        <w:t xml:space="preserve"> PhD)</w:t>
      </w:r>
    </w:p>
    <w:p w14:paraId="38EBCED2" w14:textId="73DC34DC" w:rsidR="005C00C5" w:rsidRDefault="005C00C5" w:rsidP="00354296">
      <w:pPr>
        <w:spacing w:line="360" w:lineRule="auto"/>
        <w:ind w:left="426" w:hanging="426"/>
        <w:jc w:val="both"/>
        <w:rPr>
          <w:rFonts w:ascii="Arial" w:hAnsi="Arial" w:cs="Arial"/>
        </w:rPr>
      </w:pPr>
    </w:p>
    <w:p w14:paraId="00D416C9" w14:textId="10A643D2" w:rsidR="00F84C19" w:rsidRDefault="005C00C5" w:rsidP="00F84C19">
      <w:pPr>
        <w:spacing w:line="360" w:lineRule="auto"/>
        <w:ind w:left="426" w:hanging="426"/>
        <w:jc w:val="both"/>
        <w:rPr>
          <w:rFonts w:ascii="Arial" w:hAnsi="Arial" w:cs="Arial"/>
        </w:rPr>
      </w:pPr>
      <w:r>
        <w:rPr>
          <w:rFonts w:ascii="Arial" w:hAnsi="Arial" w:cs="Arial"/>
        </w:rPr>
        <w:t>5</w:t>
      </w:r>
      <w:r>
        <w:rPr>
          <w:rFonts w:ascii="Arial" w:hAnsi="Arial" w:cs="Arial"/>
        </w:rPr>
        <w:tab/>
      </w:r>
      <w:r w:rsidR="00CA3CF4">
        <w:rPr>
          <w:rFonts w:ascii="Arial" w:hAnsi="Arial" w:cs="Arial"/>
        </w:rPr>
        <w:t>Radboud Institute for Health Sciences (RIHS), Radboud University Medical Centre, Nijmegen, The Netherlands</w:t>
      </w:r>
      <w:r w:rsidR="00CA3CF4" w:rsidDel="00CA3CF4">
        <w:rPr>
          <w:rFonts w:ascii="Arial" w:hAnsi="Arial" w:cs="Arial"/>
        </w:rPr>
        <w:t xml:space="preserve"> </w:t>
      </w:r>
      <w:r w:rsidR="00F84C19">
        <w:rPr>
          <w:rFonts w:ascii="Arial" w:hAnsi="Arial" w:cs="Arial"/>
        </w:rPr>
        <w:t>(Angela</w:t>
      </w:r>
      <w:r w:rsidR="00F84C19" w:rsidRPr="006B0F04">
        <w:rPr>
          <w:rFonts w:ascii="Arial" w:hAnsi="Arial" w:cs="Arial"/>
        </w:rPr>
        <w:t xml:space="preserve"> </w:t>
      </w:r>
      <w:proofErr w:type="spellStart"/>
      <w:r w:rsidR="00F84C19" w:rsidRPr="006B0F04">
        <w:rPr>
          <w:rFonts w:ascii="Arial" w:hAnsi="Arial" w:cs="Arial"/>
        </w:rPr>
        <w:t>Colbers</w:t>
      </w:r>
      <w:proofErr w:type="spellEnd"/>
      <w:r w:rsidR="00F84C19">
        <w:rPr>
          <w:rFonts w:ascii="Arial" w:hAnsi="Arial" w:cs="Arial"/>
        </w:rPr>
        <w:t xml:space="preserve"> PhD, </w:t>
      </w:r>
      <w:r w:rsidR="00F935CA">
        <w:rPr>
          <w:rFonts w:ascii="Arial" w:hAnsi="Arial" w:cs="Arial"/>
        </w:rPr>
        <w:t xml:space="preserve">Professor </w:t>
      </w:r>
      <w:r w:rsidR="00F84C19">
        <w:rPr>
          <w:rFonts w:ascii="Arial" w:hAnsi="Arial" w:cs="Arial"/>
        </w:rPr>
        <w:t xml:space="preserve">David Burger PhD) </w:t>
      </w:r>
    </w:p>
    <w:p w14:paraId="7C8088FC" w14:textId="5AFD83D1" w:rsidR="005C00C5" w:rsidRDefault="005C00C5" w:rsidP="00F84C19">
      <w:pPr>
        <w:spacing w:line="360" w:lineRule="auto"/>
        <w:ind w:left="426" w:hanging="426"/>
        <w:jc w:val="both"/>
        <w:rPr>
          <w:rFonts w:ascii="Arial" w:hAnsi="Arial" w:cs="Arial"/>
        </w:rPr>
      </w:pPr>
      <w:r>
        <w:rPr>
          <w:rFonts w:ascii="Arial" w:hAnsi="Arial" w:cs="Arial"/>
        </w:rPr>
        <w:t>6</w:t>
      </w:r>
      <w:r>
        <w:rPr>
          <w:rFonts w:ascii="Arial" w:hAnsi="Arial" w:cs="Arial"/>
        </w:rPr>
        <w:tab/>
        <w:t>University of Liverpool, Pembroke Place, Liverpool</w:t>
      </w:r>
      <w:r w:rsidR="00F84C19">
        <w:rPr>
          <w:rFonts w:ascii="Arial" w:hAnsi="Arial" w:cs="Arial"/>
        </w:rPr>
        <w:t xml:space="preserve"> (Kay</w:t>
      </w:r>
      <w:r w:rsidR="00F84C19" w:rsidRPr="006B0F04">
        <w:rPr>
          <w:rFonts w:ascii="Arial" w:hAnsi="Arial" w:cs="Arial"/>
        </w:rPr>
        <w:t xml:space="preserve"> Seden</w:t>
      </w:r>
      <w:r w:rsidR="00F84C19">
        <w:rPr>
          <w:rFonts w:ascii="Arial" w:hAnsi="Arial" w:cs="Arial"/>
        </w:rPr>
        <w:t xml:space="preserve"> </w:t>
      </w:r>
      <w:proofErr w:type="spellStart"/>
      <w:r w:rsidR="00F84C19" w:rsidRPr="0098538A">
        <w:rPr>
          <w:rFonts w:ascii="Arial" w:hAnsi="Arial" w:cs="Arial"/>
        </w:rPr>
        <w:t>MPharm</w:t>
      </w:r>
      <w:proofErr w:type="spellEnd"/>
      <w:r w:rsidR="00F84C19">
        <w:rPr>
          <w:rFonts w:ascii="Arial" w:hAnsi="Arial" w:cs="Arial"/>
        </w:rPr>
        <w:t xml:space="preserve">, Eva Maria Hodel PhD, </w:t>
      </w:r>
      <w:r w:rsidR="00F84C19" w:rsidRPr="006B0F04">
        <w:rPr>
          <w:rFonts w:ascii="Arial" w:hAnsi="Arial" w:cs="Arial"/>
        </w:rPr>
        <w:t>Catriona Waitt</w:t>
      </w:r>
      <w:r w:rsidR="00F84C19">
        <w:rPr>
          <w:rFonts w:ascii="Arial" w:hAnsi="Arial" w:cs="Arial"/>
        </w:rPr>
        <w:t xml:space="preserve"> PhD, </w:t>
      </w:r>
      <w:r w:rsidR="00F84C19" w:rsidRPr="006B0F04">
        <w:rPr>
          <w:rFonts w:ascii="Arial" w:hAnsi="Arial" w:cs="Arial"/>
        </w:rPr>
        <w:t>Helen Reynolds</w:t>
      </w:r>
      <w:r w:rsidR="00F84C19">
        <w:rPr>
          <w:rFonts w:ascii="Arial" w:hAnsi="Arial" w:cs="Arial"/>
        </w:rPr>
        <w:t xml:space="preserve">, </w:t>
      </w:r>
      <w:r w:rsidR="00F84C19" w:rsidRPr="0098538A">
        <w:rPr>
          <w:rFonts w:ascii="Arial" w:hAnsi="Arial" w:cs="Arial"/>
        </w:rPr>
        <w:t>MPhil</w:t>
      </w:r>
      <w:r w:rsidR="00F84C19">
        <w:rPr>
          <w:rFonts w:ascii="Arial" w:hAnsi="Arial" w:cs="Arial"/>
        </w:rPr>
        <w:t xml:space="preserve">, </w:t>
      </w:r>
      <w:r w:rsidR="00F935CA">
        <w:rPr>
          <w:rFonts w:ascii="Arial" w:hAnsi="Arial" w:cs="Arial"/>
        </w:rPr>
        <w:t xml:space="preserve">Professor </w:t>
      </w:r>
      <w:r w:rsidR="00F84C19" w:rsidRPr="006B0F04">
        <w:rPr>
          <w:rFonts w:ascii="Arial" w:hAnsi="Arial" w:cs="Arial"/>
        </w:rPr>
        <w:t>Saye Khoo</w:t>
      </w:r>
      <w:r w:rsidR="0090476F">
        <w:rPr>
          <w:rFonts w:ascii="Arial" w:hAnsi="Arial" w:cs="Arial"/>
        </w:rPr>
        <w:t>,</w:t>
      </w:r>
      <w:r w:rsidR="00CD54E9">
        <w:rPr>
          <w:rFonts w:ascii="Arial" w:hAnsi="Arial" w:cs="Arial"/>
        </w:rPr>
        <w:t xml:space="preserve"> FRCP)</w:t>
      </w:r>
    </w:p>
    <w:p w14:paraId="0DF8FE76" w14:textId="4AB6D7BF" w:rsidR="00354296" w:rsidRDefault="005C00C5" w:rsidP="00354296">
      <w:pPr>
        <w:spacing w:line="360" w:lineRule="auto"/>
        <w:ind w:left="426" w:hanging="426"/>
        <w:jc w:val="both"/>
        <w:rPr>
          <w:rFonts w:ascii="Arial" w:hAnsi="Arial" w:cs="Arial"/>
        </w:rPr>
      </w:pPr>
      <w:r>
        <w:rPr>
          <w:rFonts w:ascii="Arial" w:hAnsi="Arial" w:cs="Arial"/>
        </w:rPr>
        <w:t>7</w:t>
      </w:r>
      <w:r>
        <w:rPr>
          <w:rFonts w:ascii="Arial" w:hAnsi="Arial" w:cs="Arial"/>
        </w:rPr>
        <w:tab/>
      </w:r>
      <w:r w:rsidR="00354296">
        <w:rPr>
          <w:rFonts w:ascii="Arial" w:hAnsi="Arial" w:cs="Arial"/>
        </w:rPr>
        <w:t>Royal Liverpool and Broadgreen University Hospitals NHS Trust, Liverpool, UK</w:t>
      </w:r>
      <w:r w:rsidR="00F84C19">
        <w:rPr>
          <w:rFonts w:ascii="Arial" w:hAnsi="Arial" w:cs="Arial"/>
        </w:rPr>
        <w:t xml:space="preserve"> (Helen</w:t>
      </w:r>
      <w:r w:rsidR="00F84C19" w:rsidRPr="006B0F04">
        <w:rPr>
          <w:rFonts w:ascii="Arial" w:hAnsi="Arial" w:cs="Arial"/>
        </w:rPr>
        <w:t xml:space="preserve"> Reynolds</w:t>
      </w:r>
      <w:r w:rsidR="00F84C19">
        <w:rPr>
          <w:rFonts w:ascii="Arial" w:hAnsi="Arial" w:cs="Arial"/>
        </w:rPr>
        <w:t xml:space="preserve"> MPhil, Catriona Waitt PhD, </w:t>
      </w:r>
      <w:r w:rsidR="00F935CA">
        <w:rPr>
          <w:rFonts w:ascii="Arial" w:hAnsi="Arial" w:cs="Arial"/>
        </w:rPr>
        <w:t xml:space="preserve">Professor </w:t>
      </w:r>
      <w:r w:rsidR="00F84C19" w:rsidRPr="006B0F04">
        <w:rPr>
          <w:rFonts w:ascii="Arial" w:hAnsi="Arial" w:cs="Arial"/>
        </w:rPr>
        <w:t>Saye Khoo</w:t>
      </w:r>
      <w:r w:rsidR="0090476F">
        <w:rPr>
          <w:rFonts w:ascii="Arial" w:hAnsi="Arial" w:cs="Arial"/>
        </w:rPr>
        <w:t xml:space="preserve"> FRCP</w:t>
      </w:r>
      <w:r w:rsidR="00F84C19">
        <w:rPr>
          <w:rFonts w:ascii="Arial" w:hAnsi="Arial" w:cs="Arial"/>
        </w:rPr>
        <w:t>)</w:t>
      </w:r>
    </w:p>
    <w:p w14:paraId="58F63CAB" w14:textId="637F86A9" w:rsidR="00F84C19" w:rsidRDefault="00354296" w:rsidP="00F84C19">
      <w:pPr>
        <w:spacing w:line="360" w:lineRule="auto"/>
        <w:ind w:left="426" w:hanging="426"/>
        <w:jc w:val="both"/>
        <w:rPr>
          <w:rFonts w:ascii="Arial" w:hAnsi="Arial" w:cs="Arial"/>
        </w:rPr>
      </w:pPr>
      <w:r>
        <w:rPr>
          <w:rFonts w:ascii="Arial" w:hAnsi="Arial" w:cs="Arial"/>
        </w:rPr>
        <w:t>8</w:t>
      </w:r>
      <w:r>
        <w:rPr>
          <w:rFonts w:ascii="Arial" w:hAnsi="Arial" w:cs="Arial"/>
        </w:rPr>
        <w:tab/>
      </w:r>
      <w:r w:rsidRPr="00354296">
        <w:rPr>
          <w:rFonts w:ascii="Arial" w:hAnsi="Arial" w:cs="Arial"/>
        </w:rPr>
        <w:t>International Public Health</w:t>
      </w:r>
      <w:r>
        <w:rPr>
          <w:rFonts w:ascii="Arial" w:hAnsi="Arial" w:cs="Arial"/>
        </w:rPr>
        <w:t>, Liverpool School of Tropical Medicine, Liverpool UK</w:t>
      </w:r>
      <w:r w:rsidR="00F84C19">
        <w:rPr>
          <w:rFonts w:ascii="Arial" w:hAnsi="Arial" w:cs="Arial"/>
        </w:rPr>
        <w:t xml:space="preserve"> (</w:t>
      </w:r>
      <w:r w:rsidR="00F935CA">
        <w:rPr>
          <w:rFonts w:ascii="Arial" w:hAnsi="Arial" w:cs="Arial"/>
        </w:rPr>
        <w:t xml:space="preserve">Professor </w:t>
      </w:r>
      <w:r w:rsidR="00F84C19">
        <w:rPr>
          <w:rFonts w:ascii="Arial" w:hAnsi="Arial" w:cs="Arial"/>
        </w:rPr>
        <w:t xml:space="preserve">Miriam Taegtmeyer, PhD) </w:t>
      </w:r>
    </w:p>
    <w:p w14:paraId="513A13E1" w14:textId="38AF3FCD" w:rsidR="00354296" w:rsidRDefault="00354296" w:rsidP="00354296">
      <w:pPr>
        <w:spacing w:line="360" w:lineRule="auto"/>
        <w:ind w:left="426" w:hanging="426"/>
        <w:jc w:val="both"/>
        <w:rPr>
          <w:rFonts w:ascii="Arial" w:hAnsi="Arial" w:cs="Arial"/>
        </w:rPr>
      </w:pPr>
      <w:r>
        <w:rPr>
          <w:rFonts w:ascii="Arial" w:hAnsi="Arial" w:cs="Arial"/>
        </w:rPr>
        <w:lastRenderedPageBreak/>
        <w:t>9</w:t>
      </w:r>
      <w:r>
        <w:rPr>
          <w:rFonts w:ascii="Arial" w:hAnsi="Arial" w:cs="Arial"/>
        </w:rPr>
        <w:tab/>
      </w:r>
      <w:r w:rsidRPr="00354296">
        <w:rPr>
          <w:rFonts w:ascii="Arial" w:hAnsi="Arial" w:cs="Arial"/>
        </w:rPr>
        <w:t>Desmond Tutu HIV Centre, Department of Medicine, Institute of Infectious Diseases &amp; Molecular Medicine, University of Cape Town Faculty of Health Sciences, Observatory 7925, South Africa</w:t>
      </w:r>
      <w:r w:rsidR="00F84C19">
        <w:rPr>
          <w:rFonts w:ascii="Arial" w:hAnsi="Arial" w:cs="Arial"/>
        </w:rPr>
        <w:t xml:space="preserve"> (Catherine </w:t>
      </w:r>
      <w:proofErr w:type="spellStart"/>
      <w:r w:rsidR="00F84C19">
        <w:rPr>
          <w:rFonts w:ascii="Arial" w:hAnsi="Arial" w:cs="Arial"/>
        </w:rPr>
        <w:t>Orrell</w:t>
      </w:r>
      <w:proofErr w:type="spellEnd"/>
      <w:r w:rsidR="00F84C19">
        <w:rPr>
          <w:rFonts w:ascii="Arial" w:hAnsi="Arial" w:cs="Arial"/>
        </w:rPr>
        <w:t xml:space="preserve"> PhD)</w:t>
      </w:r>
    </w:p>
    <w:p w14:paraId="04D31EEF" w14:textId="2FD62442" w:rsidR="002116F9" w:rsidRPr="002116F9" w:rsidRDefault="002116F9" w:rsidP="002116F9">
      <w:pPr>
        <w:spacing w:line="360" w:lineRule="auto"/>
        <w:ind w:left="426" w:hanging="426"/>
        <w:jc w:val="both"/>
        <w:rPr>
          <w:rFonts w:ascii="Arial" w:hAnsi="Arial" w:cs="Arial"/>
          <w:color w:val="222222"/>
          <w:highlight w:val="yellow"/>
        </w:rPr>
      </w:pPr>
      <w:r>
        <w:rPr>
          <w:rFonts w:ascii="Arial" w:hAnsi="Arial" w:cs="Arial"/>
        </w:rPr>
        <w:t xml:space="preserve">10. </w:t>
      </w:r>
      <w:r w:rsidRPr="002116F9">
        <w:rPr>
          <w:rFonts w:ascii="Arial" w:hAnsi="Arial" w:cs="Arial"/>
          <w:color w:val="222222"/>
          <w:lang w:val="en-CA"/>
        </w:rPr>
        <w:t xml:space="preserve">Department of Gynaecology and Obstetrics School of Medicine, </w:t>
      </w:r>
      <w:r w:rsidRPr="006B1517">
        <w:rPr>
          <w:rFonts w:ascii="Arial" w:hAnsi="Arial" w:cs="Arial"/>
          <w:color w:val="222222"/>
        </w:rPr>
        <w:t>College of Health Sciences, Makerere University, Kampala, Uganda</w:t>
      </w:r>
      <w:r w:rsidR="002D2D8A">
        <w:rPr>
          <w:rFonts w:ascii="Arial" w:hAnsi="Arial" w:cs="Arial"/>
          <w:color w:val="222222"/>
        </w:rPr>
        <w:t xml:space="preserve"> (</w:t>
      </w:r>
      <w:r w:rsidR="002D2D8A" w:rsidRPr="009E7E75">
        <w:rPr>
          <w:rFonts w:ascii="Arial" w:hAnsi="Arial" w:cs="Arial"/>
        </w:rPr>
        <w:t xml:space="preserve">Josaphat </w:t>
      </w:r>
      <w:proofErr w:type="spellStart"/>
      <w:r w:rsidR="002D2D8A" w:rsidRPr="009E7E75">
        <w:rPr>
          <w:rFonts w:ascii="Arial" w:hAnsi="Arial" w:cs="Arial"/>
        </w:rPr>
        <w:t>Byamugisha</w:t>
      </w:r>
      <w:proofErr w:type="spellEnd"/>
      <w:r w:rsidR="002D2D8A">
        <w:rPr>
          <w:rFonts w:ascii="Arial" w:hAnsi="Arial" w:cs="Arial"/>
        </w:rPr>
        <w:t xml:space="preserve"> </w:t>
      </w:r>
      <w:r w:rsidR="002D2D8A" w:rsidRPr="007255AB">
        <w:rPr>
          <w:rFonts w:ascii="Arial" w:hAnsi="Arial" w:cs="Arial"/>
        </w:rPr>
        <w:t>PhD</w:t>
      </w:r>
      <w:r w:rsidR="002D2D8A">
        <w:rPr>
          <w:rFonts w:ascii="Arial" w:hAnsi="Arial" w:cs="Arial"/>
          <w:color w:val="222222"/>
        </w:rPr>
        <w:t>)</w:t>
      </w:r>
    </w:p>
    <w:p w14:paraId="369F3EBD" w14:textId="77777777" w:rsidR="005C00C5" w:rsidRDefault="005C00C5" w:rsidP="009F387E">
      <w:pPr>
        <w:spacing w:line="360" w:lineRule="auto"/>
        <w:ind w:left="426" w:hanging="426"/>
        <w:rPr>
          <w:rFonts w:ascii="Arial" w:hAnsi="Arial" w:cs="Arial"/>
        </w:rPr>
      </w:pPr>
    </w:p>
    <w:p w14:paraId="1636B07B" w14:textId="77777777" w:rsidR="005C00C5" w:rsidRDefault="005C00C5" w:rsidP="009F387E">
      <w:pPr>
        <w:spacing w:line="360" w:lineRule="auto"/>
        <w:ind w:left="426" w:hanging="426"/>
        <w:rPr>
          <w:rFonts w:ascii="Arial" w:hAnsi="Arial" w:cs="Arial"/>
        </w:rPr>
      </w:pPr>
    </w:p>
    <w:p w14:paraId="1858FD6A" w14:textId="77777777" w:rsidR="005C00C5" w:rsidRDefault="005C00C5" w:rsidP="00A67253">
      <w:pPr>
        <w:spacing w:after="160" w:line="360" w:lineRule="auto"/>
        <w:rPr>
          <w:rFonts w:ascii="Arial" w:hAnsi="Arial" w:cs="Arial"/>
        </w:rPr>
      </w:pPr>
      <w:r>
        <w:rPr>
          <w:rFonts w:ascii="Arial" w:hAnsi="Arial" w:cs="Arial"/>
        </w:rPr>
        <w:br w:type="page"/>
      </w:r>
    </w:p>
    <w:p w14:paraId="47536A38" w14:textId="1E34DF46" w:rsidR="00553862" w:rsidRDefault="00553862" w:rsidP="00A67253">
      <w:pPr>
        <w:spacing w:line="360" w:lineRule="auto"/>
        <w:rPr>
          <w:rFonts w:ascii="Arial" w:hAnsi="Arial" w:cs="Arial"/>
        </w:rPr>
      </w:pPr>
      <w:r>
        <w:rPr>
          <w:rFonts w:ascii="Arial" w:hAnsi="Arial" w:cs="Arial"/>
        </w:rPr>
        <w:lastRenderedPageBreak/>
        <w:t>ABSTRACT</w:t>
      </w:r>
    </w:p>
    <w:p w14:paraId="661EC859" w14:textId="77777777" w:rsidR="00553862" w:rsidRPr="00F60F29" w:rsidRDefault="00553862" w:rsidP="00A67253">
      <w:pPr>
        <w:spacing w:line="360" w:lineRule="auto"/>
        <w:rPr>
          <w:rFonts w:ascii="Arial" w:hAnsi="Arial" w:cs="Arial"/>
          <w:color w:val="000000" w:themeColor="text1"/>
        </w:rPr>
      </w:pPr>
    </w:p>
    <w:p w14:paraId="60FF617B" w14:textId="77777777" w:rsidR="0059480A" w:rsidRPr="00C72984" w:rsidRDefault="0059480A" w:rsidP="00A67253">
      <w:pPr>
        <w:spacing w:line="360" w:lineRule="auto"/>
        <w:rPr>
          <w:rFonts w:ascii="Arial" w:hAnsi="Arial" w:cs="Arial"/>
          <w:color w:val="000000" w:themeColor="text1"/>
        </w:rPr>
      </w:pPr>
      <w:r w:rsidRPr="00C72984">
        <w:rPr>
          <w:rFonts w:ascii="Arial" w:hAnsi="Arial" w:cs="Arial"/>
          <w:b/>
          <w:color w:val="000000" w:themeColor="text1"/>
        </w:rPr>
        <w:t>Background</w:t>
      </w:r>
      <w:r w:rsidRPr="00C72984">
        <w:rPr>
          <w:rFonts w:ascii="Arial" w:hAnsi="Arial" w:cs="Arial"/>
          <w:color w:val="000000" w:themeColor="text1"/>
        </w:rPr>
        <w:t>:</w:t>
      </w:r>
    </w:p>
    <w:p w14:paraId="404BA3CB" w14:textId="3663A8AE" w:rsidR="0059480A" w:rsidRPr="00C72984" w:rsidRDefault="00AE1BD3" w:rsidP="00855927">
      <w:pPr>
        <w:spacing w:line="360" w:lineRule="auto"/>
        <w:jc w:val="both"/>
        <w:rPr>
          <w:rFonts w:ascii="Arial" w:hAnsi="Arial" w:cs="Arial"/>
          <w:color w:val="000000" w:themeColor="text1"/>
        </w:rPr>
      </w:pPr>
      <w:r>
        <w:rPr>
          <w:rFonts w:ascii="Arial" w:hAnsi="Arial" w:cs="Arial"/>
          <w:color w:val="000000" w:themeColor="text1"/>
        </w:rPr>
        <w:t>Late initiation of</w:t>
      </w:r>
      <w:r w:rsidR="00702F95">
        <w:rPr>
          <w:rFonts w:ascii="Arial" w:hAnsi="Arial" w:cs="Arial"/>
          <w:color w:val="000000" w:themeColor="text1"/>
        </w:rPr>
        <w:t xml:space="preserve"> HIV</w:t>
      </w:r>
      <w:r>
        <w:rPr>
          <w:rFonts w:ascii="Arial" w:hAnsi="Arial" w:cs="Arial"/>
          <w:color w:val="000000" w:themeColor="text1"/>
        </w:rPr>
        <w:t xml:space="preserve"> antiretroviral therapy</w:t>
      </w:r>
      <w:r w:rsidR="00197969">
        <w:rPr>
          <w:rFonts w:ascii="Arial" w:hAnsi="Arial" w:cs="Arial"/>
          <w:color w:val="000000" w:themeColor="text1"/>
        </w:rPr>
        <w:t xml:space="preserve"> </w:t>
      </w:r>
      <w:r w:rsidR="0059480A" w:rsidRPr="00C72984">
        <w:rPr>
          <w:rFonts w:ascii="Arial" w:hAnsi="Arial" w:cs="Arial"/>
          <w:color w:val="000000" w:themeColor="text1"/>
        </w:rPr>
        <w:t xml:space="preserve">in pregnancy is associated with failure to achieve viral suppression by delivery and increased </w:t>
      </w:r>
      <w:r>
        <w:rPr>
          <w:rFonts w:ascii="Arial" w:hAnsi="Arial" w:cs="Arial"/>
          <w:color w:val="000000" w:themeColor="text1"/>
        </w:rPr>
        <w:t>infant transmission of HIV</w:t>
      </w:r>
      <w:r w:rsidR="0059480A" w:rsidRPr="00C72984">
        <w:rPr>
          <w:rFonts w:ascii="Arial" w:hAnsi="Arial" w:cs="Arial"/>
          <w:color w:val="000000" w:themeColor="text1"/>
        </w:rPr>
        <w:t>.</w:t>
      </w:r>
      <w:r w:rsidR="00E929B7">
        <w:rPr>
          <w:rFonts w:ascii="Arial" w:hAnsi="Arial" w:cs="Arial"/>
          <w:color w:val="000000" w:themeColor="text1"/>
        </w:rPr>
        <w:t xml:space="preserve"> </w:t>
      </w:r>
      <w:r w:rsidR="005E7657">
        <w:rPr>
          <w:rFonts w:ascii="Arial" w:hAnsi="Arial" w:cs="Arial"/>
          <w:color w:val="000000" w:themeColor="text1"/>
        </w:rPr>
        <w:t xml:space="preserve">We evaluated </w:t>
      </w:r>
      <w:proofErr w:type="spellStart"/>
      <w:r w:rsidR="005E7657">
        <w:rPr>
          <w:rFonts w:ascii="Arial" w:hAnsi="Arial" w:cs="Arial"/>
          <w:color w:val="000000" w:themeColor="text1"/>
        </w:rPr>
        <w:t>virologi</w:t>
      </w:r>
      <w:r w:rsidR="00717CAF">
        <w:rPr>
          <w:rFonts w:ascii="Arial" w:hAnsi="Arial" w:cs="Arial"/>
          <w:color w:val="000000" w:themeColor="text1"/>
        </w:rPr>
        <w:t>c</w:t>
      </w:r>
      <w:r w:rsidR="005E7657">
        <w:rPr>
          <w:rFonts w:ascii="Arial" w:hAnsi="Arial" w:cs="Arial"/>
          <w:color w:val="000000" w:themeColor="text1"/>
        </w:rPr>
        <w:t>al</w:t>
      </w:r>
      <w:proofErr w:type="spellEnd"/>
      <w:r w:rsidR="005E7657">
        <w:rPr>
          <w:rFonts w:ascii="Arial" w:hAnsi="Arial" w:cs="Arial"/>
          <w:color w:val="000000" w:themeColor="text1"/>
        </w:rPr>
        <w:t xml:space="preserve"> suppression by delivery with</w:t>
      </w:r>
      <w:r w:rsidR="00E929B7" w:rsidRPr="00E929B7">
        <w:rPr>
          <w:rFonts w:ascii="Arial" w:hAnsi="Arial" w:cs="Arial"/>
          <w:color w:val="000000" w:themeColor="text1"/>
        </w:rPr>
        <w:t xml:space="preserve"> dolutegravir</w:t>
      </w:r>
      <w:r w:rsidR="005E7657">
        <w:rPr>
          <w:rFonts w:ascii="Arial" w:hAnsi="Arial" w:cs="Arial"/>
          <w:color w:val="000000" w:themeColor="text1"/>
        </w:rPr>
        <w:t xml:space="preserve"> </w:t>
      </w:r>
      <w:r w:rsidR="00E929B7" w:rsidRPr="00E929B7">
        <w:rPr>
          <w:rFonts w:ascii="Arial" w:hAnsi="Arial" w:cs="Arial"/>
          <w:color w:val="000000" w:themeColor="text1"/>
          <w:lang w:val="en-GB"/>
        </w:rPr>
        <w:t xml:space="preserve">compared </w:t>
      </w:r>
      <w:r w:rsidR="005E7657">
        <w:rPr>
          <w:rFonts w:ascii="Arial" w:hAnsi="Arial" w:cs="Arial"/>
          <w:color w:val="000000" w:themeColor="text1"/>
          <w:lang w:val="en-GB"/>
        </w:rPr>
        <w:t>to</w:t>
      </w:r>
      <w:r w:rsidR="00E929B7" w:rsidRPr="00E929B7">
        <w:rPr>
          <w:rFonts w:ascii="Arial" w:hAnsi="Arial" w:cs="Arial"/>
          <w:color w:val="000000" w:themeColor="text1"/>
          <w:lang w:val="en-GB"/>
        </w:rPr>
        <w:t xml:space="preserve"> efavirenz when initiated during </w:t>
      </w:r>
      <w:r w:rsidR="005E7657">
        <w:rPr>
          <w:rFonts w:ascii="Arial" w:hAnsi="Arial" w:cs="Arial"/>
          <w:color w:val="000000" w:themeColor="text1"/>
          <w:lang w:val="en-GB"/>
        </w:rPr>
        <w:t xml:space="preserve">the </w:t>
      </w:r>
      <w:r w:rsidR="00E929B7">
        <w:rPr>
          <w:rFonts w:ascii="Arial" w:hAnsi="Arial" w:cs="Arial"/>
          <w:color w:val="000000" w:themeColor="text1"/>
          <w:lang w:val="en-GB"/>
        </w:rPr>
        <w:t>third trimester</w:t>
      </w:r>
    </w:p>
    <w:p w14:paraId="30D7831B" w14:textId="77777777" w:rsidR="0059480A" w:rsidRPr="00C72984" w:rsidRDefault="0059480A" w:rsidP="00855927">
      <w:pPr>
        <w:spacing w:line="360" w:lineRule="auto"/>
        <w:jc w:val="both"/>
        <w:rPr>
          <w:rFonts w:ascii="Arial" w:hAnsi="Arial" w:cs="Arial"/>
          <w:color w:val="000000" w:themeColor="text1"/>
        </w:rPr>
      </w:pPr>
    </w:p>
    <w:p w14:paraId="56CD6CE9" w14:textId="77777777" w:rsidR="0059480A" w:rsidRPr="00C72984" w:rsidRDefault="0059480A" w:rsidP="00855927">
      <w:pPr>
        <w:spacing w:line="360" w:lineRule="auto"/>
        <w:jc w:val="both"/>
        <w:rPr>
          <w:rFonts w:ascii="Arial" w:hAnsi="Arial" w:cs="Arial"/>
          <w:color w:val="000000" w:themeColor="text1"/>
        </w:rPr>
      </w:pPr>
      <w:r w:rsidRPr="00C72984">
        <w:rPr>
          <w:rFonts w:ascii="Arial" w:hAnsi="Arial" w:cs="Arial"/>
          <w:b/>
          <w:color w:val="000000" w:themeColor="text1"/>
        </w:rPr>
        <w:t>Methods</w:t>
      </w:r>
      <w:r w:rsidRPr="00C72984">
        <w:rPr>
          <w:rFonts w:ascii="Arial" w:hAnsi="Arial" w:cs="Arial"/>
          <w:color w:val="000000" w:themeColor="text1"/>
        </w:rPr>
        <w:t>:</w:t>
      </w:r>
    </w:p>
    <w:p w14:paraId="21D81923" w14:textId="6549DCED" w:rsidR="0059480A" w:rsidRPr="00C72984" w:rsidRDefault="00A23A08" w:rsidP="00855927">
      <w:pPr>
        <w:spacing w:line="360" w:lineRule="auto"/>
        <w:jc w:val="both"/>
        <w:rPr>
          <w:rFonts w:ascii="Arial" w:hAnsi="Arial" w:cs="Arial"/>
          <w:color w:val="000000" w:themeColor="text1"/>
        </w:rPr>
      </w:pPr>
      <w:r>
        <w:rPr>
          <w:rFonts w:ascii="Arial" w:hAnsi="Arial" w:cs="Arial"/>
          <w:color w:val="000000" w:themeColor="text1"/>
        </w:rPr>
        <w:t>DolPHIN-2 (</w:t>
      </w:r>
      <w:r>
        <w:rPr>
          <w:rFonts w:ascii="Arial" w:hAnsi="Arial" w:cs="Arial"/>
          <w:color w:val="000000"/>
        </w:rPr>
        <w:t>NCT03249181</w:t>
      </w:r>
      <w:r>
        <w:rPr>
          <w:rFonts w:ascii="Arial" w:hAnsi="Arial" w:cs="Arial"/>
          <w:color w:val="000000" w:themeColor="text1"/>
        </w:rPr>
        <w:t xml:space="preserve">) </w:t>
      </w:r>
      <w:r w:rsidR="00413259">
        <w:rPr>
          <w:rFonts w:ascii="Arial" w:hAnsi="Arial" w:cs="Arial"/>
          <w:color w:val="000000" w:themeColor="text1"/>
        </w:rPr>
        <w:t>randomized</w:t>
      </w:r>
      <w:r w:rsidR="002E58ED" w:rsidRPr="00C72984">
        <w:rPr>
          <w:rFonts w:ascii="Arial" w:hAnsi="Arial" w:cs="Arial"/>
          <w:color w:val="000000" w:themeColor="text1"/>
        </w:rPr>
        <w:t xml:space="preserve"> </w:t>
      </w:r>
      <w:r w:rsidR="0059480A" w:rsidRPr="00C72984">
        <w:rPr>
          <w:rFonts w:ascii="Arial" w:hAnsi="Arial" w:cs="Arial"/>
          <w:color w:val="000000" w:themeColor="text1"/>
        </w:rPr>
        <w:t>pregnant women</w:t>
      </w:r>
      <w:r w:rsidR="00591D80">
        <w:rPr>
          <w:rFonts w:ascii="Arial" w:hAnsi="Arial" w:cs="Arial"/>
          <w:color w:val="000000" w:themeColor="text1"/>
        </w:rPr>
        <w:t xml:space="preserve"> </w:t>
      </w:r>
      <w:r w:rsidR="00B34803" w:rsidRPr="00591D80">
        <w:rPr>
          <w:rFonts w:ascii="Arial" w:hAnsi="Arial" w:cs="Arial"/>
          <w:color w:val="000000" w:themeColor="text1"/>
        </w:rPr>
        <w:t xml:space="preserve">in </w:t>
      </w:r>
      <w:r w:rsidR="007012AD" w:rsidRPr="00591D80">
        <w:rPr>
          <w:rFonts w:ascii="Arial" w:hAnsi="Arial" w:cs="Arial"/>
          <w:color w:val="000000" w:themeColor="text1"/>
        </w:rPr>
        <w:t xml:space="preserve">South Africa </w:t>
      </w:r>
      <w:r w:rsidR="00591D80" w:rsidRPr="00591D80">
        <w:rPr>
          <w:rFonts w:ascii="Arial" w:hAnsi="Arial" w:cs="Arial"/>
          <w:color w:val="000000" w:themeColor="text1"/>
        </w:rPr>
        <w:t xml:space="preserve">and </w:t>
      </w:r>
      <w:r w:rsidR="007012AD" w:rsidRPr="00591D80">
        <w:rPr>
          <w:rFonts w:ascii="Arial" w:hAnsi="Arial" w:cs="Arial"/>
          <w:color w:val="000000" w:themeColor="text1"/>
        </w:rPr>
        <w:t>Uganda</w:t>
      </w:r>
      <w:r w:rsidR="007012AD" w:rsidRPr="00591D80" w:rsidDel="007012AD">
        <w:rPr>
          <w:rFonts w:ascii="Arial" w:hAnsi="Arial" w:cs="Arial"/>
          <w:color w:val="000000" w:themeColor="text1"/>
        </w:rPr>
        <w:t xml:space="preserve"> </w:t>
      </w:r>
      <w:r>
        <w:rPr>
          <w:rFonts w:ascii="Arial" w:hAnsi="Arial" w:cs="Arial"/>
          <w:color w:val="000000" w:themeColor="text1"/>
        </w:rPr>
        <w:t xml:space="preserve">initiating </w:t>
      </w:r>
      <w:r w:rsidR="001A3165" w:rsidRPr="00BC4784">
        <w:rPr>
          <w:rFonts w:ascii="Arial" w:hAnsi="Arial" w:cs="Arial"/>
        </w:rPr>
        <w:t xml:space="preserve">antiretroviral therapy </w:t>
      </w:r>
      <w:r w:rsidR="002E58ED">
        <w:rPr>
          <w:rFonts w:ascii="Arial" w:hAnsi="Arial" w:cs="Arial"/>
          <w:color w:val="000000" w:themeColor="text1"/>
        </w:rPr>
        <w:t>in third trimester</w:t>
      </w:r>
      <w:r w:rsidR="00717CAF">
        <w:rPr>
          <w:rFonts w:ascii="Arial" w:hAnsi="Arial" w:cs="Arial"/>
          <w:color w:val="000000" w:themeColor="text1"/>
        </w:rPr>
        <w:t xml:space="preserve"> between January-August 2018</w:t>
      </w:r>
      <w:r w:rsidR="0059480A" w:rsidRPr="00C72984">
        <w:rPr>
          <w:rFonts w:ascii="Arial" w:hAnsi="Arial" w:cs="Arial"/>
          <w:color w:val="000000" w:themeColor="text1"/>
        </w:rPr>
        <w:t xml:space="preserve"> </w:t>
      </w:r>
      <w:r w:rsidR="00AB53E0">
        <w:rPr>
          <w:rFonts w:ascii="Arial" w:hAnsi="Arial" w:cs="Arial"/>
          <w:color w:val="000000" w:themeColor="text1"/>
        </w:rPr>
        <w:t xml:space="preserve">1:1 </w:t>
      </w:r>
      <w:r w:rsidR="0059480A" w:rsidRPr="00C72984">
        <w:rPr>
          <w:rFonts w:ascii="Arial" w:hAnsi="Arial" w:cs="Arial"/>
          <w:color w:val="000000" w:themeColor="text1"/>
        </w:rPr>
        <w:t xml:space="preserve">to </w:t>
      </w:r>
      <w:r>
        <w:rPr>
          <w:rFonts w:ascii="Arial" w:hAnsi="Arial" w:cs="Arial"/>
          <w:color w:val="000000" w:themeColor="text1"/>
        </w:rPr>
        <w:t xml:space="preserve">open-label </w:t>
      </w:r>
      <w:r w:rsidR="0059480A" w:rsidRPr="00C72984">
        <w:rPr>
          <w:rFonts w:ascii="Arial" w:hAnsi="Arial" w:cs="Arial"/>
          <w:color w:val="000000" w:themeColor="text1"/>
        </w:rPr>
        <w:t>dolutegravir vs efavirenz</w:t>
      </w:r>
      <w:r w:rsidR="002E58ED">
        <w:rPr>
          <w:rFonts w:ascii="Arial" w:hAnsi="Arial" w:cs="Arial"/>
          <w:color w:val="000000" w:themeColor="text1"/>
        </w:rPr>
        <w:t>-based therapy</w:t>
      </w:r>
      <w:r w:rsidR="0059480A" w:rsidRPr="00C72984">
        <w:rPr>
          <w:rFonts w:ascii="Arial" w:hAnsi="Arial" w:cs="Arial"/>
          <w:color w:val="000000" w:themeColor="text1"/>
        </w:rPr>
        <w:t xml:space="preserve">. Viral load was measured </w:t>
      </w:r>
      <w:r w:rsidR="002E58ED">
        <w:rPr>
          <w:rFonts w:ascii="Arial" w:hAnsi="Arial" w:cs="Arial"/>
          <w:color w:val="000000" w:themeColor="text1"/>
        </w:rPr>
        <w:t>serially to</w:t>
      </w:r>
      <w:r w:rsidR="0059480A" w:rsidRPr="00C72984">
        <w:rPr>
          <w:rFonts w:ascii="Arial" w:hAnsi="Arial" w:cs="Arial"/>
          <w:color w:val="000000" w:themeColor="text1"/>
        </w:rPr>
        <w:t xml:space="preserve"> delivery</w:t>
      </w:r>
      <w:r w:rsidR="002E58ED">
        <w:rPr>
          <w:rFonts w:ascii="Arial" w:hAnsi="Arial" w:cs="Arial"/>
          <w:color w:val="000000" w:themeColor="text1"/>
        </w:rPr>
        <w:t xml:space="preserve"> visit (0-14 days</w:t>
      </w:r>
      <w:r w:rsidR="0059480A" w:rsidRPr="00C72984">
        <w:rPr>
          <w:rFonts w:ascii="Arial" w:hAnsi="Arial" w:cs="Arial"/>
          <w:color w:val="000000" w:themeColor="text1"/>
        </w:rPr>
        <w:t xml:space="preserve"> post-partum). </w:t>
      </w:r>
      <w:r w:rsidR="00717CAF">
        <w:rPr>
          <w:rFonts w:ascii="Arial" w:hAnsi="Arial" w:cs="Arial"/>
          <w:color w:val="000000" w:themeColor="text1"/>
        </w:rPr>
        <w:t>We report the</w:t>
      </w:r>
      <w:r w:rsidR="00717CAF" w:rsidRPr="00C72984">
        <w:rPr>
          <w:rFonts w:ascii="Arial" w:hAnsi="Arial" w:cs="Arial"/>
          <w:color w:val="000000" w:themeColor="text1"/>
        </w:rPr>
        <w:t xml:space="preserve"> </w:t>
      </w:r>
      <w:r w:rsidR="0059480A" w:rsidRPr="00C72984">
        <w:rPr>
          <w:rFonts w:ascii="Arial" w:hAnsi="Arial" w:cs="Arial"/>
          <w:color w:val="000000" w:themeColor="text1"/>
        </w:rPr>
        <w:t xml:space="preserve">primary </w:t>
      </w:r>
      <w:r w:rsidR="003779A9">
        <w:rPr>
          <w:rFonts w:ascii="Arial" w:hAnsi="Arial" w:cs="Arial"/>
          <w:color w:val="000000" w:themeColor="text1"/>
        </w:rPr>
        <w:t xml:space="preserve">efficacy </w:t>
      </w:r>
      <w:r w:rsidR="00E12D59">
        <w:rPr>
          <w:rFonts w:ascii="Arial" w:hAnsi="Arial" w:cs="Arial"/>
          <w:color w:val="000000" w:themeColor="text1"/>
        </w:rPr>
        <w:t>outcome</w:t>
      </w:r>
      <w:r w:rsidR="00E12D59" w:rsidRPr="00C72984">
        <w:rPr>
          <w:rFonts w:ascii="Arial" w:hAnsi="Arial" w:cs="Arial"/>
          <w:color w:val="000000" w:themeColor="text1"/>
        </w:rPr>
        <w:t xml:space="preserve"> </w:t>
      </w:r>
      <w:r w:rsidR="00717CAF">
        <w:rPr>
          <w:rFonts w:ascii="Arial" w:hAnsi="Arial" w:cs="Arial"/>
          <w:color w:val="000000" w:themeColor="text1"/>
        </w:rPr>
        <w:t>(</w:t>
      </w:r>
      <w:r w:rsidR="009E5A07">
        <w:rPr>
          <w:rFonts w:ascii="Arial" w:hAnsi="Arial" w:cs="Arial"/>
          <w:color w:val="000000" w:themeColor="text1"/>
        </w:rPr>
        <w:t>viral load</w:t>
      </w:r>
      <w:r w:rsidR="0059480A" w:rsidRPr="00C72984">
        <w:rPr>
          <w:rFonts w:ascii="Arial" w:hAnsi="Arial" w:cs="Arial"/>
          <w:color w:val="000000" w:themeColor="text1"/>
        </w:rPr>
        <w:t xml:space="preserve">&lt;50 </w:t>
      </w:r>
      <w:r w:rsidR="00AE1BD3">
        <w:rPr>
          <w:rFonts w:ascii="Arial" w:hAnsi="Arial" w:cs="Arial"/>
          <w:color w:val="000000" w:themeColor="text1"/>
        </w:rPr>
        <w:t>copies</w:t>
      </w:r>
      <w:r w:rsidR="00147F88">
        <w:rPr>
          <w:rFonts w:ascii="Arial" w:hAnsi="Arial" w:cs="Arial"/>
          <w:color w:val="000000" w:themeColor="text1"/>
        </w:rPr>
        <w:t xml:space="preserve"> per </w:t>
      </w:r>
      <w:r w:rsidR="0059480A" w:rsidRPr="00C72984">
        <w:rPr>
          <w:rFonts w:ascii="Arial" w:hAnsi="Arial" w:cs="Arial"/>
          <w:color w:val="000000" w:themeColor="text1"/>
        </w:rPr>
        <w:t xml:space="preserve">mL at delivery </w:t>
      </w:r>
      <w:r w:rsidR="002E58ED">
        <w:rPr>
          <w:rFonts w:ascii="Arial" w:hAnsi="Arial" w:cs="Arial"/>
          <w:color w:val="000000" w:themeColor="text1"/>
        </w:rPr>
        <w:t>visit</w:t>
      </w:r>
      <w:r w:rsidR="00717CAF">
        <w:rPr>
          <w:rFonts w:ascii="Arial" w:hAnsi="Arial" w:cs="Arial"/>
          <w:color w:val="000000" w:themeColor="text1"/>
        </w:rPr>
        <w:t>)</w:t>
      </w:r>
      <w:r w:rsidR="0059480A" w:rsidRPr="00C72984">
        <w:rPr>
          <w:rFonts w:ascii="Arial" w:hAnsi="Arial" w:cs="Arial"/>
          <w:color w:val="000000" w:themeColor="text1"/>
        </w:rPr>
        <w:t xml:space="preserve">, </w:t>
      </w:r>
      <w:r w:rsidR="00717CAF">
        <w:rPr>
          <w:rFonts w:ascii="Arial" w:hAnsi="Arial" w:cs="Arial"/>
          <w:color w:val="000000" w:themeColor="text1"/>
        </w:rPr>
        <w:t xml:space="preserve">and </w:t>
      </w:r>
      <w:r w:rsidR="00E12D59">
        <w:rPr>
          <w:rFonts w:ascii="Arial" w:hAnsi="Arial" w:cs="Arial"/>
          <w:color w:val="000000" w:themeColor="text1"/>
        </w:rPr>
        <w:t xml:space="preserve">the primary safety outcome </w:t>
      </w:r>
      <w:r w:rsidR="00717CAF">
        <w:rPr>
          <w:rFonts w:ascii="Arial" w:hAnsi="Arial" w:cs="Arial"/>
          <w:color w:val="000000" w:themeColor="text1"/>
        </w:rPr>
        <w:t>(</w:t>
      </w:r>
      <w:r w:rsidR="0059480A" w:rsidRPr="00C72984">
        <w:rPr>
          <w:rFonts w:ascii="Arial" w:hAnsi="Arial" w:cs="Arial"/>
          <w:color w:val="000000" w:themeColor="text1"/>
        </w:rPr>
        <w:t>occurrence of drug</w:t>
      </w:r>
      <w:r w:rsidR="00362802">
        <w:rPr>
          <w:rFonts w:ascii="Arial" w:hAnsi="Arial" w:cs="Arial"/>
          <w:color w:val="000000" w:themeColor="text1"/>
        </w:rPr>
        <w:t>-related adverse events</w:t>
      </w:r>
      <w:r w:rsidR="0059480A" w:rsidRPr="00C72984">
        <w:rPr>
          <w:rFonts w:ascii="Arial" w:hAnsi="Arial" w:cs="Arial"/>
          <w:color w:val="000000" w:themeColor="text1"/>
        </w:rPr>
        <w:t xml:space="preserve"> in mothers and infants</w:t>
      </w:r>
      <w:r w:rsidR="00717CAF">
        <w:rPr>
          <w:rFonts w:ascii="Arial" w:hAnsi="Arial" w:cs="Arial"/>
          <w:color w:val="000000" w:themeColor="text1"/>
        </w:rPr>
        <w:t>) to delivery visit</w:t>
      </w:r>
      <w:r w:rsidR="0059480A" w:rsidRPr="00C72984">
        <w:rPr>
          <w:rFonts w:ascii="Arial" w:hAnsi="Arial" w:cs="Arial"/>
          <w:color w:val="000000" w:themeColor="text1"/>
        </w:rPr>
        <w:t xml:space="preserve">. </w:t>
      </w:r>
      <w:r w:rsidR="00717CAF">
        <w:rPr>
          <w:rFonts w:ascii="Arial" w:hAnsi="Arial" w:cs="Arial"/>
          <w:color w:val="000000" w:themeColor="text1"/>
        </w:rPr>
        <w:t>Lo</w:t>
      </w:r>
      <w:r w:rsidR="009526F1">
        <w:rPr>
          <w:rFonts w:ascii="Arial" w:hAnsi="Arial" w:cs="Arial"/>
          <w:color w:val="000000" w:themeColor="text1"/>
        </w:rPr>
        <w:t>n</w:t>
      </w:r>
      <w:r w:rsidR="00717CAF">
        <w:rPr>
          <w:rFonts w:ascii="Arial" w:hAnsi="Arial" w:cs="Arial"/>
          <w:color w:val="000000" w:themeColor="text1"/>
        </w:rPr>
        <w:t>ger-term follow-up of mothers and infants continues.</w:t>
      </w:r>
    </w:p>
    <w:p w14:paraId="7A491C2B" w14:textId="77777777" w:rsidR="0059480A" w:rsidRPr="00C72984" w:rsidRDefault="0059480A" w:rsidP="00855927">
      <w:pPr>
        <w:spacing w:line="360" w:lineRule="auto"/>
        <w:jc w:val="both"/>
        <w:rPr>
          <w:rFonts w:ascii="Arial" w:hAnsi="Arial" w:cs="Arial"/>
          <w:color w:val="000000" w:themeColor="text1"/>
        </w:rPr>
      </w:pPr>
    </w:p>
    <w:p w14:paraId="61CA9042" w14:textId="0B55C4C7" w:rsidR="0059480A" w:rsidRPr="00C72984" w:rsidRDefault="006A49CB" w:rsidP="00855927">
      <w:pPr>
        <w:spacing w:line="360" w:lineRule="auto"/>
        <w:jc w:val="both"/>
        <w:rPr>
          <w:rFonts w:ascii="Arial" w:hAnsi="Arial" w:cs="Arial"/>
          <w:color w:val="000000" w:themeColor="text1"/>
        </w:rPr>
      </w:pPr>
      <w:r>
        <w:rPr>
          <w:rFonts w:ascii="Arial" w:hAnsi="Arial" w:cs="Arial"/>
          <w:b/>
          <w:color w:val="000000" w:themeColor="text1"/>
        </w:rPr>
        <w:t>Findings</w:t>
      </w:r>
      <w:r w:rsidR="0059480A" w:rsidRPr="00C72984">
        <w:rPr>
          <w:rFonts w:ascii="Arial" w:hAnsi="Arial" w:cs="Arial"/>
          <w:color w:val="000000" w:themeColor="text1"/>
        </w:rPr>
        <w:t>:</w:t>
      </w:r>
    </w:p>
    <w:p w14:paraId="330D30E2" w14:textId="5DAD6E5A" w:rsidR="0059480A" w:rsidRPr="00C72984" w:rsidRDefault="00717CAF" w:rsidP="00855927">
      <w:pPr>
        <w:spacing w:line="360" w:lineRule="auto"/>
        <w:jc w:val="both"/>
        <w:rPr>
          <w:rFonts w:ascii="Arial" w:hAnsi="Arial" w:cs="Arial"/>
          <w:color w:val="000000" w:themeColor="text1"/>
        </w:rPr>
      </w:pPr>
      <w:r>
        <w:rPr>
          <w:rFonts w:ascii="Arial" w:hAnsi="Arial" w:cs="Arial"/>
          <w:color w:val="000000" w:themeColor="text1"/>
        </w:rPr>
        <w:t>Of</w:t>
      </w:r>
      <w:r w:rsidR="00A23A08">
        <w:rPr>
          <w:rFonts w:ascii="Arial" w:hAnsi="Arial" w:cs="Arial"/>
          <w:color w:val="000000" w:themeColor="text1"/>
        </w:rPr>
        <w:t xml:space="preserve"> </w:t>
      </w:r>
      <w:r w:rsidR="0059480A" w:rsidRPr="00C72984">
        <w:rPr>
          <w:rFonts w:ascii="Arial" w:hAnsi="Arial" w:cs="Arial"/>
          <w:color w:val="000000" w:themeColor="text1"/>
        </w:rPr>
        <w:t xml:space="preserve">268 mothers </w:t>
      </w:r>
      <w:r w:rsidR="002E58ED" w:rsidRPr="00C72984">
        <w:rPr>
          <w:rFonts w:ascii="Arial" w:hAnsi="Arial" w:cs="Arial"/>
          <w:color w:val="000000" w:themeColor="text1"/>
        </w:rPr>
        <w:t>randomi</w:t>
      </w:r>
      <w:r w:rsidR="002E58ED">
        <w:rPr>
          <w:rFonts w:ascii="Arial" w:hAnsi="Arial" w:cs="Arial"/>
          <w:color w:val="000000" w:themeColor="text1"/>
        </w:rPr>
        <w:t>z</w:t>
      </w:r>
      <w:r w:rsidR="002E58ED" w:rsidRPr="00C72984">
        <w:rPr>
          <w:rFonts w:ascii="Arial" w:hAnsi="Arial" w:cs="Arial"/>
          <w:color w:val="000000" w:themeColor="text1"/>
        </w:rPr>
        <w:t>ed</w:t>
      </w:r>
      <w:r w:rsidR="00A23A08">
        <w:rPr>
          <w:rFonts w:ascii="Arial" w:hAnsi="Arial" w:cs="Arial"/>
          <w:color w:val="000000" w:themeColor="text1"/>
        </w:rPr>
        <w:t>; all</w:t>
      </w:r>
      <w:r w:rsidR="002E58ED" w:rsidRPr="00C72984">
        <w:rPr>
          <w:rFonts w:ascii="Arial" w:hAnsi="Arial" w:cs="Arial"/>
          <w:color w:val="000000" w:themeColor="text1"/>
        </w:rPr>
        <w:t xml:space="preserve"> </w:t>
      </w:r>
      <w:r w:rsidR="009C0051">
        <w:rPr>
          <w:rFonts w:ascii="Arial" w:hAnsi="Arial" w:cs="Arial"/>
          <w:color w:val="000000" w:themeColor="text1"/>
        </w:rPr>
        <w:t xml:space="preserve">mothers and their infants </w:t>
      </w:r>
      <w:r w:rsidR="0059480A" w:rsidRPr="00C72984">
        <w:rPr>
          <w:rFonts w:ascii="Arial" w:hAnsi="Arial" w:cs="Arial"/>
          <w:color w:val="000000" w:themeColor="text1"/>
        </w:rPr>
        <w:t xml:space="preserve">were included in safety, and </w:t>
      </w:r>
      <w:r w:rsidR="001A7594" w:rsidRPr="00C72984">
        <w:rPr>
          <w:rFonts w:ascii="Arial" w:hAnsi="Arial" w:cs="Arial"/>
          <w:color w:val="000000" w:themeColor="text1"/>
        </w:rPr>
        <w:t>2</w:t>
      </w:r>
      <w:r w:rsidR="001A7594">
        <w:rPr>
          <w:rFonts w:ascii="Arial" w:hAnsi="Arial" w:cs="Arial"/>
          <w:color w:val="000000" w:themeColor="text1"/>
        </w:rPr>
        <w:t>50</w:t>
      </w:r>
      <w:r w:rsidR="009C0051">
        <w:rPr>
          <w:rFonts w:ascii="Arial" w:hAnsi="Arial" w:cs="Arial"/>
          <w:color w:val="000000" w:themeColor="text1"/>
        </w:rPr>
        <w:t xml:space="preserve"> mothers</w:t>
      </w:r>
      <w:r w:rsidR="001A7594" w:rsidRPr="00C72984">
        <w:rPr>
          <w:rFonts w:ascii="Arial" w:hAnsi="Arial" w:cs="Arial"/>
          <w:color w:val="000000" w:themeColor="text1"/>
        </w:rPr>
        <w:t xml:space="preserve"> </w:t>
      </w:r>
      <w:r w:rsidR="0059480A" w:rsidRPr="00C72984">
        <w:rPr>
          <w:rFonts w:ascii="Arial" w:hAnsi="Arial" w:cs="Arial"/>
          <w:color w:val="000000" w:themeColor="text1"/>
        </w:rPr>
        <w:t>(</w:t>
      </w:r>
      <w:r w:rsidR="001A7594" w:rsidRPr="00C72984">
        <w:rPr>
          <w:rFonts w:ascii="Arial" w:hAnsi="Arial" w:cs="Arial"/>
          <w:color w:val="000000" w:themeColor="text1"/>
        </w:rPr>
        <w:t>12</w:t>
      </w:r>
      <w:r w:rsidR="001A7594">
        <w:rPr>
          <w:rFonts w:ascii="Arial" w:hAnsi="Arial" w:cs="Arial"/>
          <w:color w:val="000000" w:themeColor="text1"/>
        </w:rPr>
        <w:t>5</w:t>
      </w:r>
      <w:r w:rsidR="001A7594" w:rsidRPr="00C72984">
        <w:rPr>
          <w:rFonts w:ascii="Arial" w:hAnsi="Arial" w:cs="Arial"/>
          <w:color w:val="000000" w:themeColor="text1"/>
        </w:rPr>
        <w:t xml:space="preserve"> </w:t>
      </w:r>
      <w:r w:rsidR="002229C4">
        <w:rPr>
          <w:rFonts w:ascii="Arial" w:hAnsi="Arial" w:cs="Arial"/>
          <w:color w:val="000000" w:themeColor="text1"/>
        </w:rPr>
        <w:t>dolutegravir</w:t>
      </w:r>
      <w:r w:rsidR="0059480A" w:rsidRPr="00C72984">
        <w:rPr>
          <w:rFonts w:ascii="Arial" w:hAnsi="Arial" w:cs="Arial"/>
          <w:color w:val="000000" w:themeColor="text1"/>
        </w:rPr>
        <w:t xml:space="preserve">, </w:t>
      </w:r>
      <w:r w:rsidR="001A7594" w:rsidRPr="00C72984">
        <w:rPr>
          <w:rFonts w:ascii="Arial" w:hAnsi="Arial" w:cs="Arial"/>
          <w:color w:val="000000" w:themeColor="text1"/>
        </w:rPr>
        <w:t>1</w:t>
      </w:r>
      <w:r w:rsidR="001A7594">
        <w:rPr>
          <w:rFonts w:ascii="Arial" w:hAnsi="Arial" w:cs="Arial"/>
          <w:color w:val="000000" w:themeColor="text1"/>
        </w:rPr>
        <w:t>25</w:t>
      </w:r>
      <w:r w:rsidR="001A7594" w:rsidRPr="00C72984">
        <w:rPr>
          <w:rFonts w:ascii="Arial" w:hAnsi="Arial" w:cs="Arial"/>
          <w:color w:val="000000" w:themeColor="text1"/>
        </w:rPr>
        <w:t xml:space="preserve"> </w:t>
      </w:r>
      <w:r w:rsidR="002229C4">
        <w:rPr>
          <w:rFonts w:ascii="Arial" w:hAnsi="Arial" w:cs="Arial"/>
          <w:color w:val="000000" w:themeColor="text1"/>
        </w:rPr>
        <w:t>efavirenz</w:t>
      </w:r>
      <w:r w:rsidR="0059480A" w:rsidRPr="00C72984">
        <w:rPr>
          <w:rFonts w:ascii="Arial" w:hAnsi="Arial" w:cs="Arial"/>
          <w:color w:val="000000" w:themeColor="text1"/>
        </w:rPr>
        <w:t xml:space="preserve">) </w:t>
      </w:r>
      <w:r w:rsidR="009C0051">
        <w:rPr>
          <w:rFonts w:ascii="Arial" w:hAnsi="Arial" w:cs="Arial"/>
          <w:color w:val="000000" w:themeColor="text1"/>
        </w:rPr>
        <w:t xml:space="preserve">and their infants </w:t>
      </w:r>
      <w:r w:rsidR="0059480A" w:rsidRPr="00C72984">
        <w:rPr>
          <w:rFonts w:ascii="Arial" w:hAnsi="Arial" w:cs="Arial"/>
          <w:color w:val="000000" w:themeColor="text1"/>
        </w:rPr>
        <w:t xml:space="preserve">in efficacy analyses by </w:t>
      </w:r>
      <w:r w:rsidR="002E58ED">
        <w:rPr>
          <w:rFonts w:ascii="Arial" w:hAnsi="Arial" w:cs="Arial"/>
          <w:color w:val="000000" w:themeColor="text1"/>
        </w:rPr>
        <w:t>intention to treat analyses</w:t>
      </w:r>
      <w:r w:rsidR="0059480A" w:rsidRPr="00C72984">
        <w:rPr>
          <w:rFonts w:ascii="Arial" w:hAnsi="Arial" w:cs="Arial"/>
          <w:color w:val="000000" w:themeColor="text1"/>
        </w:rPr>
        <w:t>. The median</w:t>
      </w:r>
      <w:r w:rsidR="00026271">
        <w:rPr>
          <w:rFonts w:ascii="Arial" w:hAnsi="Arial" w:cs="Arial"/>
          <w:color w:val="000000" w:themeColor="text1"/>
        </w:rPr>
        <w:t xml:space="preserve"> </w:t>
      </w:r>
      <w:r w:rsidR="0059480A" w:rsidRPr="00C72984">
        <w:rPr>
          <w:rFonts w:ascii="Arial" w:hAnsi="Arial" w:cs="Arial"/>
          <w:color w:val="000000" w:themeColor="text1"/>
        </w:rPr>
        <w:t xml:space="preserve">duration of </w:t>
      </w:r>
      <w:r w:rsidR="009C0051">
        <w:rPr>
          <w:rFonts w:ascii="Arial" w:hAnsi="Arial" w:cs="Arial"/>
          <w:color w:val="000000" w:themeColor="text1"/>
        </w:rPr>
        <w:t xml:space="preserve">maternal </w:t>
      </w:r>
      <w:r w:rsidR="001A3165">
        <w:rPr>
          <w:rFonts w:ascii="Arial" w:hAnsi="Arial" w:cs="Arial"/>
          <w:color w:val="000000" w:themeColor="text1"/>
        </w:rPr>
        <w:t>therapy</w:t>
      </w:r>
      <w:r w:rsidR="001A3165" w:rsidRPr="00C72984">
        <w:rPr>
          <w:rFonts w:ascii="Arial" w:hAnsi="Arial" w:cs="Arial"/>
          <w:color w:val="000000" w:themeColor="text1"/>
        </w:rPr>
        <w:t xml:space="preserve"> </w:t>
      </w:r>
      <w:r w:rsidR="0059480A" w:rsidRPr="00C72984">
        <w:rPr>
          <w:rFonts w:ascii="Arial" w:hAnsi="Arial" w:cs="Arial"/>
          <w:color w:val="000000" w:themeColor="text1"/>
        </w:rPr>
        <w:t xml:space="preserve">at delivery was </w:t>
      </w:r>
      <w:r w:rsidR="00026271">
        <w:rPr>
          <w:rFonts w:ascii="Arial" w:hAnsi="Arial" w:cs="Arial"/>
          <w:color w:val="000000"/>
        </w:rPr>
        <w:t xml:space="preserve">55 (IQR 33-77) </w:t>
      </w:r>
      <w:r w:rsidR="00AE1BD3">
        <w:rPr>
          <w:rFonts w:ascii="Arial" w:hAnsi="Arial" w:cs="Arial"/>
          <w:color w:val="000000" w:themeColor="text1"/>
        </w:rPr>
        <w:t>days</w:t>
      </w:r>
      <w:r w:rsidR="0059480A" w:rsidRPr="00C72984">
        <w:rPr>
          <w:rFonts w:ascii="Arial" w:hAnsi="Arial" w:cs="Arial"/>
          <w:color w:val="000000" w:themeColor="text1"/>
        </w:rPr>
        <w:t xml:space="preserve">. </w:t>
      </w:r>
    </w:p>
    <w:p w14:paraId="1C192013" w14:textId="77777777" w:rsidR="0059480A" w:rsidRPr="00C72984" w:rsidRDefault="0059480A" w:rsidP="00855927">
      <w:pPr>
        <w:spacing w:line="360" w:lineRule="auto"/>
        <w:jc w:val="both"/>
        <w:rPr>
          <w:rFonts w:ascii="Arial" w:hAnsi="Arial" w:cs="Arial"/>
          <w:color w:val="000000" w:themeColor="text1"/>
        </w:rPr>
      </w:pPr>
    </w:p>
    <w:p w14:paraId="67356604" w14:textId="616F4F01" w:rsidR="0059480A" w:rsidRPr="00C72984" w:rsidRDefault="009E6736" w:rsidP="000722CC">
      <w:pPr>
        <w:spacing w:line="360" w:lineRule="auto"/>
        <w:jc w:val="both"/>
        <w:rPr>
          <w:rFonts w:ascii="Arial" w:hAnsi="Arial" w:cs="Arial"/>
          <w:color w:val="000000" w:themeColor="text1"/>
        </w:rPr>
      </w:pPr>
      <w:r>
        <w:rPr>
          <w:rFonts w:ascii="Arial" w:hAnsi="Arial" w:cs="Arial"/>
          <w:color w:val="000000" w:themeColor="text1"/>
        </w:rPr>
        <w:t xml:space="preserve">Frequency of </w:t>
      </w:r>
      <w:r w:rsidR="009E5A07">
        <w:rPr>
          <w:rFonts w:ascii="Arial" w:hAnsi="Arial" w:cs="Arial"/>
          <w:color w:val="000000" w:themeColor="text1"/>
        </w:rPr>
        <w:t>viral load</w:t>
      </w:r>
      <w:r w:rsidR="0059480A" w:rsidRPr="00C72984">
        <w:rPr>
          <w:rFonts w:ascii="Arial" w:hAnsi="Arial" w:cs="Arial"/>
          <w:color w:val="000000" w:themeColor="text1"/>
        </w:rPr>
        <w:t xml:space="preserve">&lt;50 </w:t>
      </w:r>
      <w:r w:rsidR="00AB53E0" w:rsidRPr="00C72984">
        <w:rPr>
          <w:rFonts w:ascii="Arial" w:hAnsi="Arial" w:cs="Arial"/>
          <w:color w:val="000000" w:themeColor="text1"/>
        </w:rPr>
        <w:t>c</w:t>
      </w:r>
      <w:r w:rsidR="00AB53E0">
        <w:rPr>
          <w:rFonts w:ascii="Arial" w:hAnsi="Arial" w:cs="Arial"/>
          <w:color w:val="000000" w:themeColor="text1"/>
        </w:rPr>
        <w:t>opies</w:t>
      </w:r>
      <w:r w:rsidR="0059480A" w:rsidRPr="00C72984">
        <w:rPr>
          <w:rFonts w:ascii="Arial" w:hAnsi="Arial" w:cs="Arial"/>
          <w:color w:val="000000" w:themeColor="text1"/>
        </w:rPr>
        <w:t>/mL at delivery</w:t>
      </w:r>
      <w:r>
        <w:rPr>
          <w:rFonts w:ascii="Arial" w:hAnsi="Arial" w:cs="Arial"/>
          <w:color w:val="000000" w:themeColor="text1"/>
        </w:rPr>
        <w:t xml:space="preserve"> visit</w:t>
      </w:r>
      <w:r w:rsidR="0059480A" w:rsidRPr="00C72984">
        <w:rPr>
          <w:rFonts w:ascii="Arial" w:hAnsi="Arial" w:cs="Arial"/>
          <w:color w:val="000000" w:themeColor="text1"/>
        </w:rPr>
        <w:t xml:space="preserve"> was higher with </w:t>
      </w:r>
      <w:r w:rsidR="002229C4">
        <w:rPr>
          <w:rFonts w:ascii="Arial" w:hAnsi="Arial" w:cs="Arial"/>
          <w:color w:val="000000" w:themeColor="text1"/>
        </w:rPr>
        <w:t>dolutegravir</w:t>
      </w:r>
      <w:r w:rsidR="0059480A" w:rsidRPr="00C72984">
        <w:rPr>
          <w:rFonts w:ascii="Arial" w:hAnsi="Arial" w:cs="Arial"/>
          <w:color w:val="000000" w:themeColor="text1"/>
        </w:rPr>
        <w:t xml:space="preserve"> (</w:t>
      </w:r>
      <w:r w:rsidR="001A7594">
        <w:rPr>
          <w:rFonts w:ascii="Arial" w:hAnsi="Arial" w:cs="Arial"/>
          <w:color w:val="000000" w:themeColor="text1"/>
        </w:rPr>
        <w:t>89/120</w:t>
      </w:r>
      <w:r w:rsidR="0059480A" w:rsidRPr="00C72984">
        <w:rPr>
          <w:rFonts w:ascii="Arial" w:hAnsi="Arial" w:cs="Arial"/>
          <w:color w:val="000000" w:themeColor="text1"/>
        </w:rPr>
        <w:t xml:space="preserve">, </w:t>
      </w:r>
      <w:r w:rsidR="001A7594">
        <w:rPr>
          <w:rFonts w:ascii="Arial" w:hAnsi="Arial" w:cs="Arial"/>
          <w:color w:val="000000" w:themeColor="text1"/>
        </w:rPr>
        <w:t>74</w:t>
      </w:r>
      <w:r w:rsidR="009D58BF">
        <w:rPr>
          <w:rFonts w:ascii="Arial" w:hAnsi="Arial" w:cs="Arial"/>
        </w:rPr>
        <w:t>·</w:t>
      </w:r>
      <w:r w:rsidR="001A7594">
        <w:rPr>
          <w:rFonts w:ascii="Arial" w:hAnsi="Arial" w:cs="Arial"/>
          <w:color w:val="000000" w:themeColor="text1"/>
        </w:rPr>
        <w:t>2</w:t>
      </w:r>
      <w:r w:rsidR="0059480A" w:rsidRPr="00C72984">
        <w:rPr>
          <w:rFonts w:ascii="Arial" w:hAnsi="Arial" w:cs="Arial"/>
          <w:color w:val="000000" w:themeColor="text1"/>
        </w:rPr>
        <w:t xml:space="preserve">%) vs </w:t>
      </w:r>
      <w:r w:rsidR="002229C4">
        <w:rPr>
          <w:rFonts w:ascii="Arial" w:hAnsi="Arial" w:cs="Arial"/>
          <w:color w:val="000000" w:themeColor="text1"/>
        </w:rPr>
        <w:t>efavirenz</w:t>
      </w:r>
      <w:r w:rsidR="0059480A" w:rsidRPr="00C72984">
        <w:rPr>
          <w:rFonts w:ascii="Arial" w:hAnsi="Arial" w:cs="Arial"/>
          <w:color w:val="000000" w:themeColor="text1"/>
        </w:rPr>
        <w:t xml:space="preserve"> (</w:t>
      </w:r>
      <w:r w:rsidR="001A7594">
        <w:rPr>
          <w:rFonts w:ascii="Arial" w:hAnsi="Arial" w:cs="Arial"/>
          <w:color w:val="000000" w:themeColor="text1"/>
        </w:rPr>
        <w:t>50/117</w:t>
      </w:r>
      <w:r w:rsidR="0059480A" w:rsidRPr="00C72984">
        <w:rPr>
          <w:rFonts w:ascii="Arial" w:hAnsi="Arial" w:cs="Arial"/>
          <w:color w:val="000000" w:themeColor="text1"/>
        </w:rPr>
        <w:t xml:space="preserve">, </w:t>
      </w:r>
      <w:r w:rsidR="00AE1BD3" w:rsidRPr="00C72984">
        <w:rPr>
          <w:rFonts w:ascii="Arial" w:hAnsi="Arial" w:cs="Arial"/>
          <w:color w:val="000000" w:themeColor="text1"/>
        </w:rPr>
        <w:t>4</w:t>
      </w:r>
      <w:r w:rsidR="00AE1BD3">
        <w:rPr>
          <w:rFonts w:ascii="Arial" w:hAnsi="Arial" w:cs="Arial"/>
          <w:color w:val="000000" w:themeColor="text1"/>
        </w:rPr>
        <w:t>2</w:t>
      </w:r>
      <w:r w:rsidR="009D58BF">
        <w:rPr>
          <w:rFonts w:ascii="Arial" w:hAnsi="Arial" w:cs="Arial"/>
        </w:rPr>
        <w:t>·</w:t>
      </w:r>
      <w:r w:rsidR="001A7594">
        <w:rPr>
          <w:rFonts w:ascii="Arial" w:hAnsi="Arial" w:cs="Arial"/>
          <w:color w:val="000000" w:themeColor="text1"/>
        </w:rPr>
        <w:t>7</w:t>
      </w:r>
      <w:r w:rsidR="0059480A" w:rsidRPr="00C72984">
        <w:rPr>
          <w:rFonts w:ascii="Arial" w:hAnsi="Arial" w:cs="Arial"/>
          <w:color w:val="000000" w:themeColor="text1"/>
        </w:rPr>
        <w:t>%); risk ratio (RR) and 95% CI, 1</w:t>
      </w:r>
      <w:r w:rsidR="009D58BF">
        <w:rPr>
          <w:rFonts w:ascii="Arial" w:hAnsi="Arial" w:cs="Arial"/>
        </w:rPr>
        <w:t>·</w:t>
      </w:r>
      <w:r w:rsidR="001A7594" w:rsidRPr="00C72984">
        <w:rPr>
          <w:rFonts w:ascii="Arial" w:hAnsi="Arial" w:cs="Arial"/>
          <w:color w:val="000000" w:themeColor="text1"/>
        </w:rPr>
        <w:t>6</w:t>
      </w:r>
      <w:r w:rsidR="001A7594">
        <w:rPr>
          <w:rFonts w:ascii="Arial" w:hAnsi="Arial" w:cs="Arial"/>
          <w:color w:val="000000" w:themeColor="text1"/>
        </w:rPr>
        <w:t>4</w:t>
      </w:r>
      <w:r w:rsidR="001A7594" w:rsidRPr="00C72984">
        <w:rPr>
          <w:rFonts w:ascii="Arial" w:hAnsi="Arial" w:cs="Arial"/>
          <w:color w:val="000000" w:themeColor="text1"/>
        </w:rPr>
        <w:t xml:space="preserve"> </w:t>
      </w:r>
      <w:r w:rsidR="0059480A" w:rsidRPr="00C72984">
        <w:rPr>
          <w:rFonts w:ascii="Arial" w:hAnsi="Arial" w:cs="Arial"/>
          <w:color w:val="000000" w:themeColor="text1"/>
        </w:rPr>
        <w:t>(1</w:t>
      </w:r>
      <w:r w:rsidR="009D58BF">
        <w:rPr>
          <w:rFonts w:ascii="Arial" w:hAnsi="Arial" w:cs="Arial"/>
        </w:rPr>
        <w:t>·</w:t>
      </w:r>
      <w:r w:rsidR="001A7594" w:rsidRPr="00C72984">
        <w:rPr>
          <w:rFonts w:ascii="Arial" w:hAnsi="Arial" w:cs="Arial"/>
          <w:color w:val="000000" w:themeColor="text1"/>
        </w:rPr>
        <w:t>3</w:t>
      </w:r>
      <w:r w:rsidR="001A7594">
        <w:rPr>
          <w:rFonts w:ascii="Arial" w:hAnsi="Arial" w:cs="Arial"/>
          <w:color w:val="000000" w:themeColor="text1"/>
        </w:rPr>
        <w:t>1</w:t>
      </w:r>
      <w:r w:rsidR="0059480A" w:rsidRPr="00C72984">
        <w:rPr>
          <w:rFonts w:ascii="Arial" w:hAnsi="Arial" w:cs="Arial"/>
          <w:color w:val="000000" w:themeColor="text1"/>
        </w:rPr>
        <w:t>-2</w:t>
      </w:r>
      <w:r w:rsidR="009D58BF">
        <w:rPr>
          <w:rFonts w:ascii="Arial" w:hAnsi="Arial" w:cs="Arial"/>
        </w:rPr>
        <w:t>·</w:t>
      </w:r>
      <w:r w:rsidR="001A7594" w:rsidRPr="00C72984">
        <w:rPr>
          <w:rFonts w:ascii="Arial" w:hAnsi="Arial" w:cs="Arial"/>
          <w:color w:val="000000" w:themeColor="text1"/>
        </w:rPr>
        <w:t>0</w:t>
      </w:r>
      <w:r w:rsidR="001A7594">
        <w:rPr>
          <w:rFonts w:ascii="Arial" w:hAnsi="Arial" w:cs="Arial"/>
          <w:color w:val="000000" w:themeColor="text1"/>
        </w:rPr>
        <w:t>6</w:t>
      </w:r>
      <w:r w:rsidR="0059480A" w:rsidRPr="00C72984">
        <w:rPr>
          <w:rFonts w:ascii="Arial" w:hAnsi="Arial" w:cs="Arial"/>
          <w:color w:val="000000" w:themeColor="text1"/>
        </w:rPr>
        <w:t xml:space="preserve">). </w:t>
      </w:r>
      <w:r w:rsidR="00717CAF">
        <w:rPr>
          <w:rFonts w:ascii="Arial" w:hAnsi="Arial" w:cs="Arial"/>
          <w:color w:val="000000" w:themeColor="text1"/>
        </w:rPr>
        <w:t xml:space="preserve">Although </w:t>
      </w:r>
      <w:r w:rsidR="00717CAF" w:rsidRPr="00C72984">
        <w:rPr>
          <w:rFonts w:ascii="Arial" w:hAnsi="Arial" w:cs="Arial"/>
          <w:color w:val="000000" w:themeColor="text1"/>
        </w:rPr>
        <w:t>well-tolerated</w:t>
      </w:r>
      <w:r w:rsidR="00717CAF">
        <w:rPr>
          <w:rFonts w:ascii="Arial" w:hAnsi="Arial" w:cs="Arial"/>
          <w:color w:val="000000" w:themeColor="text1"/>
        </w:rPr>
        <w:t xml:space="preserve">, more mothers on </w:t>
      </w:r>
      <w:r w:rsidR="002229C4">
        <w:rPr>
          <w:rFonts w:ascii="Arial" w:hAnsi="Arial" w:cs="Arial"/>
          <w:color w:val="000000" w:themeColor="text1"/>
        </w:rPr>
        <w:t>dolutegravir</w:t>
      </w:r>
      <w:r w:rsidR="00717CAF">
        <w:rPr>
          <w:rFonts w:ascii="Arial" w:hAnsi="Arial" w:cs="Arial"/>
          <w:color w:val="000000" w:themeColor="text1"/>
        </w:rPr>
        <w:t xml:space="preserve"> reported serious adverse events </w:t>
      </w:r>
      <w:r w:rsidR="00717CAF">
        <w:rPr>
          <w:rFonts w:ascii="Arial" w:hAnsi="Arial" w:cs="Arial"/>
        </w:rPr>
        <w:t>(30/137 vs 14/131; P = 0</w:t>
      </w:r>
      <w:r w:rsidR="009D58BF">
        <w:rPr>
          <w:rFonts w:ascii="Arial" w:hAnsi="Arial" w:cs="Arial"/>
        </w:rPr>
        <w:t>·</w:t>
      </w:r>
      <w:r w:rsidR="00717CAF">
        <w:rPr>
          <w:rFonts w:ascii="Arial" w:hAnsi="Arial" w:cs="Arial"/>
        </w:rPr>
        <w:t>013)</w:t>
      </w:r>
      <w:r w:rsidR="00717CAF">
        <w:rPr>
          <w:rFonts w:ascii="Arial" w:hAnsi="Arial" w:cs="Arial"/>
          <w:color w:val="000000" w:themeColor="text1"/>
        </w:rPr>
        <w:t xml:space="preserve">, particularly surrounding pregnancy and puerperium. </w:t>
      </w:r>
      <w:r w:rsidR="000722CC">
        <w:rPr>
          <w:rFonts w:ascii="Arial" w:hAnsi="Arial" w:cs="Arial"/>
          <w:color w:val="000000" w:themeColor="text1"/>
        </w:rPr>
        <w:t xml:space="preserve">There were no differences in </w:t>
      </w:r>
      <w:r w:rsidR="00413259">
        <w:rPr>
          <w:rFonts w:ascii="Arial" w:hAnsi="Arial" w:cs="Arial"/>
          <w:color w:val="000000" w:themeColor="text1"/>
        </w:rPr>
        <w:t>births</w:t>
      </w:r>
      <w:r w:rsidR="00855927">
        <w:rPr>
          <w:rFonts w:ascii="Arial" w:hAnsi="Arial" w:cs="Arial"/>
          <w:color w:val="000000" w:themeColor="text1"/>
        </w:rPr>
        <w:t xml:space="preserve"> &lt;37 weeks </w:t>
      </w:r>
      <w:r w:rsidR="00FF21FD">
        <w:rPr>
          <w:rFonts w:ascii="Arial" w:hAnsi="Arial" w:cs="Arial"/>
          <w:color w:val="000000" w:themeColor="text1"/>
        </w:rPr>
        <w:t xml:space="preserve">and &lt;34 weeks </w:t>
      </w:r>
      <w:r w:rsidR="00855927">
        <w:rPr>
          <w:rFonts w:ascii="Arial" w:hAnsi="Arial" w:cs="Arial"/>
          <w:color w:val="000000" w:themeColor="text1"/>
        </w:rPr>
        <w:t xml:space="preserve">gestation </w:t>
      </w:r>
      <w:r w:rsidR="00855927" w:rsidRPr="001E4EEF">
        <w:rPr>
          <w:rFonts w:ascii="Arial" w:hAnsi="Arial" w:cs="Arial"/>
          <w:color w:val="000000" w:themeColor="text1"/>
        </w:rPr>
        <w:t>(</w:t>
      </w:r>
      <w:r w:rsidR="00855927" w:rsidRPr="00DE217E">
        <w:rPr>
          <w:rFonts w:ascii="Arial" w:hAnsi="Arial" w:cs="Arial"/>
          <w:color w:val="000000" w:themeColor="text1"/>
        </w:rPr>
        <w:t>16</w:t>
      </w:r>
      <w:r w:rsidR="009D58BF">
        <w:rPr>
          <w:rFonts w:ascii="Arial" w:hAnsi="Arial" w:cs="Arial"/>
        </w:rPr>
        <w:t>·</w:t>
      </w:r>
      <w:r w:rsidR="00855927" w:rsidRPr="00DE217E">
        <w:rPr>
          <w:rFonts w:ascii="Arial" w:hAnsi="Arial" w:cs="Arial"/>
          <w:color w:val="000000" w:themeColor="text1"/>
        </w:rPr>
        <w:t>4%</w:t>
      </w:r>
      <w:r w:rsidR="00FF21FD" w:rsidRPr="00DE217E">
        <w:rPr>
          <w:rFonts w:ascii="Arial" w:hAnsi="Arial" w:cs="Arial"/>
          <w:color w:val="000000" w:themeColor="text1"/>
        </w:rPr>
        <w:t xml:space="preserve"> and </w:t>
      </w:r>
      <w:r w:rsidR="001E4EEF" w:rsidRPr="00DE217E">
        <w:rPr>
          <w:rFonts w:ascii="Arial" w:hAnsi="Arial" w:cs="Arial"/>
          <w:color w:val="000000" w:themeColor="text1"/>
        </w:rPr>
        <w:t>3</w:t>
      </w:r>
      <w:r w:rsidR="009D58BF">
        <w:rPr>
          <w:rFonts w:ascii="Arial" w:hAnsi="Arial" w:cs="Arial"/>
        </w:rPr>
        <w:t>·</w:t>
      </w:r>
      <w:r w:rsidR="001E4EEF" w:rsidRPr="00DE217E">
        <w:rPr>
          <w:rFonts w:ascii="Arial" w:hAnsi="Arial" w:cs="Arial"/>
          <w:color w:val="000000" w:themeColor="text1"/>
        </w:rPr>
        <w:t>3</w:t>
      </w:r>
      <w:r w:rsidR="00FF21FD" w:rsidRPr="00DE217E">
        <w:rPr>
          <w:rFonts w:ascii="Arial" w:hAnsi="Arial" w:cs="Arial"/>
          <w:color w:val="000000" w:themeColor="text1"/>
        </w:rPr>
        <w:t>%</w:t>
      </w:r>
      <w:r w:rsidR="00855927">
        <w:rPr>
          <w:rFonts w:ascii="Arial" w:hAnsi="Arial" w:cs="Arial"/>
          <w:color w:val="000000" w:themeColor="text1"/>
        </w:rPr>
        <w:t xml:space="preserve"> </w:t>
      </w:r>
      <w:r w:rsidR="00FF21FD">
        <w:rPr>
          <w:rFonts w:ascii="Arial" w:hAnsi="Arial" w:cs="Arial"/>
          <w:color w:val="000000" w:themeColor="text1"/>
        </w:rPr>
        <w:t xml:space="preserve">respectively </w:t>
      </w:r>
      <w:r w:rsidR="00855927">
        <w:rPr>
          <w:rFonts w:ascii="Arial" w:hAnsi="Arial" w:cs="Arial"/>
          <w:color w:val="000000" w:themeColor="text1"/>
        </w:rPr>
        <w:t>across both groups)</w:t>
      </w:r>
      <w:r w:rsidR="00413259">
        <w:rPr>
          <w:rFonts w:ascii="Arial" w:hAnsi="Arial" w:cs="Arial"/>
          <w:color w:val="000000" w:themeColor="text1"/>
        </w:rPr>
        <w:t xml:space="preserve">. </w:t>
      </w:r>
      <w:r w:rsidR="001A4941">
        <w:rPr>
          <w:rFonts w:ascii="Arial" w:hAnsi="Arial" w:cs="Arial"/>
          <w:color w:val="000000" w:themeColor="text1"/>
        </w:rPr>
        <w:t>Three</w:t>
      </w:r>
      <w:r w:rsidR="001A4941" w:rsidRPr="00C72984">
        <w:rPr>
          <w:rFonts w:ascii="Arial" w:hAnsi="Arial" w:cs="Arial"/>
          <w:color w:val="000000" w:themeColor="text1"/>
        </w:rPr>
        <w:t xml:space="preserve"> stillbirths in the </w:t>
      </w:r>
      <w:r w:rsidR="002229C4">
        <w:rPr>
          <w:rFonts w:ascii="Arial" w:hAnsi="Arial" w:cs="Arial"/>
          <w:color w:val="000000" w:themeColor="text1"/>
        </w:rPr>
        <w:t>dolutegravir</w:t>
      </w:r>
      <w:r w:rsidR="001A4941" w:rsidRPr="00C72984">
        <w:rPr>
          <w:rFonts w:ascii="Arial" w:hAnsi="Arial" w:cs="Arial"/>
          <w:color w:val="000000" w:themeColor="text1"/>
        </w:rPr>
        <w:t xml:space="preserve"> arm</w:t>
      </w:r>
      <w:r w:rsidR="001A4941">
        <w:rPr>
          <w:rFonts w:ascii="Arial" w:hAnsi="Arial" w:cs="Arial"/>
          <w:color w:val="000000" w:themeColor="text1"/>
        </w:rPr>
        <w:t xml:space="preserve">, and one in the </w:t>
      </w:r>
      <w:r w:rsidR="002229C4">
        <w:rPr>
          <w:rFonts w:ascii="Arial" w:hAnsi="Arial" w:cs="Arial"/>
          <w:color w:val="000000" w:themeColor="text1"/>
        </w:rPr>
        <w:t>efavirenz</w:t>
      </w:r>
      <w:r w:rsidR="001A4941">
        <w:rPr>
          <w:rFonts w:ascii="Arial" w:hAnsi="Arial" w:cs="Arial"/>
          <w:color w:val="000000" w:themeColor="text1"/>
        </w:rPr>
        <w:t xml:space="preserve"> arm </w:t>
      </w:r>
      <w:r w:rsidR="00AE1BD3">
        <w:rPr>
          <w:rFonts w:ascii="Arial" w:hAnsi="Arial" w:cs="Arial"/>
          <w:color w:val="000000" w:themeColor="text1"/>
        </w:rPr>
        <w:t>were considered unrelated to drug</w:t>
      </w:r>
      <w:r w:rsidR="0059480A" w:rsidRPr="00C72984">
        <w:rPr>
          <w:rFonts w:ascii="Arial" w:hAnsi="Arial" w:cs="Arial"/>
          <w:color w:val="000000" w:themeColor="text1"/>
        </w:rPr>
        <w:t xml:space="preserve">. Three </w:t>
      </w:r>
      <w:r w:rsidR="00AE1BD3">
        <w:rPr>
          <w:rFonts w:ascii="Arial" w:hAnsi="Arial" w:cs="Arial"/>
          <w:color w:val="000000" w:themeColor="text1"/>
        </w:rPr>
        <w:t xml:space="preserve">infant </w:t>
      </w:r>
      <w:r w:rsidR="00362802">
        <w:rPr>
          <w:rFonts w:ascii="Arial" w:hAnsi="Arial" w:cs="Arial"/>
          <w:color w:val="000000" w:themeColor="text1"/>
        </w:rPr>
        <w:t xml:space="preserve">HIV </w:t>
      </w:r>
      <w:r w:rsidR="00AE1BD3">
        <w:rPr>
          <w:rFonts w:ascii="Arial" w:hAnsi="Arial" w:cs="Arial"/>
          <w:color w:val="000000" w:themeColor="text1"/>
        </w:rPr>
        <w:t>infections</w:t>
      </w:r>
      <w:r w:rsidR="0059480A" w:rsidRPr="00C72984">
        <w:rPr>
          <w:rFonts w:ascii="Arial" w:hAnsi="Arial" w:cs="Arial"/>
          <w:color w:val="000000" w:themeColor="text1"/>
        </w:rPr>
        <w:t xml:space="preserve"> were detected, all from the </w:t>
      </w:r>
      <w:r w:rsidR="002229C4">
        <w:rPr>
          <w:rFonts w:ascii="Arial" w:hAnsi="Arial" w:cs="Arial"/>
          <w:color w:val="000000" w:themeColor="text1"/>
        </w:rPr>
        <w:t>dolutegravir</w:t>
      </w:r>
      <w:r w:rsidR="0059480A" w:rsidRPr="00C72984">
        <w:rPr>
          <w:rFonts w:ascii="Arial" w:hAnsi="Arial" w:cs="Arial"/>
          <w:color w:val="000000" w:themeColor="text1"/>
        </w:rPr>
        <w:t xml:space="preserve"> arm, and considered likely to be in-utero transmissions. </w:t>
      </w:r>
    </w:p>
    <w:p w14:paraId="06978BB6" w14:textId="77777777" w:rsidR="0059480A" w:rsidRPr="00C72984" w:rsidRDefault="0059480A" w:rsidP="00855927">
      <w:pPr>
        <w:spacing w:line="360" w:lineRule="auto"/>
        <w:jc w:val="both"/>
        <w:rPr>
          <w:rFonts w:ascii="Arial" w:hAnsi="Arial" w:cs="Arial"/>
          <w:color w:val="000000" w:themeColor="text1"/>
        </w:rPr>
      </w:pPr>
    </w:p>
    <w:p w14:paraId="7ED779F0" w14:textId="746AAC81" w:rsidR="0059480A" w:rsidRPr="00C72984" w:rsidRDefault="006A49CB" w:rsidP="00855927">
      <w:pPr>
        <w:spacing w:line="360" w:lineRule="auto"/>
        <w:jc w:val="both"/>
        <w:rPr>
          <w:rFonts w:ascii="Arial" w:hAnsi="Arial" w:cs="Arial"/>
          <w:color w:val="000000" w:themeColor="text1"/>
        </w:rPr>
      </w:pPr>
      <w:r>
        <w:rPr>
          <w:rFonts w:ascii="Arial" w:hAnsi="Arial" w:cs="Arial"/>
          <w:b/>
          <w:color w:val="000000" w:themeColor="text1"/>
        </w:rPr>
        <w:t>Interpretation</w:t>
      </w:r>
      <w:r w:rsidR="0059480A" w:rsidRPr="00C72984">
        <w:rPr>
          <w:rFonts w:ascii="Arial" w:hAnsi="Arial" w:cs="Arial"/>
          <w:color w:val="000000" w:themeColor="text1"/>
        </w:rPr>
        <w:t>:</w:t>
      </w:r>
    </w:p>
    <w:p w14:paraId="2B6DEE90" w14:textId="2A6274AF" w:rsidR="0059480A" w:rsidRPr="00C72984" w:rsidRDefault="009E1BCA" w:rsidP="00855927">
      <w:pPr>
        <w:spacing w:line="360" w:lineRule="auto"/>
        <w:jc w:val="both"/>
        <w:rPr>
          <w:rFonts w:ascii="Arial" w:hAnsi="Arial" w:cs="Arial"/>
          <w:color w:val="000000" w:themeColor="text1"/>
        </w:rPr>
      </w:pPr>
      <w:r>
        <w:rPr>
          <w:rFonts w:ascii="Arial" w:hAnsi="Arial" w:cs="Arial"/>
          <w:color w:val="000000" w:themeColor="text1"/>
        </w:rPr>
        <w:t>D</w:t>
      </w:r>
      <w:r w:rsidR="002229C4">
        <w:rPr>
          <w:rFonts w:ascii="Arial" w:hAnsi="Arial" w:cs="Arial"/>
          <w:color w:val="000000" w:themeColor="text1"/>
        </w:rPr>
        <w:t>olutegravir</w:t>
      </w:r>
      <w:r w:rsidR="0059480A" w:rsidRPr="00C72984">
        <w:rPr>
          <w:rFonts w:ascii="Arial" w:hAnsi="Arial" w:cs="Arial"/>
          <w:color w:val="000000" w:themeColor="text1"/>
        </w:rPr>
        <w:t xml:space="preserve"> achieves more rapid </w:t>
      </w:r>
      <w:proofErr w:type="spellStart"/>
      <w:r w:rsidR="0059480A" w:rsidRPr="00C72984">
        <w:rPr>
          <w:rFonts w:ascii="Arial" w:hAnsi="Arial" w:cs="Arial"/>
          <w:color w:val="000000" w:themeColor="text1"/>
        </w:rPr>
        <w:t>virological</w:t>
      </w:r>
      <w:proofErr w:type="spellEnd"/>
      <w:r w:rsidR="0059480A" w:rsidRPr="00C72984">
        <w:rPr>
          <w:rFonts w:ascii="Arial" w:hAnsi="Arial" w:cs="Arial"/>
          <w:color w:val="000000" w:themeColor="text1"/>
        </w:rPr>
        <w:t xml:space="preserve"> suppression compared to </w:t>
      </w:r>
      <w:r w:rsidR="002229C4">
        <w:rPr>
          <w:rFonts w:ascii="Arial" w:hAnsi="Arial" w:cs="Arial"/>
          <w:color w:val="000000" w:themeColor="text1"/>
        </w:rPr>
        <w:t>efavirenz</w:t>
      </w:r>
      <w:r w:rsidR="00DA1088">
        <w:rPr>
          <w:rFonts w:ascii="Arial" w:hAnsi="Arial" w:cs="Arial"/>
          <w:color w:val="000000" w:themeColor="text1"/>
        </w:rPr>
        <w:t>,</w:t>
      </w:r>
      <w:r w:rsidR="00855927">
        <w:rPr>
          <w:rFonts w:ascii="Arial" w:hAnsi="Arial" w:cs="Arial"/>
          <w:color w:val="000000" w:themeColor="text1"/>
        </w:rPr>
        <w:t xml:space="preserve"> </w:t>
      </w:r>
      <w:r w:rsidR="00855927" w:rsidRPr="00C72984">
        <w:rPr>
          <w:rFonts w:ascii="Arial" w:hAnsi="Arial" w:cs="Arial"/>
          <w:color w:val="000000" w:themeColor="text1"/>
        </w:rPr>
        <w:t xml:space="preserve">is well-tolerated </w:t>
      </w:r>
      <w:r w:rsidR="0059480A" w:rsidRPr="00C72984">
        <w:rPr>
          <w:rFonts w:ascii="Arial" w:hAnsi="Arial" w:cs="Arial"/>
          <w:color w:val="000000" w:themeColor="text1"/>
        </w:rPr>
        <w:t>when initiated in late pregnancy</w:t>
      </w:r>
      <w:r w:rsidR="003B3ECD">
        <w:rPr>
          <w:rFonts w:ascii="Arial" w:hAnsi="Arial" w:cs="Arial"/>
          <w:color w:val="000000" w:themeColor="text1"/>
        </w:rPr>
        <w:t xml:space="preserve"> and may be preferred in this group of high-risk individuals</w:t>
      </w:r>
    </w:p>
    <w:p w14:paraId="050180AD" w14:textId="25B2312F" w:rsidR="0059480A" w:rsidRDefault="0059480A" w:rsidP="00855927">
      <w:pPr>
        <w:spacing w:line="360" w:lineRule="auto"/>
        <w:jc w:val="both"/>
        <w:rPr>
          <w:rFonts w:ascii="Arial" w:hAnsi="Arial" w:cs="Arial"/>
          <w:color w:val="000000" w:themeColor="text1"/>
        </w:rPr>
      </w:pPr>
    </w:p>
    <w:p w14:paraId="623118C5" w14:textId="77777777" w:rsidR="008C4DE7" w:rsidRDefault="00A23A08" w:rsidP="00855927">
      <w:pPr>
        <w:spacing w:line="360" w:lineRule="auto"/>
        <w:jc w:val="both"/>
        <w:rPr>
          <w:rFonts w:ascii="Arial" w:hAnsi="Arial" w:cs="Arial"/>
          <w:color w:val="000000" w:themeColor="text1"/>
        </w:rPr>
      </w:pPr>
      <w:r w:rsidRPr="00A23A08">
        <w:rPr>
          <w:rFonts w:ascii="Arial" w:hAnsi="Arial" w:cs="Arial"/>
          <w:b/>
          <w:color w:val="000000" w:themeColor="text1"/>
        </w:rPr>
        <w:t>Funding</w:t>
      </w:r>
      <w:r>
        <w:rPr>
          <w:rFonts w:ascii="Arial" w:hAnsi="Arial" w:cs="Arial"/>
          <w:color w:val="000000" w:themeColor="text1"/>
        </w:rPr>
        <w:t xml:space="preserve">: </w:t>
      </w:r>
    </w:p>
    <w:p w14:paraId="0E3922A3" w14:textId="0636D12D" w:rsidR="00A23A08" w:rsidRDefault="008C4DE7" w:rsidP="00855927">
      <w:pPr>
        <w:spacing w:line="360" w:lineRule="auto"/>
        <w:jc w:val="both"/>
        <w:rPr>
          <w:rFonts w:ascii="Arial" w:hAnsi="Arial" w:cs="Arial"/>
          <w:color w:val="000000" w:themeColor="text1"/>
        </w:rPr>
      </w:pPr>
      <w:r>
        <w:rPr>
          <w:rFonts w:ascii="Arial" w:hAnsi="Arial" w:cs="Arial"/>
          <w:color w:val="000000" w:themeColor="text1"/>
        </w:rPr>
        <w:t xml:space="preserve">The </w:t>
      </w:r>
      <w:r w:rsidR="00A23A08">
        <w:rPr>
          <w:rFonts w:ascii="Arial" w:hAnsi="Arial" w:cs="Arial"/>
          <w:color w:val="000000" w:themeColor="text1"/>
        </w:rPr>
        <w:t xml:space="preserve">DolPHIN-2 </w:t>
      </w:r>
      <w:r>
        <w:rPr>
          <w:rFonts w:ascii="Arial" w:hAnsi="Arial" w:cs="Arial"/>
          <w:color w:val="000000" w:themeColor="text1"/>
        </w:rPr>
        <w:t xml:space="preserve">study </w:t>
      </w:r>
      <w:r w:rsidR="00A23A08">
        <w:rPr>
          <w:rFonts w:ascii="Arial" w:hAnsi="Arial" w:cs="Arial"/>
          <w:color w:val="000000" w:themeColor="text1"/>
        </w:rPr>
        <w:t xml:space="preserve">was funded by </w:t>
      </w:r>
      <w:proofErr w:type="spellStart"/>
      <w:r w:rsidR="0017568F">
        <w:rPr>
          <w:rFonts w:ascii="Arial" w:hAnsi="Arial" w:cs="Arial"/>
          <w:color w:val="000000" w:themeColor="text1"/>
        </w:rPr>
        <w:t>Unitaid</w:t>
      </w:r>
      <w:proofErr w:type="spellEnd"/>
      <w:r w:rsidR="00A23A08">
        <w:rPr>
          <w:rFonts w:ascii="Arial" w:hAnsi="Arial" w:cs="Arial"/>
          <w:color w:val="000000" w:themeColor="text1"/>
        </w:rPr>
        <w:t xml:space="preserve">. Dolutegravir was donated by </w:t>
      </w:r>
      <w:proofErr w:type="spellStart"/>
      <w:r w:rsidR="00A23A08">
        <w:rPr>
          <w:rFonts w:ascii="Arial" w:hAnsi="Arial" w:cs="Arial"/>
          <w:color w:val="000000" w:themeColor="text1"/>
        </w:rPr>
        <w:t>ViiV</w:t>
      </w:r>
      <w:proofErr w:type="spellEnd"/>
      <w:r w:rsidR="00A23A08">
        <w:rPr>
          <w:rFonts w:ascii="Arial" w:hAnsi="Arial" w:cs="Arial"/>
          <w:color w:val="000000" w:themeColor="text1"/>
        </w:rPr>
        <w:t xml:space="preserve"> Healthcare.</w:t>
      </w:r>
    </w:p>
    <w:p w14:paraId="2FE11AEA" w14:textId="77777777" w:rsidR="00A23A08" w:rsidRPr="00C72984" w:rsidRDefault="00A23A08" w:rsidP="00855927">
      <w:pPr>
        <w:spacing w:line="360" w:lineRule="auto"/>
        <w:jc w:val="both"/>
        <w:rPr>
          <w:rFonts w:ascii="Arial" w:hAnsi="Arial" w:cs="Arial"/>
          <w:color w:val="000000" w:themeColor="text1"/>
        </w:rPr>
      </w:pPr>
    </w:p>
    <w:p w14:paraId="042ECA23" w14:textId="1EE618F8" w:rsidR="007908EF" w:rsidRPr="00D32C1C" w:rsidRDefault="007908EF" w:rsidP="00A67253">
      <w:pPr>
        <w:spacing w:line="360" w:lineRule="auto"/>
        <w:rPr>
          <w:rFonts w:ascii="Arial" w:hAnsi="Arial" w:cs="Arial"/>
          <w:color w:val="000000"/>
        </w:rPr>
      </w:pPr>
      <w:r w:rsidRPr="00D32C1C">
        <w:rPr>
          <w:rFonts w:ascii="Arial" w:hAnsi="Arial" w:cs="Arial"/>
          <w:color w:val="000000"/>
        </w:rPr>
        <w:lastRenderedPageBreak/>
        <w:t xml:space="preserve">Abstract </w:t>
      </w:r>
      <w:r w:rsidR="00D32C1C" w:rsidRPr="00D32C1C">
        <w:rPr>
          <w:rFonts w:ascii="Arial" w:hAnsi="Arial" w:cs="Arial"/>
          <w:color w:val="000000"/>
        </w:rPr>
        <w:t>304</w:t>
      </w:r>
      <w:r w:rsidR="00D32C1C" w:rsidRPr="00D32C1C">
        <w:rPr>
          <w:rFonts w:ascii="Arial" w:hAnsi="Arial" w:cs="Arial"/>
          <w:color w:val="000000"/>
        </w:rPr>
        <w:t xml:space="preserve"> </w:t>
      </w:r>
      <w:r w:rsidRPr="00D32C1C">
        <w:rPr>
          <w:rFonts w:ascii="Arial" w:hAnsi="Arial" w:cs="Arial"/>
          <w:color w:val="000000"/>
        </w:rPr>
        <w:t>words</w:t>
      </w:r>
    </w:p>
    <w:p w14:paraId="41D69B42" w14:textId="6CCCEEE5" w:rsidR="00C138C3" w:rsidRPr="00104214" w:rsidRDefault="007908EF" w:rsidP="00A67253">
      <w:pPr>
        <w:spacing w:line="360" w:lineRule="auto"/>
        <w:rPr>
          <w:rFonts w:ascii="Arial" w:hAnsi="Arial" w:cs="Arial"/>
        </w:rPr>
      </w:pPr>
      <w:r w:rsidRPr="00D32C1C">
        <w:rPr>
          <w:rFonts w:ascii="Arial" w:hAnsi="Arial" w:cs="Arial"/>
          <w:color w:val="000000"/>
        </w:rPr>
        <w:t xml:space="preserve">Text </w:t>
      </w:r>
      <w:r w:rsidR="00D32C1C" w:rsidRPr="00D32C1C">
        <w:rPr>
          <w:rFonts w:ascii="Arial" w:hAnsi="Arial" w:cs="Arial"/>
          <w:color w:val="000000"/>
        </w:rPr>
        <w:t>3</w:t>
      </w:r>
      <w:r w:rsidR="00D32C1C" w:rsidRPr="00D32C1C">
        <w:rPr>
          <w:rFonts w:ascii="Arial" w:hAnsi="Arial" w:cs="Arial"/>
          <w:color w:val="000000"/>
        </w:rPr>
        <w:t>343</w:t>
      </w:r>
      <w:r w:rsidR="00D32C1C" w:rsidRPr="005A13A0">
        <w:rPr>
          <w:rFonts w:ascii="Arial" w:hAnsi="Arial" w:cs="Arial"/>
          <w:color w:val="000000"/>
        </w:rPr>
        <w:t xml:space="preserve"> </w:t>
      </w:r>
      <w:r w:rsidRPr="005A13A0">
        <w:rPr>
          <w:rFonts w:ascii="Arial" w:hAnsi="Arial" w:cs="Arial"/>
          <w:color w:val="000000"/>
        </w:rPr>
        <w:t>words</w:t>
      </w:r>
    </w:p>
    <w:p w14:paraId="00647930" w14:textId="77777777" w:rsidR="00104214" w:rsidRDefault="00104214" w:rsidP="00A67253">
      <w:pPr>
        <w:spacing w:after="160" w:line="360" w:lineRule="auto"/>
        <w:rPr>
          <w:rFonts w:ascii="Arial" w:hAnsi="Arial" w:cs="Arial"/>
          <w:color w:val="000000"/>
        </w:rPr>
      </w:pPr>
      <w:r>
        <w:rPr>
          <w:rFonts w:ascii="Arial" w:hAnsi="Arial" w:cs="Arial"/>
          <w:color w:val="000000"/>
        </w:rPr>
        <w:br w:type="page"/>
      </w:r>
    </w:p>
    <w:p w14:paraId="1C1DFD37" w14:textId="5C2E3BBB" w:rsidR="00C138C3" w:rsidRPr="003B3ECD" w:rsidRDefault="003B3ECD" w:rsidP="00A67253">
      <w:pPr>
        <w:spacing w:line="360" w:lineRule="auto"/>
        <w:rPr>
          <w:rFonts w:ascii="Arial" w:hAnsi="Arial" w:cs="Arial"/>
          <w:b/>
          <w:color w:val="000000"/>
        </w:rPr>
      </w:pPr>
      <w:r w:rsidRPr="003B3ECD">
        <w:rPr>
          <w:rFonts w:ascii="Arial" w:hAnsi="Arial" w:cs="Arial"/>
          <w:b/>
          <w:color w:val="000000"/>
        </w:rPr>
        <w:lastRenderedPageBreak/>
        <w:t>Introduction</w:t>
      </w:r>
    </w:p>
    <w:p w14:paraId="4587F3EF" w14:textId="77777777" w:rsidR="00C138C3" w:rsidRPr="00104214" w:rsidRDefault="00C138C3" w:rsidP="00A67253">
      <w:pPr>
        <w:spacing w:line="360" w:lineRule="auto"/>
        <w:rPr>
          <w:rFonts w:ascii="Arial" w:hAnsi="Arial" w:cs="Arial"/>
          <w:color w:val="000000"/>
        </w:rPr>
      </w:pPr>
      <w:r w:rsidRPr="00104214">
        <w:rPr>
          <w:rFonts w:ascii="Arial" w:hAnsi="Arial" w:cs="Arial"/>
          <w:color w:val="000000"/>
        </w:rPr>
        <w:t> </w:t>
      </w:r>
    </w:p>
    <w:p w14:paraId="23BC945F" w14:textId="0CF5C6F3" w:rsidR="002C1DEA" w:rsidRDefault="008C3E5B" w:rsidP="001E182D">
      <w:pPr>
        <w:spacing w:line="360" w:lineRule="auto"/>
        <w:jc w:val="both"/>
        <w:rPr>
          <w:rFonts w:ascii="Arial" w:hAnsi="Arial" w:cs="Arial"/>
          <w:color w:val="000000" w:themeColor="text1"/>
        </w:rPr>
      </w:pPr>
      <w:r>
        <w:rPr>
          <w:rFonts w:ascii="Arial" w:hAnsi="Arial" w:cs="Arial"/>
          <w:color w:val="000000"/>
        </w:rPr>
        <w:t xml:space="preserve">Delayed initiation of </w:t>
      </w:r>
      <w:r w:rsidR="00C138C3" w:rsidRPr="00104214">
        <w:rPr>
          <w:rFonts w:ascii="Arial" w:hAnsi="Arial" w:cs="Arial"/>
          <w:color w:val="000000"/>
        </w:rPr>
        <w:t xml:space="preserve">antiretroviral therapy </w:t>
      </w:r>
      <w:r>
        <w:rPr>
          <w:rFonts w:ascii="Arial" w:hAnsi="Arial" w:cs="Arial"/>
          <w:color w:val="000000"/>
        </w:rPr>
        <w:t xml:space="preserve">until the third trimester of pregnancy is </w:t>
      </w:r>
      <w:r w:rsidR="00DD02CE">
        <w:rPr>
          <w:rFonts w:ascii="Arial" w:hAnsi="Arial" w:cs="Arial"/>
          <w:color w:val="000000"/>
        </w:rPr>
        <w:t xml:space="preserve">common in </w:t>
      </w:r>
      <w:r w:rsidR="00F0182B" w:rsidRPr="00F0182B">
        <w:rPr>
          <w:rFonts w:ascii="Arial" w:hAnsi="Arial" w:cs="Arial"/>
          <w:color w:val="000000"/>
        </w:rPr>
        <w:t xml:space="preserve">many </w:t>
      </w:r>
      <w:r w:rsidR="00F0182B" w:rsidRPr="007F60EE">
        <w:rPr>
          <w:rFonts w:ascii="Arial" w:hAnsi="Arial" w:cs="Arial"/>
          <w:color w:val="000000"/>
        </w:rPr>
        <w:t xml:space="preserve">settings where HIV is </w:t>
      </w:r>
      <w:proofErr w:type="gramStart"/>
      <w:r w:rsidR="00F0182B" w:rsidRPr="007F60EE">
        <w:rPr>
          <w:rFonts w:ascii="Arial" w:hAnsi="Arial" w:cs="Arial"/>
          <w:color w:val="000000"/>
        </w:rPr>
        <w:t>prevalent</w:t>
      </w:r>
      <w:r w:rsidR="00DD02CE" w:rsidRPr="007F60EE">
        <w:rPr>
          <w:rFonts w:ascii="Arial" w:hAnsi="Arial" w:cs="Arial"/>
          <w:color w:val="000000"/>
        </w:rPr>
        <w:t>, and</w:t>
      </w:r>
      <w:proofErr w:type="gramEnd"/>
      <w:r w:rsidR="00DD02CE" w:rsidRPr="007F60EE">
        <w:rPr>
          <w:rFonts w:ascii="Arial" w:hAnsi="Arial" w:cs="Arial"/>
          <w:color w:val="000000"/>
        </w:rPr>
        <w:t xml:space="preserve"> </w:t>
      </w:r>
      <w:r w:rsidRPr="00873004">
        <w:rPr>
          <w:rFonts w:ascii="Arial" w:hAnsi="Arial" w:cs="Arial"/>
          <w:color w:val="000000"/>
        </w:rPr>
        <w:t xml:space="preserve">associated with increased </w:t>
      </w:r>
      <w:r w:rsidR="00291FF3" w:rsidRPr="00873004">
        <w:rPr>
          <w:rFonts w:ascii="Arial" w:hAnsi="Arial" w:cs="Arial"/>
          <w:color w:val="000000"/>
        </w:rPr>
        <w:t>mother-to-</w:t>
      </w:r>
      <w:r w:rsidR="00C138C3" w:rsidRPr="0011787F">
        <w:rPr>
          <w:rFonts w:ascii="Arial" w:hAnsi="Arial" w:cs="Arial"/>
          <w:color w:val="000000"/>
        </w:rPr>
        <w:t>child transmission (MTCT) of HIV and infant mortality</w:t>
      </w:r>
      <w:r w:rsidR="00DD02CE" w:rsidRPr="0011787F">
        <w:rPr>
          <w:rFonts w:ascii="Arial" w:hAnsi="Arial" w:cs="Arial"/>
          <w:color w:val="000000"/>
          <w:vertAlign w:val="superscript"/>
        </w:rPr>
        <w:t>1</w:t>
      </w:r>
      <w:r w:rsidR="00BC4784" w:rsidRPr="007F60EE">
        <w:rPr>
          <w:rFonts w:ascii="Arial" w:hAnsi="Arial" w:cs="Arial"/>
          <w:color w:val="000000"/>
          <w:vertAlign w:val="superscript"/>
        </w:rPr>
        <w:softHyphen/>
      </w:r>
      <w:r w:rsidR="00BC4784" w:rsidRPr="007F60EE">
        <w:rPr>
          <w:rFonts w:ascii="Arial" w:hAnsi="Arial" w:cs="Arial"/>
          <w:color w:val="000000"/>
          <w:vertAlign w:val="superscript"/>
        </w:rPr>
        <w:softHyphen/>
        <w:t>-</w:t>
      </w:r>
      <w:r w:rsidR="00DD02CE" w:rsidRPr="007F60EE">
        <w:rPr>
          <w:rFonts w:ascii="Arial" w:hAnsi="Arial" w:cs="Arial"/>
          <w:color w:val="000000"/>
          <w:vertAlign w:val="superscript"/>
        </w:rPr>
        <w:t>3</w:t>
      </w:r>
      <w:r w:rsidR="00C138C3" w:rsidRPr="007F60EE">
        <w:rPr>
          <w:rFonts w:ascii="Arial" w:hAnsi="Arial" w:cs="Arial"/>
          <w:color w:val="000000"/>
        </w:rPr>
        <w:t>.</w:t>
      </w:r>
      <w:r w:rsidR="002C1DEA" w:rsidRPr="006B1517">
        <w:rPr>
          <w:rFonts w:ascii="Arial" w:hAnsi="Arial" w:cs="Arial"/>
          <w:color w:val="000000" w:themeColor="text1"/>
        </w:rPr>
        <w:t xml:space="preserve"> In </w:t>
      </w:r>
      <w:r w:rsidR="007F60EE">
        <w:rPr>
          <w:rFonts w:ascii="Arial" w:hAnsi="Arial" w:cs="Arial"/>
          <w:color w:val="000000" w:themeColor="text1"/>
        </w:rPr>
        <w:t xml:space="preserve">the </w:t>
      </w:r>
      <w:hyperlink r:id="rId8" w:history="1">
        <w:r w:rsidR="007F60EE" w:rsidRPr="00DD1EBA">
          <w:rPr>
            <w:rStyle w:val="Hyperlink"/>
            <w:rFonts w:ascii="Arial" w:hAnsi="Arial" w:cs="Arial"/>
            <w:color w:val="000000" w:themeColor="text1"/>
            <w:u w:val="none"/>
          </w:rPr>
          <w:t>Uganda Demographic Health Survey</w:t>
        </w:r>
      </w:hyperlink>
      <w:r w:rsidR="007F60EE" w:rsidRPr="00DD1EBA">
        <w:rPr>
          <w:rStyle w:val="Hyperlink"/>
          <w:rFonts w:ascii="Arial" w:hAnsi="Arial" w:cs="Arial"/>
          <w:color w:val="000000" w:themeColor="text1"/>
          <w:u w:val="none"/>
        </w:rPr>
        <w:t xml:space="preserve">, </w:t>
      </w:r>
      <w:r w:rsidR="002C1DEA" w:rsidRPr="006B1517">
        <w:rPr>
          <w:rFonts w:ascii="Arial" w:hAnsi="Arial" w:cs="Arial"/>
          <w:color w:val="000000" w:themeColor="text1"/>
        </w:rPr>
        <w:t xml:space="preserve">the first </w:t>
      </w:r>
      <w:r w:rsidR="007F60EE">
        <w:rPr>
          <w:rFonts w:ascii="Arial" w:hAnsi="Arial" w:cs="Arial"/>
          <w:color w:val="000000" w:themeColor="text1"/>
        </w:rPr>
        <w:t>antenatal clinic</w:t>
      </w:r>
      <w:r w:rsidR="002C1DEA" w:rsidRPr="006B1517">
        <w:rPr>
          <w:rFonts w:ascii="Arial" w:hAnsi="Arial" w:cs="Arial"/>
          <w:color w:val="000000" w:themeColor="text1"/>
        </w:rPr>
        <w:t xml:space="preserve"> appointment </w:t>
      </w:r>
      <w:r w:rsidR="00EE1F26" w:rsidRPr="007F60EE">
        <w:rPr>
          <w:rFonts w:ascii="Arial" w:hAnsi="Arial" w:cs="Arial"/>
          <w:color w:val="000000" w:themeColor="text1"/>
        </w:rPr>
        <w:t>occur</w:t>
      </w:r>
      <w:r w:rsidR="00EE1F26">
        <w:rPr>
          <w:rFonts w:ascii="Arial" w:hAnsi="Arial" w:cs="Arial"/>
          <w:color w:val="000000" w:themeColor="text1"/>
        </w:rPr>
        <w:t>red</w:t>
      </w:r>
      <w:r w:rsidR="002C1DEA" w:rsidRPr="006B1517">
        <w:rPr>
          <w:rFonts w:ascii="Arial" w:hAnsi="Arial" w:cs="Arial"/>
          <w:color w:val="000000" w:themeColor="text1"/>
        </w:rPr>
        <w:t xml:space="preserve"> at </w:t>
      </w:r>
      <w:r w:rsidR="0017568F">
        <w:rPr>
          <w:rFonts w:ascii="Arial" w:hAnsi="Arial" w:cs="Arial"/>
          <w:color w:val="000000" w:themeColor="text1"/>
        </w:rPr>
        <w:t>an</w:t>
      </w:r>
      <w:r w:rsidR="002C1DEA" w:rsidRPr="006B1517">
        <w:rPr>
          <w:rFonts w:ascii="Arial" w:hAnsi="Arial" w:cs="Arial"/>
          <w:color w:val="000000" w:themeColor="text1"/>
        </w:rPr>
        <w:t xml:space="preserve"> average of 27</w:t>
      </w:r>
      <w:r w:rsidR="009D58BF">
        <w:rPr>
          <w:rFonts w:ascii="Arial" w:hAnsi="Arial" w:cs="Arial"/>
        </w:rPr>
        <w:t>·</w:t>
      </w:r>
      <w:r w:rsidR="002C1DEA" w:rsidRPr="006B1517">
        <w:rPr>
          <w:rFonts w:ascii="Arial" w:hAnsi="Arial" w:cs="Arial"/>
          <w:color w:val="000000" w:themeColor="text1"/>
        </w:rPr>
        <w:t>9 weeks</w:t>
      </w:r>
      <w:r w:rsidR="007F60EE" w:rsidRPr="006B1517">
        <w:rPr>
          <w:rFonts w:ascii="Arial" w:hAnsi="Arial" w:cs="Arial"/>
          <w:color w:val="000000" w:themeColor="text1"/>
          <w:vertAlign w:val="superscript"/>
        </w:rPr>
        <w:t>1</w:t>
      </w:r>
      <w:r w:rsidR="002C1DEA" w:rsidRPr="006B1517">
        <w:rPr>
          <w:rFonts w:ascii="Arial" w:hAnsi="Arial" w:cs="Arial"/>
          <w:color w:val="000000" w:themeColor="text1"/>
        </w:rPr>
        <w:t xml:space="preserve"> </w:t>
      </w:r>
      <w:r w:rsidR="002C1DEA" w:rsidRPr="007F60EE">
        <w:rPr>
          <w:rFonts w:ascii="Arial" w:hAnsi="Arial" w:cs="Arial"/>
          <w:color w:val="000000"/>
        </w:rPr>
        <w:t xml:space="preserve">and </w:t>
      </w:r>
      <w:r w:rsidR="007F60EE">
        <w:rPr>
          <w:rFonts w:ascii="Arial" w:hAnsi="Arial" w:cs="Arial"/>
          <w:color w:val="000000"/>
        </w:rPr>
        <w:t xml:space="preserve">in South Africa, </w:t>
      </w:r>
      <w:r w:rsidR="002C1DEA" w:rsidRPr="006B1517">
        <w:rPr>
          <w:rFonts w:ascii="Arial" w:hAnsi="Arial" w:cs="Arial"/>
          <w:color w:val="000000" w:themeColor="text1"/>
        </w:rPr>
        <w:t xml:space="preserve">11-19% of pregnant women </w:t>
      </w:r>
      <w:r w:rsidR="007F60EE">
        <w:rPr>
          <w:rFonts w:ascii="Arial" w:hAnsi="Arial" w:cs="Arial"/>
          <w:color w:val="000000" w:themeColor="text1"/>
        </w:rPr>
        <w:t>presented at</w:t>
      </w:r>
      <w:r w:rsidR="002C1DEA" w:rsidRPr="006B1517">
        <w:rPr>
          <w:rFonts w:ascii="Arial" w:hAnsi="Arial" w:cs="Arial"/>
          <w:color w:val="000000" w:themeColor="text1"/>
        </w:rPr>
        <w:t xml:space="preserve"> 28 weeks</w:t>
      </w:r>
      <w:r w:rsidR="007F60EE">
        <w:rPr>
          <w:rFonts w:ascii="Arial" w:hAnsi="Arial" w:cs="Arial"/>
          <w:color w:val="000000" w:themeColor="text1"/>
        </w:rPr>
        <w:t xml:space="preserve"> gestation or later</w:t>
      </w:r>
      <w:r w:rsidR="002C1DEA" w:rsidRPr="006B1517">
        <w:rPr>
          <w:rFonts w:ascii="Arial" w:hAnsi="Arial" w:cs="Arial"/>
          <w:color w:val="000000" w:themeColor="text1"/>
        </w:rPr>
        <w:t xml:space="preserve"> </w:t>
      </w:r>
      <w:r w:rsidR="005319FC" w:rsidRPr="006B1517">
        <w:rPr>
          <w:rFonts w:ascii="Arial" w:hAnsi="Arial" w:cs="Arial"/>
          <w:color w:val="000000" w:themeColor="text1"/>
          <w:vertAlign w:val="superscript"/>
        </w:rPr>
        <w:t>2,3</w:t>
      </w:r>
      <w:r w:rsidR="002C1DEA" w:rsidRPr="006B1517">
        <w:rPr>
          <w:rFonts w:ascii="Arial" w:hAnsi="Arial" w:cs="Arial"/>
          <w:color w:val="000000" w:themeColor="text1"/>
        </w:rPr>
        <w:t xml:space="preserve">. </w:t>
      </w:r>
    </w:p>
    <w:p w14:paraId="35828322" w14:textId="77777777" w:rsidR="001E182D" w:rsidRPr="006B1517" w:rsidRDefault="001E182D" w:rsidP="001E182D">
      <w:pPr>
        <w:spacing w:line="360" w:lineRule="auto"/>
        <w:jc w:val="both"/>
        <w:rPr>
          <w:rFonts w:ascii="Arial" w:hAnsi="Arial" w:cs="Arial"/>
          <w:color w:val="000000" w:themeColor="text1"/>
        </w:rPr>
      </w:pPr>
    </w:p>
    <w:p w14:paraId="1CAF87F2" w14:textId="097C9140" w:rsidR="006627BD" w:rsidRDefault="00C138C3" w:rsidP="001E182D">
      <w:pPr>
        <w:spacing w:line="360" w:lineRule="auto"/>
        <w:jc w:val="both"/>
        <w:rPr>
          <w:rFonts w:ascii="Arial" w:hAnsi="Arial" w:cs="Arial"/>
          <w:color w:val="000000"/>
        </w:rPr>
      </w:pPr>
      <w:r w:rsidRPr="007F60EE">
        <w:rPr>
          <w:rFonts w:ascii="Arial" w:hAnsi="Arial" w:cs="Arial"/>
          <w:color w:val="000000"/>
        </w:rPr>
        <w:t xml:space="preserve">Whilst the causes of </w:t>
      </w:r>
      <w:r w:rsidR="00C033DF" w:rsidRPr="00873004">
        <w:rPr>
          <w:rFonts w:ascii="Arial" w:hAnsi="Arial" w:cs="Arial"/>
          <w:color w:val="000000"/>
        </w:rPr>
        <w:t>infant HIV transmissions</w:t>
      </w:r>
      <w:r w:rsidRPr="00873004">
        <w:rPr>
          <w:rFonts w:ascii="Arial" w:hAnsi="Arial" w:cs="Arial"/>
          <w:color w:val="000000"/>
        </w:rPr>
        <w:t xml:space="preserve"> are multifactorial, one </w:t>
      </w:r>
      <w:r w:rsidR="001B6517" w:rsidRPr="00873004">
        <w:rPr>
          <w:rFonts w:ascii="Arial" w:hAnsi="Arial" w:cs="Arial"/>
          <w:color w:val="000000"/>
        </w:rPr>
        <w:t xml:space="preserve">important </w:t>
      </w:r>
      <w:r w:rsidRPr="00873004">
        <w:rPr>
          <w:rFonts w:ascii="Arial" w:hAnsi="Arial" w:cs="Arial"/>
          <w:color w:val="000000"/>
        </w:rPr>
        <w:t xml:space="preserve">factor </w:t>
      </w:r>
      <w:r w:rsidR="00C033DF" w:rsidRPr="00873004">
        <w:rPr>
          <w:rFonts w:ascii="Arial" w:hAnsi="Arial" w:cs="Arial"/>
          <w:color w:val="000000"/>
        </w:rPr>
        <w:t xml:space="preserve">may be </w:t>
      </w:r>
      <w:r w:rsidR="00ED2798" w:rsidRPr="00873004">
        <w:rPr>
          <w:rFonts w:ascii="Arial" w:hAnsi="Arial" w:cs="Arial"/>
          <w:color w:val="000000"/>
        </w:rPr>
        <w:t>t</w:t>
      </w:r>
      <w:r w:rsidRPr="0011787F">
        <w:rPr>
          <w:rFonts w:ascii="Arial" w:hAnsi="Arial" w:cs="Arial"/>
          <w:color w:val="000000"/>
        </w:rPr>
        <w:t>he inability of current first line efavirenz</w:t>
      </w:r>
      <w:r w:rsidRPr="007F60EE">
        <w:rPr>
          <w:rFonts w:ascii="Arial" w:hAnsi="Arial" w:cs="Arial"/>
          <w:color w:val="000000"/>
        </w:rPr>
        <w:t xml:space="preserve">-based </w:t>
      </w:r>
      <w:r w:rsidR="001A3165">
        <w:rPr>
          <w:rFonts w:ascii="Arial" w:hAnsi="Arial" w:cs="Arial"/>
          <w:color w:val="000000"/>
        </w:rPr>
        <w:t>therapy</w:t>
      </w:r>
      <w:r w:rsidR="001A3165" w:rsidRPr="007F60EE">
        <w:rPr>
          <w:rFonts w:ascii="Arial" w:hAnsi="Arial" w:cs="Arial"/>
          <w:color w:val="000000"/>
        </w:rPr>
        <w:t xml:space="preserve"> </w:t>
      </w:r>
      <w:r w:rsidRPr="007F60EE">
        <w:rPr>
          <w:rFonts w:ascii="Arial" w:hAnsi="Arial" w:cs="Arial"/>
          <w:color w:val="000000"/>
        </w:rPr>
        <w:t xml:space="preserve">to suppress HIV viral load </w:t>
      </w:r>
      <w:r w:rsidR="00A22ADC" w:rsidRPr="007F60EE">
        <w:rPr>
          <w:rFonts w:ascii="Arial" w:hAnsi="Arial" w:cs="Arial"/>
          <w:color w:val="000000"/>
        </w:rPr>
        <w:t xml:space="preserve">by </w:t>
      </w:r>
      <w:proofErr w:type="spellStart"/>
      <w:r w:rsidR="00D940FA" w:rsidRPr="007F60EE">
        <w:rPr>
          <w:rFonts w:ascii="Arial" w:hAnsi="Arial" w:cs="Arial"/>
          <w:color w:val="000000"/>
        </w:rPr>
        <w:t>labour</w:t>
      </w:r>
      <w:proofErr w:type="spellEnd"/>
      <w:r w:rsidR="00D940FA" w:rsidRPr="007F60EE">
        <w:rPr>
          <w:rFonts w:ascii="Arial" w:hAnsi="Arial" w:cs="Arial"/>
          <w:color w:val="000000"/>
        </w:rPr>
        <w:t xml:space="preserve"> and</w:t>
      </w:r>
      <w:r w:rsidR="00A22ADC" w:rsidRPr="007F60EE">
        <w:rPr>
          <w:rFonts w:ascii="Arial" w:hAnsi="Arial" w:cs="Arial"/>
          <w:color w:val="000000"/>
        </w:rPr>
        <w:t xml:space="preserve"> delivery, </w:t>
      </w:r>
      <w:r w:rsidR="00D940FA" w:rsidRPr="007F60EE">
        <w:rPr>
          <w:rFonts w:ascii="Arial" w:hAnsi="Arial" w:cs="Arial"/>
          <w:color w:val="000000"/>
        </w:rPr>
        <w:t>a time</w:t>
      </w:r>
      <w:r w:rsidR="00D940FA">
        <w:rPr>
          <w:rFonts w:ascii="Arial" w:hAnsi="Arial" w:cs="Arial"/>
          <w:color w:val="000000"/>
        </w:rPr>
        <w:t xml:space="preserve"> when </w:t>
      </w:r>
      <w:r w:rsidR="00ED2798">
        <w:rPr>
          <w:rFonts w:ascii="Arial" w:hAnsi="Arial" w:cs="Arial"/>
          <w:color w:val="000000"/>
        </w:rPr>
        <w:t>transmission risk is highest</w:t>
      </w:r>
      <w:r w:rsidRPr="00104214">
        <w:rPr>
          <w:rFonts w:ascii="Arial" w:hAnsi="Arial" w:cs="Arial"/>
          <w:color w:val="000000"/>
        </w:rPr>
        <w:t>. The integrase inhibitor dolutegravir</w:t>
      </w:r>
      <w:r w:rsidR="000E4127">
        <w:rPr>
          <w:rFonts w:ascii="Arial" w:hAnsi="Arial" w:cs="Arial"/>
          <w:color w:val="000000"/>
        </w:rPr>
        <w:t xml:space="preserve"> </w:t>
      </w:r>
      <w:r w:rsidR="00315074">
        <w:rPr>
          <w:rFonts w:ascii="Arial" w:hAnsi="Arial" w:cs="Arial"/>
          <w:color w:val="000000"/>
        </w:rPr>
        <w:t>reduces</w:t>
      </w:r>
      <w:r w:rsidRPr="00104214">
        <w:rPr>
          <w:rFonts w:ascii="Arial" w:hAnsi="Arial" w:cs="Arial"/>
          <w:color w:val="000000"/>
        </w:rPr>
        <w:t xml:space="preserve"> HIV viral load</w:t>
      </w:r>
      <w:r w:rsidR="00315074">
        <w:rPr>
          <w:rFonts w:ascii="Arial" w:hAnsi="Arial" w:cs="Arial"/>
          <w:color w:val="000000"/>
        </w:rPr>
        <w:t xml:space="preserve"> rapidly to </w:t>
      </w:r>
      <w:r w:rsidR="00315074" w:rsidRPr="00104214">
        <w:rPr>
          <w:rFonts w:ascii="Arial" w:hAnsi="Arial" w:cs="Arial"/>
          <w:color w:val="000000"/>
        </w:rPr>
        <w:t xml:space="preserve">&lt;50 </w:t>
      </w:r>
      <w:r w:rsidR="00147F88">
        <w:rPr>
          <w:rFonts w:ascii="Arial" w:hAnsi="Arial" w:cs="Arial"/>
          <w:color w:val="000000"/>
        </w:rPr>
        <w:t>copies per mL</w:t>
      </w:r>
      <w:r w:rsidR="00315074">
        <w:rPr>
          <w:rFonts w:ascii="Arial" w:hAnsi="Arial" w:cs="Arial"/>
          <w:color w:val="000000"/>
        </w:rPr>
        <w:t xml:space="preserve"> after</w:t>
      </w:r>
      <w:r w:rsidRPr="00104214">
        <w:rPr>
          <w:rFonts w:ascii="Arial" w:hAnsi="Arial" w:cs="Arial"/>
          <w:color w:val="000000"/>
        </w:rPr>
        <w:t xml:space="preserve"> a median of 28 days in non-pregnant adults compared with 84 days for efavirenz</w:t>
      </w:r>
      <w:r w:rsidR="00BC4784" w:rsidRPr="006D7CBA">
        <w:rPr>
          <w:rFonts w:ascii="Arial" w:hAnsi="Arial" w:cs="Arial"/>
          <w:color w:val="000000"/>
          <w:vertAlign w:val="superscript"/>
        </w:rPr>
        <w:t>4</w:t>
      </w:r>
      <w:r w:rsidR="005C0FA6">
        <w:rPr>
          <w:rFonts w:ascii="Arial" w:hAnsi="Arial" w:cs="Arial"/>
          <w:color w:val="000000"/>
        </w:rPr>
        <w:t xml:space="preserve">. </w:t>
      </w:r>
      <w:r w:rsidR="002229C4">
        <w:rPr>
          <w:rFonts w:ascii="Arial" w:hAnsi="Arial" w:cs="Arial"/>
          <w:color w:val="000000"/>
        </w:rPr>
        <w:t>Dolutegravir</w:t>
      </w:r>
      <w:r w:rsidR="005C0FA6">
        <w:rPr>
          <w:rFonts w:ascii="Arial" w:hAnsi="Arial" w:cs="Arial"/>
          <w:color w:val="000000"/>
        </w:rPr>
        <w:t xml:space="preserve"> may c</w:t>
      </w:r>
      <w:r w:rsidR="000E4127">
        <w:rPr>
          <w:rFonts w:ascii="Arial" w:hAnsi="Arial" w:cs="Arial"/>
          <w:color w:val="000000"/>
        </w:rPr>
        <w:t>onsequently have</w:t>
      </w:r>
      <w:r w:rsidR="003B0C3A">
        <w:rPr>
          <w:rFonts w:ascii="Arial" w:hAnsi="Arial" w:cs="Arial"/>
        </w:rPr>
        <w:t xml:space="preserve"> special value </w:t>
      </w:r>
      <w:r w:rsidR="00447E59">
        <w:rPr>
          <w:rFonts w:ascii="Arial" w:hAnsi="Arial" w:cs="Arial"/>
          <w:color w:val="000000"/>
        </w:rPr>
        <w:t>for women presenting late in pregnancy</w:t>
      </w:r>
      <w:r w:rsidR="005C0FA6">
        <w:rPr>
          <w:rFonts w:ascii="Arial" w:hAnsi="Arial" w:cs="Arial"/>
          <w:color w:val="000000"/>
        </w:rPr>
        <w:t>, however safety and efficacy data are lacking</w:t>
      </w:r>
      <w:r w:rsidRPr="00104214">
        <w:rPr>
          <w:rFonts w:ascii="Arial" w:hAnsi="Arial" w:cs="Arial"/>
          <w:color w:val="000000"/>
        </w:rPr>
        <w:t xml:space="preserve">.  </w:t>
      </w:r>
    </w:p>
    <w:p w14:paraId="17D49371" w14:textId="77777777" w:rsidR="006627BD" w:rsidRDefault="006627BD" w:rsidP="001A3165">
      <w:pPr>
        <w:spacing w:line="360" w:lineRule="auto"/>
        <w:jc w:val="both"/>
        <w:rPr>
          <w:rFonts w:ascii="Arial" w:hAnsi="Arial" w:cs="Arial"/>
          <w:color w:val="000000"/>
        </w:rPr>
      </w:pPr>
    </w:p>
    <w:p w14:paraId="7597168F" w14:textId="3AD9AD15" w:rsidR="00C138C3" w:rsidRPr="00104214" w:rsidRDefault="005C0FA6" w:rsidP="001A3165">
      <w:pPr>
        <w:spacing w:line="360" w:lineRule="auto"/>
        <w:jc w:val="both"/>
        <w:rPr>
          <w:rFonts w:ascii="Arial" w:hAnsi="Arial" w:cs="Arial"/>
          <w:color w:val="000000"/>
        </w:rPr>
      </w:pPr>
      <w:r>
        <w:rPr>
          <w:rFonts w:ascii="Arial" w:hAnsi="Arial" w:cs="Arial"/>
          <w:color w:val="000000"/>
        </w:rPr>
        <w:t>In order</w:t>
      </w:r>
      <w:r w:rsidR="002D5A81">
        <w:rPr>
          <w:rFonts w:ascii="Arial" w:hAnsi="Arial" w:cs="Arial"/>
        </w:rPr>
        <w:t xml:space="preserve"> to evaluate if t</w:t>
      </w:r>
      <w:r w:rsidR="009A09D2">
        <w:rPr>
          <w:rFonts w:ascii="Arial" w:hAnsi="Arial" w:cs="Arial"/>
        </w:rPr>
        <w:t xml:space="preserve">he rapid </w:t>
      </w:r>
      <w:proofErr w:type="spellStart"/>
      <w:r w:rsidR="009A09D2">
        <w:rPr>
          <w:rFonts w:ascii="Arial" w:hAnsi="Arial" w:cs="Arial"/>
        </w:rPr>
        <w:t>virological</w:t>
      </w:r>
      <w:proofErr w:type="spellEnd"/>
      <w:r w:rsidR="009A09D2">
        <w:rPr>
          <w:rFonts w:ascii="Arial" w:hAnsi="Arial" w:cs="Arial"/>
        </w:rPr>
        <w:t xml:space="preserve"> decline</w:t>
      </w:r>
      <w:r w:rsidR="009B0AEC">
        <w:rPr>
          <w:rFonts w:ascii="Arial" w:hAnsi="Arial" w:cs="Arial"/>
        </w:rPr>
        <w:t xml:space="preserve">, </w:t>
      </w:r>
      <w:r w:rsidR="00662453">
        <w:rPr>
          <w:rFonts w:ascii="Arial" w:hAnsi="Arial" w:cs="Arial"/>
        </w:rPr>
        <w:t>tolerability</w:t>
      </w:r>
      <w:r w:rsidR="009B0AEC">
        <w:rPr>
          <w:rFonts w:ascii="Arial" w:hAnsi="Arial" w:cs="Arial"/>
        </w:rPr>
        <w:t xml:space="preserve"> and high HIV resistance barrier</w:t>
      </w:r>
      <w:r w:rsidR="009A09D2">
        <w:rPr>
          <w:rFonts w:ascii="Arial" w:hAnsi="Arial" w:cs="Arial"/>
        </w:rPr>
        <w:t xml:space="preserve"> </w:t>
      </w:r>
      <w:r w:rsidR="00BE1DFC">
        <w:rPr>
          <w:rFonts w:ascii="Arial" w:hAnsi="Arial" w:cs="Arial"/>
        </w:rPr>
        <w:t>of dolutegravir containing regimens</w:t>
      </w:r>
      <w:r w:rsidR="00BC4784" w:rsidRPr="006D7CBA">
        <w:rPr>
          <w:rFonts w:ascii="Arial" w:hAnsi="Arial" w:cs="Arial"/>
          <w:vertAlign w:val="superscript"/>
        </w:rPr>
        <w:t>4</w:t>
      </w:r>
      <w:r w:rsidR="00BE1DFC">
        <w:rPr>
          <w:rFonts w:ascii="Arial" w:hAnsi="Arial" w:cs="Arial"/>
        </w:rPr>
        <w:t xml:space="preserve"> </w:t>
      </w:r>
      <w:r w:rsidR="00165479">
        <w:rPr>
          <w:rFonts w:ascii="Arial" w:hAnsi="Arial" w:cs="Arial"/>
        </w:rPr>
        <w:t>conferred additional benefits</w:t>
      </w:r>
      <w:r w:rsidR="009B0AEC">
        <w:rPr>
          <w:rFonts w:ascii="Arial" w:hAnsi="Arial" w:cs="Arial"/>
        </w:rPr>
        <w:t xml:space="preserve"> to HIV</w:t>
      </w:r>
      <w:r w:rsidR="002D5A81">
        <w:rPr>
          <w:rFonts w:ascii="Arial" w:hAnsi="Arial" w:cs="Arial"/>
        </w:rPr>
        <w:t>-</w:t>
      </w:r>
      <w:r w:rsidR="009B0AEC">
        <w:rPr>
          <w:rFonts w:ascii="Arial" w:hAnsi="Arial" w:cs="Arial"/>
        </w:rPr>
        <w:t xml:space="preserve">positive </w:t>
      </w:r>
      <w:r w:rsidR="002D5A81">
        <w:rPr>
          <w:rFonts w:ascii="Arial" w:hAnsi="Arial" w:cs="Arial"/>
        </w:rPr>
        <w:t>women initiating</w:t>
      </w:r>
      <w:r w:rsidR="009B0AEC">
        <w:rPr>
          <w:rFonts w:ascii="Arial" w:hAnsi="Arial" w:cs="Arial"/>
        </w:rPr>
        <w:t xml:space="preserve"> </w:t>
      </w:r>
      <w:r w:rsidR="002D5A81">
        <w:rPr>
          <w:rFonts w:ascii="Arial" w:hAnsi="Arial" w:cs="Arial"/>
        </w:rPr>
        <w:t>treatment in late pregnancy</w:t>
      </w:r>
      <w:r>
        <w:rPr>
          <w:rFonts w:ascii="Arial" w:hAnsi="Arial" w:cs="Arial"/>
        </w:rPr>
        <w:t>, w</w:t>
      </w:r>
      <w:r w:rsidR="002D5A81">
        <w:rPr>
          <w:rFonts w:ascii="Arial" w:hAnsi="Arial" w:cs="Arial"/>
          <w:color w:val="000000"/>
        </w:rPr>
        <w:t>e undertook</w:t>
      </w:r>
      <w:r w:rsidR="00C138C3" w:rsidRPr="00104214">
        <w:rPr>
          <w:rFonts w:ascii="Arial" w:hAnsi="Arial" w:cs="Arial"/>
          <w:color w:val="000000"/>
        </w:rPr>
        <w:t xml:space="preserve"> </w:t>
      </w:r>
      <w:r>
        <w:rPr>
          <w:rFonts w:ascii="Arial" w:hAnsi="Arial" w:cs="Arial"/>
          <w:color w:val="000000"/>
        </w:rPr>
        <w:t xml:space="preserve">a </w:t>
      </w:r>
      <w:r w:rsidR="00267B2F">
        <w:rPr>
          <w:rFonts w:ascii="Arial" w:hAnsi="Arial" w:cs="Arial"/>
          <w:color w:val="000000"/>
        </w:rPr>
        <w:t xml:space="preserve">randomized </w:t>
      </w:r>
      <w:r>
        <w:rPr>
          <w:rFonts w:ascii="Arial" w:hAnsi="Arial" w:cs="Arial"/>
          <w:color w:val="000000"/>
        </w:rPr>
        <w:t>trial</w:t>
      </w:r>
      <w:r w:rsidRPr="00104214">
        <w:rPr>
          <w:rFonts w:ascii="Arial" w:hAnsi="Arial" w:cs="Arial"/>
          <w:color w:val="000000"/>
        </w:rPr>
        <w:t xml:space="preserve"> </w:t>
      </w:r>
      <w:r w:rsidR="00C138C3" w:rsidRPr="00104214">
        <w:rPr>
          <w:rFonts w:ascii="Arial" w:hAnsi="Arial" w:cs="Arial"/>
          <w:color w:val="000000"/>
        </w:rPr>
        <w:t>compar</w:t>
      </w:r>
      <w:r>
        <w:rPr>
          <w:rFonts w:ascii="Arial" w:hAnsi="Arial" w:cs="Arial"/>
          <w:color w:val="000000"/>
        </w:rPr>
        <w:t>ing</w:t>
      </w:r>
      <w:r w:rsidR="00C138C3" w:rsidRPr="00104214">
        <w:rPr>
          <w:rFonts w:ascii="Arial" w:hAnsi="Arial" w:cs="Arial"/>
          <w:color w:val="000000"/>
        </w:rPr>
        <w:t xml:space="preserve"> dolutegravir </w:t>
      </w:r>
      <w:r>
        <w:rPr>
          <w:rFonts w:ascii="Arial" w:hAnsi="Arial" w:cs="Arial"/>
          <w:color w:val="000000"/>
        </w:rPr>
        <w:t xml:space="preserve">with </w:t>
      </w:r>
      <w:r w:rsidR="00C138C3" w:rsidRPr="00104214">
        <w:rPr>
          <w:rFonts w:ascii="Arial" w:hAnsi="Arial" w:cs="Arial"/>
          <w:color w:val="000000"/>
        </w:rPr>
        <w:t xml:space="preserve">efavirenz-based </w:t>
      </w:r>
      <w:r w:rsidR="001A3165">
        <w:rPr>
          <w:rFonts w:ascii="Arial" w:hAnsi="Arial" w:cs="Arial"/>
          <w:color w:val="000000"/>
        </w:rPr>
        <w:t>therapy</w:t>
      </w:r>
      <w:r w:rsidR="001A3165" w:rsidRPr="00104214">
        <w:rPr>
          <w:rFonts w:ascii="Arial" w:hAnsi="Arial" w:cs="Arial"/>
          <w:color w:val="000000"/>
        </w:rPr>
        <w:t xml:space="preserve"> </w:t>
      </w:r>
      <w:r w:rsidR="00C138C3" w:rsidRPr="00104214">
        <w:rPr>
          <w:rFonts w:ascii="Arial" w:hAnsi="Arial" w:cs="Arial"/>
          <w:color w:val="000000"/>
        </w:rPr>
        <w:t>in HIV-positive pregnant women initiat</w:t>
      </w:r>
      <w:r>
        <w:rPr>
          <w:rFonts w:ascii="Arial" w:hAnsi="Arial" w:cs="Arial"/>
          <w:color w:val="000000"/>
        </w:rPr>
        <w:t>ing</w:t>
      </w:r>
      <w:r w:rsidR="00C138C3" w:rsidRPr="00104214">
        <w:rPr>
          <w:rFonts w:ascii="Arial" w:hAnsi="Arial" w:cs="Arial"/>
          <w:color w:val="000000"/>
        </w:rPr>
        <w:t xml:space="preserve"> </w:t>
      </w:r>
      <w:r w:rsidR="00315074">
        <w:rPr>
          <w:rFonts w:ascii="Arial" w:hAnsi="Arial" w:cs="Arial"/>
          <w:color w:val="000000"/>
        </w:rPr>
        <w:t>treatment</w:t>
      </w:r>
      <w:r w:rsidR="00315074" w:rsidRPr="00104214">
        <w:rPr>
          <w:rFonts w:ascii="Arial" w:hAnsi="Arial" w:cs="Arial"/>
          <w:color w:val="000000"/>
        </w:rPr>
        <w:t xml:space="preserve"> </w:t>
      </w:r>
      <w:r w:rsidR="00C138C3" w:rsidRPr="00104214">
        <w:rPr>
          <w:rFonts w:ascii="Arial" w:hAnsi="Arial" w:cs="Arial"/>
          <w:color w:val="000000"/>
        </w:rPr>
        <w:t xml:space="preserve">in their third trimester of pregnancy in </w:t>
      </w:r>
      <w:r w:rsidR="007012AD">
        <w:rPr>
          <w:rFonts w:ascii="Arial" w:hAnsi="Arial" w:cs="Arial"/>
          <w:color w:val="000000"/>
        </w:rPr>
        <w:t>South</w:t>
      </w:r>
      <w:r w:rsidR="007012AD" w:rsidRPr="00104214">
        <w:rPr>
          <w:rFonts w:ascii="Arial" w:hAnsi="Arial" w:cs="Arial"/>
          <w:color w:val="000000"/>
        </w:rPr>
        <w:t xml:space="preserve"> Africa</w:t>
      </w:r>
      <w:r w:rsidR="007012AD">
        <w:rPr>
          <w:rFonts w:ascii="Arial" w:hAnsi="Arial" w:cs="Arial"/>
          <w:color w:val="000000"/>
        </w:rPr>
        <w:t xml:space="preserve"> </w:t>
      </w:r>
      <w:r>
        <w:rPr>
          <w:rFonts w:ascii="Arial" w:hAnsi="Arial" w:cs="Arial"/>
          <w:color w:val="000000"/>
        </w:rPr>
        <w:t>and</w:t>
      </w:r>
      <w:r w:rsidR="007012AD">
        <w:rPr>
          <w:rFonts w:ascii="Arial" w:hAnsi="Arial" w:cs="Arial"/>
          <w:color w:val="000000"/>
        </w:rPr>
        <w:t xml:space="preserve"> Uganda</w:t>
      </w:r>
      <w:r w:rsidR="007012AD" w:rsidDel="007012AD">
        <w:rPr>
          <w:rFonts w:ascii="Arial" w:hAnsi="Arial" w:cs="Arial"/>
          <w:color w:val="000000"/>
        </w:rPr>
        <w:t xml:space="preserve"> </w:t>
      </w:r>
      <w:r w:rsidR="00C138C3" w:rsidRPr="00104214">
        <w:rPr>
          <w:rFonts w:ascii="Arial" w:hAnsi="Arial" w:cs="Arial"/>
          <w:color w:val="000000"/>
        </w:rPr>
        <w:t>.</w:t>
      </w:r>
    </w:p>
    <w:p w14:paraId="3BA7E87F" w14:textId="5610CE29" w:rsidR="00814D2D" w:rsidRDefault="00814D2D">
      <w:pPr>
        <w:spacing w:after="160" w:line="259" w:lineRule="auto"/>
        <w:rPr>
          <w:rFonts w:ascii="Arial" w:hAnsi="Arial" w:cs="Arial"/>
          <w:color w:val="000000"/>
        </w:rPr>
      </w:pPr>
      <w:r>
        <w:rPr>
          <w:rFonts w:ascii="Arial" w:hAnsi="Arial" w:cs="Arial"/>
          <w:color w:val="000000"/>
        </w:rPr>
        <w:br w:type="page"/>
      </w:r>
    </w:p>
    <w:p w14:paraId="40496CD4" w14:textId="2989CD67" w:rsidR="00C138C3" w:rsidRPr="00DF52BA" w:rsidRDefault="00C138C3" w:rsidP="00A67253">
      <w:pPr>
        <w:spacing w:line="360" w:lineRule="auto"/>
        <w:jc w:val="both"/>
        <w:rPr>
          <w:rFonts w:ascii="Arial" w:hAnsi="Arial" w:cs="Arial"/>
          <w:b/>
          <w:color w:val="000000"/>
        </w:rPr>
      </w:pPr>
      <w:r w:rsidRPr="00DF52BA">
        <w:rPr>
          <w:rFonts w:ascii="Arial" w:hAnsi="Arial" w:cs="Arial"/>
          <w:b/>
          <w:color w:val="000000"/>
        </w:rPr>
        <w:lastRenderedPageBreak/>
        <w:t>Methods</w:t>
      </w:r>
    </w:p>
    <w:p w14:paraId="475AE27A" w14:textId="77777777" w:rsidR="00104214" w:rsidRDefault="00104214" w:rsidP="00A67253">
      <w:pPr>
        <w:spacing w:line="360" w:lineRule="auto"/>
        <w:jc w:val="both"/>
        <w:rPr>
          <w:rFonts w:ascii="Arial" w:hAnsi="Arial" w:cs="Arial"/>
          <w:color w:val="000000"/>
        </w:rPr>
      </w:pPr>
    </w:p>
    <w:p w14:paraId="7654E0E2" w14:textId="1728395C" w:rsidR="00ED2AF6" w:rsidRPr="003D6946" w:rsidRDefault="00ED2AF6" w:rsidP="00A67253">
      <w:pPr>
        <w:spacing w:line="360" w:lineRule="auto"/>
        <w:jc w:val="both"/>
        <w:rPr>
          <w:rFonts w:ascii="Arial" w:hAnsi="Arial" w:cs="Arial"/>
          <w:b/>
          <w:color w:val="000000"/>
        </w:rPr>
      </w:pPr>
      <w:r w:rsidRPr="003D6946">
        <w:rPr>
          <w:rFonts w:ascii="Arial" w:hAnsi="Arial" w:cs="Arial"/>
          <w:b/>
          <w:color w:val="000000"/>
        </w:rPr>
        <w:t xml:space="preserve">Study </w:t>
      </w:r>
      <w:r w:rsidR="003F7EFA" w:rsidRPr="003D6946">
        <w:rPr>
          <w:rFonts w:ascii="Arial" w:hAnsi="Arial" w:cs="Arial"/>
          <w:b/>
          <w:color w:val="000000"/>
        </w:rPr>
        <w:t>Design</w:t>
      </w:r>
      <w:r w:rsidRPr="003D6946">
        <w:rPr>
          <w:rFonts w:ascii="Arial" w:hAnsi="Arial" w:cs="Arial"/>
          <w:b/>
          <w:color w:val="000000"/>
        </w:rPr>
        <w:t>:</w:t>
      </w:r>
    </w:p>
    <w:p w14:paraId="124A05DB" w14:textId="4BD1C3F0" w:rsidR="00484696" w:rsidRDefault="00484696" w:rsidP="00A67253">
      <w:pPr>
        <w:spacing w:line="360" w:lineRule="auto"/>
        <w:jc w:val="both"/>
        <w:rPr>
          <w:rFonts w:ascii="Arial" w:hAnsi="Arial" w:cs="Arial"/>
          <w:color w:val="000000"/>
        </w:rPr>
      </w:pPr>
      <w:r w:rsidRPr="00104214">
        <w:rPr>
          <w:rFonts w:ascii="Arial" w:hAnsi="Arial" w:cs="Arial"/>
          <w:color w:val="000000"/>
        </w:rPr>
        <w:t>DolPHIN-2 (NCT03249181) is a</w:t>
      </w:r>
      <w:r w:rsidR="00304828">
        <w:rPr>
          <w:rFonts w:ascii="Arial" w:hAnsi="Arial" w:cs="Arial"/>
          <w:color w:val="000000"/>
        </w:rPr>
        <w:t xml:space="preserve"> </w:t>
      </w:r>
      <w:proofErr w:type="spellStart"/>
      <w:r w:rsidR="00304828">
        <w:rPr>
          <w:rFonts w:ascii="Arial" w:hAnsi="Arial" w:cs="Arial"/>
          <w:color w:val="000000"/>
        </w:rPr>
        <w:t>randomised</w:t>
      </w:r>
      <w:proofErr w:type="spellEnd"/>
      <w:r w:rsidRPr="00104214">
        <w:rPr>
          <w:rFonts w:ascii="Arial" w:hAnsi="Arial" w:cs="Arial"/>
          <w:color w:val="000000"/>
        </w:rPr>
        <w:t xml:space="preserve"> open-label trial in pregnant mothers initiating </w:t>
      </w:r>
      <w:r w:rsidR="001A3165" w:rsidRPr="00BC4784">
        <w:rPr>
          <w:rFonts w:ascii="Arial" w:hAnsi="Arial" w:cs="Arial"/>
        </w:rPr>
        <w:t xml:space="preserve">antiretroviral therapy </w:t>
      </w:r>
      <w:r w:rsidRPr="00104214">
        <w:rPr>
          <w:rFonts w:ascii="Arial" w:hAnsi="Arial" w:cs="Arial"/>
          <w:color w:val="000000"/>
        </w:rPr>
        <w:t>in the third trimester</w:t>
      </w:r>
      <w:r w:rsidR="00976090">
        <w:rPr>
          <w:rFonts w:ascii="Arial" w:hAnsi="Arial" w:cs="Arial"/>
          <w:color w:val="000000"/>
        </w:rPr>
        <w:t xml:space="preserve"> of pregnancy</w:t>
      </w:r>
      <w:r w:rsidRPr="00104214">
        <w:rPr>
          <w:rFonts w:ascii="Arial" w:hAnsi="Arial" w:cs="Arial"/>
          <w:color w:val="000000"/>
        </w:rPr>
        <w:t xml:space="preserve">. </w:t>
      </w:r>
      <w:r w:rsidR="00976090">
        <w:rPr>
          <w:rFonts w:ascii="Arial" w:hAnsi="Arial" w:cs="Arial"/>
          <w:color w:val="000000"/>
        </w:rPr>
        <w:t xml:space="preserve">Eligible participants were enrolled in South Africa and Uganda. In Cape Town, participants were enrolled </w:t>
      </w:r>
      <w:r w:rsidR="00976090" w:rsidRPr="00DE791F">
        <w:rPr>
          <w:rFonts w:ascii="Arial" w:hAnsi="Arial" w:cs="Arial"/>
          <w:color w:val="000000"/>
        </w:rPr>
        <w:t xml:space="preserve">at </w:t>
      </w:r>
      <w:proofErr w:type="spellStart"/>
      <w:r w:rsidR="00976090" w:rsidRPr="00DD1EBA">
        <w:rPr>
          <w:rFonts w:ascii="Arial" w:hAnsi="Arial" w:cs="Arial"/>
          <w:color w:val="000000"/>
        </w:rPr>
        <w:t>Gugulethu</w:t>
      </w:r>
      <w:proofErr w:type="spellEnd"/>
      <w:r w:rsidR="00976090" w:rsidRPr="00DD1EBA">
        <w:rPr>
          <w:rFonts w:ascii="Arial" w:hAnsi="Arial" w:cs="Arial"/>
          <w:color w:val="000000"/>
        </w:rPr>
        <w:t xml:space="preserve"> Community Health Centre, following recruitment from 8 primary antenatal facilities in the surrounding area. In Kampala, participants were enrolled at the Infectious Diseases Institute, following recruitment at Kawempe Hospital (a tertiary obstetric referral unit) or 8 primary antenatal facilities throughout Kampala and Wakiso District.</w:t>
      </w:r>
      <w:r w:rsidR="00976090">
        <w:rPr>
          <w:rFonts w:ascii="Arial" w:hAnsi="Arial" w:cs="Arial"/>
          <w:color w:val="000000"/>
        </w:rPr>
        <w:t xml:space="preserve"> All participants were </w:t>
      </w:r>
      <w:proofErr w:type="spellStart"/>
      <w:r w:rsidR="00976090">
        <w:rPr>
          <w:rFonts w:ascii="Arial" w:hAnsi="Arial" w:cs="Arial"/>
          <w:color w:val="000000"/>
        </w:rPr>
        <w:t>randomised</w:t>
      </w:r>
      <w:proofErr w:type="spellEnd"/>
      <w:r w:rsidR="00976090" w:rsidRPr="00104214">
        <w:rPr>
          <w:rFonts w:ascii="Arial" w:hAnsi="Arial" w:cs="Arial"/>
          <w:color w:val="000000"/>
        </w:rPr>
        <w:t xml:space="preserve"> 1:1 to receive efavirenz versus dolutegravir</w:t>
      </w:r>
      <w:r w:rsidR="00976090">
        <w:rPr>
          <w:rFonts w:ascii="Arial" w:hAnsi="Arial" w:cs="Arial"/>
          <w:color w:val="000000"/>
        </w:rPr>
        <w:t>-based regimens</w:t>
      </w:r>
      <w:r w:rsidR="00976090">
        <w:rPr>
          <w:rFonts w:ascii="Arial" w:hAnsi="Arial" w:cs="Arial"/>
          <w:color w:val="000000"/>
        </w:rPr>
        <w:t xml:space="preserve">. </w:t>
      </w:r>
      <w:r w:rsidRPr="00104214">
        <w:rPr>
          <w:rFonts w:ascii="Arial" w:hAnsi="Arial" w:cs="Arial"/>
          <w:color w:val="000000"/>
        </w:rPr>
        <w:t xml:space="preserve">The primary efficacy </w:t>
      </w:r>
      <w:r w:rsidR="00E274FF">
        <w:rPr>
          <w:rFonts w:ascii="Arial" w:hAnsi="Arial" w:cs="Arial"/>
          <w:color w:val="000000"/>
        </w:rPr>
        <w:t>outcome</w:t>
      </w:r>
      <w:r w:rsidR="00E274FF" w:rsidRPr="00104214">
        <w:rPr>
          <w:rFonts w:ascii="Arial" w:hAnsi="Arial" w:cs="Arial"/>
          <w:color w:val="000000"/>
        </w:rPr>
        <w:t xml:space="preserve"> </w:t>
      </w:r>
      <w:r w:rsidRPr="00104214">
        <w:rPr>
          <w:rFonts w:ascii="Arial" w:hAnsi="Arial" w:cs="Arial"/>
          <w:color w:val="000000"/>
        </w:rPr>
        <w:t xml:space="preserve">was HIV viral load &lt;50 </w:t>
      </w:r>
      <w:r w:rsidR="00147F88">
        <w:rPr>
          <w:rFonts w:ascii="Arial" w:hAnsi="Arial" w:cs="Arial"/>
          <w:color w:val="000000"/>
        </w:rPr>
        <w:t>copies per mL</w:t>
      </w:r>
      <w:r w:rsidRPr="00104214">
        <w:rPr>
          <w:rFonts w:ascii="Arial" w:hAnsi="Arial" w:cs="Arial"/>
          <w:color w:val="000000"/>
        </w:rPr>
        <w:t xml:space="preserve"> at delivery, and the primary safety </w:t>
      </w:r>
      <w:r w:rsidR="00E274FF">
        <w:rPr>
          <w:rFonts w:ascii="Arial" w:hAnsi="Arial" w:cs="Arial"/>
          <w:color w:val="000000"/>
        </w:rPr>
        <w:t>outcome</w:t>
      </w:r>
      <w:r w:rsidR="00E274FF" w:rsidRPr="00104214">
        <w:rPr>
          <w:rFonts w:ascii="Arial" w:hAnsi="Arial" w:cs="Arial"/>
          <w:color w:val="000000"/>
        </w:rPr>
        <w:t xml:space="preserve"> </w:t>
      </w:r>
      <w:r w:rsidRPr="00104214">
        <w:rPr>
          <w:rFonts w:ascii="Arial" w:hAnsi="Arial" w:cs="Arial"/>
          <w:color w:val="000000"/>
        </w:rPr>
        <w:t xml:space="preserve">was frequency of drug-related adverse events. Secondary </w:t>
      </w:r>
      <w:r w:rsidR="00E274FF">
        <w:rPr>
          <w:rFonts w:ascii="Arial" w:hAnsi="Arial" w:cs="Arial"/>
          <w:color w:val="000000"/>
        </w:rPr>
        <w:t>outcomes</w:t>
      </w:r>
      <w:r w:rsidR="00E274FF" w:rsidRPr="00104214">
        <w:rPr>
          <w:rFonts w:ascii="Arial" w:hAnsi="Arial" w:cs="Arial"/>
          <w:color w:val="000000"/>
        </w:rPr>
        <w:t xml:space="preserve"> </w:t>
      </w:r>
      <w:r w:rsidRPr="00104214">
        <w:rPr>
          <w:rFonts w:ascii="Arial" w:hAnsi="Arial" w:cs="Arial"/>
          <w:color w:val="000000"/>
        </w:rPr>
        <w:t xml:space="preserve">included viral load &lt;1000 </w:t>
      </w:r>
      <w:r w:rsidR="00147F88">
        <w:rPr>
          <w:rFonts w:ascii="Arial" w:hAnsi="Arial" w:cs="Arial"/>
          <w:color w:val="000000"/>
        </w:rPr>
        <w:t>copies per mL</w:t>
      </w:r>
      <w:r w:rsidRPr="00104214">
        <w:rPr>
          <w:rFonts w:ascii="Arial" w:hAnsi="Arial" w:cs="Arial"/>
          <w:color w:val="000000"/>
        </w:rPr>
        <w:t xml:space="preserve"> at delivery, occurrence of MTCT, </w:t>
      </w:r>
      <w:r w:rsidR="00710FAC">
        <w:rPr>
          <w:rFonts w:ascii="Arial" w:hAnsi="Arial" w:cs="Arial"/>
          <w:color w:val="000000"/>
        </w:rPr>
        <w:t xml:space="preserve">and </w:t>
      </w:r>
      <w:r w:rsidRPr="00104214">
        <w:rPr>
          <w:rFonts w:ascii="Arial" w:hAnsi="Arial" w:cs="Arial"/>
          <w:color w:val="000000"/>
        </w:rPr>
        <w:t xml:space="preserve">safety and tolerability of </w:t>
      </w:r>
      <w:r w:rsidR="002229C4">
        <w:rPr>
          <w:rFonts w:ascii="Arial" w:hAnsi="Arial" w:cs="Arial"/>
          <w:color w:val="000000"/>
        </w:rPr>
        <w:t>dolutegravir</w:t>
      </w:r>
      <w:r w:rsidRPr="00104214">
        <w:rPr>
          <w:rFonts w:ascii="Arial" w:hAnsi="Arial" w:cs="Arial"/>
          <w:color w:val="000000"/>
        </w:rPr>
        <w:t xml:space="preserve"> in mothers and breastfed infants. </w:t>
      </w:r>
    </w:p>
    <w:p w14:paraId="3CCF5596" w14:textId="77777777" w:rsidR="00484696" w:rsidRDefault="00484696" w:rsidP="00A67253">
      <w:pPr>
        <w:spacing w:line="360" w:lineRule="auto"/>
        <w:jc w:val="both"/>
        <w:rPr>
          <w:rFonts w:ascii="Arial" w:hAnsi="Arial" w:cs="Arial"/>
          <w:color w:val="000000"/>
        </w:rPr>
      </w:pPr>
    </w:p>
    <w:p w14:paraId="791329B7" w14:textId="6822AE62" w:rsidR="00484696" w:rsidRDefault="00A22ADC" w:rsidP="00A67253">
      <w:pPr>
        <w:spacing w:line="360" w:lineRule="auto"/>
        <w:jc w:val="both"/>
        <w:rPr>
          <w:rFonts w:ascii="Arial" w:hAnsi="Arial" w:cs="Arial"/>
          <w:color w:val="000000"/>
        </w:rPr>
      </w:pPr>
      <w:r>
        <w:rPr>
          <w:rFonts w:ascii="Arial" w:hAnsi="Arial" w:cs="Arial"/>
          <w:color w:val="000000"/>
        </w:rPr>
        <w:t>We</w:t>
      </w:r>
      <w:r w:rsidRPr="00104214">
        <w:rPr>
          <w:rFonts w:ascii="Arial" w:hAnsi="Arial" w:cs="Arial"/>
          <w:color w:val="000000"/>
        </w:rPr>
        <w:t xml:space="preserve"> </w:t>
      </w:r>
      <w:r w:rsidR="00484696" w:rsidRPr="00104214">
        <w:rPr>
          <w:rFonts w:ascii="Arial" w:hAnsi="Arial" w:cs="Arial"/>
          <w:color w:val="000000"/>
        </w:rPr>
        <w:t xml:space="preserve">report a </w:t>
      </w:r>
      <w:r w:rsidR="00484696">
        <w:rPr>
          <w:rFonts w:ascii="Arial" w:hAnsi="Arial" w:cs="Arial"/>
          <w:color w:val="000000"/>
        </w:rPr>
        <w:t>pre</w:t>
      </w:r>
      <w:r w:rsidR="005319FC">
        <w:rPr>
          <w:rFonts w:ascii="Arial" w:hAnsi="Arial" w:cs="Arial"/>
          <w:color w:val="000000"/>
        </w:rPr>
        <w:t>-</w:t>
      </w:r>
      <w:r w:rsidR="00484696">
        <w:rPr>
          <w:rFonts w:ascii="Arial" w:hAnsi="Arial" w:cs="Arial"/>
          <w:color w:val="000000"/>
        </w:rPr>
        <w:t>specified</w:t>
      </w:r>
      <w:r w:rsidR="00484696" w:rsidRPr="00104214">
        <w:rPr>
          <w:rFonts w:ascii="Arial" w:hAnsi="Arial" w:cs="Arial"/>
          <w:color w:val="000000"/>
        </w:rPr>
        <w:t xml:space="preserve"> analysis of the primary efficacy </w:t>
      </w:r>
      <w:r w:rsidR="00E274FF">
        <w:rPr>
          <w:rFonts w:ascii="Arial" w:hAnsi="Arial" w:cs="Arial"/>
          <w:color w:val="000000"/>
        </w:rPr>
        <w:t xml:space="preserve">outcome </w:t>
      </w:r>
      <w:r w:rsidR="00484696">
        <w:rPr>
          <w:rFonts w:ascii="Arial" w:hAnsi="Arial" w:cs="Arial"/>
          <w:color w:val="000000"/>
        </w:rPr>
        <w:t xml:space="preserve">reached at the delivery visit </w:t>
      </w:r>
      <w:r w:rsidR="00484696" w:rsidRPr="00104214">
        <w:rPr>
          <w:rFonts w:ascii="Arial" w:hAnsi="Arial" w:cs="Arial"/>
          <w:color w:val="000000"/>
        </w:rPr>
        <w:t xml:space="preserve">(up to 14 days following birth), </w:t>
      </w:r>
      <w:r w:rsidR="00484696">
        <w:rPr>
          <w:rFonts w:ascii="Arial" w:hAnsi="Arial" w:cs="Arial"/>
          <w:color w:val="000000"/>
        </w:rPr>
        <w:t xml:space="preserve">with </w:t>
      </w:r>
      <w:r w:rsidR="00B66B65">
        <w:rPr>
          <w:rFonts w:ascii="Arial" w:hAnsi="Arial" w:cs="Arial"/>
          <w:color w:val="000000"/>
        </w:rPr>
        <w:t>accompanying safety data</w:t>
      </w:r>
      <w:r w:rsidR="00172470">
        <w:rPr>
          <w:rFonts w:ascii="Arial" w:hAnsi="Arial" w:cs="Arial"/>
          <w:color w:val="000000"/>
        </w:rPr>
        <w:t xml:space="preserve"> on mother-infant pairs </w:t>
      </w:r>
      <w:r w:rsidR="00EC4F70">
        <w:rPr>
          <w:rFonts w:ascii="Arial" w:hAnsi="Arial" w:cs="Arial"/>
          <w:color w:val="000000"/>
        </w:rPr>
        <w:t>to 6 weeks (+/- 2 weeks) post-partum</w:t>
      </w:r>
      <w:r w:rsidR="00484696">
        <w:rPr>
          <w:rFonts w:ascii="Arial" w:hAnsi="Arial" w:cs="Arial"/>
          <w:color w:val="000000"/>
        </w:rPr>
        <w:t xml:space="preserve">. </w:t>
      </w:r>
    </w:p>
    <w:p w14:paraId="6F344398" w14:textId="77777777" w:rsidR="00484696" w:rsidRPr="00104214" w:rsidRDefault="00484696" w:rsidP="00A67253">
      <w:pPr>
        <w:spacing w:line="360" w:lineRule="auto"/>
        <w:jc w:val="both"/>
        <w:rPr>
          <w:rFonts w:ascii="Arial" w:hAnsi="Arial" w:cs="Arial"/>
          <w:color w:val="000000"/>
        </w:rPr>
      </w:pPr>
    </w:p>
    <w:p w14:paraId="419916A3" w14:textId="77777777" w:rsidR="003F7EFA" w:rsidRPr="003D6946" w:rsidRDefault="003F7EFA" w:rsidP="00A67253">
      <w:pPr>
        <w:spacing w:line="360" w:lineRule="auto"/>
        <w:jc w:val="both"/>
        <w:rPr>
          <w:rFonts w:ascii="Arial" w:hAnsi="Arial" w:cs="Arial"/>
          <w:b/>
          <w:color w:val="000000"/>
        </w:rPr>
      </w:pPr>
      <w:r w:rsidRPr="003D6946">
        <w:rPr>
          <w:rFonts w:ascii="Arial" w:hAnsi="Arial" w:cs="Arial"/>
          <w:b/>
          <w:color w:val="000000"/>
        </w:rPr>
        <w:t>Participants</w:t>
      </w:r>
    </w:p>
    <w:p w14:paraId="1529FEF6" w14:textId="6797CD8F" w:rsidR="00484696" w:rsidRDefault="00304828" w:rsidP="00A67253">
      <w:pPr>
        <w:spacing w:line="360" w:lineRule="auto"/>
        <w:jc w:val="both"/>
        <w:rPr>
          <w:rFonts w:ascii="Arial" w:hAnsi="Arial" w:cs="Arial"/>
          <w:color w:val="000000"/>
        </w:rPr>
      </w:pPr>
      <w:r>
        <w:rPr>
          <w:rFonts w:ascii="Arial" w:hAnsi="Arial" w:cs="Arial"/>
          <w:color w:val="000000"/>
        </w:rPr>
        <w:t>We</w:t>
      </w:r>
      <w:r w:rsidR="002D07E0">
        <w:rPr>
          <w:rFonts w:ascii="Arial" w:hAnsi="Arial" w:cs="Arial"/>
          <w:color w:val="000000"/>
        </w:rPr>
        <w:t xml:space="preserve"> enrolled participants</w:t>
      </w:r>
      <w:r w:rsidR="00484696" w:rsidRPr="00104214">
        <w:rPr>
          <w:rFonts w:ascii="Arial" w:hAnsi="Arial" w:cs="Arial"/>
          <w:color w:val="000000"/>
        </w:rPr>
        <w:t xml:space="preserve"> if the</w:t>
      </w:r>
      <w:r w:rsidR="000873FC">
        <w:rPr>
          <w:rFonts w:ascii="Arial" w:hAnsi="Arial" w:cs="Arial"/>
          <w:color w:val="000000"/>
        </w:rPr>
        <w:t>y</w:t>
      </w:r>
      <w:r w:rsidR="00484696" w:rsidRPr="00104214">
        <w:rPr>
          <w:rFonts w:ascii="Arial" w:hAnsi="Arial" w:cs="Arial"/>
          <w:color w:val="000000"/>
        </w:rPr>
        <w:t xml:space="preserve"> met </w:t>
      </w:r>
      <w:r w:rsidR="00BE1DFC" w:rsidRPr="00104214">
        <w:rPr>
          <w:rFonts w:ascii="Arial" w:hAnsi="Arial" w:cs="Arial"/>
          <w:color w:val="000000"/>
        </w:rPr>
        <w:t>all</w:t>
      </w:r>
      <w:r w:rsidR="00484696" w:rsidRPr="00104214">
        <w:rPr>
          <w:rFonts w:ascii="Arial" w:hAnsi="Arial" w:cs="Arial"/>
          <w:color w:val="000000"/>
        </w:rPr>
        <w:t xml:space="preserve"> the following inclusion criteria: women aged ≥18 years with </w:t>
      </w:r>
      <w:proofErr w:type="gramStart"/>
      <w:r w:rsidR="00484696" w:rsidRPr="00104214">
        <w:rPr>
          <w:rFonts w:ascii="Arial" w:hAnsi="Arial" w:cs="Arial"/>
          <w:color w:val="000000"/>
        </w:rPr>
        <w:t>untreated, but</w:t>
      </w:r>
      <w:proofErr w:type="gramEnd"/>
      <w:r w:rsidR="00484696" w:rsidRPr="00104214">
        <w:rPr>
          <w:rFonts w:ascii="Arial" w:hAnsi="Arial" w:cs="Arial"/>
          <w:color w:val="000000"/>
        </w:rPr>
        <w:t xml:space="preserve"> confirmed HIV infection</w:t>
      </w:r>
      <w:r w:rsidR="00BE1DFC">
        <w:rPr>
          <w:rFonts w:ascii="Arial" w:hAnsi="Arial" w:cs="Arial"/>
          <w:color w:val="000000"/>
        </w:rPr>
        <w:t>;</w:t>
      </w:r>
      <w:r w:rsidR="00BE1DFC" w:rsidRPr="00104214">
        <w:rPr>
          <w:rFonts w:ascii="Arial" w:hAnsi="Arial" w:cs="Arial"/>
          <w:color w:val="000000"/>
        </w:rPr>
        <w:t xml:space="preserve"> </w:t>
      </w:r>
      <w:r w:rsidR="00484696" w:rsidRPr="00104214">
        <w:rPr>
          <w:rFonts w:ascii="Arial" w:hAnsi="Arial" w:cs="Arial"/>
          <w:color w:val="000000"/>
        </w:rPr>
        <w:t>positive pregnancy test</w:t>
      </w:r>
      <w:r w:rsidR="00BE1DFC">
        <w:rPr>
          <w:rFonts w:ascii="Arial" w:hAnsi="Arial" w:cs="Arial"/>
          <w:color w:val="000000"/>
        </w:rPr>
        <w:t>;</w:t>
      </w:r>
      <w:r w:rsidR="00BE1DFC" w:rsidRPr="00104214">
        <w:rPr>
          <w:rFonts w:ascii="Arial" w:hAnsi="Arial" w:cs="Arial"/>
          <w:color w:val="000000"/>
        </w:rPr>
        <w:t xml:space="preserve"> </w:t>
      </w:r>
      <w:r w:rsidR="00484696" w:rsidRPr="00104214">
        <w:rPr>
          <w:rFonts w:ascii="Arial" w:hAnsi="Arial" w:cs="Arial"/>
          <w:color w:val="000000"/>
        </w:rPr>
        <w:t>estimated gestation ≥28 weeks</w:t>
      </w:r>
      <w:r w:rsidR="00BE1DFC">
        <w:rPr>
          <w:rFonts w:ascii="Arial" w:hAnsi="Arial" w:cs="Arial"/>
          <w:color w:val="000000"/>
        </w:rPr>
        <w:t>;</w:t>
      </w:r>
      <w:r w:rsidR="00BE1DFC" w:rsidRPr="00104214">
        <w:rPr>
          <w:rFonts w:ascii="Arial" w:hAnsi="Arial" w:cs="Arial"/>
          <w:color w:val="000000"/>
        </w:rPr>
        <w:t xml:space="preserve"> </w:t>
      </w:r>
      <w:r w:rsidR="00484696" w:rsidRPr="00104214">
        <w:rPr>
          <w:rFonts w:ascii="Arial" w:hAnsi="Arial" w:cs="Arial"/>
          <w:color w:val="000000"/>
        </w:rPr>
        <w:t xml:space="preserve">willing to provide informed consent. </w:t>
      </w:r>
      <w:r>
        <w:rPr>
          <w:rFonts w:ascii="Arial" w:hAnsi="Arial" w:cs="Arial"/>
          <w:color w:val="000000"/>
        </w:rPr>
        <w:t>We excluded i</w:t>
      </w:r>
      <w:r w:rsidRPr="00104214">
        <w:rPr>
          <w:rFonts w:ascii="Arial" w:hAnsi="Arial" w:cs="Arial"/>
          <w:color w:val="000000"/>
        </w:rPr>
        <w:t xml:space="preserve">ndividuals </w:t>
      </w:r>
      <w:r>
        <w:rPr>
          <w:rFonts w:ascii="Arial" w:hAnsi="Arial" w:cs="Arial"/>
          <w:color w:val="000000"/>
        </w:rPr>
        <w:t>with</w:t>
      </w:r>
      <w:r w:rsidR="00484696" w:rsidRPr="00104214">
        <w:rPr>
          <w:rFonts w:ascii="Arial" w:hAnsi="Arial" w:cs="Arial"/>
          <w:color w:val="000000"/>
        </w:rPr>
        <w:t xml:space="preserve"> any of the following: i) received </w:t>
      </w:r>
      <w:r w:rsidR="001A3165" w:rsidRPr="00BC4784">
        <w:rPr>
          <w:rFonts w:ascii="Arial" w:hAnsi="Arial" w:cs="Arial"/>
        </w:rPr>
        <w:t>antiretroviral therapy</w:t>
      </w:r>
      <w:r w:rsidR="00DF52BA" w:rsidRPr="00104214">
        <w:rPr>
          <w:rFonts w:ascii="Arial" w:hAnsi="Arial" w:cs="Arial"/>
          <w:color w:val="000000"/>
        </w:rPr>
        <w:t xml:space="preserve"> </w:t>
      </w:r>
      <w:r w:rsidR="00484696" w:rsidRPr="00104214">
        <w:rPr>
          <w:rFonts w:ascii="Arial" w:hAnsi="Arial" w:cs="Arial"/>
          <w:color w:val="000000"/>
        </w:rPr>
        <w:t xml:space="preserve">in the preceding </w:t>
      </w:r>
      <w:r w:rsidR="00B66B65">
        <w:rPr>
          <w:rFonts w:ascii="Arial" w:hAnsi="Arial" w:cs="Arial"/>
          <w:color w:val="000000"/>
        </w:rPr>
        <w:t>year or</w:t>
      </w:r>
      <w:r w:rsidR="00484696" w:rsidRPr="00104214">
        <w:rPr>
          <w:rFonts w:ascii="Arial" w:hAnsi="Arial" w:cs="Arial"/>
          <w:color w:val="000000"/>
        </w:rPr>
        <w:t xml:space="preserve"> ever received integrase inhibitors, ii) documented </w:t>
      </w:r>
      <w:proofErr w:type="spellStart"/>
      <w:r w:rsidR="00484696" w:rsidRPr="00104214">
        <w:rPr>
          <w:rFonts w:ascii="Arial" w:hAnsi="Arial" w:cs="Arial"/>
          <w:color w:val="000000"/>
        </w:rPr>
        <w:t>virological</w:t>
      </w:r>
      <w:proofErr w:type="spellEnd"/>
      <w:r w:rsidR="00484696" w:rsidRPr="00104214">
        <w:rPr>
          <w:rFonts w:ascii="Arial" w:hAnsi="Arial" w:cs="Arial"/>
          <w:color w:val="000000"/>
        </w:rPr>
        <w:t xml:space="preserve"> failure of a non-nucleoside containing </w:t>
      </w:r>
      <w:r w:rsidR="001A3165" w:rsidRPr="00BC4784">
        <w:rPr>
          <w:rFonts w:ascii="Arial" w:hAnsi="Arial" w:cs="Arial"/>
        </w:rPr>
        <w:t xml:space="preserve">antiretroviral </w:t>
      </w:r>
      <w:r w:rsidR="00484696" w:rsidRPr="00104214">
        <w:rPr>
          <w:rFonts w:ascii="Arial" w:hAnsi="Arial" w:cs="Arial"/>
          <w:color w:val="000000"/>
        </w:rPr>
        <w:t xml:space="preserve">regimen, </w:t>
      </w:r>
      <w:r w:rsidR="00B66B65">
        <w:rPr>
          <w:rFonts w:ascii="Arial" w:hAnsi="Arial" w:cs="Arial"/>
          <w:color w:val="000000"/>
        </w:rPr>
        <w:t>iii</w:t>
      </w:r>
      <w:r w:rsidR="00484696" w:rsidRPr="00104214">
        <w:rPr>
          <w:rFonts w:ascii="Arial" w:hAnsi="Arial" w:cs="Arial"/>
          <w:color w:val="000000"/>
        </w:rPr>
        <w:t xml:space="preserve">) previous </w:t>
      </w:r>
      <w:r w:rsidR="002229C4">
        <w:rPr>
          <w:rFonts w:ascii="Arial" w:hAnsi="Arial" w:cs="Arial"/>
          <w:color w:val="000000"/>
        </w:rPr>
        <w:t>efavirenz</w:t>
      </w:r>
      <w:r w:rsidR="00484696" w:rsidRPr="00104214">
        <w:rPr>
          <w:rFonts w:ascii="Arial" w:hAnsi="Arial" w:cs="Arial"/>
          <w:color w:val="000000"/>
        </w:rPr>
        <w:t xml:space="preserve"> toxicity or other clinical history that would preclude </w:t>
      </w:r>
      <w:proofErr w:type="spellStart"/>
      <w:r w:rsidR="00484696" w:rsidRPr="00104214">
        <w:rPr>
          <w:rFonts w:ascii="Arial" w:hAnsi="Arial" w:cs="Arial"/>
          <w:color w:val="000000"/>
        </w:rPr>
        <w:t>randomisation</w:t>
      </w:r>
      <w:proofErr w:type="spellEnd"/>
      <w:r w:rsidR="00B7124E">
        <w:rPr>
          <w:rFonts w:ascii="Arial" w:hAnsi="Arial" w:cs="Arial"/>
          <w:color w:val="000000"/>
        </w:rPr>
        <w:t>,</w:t>
      </w:r>
      <w:r w:rsidR="00484696" w:rsidRPr="00104214">
        <w:rPr>
          <w:rFonts w:ascii="Arial" w:hAnsi="Arial" w:cs="Arial"/>
          <w:color w:val="000000"/>
        </w:rPr>
        <w:t xml:space="preserve"> iv) </w:t>
      </w:r>
      <w:r w:rsidR="00DF52BA">
        <w:rPr>
          <w:rFonts w:ascii="Arial" w:hAnsi="Arial" w:cs="Arial"/>
          <w:color w:val="000000"/>
        </w:rPr>
        <w:t xml:space="preserve">estimated glomerular filtration rate </w:t>
      </w:r>
      <w:r w:rsidR="00484696" w:rsidRPr="00104214">
        <w:rPr>
          <w:rFonts w:ascii="Arial" w:hAnsi="Arial" w:cs="Arial"/>
          <w:color w:val="000000"/>
        </w:rPr>
        <w:t>&lt;50 m</w:t>
      </w:r>
      <w:r w:rsidR="00FF1B5E">
        <w:rPr>
          <w:rFonts w:ascii="Arial" w:hAnsi="Arial" w:cs="Arial"/>
          <w:color w:val="000000"/>
        </w:rPr>
        <w:t>L</w:t>
      </w:r>
      <w:r w:rsidR="00484696" w:rsidRPr="00104214">
        <w:rPr>
          <w:rFonts w:ascii="Arial" w:hAnsi="Arial" w:cs="Arial"/>
          <w:color w:val="000000"/>
        </w:rPr>
        <w:t>/min</w:t>
      </w:r>
      <w:r w:rsidR="00B66B65">
        <w:rPr>
          <w:rFonts w:ascii="Arial" w:hAnsi="Arial" w:cs="Arial"/>
          <w:color w:val="000000"/>
        </w:rPr>
        <w:t>,</w:t>
      </w:r>
      <w:r w:rsidR="00484696" w:rsidRPr="00104214">
        <w:rPr>
          <w:rFonts w:ascii="Arial" w:hAnsi="Arial" w:cs="Arial"/>
          <w:color w:val="000000"/>
        </w:rPr>
        <w:t xml:space="preserve"> hemoglobin &lt;8.0 g/dL</w:t>
      </w:r>
      <w:r w:rsidR="00B66B65">
        <w:rPr>
          <w:rFonts w:ascii="Arial" w:hAnsi="Arial" w:cs="Arial"/>
          <w:color w:val="000000"/>
        </w:rPr>
        <w:t xml:space="preserve">, </w:t>
      </w:r>
      <w:r w:rsidR="00484696" w:rsidRPr="00104214">
        <w:rPr>
          <w:rFonts w:ascii="Arial" w:hAnsi="Arial" w:cs="Arial"/>
          <w:color w:val="000000"/>
        </w:rPr>
        <w:t xml:space="preserve">decompensated liver disease or alanine aminotransferase (ALT) &gt;5 times the upper limit of normal (ULN) or ALT &gt;3xULN and bilirubin &gt;2xULN (with &gt;35% direct bilirubin) v) severe pre-eclampsia vi) medical, psychiatric or obstetric condition that might affect participation in the study, or </w:t>
      </w:r>
      <w:r w:rsidR="00B66B65">
        <w:rPr>
          <w:rFonts w:ascii="Arial" w:hAnsi="Arial" w:cs="Arial"/>
          <w:color w:val="000000"/>
        </w:rPr>
        <w:t>vii</w:t>
      </w:r>
      <w:r w:rsidR="00484696" w:rsidRPr="00104214">
        <w:rPr>
          <w:rFonts w:ascii="Arial" w:hAnsi="Arial" w:cs="Arial"/>
          <w:color w:val="000000"/>
        </w:rPr>
        <w:t xml:space="preserve">) receiving </w:t>
      </w:r>
      <w:r w:rsidR="00B66B65">
        <w:rPr>
          <w:rFonts w:ascii="Arial" w:hAnsi="Arial" w:cs="Arial"/>
          <w:color w:val="000000"/>
        </w:rPr>
        <w:t>any</w:t>
      </w:r>
      <w:r w:rsidR="00484696" w:rsidRPr="00104214">
        <w:rPr>
          <w:rFonts w:ascii="Arial" w:hAnsi="Arial" w:cs="Arial"/>
          <w:color w:val="000000"/>
        </w:rPr>
        <w:t xml:space="preserve"> drugs known to significantly interact with </w:t>
      </w:r>
      <w:r w:rsidR="002229C4">
        <w:rPr>
          <w:rFonts w:ascii="Arial" w:hAnsi="Arial" w:cs="Arial"/>
          <w:color w:val="000000"/>
        </w:rPr>
        <w:t>efavirenz</w:t>
      </w:r>
      <w:r w:rsidR="00484696" w:rsidRPr="00104214">
        <w:rPr>
          <w:rFonts w:ascii="Arial" w:hAnsi="Arial" w:cs="Arial"/>
          <w:color w:val="000000"/>
        </w:rPr>
        <w:t xml:space="preserve"> or </w:t>
      </w:r>
      <w:r w:rsidR="002229C4">
        <w:rPr>
          <w:rFonts w:ascii="Arial" w:hAnsi="Arial" w:cs="Arial"/>
          <w:color w:val="000000"/>
        </w:rPr>
        <w:t>dolutegravir</w:t>
      </w:r>
      <w:r w:rsidR="00484696" w:rsidRPr="00104214">
        <w:rPr>
          <w:rFonts w:ascii="Arial" w:hAnsi="Arial" w:cs="Arial"/>
          <w:color w:val="000000"/>
        </w:rPr>
        <w:t xml:space="preserve"> within the preceding 2 weeks. </w:t>
      </w:r>
      <w:r w:rsidR="000E2DCB" w:rsidRPr="00104214">
        <w:rPr>
          <w:rFonts w:ascii="Arial" w:hAnsi="Arial" w:cs="Arial"/>
          <w:color w:val="000000"/>
        </w:rPr>
        <w:t xml:space="preserve">From </w:t>
      </w:r>
      <w:r w:rsidR="000E2DCB">
        <w:rPr>
          <w:rFonts w:ascii="Arial" w:hAnsi="Arial" w:cs="Arial"/>
          <w:color w:val="000000"/>
        </w:rPr>
        <w:t>1</w:t>
      </w:r>
      <w:r w:rsidR="000E2DCB" w:rsidRPr="00CC25F6">
        <w:rPr>
          <w:rFonts w:ascii="Arial" w:hAnsi="Arial" w:cs="Arial"/>
          <w:color w:val="000000"/>
          <w:vertAlign w:val="superscript"/>
        </w:rPr>
        <w:t>st</w:t>
      </w:r>
      <w:r w:rsidR="000E2DCB">
        <w:rPr>
          <w:rFonts w:ascii="Arial" w:hAnsi="Arial" w:cs="Arial"/>
          <w:color w:val="000000"/>
        </w:rPr>
        <w:t xml:space="preserve"> June 2018</w:t>
      </w:r>
      <w:r w:rsidR="000E2DCB" w:rsidRPr="00104214">
        <w:rPr>
          <w:rFonts w:ascii="Arial" w:hAnsi="Arial" w:cs="Arial"/>
          <w:color w:val="000000"/>
        </w:rPr>
        <w:t xml:space="preserve"> onwards, the protocol was amended to exclude pre-treatment HIV viral load &lt;50 </w:t>
      </w:r>
      <w:r w:rsidR="00147F88">
        <w:rPr>
          <w:rFonts w:ascii="Arial" w:hAnsi="Arial" w:cs="Arial"/>
          <w:color w:val="000000"/>
        </w:rPr>
        <w:t xml:space="preserve">copies per </w:t>
      </w:r>
      <w:proofErr w:type="spellStart"/>
      <w:r w:rsidR="00147F88">
        <w:rPr>
          <w:rFonts w:ascii="Arial" w:hAnsi="Arial" w:cs="Arial"/>
          <w:color w:val="000000"/>
        </w:rPr>
        <w:t>mL</w:t>
      </w:r>
      <w:r w:rsidR="000E2DCB">
        <w:rPr>
          <w:rFonts w:ascii="Arial" w:hAnsi="Arial" w:cs="Arial"/>
          <w:color w:val="000000"/>
        </w:rPr>
        <w:t>.</w:t>
      </w:r>
      <w:proofErr w:type="spellEnd"/>
    </w:p>
    <w:p w14:paraId="2714FEC7" w14:textId="77777777" w:rsidR="00484696" w:rsidRDefault="00484696" w:rsidP="00A67253">
      <w:pPr>
        <w:spacing w:line="360" w:lineRule="auto"/>
        <w:jc w:val="both"/>
        <w:rPr>
          <w:rFonts w:ascii="Arial" w:hAnsi="Arial" w:cs="Arial"/>
          <w:color w:val="000000"/>
        </w:rPr>
      </w:pPr>
    </w:p>
    <w:p w14:paraId="7BB030B2" w14:textId="11B65F3E" w:rsidR="006659A2" w:rsidRPr="00104214" w:rsidRDefault="001A7594" w:rsidP="00A67253">
      <w:pPr>
        <w:spacing w:line="360" w:lineRule="auto"/>
        <w:jc w:val="both"/>
        <w:rPr>
          <w:rFonts w:ascii="Arial" w:hAnsi="Arial" w:cs="Arial"/>
        </w:rPr>
      </w:pPr>
      <w:r>
        <w:rPr>
          <w:rFonts w:ascii="Arial" w:hAnsi="Arial" w:cs="Arial"/>
        </w:rPr>
        <w:t>E</w:t>
      </w:r>
      <w:r w:rsidR="005507FF">
        <w:rPr>
          <w:rFonts w:ascii="Arial" w:hAnsi="Arial" w:cs="Arial"/>
        </w:rPr>
        <w:t>thics review committee</w:t>
      </w:r>
      <w:r>
        <w:rPr>
          <w:rFonts w:ascii="Arial" w:hAnsi="Arial" w:cs="Arial"/>
        </w:rPr>
        <w:t xml:space="preserve">s in </w:t>
      </w:r>
      <w:r w:rsidR="007012AD">
        <w:rPr>
          <w:rFonts w:ascii="Arial" w:hAnsi="Arial" w:cs="Arial"/>
        </w:rPr>
        <w:t>South Africa</w:t>
      </w:r>
      <w:r>
        <w:rPr>
          <w:rFonts w:ascii="Arial" w:hAnsi="Arial" w:cs="Arial"/>
        </w:rPr>
        <w:t xml:space="preserve">, </w:t>
      </w:r>
      <w:r w:rsidR="007012AD">
        <w:rPr>
          <w:rFonts w:ascii="Arial" w:hAnsi="Arial" w:cs="Arial"/>
        </w:rPr>
        <w:t xml:space="preserve">Uganda </w:t>
      </w:r>
      <w:r w:rsidR="00304828">
        <w:rPr>
          <w:rFonts w:ascii="Arial" w:hAnsi="Arial" w:cs="Arial"/>
        </w:rPr>
        <w:t xml:space="preserve">and </w:t>
      </w:r>
      <w:r>
        <w:rPr>
          <w:rFonts w:ascii="Arial" w:hAnsi="Arial" w:cs="Arial"/>
        </w:rPr>
        <w:t>the UK approved the study</w:t>
      </w:r>
      <w:r w:rsidR="005507FF">
        <w:rPr>
          <w:rFonts w:ascii="Arial" w:hAnsi="Arial" w:cs="Arial"/>
        </w:rPr>
        <w:t xml:space="preserve">. </w:t>
      </w:r>
      <w:r w:rsidR="006659A2" w:rsidRPr="00104214">
        <w:rPr>
          <w:rFonts w:ascii="Arial" w:hAnsi="Arial" w:cs="Arial"/>
        </w:rPr>
        <w:t xml:space="preserve">The Data and Safety Monitoring Board conducted a planned interim safety analysis after the first 125 mothers had </w:t>
      </w:r>
      <w:proofErr w:type="gramStart"/>
      <w:r w:rsidR="006659A2" w:rsidRPr="00104214">
        <w:rPr>
          <w:rFonts w:ascii="Arial" w:hAnsi="Arial" w:cs="Arial"/>
        </w:rPr>
        <w:t>delivered, and</w:t>
      </w:r>
      <w:proofErr w:type="gramEnd"/>
      <w:r w:rsidR="006659A2" w:rsidRPr="00104214">
        <w:rPr>
          <w:rFonts w:ascii="Arial" w:hAnsi="Arial" w:cs="Arial"/>
        </w:rPr>
        <w:t xml:space="preserve"> were notified of </w:t>
      </w:r>
      <w:r w:rsidR="00DD02CE">
        <w:rPr>
          <w:rFonts w:ascii="Arial" w:hAnsi="Arial" w:cs="Arial"/>
        </w:rPr>
        <w:t>all</w:t>
      </w:r>
      <w:r w:rsidR="00DD02CE" w:rsidRPr="00104214">
        <w:rPr>
          <w:rFonts w:ascii="Arial" w:hAnsi="Arial" w:cs="Arial"/>
        </w:rPr>
        <w:t xml:space="preserve"> </w:t>
      </w:r>
      <w:r>
        <w:rPr>
          <w:rFonts w:ascii="Arial" w:hAnsi="Arial" w:cs="Arial"/>
        </w:rPr>
        <w:t>infant</w:t>
      </w:r>
      <w:r w:rsidR="006659A2" w:rsidRPr="00104214">
        <w:rPr>
          <w:rFonts w:ascii="Arial" w:hAnsi="Arial" w:cs="Arial"/>
        </w:rPr>
        <w:t xml:space="preserve"> HIV transmissions. </w:t>
      </w:r>
    </w:p>
    <w:p w14:paraId="174B5FA4" w14:textId="77777777" w:rsidR="00E04FA1" w:rsidRDefault="00E04FA1" w:rsidP="00A67253">
      <w:pPr>
        <w:spacing w:line="360" w:lineRule="auto"/>
        <w:jc w:val="both"/>
        <w:rPr>
          <w:rFonts w:ascii="Arial" w:hAnsi="Arial" w:cs="Arial"/>
          <w:color w:val="000000"/>
        </w:rPr>
      </w:pPr>
    </w:p>
    <w:p w14:paraId="6E54B61E" w14:textId="3690562F" w:rsidR="00ED493F" w:rsidRPr="00104214" w:rsidRDefault="00ED493F" w:rsidP="00A67253">
      <w:pPr>
        <w:spacing w:line="360" w:lineRule="auto"/>
        <w:jc w:val="both"/>
        <w:rPr>
          <w:rFonts w:ascii="Arial" w:hAnsi="Arial" w:cs="Arial"/>
          <w:color w:val="000000"/>
        </w:rPr>
      </w:pPr>
    </w:p>
    <w:p w14:paraId="5A4723AA" w14:textId="6FBF8BFC" w:rsidR="00FC4E1C" w:rsidRPr="003D6946" w:rsidRDefault="003F7EFA" w:rsidP="00A67253">
      <w:pPr>
        <w:spacing w:line="360" w:lineRule="auto"/>
        <w:jc w:val="both"/>
        <w:rPr>
          <w:rFonts w:ascii="Arial" w:hAnsi="Arial" w:cs="Arial"/>
          <w:b/>
          <w:color w:val="000000"/>
        </w:rPr>
      </w:pPr>
      <w:proofErr w:type="spellStart"/>
      <w:r w:rsidRPr="003D6946">
        <w:rPr>
          <w:rFonts w:ascii="Arial" w:hAnsi="Arial" w:cs="Arial"/>
          <w:b/>
          <w:color w:val="000000"/>
        </w:rPr>
        <w:t>Randomisation</w:t>
      </w:r>
      <w:proofErr w:type="spellEnd"/>
      <w:r w:rsidRPr="003D6946">
        <w:rPr>
          <w:rFonts w:ascii="Arial" w:hAnsi="Arial" w:cs="Arial"/>
          <w:b/>
          <w:color w:val="000000"/>
        </w:rPr>
        <w:t xml:space="preserve"> and Masking</w:t>
      </w:r>
    </w:p>
    <w:p w14:paraId="116F4A68" w14:textId="61F33370" w:rsidR="00315074" w:rsidRDefault="00EB13E1" w:rsidP="00A67253">
      <w:pPr>
        <w:spacing w:line="360" w:lineRule="auto"/>
        <w:jc w:val="both"/>
        <w:rPr>
          <w:rFonts w:ascii="Arial" w:hAnsi="Arial" w:cs="Arial"/>
          <w:color w:val="000000"/>
        </w:rPr>
      </w:pPr>
      <w:r>
        <w:rPr>
          <w:rFonts w:ascii="Arial" w:hAnsi="Arial" w:cs="Arial"/>
          <w:color w:val="000000"/>
        </w:rPr>
        <w:t>Since n</w:t>
      </w:r>
      <w:r w:rsidR="00272B3A" w:rsidRPr="0067061B">
        <w:rPr>
          <w:rFonts w:ascii="Arial" w:hAnsi="Arial" w:cs="Arial"/>
          <w:color w:val="000000"/>
        </w:rPr>
        <w:t xml:space="preserve">ational policy </w:t>
      </w:r>
      <w:r>
        <w:rPr>
          <w:rFonts w:ascii="Arial" w:hAnsi="Arial" w:cs="Arial"/>
          <w:color w:val="000000"/>
        </w:rPr>
        <w:t>require</w:t>
      </w:r>
      <w:r w:rsidR="00267B2F">
        <w:rPr>
          <w:rFonts w:ascii="Arial" w:hAnsi="Arial" w:cs="Arial"/>
          <w:color w:val="000000"/>
        </w:rPr>
        <w:t>d</w:t>
      </w:r>
      <w:r w:rsidR="00272B3A" w:rsidRPr="0067061B">
        <w:rPr>
          <w:rFonts w:ascii="Arial" w:hAnsi="Arial" w:cs="Arial"/>
          <w:color w:val="000000"/>
        </w:rPr>
        <w:t xml:space="preserve"> </w:t>
      </w:r>
      <w:r w:rsidR="001A3165" w:rsidRPr="00BC4784">
        <w:rPr>
          <w:rFonts w:ascii="Arial" w:hAnsi="Arial" w:cs="Arial"/>
        </w:rPr>
        <w:t xml:space="preserve">antiretroviral therapy </w:t>
      </w:r>
      <w:r>
        <w:rPr>
          <w:rFonts w:ascii="Arial" w:hAnsi="Arial" w:cs="Arial"/>
          <w:color w:val="000000"/>
        </w:rPr>
        <w:t>to</w:t>
      </w:r>
      <w:r w:rsidRPr="0067061B">
        <w:rPr>
          <w:rFonts w:ascii="Arial" w:hAnsi="Arial" w:cs="Arial"/>
          <w:color w:val="000000"/>
        </w:rPr>
        <w:t xml:space="preserve"> </w:t>
      </w:r>
      <w:r w:rsidR="00272B3A" w:rsidRPr="0067061B">
        <w:rPr>
          <w:rFonts w:ascii="Arial" w:hAnsi="Arial" w:cs="Arial"/>
          <w:color w:val="000000"/>
        </w:rPr>
        <w:t xml:space="preserve">commence </w:t>
      </w:r>
      <w:r>
        <w:rPr>
          <w:rFonts w:ascii="Arial" w:hAnsi="Arial" w:cs="Arial"/>
          <w:color w:val="000000"/>
        </w:rPr>
        <w:t>without delay</w:t>
      </w:r>
      <w:r w:rsidR="00267B2F">
        <w:rPr>
          <w:rFonts w:ascii="Arial" w:hAnsi="Arial" w:cs="Arial"/>
          <w:color w:val="000000"/>
        </w:rPr>
        <w:t xml:space="preserve"> in</w:t>
      </w:r>
      <w:r>
        <w:rPr>
          <w:rFonts w:ascii="Arial" w:hAnsi="Arial" w:cs="Arial"/>
          <w:color w:val="000000"/>
        </w:rPr>
        <w:t xml:space="preserve"> our study population, </w:t>
      </w:r>
      <w:r w:rsidR="00272B3A" w:rsidRPr="0067061B">
        <w:rPr>
          <w:rFonts w:ascii="Arial" w:hAnsi="Arial" w:cs="Arial"/>
          <w:color w:val="000000"/>
        </w:rPr>
        <w:t xml:space="preserve">participants </w:t>
      </w:r>
      <w:r>
        <w:rPr>
          <w:rFonts w:ascii="Arial" w:hAnsi="Arial" w:cs="Arial"/>
          <w:color w:val="000000"/>
        </w:rPr>
        <w:t>meeting</w:t>
      </w:r>
      <w:r w:rsidR="00CC25F6">
        <w:rPr>
          <w:rFonts w:ascii="Arial" w:hAnsi="Arial" w:cs="Arial"/>
          <w:color w:val="000000"/>
        </w:rPr>
        <w:t xml:space="preserve"> eligibility criteria </w:t>
      </w:r>
      <w:r w:rsidR="00272B3A" w:rsidRPr="00104214">
        <w:rPr>
          <w:rFonts w:ascii="Arial" w:hAnsi="Arial" w:cs="Arial"/>
          <w:color w:val="000000"/>
        </w:rPr>
        <w:t>based on history and examination</w:t>
      </w:r>
      <w:r w:rsidR="00CC25F6">
        <w:rPr>
          <w:rFonts w:ascii="Arial" w:hAnsi="Arial" w:cs="Arial"/>
          <w:color w:val="000000"/>
        </w:rPr>
        <w:t xml:space="preserve"> (prior to the availability of</w:t>
      </w:r>
      <w:r w:rsidR="00272B3A" w:rsidRPr="0067061B">
        <w:rPr>
          <w:rFonts w:ascii="Arial" w:hAnsi="Arial" w:cs="Arial"/>
          <w:color w:val="000000"/>
        </w:rPr>
        <w:t xml:space="preserve"> </w:t>
      </w:r>
      <w:r w:rsidR="00CC25F6">
        <w:rPr>
          <w:rFonts w:ascii="Arial" w:hAnsi="Arial" w:cs="Arial"/>
          <w:color w:val="000000"/>
        </w:rPr>
        <w:t>blood results)</w:t>
      </w:r>
      <w:r w:rsidR="00272B3A" w:rsidRPr="0067061B">
        <w:rPr>
          <w:rFonts w:ascii="Arial" w:hAnsi="Arial" w:cs="Arial"/>
          <w:color w:val="000000"/>
        </w:rPr>
        <w:t xml:space="preserve"> </w:t>
      </w:r>
      <w:r w:rsidR="00272B3A">
        <w:rPr>
          <w:rFonts w:ascii="Arial" w:hAnsi="Arial" w:cs="Arial"/>
          <w:color w:val="000000"/>
        </w:rPr>
        <w:t>were</w:t>
      </w:r>
      <w:r w:rsidR="00272B3A" w:rsidRPr="0067061B">
        <w:rPr>
          <w:rFonts w:ascii="Arial" w:hAnsi="Arial" w:cs="Arial"/>
          <w:color w:val="000000"/>
        </w:rPr>
        <w:t xml:space="preserve"> enrolled </w:t>
      </w:r>
      <w:r w:rsidR="00315074">
        <w:rPr>
          <w:rFonts w:ascii="Arial" w:hAnsi="Arial" w:cs="Arial"/>
          <w:color w:val="000000"/>
        </w:rPr>
        <w:t xml:space="preserve">with </w:t>
      </w:r>
      <w:r>
        <w:rPr>
          <w:rFonts w:ascii="Arial" w:hAnsi="Arial" w:cs="Arial"/>
          <w:color w:val="000000"/>
        </w:rPr>
        <w:t>1:1</w:t>
      </w:r>
      <w:r w:rsidR="00315074">
        <w:rPr>
          <w:rFonts w:ascii="Arial" w:hAnsi="Arial" w:cs="Arial"/>
          <w:color w:val="000000"/>
        </w:rPr>
        <w:t xml:space="preserve"> </w:t>
      </w:r>
      <w:r w:rsidRPr="0067061B">
        <w:rPr>
          <w:rFonts w:ascii="Arial" w:hAnsi="Arial" w:cs="Arial"/>
          <w:color w:val="000000"/>
        </w:rPr>
        <w:t xml:space="preserve">block </w:t>
      </w:r>
      <w:r w:rsidR="00315074" w:rsidRPr="0067061B">
        <w:rPr>
          <w:rFonts w:ascii="Arial" w:hAnsi="Arial" w:cs="Arial"/>
          <w:color w:val="000000"/>
        </w:rPr>
        <w:t>randomi</w:t>
      </w:r>
      <w:r w:rsidR="00315074">
        <w:rPr>
          <w:rFonts w:ascii="Arial" w:hAnsi="Arial" w:cs="Arial"/>
          <w:color w:val="000000"/>
        </w:rPr>
        <w:t>z</w:t>
      </w:r>
      <w:r w:rsidR="00315074" w:rsidRPr="0067061B">
        <w:rPr>
          <w:rFonts w:ascii="Arial" w:hAnsi="Arial" w:cs="Arial"/>
          <w:color w:val="000000"/>
        </w:rPr>
        <w:t xml:space="preserve">ation </w:t>
      </w:r>
      <w:r w:rsidR="00315074">
        <w:rPr>
          <w:rFonts w:ascii="Arial" w:hAnsi="Arial" w:cs="Arial"/>
          <w:color w:val="000000"/>
        </w:rPr>
        <w:t>(</w:t>
      </w:r>
      <w:r w:rsidRPr="0067061B">
        <w:rPr>
          <w:rFonts w:ascii="Arial" w:hAnsi="Arial" w:cs="Arial"/>
          <w:color w:val="000000"/>
        </w:rPr>
        <w:t>stratified by country</w:t>
      </w:r>
      <w:r w:rsidR="008C4DE7">
        <w:rPr>
          <w:rFonts w:ascii="Arial" w:hAnsi="Arial" w:cs="Arial"/>
          <w:color w:val="000000"/>
        </w:rPr>
        <w:t>, with concealment of allocation until assignment</w:t>
      </w:r>
      <w:r>
        <w:rPr>
          <w:rFonts w:ascii="Arial" w:hAnsi="Arial" w:cs="Arial"/>
          <w:color w:val="000000"/>
        </w:rPr>
        <w:t>)</w:t>
      </w:r>
      <w:r w:rsidR="00272B3A" w:rsidRPr="0067061B">
        <w:rPr>
          <w:rFonts w:ascii="Arial" w:hAnsi="Arial" w:cs="Arial"/>
          <w:color w:val="000000"/>
        </w:rPr>
        <w:t xml:space="preserve"> to commence either </w:t>
      </w:r>
      <w:r w:rsidR="002229C4">
        <w:rPr>
          <w:rFonts w:ascii="Arial" w:hAnsi="Arial" w:cs="Arial"/>
          <w:color w:val="000000"/>
        </w:rPr>
        <w:t>dolutegravir</w:t>
      </w:r>
      <w:r w:rsidR="00272B3A">
        <w:rPr>
          <w:rFonts w:ascii="Arial" w:hAnsi="Arial" w:cs="Arial"/>
          <w:color w:val="000000"/>
        </w:rPr>
        <w:t xml:space="preserve"> </w:t>
      </w:r>
      <w:r w:rsidR="00272B3A" w:rsidRPr="0067061B">
        <w:rPr>
          <w:rFonts w:ascii="Arial" w:hAnsi="Arial" w:cs="Arial"/>
          <w:color w:val="000000"/>
        </w:rPr>
        <w:t xml:space="preserve">or </w:t>
      </w:r>
      <w:r w:rsidR="002229C4">
        <w:rPr>
          <w:rFonts w:ascii="Arial" w:hAnsi="Arial" w:cs="Arial"/>
          <w:color w:val="000000"/>
        </w:rPr>
        <w:t>efavirenz</w:t>
      </w:r>
      <w:r w:rsidR="00272B3A">
        <w:rPr>
          <w:rFonts w:ascii="Arial" w:hAnsi="Arial" w:cs="Arial"/>
          <w:color w:val="000000"/>
        </w:rPr>
        <w:t xml:space="preserve"> </w:t>
      </w:r>
      <w:r>
        <w:rPr>
          <w:rFonts w:ascii="Arial" w:hAnsi="Arial" w:cs="Arial"/>
          <w:color w:val="000000"/>
        </w:rPr>
        <w:t>on the same day</w:t>
      </w:r>
      <w:r w:rsidR="00272B3A" w:rsidRPr="0067061B">
        <w:rPr>
          <w:rFonts w:ascii="Arial" w:hAnsi="Arial" w:cs="Arial"/>
          <w:color w:val="000000"/>
        </w:rPr>
        <w:t xml:space="preserve">. </w:t>
      </w:r>
      <w:r w:rsidR="00272B3A">
        <w:rPr>
          <w:rFonts w:ascii="Arial" w:hAnsi="Arial" w:cs="Arial"/>
          <w:color w:val="000000"/>
        </w:rPr>
        <w:t>A</w:t>
      </w:r>
      <w:r w:rsidR="0038095F" w:rsidRPr="00104214">
        <w:rPr>
          <w:rFonts w:ascii="Arial" w:hAnsi="Arial" w:cs="Arial"/>
          <w:color w:val="000000"/>
        </w:rPr>
        <w:t xml:space="preserve">ny </w:t>
      </w:r>
      <w:r w:rsidR="00FE2C4A" w:rsidRPr="00104214">
        <w:rPr>
          <w:rFonts w:ascii="Arial" w:hAnsi="Arial" w:cs="Arial"/>
          <w:color w:val="000000"/>
        </w:rPr>
        <w:t xml:space="preserve">laboratory results which </w:t>
      </w:r>
      <w:r w:rsidR="00B94040">
        <w:rPr>
          <w:rFonts w:ascii="Arial" w:hAnsi="Arial" w:cs="Arial"/>
          <w:color w:val="000000"/>
        </w:rPr>
        <w:t>rendered the participant ineligible</w:t>
      </w:r>
      <w:r w:rsidR="00FE2C4A" w:rsidRPr="00104214">
        <w:rPr>
          <w:rFonts w:ascii="Arial" w:hAnsi="Arial" w:cs="Arial"/>
          <w:color w:val="000000"/>
        </w:rPr>
        <w:t xml:space="preserve"> led to withdrawal at a confirmatory visit 7 days later.</w:t>
      </w:r>
      <w:r w:rsidR="005A61D5" w:rsidRPr="00104214">
        <w:rPr>
          <w:rFonts w:ascii="Arial" w:hAnsi="Arial" w:cs="Arial"/>
          <w:color w:val="000000"/>
        </w:rPr>
        <w:t xml:space="preserve"> </w:t>
      </w:r>
    </w:p>
    <w:p w14:paraId="3AC2ABC8" w14:textId="77777777" w:rsidR="00315074" w:rsidRDefault="00315074" w:rsidP="00A67253">
      <w:pPr>
        <w:spacing w:line="360" w:lineRule="auto"/>
        <w:jc w:val="both"/>
        <w:rPr>
          <w:rFonts w:ascii="Arial" w:hAnsi="Arial" w:cs="Arial"/>
          <w:color w:val="000000"/>
        </w:rPr>
      </w:pPr>
    </w:p>
    <w:p w14:paraId="55376313" w14:textId="77777777" w:rsidR="003F7EFA" w:rsidRPr="003D6946" w:rsidRDefault="003F7EFA" w:rsidP="00924CA4">
      <w:pPr>
        <w:spacing w:line="360" w:lineRule="auto"/>
        <w:jc w:val="both"/>
        <w:rPr>
          <w:rFonts w:ascii="Arial" w:hAnsi="Arial" w:cs="Arial"/>
          <w:b/>
          <w:color w:val="000000"/>
        </w:rPr>
      </w:pPr>
      <w:r w:rsidRPr="003D6946">
        <w:rPr>
          <w:rFonts w:ascii="Arial" w:hAnsi="Arial" w:cs="Arial"/>
          <w:b/>
          <w:color w:val="000000"/>
        </w:rPr>
        <w:t>Procedures:</w:t>
      </w:r>
    </w:p>
    <w:p w14:paraId="32DC0972" w14:textId="4A092CD3" w:rsidR="00C138C3" w:rsidRPr="00924CA4" w:rsidRDefault="009E5D83" w:rsidP="00924CA4">
      <w:pPr>
        <w:spacing w:line="360" w:lineRule="auto"/>
        <w:jc w:val="both"/>
        <w:rPr>
          <w:rFonts w:ascii="Arial" w:hAnsi="Arial" w:cs="Arial"/>
        </w:rPr>
      </w:pPr>
      <w:r>
        <w:rPr>
          <w:rFonts w:ascii="Arial" w:hAnsi="Arial" w:cs="Arial"/>
          <w:color w:val="000000"/>
        </w:rPr>
        <w:t>U</w:t>
      </w:r>
      <w:r w:rsidRPr="002347B6">
        <w:rPr>
          <w:rFonts w:ascii="Arial" w:hAnsi="Arial" w:cs="Arial"/>
          <w:color w:val="000000"/>
        </w:rPr>
        <w:t xml:space="preserve">ltrasound examination </w:t>
      </w:r>
      <w:r>
        <w:rPr>
          <w:rFonts w:ascii="Arial" w:hAnsi="Arial" w:cs="Arial"/>
          <w:color w:val="000000"/>
        </w:rPr>
        <w:t xml:space="preserve">was done at </w:t>
      </w:r>
      <w:r w:rsidRPr="002347B6">
        <w:rPr>
          <w:rFonts w:ascii="Arial" w:hAnsi="Arial" w:cs="Arial"/>
          <w:color w:val="000000"/>
        </w:rPr>
        <w:t>screening</w:t>
      </w:r>
      <w:r>
        <w:rPr>
          <w:rFonts w:ascii="Arial" w:hAnsi="Arial" w:cs="Arial"/>
          <w:color w:val="000000"/>
        </w:rPr>
        <w:t xml:space="preserve"> or within 2 weeks of enrolment</w:t>
      </w:r>
      <w:r w:rsidR="00D940FA">
        <w:rPr>
          <w:rFonts w:ascii="Arial" w:hAnsi="Arial" w:cs="Arial"/>
          <w:color w:val="000000"/>
        </w:rPr>
        <w:t xml:space="preserve"> across both sites</w:t>
      </w:r>
      <w:r>
        <w:rPr>
          <w:rFonts w:ascii="Arial" w:hAnsi="Arial" w:cs="Arial"/>
          <w:color w:val="000000"/>
        </w:rPr>
        <w:t>.</w:t>
      </w:r>
      <w:r w:rsidRPr="002347B6">
        <w:rPr>
          <w:rFonts w:ascii="Arial" w:hAnsi="Arial" w:cs="Arial"/>
          <w:color w:val="000000"/>
        </w:rPr>
        <w:t xml:space="preserve"> </w:t>
      </w:r>
      <w:r w:rsidR="00843D88" w:rsidRPr="00104214">
        <w:rPr>
          <w:rFonts w:ascii="Arial" w:hAnsi="Arial" w:cs="Arial"/>
          <w:color w:val="000000"/>
        </w:rPr>
        <w:t xml:space="preserve">Gestational age at screening was a </w:t>
      </w:r>
      <w:r w:rsidR="00ED493F" w:rsidRPr="00104214">
        <w:rPr>
          <w:rFonts w:ascii="Arial" w:hAnsi="Arial" w:cs="Arial"/>
          <w:color w:val="000000"/>
        </w:rPr>
        <w:t>best estimate</w:t>
      </w:r>
      <w:r w:rsidR="00267B2F">
        <w:rPr>
          <w:rFonts w:ascii="Arial" w:hAnsi="Arial" w:cs="Arial"/>
          <w:color w:val="000000"/>
        </w:rPr>
        <w:t xml:space="preserve"> </w:t>
      </w:r>
      <w:r w:rsidR="00ED493F" w:rsidRPr="00104214">
        <w:rPr>
          <w:rFonts w:ascii="Arial" w:hAnsi="Arial" w:cs="Arial"/>
          <w:color w:val="000000"/>
        </w:rPr>
        <w:t>based on</w:t>
      </w:r>
      <w:r w:rsidR="00FC4E1C" w:rsidRPr="00104214">
        <w:rPr>
          <w:rFonts w:ascii="Arial" w:hAnsi="Arial" w:cs="Arial"/>
          <w:color w:val="000000"/>
        </w:rPr>
        <w:t xml:space="preserve"> a combination of</w:t>
      </w:r>
      <w:r w:rsidR="00ED493F" w:rsidRPr="00104214">
        <w:rPr>
          <w:rFonts w:ascii="Arial" w:hAnsi="Arial" w:cs="Arial"/>
          <w:color w:val="000000"/>
        </w:rPr>
        <w:t xml:space="preserve"> recall of last menstrual period, pubic symphysis-fundal height and fetal ultrasound</w:t>
      </w:r>
      <w:r w:rsidR="007B48E8">
        <w:rPr>
          <w:rFonts w:ascii="Arial" w:hAnsi="Arial" w:cs="Arial"/>
          <w:color w:val="000000"/>
        </w:rPr>
        <w:t xml:space="preserve"> (if undertaken at screening)</w:t>
      </w:r>
      <w:r w:rsidR="00843D88" w:rsidRPr="00104214">
        <w:rPr>
          <w:rFonts w:ascii="Arial" w:hAnsi="Arial" w:cs="Arial"/>
          <w:color w:val="000000"/>
        </w:rPr>
        <w:t xml:space="preserve">. </w:t>
      </w:r>
      <w:r w:rsidR="0038095F" w:rsidRPr="00104214">
        <w:rPr>
          <w:rFonts w:ascii="Arial" w:hAnsi="Arial" w:cs="Arial"/>
          <w:color w:val="000000"/>
        </w:rPr>
        <w:t>The following tests were undertaken at screening:</w:t>
      </w:r>
      <w:r w:rsidR="005A61D5" w:rsidRPr="00104214">
        <w:rPr>
          <w:rFonts w:ascii="Arial" w:hAnsi="Arial" w:cs="Arial"/>
          <w:color w:val="000000"/>
        </w:rPr>
        <w:t xml:space="preserve"> HIV-1 and -2 antibodies, CD4 count, full blood count, urea</w:t>
      </w:r>
      <w:r w:rsidR="00047181">
        <w:rPr>
          <w:rFonts w:ascii="Arial" w:hAnsi="Arial" w:cs="Arial"/>
          <w:color w:val="000000"/>
        </w:rPr>
        <w:t>, creatinine</w:t>
      </w:r>
      <w:r w:rsidR="005A61D5" w:rsidRPr="00104214">
        <w:rPr>
          <w:rFonts w:ascii="Arial" w:hAnsi="Arial" w:cs="Arial"/>
          <w:color w:val="000000"/>
        </w:rPr>
        <w:t xml:space="preserve"> and electrolytes, bilirubin, alanine aminotransferase and creatinine phosphokinase</w:t>
      </w:r>
      <w:r w:rsidR="0038095F" w:rsidRPr="00104214">
        <w:rPr>
          <w:rFonts w:ascii="Arial" w:hAnsi="Arial" w:cs="Arial"/>
          <w:color w:val="000000"/>
        </w:rPr>
        <w:t xml:space="preserve"> </w:t>
      </w:r>
      <w:r w:rsidR="005A61D5" w:rsidRPr="00104214">
        <w:rPr>
          <w:rFonts w:ascii="Arial" w:hAnsi="Arial" w:cs="Arial"/>
          <w:color w:val="000000"/>
        </w:rPr>
        <w:t xml:space="preserve">activity. HIV viral load </w:t>
      </w:r>
      <w:r w:rsidR="00B94040">
        <w:rPr>
          <w:rFonts w:ascii="Arial" w:hAnsi="Arial" w:cs="Arial"/>
          <w:color w:val="000000"/>
        </w:rPr>
        <w:t xml:space="preserve">and </w:t>
      </w:r>
      <w:r w:rsidR="005A61D5" w:rsidRPr="00104214">
        <w:rPr>
          <w:rFonts w:ascii="Arial" w:hAnsi="Arial" w:cs="Arial"/>
          <w:color w:val="000000"/>
        </w:rPr>
        <w:t xml:space="preserve">maternal safety bloods were also collected at </w:t>
      </w:r>
      <w:r w:rsidR="00BC73C9" w:rsidRPr="00104214">
        <w:rPr>
          <w:rFonts w:ascii="Arial" w:hAnsi="Arial" w:cs="Arial"/>
          <w:color w:val="000000"/>
        </w:rPr>
        <w:t xml:space="preserve">7 </w:t>
      </w:r>
      <w:r w:rsidR="005A61D5" w:rsidRPr="00104214">
        <w:rPr>
          <w:rFonts w:ascii="Arial" w:hAnsi="Arial" w:cs="Arial"/>
          <w:color w:val="000000"/>
        </w:rPr>
        <w:t xml:space="preserve">and </w:t>
      </w:r>
      <w:r w:rsidR="00BC73C9" w:rsidRPr="00104214">
        <w:rPr>
          <w:rFonts w:ascii="Arial" w:hAnsi="Arial" w:cs="Arial"/>
          <w:color w:val="000000"/>
        </w:rPr>
        <w:t>28</w:t>
      </w:r>
      <w:r w:rsidR="005A61D5" w:rsidRPr="00104214">
        <w:rPr>
          <w:rFonts w:ascii="Arial" w:hAnsi="Arial" w:cs="Arial"/>
          <w:color w:val="000000"/>
        </w:rPr>
        <w:t xml:space="preserve"> </w:t>
      </w:r>
      <w:r w:rsidR="00BC73C9" w:rsidRPr="00104214">
        <w:rPr>
          <w:rFonts w:ascii="Arial" w:hAnsi="Arial" w:cs="Arial"/>
          <w:color w:val="000000"/>
        </w:rPr>
        <w:t>days</w:t>
      </w:r>
      <w:r w:rsidR="005A61D5" w:rsidRPr="00104214">
        <w:rPr>
          <w:rFonts w:ascii="Arial" w:hAnsi="Arial" w:cs="Arial"/>
          <w:color w:val="000000"/>
        </w:rPr>
        <w:t xml:space="preserve"> following </w:t>
      </w:r>
      <w:r w:rsidR="001A3165" w:rsidRPr="00BC4784">
        <w:rPr>
          <w:rFonts w:ascii="Arial" w:hAnsi="Arial" w:cs="Arial"/>
        </w:rPr>
        <w:t xml:space="preserve">antiretroviral </w:t>
      </w:r>
      <w:r w:rsidR="005A61D5" w:rsidRPr="00104214">
        <w:rPr>
          <w:rFonts w:ascii="Arial" w:hAnsi="Arial" w:cs="Arial"/>
          <w:color w:val="000000"/>
        </w:rPr>
        <w:t>initiation</w:t>
      </w:r>
      <w:r w:rsidR="00BC73C9" w:rsidRPr="00104214">
        <w:rPr>
          <w:rFonts w:ascii="Arial" w:hAnsi="Arial" w:cs="Arial"/>
          <w:color w:val="000000"/>
        </w:rPr>
        <w:t>, at 36</w:t>
      </w:r>
      <w:r w:rsidR="00B94040">
        <w:rPr>
          <w:rFonts w:ascii="Arial" w:hAnsi="Arial" w:cs="Arial"/>
          <w:color w:val="000000"/>
        </w:rPr>
        <w:t xml:space="preserve"> </w:t>
      </w:r>
      <w:r w:rsidR="00BC73C9" w:rsidRPr="00104214">
        <w:rPr>
          <w:rFonts w:ascii="Arial" w:hAnsi="Arial" w:cs="Arial"/>
          <w:color w:val="000000"/>
        </w:rPr>
        <w:t>w</w:t>
      </w:r>
      <w:r w:rsidR="00B94040">
        <w:rPr>
          <w:rFonts w:ascii="Arial" w:hAnsi="Arial" w:cs="Arial"/>
          <w:color w:val="000000"/>
        </w:rPr>
        <w:t>eeks</w:t>
      </w:r>
      <w:r w:rsidR="00BC73C9" w:rsidRPr="00104214">
        <w:rPr>
          <w:rFonts w:ascii="Arial" w:hAnsi="Arial" w:cs="Arial"/>
          <w:color w:val="000000"/>
        </w:rPr>
        <w:t xml:space="preserve"> gestation </w:t>
      </w:r>
      <w:r w:rsidR="00267B2F">
        <w:rPr>
          <w:rFonts w:ascii="Arial" w:hAnsi="Arial" w:cs="Arial"/>
          <w:color w:val="000000"/>
        </w:rPr>
        <w:t>(</w:t>
      </w:r>
      <w:r w:rsidR="00BC73C9" w:rsidRPr="00104214">
        <w:rPr>
          <w:rFonts w:ascii="Arial" w:hAnsi="Arial" w:cs="Arial"/>
          <w:color w:val="000000"/>
        </w:rPr>
        <w:t>if applicable</w:t>
      </w:r>
      <w:r w:rsidR="00267B2F">
        <w:rPr>
          <w:rFonts w:ascii="Arial" w:hAnsi="Arial" w:cs="Arial"/>
          <w:color w:val="000000"/>
        </w:rPr>
        <w:t>), and</w:t>
      </w:r>
      <w:r w:rsidR="00B55764" w:rsidRPr="00104214">
        <w:rPr>
          <w:rFonts w:ascii="Arial" w:hAnsi="Arial" w:cs="Arial"/>
        </w:rPr>
        <w:t xml:space="preserve"> at the delivery visit</w:t>
      </w:r>
      <w:r w:rsidR="00267B2F">
        <w:rPr>
          <w:rFonts w:ascii="Arial" w:hAnsi="Arial" w:cs="Arial"/>
        </w:rPr>
        <w:t xml:space="preserve"> (</w:t>
      </w:r>
      <w:r w:rsidR="00B55764" w:rsidRPr="00104214">
        <w:rPr>
          <w:rFonts w:ascii="Arial" w:hAnsi="Arial" w:cs="Arial"/>
        </w:rPr>
        <w:t xml:space="preserve">0-14 days </w:t>
      </w:r>
      <w:r w:rsidR="00267B2F">
        <w:rPr>
          <w:rFonts w:ascii="Arial" w:hAnsi="Arial" w:cs="Arial"/>
        </w:rPr>
        <w:t>post-partum</w:t>
      </w:r>
      <w:r w:rsidR="00B55764" w:rsidRPr="00104214">
        <w:rPr>
          <w:rFonts w:ascii="Arial" w:hAnsi="Arial" w:cs="Arial"/>
        </w:rPr>
        <w:t>)</w:t>
      </w:r>
      <w:r w:rsidR="009C0599" w:rsidRPr="00104214">
        <w:rPr>
          <w:rFonts w:ascii="Arial" w:hAnsi="Arial" w:cs="Arial"/>
        </w:rPr>
        <w:t>.</w:t>
      </w:r>
      <w:r w:rsidR="00924CA4">
        <w:rPr>
          <w:rFonts w:ascii="Arial" w:hAnsi="Arial" w:cs="Arial"/>
        </w:rPr>
        <w:t xml:space="preserve"> </w:t>
      </w:r>
      <w:r w:rsidR="00626FB4" w:rsidRPr="00626FB4">
        <w:rPr>
          <w:rFonts w:ascii="Arial" w:hAnsi="Arial" w:cs="Arial"/>
        </w:rPr>
        <w:t xml:space="preserve">Study site deliveries </w:t>
      </w:r>
      <w:r w:rsidR="007F60EE">
        <w:rPr>
          <w:rFonts w:ascii="Arial" w:hAnsi="Arial" w:cs="Arial"/>
        </w:rPr>
        <w:t>were</w:t>
      </w:r>
      <w:r w:rsidR="00626FB4" w:rsidRPr="00626FB4">
        <w:rPr>
          <w:rFonts w:ascii="Arial" w:hAnsi="Arial" w:cs="Arial"/>
        </w:rPr>
        <w:t xml:space="preserve"> attended by study staff and </w:t>
      </w:r>
      <w:r w:rsidR="007F60EE">
        <w:rPr>
          <w:rFonts w:ascii="Arial" w:hAnsi="Arial" w:cs="Arial"/>
        </w:rPr>
        <w:t>for offsite deliveries</w:t>
      </w:r>
      <w:r w:rsidR="00626FB4" w:rsidRPr="00626FB4">
        <w:rPr>
          <w:rFonts w:ascii="Arial" w:hAnsi="Arial" w:cs="Arial"/>
        </w:rPr>
        <w:t>, the study team arranged review of mothers and infants within 14 days</w:t>
      </w:r>
      <w:r w:rsidR="007F60EE">
        <w:rPr>
          <w:rFonts w:ascii="Arial" w:hAnsi="Arial" w:cs="Arial"/>
        </w:rPr>
        <w:t>.</w:t>
      </w:r>
    </w:p>
    <w:p w14:paraId="3C348A2C" w14:textId="77777777" w:rsidR="0067061B" w:rsidRPr="00104214" w:rsidRDefault="0067061B" w:rsidP="00A67253">
      <w:pPr>
        <w:spacing w:line="360" w:lineRule="auto"/>
        <w:jc w:val="both"/>
        <w:rPr>
          <w:rFonts w:ascii="Arial" w:hAnsi="Arial" w:cs="Arial"/>
          <w:color w:val="000000"/>
        </w:rPr>
      </w:pPr>
    </w:p>
    <w:p w14:paraId="08BE25B1" w14:textId="18407162" w:rsidR="00C138C3" w:rsidRPr="003D6946" w:rsidRDefault="00BC73C9" w:rsidP="00A67253">
      <w:pPr>
        <w:spacing w:line="360" w:lineRule="auto"/>
        <w:jc w:val="both"/>
        <w:rPr>
          <w:rFonts w:ascii="Arial" w:hAnsi="Arial" w:cs="Arial"/>
          <w:u w:val="single"/>
        </w:rPr>
      </w:pPr>
      <w:r w:rsidRPr="003D6946">
        <w:rPr>
          <w:rFonts w:ascii="Arial" w:hAnsi="Arial" w:cs="Arial"/>
          <w:u w:val="single"/>
        </w:rPr>
        <w:t>Antiretroviral therapy</w:t>
      </w:r>
    </w:p>
    <w:p w14:paraId="03882483" w14:textId="4D82060F" w:rsidR="00C138C3" w:rsidRPr="00104214" w:rsidRDefault="00FF4A89" w:rsidP="00881686">
      <w:pPr>
        <w:spacing w:line="360" w:lineRule="auto"/>
        <w:jc w:val="both"/>
        <w:rPr>
          <w:rFonts w:ascii="Arial" w:hAnsi="Arial" w:cs="Arial"/>
        </w:rPr>
      </w:pPr>
      <w:r w:rsidRPr="00104214">
        <w:rPr>
          <w:rFonts w:ascii="Arial" w:hAnsi="Arial" w:cs="Arial"/>
        </w:rPr>
        <w:t xml:space="preserve">Mothers randomized to </w:t>
      </w:r>
      <w:r w:rsidR="002229C4">
        <w:rPr>
          <w:rFonts w:ascii="Arial" w:hAnsi="Arial" w:cs="Arial"/>
        </w:rPr>
        <w:t>dolutegravir</w:t>
      </w:r>
      <w:r w:rsidR="00047181">
        <w:rPr>
          <w:rFonts w:ascii="Arial" w:hAnsi="Arial" w:cs="Arial"/>
        </w:rPr>
        <w:t xml:space="preserve"> </w:t>
      </w:r>
      <w:r w:rsidRPr="00104214">
        <w:rPr>
          <w:rFonts w:ascii="Arial" w:hAnsi="Arial" w:cs="Arial"/>
        </w:rPr>
        <w:t xml:space="preserve">received </w:t>
      </w:r>
      <w:proofErr w:type="spellStart"/>
      <w:r w:rsidR="002229C4" w:rsidRPr="00104214">
        <w:rPr>
          <w:rFonts w:ascii="Arial" w:hAnsi="Arial" w:cs="Arial"/>
        </w:rPr>
        <w:t>Tivicay</w:t>
      </w:r>
      <w:proofErr w:type="spellEnd"/>
      <w:r w:rsidR="002229C4" w:rsidRPr="005D2B3A">
        <w:rPr>
          <w:rFonts w:ascii="Arial" w:hAnsi="Arial" w:cs="Arial"/>
          <w:vertAlign w:val="superscript"/>
        </w:rPr>
        <w:t>®</w:t>
      </w:r>
      <w:r w:rsidR="002229C4">
        <w:rPr>
          <w:rFonts w:ascii="Arial" w:hAnsi="Arial" w:cs="Arial"/>
          <w:vertAlign w:val="superscript"/>
        </w:rPr>
        <w:t xml:space="preserve"> </w:t>
      </w:r>
      <w:r w:rsidRPr="00104214">
        <w:rPr>
          <w:rFonts w:ascii="Arial" w:hAnsi="Arial" w:cs="Arial"/>
        </w:rPr>
        <w:t>50mg/day together with generic tenofovir disoproxil fumarate (</w:t>
      </w:r>
      <w:r w:rsidR="009E5D83">
        <w:rPr>
          <w:rFonts w:ascii="Arial" w:hAnsi="Arial" w:cs="Arial"/>
        </w:rPr>
        <w:t>300</w:t>
      </w:r>
      <w:r w:rsidR="009E5D83" w:rsidRPr="00104214">
        <w:rPr>
          <w:rFonts w:ascii="Arial" w:hAnsi="Arial" w:cs="Arial"/>
        </w:rPr>
        <w:t>mg</w:t>
      </w:r>
      <w:r w:rsidRPr="00104214">
        <w:rPr>
          <w:rFonts w:ascii="Arial" w:hAnsi="Arial" w:cs="Arial"/>
        </w:rPr>
        <w:t>) co</w:t>
      </w:r>
      <w:r w:rsidR="00F669AA">
        <w:rPr>
          <w:rFonts w:ascii="Arial" w:hAnsi="Arial" w:cs="Arial"/>
        </w:rPr>
        <w:t>-</w:t>
      </w:r>
      <w:r w:rsidRPr="00104214">
        <w:rPr>
          <w:rFonts w:ascii="Arial" w:hAnsi="Arial" w:cs="Arial"/>
        </w:rPr>
        <w:t xml:space="preserve">formulated with </w:t>
      </w:r>
      <w:r w:rsidR="007012AD" w:rsidRPr="00104214">
        <w:rPr>
          <w:rFonts w:ascii="Arial" w:hAnsi="Arial" w:cs="Arial"/>
        </w:rPr>
        <w:t>emtricitabine 200mg (South Africa)</w:t>
      </w:r>
      <w:r w:rsidRPr="00104214">
        <w:rPr>
          <w:rFonts w:ascii="Arial" w:hAnsi="Arial" w:cs="Arial"/>
        </w:rPr>
        <w:t xml:space="preserve"> or </w:t>
      </w:r>
      <w:r w:rsidR="007012AD" w:rsidRPr="00104214">
        <w:rPr>
          <w:rFonts w:ascii="Arial" w:hAnsi="Arial" w:cs="Arial"/>
        </w:rPr>
        <w:t>lamivudine 300mg (Uganda)</w:t>
      </w:r>
      <w:r w:rsidR="007012AD">
        <w:rPr>
          <w:rFonts w:ascii="Arial" w:hAnsi="Arial" w:cs="Arial"/>
        </w:rPr>
        <w:t xml:space="preserve"> </w:t>
      </w:r>
      <w:proofErr w:type="gramStart"/>
      <w:r w:rsidR="00267B2F" w:rsidRPr="00104214">
        <w:rPr>
          <w:rFonts w:ascii="Arial" w:hAnsi="Arial" w:cs="Arial"/>
        </w:rPr>
        <w:t>once-daily</w:t>
      </w:r>
      <w:proofErr w:type="gramEnd"/>
      <w:r w:rsidRPr="00104214">
        <w:rPr>
          <w:rFonts w:ascii="Arial" w:hAnsi="Arial" w:cs="Arial"/>
        </w:rPr>
        <w:t xml:space="preserve">. Mothers in the </w:t>
      </w:r>
      <w:r w:rsidR="002229C4">
        <w:rPr>
          <w:rFonts w:ascii="Arial" w:hAnsi="Arial" w:cs="Arial"/>
        </w:rPr>
        <w:t>efavirenz</w:t>
      </w:r>
      <w:r w:rsidRPr="00104214">
        <w:rPr>
          <w:rFonts w:ascii="Arial" w:hAnsi="Arial" w:cs="Arial"/>
        </w:rPr>
        <w:t xml:space="preserve"> arm received </w:t>
      </w:r>
      <w:r w:rsidR="00CA3CF4">
        <w:rPr>
          <w:rFonts w:ascii="Arial" w:hAnsi="Arial" w:cs="Arial"/>
        </w:rPr>
        <w:t xml:space="preserve">a generic </w:t>
      </w:r>
      <w:r w:rsidRPr="00104214">
        <w:rPr>
          <w:rFonts w:ascii="Arial" w:hAnsi="Arial" w:cs="Arial"/>
        </w:rPr>
        <w:t xml:space="preserve">single fixed combination pill of efavirenz 600mg </w:t>
      </w:r>
      <w:r w:rsidR="008C3E5B">
        <w:rPr>
          <w:rFonts w:ascii="Arial" w:hAnsi="Arial" w:cs="Arial"/>
        </w:rPr>
        <w:t>with</w:t>
      </w:r>
      <w:r w:rsidR="008C3E5B" w:rsidRPr="00104214">
        <w:rPr>
          <w:rFonts w:ascii="Arial" w:hAnsi="Arial" w:cs="Arial"/>
        </w:rPr>
        <w:t xml:space="preserve"> </w:t>
      </w:r>
      <w:r w:rsidRPr="00104214">
        <w:rPr>
          <w:rFonts w:ascii="Arial" w:hAnsi="Arial" w:cs="Arial"/>
        </w:rPr>
        <w:t xml:space="preserve">tenofovir plus either </w:t>
      </w:r>
      <w:r w:rsidR="007012AD" w:rsidRPr="00104214">
        <w:rPr>
          <w:rFonts w:ascii="Arial" w:hAnsi="Arial" w:cs="Arial"/>
        </w:rPr>
        <w:t>emtricitabine (South Africa)</w:t>
      </w:r>
      <w:r w:rsidR="007012AD">
        <w:rPr>
          <w:rFonts w:ascii="Arial" w:hAnsi="Arial" w:cs="Arial"/>
        </w:rPr>
        <w:t xml:space="preserve"> </w:t>
      </w:r>
      <w:r w:rsidRPr="00104214">
        <w:rPr>
          <w:rFonts w:ascii="Arial" w:hAnsi="Arial" w:cs="Arial"/>
        </w:rPr>
        <w:t xml:space="preserve">or </w:t>
      </w:r>
      <w:r w:rsidR="007012AD" w:rsidRPr="00104214">
        <w:rPr>
          <w:rFonts w:ascii="Arial" w:hAnsi="Arial" w:cs="Arial"/>
        </w:rPr>
        <w:t>lamivudine (Uganda)</w:t>
      </w:r>
      <w:r w:rsidRPr="00104214">
        <w:rPr>
          <w:rFonts w:ascii="Arial" w:hAnsi="Arial" w:cs="Arial"/>
        </w:rPr>
        <w:t xml:space="preserve">. </w:t>
      </w:r>
      <w:r w:rsidR="00951367" w:rsidRPr="00104214">
        <w:rPr>
          <w:rFonts w:ascii="Arial" w:hAnsi="Arial" w:cs="Arial"/>
        </w:rPr>
        <w:t xml:space="preserve">Each site </w:t>
      </w:r>
      <w:r w:rsidR="00F669AA" w:rsidRPr="00104214">
        <w:rPr>
          <w:rFonts w:ascii="Arial" w:hAnsi="Arial" w:cs="Arial"/>
        </w:rPr>
        <w:t>ha</w:t>
      </w:r>
      <w:r w:rsidR="00F669AA">
        <w:rPr>
          <w:rFonts w:ascii="Arial" w:hAnsi="Arial" w:cs="Arial"/>
        </w:rPr>
        <w:t>d</w:t>
      </w:r>
      <w:r w:rsidR="00F669AA" w:rsidRPr="00104214">
        <w:rPr>
          <w:rFonts w:ascii="Arial" w:hAnsi="Arial" w:cs="Arial"/>
        </w:rPr>
        <w:t xml:space="preserve"> </w:t>
      </w:r>
      <w:r w:rsidR="00951367" w:rsidRPr="00104214">
        <w:rPr>
          <w:rFonts w:ascii="Arial" w:hAnsi="Arial" w:cs="Arial"/>
        </w:rPr>
        <w:t xml:space="preserve">established protocols for </w:t>
      </w:r>
      <w:r w:rsidR="008C3E5B">
        <w:rPr>
          <w:rFonts w:ascii="Arial" w:hAnsi="Arial" w:cs="Arial"/>
        </w:rPr>
        <w:t xml:space="preserve">supporting </w:t>
      </w:r>
      <w:r w:rsidR="00951367" w:rsidRPr="00104214">
        <w:rPr>
          <w:rFonts w:ascii="Arial" w:hAnsi="Arial" w:cs="Arial"/>
        </w:rPr>
        <w:t>a</w:t>
      </w:r>
      <w:r w:rsidRPr="00104214">
        <w:rPr>
          <w:rFonts w:ascii="Arial" w:hAnsi="Arial" w:cs="Arial"/>
        </w:rPr>
        <w:t>dherence</w:t>
      </w:r>
      <w:r w:rsidR="005B4B4D">
        <w:rPr>
          <w:rFonts w:ascii="Arial" w:hAnsi="Arial" w:cs="Arial"/>
        </w:rPr>
        <w:t>,</w:t>
      </w:r>
      <w:r w:rsidRPr="00104214">
        <w:rPr>
          <w:rFonts w:ascii="Arial" w:hAnsi="Arial" w:cs="Arial"/>
        </w:rPr>
        <w:t xml:space="preserve"> psychological counselling</w:t>
      </w:r>
      <w:r w:rsidR="005B4B4D">
        <w:rPr>
          <w:rFonts w:ascii="Arial" w:hAnsi="Arial" w:cs="Arial"/>
        </w:rPr>
        <w:t xml:space="preserve"> </w:t>
      </w:r>
      <w:r w:rsidR="005B4B4D" w:rsidRPr="00104214">
        <w:rPr>
          <w:rFonts w:ascii="Arial" w:hAnsi="Arial" w:cs="Arial"/>
        </w:rPr>
        <w:t>and health advice around pregnancy</w:t>
      </w:r>
      <w:r w:rsidR="005B4B4D">
        <w:rPr>
          <w:rFonts w:ascii="Arial" w:hAnsi="Arial" w:cs="Arial"/>
        </w:rPr>
        <w:t xml:space="preserve"> and</w:t>
      </w:r>
      <w:r w:rsidR="005B4B4D" w:rsidRPr="00104214">
        <w:rPr>
          <w:rFonts w:ascii="Arial" w:hAnsi="Arial" w:cs="Arial"/>
        </w:rPr>
        <w:t xml:space="preserve"> breastfeeding</w:t>
      </w:r>
      <w:r w:rsidR="005B4B4D">
        <w:rPr>
          <w:rFonts w:ascii="Arial" w:hAnsi="Arial" w:cs="Arial"/>
        </w:rPr>
        <w:t>.</w:t>
      </w:r>
      <w:r w:rsidR="00951367" w:rsidRPr="00104214">
        <w:rPr>
          <w:rFonts w:ascii="Arial" w:hAnsi="Arial" w:cs="Arial"/>
        </w:rPr>
        <w:t xml:space="preserve"> </w:t>
      </w:r>
      <w:r w:rsidR="005B4B4D">
        <w:rPr>
          <w:rFonts w:ascii="Arial" w:hAnsi="Arial" w:cs="Arial"/>
        </w:rPr>
        <w:t>U</w:t>
      </w:r>
      <w:r w:rsidR="00DE0480" w:rsidRPr="00104214">
        <w:rPr>
          <w:rFonts w:ascii="Arial" w:hAnsi="Arial" w:cs="Arial"/>
        </w:rPr>
        <w:t xml:space="preserve">se of traditional medications, </w:t>
      </w:r>
      <w:r w:rsidR="005B4B4D">
        <w:rPr>
          <w:rFonts w:ascii="Arial" w:hAnsi="Arial" w:cs="Arial"/>
        </w:rPr>
        <w:t>supplements</w:t>
      </w:r>
      <w:r w:rsidR="005B4B4D" w:rsidRPr="00104214">
        <w:rPr>
          <w:rFonts w:ascii="Arial" w:hAnsi="Arial" w:cs="Arial"/>
        </w:rPr>
        <w:t xml:space="preserve"> </w:t>
      </w:r>
      <w:r w:rsidR="00DE0480" w:rsidRPr="00104214">
        <w:rPr>
          <w:rFonts w:ascii="Arial" w:hAnsi="Arial" w:cs="Arial"/>
        </w:rPr>
        <w:t>and other co</w:t>
      </w:r>
      <w:r w:rsidR="00E718A0">
        <w:rPr>
          <w:rFonts w:ascii="Arial" w:hAnsi="Arial" w:cs="Arial"/>
        </w:rPr>
        <w:t>-</w:t>
      </w:r>
      <w:r w:rsidR="00DE0480" w:rsidRPr="00104214">
        <w:rPr>
          <w:rFonts w:ascii="Arial" w:hAnsi="Arial" w:cs="Arial"/>
        </w:rPr>
        <w:t>medications</w:t>
      </w:r>
      <w:r w:rsidR="000656BC" w:rsidRPr="00104214">
        <w:rPr>
          <w:rFonts w:ascii="Arial" w:hAnsi="Arial" w:cs="Arial"/>
        </w:rPr>
        <w:t xml:space="preserve"> </w:t>
      </w:r>
      <w:r w:rsidR="00180F76">
        <w:rPr>
          <w:rFonts w:ascii="Arial" w:hAnsi="Arial" w:cs="Arial"/>
        </w:rPr>
        <w:t>was checked at every study visit, and drug interactions managed as appropriate</w:t>
      </w:r>
      <w:r w:rsidR="000656BC" w:rsidRPr="00104214">
        <w:rPr>
          <w:rFonts w:ascii="Arial" w:hAnsi="Arial" w:cs="Arial"/>
        </w:rPr>
        <w:t xml:space="preserve">. </w:t>
      </w:r>
      <w:r w:rsidR="00B90074">
        <w:rPr>
          <w:rFonts w:ascii="Arial" w:hAnsi="Arial" w:cs="Arial"/>
        </w:rPr>
        <w:t xml:space="preserve">In keeping with national guidelines in </w:t>
      </w:r>
      <w:r w:rsidR="007012AD">
        <w:rPr>
          <w:rFonts w:ascii="Arial" w:hAnsi="Arial" w:cs="Arial"/>
        </w:rPr>
        <w:t>South Africa</w:t>
      </w:r>
      <w:r w:rsidR="007012AD" w:rsidDel="007012AD">
        <w:rPr>
          <w:rFonts w:ascii="Arial" w:hAnsi="Arial" w:cs="Arial"/>
        </w:rPr>
        <w:t xml:space="preserve"> </w:t>
      </w:r>
      <w:r w:rsidR="00B90074">
        <w:rPr>
          <w:rFonts w:ascii="Arial" w:hAnsi="Arial" w:cs="Arial"/>
        </w:rPr>
        <w:t xml:space="preserve">and </w:t>
      </w:r>
      <w:r w:rsidR="007012AD">
        <w:rPr>
          <w:rFonts w:ascii="Arial" w:hAnsi="Arial" w:cs="Arial"/>
        </w:rPr>
        <w:t>Uganda</w:t>
      </w:r>
      <w:r w:rsidR="00B90074">
        <w:rPr>
          <w:rFonts w:ascii="Arial" w:hAnsi="Arial" w:cs="Arial"/>
        </w:rPr>
        <w:t xml:space="preserve">, </w:t>
      </w:r>
      <w:r w:rsidR="00A413CD">
        <w:rPr>
          <w:rFonts w:ascii="Arial" w:hAnsi="Arial" w:cs="Arial"/>
        </w:rPr>
        <w:t>n</w:t>
      </w:r>
      <w:r w:rsidR="00B90074" w:rsidRPr="00881686">
        <w:rPr>
          <w:rFonts w:ascii="Arial" w:hAnsi="Arial" w:cs="Arial"/>
        </w:rPr>
        <w:t xml:space="preserve">ewborn infants </w:t>
      </w:r>
      <w:r w:rsidR="000D3D94" w:rsidRPr="00881686">
        <w:rPr>
          <w:rFonts w:ascii="Arial" w:hAnsi="Arial" w:cs="Arial"/>
        </w:rPr>
        <w:t xml:space="preserve">were prescribed </w:t>
      </w:r>
      <w:r w:rsidR="00B90074" w:rsidRPr="00881686">
        <w:rPr>
          <w:rFonts w:ascii="Arial" w:hAnsi="Arial" w:cs="Arial"/>
        </w:rPr>
        <w:t>nevirapine for 6 weeks</w:t>
      </w:r>
      <w:r w:rsidR="00B90074" w:rsidRPr="00A413CD">
        <w:rPr>
          <w:rFonts w:ascii="Arial" w:hAnsi="Arial" w:cs="Arial"/>
        </w:rPr>
        <w:t>.</w:t>
      </w:r>
    </w:p>
    <w:p w14:paraId="7B10318F" w14:textId="77777777" w:rsidR="00DE0480" w:rsidRPr="00104214" w:rsidRDefault="00DE0480" w:rsidP="00124A7B">
      <w:pPr>
        <w:spacing w:line="360" w:lineRule="auto"/>
        <w:jc w:val="both"/>
        <w:rPr>
          <w:rFonts w:ascii="Arial" w:hAnsi="Arial" w:cs="Arial"/>
        </w:rPr>
      </w:pPr>
    </w:p>
    <w:p w14:paraId="6164AD39" w14:textId="7E3BED40" w:rsidR="003F7EFA" w:rsidRDefault="003F7EFA" w:rsidP="00124A7B">
      <w:pPr>
        <w:spacing w:line="360" w:lineRule="auto"/>
        <w:jc w:val="both"/>
        <w:rPr>
          <w:rFonts w:ascii="Arial" w:hAnsi="Arial" w:cs="Arial"/>
          <w:b/>
          <w:u w:val="single"/>
        </w:rPr>
      </w:pPr>
      <w:r>
        <w:rPr>
          <w:rFonts w:ascii="Arial" w:hAnsi="Arial" w:cs="Arial"/>
          <w:b/>
          <w:u w:val="single"/>
        </w:rPr>
        <w:t>Outcomes</w:t>
      </w:r>
    </w:p>
    <w:p w14:paraId="340E8CE3" w14:textId="2C3FC24E" w:rsidR="00DE0480" w:rsidRPr="003D6946" w:rsidRDefault="00DE0480" w:rsidP="00124A7B">
      <w:pPr>
        <w:spacing w:line="360" w:lineRule="auto"/>
        <w:jc w:val="both"/>
        <w:rPr>
          <w:rFonts w:ascii="Arial" w:hAnsi="Arial" w:cs="Arial"/>
          <w:u w:val="single"/>
        </w:rPr>
      </w:pPr>
      <w:r w:rsidRPr="003D6946">
        <w:rPr>
          <w:rFonts w:ascii="Arial" w:hAnsi="Arial" w:cs="Arial"/>
          <w:u w:val="single"/>
        </w:rPr>
        <w:t>Safety evaluation</w:t>
      </w:r>
      <w:r w:rsidR="000656BC" w:rsidRPr="003D6946">
        <w:rPr>
          <w:rFonts w:ascii="Arial" w:hAnsi="Arial" w:cs="Arial"/>
          <w:u w:val="single"/>
        </w:rPr>
        <w:t xml:space="preserve"> and reporting</w:t>
      </w:r>
      <w:r w:rsidRPr="003D6946">
        <w:rPr>
          <w:rFonts w:ascii="Arial" w:hAnsi="Arial" w:cs="Arial"/>
          <w:u w:val="single"/>
        </w:rPr>
        <w:t xml:space="preserve"> in mothers and infants</w:t>
      </w:r>
    </w:p>
    <w:p w14:paraId="62B2D6C0" w14:textId="6BCF64FE" w:rsidR="00DE0480" w:rsidRPr="00104214" w:rsidRDefault="002D07E0" w:rsidP="00124A7B">
      <w:pPr>
        <w:spacing w:line="360" w:lineRule="auto"/>
        <w:jc w:val="both"/>
        <w:rPr>
          <w:rFonts w:ascii="Arial" w:hAnsi="Arial" w:cs="Arial"/>
        </w:rPr>
      </w:pPr>
      <w:r>
        <w:rPr>
          <w:rFonts w:ascii="Arial" w:hAnsi="Arial" w:cs="Arial"/>
        </w:rPr>
        <w:t xml:space="preserve">We </w:t>
      </w:r>
      <w:proofErr w:type="spellStart"/>
      <w:r>
        <w:rPr>
          <w:rFonts w:ascii="Arial" w:hAnsi="Arial" w:cs="Arial"/>
        </w:rPr>
        <w:t>categori</w:t>
      </w:r>
      <w:r w:rsidR="0031228B">
        <w:rPr>
          <w:rFonts w:ascii="Arial" w:hAnsi="Arial" w:cs="Arial"/>
        </w:rPr>
        <w:t>s</w:t>
      </w:r>
      <w:r>
        <w:rPr>
          <w:rFonts w:ascii="Arial" w:hAnsi="Arial" w:cs="Arial"/>
        </w:rPr>
        <w:t>ed</w:t>
      </w:r>
      <w:proofErr w:type="spellEnd"/>
      <w:r>
        <w:rPr>
          <w:rFonts w:ascii="Arial" w:hAnsi="Arial" w:cs="Arial"/>
        </w:rPr>
        <w:t xml:space="preserve"> </w:t>
      </w:r>
      <w:r w:rsidR="0031228B">
        <w:rPr>
          <w:rFonts w:ascii="Arial" w:hAnsi="Arial" w:cs="Arial"/>
        </w:rPr>
        <w:t>a</w:t>
      </w:r>
      <w:r w:rsidR="000656BC" w:rsidRPr="00104214">
        <w:rPr>
          <w:rFonts w:ascii="Arial" w:hAnsi="Arial" w:cs="Arial"/>
        </w:rPr>
        <w:t xml:space="preserve">dverse </w:t>
      </w:r>
      <w:r w:rsidR="003779A9">
        <w:rPr>
          <w:rFonts w:ascii="Arial" w:hAnsi="Arial" w:cs="Arial"/>
        </w:rPr>
        <w:t>events</w:t>
      </w:r>
      <w:r w:rsidR="003779A9" w:rsidRPr="00104214">
        <w:rPr>
          <w:rFonts w:ascii="Arial" w:hAnsi="Arial" w:cs="Arial"/>
        </w:rPr>
        <w:t xml:space="preserve"> </w:t>
      </w:r>
      <w:r w:rsidR="000656BC" w:rsidRPr="00104214">
        <w:rPr>
          <w:rFonts w:ascii="Arial" w:hAnsi="Arial" w:cs="Arial"/>
        </w:rPr>
        <w:t xml:space="preserve">(AE) and serious adverse </w:t>
      </w:r>
      <w:r w:rsidR="003779A9">
        <w:rPr>
          <w:rFonts w:ascii="Arial" w:hAnsi="Arial" w:cs="Arial"/>
        </w:rPr>
        <w:t>events</w:t>
      </w:r>
      <w:r w:rsidR="003779A9" w:rsidRPr="00104214">
        <w:rPr>
          <w:rFonts w:ascii="Arial" w:hAnsi="Arial" w:cs="Arial"/>
        </w:rPr>
        <w:t xml:space="preserve"> </w:t>
      </w:r>
      <w:r w:rsidR="000656BC" w:rsidRPr="00104214">
        <w:rPr>
          <w:rFonts w:ascii="Arial" w:hAnsi="Arial" w:cs="Arial"/>
        </w:rPr>
        <w:t>(SAE) according to MedDRA</w:t>
      </w:r>
      <w:r w:rsidR="00BC4784" w:rsidRPr="006D7CBA">
        <w:rPr>
          <w:rFonts w:ascii="Arial" w:hAnsi="Arial" w:cs="Arial"/>
          <w:vertAlign w:val="superscript"/>
        </w:rPr>
        <w:t>5</w:t>
      </w:r>
      <w:r w:rsidR="000656BC" w:rsidRPr="00104214">
        <w:rPr>
          <w:rFonts w:ascii="Arial" w:hAnsi="Arial" w:cs="Arial"/>
        </w:rPr>
        <w:t xml:space="preserve"> </w:t>
      </w:r>
      <w:r w:rsidR="00454E93" w:rsidRPr="00104214">
        <w:rPr>
          <w:rFonts w:ascii="Arial" w:hAnsi="Arial" w:cs="Arial"/>
        </w:rPr>
        <w:t>with s</w:t>
      </w:r>
      <w:r w:rsidR="000656BC" w:rsidRPr="00104214">
        <w:rPr>
          <w:rFonts w:ascii="Arial" w:hAnsi="Arial" w:cs="Arial"/>
        </w:rPr>
        <w:t xml:space="preserve">everity classified according to the DAIDS Grading Scale </w:t>
      </w:r>
      <w:r w:rsidR="00DD02CE">
        <w:rPr>
          <w:rFonts w:ascii="Arial" w:hAnsi="Arial" w:cs="Arial"/>
        </w:rPr>
        <w:t>(version 2</w:t>
      </w:r>
      <w:r w:rsidR="009D58BF">
        <w:rPr>
          <w:rFonts w:ascii="Arial" w:hAnsi="Arial" w:cs="Arial"/>
        </w:rPr>
        <w:t>·</w:t>
      </w:r>
      <w:r w:rsidR="00DD02CE">
        <w:rPr>
          <w:rFonts w:ascii="Arial" w:hAnsi="Arial" w:cs="Arial"/>
        </w:rPr>
        <w:t>1, July 2017)</w:t>
      </w:r>
      <w:r w:rsidR="00454E93" w:rsidRPr="00104214">
        <w:rPr>
          <w:rFonts w:ascii="Arial" w:hAnsi="Arial" w:cs="Arial"/>
        </w:rPr>
        <w:t xml:space="preserve">. </w:t>
      </w:r>
      <w:r w:rsidR="00492FA7">
        <w:rPr>
          <w:rFonts w:ascii="Arial" w:hAnsi="Arial" w:cs="Arial"/>
        </w:rPr>
        <w:t>A</w:t>
      </w:r>
      <w:r w:rsidR="000656BC" w:rsidRPr="00104214">
        <w:rPr>
          <w:rFonts w:ascii="Arial" w:hAnsi="Arial" w:cs="Arial"/>
        </w:rPr>
        <w:t xml:space="preserve"> Safety Endpoint Review Committee (blinded to allocation arm) </w:t>
      </w:r>
      <w:r w:rsidR="00757362">
        <w:rPr>
          <w:rFonts w:ascii="Arial" w:hAnsi="Arial" w:cs="Arial"/>
        </w:rPr>
        <w:t xml:space="preserve">assessed </w:t>
      </w:r>
      <w:r w:rsidR="00AE45FE">
        <w:rPr>
          <w:rFonts w:ascii="Arial" w:hAnsi="Arial" w:cs="Arial"/>
        </w:rPr>
        <w:t xml:space="preserve">all </w:t>
      </w:r>
      <w:r w:rsidR="00757362">
        <w:rPr>
          <w:rFonts w:ascii="Arial" w:hAnsi="Arial" w:cs="Arial"/>
        </w:rPr>
        <w:t>SAEs</w:t>
      </w:r>
      <w:r w:rsidR="00D27185">
        <w:rPr>
          <w:rFonts w:ascii="Arial" w:hAnsi="Arial" w:cs="Arial"/>
        </w:rPr>
        <w:t xml:space="preserve">, </w:t>
      </w:r>
      <w:r w:rsidR="00D27185">
        <w:rPr>
          <w:rFonts w:ascii="Arial" w:hAnsi="Arial" w:cs="Arial"/>
          <w:color w:val="202020"/>
          <w:shd w:val="clear" w:color="auto" w:fill="FFFFFF"/>
        </w:rPr>
        <w:t>stillbirths, infant deaths and infant transmissions</w:t>
      </w:r>
      <w:r w:rsidR="00AE45FE">
        <w:rPr>
          <w:rFonts w:ascii="Arial" w:hAnsi="Arial" w:cs="Arial"/>
        </w:rPr>
        <w:t xml:space="preserve"> </w:t>
      </w:r>
      <w:r w:rsidR="00757362">
        <w:rPr>
          <w:rFonts w:ascii="Arial" w:hAnsi="Arial" w:cs="Arial"/>
        </w:rPr>
        <w:t xml:space="preserve">for relationship to study medication </w:t>
      </w:r>
      <w:r w:rsidR="00D27185">
        <w:rPr>
          <w:rFonts w:ascii="Arial" w:hAnsi="Arial" w:cs="Arial"/>
        </w:rPr>
        <w:t>(</w:t>
      </w:r>
      <w:r w:rsidR="000656BC" w:rsidRPr="00104214">
        <w:rPr>
          <w:rFonts w:ascii="Arial" w:hAnsi="Arial" w:cs="Arial"/>
        </w:rPr>
        <w:t xml:space="preserve">using the </w:t>
      </w:r>
      <w:r w:rsidR="00CB2B37" w:rsidRPr="00104214">
        <w:rPr>
          <w:rFonts w:ascii="Arial" w:hAnsi="Arial" w:cs="Arial"/>
        </w:rPr>
        <w:t xml:space="preserve">Liverpool Adverse Drug Reaction </w:t>
      </w:r>
      <w:r w:rsidR="00CB2B37" w:rsidRPr="00104214">
        <w:rPr>
          <w:rFonts w:ascii="Arial" w:hAnsi="Arial" w:cs="Arial"/>
        </w:rPr>
        <w:lastRenderedPageBreak/>
        <w:t>Causality Assessment Tool</w:t>
      </w:r>
      <w:r w:rsidR="00BC4784" w:rsidRPr="006D7CBA">
        <w:rPr>
          <w:rFonts w:ascii="Arial" w:hAnsi="Arial" w:cs="Arial"/>
          <w:vertAlign w:val="superscript"/>
        </w:rPr>
        <w:t>6</w:t>
      </w:r>
      <w:r w:rsidR="00D27185">
        <w:rPr>
          <w:rFonts w:ascii="Arial" w:hAnsi="Arial" w:cs="Arial"/>
        </w:rPr>
        <w:t xml:space="preserve">) as well as </w:t>
      </w:r>
      <w:r w:rsidR="00492FA7" w:rsidRPr="00104214">
        <w:rPr>
          <w:rFonts w:ascii="Arial" w:hAnsi="Arial" w:cs="Arial"/>
          <w:color w:val="202020"/>
          <w:shd w:val="clear" w:color="auto" w:fill="FFFFFF"/>
        </w:rPr>
        <w:t xml:space="preserve">likelihood of </w:t>
      </w:r>
      <w:r w:rsidR="00757362">
        <w:rPr>
          <w:rFonts w:ascii="Arial" w:hAnsi="Arial" w:cs="Arial"/>
          <w:color w:val="202020"/>
          <w:shd w:val="clear" w:color="auto" w:fill="FFFFFF"/>
        </w:rPr>
        <w:t xml:space="preserve">maternal </w:t>
      </w:r>
      <w:r w:rsidR="000704A0">
        <w:rPr>
          <w:rFonts w:ascii="Arial" w:hAnsi="Arial" w:cs="Arial"/>
          <w:color w:val="202020"/>
          <w:shd w:val="clear" w:color="auto" w:fill="FFFFFF"/>
        </w:rPr>
        <w:t>Immune Reconstitution Inflammatory Syndrome (</w:t>
      </w:r>
      <w:r w:rsidR="00492FA7" w:rsidRPr="00104214">
        <w:rPr>
          <w:rFonts w:ascii="Arial" w:hAnsi="Arial" w:cs="Arial"/>
          <w:color w:val="202020"/>
          <w:shd w:val="clear" w:color="auto" w:fill="FFFFFF"/>
        </w:rPr>
        <w:t>IRIS</w:t>
      </w:r>
      <w:r w:rsidR="000704A0">
        <w:rPr>
          <w:rFonts w:ascii="Arial" w:hAnsi="Arial" w:cs="Arial"/>
          <w:color w:val="202020"/>
          <w:shd w:val="clear" w:color="auto" w:fill="FFFFFF"/>
        </w:rPr>
        <w:t>)</w:t>
      </w:r>
      <w:r w:rsidR="00757362">
        <w:rPr>
          <w:rFonts w:ascii="Arial" w:hAnsi="Arial" w:cs="Arial"/>
          <w:color w:val="202020"/>
          <w:shd w:val="clear" w:color="auto" w:fill="FFFFFF"/>
        </w:rPr>
        <w:t>.</w:t>
      </w:r>
      <w:r w:rsidR="00492FA7">
        <w:rPr>
          <w:rFonts w:ascii="Arial" w:hAnsi="Arial" w:cs="Arial"/>
          <w:color w:val="202020"/>
          <w:shd w:val="clear" w:color="auto" w:fill="FFFFFF"/>
        </w:rPr>
        <w:t xml:space="preserve"> </w:t>
      </w:r>
    </w:p>
    <w:p w14:paraId="5A1B5184" w14:textId="4804256D" w:rsidR="001E4C00" w:rsidRPr="00104214" w:rsidRDefault="001E4C00" w:rsidP="00A67253">
      <w:pPr>
        <w:spacing w:line="360" w:lineRule="auto"/>
        <w:jc w:val="both"/>
        <w:rPr>
          <w:rFonts w:ascii="Arial" w:hAnsi="Arial" w:cs="Arial"/>
        </w:rPr>
      </w:pPr>
    </w:p>
    <w:p w14:paraId="621CAF7F" w14:textId="7BBC574C" w:rsidR="002A684A" w:rsidRPr="00104214" w:rsidRDefault="00757362" w:rsidP="00A67253">
      <w:pPr>
        <w:spacing w:line="360" w:lineRule="auto"/>
        <w:jc w:val="both"/>
        <w:rPr>
          <w:rFonts w:ascii="Arial" w:hAnsi="Arial" w:cs="Arial"/>
          <w:u w:val="single"/>
        </w:rPr>
      </w:pPr>
      <w:r>
        <w:rPr>
          <w:rFonts w:ascii="Arial" w:hAnsi="Arial" w:cs="Arial"/>
          <w:u w:val="single"/>
        </w:rPr>
        <w:t>Assessment of m</w:t>
      </w:r>
      <w:r w:rsidRPr="00104214">
        <w:rPr>
          <w:rFonts w:ascii="Arial" w:hAnsi="Arial" w:cs="Arial"/>
          <w:u w:val="single"/>
        </w:rPr>
        <w:t xml:space="preserve">aternal </w:t>
      </w:r>
      <w:r w:rsidR="002A684A" w:rsidRPr="00104214">
        <w:rPr>
          <w:rFonts w:ascii="Arial" w:hAnsi="Arial" w:cs="Arial"/>
          <w:u w:val="single"/>
        </w:rPr>
        <w:t>and birth outcomes</w:t>
      </w:r>
    </w:p>
    <w:p w14:paraId="37311FE3" w14:textId="14AC0ADF" w:rsidR="00FA1C6E" w:rsidRPr="00104214" w:rsidRDefault="00BF324B" w:rsidP="00A67253">
      <w:pPr>
        <w:spacing w:line="360" w:lineRule="auto"/>
        <w:jc w:val="both"/>
        <w:rPr>
          <w:rFonts w:ascii="Arial" w:hAnsi="Arial" w:cs="Arial"/>
        </w:rPr>
      </w:pPr>
      <w:r w:rsidRPr="00104214">
        <w:rPr>
          <w:rFonts w:ascii="Arial" w:hAnsi="Arial" w:cs="Arial"/>
        </w:rPr>
        <w:t xml:space="preserve">Case definitions for IRIS </w:t>
      </w:r>
      <w:r w:rsidR="003F5FB4">
        <w:rPr>
          <w:rFonts w:ascii="Arial" w:hAnsi="Arial" w:cs="Arial"/>
        </w:rPr>
        <w:t>are</w:t>
      </w:r>
      <w:r w:rsidR="003F5FB4" w:rsidRPr="00104214">
        <w:rPr>
          <w:rFonts w:ascii="Arial" w:hAnsi="Arial" w:cs="Arial"/>
        </w:rPr>
        <w:t xml:space="preserve"> </w:t>
      </w:r>
      <w:r w:rsidRPr="00104214">
        <w:rPr>
          <w:rFonts w:ascii="Arial" w:hAnsi="Arial" w:cs="Arial"/>
        </w:rPr>
        <w:t xml:space="preserve">heavily reliant on clinical judgement, given the relative lack of precision of symptoms and limited availability of diagnostic tests. </w:t>
      </w:r>
      <w:r w:rsidR="00AE45FE">
        <w:rPr>
          <w:rFonts w:ascii="Arial" w:hAnsi="Arial" w:cs="Arial"/>
        </w:rPr>
        <w:t xml:space="preserve">For this study, </w:t>
      </w:r>
      <w:r w:rsidR="002D07E0">
        <w:rPr>
          <w:rFonts w:ascii="Arial" w:hAnsi="Arial" w:cs="Arial"/>
        </w:rPr>
        <w:t xml:space="preserve">we defined </w:t>
      </w:r>
      <w:r w:rsidR="006F5992" w:rsidRPr="00104214">
        <w:rPr>
          <w:rFonts w:ascii="Arial" w:hAnsi="Arial" w:cs="Arial"/>
          <w:color w:val="202020"/>
          <w:shd w:val="clear" w:color="auto" w:fill="FFFFFF"/>
        </w:rPr>
        <w:t xml:space="preserve">IRIS </w:t>
      </w:r>
      <w:r w:rsidR="0031228B">
        <w:rPr>
          <w:rFonts w:ascii="Arial" w:hAnsi="Arial" w:cs="Arial"/>
          <w:color w:val="202020"/>
          <w:shd w:val="clear" w:color="auto" w:fill="FFFFFF"/>
        </w:rPr>
        <w:t xml:space="preserve">as </w:t>
      </w:r>
      <w:r w:rsidR="006F5992" w:rsidRPr="00104214">
        <w:rPr>
          <w:rFonts w:ascii="Arial" w:hAnsi="Arial" w:cs="Arial"/>
          <w:color w:val="202020"/>
          <w:shd w:val="clear" w:color="auto" w:fill="FFFFFF"/>
        </w:rPr>
        <w:t xml:space="preserve">any of the following </w:t>
      </w:r>
      <w:r w:rsidR="0031228B" w:rsidRPr="00104214">
        <w:rPr>
          <w:rFonts w:ascii="Arial" w:hAnsi="Arial" w:cs="Arial"/>
          <w:color w:val="202020"/>
          <w:shd w:val="clear" w:color="auto" w:fill="FFFFFF"/>
        </w:rPr>
        <w:t>develop</w:t>
      </w:r>
      <w:r w:rsidR="0031228B">
        <w:rPr>
          <w:rFonts w:ascii="Arial" w:hAnsi="Arial" w:cs="Arial"/>
          <w:color w:val="202020"/>
          <w:shd w:val="clear" w:color="auto" w:fill="FFFFFF"/>
        </w:rPr>
        <w:t>ing</w:t>
      </w:r>
      <w:r w:rsidR="0031228B" w:rsidRPr="00104214">
        <w:rPr>
          <w:rFonts w:ascii="Arial" w:hAnsi="Arial" w:cs="Arial"/>
          <w:color w:val="202020"/>
          <w:shd w:val="clear" w:color="auto" w:fill="FFFFFF"/>
        </w:rPr>
        <w:t xml:space="preserve"> </w:t>
      </w:r>
      <w:r w:rsidR="006F5992" w:rsidRPr="00104214">
        <w:rPr>
          <w:rFonts w:ascii="Arial" w:hAnsi="Arial" w:cs="Arial"/>
          <w:color w:val="202020"/>
          <w:shd w:val="clear" w:color="auto" w:fill="FFFFFF"/>
        </w:rPr>
        <w:t>within</w:t>
      </w:r>
      <w:r w:rsidR="00972F6B">
        <w:rPr>
          <w:rFonts w:ascii="Arial" w:hAnsi="Arial" w:cs="Arial"/>
          <w:color w:val="202020"/>
          <w:shd w:val="clear" w:color="auto" w:fill="FFFFFF"/>
        </w:rPr>
        <w:t xml:space="preserve"> </w:t>
      </w:r>
      <w:r w:rsidR="00BC3907">
        <w:rPr>
          <w:rFonts w:ascii="Arial" w:hAnsi="Arial" w:cs="Arial"/>
          <w:color w:val="202020"/>
          <w:shd w:val="clear" w:color="auto" w:fill="FFFFFF"/>
        </w:rPr>
        <w:t>12</w:t>
      </w:r>
      <w:r w:rsidR="00BB6349">
        <w:rPr>
          <w:rFonts w:ascii="Arial" w:hAnsi="Arial" w:cs="Arial"/>
          <w:color w:val="202020"/>
          <w:shd w:val="clear" w:color="auto" w:fill="FFFFFF"/>
        </w:rPr>
        <w:t xml:space="preserve"> </w:t>
      </w:r>
      <w:r w:rsidR="006F5992" w:rsidRPr="00104214">
        <w:rPr>
          <w:rFonts w:ascii="Arial" w:hAnsi="Arial" w:cs="Arial"/>
          <w:color w:val="202020"/>
          <w:shd w:val="clear" w:color="auto" w:fill="FFFFFF"/>
        </w:rPr>
        <w:t>w</w:t>
      </w:r>
      <w:r w:rsidR="00BB6349">
        <w:rPr>
          <w:rFonts w:ascii="Arial" w:hAnsi="Arial" w:cs="Arial"/>
          <w:color w:val="202020"/>
          <w:shd w:val="clear" w:color="auto" w:fill="FFFFFF"/>
        </w:rPr>
        <w:t>eeks</w:t>
      </w:r>
      <w:r w:rsidR="006F5992" w:rsidRPr="00104214">
        <w:rPr>
          <w:rFonts w:ascii="Arial" w:hAnsi="Arial" w:cs="Arial"/>
          <w:color w:val="202020"/>
          <w:shd w:val="clear" w:color="auto" w:fill="FFFFFF"/>
        </w:rPr>
        <w:t xml:space="preserve"> of </w:t>
      </w:r>
      <w:r w:rsidR="001A3165">
        <w:rPr>
          <w:rFonts w:ascii="Arial" w:hAnsi="Arial" w:cs="Arial"/>
          <w:color w:val="202020"/>
          <w:shd w:val="clear" w:color="auto" w:fill="FFFFFF"/>
        </w:rPr>
        <w:t>treatment</w:t>
      </w:r>
      <w:r w:rsidR="001A3165" w:rsidRPr="00104214">
        <w:rPr>
          <w:rFonts w:ascii="Arial" w:hAnsi="Arial" w:cs="Arial"/>
          <w:color w:val="202020"/>
          <w:shd w:val="clear" w:color="auto" w:fill="FFFFFF"/>
        </w:rPr>
        <w:t xml:space="preserve"> </w:t>
      </w:r>
      <w:r w:rsidR="006F5992" w:rsidRPr="00104214">
        <w:rPr>
          <w:rFonts w:ascii="Arial" w:hAnsi="Arial" w:cs="Arial"/>
          <w:color w:val="202020"/>
          <w:shd w:val="clear" w:color="auto" w:fill="FFFFFF"/>
        </w:rPr>
        <w:t>initiation</w:t>
      </w:r>
      <w:r w:rsidR="00315074">
        <w:rPr>
          <w:rFonts w:ascii="Arial" w:hAnsi="Arial" w:cs="Arial"/>
          <w:color w:val="202020"/>
          <w:shd w:val="clear" w:color="auto" w:fill="FFFFFF"/>
        </w:rPr>
        <w:t>, in the absence of an alternative diagnosis</w:t>
      </w:r>
      <w:r w:rsidR="006F5992" w:rsidRPr="00104214">
        <w:rPr>
          <w:rFonts w:ascii="Arial" w:hAnsi="Arial" w:cs="Arial"/>
          <w:color w:val="202020"/>
          <w:shd w:val="clear" w:color="auto" w:fill="FFFFFF"/>
        </w:rPr>
        <w:t>: i) fever and increased or new lymphadenopathy, or ii) pleural and pericardial effusions, ascites, abscess, cutaneous lesions and new or expanding central nervous lesions, iii) abnormal LFTs or hepatitis, or iv) atypical or exaggerated presentation of an opportunistic infection or tumour</w:t>
      </w:r>
      <w:r w:rsidR="00BC4784" w:rsidRPr="006D7CBA">
        <w:rPr>
          <w:rFonts w:ascii="Arial" w:hAnsi="Arial" w:cs="Arial"/>
          <w:color w:val="202020"/>
          <w:shd w:val="clear" w:color="auto" w:fill="FFFFFF"/>
          <w:vertAlign w:val="superscript"/>
        </w:rPr>
        <w:t>7-9</w:t>
      </w:r>
      <w:r w:rsidR="006A652E" w:rsidRPr="00104214">
        <w:rPr>
          <w:rFonts w:ascii="Arial" w:hAnsi="Arial" w:cs="Arial"/>
          <w:color w:val="202020"/>
          <w:shd w:val="clear" w:color="auto" w:fill="FFFFFF"/>
        </w:rPr>
        <w:t xml:space="preserve">. </w:t>
      </w:r>
      <w:r w:rsidR="00315074">
        <w:rPr>
          <w:rFonts w:ascii="Arial" w:hAnsi="Arial" w:cs="Arial"/>
        </w:rPr>
        <w:t>L</w:t>
      </w:r>
      <w:r w:rsidR="00737653" w:rsidRPr="00104214">
        <w:rPr>
          <w:rFonts w:ascii="Arial" w:hAnsi="Arial" w:cs="Arial"/>
        </w:rPr>
        <w:t>iver function abnormalities, preterm delivery</w:t>
      </w:r>
      <w:r w:rsidR="00757362">
        <w:rPr>
          <w:rFonts w:ascii="Arial" w:hAnsi="Arial" w:cs="Arial"/>
        </w:rPr>
        <w:t>,</w:t>
      </w:r>
      <w:r w:rsidR="00737653" w:rsidRPr="00104214">
        <w:rPr>
          <w:rFonts w:ascii="Arial" w:hAnsi="Arial" w:cs="Arial"/>
        </w:rPr>
        <w:t xml:space="preserve"> pre-eclampsia </w:t>
      </w:r>
      <w:r w:rsidR="00757362">
        <w:rPr>
          <w:rFonts w:ascii="Arial" w:hAnsi="Arial" w:cs="Arial"/>
        </w:rPr>
        <w:t>and n</w:t>
      </w:r>
      <w:r w:rsidR="00757362" w:rsidRPr="00104214">
        <w:rPr>
          <w:rFonts w:ascii="Arial" w:hAnsi="Arial" w:cs="Arial"/>
        </w:rPr>
        <w:t xml:space="preserve">eurological toxicity </w:t>
      </w:r>
      <w:r w:rsidR="00737653" w:rsidRPr="00104214">
        <w:rPr>
          <w:rFonts w:ascii="Arial" w:hAnsi="Arial" w:cs="Arial"/>
        </w:rPr>
        <w:t>were</w:t>
      </w:r>
      <w:r w:rsidR="00315074">
        <w:rPr>
          <w:rFonts w:ascii="Arial" w:hAnsi="Arial" w:cs="Arial"/>
        </w:rPr>
        <w:t xml:space="preserve"> also</w:t>
      </w:r>
      <w:r w:rsidR="00737653" w:rsidRPr="00104214">
        <w:rPr>
          <w:rFonts w:ascii="Arial" w:hAnsi="Arial" w:cs="Arial"/>
        </w:rPr>
        <w:t xml:space="preserve"> identified </w:t>
      </w:r>
      <w:r w:rsidR="00737653" w:rsidRPr="00104214">
        <w:rPr>
          <w:rFonts w:ascii="Arial" w:hAnsi="Arial" w:cs="Arial"/>
          <w:i/>
        </w:rPr>
        <w:t>a priori</w:t>
      </w:r>
      <w:r w:rsidR="00737653" w:rsidRPr="00104214">
        <w:rPr>
          <w:rFonts w:ascii="Arial" w:hAnsi="Arial" w:cs="Arial"/>
        </w:rPr>
        <w:t xml:space="preserve"> as adverse events of special interest</w:t>
      </w:r>
      <w:r w:rsidR="00EE6F09">
        <w:rPr>
          <w:rFonts w:ascii="Arial" w:hAnsi="Arial" w:cs="Arial"/>
        </w:rPr>
        <w:t>.</w:t>
      </w:r>
    </w:p>
    <w:p w14:paraId="75A0DC52" w14:textId="77777777" w:rsidR="00FA1C6E" w:rsidRPr="00104214" w:rsidRDefault="00FA1C6E" w:rsidP="00A67253">
      <w:pPr>
        <w:spacing w:line="360" w:lineRule="auto"/>
        <w:jc w:val="both"/>
        <w:rPr>
          <w:rFonts w:ascii="Arial" w:hAnsi="Arial" w:cs="Arial"/>
        </w:rPr>
      </w:pPr>
    </w:p>
    <w:p w14:paraId="6EED7FE1" w14:textId="0A3CEB9F" w:rsidR="00A40BEF" w:rsidRPr="00104214" w:rsidRDefault="00757362" w:rsidP="00A67253">
      <w:pPr>
        <w:spacing w:line="360" w:lineRule="auto"/>
        <w:jc w:val="both"/>
        <w:rPr>
          <w:rFonts w:ascii="Arial" w:hAnsi="Arial" w:cs="Arial"/>
          <w:u w:val="single"/>
        </w:rPr>
      </w:pPr>
      <w:r>
        <w:rPr>
          <w:rFonts w:ascii="Arial" w:hAnsi="Arial" w:cs="Arial"/>
          <w:u w:val="single"/>
        </w:rPr>
        <w:t>Assessment of i</w:t>
      </w:r>
      <w:r w:rsidRPr="00104214">
        <w:rPr>
          <w:rFonts w:ascii="Arial" w:hAnsi="Arial" w:cs="Arial"/>
          <w:u w:val="single"/>
        </w:rPr>
        <w:t xml:space="preserve">nfant </w:t>
      </w:r>
      <w:r w:rsidR="002A684A" w:rsidRPr="00104214">
        <w:rPr>
          <w:rFonts w:ascii="Arial" w:hAnsi="Arial" w:cs="Arial"/>
          <w:u w:val="single"/>
        </w:rPr>
        <w:t>outcomes</w:t>
      </w:r>
    </w:p>
    <w:p w14:paraId="65919F54" w14:textId="0D0DDB9B" w:rsidR="00C70CC7" w:rsidRDefault="002D07E0" w:rsidP="00A67253">
      <w:pPr>
        <w:spacing w:line="360" w:lineRule="auto"/>
        <w:jc w:val="both"/>
        <w:rPr>
          <w:rFonts w:ascii="Arial" w:hAnsi="Arial" w:cs="Arial"/>
        </w:rPr>
      </w:pPr>
      <w:r>
        <w:rPr>
          <w:rFonts w:ascii="Arial" w:hAnsi="Arial" w:cs="Arial"/>
        </w:rPr>
        <w:t>We conducted a</w:t>
      </w:r>
      <w:r w:rsidR="0052526C">
        <w:rPr>
          <w:rFonts w:ascii="Arial" w:hAnsi="Arial" w:cs="Arial"/>
        </w:rPr>
        <w:t xml:space="preserve"> delivery </w:t>
      </w:r>
      <w:proofErr w:type="gramStart"/>
      <w:r w:rsidR="0052526C">
        <w:rPr>
          <w:rFonts w:ascii="Arial" w:hAnsi="Arial" w:cs="Arial"/>
        </w:rPr>
        <w:t>visit</w:t>
      </w:r>
      <w:proofErr w:type="gramEnd"/>
      <w:r w:rsidR="0052526C">
        <w:rPr>
          <w:rFonts w:ascii="Arial" w:hAnsi="Arial" w:cs="Arial"/>
        </w:rPr>
        <w:t xml:space="preserve"> </w:t>
      </w:r>
      <w:r w:rsidR="00956FB0">
        <w:rPr>
          <w:rFonts w:ascii="Arial" w:hAnsi="Arial" w:cs="Arial"/>
        </w:rPr>
        <w:t>as soon as possible, and within 14 days of birth</w:t>
      </w:r>
      <w:r w:rsidR="0052526C">
        <w:rPr>
          <w:rFonts w:ascii="Arial" w:hAnsi="Arial" w:cs="Arial"/>
        </w:rPr>
        <w:t xml:space="preserve">. </w:t>
      </w:r>
      <w:r w:rsidR="00463979">
        <w:rPr>
          <w:rFonts w:ascii="Arial" w:hAnsi="Arial" w:cs="Arial"/>
        </w:rPr>
        <w:t xml:space="preserve">For live births, </w:t>
      </w:r>
      <w:r>
        <w:rPr>
          <w:rFonts w:ascii="Arial" w:hAnsi="Arial" w:cs="Arial"/>
        </w:rPr>
        <w:t xml:space="preserve">we recorded </w:t>
      </w:r>
      <w:r w:rsidR="00463979">
        <w:rPr>
          <w:rFonts w:ascii="Arial" w:hAnsi="Arial" w:cs="Arial"/>
        </w:rPr>
        <w:t>t</w:t>
      </w:r>
      <w:r w:rsidR="00291932" w:rsidRPr="00104214">
        <w:rPr>
          <w:rFonts w:ascii="Arial" w:hAnsi="Arial" w:cs="Arial"/>
        </w:rPr>
        <w:t>he following</w:t>
      </w:r>
      <w:r w:rsidR="00454E93" w:rsidRPr="00104214">
        <w:rPr>
          <w:rFonts w:ascii="Arial" w:hAnsi="Arial" w:cs="Arial"/>
        </w:rPr>
        <w:t xml:space="preserve"> infant outcomes</w:t>
      </w:r>
      <w:r w:rsidR="00291932" w:rsidRPr="00104214">
        <w:rPr>
          <w:rFonts w:ascii="Arial" w:hAnsi="Arial" w:cs="Arial"/>
        </w:rPr>
        <w:t xml:space="preserve"> </w:t>
      </w:r>
      <w:r w:rsidR="00454E93" w:rsidRPr="00104214">
        <w:rPr>
          <w:rFonts w:ascii="Arial" w:hAnsi="Arial" w:cs="Arial"/>
        </w:rPr>
        <w:t xml:space="preserve">at the delivery visit: mode of delivery, </w:t>
      </w:r>
      <w:r w:rsidR="00D27185">
        <w:rPr>
          <w:rFonts w:ascii="Arial" w:hAnsi="Arial" w:cs="Arial"/>
        </w:rPr>
        <w:t>duration</w:t>
      </w:r>
      <w:r w:rsidR="00D27185" w:rsidRPr="00104214">
        <w:rPr>
          <w:rFonts w:ascii="Arial" w:hAnsi="Arial" w:cs="Arial"/>
        </w:rPr>
        <w:t xml:space="preserve"> </w:t>
      </w:r>
      <w:r w:rsidR="00454E93" w:rsidRPr="00104214">
        <w:rPr>
          <w:rFonts w:ascii="Arial" w:hAnsi="Arial" w:cs="Arial"/>
        </w:rPr>
        <w:t>of rupture of membranes, any complications, neonatal length, weight and head circumference, Apgar score and evidence of intrauterine growth retardation</w:t>
      </w:r>
      <w:r w:rsidR="00C70CC7">
        <w:rPr>
          <w:rFonts w:ascii="Arial" w:hAnsi="Arial" w:cs="Arial"/>
        </w:rPr>
        <w:t xml:space="preserve">. At the delivery visit (0-14 days post-partum) </w:t>
      </w:r>
      <w:r>
        <w:rPr>
          <w:rFonts w:ascii="Arial" w:hAnsi="Arial" w:cs="Arial"/>
        </w:rPr>
        <w:t xml:space="preserve">we used </w:t>
      </w:r>
      <w:r w:rsidR="00C70CC7" w:rsidRPr="00924CA4">
        <w:rPr>
          <w:rFonts w:ascii="Arial" w:hAnsi="Arial" w:cs="Arial"/>
        </w:rPr>
        <w:t>COBAS TaqMan</w:t>
      </w:r>
      <w:r w:rsidR="00C70CC7">
        <w:rPr>
          <w:rFonts w:ascii="Arial" w:hAnsi="Arial" w:cs="Arial"/>
        </w:rPr>
        <w:t xml:space="preserve"> for HIV-1 </w:t>
      </w:r>
      <w:r w:rsidR="00C70CC7" w:rsidRPr="00924CA4">
        <w:rPr>
          <w:rFonts w:ascii="Arial" w:hAnsi="Arial" w:cs="Arial"/>
        </w:rPr>
        <w:t xml:space="preserve">DNA </w:t>
      </w:r>
      <w:r w:rsidR="00C70CC7">
        <w:rPr>
          <w:rFonts w:ascii="Arial" w:hAnsi="Arial" w:cs="Arial"/>
        </w:rPr>
        <w:t xml:space="preserve">tests at the research sites. </w:t>
      </w:r>
    </w:p>
    <w:p w14:paraId="12043FE2" w14:textId="77777777" w:rsidR="001E182D" w:rsidRDefault="001E182D" w:rsidP="00A67253">
      <w:pPr>
        <w:spacing w:line="360" w:lineRule="auto"/>
        <w:jc w:val="both"/>
        <w:rPr>
          <w:rFonts w:ascii="Arial" w:hAnsi="Arial" w:cs="Arial"/>
        </w:rPr>
      </w:pPr>
    </w:p>
    <w:p w14:paraId="1E513BA5" w14:textId="47C3844D" w:rsidR="001243AD" w:rsidRDefault="002D07E0" w:rsidP="00A67253">
      <w:pPr>
        <w:spacing w:line="360" w:lineRule="auto"/>
        <w:jc w:val="both"/>
        <w:rPr>
          <w:rFonts w:ascii="Arial" w:hAnsi="Arial" w:cs="Arial"/>
        </w:rPr>
      </w:pPr>
      <w:r>
        <w:rPr>
          <w:rFonts w:ascii="Arial" w:hAnsi="Arial" w:cs="Arial"/>
        </w:rPr>
        <w:t>We confirmed p</w:t>
      </w:r>
      <w:r w:rsidR="000E2DCB">
        <w:rPr>
          <w:rFonts w:ascii="Arial" w:hAnsi="Arial" w:cs="Arial"/>
        </w:rPr>
        <w:t>re-term</w:t>
      </w:r>
      <w:r w:rsidR="005E04F7" w:rsidRPr="00104214">
        <w:rPr>
          <w:rFonts w:ascii="Arial" w:hAnsi="Arial" w:cs="Arial"/>
        </w:rPr>
        <w:t xml:space="preserve"> </w:t>
      </w:r>
      <w:r w:rsidR="00A77E62">
        <w:rPr>
          <w:rFonts w:ascii="Arial" w:hAnsi="Arial" w:cs="Arial"/>
        </w:rPr>
        <w:t>(</w:t>
      </w:r>
      <w:r w:rsidR="005E04F7" w:rsidRPr="00104214">
        <w:rPr>
          <w:rFonts w:ascii="Arial" w:hAnsi="Arial" w:cs="Arial"/>
        </w:rPr>
        <w:t>&lt;37 weeks gestation</w:t>
      </w:r>
      <w:r w:rsidR="00A77E62">
        <w:rPr>
          <w:rFonts w:ascii="Arial" w:hAnsi="Arial" w:cs="Arial"/>
        </w:rPr>
        <w:t>)</w:t>
      </w:r>
      <w:r w:rsidR="005E04F7" w:rsidRPr="00104214">
        <w:rPr>
          <w:rFonts w:ascii="Arial" w:hAnsi="Arial" w:cs="Arial"/>
        </w:rPr>
        <w:t>, and ‘</w:t>
      </w:r>
      <w:r w:rsidR="00A77E62">
        <w:rPr>
          <w:rFonts w:ascii="Arial" w:hAnsi="Arial" w:cs="Arial"/>
        </w:rPr>
        <w:t>premature</w:t>
      </w:r>
      <w:r w:rsidR="005E04F7" w:rsidRPr="00104214">
        <w:rPr>
          <w:rFonts w:ascii="Arial" w:hAnsi="Arial" w:cs="Arial"/>
        </w:rPr>
        <w:t xml:space="preserve">’ </w:t>
      </w:r>
      <w:r w:rsidR="00A77E62">
        <w:rPr>
          <w:rFonts w:ascii="Arial" w:hAnsi="Arial" w:cs="Arial"/>
        </w:rPr>
        <w:t xml:space="preserve">(&lt;34 weeks, classified as SAEs) </w:t>
      </w:r>
      <w:r w:rsidR="005E04F7" w:rsidRPr="00104214">
        <w:rPr>
          <w:rFonts w:ascii="Arial" w:hAnsi="Arial" w:cs="Arial"/>
        </w:rPr>
        <w:t>births</w:t>
      </w:r>
      <w:r w:rsidR="00A77E62">
        <w:rPr>
          <w:rFonts w:ascii="Arial" w:hAnsi="Arial" w:cs="Arial"/>
        </w:rPr>
        <w:t xml:space="preserve"> by Ballard Score</w:t>
      </w:r>
      <w:r w:rsidR="00BC4784" w:rsidRPr="006D7CBA">
        <w:rPr>
          <w:rFonts w:ascii="Arial" w:hAnsi="Arial" w:cs="Arial"/>
          <w:vertAlign w:val="superscript"/>
        </w:rPr>
        <w:t>10</w:t>
      </w:r>
      <w:r w:rsidR="00EF1E90">
        <w:rPr>
          <w:rFonts w:ascii="Arial" w:hAnsi="Arial" w:cs="Arial"/>
        </w:rPr>
        <w:t xml:space="preserve"> if assessed within 7 days of delivery</w:t>
      </w:r>
      <w:r w:rsidR="00873004">
        <w:rPr>
          <w:rFonts w:ascii="Arial" w:hAnsi="Arial" w:cs="Arial"/>
        </w:rPr>
        <w:t>.</w:t>
      </w:r>
      <w:r w:rsidR="00FA1C6E" w:rsidRPr="00104214">
        <w:rPr>
          <w:rFonts w:ascii="Arial" w:hAnsi="Arial" w:cs="Arial"/>
        </w:rPr>
        <w:t xml:space="preserve"> Where any discrepancy arose, a pediatrician blinded to treatment arm assessed the infant and maternal dating evaluations within </w:t>
      </w:r>
      <w:r w:rsidR="005B4977" w:rsidRPr="00104214">
        <w:rPr>
          <w:rFonts w:ascii="Arial" w:hAnsi="Arial" w:cs="Arial"/>
        </w:rPr>
        <w:t>48</w:t>
      </w:r>
      <w:r w:rsidR="005B4977">
        <w:rPr>
          <w:rFonts w:ascii="Arial" w:hAnsi="Arial" w:cs="Arial"/>
        </w:rPr>
        <w:t xml:space="preserve"> hours</w:t>
      </w:r>
      <w:r w:rsidR="005B4977" w:rsidRPr="00104214">
        <w:rPr>
          <w:rFonts w:ascii="Arial" w:hAnsi="Arial" w:cs="Arial"/>
        </w:rPr>
        <w:t xml:space="preserve"> </w:t>
      </w:r>
      <w:r w:rsidR="00FA1C6E" w:rsidRPr="00104214">
        <w:rPr>
          <w:rFonts w:ascii="Arial" w:hAnsi="Arial" w:cs="Arial"/>
        </w:rPr>
        <w:t xml:space="preserve">of birth. </w:t>
      </w:r>
      <w:r w:rsidR="00CA28E0">
        <w:rPr>
          <w:rFonts w:ascii="Arial" w:hAnsi="Arial" w:cs="Arial"/>
        </w:rPr>
        <w:t>W</w:t>
      </w:r>
      <w:r w:rsidR="00FA1C6E" w:rsidRPr="00104214">
        <w:rPr>
          <w:rFonts w:ascii="Arial" w:hAnsi="Arial" w:cs="Arial"/>
        </w:rPr>
        <w:t xml:space="preserve">e </w:t>
      </w:r>
      <w:r w:rsidR="00CA28E0">
        <w:rPr>
          <w:rFonts w:ascii="Arial" w:hAnsi="Arial" w:cs="Arial"/>
        </w:rPr>
        <w:t>evaluate</w:t>
      </w:r>
      <w:r w:rsidR="00FD26E5">
        <w:rPr>
          <w:rFonts w:ascii="Arial" w:hAnsi="Arial" w:cs="Arial"/>
        </w:rPr>
        <w:t>d</w:t>
      </w:r>
      <w:r w:rsidR="00CA28E0" w:rsidRPr="00104214">
        <w:rPr>
          <w:rFonts w:ascii="Arial" w:hAnsi="Arial" w:cs="Arial"/>
        </w:rPr>
        <w:t xml:space="preserve"> </w:t>
      </w:r>
      <w:r w:rsidR="00CA28E0">
        <w:rPr>
          <w:rFonts w:ascii="Arial" w:hAnsi="Arial" w:cs="Arial"/>
        </w:rPr>
        <w:t>congenital</w:t>
      </w:r>
      <w:r w:rsidR="00CA28E0" w:rsidRPr="00104214">
        <w:rPr>
          <w:rFonts w:ascii="Arial" w:hAnsi="Arial" w:cs="Arial"/>
        </w:rPr>
        <w:t xml:space="preserve"> </w:t>
      </w:r>
      <w:r w:rsidR="00FA1C6E" w:rsidRPr="00104214">
        <w:rPr>
          <w:rFonts w:ascii="Arial" w:hAnsi="Arial" w:cs="Arial"/>
        </w:rPr>
        <w:t>anomalies using the WHO protocol</w:t>
      </w:r>
      <w:r w:rsidR="00BC4784" w:rsidRPr="006D7CBA">
        <w:rPr>
          <w:rFonts w:ascii="Arial" w:hAnsi="Arial" w:cs="Arial"/>
          <w:vertAlign w:val="superscript"/>
        </w:rPr>
        <w:t>11</w:t>
      </w:r>
      <w:r w:rsidR="00FA1C6E" w:rsidRPr="00104214">
        <w:rPr>
          <w:rFonts w:ascii="Arial" w:hAnsi="Arial" w:cs="Arial"/>
        </w:rPr>
        <w:t xml:space="preserve">. </w:t>
      </w:r>
      <w:r w:rsidR="000319DE" w:rsidRPr="00104214">
        <w:rPr>
          <w:rFonts w:ascii="Arial" w:hAnsi="Arial" w:cs="Arial"/>
        </w:rPr>
        <w:t xml:space="preserve">For all infant deaths, </w:t>
      </w:r>
      <w:r>
        <w:rPr>
          <w:rFonts w:ascii="Arial" w:hAnsi="Arial" w:cs="Arial"/>
        </w:rPr>
        <w:t xml:space="preserve">we sought </w:t>
      </w:r>
      <w:r w:rsidR="000319DE" w:rsidRPr="00104214">
        <w:rPr>
          <w:rFonts w:ascii="Arial" w:hAnsi="Arial" w:cs="Arial"/>
        </w:rPr>
        <w:t xml:space="preserve">consent for verbal autopsy </w:t>
      </w:r>
      <w:proofErr w:type="gramStart"/>
      <w:r w:rsidR="000319DE" w:rsidRPr="00104214">
        <w:rPr>
          <w:rFonts w:ascii="Arial" w:hAnsi="Arial" w:cs="Arial"/>
        </w:rPr>
        <w:t>in an attempt to</w:t>
      </w:r>
      <w:proofErr w:type="gramEnd"/>
      <w:r w:rsidR="000319DE" w:rsidRPr="00104214">
        <w:rPr>
          <w:rFonts w:ascii="Arial" w:hAnsi="Arial" w:cs="Arial"/>
        </w:rPr>
        <w:t xml:space="preserve"> elucidate the cause of death.</w:t>
      </w:r>
      <w:r w:rsidR="005E04F7" w:rsidRPr="005E04F7">
        <w:rPr>
          <w:rFonts w:ascii="Arial" w:hAnsi="Arial" w:cs="Arial"/>
        </w:rPr>
        <w:t xml:space="preserve"> </w:t>
      </w:r>
    </w:p>
    <w:p w14:paraId="09F088C4" w14:textId="6BBB76C8" w:rsidR="0062478A" w:rsidRDefault="0062478A" w:rsidP="00A67253">
      <w:pPr>
        <w:spacing w:line="360" w:lineRule="auto"/>
        <w:jc w:val="both"/>
        <w:rPr>
          <w:rFonts w:ascii="Arial" w:hAnsi="Arial" w:cs="Arial"/>
        </w:rPr>
      </w:pPr>
    </w:p>
    <w:p w14:paraId="1C190D4A" w14:textId="1FDE7692" w:rsidR="0062478A" w:rsidRPr="0062478A" w:rsidRDefault="0062478A" w:rsidP="0062478A">
      <w:pPr>
        <w:spacing w:line="360" w:lineRule="auto"/>
        <w:jc w:val="both"/>
        <w:rPr>
          <w:rFonts w:ascii="Arial" w:hAnsi="Arial" w:cs="Arial"/>
        </w:rPr>
      </w:pPr>
      <w:r>
        <w:rPr>
          <w:rFonts w:ascii="Arial" w:hAnsi="Arial" w:cs="Arial"/>
        </w:rPr>
        <w:t>We continue to follow-up mothers and infants to 72 weeks post-partum in order to assess the following secondary outcomes: m</w:t>
      </w:r>
      <w:r w:rsidRPr="0062478A">
        <w:rPr>
          <w:rFonts w:ascii="Arial" w:hAnsi="Arial" w:cs="Arial"/>
        </w:rPr>
        <w:t xml:space="preserve">aternal </w:t>
      </w:r>
      <w:r w:rsidR="009E5A07">
        <w:rPr>
          <w:rFonts w:ascii="Arial" w:hAnsi="Arial" w:cs="Arial"/>
          <w:color w:val="000000" w:themeColor="text1"/>
        </w:rPr>
        <w:t>viral load</w:t>
      </w:r>
      <w:r w:rsidRPr="0062478A">
        <w:rPr>
          <w:rFonts w:ascii="Arial" w:hAnsi="Arial" w:cs="Arial"/>
        </w:rPr>
        <w:t xml:space="preserve"> response to 48</w:t>
      </w:r>
      <w:r>
        <w:rPr>
          <w:rFonts w:ascii="Arial" w:hAnsi="Arial" w:cs="Arial"/>
        </w:rPr>
        <w:t xml:space="preserve"> and 72 weeks </w:t>
      </w:r>
      <w:r w:rsidRPr="0062478A">
        <w:rPr>
          <w:rFonts w:ascii="Arial" w:hAnsi="Arial" w:cs="Arial"/>
        </w:rPr>
        <w:t xml:space="preserve"> (% under 50 and 1000 copies</w:t>
      </w:r>
      <w:r>
        <w:rPr>
          <w:rFonts w:ascii="Arial" w:hAnsi="Arial" w:cs="Arial"/>
        </w:rPr>
        <w:t xml:space="preserve"> per mL</w:t>
      </w:r>
      <w:r w:rsidRPr="0062478A">
        <w:rPr>
          <w:rFonts w:ascii="Arial" w:hAnsi="Arial" w:cs="Arial"/>
        </w:rPr>
        <w:t>)</w:t>
      </w:r>
      <w:r>
        <w:rPr>
          <w:rFonts w:ascii="Arial" w:hAnsi="Arial" w:cs="Arial"/>
        </w:rPr>
        <w:t>, o</w:t>
      </w:r>
      <w:r w:rsidRPr="0062478A">
        <w:rPr>
          <w:rFonts w:ascii="Arial" w:hAnsi="Arial" w:cs="Arial"/>
        </w:rPr>
        <w:t xml:space="preserve">ccurrence of </w:t>
      </w:r>
      <w:r>
        <w:rPr>
          <w:rFonts w:ascii="Arial" w:hAnsi="Arial" w:cs="Arial"/>
        </w:rPr>
        <w:t xml:space="preserve">infant HIV </w:t>
      </w:r>
      <w:proofErr w:type="spellStart"/>
      <w:r>
        <w:rPr>
          <w:rFonts w:ascii="Arial" w:hAnsi="Arial" w:cs="Arial"/>
        </w:rPr>
        <w:t>transmisisons</w:t>
      </w:r>
      <w:proofErr w:type="spellEnd"/>
      <w:r>
        <w:rPr>
          <w:rFonts w:ascii="Arial" w:hAnsi="Arial" w:cs="Arial"/>
        </w:rPr>
        <w:t xml:space="preserve"> at </w:t>
      </w:r>
      <w:r w:rsidRPr="0062478A">
        <w:rPr>
          <w:rFonts w:ascii="Arial" w:hAnsi="Arial" w:cs="Arial"/>
        </w:rPr>
        <w:t>48</w:t>
      </w:r>
      <w:r>
        <w:rPr>
          <w:rFonts w:ascii="Arial" w:hAnsi="Arial" w:cs="Arial"/>
        </w:rPr>
        <w:t xml:space="preserve"> and 72 weeks, dolutegravir </w:t>
      </w:r>
      <w:r w:rsidRPr="0062478A">
        <w:rPr>
          <w:rFonts w:ascii="Arial" w:hAnsi="Arial" w:cs="Arial"/>
        </w:rPr>
        <w:t xml:space="preserve">exposure in maternal plasma, breast milk and infants </w:t>
      </w:r>
      <w:r>
        <w:rPr>
          <w:rFonts w:ascii="Arial" w:hAnsi="Arial" w:cs="Arial"/>
        </w:rPr>
        <w:t xml:space="preserve">and </w:t>
      </w:r>
      <w:proofErr w:type="spellStart"/>
      <w:r>
        <w:rPr>
          <w:rFonts w:ascii="Arial" w:hAnsi="Arial" w:cs="Arial"/>
        </w:rPr>
        <w:t>virological</w:t>
      </w:r>
      <w:proofErr w:type="spellEnd"/>
      <w:r>
        <w:rPr>
          <w:rFonts w:ascii="Arial" w:hAnsi="Arial" w:cs="Arial"/>
        </w:rPr>
        <w:t xml:space="preserve"> resistance. </w:t>
      </w:r>
    </w:p>
    <w:p w14:paraId="4C3575FA" w14:textId="77777777" w:rsidR="007210C3" w:rsidRPr="00104214" w:rsidRDefault="007210C3" w:rsidP="00A67253">
      <w:pPr>
        <w:spacing w:line="360" w:lineRule="auto"/>
        <w:jc w:val="both"/>
        <w:rPr>
          <w:rFonts w:ascii="Arial" w:hAnsi="Arial" w:cs="Arial"/>
        </w:rPr>
      </w:pPr>
    </w:p>
    <w:p w14:paraId="6A2B0E7E" w14:textId="3652EF61" w:rsidR="0038095F" w:rsidRPr="00104214" w:rsidRDefault="0038095F" w:rsidP="00A67253">
      <w:pPr>
        <w:spacing w:line="360" w:lineRule="auto"/>
        <w:jc w:val="both"/>
        <w:rPr>
          <w:rFonts w:ascii="Arial" w:hAnsi="Arial" w:cs="Arial"/>
          <w:u w:val="single"/>
        </w:rPr>
      </w:pPr>
      <w:r w:rsidRPr="00104214">
        <w:rPr>
          <w:rFonts w:ascii="Arial" w:hAnsi="Arial" w:cs="Arial"/>
          <w:u w:val="single"/>
        </w:rPr>
        <w:t xml:space="preserve">Statistical </w:t>
      </w:r>
      <w:r w:rsidR="003A1D48">
        <w:rPr>
          <w:rFonts w:ascii="Arial" w:hAnsi="Arial" w:cs="Arial"/>
          <w:u w:val="single"/>
        </w:rPr>
        <w:t>analysis</w:t>
      </w:r>
    </w:p>
    <w:p w14:paraId="4FDA3FFD" w14:textId="7A6BE67A" w:rsidR="002B4FC1" w:rsidRPr="00104214" w:rsidRDefault="00E8423F" w:rsidP="00881686">
      <w:pPr>
        <w:spacing w:line="360" w:lineRule="auto"/>
        <w:jc w:val="both"/>
        <w:rPr>
          <w:rFonts w:ascii="Arial" w:hAnsi="Arial" w:cs="Arial"/>
        </w:rPr>
      </w:pPr>
      <w:r>
        <w:rPr>
          <w:rFonts w:ascii="Arial" w:hAnsi="Arial" w:cs="Arial"/>
        </w:rPr>
        <w:t>S</w:t>
      </w:r>
      <w:r w:rsidR="00904F2A" w:rsidRPr="00104214">
        <w:rPr>
          <w:rFonts w:ascii="Arial" w:hAnsi="Arial" w:cs="Arial"/>
        </w:rPr>
        <w:t>ample size calculations were based on clinical trials simulation (SAS v 9</w:t>
      </w:r>
      <w:r w:rsidR="009D58BF">
        <w:rPr>
          <w:rFonts w:ascii="Arial" w:hAnsi="Arial" w:cs="Arial"/>
        </w:rPr>
        <w:t>·</w:t>
      </w:r>
      <w:r w:rsidR="00904F2A" w:rsidRPr="00104214">
        <w:rPr>
          <w:rFonts w:ascii="Arial" w:hAnsi="Arial" w:cs="Arial"/>
        </w:rPr>
        <w:t xml:space="preserve">3) using weighted probabilities </w:t>
      </w:r>
      <w:r w:rsidR="00C02998">
        <w:rPr>
          <w:rFonts w:ascii="Arial" w:hAnsi="Arial" w:cs="Arial"/>
        </w:rPr>
        <w:t>(</w:t>
      </w:r>
      <w:r w:rsidR="00C02998" w:rsidRPr="00C02998">
        <w:rPr>
          <w:rFonts w:ascii="Arial" w:hAnsi="Arial" w:cs="Arial"/>
        </w:rPr>
        <w:t>the weighted gestation-specific probabilities given different probabilities at different gestational ages</w:t>
      </w:r>
      <w:r w:rsidR="00C02998">
        <w:rPr>
          <w:rFonts w:ascii="Arial" w:hAnsi="Arial" w:cs="Arial"/>
        </w:rPr>
        <w:t>)</w:t>
      </w:r>
      <w:r w:rsidR="00C02998" w:rsidRPr="00C02998">
        <w:rPr>
          <w:rFonts w:ascii="Arial" w:hAnsi="Arial" w:cs="Arial"/>
        </w:rPr>
        <w:t xml:space="preserve"> </w:t>
      </w:r>
      <w:r w:rsidR="00904F2A" w:rsidRPr="00104214">
        <w:rPr>
          <w:rFonts w:ascii="Arial" w:hAnsi="Arial" w:cs="Arial"/>
        </w:rPr>
        <w:t xml:space="preserve">for achieving </w:t>
      </w:r>
      <w:r w:rsidR="009E5A07">
        <w:rPr>
          <w:rFonts w:ascii="Arial" w:hAnsi="Arial" w:cs="Arial"/>
          <w:color w:val="000000" w:themeColor="text1"/>
        </w:rPr>
        <w:t>viral load</w:t>
      </w:r>
      <w:r w:rsidR="00ED52A1">
        <w:rPr>
          <w:rFonts w:ascii="Arial" w:hAnsi="Arial" w:cs="Arial"/>
          <w:color w:val="000000" w:themeColor="text1"/>
        </w:rPr>
        <w:t xml:space="preserve"> </w:t>
      </w:r>
      <w:r w:rsidR="00904F2A" w:rsidRPr="00104214">
        <w:rPr>
          <w:rFonts w:ascii="Arial" w:hAnsi="Arial" w:cs="Arial"/>
        </w:rPr>
        <w:t xml:space="preserve">&lt;50 </w:t>
      </w:r>
      <w:r w:rsidR="00147F88">
        <w:rPr>
          <w:rFonts w:ascii="Arial" w:hAnsi="Arial" w:cs="Arial"/>
        </w:rPr>
        <w:t>copies per mL</w:t>
      </w:r>
      <w:r w:rsidR="00904F2A" w:rsidRPr="00104214">
        <w:rPr>
          <w:rFonts w:ascii="Arial" w:hAnsi="Arial" w:cs="Arial"/>
        </w:rPr>
        <w:t xml:space="preserve"> for </w:t>
      </w:r>
      <w:r w:rsidR="002229C4">
        <w:rPr>
          <w:rFonts w:ascii="Arial" w:hAnsi="Arial" w:cs="Arial"/>
        </w:rPr>
        <w:t>dolutegravir</w:t>
      </w:r>
      <w:r w:rsidR="00904F2A" w:rsidRPr="00104214">
        <w:rPr>
          <w:rFonts w:ascii="Arial" w:hAnsi="Arial" w:cs="Arial"/>
        </w:rPr>
        <w:t xml:space="preserve"> and </w:t>
      </w:r>
      <w:r w:rsidR="002229C4">
        <w:rPr>
          <w:rFonts w:ascii="Arial" w:hAnsi="Arial" w:cs="Arial"/>
        </w:rPr>
        <w:t>efavirenz</w:t>
      </w:r>
      <w:r w:rsidR="00904F2A" w:rsidRPr="00104214">
        <w:rPr>
          <w:rFonts w:ascii="Arial" w:hAnsi="Arial" w:cs="Arial"/>
        </w:rPr>
        <w:t xml:space="preserve"> in treatment-naïve, non-pregnant adults</w:t>
      </w:r>
      <w:r w:rsidR="00BC4784" w:rsidRPr="006D7CBA">
        <w:rPr>
          <w:rFonts w:ascii="Arial" w:hAnsi="Arial" w:cs="Arial"/>
          <w:vertAlign w:val="superscript"/>
        </w:rPr>
        <w:t>4</w:t>
      </w:r>
      <w:r w:rsidR="00904F2A" w:rsidRPr="00104214">
        <w:rPr>
          <w:rFonts w:ascii="Arial" w:hAnsi="Arial" w:cs="Arial"/>
        </w:rPr>
        <w:t xml:space="preserve">. Since the period of </w:t>
      </w:r>
      <w:r w:rsidR="001A3165" w:rsidRPr="00BC4784">
        <w:rPr>
          <w:rFonts w:ascii="Arial" w:hAnsi="Arial" w:cs="Arial"/>
        </w:rPr>
        <w:t xml:space="preserve">antiretroviral therapy </w:t>
      </w:r>
      <w:r w:rsidR="00904F2A" w:rsidRPr="00104214">
        <w:rPr>
          <w:rFonts w:ascii="Arial" w:hAnsi="Arial" w:cs="Arial"/>
        </w:rPr>
        <w:t xml:space="preserve">prior to delivery </w:t>
      </w:r>
      <w:r w:rsidR="00B55764">
        <w:rPr>
          <w:rFonts w:ascii="Arial" w:hAnsi="Arial" w:cs="Arial"/>
        </w:rPr>
        <w:t>could</w:t>
      </w:r>
      <w:r w:rsidR="00B55764" w:rsidRPr="00104214">
        <w:rPr>
          <w:rFonts w:ascii="Arial" w:hAnsi="Arial" w:cs="Arial"/>
        </w:rPr>
        <w:t xml:space="preserve"> </w:t>
      </w:r>
      <w:r w:rsidR="00904F2A" w:rsidRPr="00104214">
        <w:rPr>
          <w:rFonts w:ascii="Arial" w:hAnsi="Arial" w:cs="Arial"/>
        </w:rPr>
        <w:t>vary from a single dose to 12</w:t>
      </w:r>
      <w:r w:rsidR="00B7124E">
        <w:rPr>
          <w:rFonts w:ascii="Arial" w:hAnsi="Arial" w:cs="Arial"/>
        </w:rPr>
        <w:t xml:space="preserve"> </w:t>
      </w:r>
      <w:r w:rsidR="00904F2A" w:rsidRPr="00104214">
        <w:rPr>
          <w:rFonts w:ascii="Arial" w:hAnsi="Arial" w:cs="Arial"/>
        </w:rPr>
        <w:t>w</w:t>
      </w:r>
      <w:r>
        <w:rPr>
          <w:rFonts w:ascii="Arial" w:hAnsi="Arial" w:cs="Arial"/>
        </w:rPr>
        <w:t>eeks</w:t>
      </w:r>
      <w:r w:rsidR="00904F2A" w:rsidRPr="00104214">
        <w:rPr>
          <w:rFonts w:ascii="Arial" w:hAnsi="Arial" w:cs="Arial"/>
        </w:rPr>
        <w:t xml:space="preserve">, we estimated statistical power from simulating five </w:t>
      </w:r>
      <w:r w:rsidR="00A4710C">
        <w:rPr>
          <w:rFonts w:ascii="Arial" w:hAnsi="Arial" w:cs="Arial"/>
        </w:rPr>
        <w:lastRenderedPageBreak/>
        <w:t xml:space="preserve">different </w:t>
      </w:r>
      <w:r w:rsidR="00904F2A" w:rsidRPr="00104214">
        <w:rPr>
          <w:rFonts w:ascii="Arial" w:hAnsi="Arial" w:cs="Arial"/>
        </w:rPr>
        <w:t xml:space="preserve">distributions of gestational age at starting </w:t>
      </w:r>
      <w:r w:rsidR="001A3165">
        <w:rPr>
          <w:rFonts w:ascii="Arial" w:hAnsi="Arial" w:cs="Arial"/>
        </w:rPr>
        <w:t>treatment</w:t>
      </w:r>
      <w:r w:rsidR="001A3165" w:rsidRPr="00104214">
        <w:rPr>
          <w:rFonts w:ascii="Arial" w:hAnsi="Arial" w:cs="Arial"/>
        </w:rPr>
        <w:t xml:space="preserve"> </w:t>
      </w:r>
      <w:r w:rsidR="003C21A2">
        <w:rPr>
          <w:rFonts w:ascii="Arial" w:hAnsi="Arial" w:cs="Arial"/>
        </w:rPr>
        <w:t>in the third trimester</w:t>
      </w:r>
      <w:r w:rsidR="00BC4784" w:rsidRPr="006D7CBA">
        <w:rPr>
          <w:rFonts w:ascii="Arial" w:hAnsi="Arial" w:cs="Arial"/>
          <w:vertAlign w:val="superscript"/>
        </w:rPr>
        <w:t>12</w:t>
      </w:r>
      <w:r w:rsidR="00A13226">
        <w:rPr>
          <w:rFonts w:ascii="Arial" w:hAnsi="Arial" w:cs="Arial"/>
        </w:rPr>
        <w:t>.</w:t>
      </w:r>
      <w:r w:rsidR="00904F2A" w:rsidRPr="00104214">
        <w:rPr>
          <w:rFonts w:ascii="Arial" w:hAnsi="Arial" w:cs="Arial"/>
        </w:rPr>
        <w:t xml:space="preserve"> Allowing for 20% dropout rate, recruitment of</w:t>
      </w:r>
      <w:r w:rsidR="009E5D83">
        <w:rPr>
          <w:rFonts w:ascii="Arial" w:hAnsi="Arial" w:cs="Arial"/>
        </w:rPr>
        <w:t xml:space="preserve"> </w:t>
      </w:r>
      <w:r w:rsidR="00904F2A" w:rsidRPr="00104214">
        <w:rPr>
          <w:rFonts w:ascii="Arial" w:hAnsi="Arial" w:cs="Arial"/>
        </w:rPr>
        <w:t>250</w:t>
      </w:r>
      <w:r w:rsidR="00710FAC">
        <w:rPr>
          <w:rFonts w:ascii="Arial" w:hAnsi="Arial" w:cs="Arial"/>
        </w:rPr>
        <w:t xml:space="preserve"> evaluable</w:t>
      </w:r>
      <w:r w:rsidR="00904F2A" w:rsidRPr="00104214">
        <w:rPr>
          <w:rFonts w:ascii="Arial" w:hAnsi="Arial" w:cs="Arial"/>
        </w:rPr>
        <w:t xml:space="preserve"> HIV-positive women would retain ≥99% power to detect a superiority </w:t>
      </w:r>
      <w:r w:rsidR="00626FB4">
        <w:rPr>
          <w:rFonts w:ascii="Arial" w:hAnsi="Arial" w:cs="Arial"/>
        </w:rPr>
        <w:t>absolute</w:t>
      </w:r>
      <w:r w:rsidR="00626FB4" w:rsidRPr="00104214">
        <w:rPr>
          <w:rFonts w:ascii="Arial" w:hAnsi="Arial" w:cs="Arial"/>
        </w:rPr>
        <w:t xml:space="preserve"> </w:t>
      </w:r>
      <w:r w:rsidR="00904F2A" w:rsidRPr="00104214">
        <w:rPr>
          <w:rFonts w:ascii="Arial" w:hAnsi="Arial" w:cs="Arial"/>
        </w:rPr>
        <w:t xml:space="preserve">difference of 28–38% </w:t>
      </w:r>
      <w:r w:rsidR="00A4710C">
        <w:rPr>
          <w:rFonts w:ascii="Arial" w:hAnsi="Arial" w:cs="Arial"/>
        </w:rPr>
        <w:t xml:space="preserve">between arms </w:t>
      </w:r>
      <w:r w:rsidR="00904F2A" w:rsidRPr="00104214">
        <w:rPr>
          <w:rFonts w:ascii="Arial" w:hAnsi="Arial" w:cs="Arial"/>
        </w:rPr>
        <w:t xml:space="preserve">across </w:t>
      </w:r>
      <w:r w:rsidR="00A4710C">
        <w:rPr>
          <w:rFonts w:ascii="Arial" w:hAnsi="Arial" w:cs="Arial"/>
        </w:rPr>
        <w:t>all</w:t>
      </w:r>
      <w:r w:rsidR="00A4710C" w:rsidRPr="00104214">
        <w:rPr>
          <w:rFonts w:ascii="Arial" w:hAnsi="Arial" w:cs="Arial"/>
        </w:rPr>
        <w:t xml:space="preserve"> </w:t>
      </w:r>
      <w:r w:rsidR="00904F2A" w:rsidRPr="00104214">
        <w:rPr>
          <w:rFonts w:ascii="Arial" w:hAnsi="Arial" w:cs="Arial"/>
        </w:rPr>
        <w:t>scenarios at the 5% level of significance.</w:t>
      </w:r>
      <w:r w:rsidR="005E61A8" w:rsidRPr="00104214" w:rsidDel="005E61A8">
        <w:rPr>
          <w:rFonts w:ascii="Arial" w:hAnsi="Arial" w:cs="Arial"/>
        </w:rPr>
        <w:t xml:space="preserve"> </w:t>
      </w:r>
    </w:p>
    <w:p w14:paraId="59B2C230" w14:textId="5B01530B" w:rsidR="002B4FC1" w:rsidRDefault="002B4FC1" w:rsidP="00A67253">
      <w:pPr>
        <w:spacing w:line="360" w:lineRule="auto"/>
        <w:jc w:val="both"/>
        <w:rPr>
          <w:rFonts w:ascii="Arial" w:hAnsi="Arial" w:cs="Arial"/>
        </w:rPr>
      </w:pPr>
    </w:p>
    <w:p w14:paraId="4BC0BE6C" w14:textId="66313706" w:rsidR="00C02998" w:rsidRPr="00AF01E3" w:rsidRDefault="00AF01E3" w:rsidP="00C02998">
      <w:pPr>
        <w:pStyle w:val="Default"/>
        <w:spacing w:line="360" w:lineRule="auto"/>
        <w:jc w:val="both"/>
        <w:rPr>
          <w:rFonts w:ascii="Arial" w:hAnsi="Arial" w:cs="Arial"/>
          <w:sz w:val="22"/>
          <w:szCs w:val="22"/>
        </w:rPr>
      </w:pPr>
      <w:r w:rsidRPr="00AF01E3">
        <w:rPr>
          <w:rFonts w:ascii="Arial" w:hAnsi="Arial" w:cs="Arial"/>
          <w:sz w:val="22"/>
          <w:szCs w:val="22"/>
        </w:rPr>
        <w:t>Primary analyses were based on intention-to-treat. A generalised linear model (GLM) for the primary endpoint analysis</w:t>
      </w:r>
      <w:r w:rsidR="00F66553">
        <w:rPr>
          <w:rFonts w:ascii="Arial" w:hAnsi="Arial" w:cs="Arial"/>
          <w:sz w:val="22"/>
          <w:szCs w:val="22"/>
        </w:rPr>
        <w:t xml:space="preserve"> </w:t>
      </w:r>
      <w:r w:rsidRPr="00AF01E3">
        <w:rPr>
          <w:rFonts w:ascii="Arial" w:hAnsi="Arial" w:cs="Arial"/>
          <w:sz w:val="22"/>
          <w:szCs w:val="22"/>
        </w:rPr>
        <w:t xml:space="preserve">included treatment as a study variable, </w:t>
      </w:r>
      <w:r w:rsidR="007514AA">
        <w:rPr>
          <w:rFonts w:ascii="Arial" w:hAnsi="Arial" w:cs="Arial"/>
          <w:sz w:val="22"/>
          <w:szCs w:val="22"/>
        </w:rPr>
        <w:t xml:space="preserve">baseline </w:t>
      </w:r>
      <w:r w:rsidR="009E5A07">
        <w:rPr>
          <w:rFonts w:ascii="Arial" w:hAnsi="Arial" w:cs="Arial"/>
          <w:color w:val="000000" w:themeColor="text1"/>
        </w:rPr>
        <w:t>viral load</w:t>
      </w:r>
      <w:r w:rsidRPr="00AF01E3">
        <w:rPr>
          <w:rFonts w:ascii="Arial" w:hAnsi="Arial" w:cs="Arial"/>
          <w:sz w:val="22"/>
          <w:szCs w:val="22"/>
        </w:rPr>
        <w:t xml:space="preserve"> (≥ or &lt;100,000 </w:t>
      </w:r>
      <w:r w:rsidR="00147F88">
        <w:rPr>
          <w:rFonts w:ascii="Arial" w:hAnsi="Arial" w:cs="Arial"/>
          <w:sz w:val="22"/>
          <w:szCs w:val="22"/>
        </w:rPr>
        <w:t>copies per mL</w:t>
      </w:r>
      <w:r w:rsidRPr="00AF01E3">
        <w:rPr>
          <w:rFonts w:ascii="Arial" w:hAnsi="Arial" w:cs="Arial"/>
          <w:sz w:val="22"/>
          <w:szCs w:val="22"/>
        </w:rPr>
        <w:t xml:space="preserve">) and </w:t>
      </w:r>
      <w:r w:rsidR="007514AA">
        <w:rPr>
          <w:rFonts w:ascii="Arial" w:hAnsi="Arial" w:cs="Arial"/>
          <w:sz w:val="22"/>
          <w:szCs w:val="22"/>
        </w:rPr>
        <w:t xml:space="preserve">baseline </w:t>
      </w:r>
      <w:r w:rsidRPr="00AF01E3">
        <w:rPr>
          <w:rFonts w:ascii="Arial" w:hAnsi="Arial" w:cs="Arial"/>
          <w:sz w:val="22"/>
          <w:szCs w:val="22"/>
        </w:rPr>
        <w:t xml:space="preserve">CD4 </w:t>
      </w:r>
      <w:r w:rsidR="007514AA">
        <w:rPr>
          <w:rFonts w:ascii="Arial" w:hAnsi="Arial" w:cs="Arial"/>
          <w:sz w:val="22"/>
          <w:szCs w:val="22"/>
        </w:rPr>
        <w:t>(</w:t>
      </w:r>
      <w:r w:rsidRPr="00AF01E3">
        <w:rPr>
          <w:rFonts w:ascii="Arial" w:hAnsi="Arial" w:cs="Arial"/>
          <w:sz w:val="22"/>
          <w:szCs w:val="22"/>
        </w:rPr>
        <w:t xml:space="preserve">≥ or &lt;200 </w:t>
      </w:r>
      <w:r w:rsidR="009D58BF" w:rsidRPr="00AE3CC5">
        <w:rPr>
          <w:rFonts w:ascii="Arial" w:hAnsi="Arial" w:cs="Arial"/>
          <w:sz w:val="22"/>
        </w:rPr>
        <w:t>cells per µL</w:t>
      </w:r>
      <w:r w:rsidRPr="00AF01E3">
        <w:rPr>
          <w:rFonts w:ascii="Arial" w:hAnsi="Arial" w:cs="Arial"/>
          <w:sz w:val="22"/>
          <w:szCs w:val="22"/>
        </w:rPr>
        <w:t xml:space="preserve">) as covariables, generating </w:t>
      </w:r>
      <w:r w:rsidR="00FD26E5">
        <w:rPr>
          <w:rFonts w:ascii="Arial" w:hAnsi="Arial" w:cs="Arial"/>
          <w:sz w:val="22"/>
          <w:szCs w:val="22"/>
        </w:rPr>
        <w:t xml:space="preserve">a </w:t>
      </w:r>
      <w:r w:rsidRPr="00AF01E3">
        <w:rPr>
          <w:rFonts w:ascii="Arial" w:hAnsi="Arial" w:cs="Arial"/>
          <w:sz w:val="22"/>
          <w:szCs w:val="22"/>
        </w:rPr>
        <w:t>risk ratio (RR</w:t>
      </w:r>
      <w:r w:rsidR="00FD26E5">
        <w:rPr>
          <w:rFonts w:ascii="Arial" w:hAnsi="Arial" w:cs="Arial"/>
          <w:sz w:val="22"/>
          <w:szCs w:val="22"/>
        </w:rPr>
        <w:t>; 95% CI</w:t>
      </w:r>
      <w:r w:rsidRPr="00AF01E3">
        <w:rPr>
          <w:rFonts w:ascii="Arial" w:hAnsi="Arial" w:cs="Arial"/>
          <w:sz w:val="22"/>
          <w:szCs w:val="22"/>
        </w:rPr>
        <w:t>)</w:t>
      </w:r>
      <w:r w:rsidR="00AF60FF">
        <w:rPr>
          <w:rFonts w:ascii="Arial" w:hAnsi="Arial" w:cs="Arial"/>
          <w:sz w:val="22"/>
          <w:szCs w:val="22"/>
        </w:rPr>
        <w:t xml:space="preserve"> and risk difference (95% CI)</w:t>
      </w:r>
      <w:r w:rsidRPr="00AF01E3">
        <w:rPr>
          <w:rFonts w:ascii="Arial" w:hAnsi="Arial" w:cs="Arial"/>
          <w:sz w:val="22"/>
          <w:szCs w:val="22"/>
        </w:rPr>
        <w:t xml:space="preserve"> </w:t>
      </w:r>
      <w:r w:rsidR="00AF60FF">
        <w:rPr>
          <w:rFonts w:ascii="Arial" w:hAnsi="Arial" w:cs="Arial"/>
          <w:sz w:val="22"/>
          <w:szCs w:val="22"/>
        </w:rPr>
        <w:t>between arms</w:t>
      </w:r>
      <w:r w:rsidRPr="00AF01E3">
        <w:rPr>
          <w:rFonts w:ascii="Arial" w:hAnsi="Arial" w:cs="Arial"/>
          <w:sz w:val="22"/>
          <w:szCs w:val="22"/>
        </w:rPr>
        <w:t xml:space="preserve">. </w:t>
      </w:r>
      <w:r w:rsidR="00AF60FF">
        <w:rPr>
          <w:rFonts w:ascii="Arial" w:hAnsi="Arial" w:cs="Arial"/>
          <w:sz w:val="22"/>
          <w:szCs w:val="22"/>
        </w:rPr>
        <w:t>Further</w:t>
      </w:r>
      <w:r w:rsidR="00FD26E5">
        <w:rPr>
          <w:rFonts w:ascii="Arial" w:hAnsi="Arial" w:cs="Arial"/>
          <w:sz w:val="22"/>
          <w:szCs w:val="22"/>
        </w:rPr>
        <w:t xml:space="preserve"> </w:t>
      </w:r>
      <w:proofErr w:type="gramStart"/>
      <w:r w:rsidR="00FD26E5">
        <w:rPr>
          <w:rFonts w:ascii="Arial" w:hAnsi="Arial" w:cs="Arial"/>
          <w:sz w:val="22"/>
          <w:szCs w:val="22"/>
        </w:rPr>
        <w:t>c</w:t>
      </w:r>
      <w:r w:rsidRPr="00AF01E3">
        <w:rPr>
          <w:rFonts w:ascii="Arial" w:hAnsi="Arial" w:cs="Arial"/>
          <w:sz w:val="22"/>
          <w:szCs w:val="22"/>
        </w:rPr>
        <w:t>ovariate-adjusted</w:t>
      </w:r>
      <w:proofErr w:type="gramEnd"/>
      <w:r w:rsidRPr="00AF01E3">
        <w:rPr>
          <w:rFonts w:ascii="Arial" w:hAnsi="Arial" w:cs="Arial"/>
          <w:sz w:val="22"/>
          <w:szCs w:val="22"/>
        </w:rPr>
        <w:t xml:space="preserve"> GLM </w:t>
      </w:r>
      <w:r>
        <w:rPr>
          <w:rFonts w:ascii="Arial" w:hAnsi="Arial" w:cs="Arial"/>
          <w:sz w:val="22"/>
          <w:szCs w:val="22"/>
        </w:rPr>
        <w:t xml:space="preserve">analysis </w:t>
      </w:r>
      <w:r w:rsidRPr="00AF01E3">
        <w:rPr>
          <w:rFonts w:ascii="Arial" w:hAnsi="Arial" w:cs="Arial"/>
          <w:sz w:val="22"/>
          <w:szCs w:val="22"/>
        </w:rPr>
        <w:t xml:space="preserve">of primary endpoint </w:t>
      </w:r>
      <w:r w:rsidR="00A4710C">
        <w:rPr>
          <w:rFonts w:ascii="Arial" w:hAnsi="Arial" w:cs="Arial"/>
          <w:sz w:val="22"/>
          <w:szCs w:val="22"/>
        </w:rPr>
        <w:t xml:space="preserve">also </w:t>
      </w:r>
      <w:r w:rsidR="00FD26E5">
        <w:rPr>
          <w:rFonts w:ascii="Arial" w:hAnsi="Arial" w:cs="Arial"/>
          <w:sz w:val="22"/>
          <w:szCs w:val="22"/>
        </w:rPr>
        <w:t>incorporated</w:t>
      </w:r>
      <w:r w:rsidRPr="00AF01E3">
        <w:rPr>
          <w:rFonts w:ascii="Arial" w:hAnsi="Arial" w:cs="Arial"/>
          <w:sz w:val="22"/>
          <w:szCs w:val="22"/>
        </w:rPr>
        <w:t xml:space="preserve"> age (&lt; or ≥ median), country, and gestational age (&lt; or ≥36 weeks)</w:t>
      </w:r>
      <w:r w:rsidR="00A4710C">
        <w:rPr>
          <w:rFonts w:ascii="Arial" w:hAnsi="Arial" w:cs="Arial"/>
          <w:sz w:val="22"/>
          <w:szCs w:val="22"/>
        </w:rPr>
        <w:t xml:space="preserve"> at baseline</w:t>
      </w:r>
      <w:r w:rsidRPr="00AF01E3">
        <w:rPr>
          <w:rFonts w:ascii="Arial" w:hAnsi="Arial" w:cs="Arial"/>
          <w:sz w:val="22"/>
          <w:szCs w:val="22"/>
        </w:rPr>
        <w:t xml:space="preserve">. Subgroup analysis was performed </w:t>
      </w:r>
      <w:r w:rsidR="00FD26E5">
        <w:rPr>
          <w:rFonts w:ascii="Arial" w:hAnsi="Arial" w:cs="Arial"/>
          <w:sz w:val="22"/>
          <w:szCs w:val="22"/>
        </w:rPr>
        <w:t>for each of</w:t>
      </w:r>
      <w:r w:rsidR="00FD26E5" w:rsidRPr="00AF01E3">
        <w:rPr>
          <w:rFonts w:ascii="Arial" w:hAnsi="Arial" w:cs="Arial"/>
          <w:sz w:val="22"/>
          <w:szCs w:val="22"/>
        </w:rPr>
        <w:t xml:space="preserve"> </w:t>
      </w:r>
      <w:r w:rsidRPr="00AF01E3">
        <w:rPr>
          <w:rFonts w:ascii="Arial" w:hAnsi="Arial" w:cs="Arial"/>
          <w:sz w:val="22"/>
          <w:szCs w:val="22"/>
        </w:rPr>
        <w:t xml:space="preserve">the five pre-specified covariates. </w:t>
      </w:r>
      <w:r w:rsidR="00C02998">
        <w:rPr>
          <w:rFonts w:ascii="Arial" w:hAnsi="Arial" w:cs="Arial"/>
          <w:sz w:val="22"/>
          <w:szCs w:val="22"/>
        </w:rPr>
        <w:t xml:space="preserve">Sensitivity analysis of missing primary endpoint was also performed assuming (1) it did not achieve </w:t>
      </w:r>
      <w:r w:rsidR="009E5A07">
        <w:rPr>
          <w:rFonts w:ascii="Arial" w:hAnsi="Arial" w:cs="Arial"/>
          <w:color w:val="000000" w:themeColor="text1"/>
        </w:rPr>
        <w:t>viral load</w:t>
      </w:r>
      <w:r w:rsidR="001A3165">
        <w:rPr>
          <w:rFonts w:ascii="Arial" w:hAnsi="Arial" w:cs="Arial"/>
          <w:color w:val="000000" w:themeColor="text1"/>
        </w:rPr>
        <w:t xml:space="preserve"> </w:t>
      </w:r>
      <w:r w:rsidR="00C02998" w:rsidRPr="00C02998">
        <w:rPr>
          <w:rFonts w:ascii="Arial" w:hAnsi="Arial" w:cs="Arial"/>
          <w:sz w:val="22"/>
          <w:szCs w:val="22"/>
        </w:rPr>
        <w:t xml:space="preserve">&lt;50 </w:t>
      </w:r>
      <w:r w:rsidR="00147F88">
        <w:rPr>
          <w:rFonts w:ascii="Arial" w:hAnsi="Arial" w:cs="Arial"/>
          <w:sz w:val="22"/>
          <w:szCs w:val="22"/>
        </w:rPr>
        <w:t>copies per mL</w:t>
      </w:r>
      <w:r w:rsidR="00C02998">
        <w:rPr>
          <w:rFonts w:ascii="Arial" w:hAnsi="Arial" w:cs="Arial"/>
          <w:sz w:val="22"/>
          <w:szCs w:val="22"/>
        </w:rPr>
        <w:t xml:space="preserve">; (2) it achieved </w:t>
      </w:r>
      <w:r w:rsidR="009E5A07">
        <w:rPr>
          <w:rFonts w:ascii="Arial" w:hAnsi="Arial" w:cs="Arial"/>
          <w:color w:val="000000" w:themeColor="text1"/>
        </w:rPr>
        <w:t>viral load</w:t>
      </w:r>
      <w:r w:rsidR="001A3165">
        <w:rPr>
          <w:rFonts w:ascii="Arial" w:hAnsi="Arial" w:cs="Arial"/>
          <w:color w:val="000000" w:themeColor="text1"/>
        </w:rPr>
        <w:t xml:space="preserve"> </w:t>
      </w:r>
      <w:r w:rsidR="00C02998" w:rsidRPr="00C02998">
        <w:rPr>
          <w:rFonts w:ascii="Arial" w:hAnsi="Arial" w:cs="Arial"/>
          <w:sz w:val="22"/>
          <w:szCs w:val="22"/>
        </w:rPr>
        <w:t xml:space="preserve">&lt;50 </w:t>
      </w:r>
      <w:r w:rsidR="00147F88">
        <w:rPr>
          <w:rFonts w:ascii="Arial" w:hAnsi="Arial" w:cs="Arial"/>
          <w:sz w:val="22"/>
          <w:szCs w:val="22"/>
        </w:rPr>
        <w:t>copies per mL</w:t>
      </w:r>
      <w:r w:rsidR="00C02998">
        <w:rPr>
          <w:rFonts w:ascii="Arial" w:hAnsi="Arial" w:cs="Arial"/>
          <w:sz w:val="22"/>
          <w:szCs w:val="22"/>
        </w:rPr>
        <w:t xml:space="preserve">; and (3) it </w:t>
      </w:r>
      <w:r w:rsidR="00C02998" w:rsidRPr="00C02998">
        <w:rPr>
          <w:rFonts w:ascii="Arial" w:hAnsi="Arial" w:cs="Arial"/>
          <w:sz w:val="22"/>
          <w:szCs w:val="22"/>
        </w:rPr>
        <w:t xml:space="preserve">did not achieve suppression for </w:t>
      </w:r>
      <w:r w:rsidR="002229C4">
        <w:rPr>
          <w:rFonts w:ascii="Arial" w:hAnsi="Arial" w:cs="Arial"/>
          <w:sz w:val="22"/>
          <w:szCs w:val="22"/>
        </w:rPr>
        <w:t>dolutegravir</w:t>
      </w:r>
      <w:r w:rsidR="00C02998" w:rsidRPr="00C02998">
        <w:rPr>
          <w:rFonts w:ascii="Arial" w:hAnsi="Arial" w:cs="Arial"/>
          <w:sz w:val="22"/>
          <w:szCs w:val="22"/>
        </w:rPr>
        <w:t xml:space="preserve"> group but achieve</w:t>
      </w:r>
      <w:r w:rsidR="00C02998">
        <w:rPr>
          <w:rFonts w:ascii="Arial" w:hAnsi="Arial" w:cs="Arial"/>
          <w:sz w:val="22"/>
          <w:szCs w:val="22"/>
        </w:rPr>
        <w:t>d</w:t>
      </w:r>
      <w:r w:rsidR="00C02998" w:rsidRPr="00C02998">
        <w:rPr>
          <w:rFonts w:ascii="Arial" w:hAnsi="Arial" w:cs="Arial"/>
          <w:sz w:val="22"/>
          <w:szCs w:val="22"/>
        </w:rPr>
        <w:t xml:space="preserve"> suppression for </w:t>
      </w:r>
      <w:r w:rsidR="002229C4">
        <w:rPr>
          <w:rFonts w:ascii="Arial" w:hAnsi="Arial" w:cs="Arial"/>
          <w:sz w:val="22"/>
          <w:szCs w:val="22"/>
        </w:rPr>
        <w:t>efavirenz</w:t>
      </w:r>
      <w:r w:rsidR="00C02998" w:rsidRPr="00C02998">
        <w:rPr>
          <w:rFonts w:ascii="Arial" w:hAnsi="Arial" w:cs="Arial"/>
          <w:sz w:val="22"/>
          <w:szCs w:val="22"/>
        </w:rPr>
        <w:t xml:space="preserve"> group</w:t>
      </w:r>
      <w:r w:rsidR="00C02998">
        <w:rPr>
          <w:rFonts w:ascii="Arial" w:hAnsi="Arial" w:cs="Arial"/>
          <w:sz w:val="22"/>
          <w:szCs w:val="22"/>
        </w:rPr>
        <w:t>.</w:t>
      </w:r>
    </w:p>
    <w:p w14:paraId="7D0DD606" w14:textId="77777777" w:rsidR="001E182D" w:rsidRPr="003A1D48" w:rsidRDefault="001E182D" w:rsidP="00881686">
      <w:pPr>
        <w:spacing w:line="360" w:lineRule="auto"/>
        <w:jc w:val="both"/>
        <w:rPr>
          <w:rFonts w:ascii="Arial" w:hAnsi="Arial" w:cs="Arial"/>
        </w:rPr>
      </w:pPr>
    </w:p>
    <w:p w14:paraId="296A1B55" w14:textId="0918BC72" w:rsidR="00AF01E3" w:rsidRDefault="00AF01E3" w:rsidP="00881686">
      <w:pPr>
        <w:spacing w:line="360" w:lineRule="auto"/>
        <w:jc w:val="both"/>
        <w:rPr>
          <w:rFonts w:ascii="Arial" w:hAnsi="Arial" w:cs="Arial"/>
        </w:rPr>
      </w:pPr>
      <w:r w:rsidRPr="00FF507D">
        <w:rPr>
          <w:rFonts w:ascii="Arial" w:hAnsi="Arial" w:cs="Arial"/>
        </w:rPr>
        <w:t xml:space="preserve">For time-to-event </w:t>
      </w:r>
      <w:r w:rsidR="00A4710C">
        <w:rPr>
          <w:rFonts w:ascii="Arial" w:hAnsi="Arial" w:cs="Arial"/>
        </w:rPr>
        <w:t>analyses</w:t>
      </w:r>
      <w:r w:rsidRPr="00FF507D">
        <w:rPr>
          <w:rFonts w:ascii="Arial" w:hAnsi="Arial" w:cs="Arial"/>
        </w:rPr>
        <w:t>,</w:t>
      </w:r>
      <w:r w:rsidR="00626FB4">
        <w:rPr>
          <w:rFonts w:ascii="Arial" w:hAnsi="Arial" w:cs="Arial"/>
        </w:rPr>
        <w:t xml:space="preserve"> </w:t>
      </w:r>
      <w:r w:rsidR="002D07E0">
        <w:rPr>
          <w:rFonts w:ascii="Arial" w:hAnsi="Arial" w:cs="Arial"/>
        </w:rPr>
        <w:t xml:space="preserve">we used </w:t>
      </w:r>
      <w:r w:rsidR="00626FB4">
        <w:rPr>
          <w:rFonts w:ascii="Arial" w:hAnsi="Arial" w:cs="Arial"/>
        </w:rPr>
        <w:t xml:space="preserve">the </w:t>
      </w:r>
      <w:r w:rsidR="00626FB4" w:rsidRPr="002A25DC">
        <w:rPr>
          <w:rFonts w:ascii="Arial" w:hAnsi="Arial" w:cs="Arial"/>
          <w:lang w:val="en-GB"/>
        </w:rPr>
        <w:t xml:space="preserve">actual visit dates </w:t>
      </w:r>
      <w:r w:rsidR="002D07E0">
        <w:rPr>
          <w:rFonts w:ascii="Arial" w:hAnsi="Arial" w:cs="Arial"/>
          <w:lang w:val="en-GB"/>
        </w:rPr>
        <w:t xml:space="preserve">to </w:t>
      </w:r>
      <w:r w:rsidR="00626FB4" w:rsidRPr="002A25DC">
        <w:rPr>
          <w:rFonts w:ascii="Arial" w:hAnsi="Arial" w:cs="Arial"/>
          <w:lang w:val="en-GB"/>
        </w:rPr>
        <w:t xml:space="preserve">calculate </w:t>
      </w:r>
      <w:r w:rsidR="00626FB4">
        <w:rPr>
          <w:rFonts w:ascii="Arial" w:hAnsi="Arial" w:cs="Arial"/>
          <w:lang w:val="en-GB"/>
        </w:rPr>
        <w:t>time</w:t>
      </w:r>
      <w:r w:rsidR="00626FB4" w:rsidRPr="002A25DC">
        <w:rPr>
          <w:rFonts w:ascii="Arial" w:hAnsi="Arial" w:cs="Arial"/>
          <w:lang w:val="en-GB"/>
        </w:rPr>
        <w:t xml:space="preserve"> of viral load suppression</w:t>
      </w:r>
      <w:r w:rsidR="00626FB4">
        <w:rPr>
          <w:rFonts w:ascii="Arial" w:hAnsi="Arial" w:cs="Arial"/>
          <w:lang w:val="en-GB"/>
        </w:rPr>
        <w:t>.</w:t>
      </w:r>
      <w:r w:rsidR="00626FB4" w:rsidRPr="002A25DC">
        <w:rPr>
          <w:rFonts w:ascii="Arial" w:hAnsi="Arial" w:cs="Arial"/>
        </w:rPr>
        <w:t xml:space="preserve"> </w:t>
      </w:r>
      <w:r w:rsidRPr="00FF507D">
        <w:rPr>
          <w:rFonts w:ascii="Arial" w:hAnsi="Arial" w:cs="Arial"/>
        </w:rPr>
        <w:t>Kaplan-Meier curves</w:t>
      </w:r>
      <w:r w:rsidR="00FD26E5">
        <w:rPr>
          <w:rFonts w:ascii="Arial" w:hAnsi="Arial" w:cs="Arial"/>
        </w:rPr>
        <w:t xml:space="preserve"> for each treatment group</w:t>
      </w:r>
      <w:r w:rsidRPr="00FF507D">
        <w:rPr>
          <w:rFonts w:ascii="Arial" w:hAnsi="Arial" w:cs="Arial"/>
        </w:rPr>
        <w:t xml:space="preserve"> </w:t>
      </w:r>
      <w:r w:rsidR="00FD26E5">
        <w:rPr>
          <w:rFonts w:ascii="Arial" w:hAnsi="Arial" w:cs="Arial"/>
        </w:rPr>
        <w:t>were</w:t>
      </w:r>
      <w:r w:rsidRPr="00FF507D">
        <w:rPr>
          <w:rFonts w:ascii="Arial" w:hAnsi="Arial" w:cs="Arial"/>
        </w:rPr>
        <w:t xml:space="preserve"> compared by the log rank test and hazard ratio </w:t>
      </w:r>
      <w:r w:rsidR="00FD26E5">
        <w:rPr>
          <w:rFonts w:ascii="Arial" w:hAnsi="Arial" w:cs="Arial"/>
        </w:rPr>
        <w:t>(</w:t>
      </w:r>
      <w:r w:rsidRPr="00FF507D">
        <w:rPr>
          <w:rFonts w:ascii="Arial" w:hAnsi="Arial" w:cs="Arial"/>
        </w:rPr>
        <w:t>95% CI</w:t>
      </w:r>
      <w:r w:rsidR="00FD26E5">
        <w:rPr>
          <w:rFonts w:ascii="Arial" w:hAnsi="Arial" w:cs="Arial"/>
        </w:rPr>
        <w:t>),</w:t>
      </w:r>
      <w:r w:rsidRPr="00FF507D">
        <w:rPr>
          <w:rFonts w:ascii="Arial" w:hAnsi="Arial" w:cs="Arial"/>
        </w:rPr>
        <w:t xml:space="preserve"> calculated using </w:t>
      </w:r>
      <w:r w:rsidR="00FD26E5">
        <w:rPr>
          <w:rFonts w:ascii="Arial" w:hAnsi="Arial" w:cs="Arial"/>
        </w:rPr>
        <w:t xml:space="preserve">the </w:t>
      </w:r>
      <w:r w:rsidRPr="00FF507D">
        <w:rPr>
          <w:rFonts w:ascii="Arial" w:hAnsi="Arial" w:cs="Arial"/>
        </w:rPr>
        <w:t xml:space="preserve">Cox regression model with </w:t>
      </w:r>
      <w:r w:rsidR="009E5A07">
        <w:rPr>
          <w:rFonts w:ascii="Arial" w:hAnsi="Arial" w:cs="Arial"/>
          <w:color w:val="000000" w:themeColor="text1"/>
        </w:rPr>
        <w:t>viral load</w:t>
      </w:r>
      <w:r w:rsidR="003C21A2">
        <w:rPr>
          <w:rFonts w:ascii="Arial" w:hAnsi="Arial" w:cs="Arial"/>
        </w:rPr>
        <w:t xml:space="preserve"> </w:t>
      </w:r>
      <w:r w:rsidRPr="00FF507D">
        <w:rPr>
          <w:rFonts w:ascii="Arial" w:hAnsi="Arial" w:cs="Arial"/>
        </w:rPr>
        <w:t>and CD4</w:t>
      </w:r>
      <w:r w:rsidR="003C21A2">
        <w:rPr>
          <w:rFonts w:ascii="Arial" w:hAnsi="Arial" w:cs="Arial"/>
        </w:rPr>
        <w:t>-stratified</w:t>
      </w:r>
      <w:r w:rsidRPr="00FF507D">
        <w:rPr>
          <w:rFonts w:ascii="Arial" w:hAnsi="Arial" w:cs="Arial"/>
        </w:rPr>
        <w:t xml:space="preserve"> covariables.</w:t>
      </w:r>
      <w:r>
        <w:rPr>
          <w:rFonts w:ascii="Arial" w:hAnsi="Arial" w:cs="Arial"/>
        </w:rPr>
        <w:t xml:space="preserve"> Binary</w:t>
      </w:r>
      <w:r w:rsidRPr="003A1D48">
        <w:rPr>
          <w:rFonts w:ascii="Arial" w:hAnsi="Arial" w:cs="Arial"/>
        </w:rPr>
        <w:t xml:space="preserve"> secondary outcomes were analy</w:t>
      </w:r>
      <w:r w:rsidR="007514AA">
        <w:rPr>
          <w:rFonts w:ascii="Arial" w:hAnsi="Arial" w:cs="Arial"/>
        </w:rPr>
        <w:t>z</w:t>
      </w:r>
      <w:r w:rsidRPr="003A1D48">
        <w:rPr>
          <w:rFonts w:ascii="Arial" w:hAnsi="Arial" w:cs="Arial"/>
        </w:rPr>
        <w:t xml:space="preserve">ed in a similar way as the primary endpoint analysis. </w:t>
      </w:r>
      <w:r>
        <w:rPr>
          <w:rFonts w:ascii="Arial" w:hAnsi="Arial" w:cs="Arial"/>
        </w:rPr>
        <w:t xml:space="preserve"> </w:t>
      </w:r>
    </w:p>
    <w:p w14:paraId="3D274A56" w14:textId="77777777" w:rsidR="00AF01E3" w:rsidRDefault="00AF01E3" w:rsidP="00A67253">
      <w:pPr>
        <w:spacing w:line="360" w:lineRule="auto"/>
        <w:jc w:val="both"/>
        <w:rPr>
          <w:rFonts w:ascii="Arial" w:hAnsi="Arial" w:cs="Arial"/>
        </w:rPr>
      </w:pPr>
    </w:p>
    <w:p w14:paraId="48855214" w14:textId="77777777" w:rsidR="009A09D2" w:rsidRPr="009A09D2" w:rsidRDefault="009A09D2" w:rsidP="00A67253">
      <w:pPr>
        <w:spacing w:line="360" w:lineRule="auto"/>
        <w:jc w:val="both"/>
        <w:rPr>
          <w:rFonts w:ascii="Arial" w:hAnsi="Arial" w:cs="Arial"/>
          <w:u w:val="single"/>
        </w:rPr>
      </w:pPr>
      <w:r w:rsidRPr="009A09D2">
        <w:rPr>
          <w:rFonts w:ascii="Arial" w:hAnsi="Arial" w:cs="Arial"/>
          <w:u w:val="single"/>
        </w:rPr>
        <w:t>Role of the funding source</w:t>
      </w:r>
    </w:p>
    <w:p w14:paraId="5397EC10" w14:textId="3AAF53A7" w:rsidR="00104214" w:rsidRDefault="009A09D2" w:rsidP="00A67253">
      <w:pPr>
        <w:spacing w:line="360" w:lineRule="auto"/>
        <w:jc w:val="both"/>
        <w:rPr>
          <w:rFonts w:ascii="Arial" w:hAnsi="Arial" w:cs="Arial"/>
        </w:rPr>
      </w:pPr>
      <w:r>
        <w:rPr>
          <w:rFonts w:ascii="Arial" w:hAnsi="Arial" w:cs="Arial"/>
        </w:rPr>
        <w:t xml:space="preserve">Neither </w:t>
      </w:r>
      <w:proofErr w:type="spellStart"/>
      <w:r>
        <w:rPr>
          <w:rFonts w:ascii="Arial" w:hAnsi="Arial" w:cs="Arial"/>
        </w:rPr>
        <w:t>ViiV</w:t>
      </w:r>
      <w:proofErr w:type="spellEnd"/>
      <w:r>
        <w:rPr>
          <w:rFonts w:ascii="Arial" w:hAnsi="Arial" w:cs="Arial"/>
        </w:rPr>
        <w:t xml:space="preserve"> Healthcare nor the study funder</w:t>
      </w:r>
      <w:r w:rsidRPr="009A09D2">
        <w:rPr>
          <w:rFonts w:ascii="Arial" w:hAnsi="Arial" w:cs="Arial"/>
        </w:rPr>
        <w:t xml:space="preserve"> had </w:t>
      </w:r>
      <w:r>
        <w:rPr>
          <w:rFonts w:ascii="Arial" w:hAnsi="Arial" w:cs="Arial"/>
        </w:rPr>
        <w:t>any</w:t>
      </w:r>
      <w:r w:rsidRPr="009A09D2">
        <w:rPr>
          <w:rFonts w:ascii="Arial" w:hAnsi="Arial" w:cs="Arial"/>
        </w:rPr>
        <w:t xml:space="preserve"> role in </w:t>
      </w:r>
      <w:r w:rsidR="002E69C9" w:rsidRPr="002E69C9">
        <w:rPr>
          <w:rFonts w:ascii="Arial" w:hAnsi="Arial" w:cs="Arial"/>
        </w:rPr>
        <w:t xml:space="preserve">study design, data collection, data analysis, data interpretation, or writing of the report </w:t>
      </w:r>
      <w:r>
        <w:rPr>
          <w:rFonts w:ascii="Arial" w:hAnsi="Arial" w:cs="Arial"/>
        </w:rPr>
        <w:t>which remains the responsibility of the DolPHIN-2 trial management group</w:t>
      </w:r>
      <w:r w:rsidR="00BB1049">
        <w:rPr>
          <w:rFonts w:ascii="Arial" w:hAnsi="Arial" w:cs="Arial"/>
        </w:rPr>
        <w:t>, accountable to the Trial Steering Committee</w:t>
      </w:r>
      <w:r w:rsidR="002E69C9" w:rsidRPr="002E69C9">
        <w:rPr>
          <w:rFonts w:ascii="Arial" w:hAnsi="Arial" w:cs="Arial"/>
        </w:rPr>
        <w:t>. The corresponding author had full access to all the data in the study and had final responsibility for the decision to submit for publication</w:t>
      </w:r>
      <w:r w:rsidR="002E69C9">
        <w:rPr>
          <w:rFonts w:ascii="Arial" w:hAnsi="Arial" w:cs="Arial"/>
        </w:rPr>
        <w:t>.</w:t>
      </w:r>
      <w:r w:rsidR="00104214">
        <w:rPr>
          <w:rFonts w:ascii="Arial" w:hAnsi="Arial" w:cs="Arial"/>
        </w:rPr>
        <w:br w:type="page"/>
      </w:r>
    </w:p>
    <w:p w14:paraId="604F6B6F" w14:textId="77777777" w:rsidR="00B7124E" w:rsidRDefault="00B7124E" w:rsidP="00A67253">
      <w:pPr>
        <w:spacing w:line="360" w:lineRule="auto"/>
        <w:jc w:val="both"/>
        <w:rPr>
          <w:rFonts w:ascii="Arial" w:hAnsi="Arial" w:cs="Arial"/>
        </w:rPr>
      </w:pPr>
    </w:p>
    <w:p w14:paraId="7D79CFF9" w14:textId="04AF4933" w:rsidR="00CB2B37" w:rsidRPr="00737653" w:rsidRDefault="00A458A5" w:rsidP="00A67253">
      <w:pPr>
        <w:spacing w:line="360" w:lineRule="auto"/>
        <w:jc w:val="both"/>
        <w:rPr>
          <w:rFonts w:ascii="Arial" w:hAnsi="Arial" w:cs="Arial"/>
          <w:b/>
          <w:u w:val="single"/>
        </w:rPr>
      </w:pPr>
      <w:r w:rsidRPr="00737653">
        <w:rPr>
          <w:rFonts w:ascii="Arial" w:hAnsi="Arial" w:cs="Arial"/>
          <w:b/>
          <w:u w:val="single"/>
        </w:rPr>
        <w:t>Results</w:t>
      </w:r>
    </w:p>
    <w:p w14:paraId="1442F3AF" w14:textId="77777777" w:rsidR="00104214" w:rsidRDefault="00104214" w:rsidP="00A67253">
      <w:pPr>
        <w:spacing w:line="360" w:lineRule="auto"/>
        <w:jc w:val="both"/>
        <w:rPr>
          <w:rFonts w:ascii="Arial" w:hAnsi="Arial" w:cs="Arial"/>
          <w:color w:val="000000"/>
        </w:rPr>
      </w:pPr>
    </w:p>
    <w:p w14:paraId="0BC97108" w14:textId="6F5A5E68" w:rsidR="000221DB" w:rsidRDefault="006F7440" w:rsidP="00894AF9">
      <w:pPr>
        <w:spacing w:line="360" w:lineRule="auto"/>
        <w:jc w:val="both"/>
        <w:rPr>
          <w:rFonts w:ascii="Arial" w:hAnsi="Arial" w:cs="Arial"/>
          <w:color w:val="000000"/>
        </w:rPr>
      </w:pPr>
      <w:r>
        <w:rPr>
          <w:rFonts w:ascii="Arial" w:hAnsi="Arial" w:cs="Arial"/>
          <w:color w:val="000000"/>
        </w:rPr>
        <w:t xml:space="preserve">Between </w:t>
      </w:r>
      <w:r w:rsidR="00FC1F4A">
        <w:rPr>
          <w:rFonts w:ascii="Arial" w:hAnsi="Arial" w:cs="Arial"/>
          <w:color w:val="000000"/>
        </w:rPr>
        <w:t>23</w:t>
      </w:r>
      <w:r w:rsidR="00FC1F4A" w:rsidRPr="00AE3CC5">
        <w:rPr>
          <w:rFonts w:ascii="Arial" w:hAnsi="Arial" w:cs="Arial"/>
          <w:color w:val="000000"/>
          <w:vertAlign w:val="superscript"/>
        </w:rPr>
        <w:t>rd</w:t>
      </w:r>
      <w:r w:rsidR="00FC1F4A">
        <w:rPr>
          <w:rFonts w:ascii="Arial" w:hAnsi="Arial" w:cs="Arial"/>
          <w:color w:val="000000"/>
        </w:rPr>
        <w:t xml:space="preserve"> </w:t>
      </w:r>
      <w:r w:rsidRPr="001D012C">
        <w:rPr>
          <w:rFonts w:ascii="Arial" w:hAnsi="Arial" w:cs="Arial"/>
          <w:color w:val="000000" w:themeColor="text1"/>
        </w:rPr>
        <w:t>January-</w:t>
      </w:r>
      <w:r w:rsidR="00FC1F4A" w:rsidRPr="00AE3CC5">
        <w:rPr>
          <w:rFonts w:ascii="Arial" w:hAnsi="Arial" w:cs="Arial"/>
          <w:color w:val="000000" w:themeColor="text1"/>
        </w:rPr>
        <w:t>15</w:t>
      </w:r>
      <w:r w:rsidR="00FC1F4A" w:rsidRPr="00AE3CC5">
        <w:rPr>
          <w:rFonts w:ascii="Arial" w:hAnsi="Arial" w:cs="Arial"/>
          <w:color w:val="000000" w:themeColor="text1"/>
          <w:vertAlign w:val="superscript"/>
        </w:rPr>
        <w:t>th</w:t>
      </w:r>
      <w:r w:rsidR="00FC1F4A" w:rsidRPr="00AE3CC5">
        <w:rPr>
          <w:rFonts w:ascii="Arial" w:hAnsi="Arial" w:cs="Arial"/>
          <w:color w:val="000000" w:themeColor="text1"/>
        </w:rPr>
        <w:t xml:space="preserve"> </w:t>
      </w:r>
      <w:r w:rsidRPr="001D012C">
        <w:rPr>
          <w:rFonts w:ascii="Arial" w:hAnsi="Arial" w:cs="Arial"/>
          <w:color w:val="000000" w:themeColor="text1"/>
        </w:rPr>
        <w:t>August</w:t>
      </w:r>
      <w:r>
        <w:rPr>
          <w:rFonts w:ascii="Arial" w:hAnsi="Arial" w:cs="Arial"/>
          <w:color w:val="000000" w:themeColor="text1"/>
        </w:rPr>
        <w:t xml:space="preserve"> 2018</w:t>
      </w:r>
      <w:r w:rsidR="000A3060">
        <w:rPr>
          <w:rFonts w:ascii="Arial" w:hAnsi="Arial" w:cs="Arial"/>
          <w:color w:val="000000" w:themeColor="text1"/>
        </w:rPr>
        <w:t>,</w:t>
      </w:r>
      <w:r w:rsidRPr="00C72984">
        <w:rPr>
          <w:rFonts w:ascii="Arial" w:hAnsi="Arial" w:cs="Arial"/>
          <w:color w:val="000000" w:themeColor="text1"/>
        </w:rPr>
        <w:t xml:space="preserve"> </w:t>
      </w:r>
      <w:r w:rsidR="008A613E">
        <w:rPr>
          <w:rFonts w:ascii="Arial" w:hAnsi="Arial" w:cs="Arial"/>
          <w:color w:val="000000"/>
        </w:rPr>
        <w:t xml:space="preserve">we </w:t>
      </w:r>
      <w:r w:rsidR="008A613E" w:rsidRPr="00A413CD">
        <w:rPr>
          <w:rFonts w:ascii="Arial" w:hAnsi="Arial" w:cs="Arial"/>
          <w:color w:val="000000"/>
        </w:rPr>
        <w:t>screened</w:t>
      </w:r>
      <w:r w:rsidR="008A613E">
        <w:rPr>
          <w:rFonts w:ascii="Arial" w:hAnsi="Arial" w:cs="Arial"/>
          <w:color w:val="000000"/>
        </w:rPr>
        <w:t xml:space="preserve"> and </w:t>
      </w:r>
      <w:r w:rsidR="008A613E" w:rsidRPr="00A413CD">
        <w:rPr>
          <w:rFonts w:ascii="Arial" w:hAnsi="Arial" w:cs="Arial"/>
          <w:color w:val="000000"/>
        </w:rPr>
        <w:t>randomized</w:t>
      </w:r>
      <w:r w:rsidR="008A613E">
        <w:rPr>
          <w:rFonts w:ascii="Arial" w:hAnsi="Arial" w:cs="Arial"/>
          <w:color w:val="000000" w:themeColor="text1"/>
        </w:rPr>
        <w:t xml:space="preserve"> </w:t>
      </w:r>
      <w:r w:rsidR="00FC1F4A">
        <w:rPr>
          <w:rFonts w:ascii="Arial" w:hAnsi="Arial" w:cs="Arial"/>
          <w:color w:val="000000" w:themeColor="text1"/>
        </w:rPr>
        <w:t xml:space="preserve">268 </w:t>
      </w:r>
      <w:r w:rsidR="00FC1F4A">
        <w:rPr>
          <w:rFonts w:ascii="Arial" w:hAnsi="Arial" w:cs="Arial"/>
          <w:color w:val="000000"/>
        </w:rPr>
        <w:t>p</w:t>
      </w:r>
      <w:r w:rsidR="00FC1F4A" w:rsidRPr="00A413CD">
        <w:rPr>
          <w:rFonts w:ascii="Arial" w:hAnsi="Arial" w:cs="Arial"/>
          <w:color w:val="000000"/>
        </w:rPr>
        <w:t xml:space="preserve">regnant </w:t>
      </w:r>
      <w:r w:rsidR="007B5FA9" w:rsidRPr="00A413CD">
        <w:rPr>
          <w:rFonts w:ascii="Arial" w:hAnsi="Arial" w:cs="Arial"/>
          <w:color w:val="000000"/>
        </w:rPr>
        <w:t xml:space="preserve">mothers </w:t>
      </w:r>
      <w:r w:rsidR="005D4162">
        <w:rPr>
          <w:rFonts w:ascii="Arial" w:hAnsi="Arial" w:cs="Arial"/>
          <w:color w:val="000000"/>
        </w:rPr>
        <w:t>(Figure 1)</w:t>
      </w:r>
      <w:r w:rsidR="008A613E">
        <w:rPr>
          <w:rFonts w:ascii="Arial" w:hAnsi="Arial" w:cs="Arial"/>
          <w:color w:val="000000"/>
        </w:rPr>
        <w:t>,</w:t>
      </w:r>
      <w:r w:rsidR="00662453">
        <w:rPr>
          <w:rFonts w:ascii="Arial" w:hAnsi="Arial" w:cs="Arial"/>
          <w:color w:val="000000"/>
        </w:rPr>
        <w:t xml:space="preserve"> with mothers and infants comprising</w:t>
      </w:r>
      <w:r w:rsidR="007B5FA9" w:rsidRPr="00A413CD">
        <w:rPr>
          <w:rFonts w:ascii="Arial" w:hAnsi="Arial" w:cs="Arial"/>
          <w:color w:val="000000"/>
        </w:rPr>
        <w:t xml:space="preserve"> the safety evaluation population followed to delivery visit and beyond</w:t>
      </w:r>
      <w:r w:rsidR="007B5FA9" w:rsidRPr="00104214">
        <w:rPr>
          <w:rFonts w:ascii="Arial" w:hAnsi="Arial" w:cs="Arial"/>
          <w:color w:val="000000"/>
        </w:rPr>
        <w:t xml:space="preserve">. </w:t>
      </w:r>
      <w:r w:rsidR="00894AF9">
        <w:rPr>
          <w:rFonts w:ascii="Arial" w:hAnsi="Arial" w:cs="Arial"/>
          <w:color w:val="000000"/>
        </w:rPr>
        <w:t xml:space="preserve">Following withdrawals due to laboratory results falling outside eligibility criteria (including </w:t>
      </w:r>
      <w:r w:rsidR="00894AF9" w:rsidRPr="00F72441">
        <w:rPr>
          <w:rFonts w:ascii="Arial" w:hAnsi="Arial" w:cs="Arial"/>
          <w:color w:val="000000"/>
        </w:rPr>
        <w:t>a pre</w:t>
      </w:r>
      <w:r w:rsidR="00894AF9">
        <w:rPr>
          <w:rFonts w:ascii="Arial" w:hAnsi="Arial" w:cs="Arial"/>
          <w:color w:val="000000"/>
        </w:rPr>
        <w:t xml:space="preserve">-treatment </w:t>
      </w:r>
      <w:r w:rsidR="009E5A07">
        <w:rPr>
          <w:rFonts w:ascii="Arial" w:hAnsi="Arial" w:cs="Arial"/>
          <w:color w:val="000000" w:themeColor="text1"/>
        </w:rPr>
        <w:t>viral load</w:t>
      </w:r>
      <w:r w:rsidR="00894AF9">
        <w:rPr>
          <w:rFonts w:ascii="Arial" w:hAnsi="Arial" w:cs="Arial"/>
          <w:color w:val="000000"/>
        </w:rPr>
        <w:t xml:space="preserve"> &lt;50 </w:t>
      </w:r>
      <w:r w:rsidR="00894AF9" w:rsidRPr="00894AF9">
        <w:rPr>
          <w:rFonts w:ascii="Arial" w:hAnsi="Arial" w:cs="Arial"/>
          <w:color w:val="000000"/>
        </w:rPr>
        <w:t>copies per mL</w:t>
      </w:r>
      <w:r w:rsidR="00894AF9">
        <w:rPr>
          <w:rFonts w:ascii="Arial" w:hAnsi="Arial" w:cs="Arial"/>
          <w:color w:val="000000"/>
        </w:rPr>
        <w:t xml:space="preserve">) </w:t>
      </w:r>
      <w:r w:rsidR="00662453">
        <w:rPr>
          <w:rFonts w:ascii="Arial" w:hAnsi="Arial" w:cs="Arial"/>
          <w:color w:val="000000"/>
        </w:rPr>
        <w:t>an</w:t>
      </w:r>
      <w:r w:rsidR="00322395">
        <w:rPr>
          <w:rFonts w:ascii="Arial" w:hAnsi="Arial" w:cs="Arial"/>
          <w:color w:val="000000"/>
        </w:rPr>
        <w:t xml:space="preserve"> ‘Intent to Treat’</w:t>
      </w:r>
      <w:r w:rsidR="00662453">
        <w:rPr>
          <w:rFonts w:ascii="Arial" w:hAnsi="Arial" w:cs="Arial"/>
          <w:color w:val="000000"/>
        </w:rPr>
        <w:t xml:space="preserve"> (ITT)</w:t>
      </w:r>
      <w:r w:rsidR="00322395">
        <w:rPr>
          <w:rFonts w:ascii="Arial" w:hAnsi="Arial" w:cs="Arial"/>
          <w:color w:val="000000"/>
        </w:rPr>
        <w:t xml:space="preserve"> population of </w:t>
      </w:r>
      <w:r w:rsidR="00002ECE">
        <w:rPr>
          <w:rFonts w:ascii="Arial" w:hAnsi="Arial" w:cs="Arial"/>
          <w:color w:val="000000"/>
        </w:rPr>
        <w:t xml:space="preserve">250 </w:t>
      </w:r>
      <w:r w:rsidR="00322395">
        <w:rPr>
          <w:rFonts w:ascii="Arial" w:hAnsi="Arial" w:cs="Arial"/>
          <w:color w:val="000000"/>
        </w:rPr>
        <w:t>mothers (</w:t>
      </w:r>
      <w:r w:rsidR="002229C4">
        <w:rPr>
          <w:rFonts w:ascii="Arial" w:hAnsi="Arial" w:cs="Arial"/>
          <w:color w:val="000000"/>
        </w:rPr>
        <w:t>dolutegravir</w:t>
      </w:r>
      <w:r w:rsidR="00322395">
        <w:rPr>
          <w:rFonts w:ascii="Arial" w:hAnsi="Arial" w:cs="Arial"/>
          <w:color w:val="000000"/>
        </w:rPr>
        <w:t xml:space="preserve"> </w:t>
      </w:r>
      <w:r w:rsidR="00002ECE">
        <w:rPr>
          <w:rFonts w:ascii="Arial" w:hAnsi="Arial" w:cs="Arial"/>
          <w:color w:val="000000"/>
        </w:rPr>
        <w:t>125</w:t>
      </w:r>
      <w:r w:rsidR="00322395">
        <w:rPr>
          <w:rFonts w:ascii="Arial" w:hAnsi="Arial" w:cs="Arial"/>
          <w:color w:val="000000"/>
        </w:rPr>
        <w:t xml:space="preserve">, </w:t>
      </w:r>
      <w:r w:rsidR="002229C4">
        <w:rPr>
          <w:rFonts w:ascii="Arial" w:hAnsi="Arial" w:cs="Arial"/>
          <w:color w:val="000000"/>
        </w:rPr>
        <w:t>efavirenz</w:t>
      </w:r>
      <w:r w:rsidR="00322395">
        <w:rPr>
          <w:rFonts w:ascii="Arial" w:hAnsi="Arial" w:cs="Arial"/>
          <w:color w:val="000000"/>
        </w:rPr>
        <w:t xml:space="preserve"> </w:t>
      </w:r>
      <w:r w:rsidR="00002ECE">
        <w:rPr>
          <w:rFonts w:ascii="Arial" w:hAnsi="Arial" w:cs="Arial"/>
          <w:color w:val="000000"/>
        </w:rPr>
        <w:t>125</w:t>
      </w:r>
      <w:r w:rsidR="00322395">
        <w:rPr>
          <w:rFonts w:ascii="Arial" w:hAnsi="Arial" w:cs="Arial"/>
          <w:color w:val="000000"/>
        </w:rPr>
        <w:t xml:space="preserve">) </w:t>
      </w:r>
      <w:r w:rsidR="00894AF9">
        <w:rPr>
          <w:rFonts w:ascii="Arial" w:hAnsi="Arial" w:cs="Arial"/>
          <w:color w:val="000000"/>
        </w:rPr>
        <w:t xml:space="preserve">was </w:t>
      </w:r>
      <w:r w:rsidR="00322395">
        <w:rPr>
          <w:rFonts w:ascii="Arial" w:hAnsi="Arial" w:cs="Arial"/>
          <w:color w:val="000000"/>
        </w:rPr>
        <w:t>available for efficacy analyses</w:t>
      </w:r>
      <w:r>
        <w:rPr>
          <w:rFonts w:ascii="Arial" w:hAnsi="Arial" w:cs="Arial"/>
          <w:color w:val="000000"/>
        </w:rPr>
        <w:t xml:space="preserve"> with the last delivery visit on 21 December 2018</w:t>
      </w:r>
      <w:r w:rsidR="00626FB4">
        <w:rPr>
          <w:rFonts w:ascii="Arial" w:hAnsi="Arial" w:cs="Arial"/>
          <w:color w:val="000000"/>
        </w:rPr>
        <w:t>.</w:t>
      </w:r>
    </w:p>
    <w:p w14:paraId="4AA5E875" w14:textId="77777777" w:rsidR="000221DB" w:rsidRDefault="000221DB" w:rsidP="00A67253">
      <w:pPr>
        <w:spacing w:line="360" w:lineRule="auto"/>
        <w:jc w:val="both"/>
        <w:rPr>
          <w:rFonts w:ascii="Arial" w:hAnsi="Arial" w:cs="Arial"/>
          <w:color w:val="000000"/>
        </w:rPr>
      </w:pPr>
    </w:p>
    <w:p w14:paraId="009238E1" w14:textId="799F4934" w:rsidR="009252EA" w:rsidRDefault="00BA4001" w:rsidP="00A67253">
      <w:pPr>
        <w:spacing w:line="360" w:lineRule="auto"/>
        <w:jc w:val="both"/>
        <w:rPr>
          <w:rFonts w:ascii="Arial" w:hAnsi="Arial" w:cs="Arial"/>
          <w:color w:val="000000"/>
        </w:rPr>
      </w:pPr>
      <w:r>
        <w:rPr>
          <w:rFonts w:ascii="Arial" w:hAnsi="Arial" w:cs="Arial"/>
          <w:color w:val="000000"/>
        </w:rPr>
        <w:t xml:space="preserve">No significant differences were observed </w:t>
      </w:r>
      <w:r w:rsidR="00F66553">
        <w:rPr>
          <w:rFonts w:ascii="Arial" w:hAnsi="Arial" w:cs="Arial"/>
          <w:color w:val="000000"/>
        </w:rPr>
        <w:t>at baseline</w:t>
      </w:r>
      <w:r w:rsidR="00662453">
        <w:rPr>
          <w:rFonts w:ascii="Arial" w:hAnsi="Arial" w:cs="Arial"/>
          <w:color w:val="000000"/>
        </w:rPr>
        <w:t xml:space="preserve"> (Table 1)</w:t>
      </w:r>
      <w:r w:rsidR="00F66553">
        <w:rPr>
          <w:rFonts w:ascii="Arial" w:hAnsi="Arial" w:cs="Arial"/>
          <w:color w:val="000000"/>
        </w:rPr>
        <w:t xml:space="preserve"> </w:t>
      </w:r>
      <w:r>
        <w:rPr>
          <w:rFonts w:ascii="Arial" w:hAnsi="Arial" w:cs="Arial"/>
          <w:color w:val="000000"/>
        </w:rPr>
        <w:t xml:space="preserve">in median maternal age, gravidity, </w:t>
      </w:r>
      <w:r w:rsidR="00C2667D">
        <w:rPr>
          <w:rFonts w:ascii="Arial" w:hAnsi="Arial" w:cs="Arial"/>
          <w:color w:val="000000"/>
        </w:rPr>
        <w:t>history of obstetric problems</w:t>
      </w:r>
      <w:r w:rsidR="00F66553">
        <w:rPr>
          <w:rFonts w:ascii="Arial" w:hAnsi="Arial" w:cs="Arial"/>
          <w:color w:val="000000"/>
        </w:rPr>
        <w:t>,</w:t>
      </w:r>
      <w:r w:rsidR="00C2667D">
        <w:rPr>
          <w:rFonts w:ascii="Arial" w:hAnsi="Arial" w:cs="Arial"/>
          <w:color w:val="000000"/>
        </w:rPr>
        <w:t xml:space="preserve"> median viral load or CD4 count. Use of herbal and traditional medicines was recorded in </w:t>
      </w:r>
      <w:r w:rsidR="00A77E62">
        <w:rPr>
          <w:rFonts w:ascii="Arial" w:hAnsi="Arial" w:cs="Arial"/>
          <w:color w:val="000000"/>
        </w:rPr>
        <w:t>34</w:t>
      </w:r>
      <w:r w:rsidR="00894AF9">
        <w:rPr>
          <w:rFonts w:ascii="Arial" w:hAnsi="Arial" w:cs="Arial"/>
          <w:color w:val="000000"/>
        </w:rPr>
        <w:t>·</w:t>
      </w:r>
      <w:r w:rsidR="00A77E62">
        <w:rPr>
          <w:rFonts w:ascii="Arial" w:hAnsi="Arial" w:cs="Arial"/>
          <w:color w:val="000000"/>
        </w:rPr>
        <w:t>8</w:t>
      </w:r>
      <w:r w:rsidR="00C2667D">
        <w:rPr>
          <w:rFonts w:ascii="Arial" w:hAnsi="Arial" w:cs="Arial"/>
          <w:color w:val="000000"/>
        </w:rPr>
        <w:t xml:space="preserve">%, and vitamins or supplements in </w:t>
      </w:r>
      <w:r w:rsidR="00A77E62">
        <w:rPr>
          <w:rFonts w:ascii="Arial" w:hAnsi="Arial" w:cs="Arial"/>
          <w:color w:val="000000"/>
        </w:rPr>
        <w:t>37</w:t>
      </w:r>
      <w:r w:rsidR="00894AF9">
        <w:rPr>
          <w:rFonts w:ascii="Arial" w:hAnsi="Arial" w:cs="Arial"/>
          <w:color w:val="000000"/>
        </w:rPr>
        <w:t>·</w:t>
      </w:r>
      <w:r w:rsidR="00C2667D">
        <w:rPr>
          <w:rFonts w:ascii="Arial" w:hAnsi="Arial" w:cs="Arial"/>
          <w:color w:val="000000"/>
        </w:rPr>
        <w:t xml:space="preserve">6% of </w:t>
      </w:r>
      <w:r w:rsidR="00315074">
        <w:rPr>
          <w:rFonts w:ascii="Arial" w:hAnsi="Arial" w:cs="Arial"/>
          <w:color w:val="000000"/>
        </w:rPr>
        <w:t>mothers</w:t>
      </w:r>
      <w:r w:rsidR="00C2667D">
        <w:rPr>
          <w:rFonts w:ascii="Arial" w:hAnsi="Arial" w:cs="Arial"/>
          <w:color w:val="000000"/>
        </w:rPr>
        <w:t>.</w:t>
      </w:r>
      <w:r w:rsidR="00435046">
        <w:rPr>
          <w:rFonts w:ascii="Arial" w:hAnsi="Arial" w:cs="Arial"/>
          <w:color w:val="000000"/>
        </w:rPr>
        <w:t xml:space="preserve"> The median gestation at </w:t>
      </w:r>
      <w:r w:rsidR="001A3165">
        <w:rPr>
          <w:rFonts w:ascii="Arial" w:hAnsi="Arial" w:cs="Arial"/>
          <w:color w:val="000000"/>
        </w:rPr>
        <w:t xml:space="preserve">treatment </w:t>
      </w:r>
      <w:r w:rsidR="00435046">
        <w:rPr>
          <w:rFonts w:ascii="Arial" w:hAnsi="Arial" w:cs="Arial"/>
          <w:color w:val="000000"/>
        </w:rPr>
        <w:t xml:space="preserve">initiation was 31 weeks with a median (IQR) time on </w:t>
      </w:r>
      <w:r w:rsidR="001A3165">
        <w:rPr>
          <w:rFonts w:ascii="Arial" w:hAnsi="Arial" w:cs="Arial"/>
          <w:color w:val="000000"/>
        </w:rPr>
        <w:t xml:space="preserve">treatment </w:t>
      </w:r>
      <w:r w:rsidR="00435046">
        <w:rPr>
          <w:rFonts w:ascii="Arial" w:hAnsi="Arial" w:cs="Arial"/>
          <w:color w:val="000000"/>
        </w:rPr>
        <w:t xml:space="preserve">until delivery of </w:t>
      </w:r>
      <w:r w:rsidR="00026271">
        <w:rPr>
          <w:rFonts w:ascii="Arial" w:hAnsi="Arial" w:cs="Arial"/>
          <w:color w:val="000000"/>
        </w:rPr>
        <w:t xml:space="preserve">55 (33-77) days </w:t>
      </w:r>
      <w:r w:rsidR="00026271" w:rsidRPr="00002ECE">
        <w:rPr>
          <w:rFonts w:ascii="Arial" w:hAnsi="Arial" w:cs="Arial"/>
          <w:color w:val="000000"/>
        </w:rPr>
        <w:t>(</w:t>
      </w:r>
      <w:r w:rsidR="00435046" w:rsidRPr="00002ECE">
        <w:rPr>
          <w:rFonts w:ascii="Arial" w:hAnsi="Arial" w:cs="Arial"/>
          <w:color w:val="000000"/>
        </w:rPr>
        <w:t>52 (</w:t>
      </w:r>
      <w:r w:rsidR="0036738B" w:rsidRPr="00002ECE">
        <w:rPr>
          <w:rFonts w:ascii="Arial" w:hAnsi="Arial" w:cs="Arial"/>
          <w:color w:val="000000"/>
        </w:rPr>
        <w:t>3</w:t>
      </w:r>
      <w:r w:rsidR="0036738B">
        <w:rPr>
          <w:rFonts w:ascii="Arial" w:hAnsi="Arial" w:cs="Arial"/>
          <w:color w:val="000000"/>
        </w:rPr>
        <w:t>1</w:t>
      </w:r>
      <w:r w:rsidR="00435046" w:rsidRPr="00002ECE">
        <w:rPr>
          <w:rFonts w:ascii="Arial" w:hAnsi="Arial" w:cs="Arial"/>
          <w:color w:val="000000"/>
        </w:rPr>
        <w:t>-</w:t>
      </w:r>
      <w:r w:rsidR="0036738B" w:rsidRPr="00002ECE">
        <w:rPr>
          <w:rFonts w:ascii="Arial" w:hAnsi="Arial" w:cs="Arial"/>
          <w:color w:val="000000"/>
        </w:rPr>
        <w:t>7</w:t>
      </w:r>
      <w:r w:rsidR="0036738B">
        <w:rPr>
          <w:rFonts w:ascii="Arial" w:hAnsi="Arial" w:cs="Arial"/>
          <w:color w:val="000000"/>
        </w:rPr>
        <w:t>5</w:t>
      </w:r>
      <w:r w:rsidR="00435046" w:rsidRPr="00002ECE">
        <w:rPr>
          <w:rFonts w:ascii="Arial" w:hAnsi="Arial" w:cs="Arial"/>
          <w:color w:val="000000"/>
        </w:rPr>
        <w:t xml:space="preserve">) days for </w:t>
      </w:r>
      <w:r w:rsidR="002229C4">
        <w:rPr>
          <w:rFonts w:ascii="Arial" w:hAnsi="Arial" w:cs="Arial"/>
          <w:color w:val="000000"/>
        </w:rPr>
        <w:t>dolutegravir</w:t>
      </w:r>
      <w:r w:rsidR="00435046" w:rsidRPr="00002ECE">
        <w:rPr>
          <w:rFonts w:ascii="Arial" w:hAnsi="Arial" w:cs="Arial"/>
          <w:color w:val="000000"/>
        </w:rPr>
        <w:t>, and 59 (</w:t>
      </w:r>
      <w:r w:rsidR="0036738B" w:rsidRPr="0036738B">
        <w:rPr>
          <w:rFonts w:ascii="Arial" w:hAnsi="Arial" w:cs="Arial"/>
          <w:color w:val="000000"/>
        </w:rPr>
        <w:t>3</w:t>
      </w:r>
      <w:r w:rsidR="0036738B">
        <w:rPr>
          <w:rFonts w:ascii="Arial" w:hAnsi="Arial" w:cs="Arial"/>
          <w:color w:val="000000"/>
        </w:rPr>
        <w:t>7</w:t>
      </w:r>
      <w:r w:rsidR="00435046" w:rsidRPr="0036738B">
        <w:rPr>
          <w:rFonts w:ascii="Arial" w:hAnsi="Arial" w:cs="Arial"/>
          <w:color w:val="000000"/>
        </w:rPr>
        <w:t>-</w:t>
      </w:r>
      <w:r w:rsidR="0036738B" w:rsidRPr="0036738B">
        <w:rPr>
          <w:rFonts w:ascii="Arial" w:hAnsi="Arial" w:cs="Arial"/>
          <w:color w:val="000000"/>
        </w:rPr>
        <w:t>8</w:t>
      </w:r>
      <w:r w:rsidR="0036738B">
        <w:rPr>
          <w:rFonts w:ascii="Arial" w:hAnsi="Arial" w:cs="Arial"/>
          <w:color w:val="000000"/>
        </w:rPr>
        <w:t>0</w:t>
      </w:r>
      <w:r w:rsidR="00435046" w:rsidRPr="0036738B">
        <w:rPr>
          <w:rFonts w:ascii="Arial" w:hAnsi="Arial" w:cs="Arial"/>
          <w:color w:val="000000"/>
        </w:rPr>
        <w:t xml:space="preserve">) days for </w:t>
      </w:r>
      <w:r w:rsidR="002229C4">
        <w:rPr>
          <w:rFonts w:ascii="Arial" w:hAnsi="Arial" w:cs="Arial"/>
          <w:color w:val="000000"/>
        </w:rPr>
        <w:t>efavirenz</w:t>
      </w:r>
      <w:r w:rsidR="00026271" w:rsidRPr="0036738B">
        <w:rPr>
          <w:rFonts w:ascii="Arial" w:hAnsi="Arial" w:cs="Arial"/>
          <w:color w:val="000000"/>
        </w:rPr>
        <w:t>)</w:t>
      </w:r>
      <w:r w:rsidR="00435046" w:rsidRPr="00002ECE">
        <w:rPr>
          <w:rFonts w:ascii="Arial" w:hAnsi="Arial" w:cs="Arial"/>
          <w:color w:val="000000"/>
        </w:rPr>
        <w:t>.</w:t>
      </w:r>
    </w:p>
    <w:p w14:paraId="4E8BE721" w14:textId="682ECAD5" w:rsidR="00435046" w:rsidRDefault="00435046" w:rsidP="00A67253">
      <w:pPr>
        <w:spacing w:line="360" w:lineRule="auto"/>
        <w:jc w:val="both"/>
        <w:rPr>
          <w:rFonts w:ascii="Arial" w:hAnsi="Arial" w:cs="Arial"/>
          <w:color w:val="000000"/>
        </w:rPr>
      </w:pPr>
    </w:p>
    <w:p w14:paraId="4AF13616" w14:textId="77777777" w:rsidR="00BA4001" w:rsidRPr="00104214" w:rsidRDefault="00BA4001" w:rsidP="00A67253">
      <w:pPr>
        <w:spacing w:line="360" w:lineRule="auto"/>
        <w:jc w:val="both"/>
        <w:rPr>
          <w:rFonts w:ascii="Arial" w:hAnsi="Arial" w:cs="Arial"/>
          <w:color w:val="000000"/>
        </w:rPr>
      </w:pPr>
    </w:p>
    <w:p w14:paraId="0BA995CA" w14:textId="4E4B736C" w:rsidR="009252EA" w:rsidRPr="00E02BB7" w:rsidRDefault="009252EA" w:rsidP="00881686">
      <w:pPr>
        <w:spacing w:line="360" w:lineRule="auto"/>
        <w:jc w:val="both"/>
        <w:rPr>
          <w:rFonts w:ascii="Arial" w:hAnsi="Arial" w:cs="Arial"/>
          <w:color w:val="000000"/>
          <w:u w:val="single"/>
        </w:rPr>
      </w:pPr>
      <w:r w:rsidRPr="00E02BB7">
        <w:rPr>
          <w:rFonts w:ascii="Arial" w:hAnsi="Arial" w:cs="Arial"/>
          <w:color w:val="000000"/>
          <w:u w:val="single"/>
        </w:rPr>
        <w:t>Efficacy Outcomes</w:t>
      </w:r>
    </w:p>
    <w:p w14:paraId="45AA8C91" w14:textId="5DCADCA2" w:rsidR="001940CB" w:rsidRDefault="008111C8" w:rsidP="00D940FA">
      <w:pPr>
        <w:spacing w:line="360" w:lineRule="auto"/>
        <w:jc w:val="both"/>
        <w:rPr>
          <w:rFonts w:ascii="Arial" w:hAnsi="Arial" w:cs="Arial"/>
          <w:color w:val="000000"/>
        </w:rPr>
      </w:pPr>
      <w:r>
        <w:rPr>
          <w:rFonts w:ascii="Arial" w:hAnsi="Arial" w:cs="Arial"/>
          <w:color w:val="000000"/>
        </w:rPr>
        <w:t xml:space="preserve">The primary endpoint of </w:t>
      </w:r>
      <w:r w:rsidR="009E5A07">
        <w:rPr>
          <w:rFonts w:ascii="Arial" w:hAnsi="Arial" w:cs="Arial"/>
          <w:color w:val="000000" w:themeColor="text1"/>
        </w:rPr>
        <w:t>viral load</w:t>
      </w:r>
      <w:r>
        <w:rPr>
          <w:rFonts w:ascii="Arial" w:hAnsi="Arial" w:cs="Arial"/>
          <w:color w:val="000000"/>
        </w:rPr>
        <w:t xml:space="preserve"> &lt;50 </w:t>
      </w:r>
      <w:r w:rsidR="00147F88">
        <w:rPr>
          <w:rFonts w:ascii="Arial" w:hAnsi="Arial" w:cs="Arial"/>
          <w:color w:val="000000"/>
        </w:rPr>
        <w:t>copies per mL</w:t>
      </w:r>
      <w:r>
        <w:rPr>
          <w:rFonts w:ascii="Arial" w:hAnsi="Arial" w:cs="Arial"/>
          <w:color w:val="000000"/>
        </w:rPr>
        <w:t xml:space="preserve"> </w:t>
      </w:r>
      <w:r w:rsidR="00FD1174">
        <w:rPr>
          <w:rFonts w:ascii="Arial" w:hAnsi="Arial" w:cs="Arial"/>
          <w:color w:val="000000"/>
        </w:rPr>
        <w:t xml:space="preserve">at delivery </w:t>
      </w:r>
      <w:r>
        <w:rPr>
          <w:rFonts w:ascii="Arial" w:hAnsi="Arial" w:cs="Arial"/>
          <w:color w:val="000000"/>
        </w:rPr>
        <w:t xml:space="preserve">by ITT was met in </w:t>
      </w:r>
      <w:r w:rsidR="00002ECE">
        <w:rPr>
          <w:rFonts w:ascii="Arial" w:hAnsi="Arial" w:cs="Arial"/>
          <w:color w:val="000000"/>
        </w:rPr>
        <w:t>74</w:t>
      </w:r>
      <w:r w:rsidR="009F7192">
        <w:rPr>
          <w:rFonts w:ascii="Arial" w:hAnsi="Arial" w:cs="Arial"/>
        </w:rPr>
        <w:t>·</w:t>
      </w:r>
      <w:r w:rsidR="00002ECE">
        <w:rPr>
          <w:rFonts w:ascii="Arial" w:hAnsi="Arial" w:cs="Arial"/>
          <w:color w:val="000000"/>
        </w:rPr>
        <w:t>2</w:t>
      </w:r>
      <w:r>
        <w:rPr>
          <w:rFonts w:ascii="Arial" w:hAnsi="Arial" w:cs="Arial"/>
          <w:color w:val="000000"/>
        </w:rPr>
        <w:t>% (</w:t>
      </w:r>
      <w:r w:rsidR="00002ECE">
        <w:rPr>
          <w:rFonts w:ascii="Arial" w:hAnsi="Arial" w:cs="Arial"/>
          <w:color w:val="000000"/>
        </w:rPr>
        <w:t>89</w:t>
      </w:r>
      <w:r>
        <w:rPr>
          <w:rFonts w:ascii="Arial" w:hAnsi="Arial" w:cs="Arial"/>
          <w:color w:val="000000"/>
        </w:rPr>
        <w:t>/</w:t>
      </w:r>
      <w:r w:rsidR="00002ECE">
        <w:rPr>
          <w:rFonts w:ascii="Arial" w:hAnsi="Arial" w:cs="Arial"/>
          <w:color w:val="000000"/>
        </w:rPr>
        <w:t>120</w:t>
      </w:r>
      <w:r>
        <w:rPr>
          <w:rFonts w:ascii="Arial" w:hAnsi="Arial" w:cs="Arial"/>
          <w:color w:val="000000"/>
        </w:rPr>
        <w:t xml:space="preserve">) mothers receiving </w:t>
      </w:r>
      <w:r w:rsidR="002229C4">
        <w:rPr>
          <w:rFonts w:ascii="Arial" w:hAnsi="Arial" w:cs="Arial"/>
          <w:color w:val="000000"/>
        </w:rPr>
        <w:t>dolutegravir</w:t>
      </w:r>
      <w:r>
        <w:rPr>
          <w:rFonts w:ascii="Arial" w:hAnsi="Arial" w:cs="Arial"/>
          <w:color w:val="000000"/>
        </w:rPr>
        <w:t xml:space="preserve"> compared with 42</w:t>
      </w:r>
      <w:r w:rsidR="009F7192">
        <w:rPr>
          <w:rFonts w:ascii="Arial" w:hAnsi="Arial" w:cs="Arial"/>
        </w:rPr>
        <w:t>·</w:t>
      </w:r>
      <w:r w:rsidR="00002ECE">
        <w:rPr>
          <w:rFonts w:ascii="Arial" w:hAnsi="Arial" w:cs="Arial"/>
          <w:color w:val="000000"/>
        </w:rPr>
        <w:t>7</w:t>
      </w:r>
      <w:r>
        <w:rPr>
          <w:rFonts w:ascii="Arial" w:hAnsi="Arial" w:cs="Arial"/>
          <w:color w:val="000000"/>
        </w:rPr>
        <w:t>% (</w:t>
      </w:r>
      <w:r w:rsidR="00002ECE">
        <w:rPr>
          <w:rFonts w:ascii="Arial" w:hAnsi="Arial" w:cs="Arial"/>
          <w:color w:val="000000"/>
        </w:rPr>
        <w:t>50</w:t>
      </w:r>
      <w:r>
        <w:rPr>
          <w:rFonts w:ascii="Arial" w:hAnsi="Arial" w:cs="Arial"/>
          <w:color w:val="000000"/>
        </w:rPr>
        <w:t>/</w:t>
      </w:r>
      <w:r w:rsidR="00002ECE">
        <w:rPr>
          <w:rFonts w:ascii="Arial" w:hAnsi="Arial" w:cs="Arial"/>
          <w:color w:val="000000"/>
        </w:rPr>
        <w:t>117</w:t>
      </w:r>
      <w:r>
        <w:rPr>
          <w:rFonts w:ascii="Arial" w:hAnsi="Arial" w:cs="Arial"/>
          <w:color w:val="000000"/>
        </w:rPr>
        <w:t xml:space="preserve">) in the </w:t>
      </w:r>
      <w:r w:rsidR="002229C4">
        <w:rPr>
          <w:rFonts w:ascii="Arial" w:hAnsi="Arial" w:cs="Arial"/>
          <w:color w:val="000000"/>
        </w:rPr>
        <w:t>efavirenz</w:t>
      </w:r>
      <w:r>
        <w:rPr>
          <w:rFonts w:ascii="Arial" w:hAnsi="Arial" w:cs="Arial"/>
          <w:color w:val="000000"/>
        </w:rPr>
        <w:t xml:space="preserve"> arm (</w:t>
      </w:r>
      <w:r w:rsidR="00243CBA" w:rsidRPr="00243CBA">
        <w:rPr>
          <w:rFonts w:ascii="Arial" w:hAnsi="Arial" w:cs="Arial"/>
          <w:color w:val="000000"/>
        </w:rPr>
        <w:t>risk ratio 1</w:t>
      </w:r>
      <w:r w:rsidR="009F7192">
        <w:rPr>
          <w:rFonts w:ascii="Arial" w:hAnsi="Arial" w:cs="Arial"/>
        </w:rPr>
        <w:t>·</w:t>
      </w:r>
      <w:r w:rsidR="00243CBA" w:rsidRPr="00243CBA">
        <w:rPr>
          <w:rFonts w:ascii="Arial" w:hAnsi="Arial" w:cs="Arial"/>
          <w:color w:val="000000"/>
        </w:rPr>
        <w:t>64, 95%CI 1</w:t>
      </w:r>
      <w:r w:rsidR="009F7192">
        <w:rPr>
          <w:rFonts w:ascii="Arial" w:hAnsi="Arial" w:cs="Arial"/>
        </w:rPr>
        <w:t>·</w:t>
      </w:r>
      <w:r w:rsidR="00243CBA" w:rsidRPr="00243CBA">
        <w:rPr>
          <w:rFonts w:ascii="Arial" w:hAnsi="Arial" w:cs="Arial"/>
          <w:color w:val="000000"/>
        </w:rPr>
        <w:t>31 - 2</w:t>
      </w:r>
      <w:r w:rsidR="009F7192">
        <w:rPr>
          <w:rFonts w:ascii="Arial" w:hAnsi="Arial" w:cs="Arial"/>
        </w:rPr>
        <w:t>·</w:t>
      </w:r>
      <w:r w:rsidR="00243CBA" w:rsidRPr="00243CBA">
        <w:rPr>
          <w:rFonts w:ascii="Arial" w:hAnsi="Arial" w:cs="Arial"/>
          <w:color w:val="000000"/>
        </w:rPr>
        <w:t>06, P&lt;</w:t>
      </w:r>
      <w:r w:rsidR="007F2631">
        <w:rPr>
          <w:rFonts w:ascii="Arial" w:hAnsi="Arial" w:cs="Arial"/>
          <w:color w:val="000000"/>
        </w:rPr>
        <w:t>0</w:t>
      </w:r>
      <w:r w:rsidR="009F7192">
        <w:rPr>
          <w:rFonts w:ascii="Arial" w:hAnsi="Arial" w:cs="Arial"/>
        </w:rPr>
        <w:t>·</w:t>
      </w:r>
      <w:r w:rsidR="00243CBA" w:rsidRPr="00243CBA">
        <w:rPr>
          <w:rFonts w:ascii="Arial" w:hAnsi="Arial" w:cs="Arial"/>
          <w:color w:val="000000"/>
        </w:rPr>
        <w:t>0001; adjusted risk ratio 1</w:t>
      </w:r>
      <w:r w:rsidR="009F7192">
        <w:rPr>
          <w:rFonts w:ascii="Arial" w:hAnsi="Arial" w:cs="Arial"/>
        </w:rPr>
        <w:t>·</w:t>
      </w:r>
      <w:r w:rsidR="00243CBA" w:rsidRPr="00243CBA">
        <w:rPr>
          <w:rFonts w:ascii="Arial" w:hAnsi="Arial" w:cs="Arial"/>
          <w:color w:val="000000"/>
        </w:rPr>
        <w:t>65, 95% CI 1</w:t>
      </w:r>
      <w:r w:rsidR="009F7192">
        <w:rPr>
          <w:rFonts w:ascii="Arial" w:hAnsi="Arial" w:cs="Arial"/>
        </w:rPr>
        <w:t>·</w:t>
      </w:r>
      <w:r w:rsidR="00243CBA" w:rsidRPr="00243CBA">
        <w:rPr>
          <w:rFonts w:ascii="Arial" w:hAnsi="Arial" w:cs="Arial"/>
          <w:color w:val="000000"/>
        </w:rPr>
        <w:t>31 – 2</w:t>
      </w:r>
      <w:r w:rsidR="009F7192">
        <w:rPr>
          <w:rFonts w:ascii="Arial" w:hAnsi="Arial" w:cs="Arial"/>
        </w:rPr>
        <w:t>·</w:t>
      </w:r>
      <w:r w:rsidR="00243CBA" w:rsidRPr="00243CBA">
        <w:rPr>
          <w:rFonts w:ascii="Arial" w:hAnsi="Arial" w:cs="Arial"/>
          <w:color w:val="000000"/>
        </w:rPr>
        <w:t>06, P &lt;0</w:t>
      </w:r>
      <w:r w:rsidR="009F7192">
        <w:rPr>
          <w:rFonts w:ascii="Arial" w:hAnsi="Arial" w:cs="Arial"/>
        </w:rPr>
        <w:t>·</w:t>
      </w:r>
      <w:r w:rsidR="00243CBA" w:rsidRPr="00243CBA">
        <w:rPr>
          <w:rFonts w:ascii="Arial" w:hAnsi="Arial" w:cs="Arial"/>
          <w:color w:val="000000"/>
        </w:rPr>
        <w:t>0001)</w:t>
      </w:r>
      <w:r w:rsidR="00243CBA">
        <w:rPr>
          <w:rFonts w:ascii="Arial" w:hAnsi="Arial" w:cs="Arial"/>
          <w:color w:val="000000"/>
        </w:rPr>
        <w:t xml:space="preserve"> </w:t>
      </w:r>
      <w:r>
        <w:rPr>
          <w:rFonts w:ascii="Arial" w:hAnsi="Arial" w:cs="Arial"/>
          <w:color w:val="000000"/>
        </w:rPr>
        <w:t xml:space="preserve">– </w:t>
      </w:r>
      <w:r w:rsidR="00AF01E3">
        <w:rPr>
          <w:rFonts w:ascii="Arial" w:hAnsi="Arial" w:cs="Arial"/>
          <w:color w:val="000000"/>
        </w:rPr>
        <w:t>Table 2</w:t>
      </w:r>
      <w:r>
        <w:rPr>
          <w:rFonts w:ascii="Arial" w:hAnsi="Arial" w:cs="Arial"/>
          <w:color w:val="000000"/>
        </w:rPr>
        <w:t>.</w:t>
      </w:r>
      <w:r w:rsidR="00D47F20">
        <w:rPr>
          <w:rFonts w:ascii="Arial" w:hAnsi="Arial" w:cs="Arial"/>
          <w:color w:val="000000"/>
        </w:rPr>
        <w:t xml:space="preserve"> </w:t>
      </w:r>
      <w:r w:rsidR="00D47F20" w:rsidRPr="001D012C">
        <w:rPr>
          <w:rFonts w:ascii="Arial" w:hAnsi="Arial" w:cs="Arial"/>
          <w:color w:val="000000"/>
        </w:rPr>
        <w:t xml:space="preserve">The median time to </w:t>
      </w:r>
      <w:r w:rsidR="00002ECE" w:rsidRPr="001D012C">
        <w:rPr>
          <w:rFonts w:ascii="Arial" w:hAnsi="Arial" w:cs="Arial"/>
          <w:color w:val="000000"/>
        </w:rPr>
        <w:t xml:space="preserve">achieve </w:t>
      </w:r>
      <w:r w:rsidR="009E5A07">
        <w:rPr>
          <w:rFonts w:ascii="Arial" w:hAnsi="Arial" w:cs="Arial"/>
          <w:color w:val="000000" w:themeColor="text1"/>
        </w:rPr>
        <w:t>viral load</w:t>
      </w:r>
      <w:r w:rsidR="00D47F20" w:rsidRPr="001D012C">
        <w:rPr>
          <w:rFonts w:ascii="Arial" w:hAnsi="Arial" w:cs="Arial"/>
          <w:color w:val="000000"/>
        </w:rPr>
        <w:t xml:space="preserve">&lt;50 </w:t>
      </w:r>
      <w:r w:rsidR="00C70CC7" w:rsidRPr="001D012C">
        <w:rPr>
          <w:rFonts w:ascii="Arial" w:hAnsi="Arial" w:cs="Arial"/>
          <w:color w:val="000000"/>
        </w:rPr>
        <w:t xml:space="preserve">and &lt;1000 </w:t>
      </w:r>
      <w:r w:rsidR="00147F88" w:rsidRPr="00AE3CC5">
        <w:rPr>
          <w:rFonts w:ascii="Arial" w:hAnsi="Arial" w:cs="Arial"/>
          <w:color w:val="000000"/>
        </w:rPr>
        <w:t>copies per mL</w:t>
      </w:r>
      <w:r w:rsidR="00C70CC7" w:rsidRPr="001D012C">
        <w:rPr>
          <w:rFonts w:ascii="Arial" w:hAnsi="Arial" w:cs="Arial"/>
          <w:color w:val="000000"/>
        </w:rPr>
        <w:t xml:space="preserve"> w</w:t>
      </w:r>
      <w:r w:rsidR="00A81859" w:rsidRPr="001D012C">
        <w:rPr>
          <w:rFonts w:ascii="Arial" w:hAnsi="Arial" w:cs="Arial"/>
          <w:color w:val="000000"/>
        </w:rPr>
        <w:t>as</w:t>
      </w:r>
      <w:r w:rsidR="00C70CC7" w:rsidRPr="001D012C">
        <w:rPr>
          <w:rFonts w:ascii="Arial" w:hAnsi="Arial" w:cs="Arial"/>
          <w:color w:val="000000"/>
        </w:rPr>
        <w:t xml:space="preserve"> </w:t>
      </w:r>
      <w:r w:rsidR="001D012C" w:rsidRPr="001D012C">
        <w:rPr>
          <w:rFonts w:ascii="Arial" w:hAnsi="Arial" w:cs="Arial"/>
          <w:color w:val="000000"/>
        </w:rPr>
        <w:t xml:space="preserve">28 (95% CI: 28-34 ) and 7 (95% CI: 7-20) days </w:t>
      </w:r>
      <w:r w:rsidR="00D47F20" w:rsidRPr="001D012C">
        <w:rPr>
          <w:rFonts w:ascii="Arial" w:hAnsi="Arial" w:cs="Arial"/>
          <w:color w:val="000000"/>
        </w:rPr>
        <w:t xml:space="preserve">for </w:t>
      </w:r>
      <w:r w:rsidR="002229C4" w:rsidRPr="00AE3CC5">
        <w:rPr>
          <w:rFonts w:ascii="Arial" w:hAnsi="Arial" w:cs="Arial"/>
          <w:color w:val="000000"/>
        </w:rPr>
        <w:t>dolutegravir</w:t>
      </w:r>
      <w:r w:rsidR="00D47F20" w:rsidRPr="001D012C">
        <w:rPr>
          <w:rFonts w:ascii="Arial" w:hAnsi="Arial" w:cs="Arial"/>
          <w:color w:val="000000"/>
        </w:rPr>
        <w:t xml:space="preserve">, and </w:t>
      </w:r>
      <w:r w:rsidR="001D012C" w:rsidRPr="001D012C">
        <w:rPr>
          <w:rFonts w:ascii="Arial" w:hAnsi="Arial" w:cs="Arial"/>
          <w:color w:val="000000"/>
        </w:rPr>
        <w:t>82 (95% CI: 55-97)</w:t>
      </w:r>
      <w:r w:rsidR="009E5A07">
        <w:rPr>
          <w:rFonts w:ascii="Arial" w:hAnsi="Arial" w:cs="Arial"/>
          <w:color w:val="000000"/>
        </w:rPr>
        <w:t xml:space="preserve"> </w:t>
      </w:r>
      <w:r w:rsidR="001D012C" w:rsidRPr="001D012C">
        <w:rPr>
          <w:rFonts w:ascii="Arial" w:hAnsi="Arial" w:cs="Arial"/>
          <w:color w:val="000000"/>
        </w:rPr>
        <w:t xml:space="preserve">and 23(95% CI: 21-27) </w:t>
      </w:r>
      <w:r w:rsidR="00D47F20" w:rsidRPr="001D012C">
        <w:rPr>
          <w:rFonts w:ascii="Arial" w:hAnsi="Arial" w:cs="Arial"/>
          <w:color w:val="000000"/>
        </w:rPr>
        <w:t xml:space="preserve">days for </w:t>
      </w:r>
      <w:r w:rsidR="002229C4" w:rsidRPr="00AE3CC5">
        <w:rPr>
          <w:rFonts w:ascii="Arial" w:hAnsi="Arial" w:cs="Arial"/>
          <w:color w:val="000000"/>
        </w:rPr>
        <w:t>efavirenz</w:t>
      </w:r>
      <w:r w:rsidR="00D47F20" w:rsidRPr="001D012C">
        <w:rPr>
          <w:rFonts w:ascii="Arial" w:hAnsi="Arial" w:cs="Arial"/>
          <w:color w:val="000000"/>
        </w:rPr>
        <w:t xml:space="preserve"> based on Kaplan-Meier estimates (Figure 2).</w:t>
      </w:r>
      <w:r>
        <w:rPr>
          <w:rFonts w:ascii="Arial" w:hAnsi="Arial" w:cs="Arial"/>
          <w:color w:val="000000"/>
        </w:rPr>
        <w:t xml:space="preserve"> In </w:t>
      </w:r>
      <w:r w:rsidR="005E04F7">
        <w:rPr>
          <w:rFonts w:ascii="Arial" w:hAnsi="Arial" w:cs="Arial"/>
          <w:color w:val="000000"/>
        </w:rPr>
        <w:t xml:space="preserve">a </w:t>
      </w:r>
      <w:r w:rsidR="00AF01E3">
        <w:rPr>
          <w:rFonts w:ascii="Arial" w:hAnsi="Arial" w:cs="Arial"/>
          <w:color w:val="000000"/>
        </w:rPr>
        <w:t>covariate</w:t>
      </w:r>
      <w:r w:rsidR="00FD1174">
        <w:rPr>
          <w:rFonts w:ascii="Arial" w:hAnsi="Arial" w:cs="Arial"/>
          <w:color w:val="000000"/>
        </w:rPr>
        <w:t>-</w:t>
      </w:r>
      <w:r w:rsidR="00AF01E3">
        <w:rPr>
          <w:rFonts w:ascii="Arial" w:hAnsi="Arial" w:cs="Arial"/>
          <w:color w:val="000000"/>
        </w:rPr>
        <w:t xml:space="preserve">adjusted </w:t>
      </w:r>
      <w:r>
        <w:rPr>
          <w:rFonts w:ascii="Arial" w:hAnsi="Arial" w:cs="Arial"/>
          <w:color w:val="000000"/>
        </w:rPr>
        <w:t xml:space="preserve">analysis, the risk ratio was unaltered by maternal age, country, baseline </w:t>
      </w:r>
      <w:r w:rsidR="009E5A07">
        <w:rPr>
          <w:rFonts w:ascii="Arial" w:hAnsi="Arial" w:cs="Arial"/>
          <w:color w:val="000000" w:themeColor="text1"/>
        </w:rPr>
        <w:t>viral load</w:t>
      </w:r>
      <w:r>
        <w:rPr>
          <w:rFonts w:ascii="Arial" w:hAnsi="Arial" w:cs="Arial"/>
          <w:color w:val="000000"/>
        </w:rPr>
        <w:t>, baseline CD4 count or gestation at enrolment</w:t>
      </w:r>
      <w:r w:rsidR="00664F78">
        <w:rPr>
          <w:rFonts w:ascii="Arial" w:hAnsi="Arial" w:cs="Arial"/>
          <w:color w:val="000000"/>
        </w:rPr>
        <w:t>, with consistent between-</w:t>
      </w:r>
      <w:r w:rsidR="00B53CD1">
        <w:rPr>
          <w:rFonts w:ascii="Arial" w:hAnsi="Arial" w:cs="Arial"/>
          <w:color w:val="000000"/>
        </w:rPr>
        <w:t xml:space="preserve">treatment </w:t>
      </w:r>
      <w:r w:rsidR="00664F78">
        <w:rPr>
          <w:rFonts w:ascii="Arial" w:hAnsi="Arial" w:cs="Arial"/>
          <w:color w:val="000000"/>
        </w:rPr>
        <w:t xml:space="preserve">differences </w:t>
      </w:r>
      <w:r w:rsidR="00B53CD1">
        <w:rPr>
          <w:rFonts w:ascii="Arial" w:hAnsi="Arial" w:cs="Arial"/>
          <w:color w:val="000000"/>
        </w:rPr>
        <w:t xml:space="preserve">across </w:t>
      </w:r>
      <w:r w:rsidR="00F66553">
        <w:rPr>
          <w:rFonts w:ascii="Arial" w:hAnsi="Arial" w:cs="Arial"/>
          <w:color w:val="000000"/>
        </w:rPr>
        <w:t>these</w:t>
      </w:r>
      <w:r w:rsidR="00B53CD1">
        <w:rPr>
          <w:rFonts w:ascii="Arial" w:hAnsi="Arial" w:cs="Arial"/>
          <w:color w:val="000000"/>
        </w:rPr>
        <w:t xml:space="preserve"> covariates </w:t>
      </w:r>
      <w:r w:rsidR="00664F78">
        <w:rPr>
          <w:rFonts w:ascii="Arial" w:hAnsi="Arial" w:cs="Arial"/>
          <w:color w:val="000000"/>
        </w:rPr>
        <w:t>and no significant interactions observed</w:t>
      </w:r>
      <w:r>
        <w:rPr>
          <w:rFonts w:ascii="Arial" w:hAnsi="Arial" w:cs="Arial"/>
          <w:color w:val="000000"/>
        </w:rPr>
        <w:t xml:space="preserve">. </w:t>
      </w:r>
      <w:r w:rsidR="00D47F20">
        <w:rPr>
          <w:rFonts w:ascii="Arial" w:hAnsi="Arial" w:cs="Arial"/>
          <w:color w:val="000000"/>
        </w:rPr>
        <w:t xml:space="preserve"> </w:t>
      </w:r>
      <w:r w:rsidR="007E6391">
        <w:rPr>
          <w:rFonts w:ascii="Arial" w:hAnsi="Arial" w:cs="Arial"/>
          <w:color w:val="000000"/>
        </w:rPr>
        <w:t>Sensitivity analysis (Table S</w:t>
      </w:r>
      <w:r w:rsidR="002E69C9">
        <w:rPr>
          <w:rFonts w:ascii="Arial" w:hAnsi="Arial" w:cs="Arial"/>
          <w:color w:val="000000"/>
        </w:rPr>
        <w:t>1</w:t>
      </w:r>
      <w:r w:rsidR="002229C4">
        <w:rPr>
          <w:rFonts w:ascii="Arial" w:hAnsi="Arial" w:cs="Arial"/>
          <w:color w:val="000000"/>
        </w:rPr>
        <w:t xml:space="preserve"> p1</w:t>
      </w:r>
      <w:r w:rsidR="007E6391">
        <w:rPr>
          <w:rFonts w:ascii="Arial" w:hAnsi="Arial" w:cs="Arial"/>
          <w:color w:val="000000"/>
        </w:rPr>
        <w:t>) showed that results regarding the primary endpoint analyses are consistent and robust.</w:t>
      </w:r>
      <w:r w:rsidR="00D10D28">
        <w:rPr>
          <w:rFonts w:ascii="Arial" w:hAnsi="Arial" w:cs="Arial"/>
          <w:color w:val="000000"/>
        </w:rPr>
        <w:t xml:space="preserve"> </w:t>
      </w:r>
      <w:r w:rsidR="001940CB">
        <w:rPr>
          <w:rFonts w:ascii="Arial" w:hAnsi="Arial" w:cs="Arial"/>
          <w:color w:val="000000"/>
        </w:rPr>
        <w:t xml:space="preserve">The secondary endpoint of </w:t>
      </w:r>
      <w:r w:rsidR="009E5A07">
        <w:rPr>
          <w:rFonts w:ascii="Arial" w:hAnsi="Arial" w:cs="Arial"/>
          <w:color w:val="000000" w:themeColor="text1"/>
        </w:rPr>
        <w:t>viral load</w:t>
      </w:r>
      <w:r w:rsidR="001940CB" w:rsidRPr="00104214">
        <w:rPr>
          <w:rFonts w:ascii="Arial" w:hAnsi="Arial" w:cs="Arial"/>
        </w:rPr>
        <w:t xml:space="preserve">&lt;1000 </w:t>
      </w:r>
      <w:r w:rsidR="00147F88">
        <w:rPr>
          <w:rFonts w:ascii="Arial" w:hAnsi="Arial" w:cs="Arial"/>
        </w:rPr>
        <w:t>copies per mL</w:t>
      </w:r>
      <w:r w:rsidR="001940CB" w:rsidRPr="00104214">
        <w:rPr>
          <w:rFonts w:ascii="Arial" w:hAnsi="Arial" w:cs="Arial"/>
        </w:rPr>
        <w:t xml:space="preserve"> at delivery was also more likely </w:t>
      </w:r>
      <w:r w:rsidR="00AB46CE">
        <w:rPr>
          <w:rFonts w:ascii="Arial" w:hAnsi="Arial" w:cs="Arial"/>
        </w:rPr>
        <w:t xml:space="preserve">achieved </w:t>
      </w:r>
      <w:r w:rsidR="001940CB" w:rsidRPr="00104214">
        <w:rPr>
          <w:rFonts w:ascii="Arial" w:hAnsi="Arial" w:cs="Arial"/>
        </w:rPr>
        <w:t xml:space="preserve">in women on </w:t>
      </w:r>
      <w:r w:rsidR="002229C4">
        <w:rPr>
          <w:rFonts w:ascii="Arial" w:hAnsi="Arial" w:cs="Arial"/>
        </w:rPr>
        <w:t>dolutegravir</w:t>
      </w:r>
      <w:r w:rsidR="001940CB" w:rsidRPr="00104214">
        <w:rPr>
          <w:rFonts w:ascii="Arial" w:hAnsi="Arial" w:cs="Arial"/>
        </w:rPr>
        <w:t xml:space="preserve"> vs </w:t>
      </w:r>
      <w:r w:rsidR="002229C4">
        <w:rPr>
          <w:rFonts w:ascii="Arial" w:hAnsi="Arial" w:cs="Arial"/>
        </w:rPr>
        <w:t>efavirenz</w:t>
      </w:r>
      <w:r w:rsidR="001940CB" w:rsidRPr="00104214">
        <w:rPr>
          <w:rFonts w:ascii="Arial" w:hAnsi="Arial" w:cs="Arial"/>
        </w:rPr>
        <w:t xml:space="preserve"> (</w:t>
      </w:r>
      <w:r w:rsidR="00002ECE">
        <w:rPr>
          <w:rFonts w:ascii="Arial" w:hAnsi="Arial" w:cs="Arial"/>
        </w:rPr>
        <w:t>93</w:t>
      </w:r>
      <w:r w:rsidR="009F7192">
        <w:rPr>
          <w:rFonts w:ascii="Arial" w:hAnsi="Arial" w:cs="Arial"/>
        </w:rPr>
        <w:t>·</w:t>
      </w:r>
      <w:r w:rsidR="00002ECE">
        <w:rPr>
          <w:rFonts w:ascii="Arial" w:hAnsi="Arial" w:cs="Arial"/>
        </w:rPr>
        <w:t>3</w:t>
      </w:r>
      <w:r w:rsidR="001940CB" w:rsidRPr="00104214">
        <w:rPr>
          <w:rFonts w:ascii="Arial" w:hAnsi="Arial" w:cs="Arial"/>
        </w:rPr>
        <w:t xml:space="preserve">% vs </w:t>
      </w:r>
      <w:r w:rsidR="00D47F20" w:rsidRPr="00104214">
        <w:rPr>
          <w:rFonts w:ascii="Arial" w:hAnsi="Arial" w:cs="Arial"/>
        </w:rPr>
        <w:t>8</w:t>
      </w:r>
      <w:r w:rsidR="00D47F20">
        <w:rPr>
          <w:rFonts w:ascii="Arial" w:hAnsi="Arial" w:cs="Arial"/>
        </w:rPr>
        <w:t>2</w:t>
      </w:r>
      <w:r w:rsidR="009F7192">
        <w:rPr>
          <w:rFonts w:ascii="Arial" w:hAnsi="Arial" w:cs="Arial"/>
        </w:rPr>
        <w:t>·</w:t>
      </w:r>
      <w:r w:rsidR="00002ECE">
        <w:rPr>
          <w:rFonts w:ascii="Arial" w:hAnsi="Arial" w:cs="Arial"/>
        </w:rPr>
        <w:t>1</w:t>
      </w:r>
      <w:r w:rsidR="001940CB" w:rsidRPr="00104214">
        <w:rPr>
          <w:rFonts w:ascii="Arial" w:hAnsi="Arial" w:cs="Arial"/>
        </w:rPr>
        <w:t>%)</w:t>
      </w:r>
      <w:r w:rsidR="0023708E">
        <w:rPr>
          <w:rFonts w:ascii="Arial" w:hAnsi="Arial" w:cs="Arial"/>
        </w:rPr>
        <w:t xml:space="preserve"> with an adjusted risk difference of 10</w:t>
      </w:r>
      <w:r w:rsidR="009F7192">
        <w:rPr>
          <w:rFonts w:ascii="Arial" w:hAnsi="Arial" w:cs="Arial"/>
        </w:rPr>
        <w:t>·</w:t>
      </w:r>
      <w:r w:rsidR="0023708E">
        <w:rPr>
          <w:rFonts w:ascii="Arial" w:hAnsi="Arial" w:cs="Arial"/>
        </w:rPr>
        <w:t>36%</w:t>
      </w:r>
      <w:r w:rsidR="00D940FA">
        <w:rPr>
          <w:rFonts w:ascii="Arial" w:hAnsi="Arial" w:cs="Arial"/>
        </w:rPr>
        <w:t xml:space="preserve"> (0</w:t>
      </w:r>
      <w:r w:rsidR="009F7192">
        <w:rPr>
          <w:rFonts w:ascii="Arial" w:hAnsi="Arial" w:cs="Arial"/>
        </w:rPr>
        <w:t>·</w:t>
      </w:r>
      <w:r w:rsidR="00D940FA">
        <w:rPr>
          <w:rFonts w:ascii="Arial" w:hAnsi="Arial" w:cs="Arial"/>
        </w:rPr>
        <w:t>26 – 20</w:t>
      </w:r>
      <w:r w:rsidR="009F7192">
        <w:rPr>
          <w:rFonts w:ascii="Arial" w:hAnsi="Arial" w:cs="Arial"/>
        </w:rPr>
        <w:t>·</w:t>
      </w:r>
      <w:r w:rsidR="00D940FA">
        <w:rPr>
          <w:rFonts w:ascii="Arial" w:hAnsi="Arial" w:cs="Arial"/>
        </w:rPr>
        <w:t>47; P = 0</w:t>
      </w:r>
      <w:r w:rsidR="009F7192">
        <w:rPr>
          <w:rFonts w:ascii="Arial" w:hAnsi="Arial" w:cs="Arial"/>
        </w:rPr>
        <w:t>·</w:t>
      </w:r>
      <w:r w:rsidR="00D940FA">
        <w:rPr>
          <w:rFonts w:ascii="Arial" w:hAnsi="Arial" w:cs="Arial"/>
        </w:rPr>
        <w:t>044) and an adjusted risk ratio</w:t>
      </w:r>
      <w:r w:rsidR="00A81859">
        <w:rPr>
          <w:rFonts w:ascii="Arial" w:hAnsi="Arial" w:cs="Arial"/>
        </w:rPr>
        <w:t xml:space="preserve"> of</w:t>
      </w:r>
      <w:r w:rsidR="001940CB" w:rsidRPr="00104214">
        <w:rPr>
          <w:rFonts w:ascii="Arial" w:hAnsi="Arial" w:cs="Arial"/>
        </w:rPr>
        <w:t xml:space="preserve"> </w:t>
      </w:r>
      <w:r w:rsidR="00002ECE" w:rsidRPr="00C72984">
        <w:rPr>
          <w:rFonts w:ascii="Arial" w:hAnsi="Arial" w:cs="Arial"/>
          <w:color w:val="000000" w:themeColor="text1"/>
        </w:rPr>
        <w:t>1</w:t>
      </w:r>
      <w:r w:rsidR="009F7192">
        <w:rPr>
          <w:rFonts w:ascii="Arial" w:hAnsi="Arial" w:cs="Arial"/>
        </w:rPr>
        <w:t>·</w:t>
      </w:r>
      <w:r w:rsidR="0023708E" w:rsidRPr="00C72984">
        <w:rPr>
          <w:rFonts w:ascii="Arial" w:hAnsi="Arial" w:cs="Arial"/>
          <w:color w:val="000000" w:themeColor="text1"/>
        </w:rPr>
        <w:t>1</w:t>
      </w:r>
      <w:r w:rsidR="0023708E">
        <w:rPr>
          <w:rFonts w:ascii="Arial" w:hAnsi="Arial" w:cs="Arial"/>
          <w:color w:val="000000" w:themeColor="text1"/>
        </w:rPr>
        <w:t>0</w:t>
      </w:r>
      <w:r w:rsidR="0023708E" w:rsidRPr="00C72984">
        <w:rPr>
          <w:rFonts w:ascii="Arial" w:hAnsi="Arial" w:cs="Arial"/>
          <w:color w:val="000000" w:themeColor="text1"/>
        </w:rPr>
        <w:t xml:space="preserve"> </w:t>
      </w:r>
      <w:r w:rsidR="00002ECE" w:rsidRPr="00C72984">
        <w:rPr>
          <w:rFonts w:ascii="Arial" w:hAnsi="Arial" w:cs="Arial"/>
          <w:color w:val="000000" w:themeColor="text1"/>
        </w:rPr>
        <w:t>(</w:t>
      </w:r>
      <w:r w:rsidR="007F2631" w:rsidRPr="00243CBA">
        <w:rPr>
          <w:rFonts w:ascii="Arial" w:hAnsi="Arial" w:cs="Arial"/>
          <w:color w:val="000000"/>
        </w:rPr>
        <w:t xml:space="preserve">95%CI </w:t>
      </w:r>
      <w:r w:rsidR="0023708E">
        <w:rPr>
          <w:rFonts w:ascii="Arial" w:hAnsi="Arial" w:cs="Arial"/>
          <w:color w:val="000000" w:themeColor="text1"/>
        </w:rPr>
        <w:t>0</w:t>
      </w:r>
      <w:r w:rsidR="009F7192">
        <w:rPr>
          <w:rFonts w:ascii="Arial" w:hAnsi="Arial" w:cs="Arial"/>
        </w:rPr>
        <w:t>·</w:t>
      </w:r>
      <w:r w:rsidR="0023708E">
        <w:rPr>
          <w:rFonts w:ascii="Arial" w:hAnsi="Arial" w:cs="Arial"/>
          <w:color w:val="000000" w:themeColor="text1"/>
        </w:rPr>
        <w:t>99</w:t>
      </w:r>
      <w:r w:rsidR="00002ECE" w:rsidRPr="00C72984">
        <w:rPr>
          <w:rFonts w:ascii="Arial" w:hAnsi="Arial" w:cs="Arial"/>
          <w:color w:val="000000" w:themeColor="text1"/>
        </w:rPr>
        <w:t>-1</w:t>
      </w:r>
      <w:r w:rsidR="009F7192">
        <w:rPr>
          <w:rFonts w:ascii="Arial" w:hAnsi="Arial" w:cs="Arial"/>
        </w:rPr>
        <w:t>·</w:t>
      </w:r>
      <w:r w:rsidR="0023708E" w:rsidRPr="00C72984">
        <w:rPr>
          <w:rFonts w:ascii="Arial" w:hAnsi="Arial" w:cs="Arial"/>
          <w:color w:val="000000" w:themeColor="text1"/>
        </w:rPr>
        <w:t>2</w:t>
      </w:r>
      <w:r w:rsidR="0023708E">
        <w:rPr>
          <w:rFonts w:ascii="Arial" w:hAnsi="Arial" w:cs="Arial"/>
          <w:color w:val="000000" w:themeColor="text1"/>
        </w:rPr>
        <w:t>3; P = 0</w:t>
      </w:r>
      <w:r w:rsidR="009F7192">
        <w:rPr>
          <w:rFonts w:ascii="Arial" w:hAnsi="Arial" w:cs="Arial"/>
        </w:rPr>
        <w:t>·</w:t>
      </w:r>
      <w:r w:rsidR="0023708E">
        <w:rPr>
          <w:rFonts w:ascii="Arial" w:hAnsi="Arial" w:cs="Arial"/>
          <w:color w:val="000000" w:themeColor="text1"/>
        </w:rPr>
        <w:t>089</w:t>
      </w:r>
      <w:r w:rsidR="00002ECE" w:rsidRPr="00C72984">
        <w:rPr>
          <w:rFonts w:ascii="Arial" w:hAnsi="Arial" w:cs="Arial"/>
          <w:color w:val="000000" w:themeColor="text1"/>
        </w:rPr>
        <w:t>)</w:t>
      </w:r>
      <w:r w:rsidR="00002ECE">
        <w:rPr>
          <w:rFonts w:ascii="Arial" w:hAnsi="Arial" w:cs="Arial"/>
          <w:color w:val="000000" w:themeColor="text1"/>
        </w:rPr>
        <w:t xml:space="preserve"> </w:t>
      </w:r>
      <w:r w:rsidR="00D47F20">
        <w:rPr>
          <w:rFonts w:ascii="Arial" w:hAnsi="Arial" w:cs="Arial"/>
        </w:rPr>
        <w:t>(Table 2, Figure 2)</w:t>
      </w:r>
      <w:r w:rsidR="001940CB" w:rsidRPr="00104214">
        <w:rPr>
          <w:rFonts w:ascii="Arial" w:hAnsi="Arial" w:cs="Arial"/>
        </w:rPr>
        <w:t>.</w:t>
      </w:r>
      <w:r w:rsidR="001940CB">
        <w:rPr>
          <w:rFonts w:ascii="Arial" w:hAnsi="Arial" w:cs="Arial"/>
        </w:rPr>
        <w:t xml:space="preserve"> </w:t>
      </w:r>
    </w:p>
    <w:p w14:paraId="6B6EFD57" w14:textId="77777777" w:rsidR="001C2252" w:rsidRDefault="001C2252" w:rsidP="00881686">
      <w:pPr>
        <w:spacing w:line="360" w:lineRule="auto"/>
        <w:jc w:val="both"/>
        <w:rPr>
          <w:rFonts w:ascii="Arial" w:hAnsi="Arial" w:cs="Arial"/>
          <w:color w:val="000000"/>
        </w:rPr>
      </w:pPr>
    </w:p>
    <w:p w14:paraId="7939541A" w14:textId="03428251" w:rsidR="00AF01E3" w:rsidRDefault="00E469EE" w:rsidP="00881686">
      <w:pPr>
        <w:spacing w:line="360" w:lineRule="auto"/>
        <w:jc w:val="both"/>
        <w:rPr>
          <w:rFonts w:ascii="Arial" w:hAnsi="Arial" w:cs="Arial"/>
          <w:color w:val="000000"/>
        </w:rPr>
      </w:pPr>
      <w:r>
        <w:rPr>
          <w:rFonts w:ascii="Arial" w:hAnsi="Arial" w:cs="Arial"/>
          <w:color w:val="000000"/>
        </w:rPr>
        <w:t xml:space="preserve">Three mother-to-child transmissions of HIV were detected, all in the </w:t>
      </w:r>
      <w:r w:rsidR="002229C4">
        <w:rPr>
          <w:rFonts w:ascii="Arial" w:hAnsi="Arial" w:cs="Arial"/>
          <w:color w:val="000000"/>
        </w:rPr>
        <w:t>dolutegravir</w:t>
      </w:r>
      <w:r>
        <w:rPr>
          <w:rFonts w:ascii="Arial" w:hAnsi="Arial" w:cs="Arial"/>
          <w:color w:val="000000"/>
        </w:rPr>
        <w:t xml:space="preserve"> arm</w:t>
      </w:r>
      <w:r w:rsidR="00126327">
        <w:rPr>
          <w:rFonts w:ascii="Arial" w:hAnsi="Arial" w:cs="Arial"/>
          <w:color w:val="000000"/>
        </w:rPr>
        <w:t xml:space="preserve"> and</w:t>
      </w:r>
      <w:r>
        <w:rPr>
          <w:rFonts w:ascii="Arial" w:hAnsi="Arial" w:cs="Arial"/>
          <w:color w:val="000000"/>
        </w:rPr>
        <w:t xml:space="preserve"> each confirmed by </w:t>
      </w:r>
      <w:r w:rsidR="00126327">
        <w:rPr>
          <w:rFonts w:ascii="Arial" w:hAnsi="Arial" w:cs="Arial"/>
          <w:color w:val="000000"/>
        </w:rPr>
        <w:t xml:space="preserve">two </w:t>
      </w:r>
      <w:r w:rsidR="00662453">
        <w:rPr>
          <w:rFonts w:ascii="Arial" w:hAnsi="Arial" w:cs="Arial"/>
          <w:color w:val="000000"/>
        </w:rPr>
        <w:t xml:space="preserve">to </w:t>
      </w:r>
      <w:r w:rsidR="00126327">
        <w:rPr>
          <w:rFonts w:ascii="Arial" w:hAnsi="Arial" w:cs="Arial"/>
          <w:color w:val="000000"/>
        </w:rPr>
        <w:t>four</w:t>
      </w:r>
      <w:r>
        <w:rPr>
          <w:rFonts w:ascii="Arial" w:hAnsi="Arial" w:cs="Arial"/>
          <w:color w:val="000000"/>
        </w:rPr>
        <w:t xml:space="preserve"> separate HIV DNA-positive tests. The first infant tested HIV-positive at </w:t>
      </w:r>
      <w:r w:rsidR="00126327">
        <w:rPr>
          <w:rFonts w:ascii="Arial" w:hAnsi="Arial" w:cs="Arial"/>
          <w:color w:val="000000"/>
        </w:rPr>
        <w:t>five</w:t>
      </w:r>
      <w:r>
        <w:rPr>
          <w:rFonts w:ascii="Arial" w:hAnsi="Arial" w:cs="Arial"/>
          <w:color w:val="000000"/>
        </w:rPr>
        <w:t xml:space="preserve"> days of age, </w:t>
      </w:r>
      <w:r w:rsidR="00643D36">
        <w:rPr>
          <w:rFonts w:ascii="Arial" w:hAnsi="Arial" w:cs="Arial"/>
          <w:color w:val="000000"/>
        </w:rPr>
        <w:t>after</w:t>
      </w:r>
      <w:r>
        <w:rPr>
          <w:rFonts w:ascii="Arial" w:hAnsi="Arial" w:cs="Arial"/>
          <w:color w:val="000000"/>
        </w:rPr>
        <w:t xml:space="preserve"> 35 days of maternal </w:t>
      </w:r>
      <w:r w:rsidR="002229C4">
        <w:rPr>
          <w:rFonts w:ascii="Arial" w:hAnsi="Arial" w:cs="Arial"/>
          <w:color w:val="000000"/>
        </w:rPr>
        <w:t>dolutegravir</w:t>
      </w:r>
      <w:r>
        <w:rPr>
          <w:rFonts w:ascii="Arial" w:hAnsi="Arial" w:cs="Arial"/>
          <w:color w:val="000000"/>
        </w:rPr>
        <w:t xml:space="preserve"> </w:t>
      </w:r>
      <w:r w:rsidR="00643D36">
        <w:rPr>
          <w:rFonts w:ascii="Arial" w:hAnsi="Arial" w:cs="Arial"/>
          <w:color w:val="000000"/>
        </w:rPr>
        <w:t xml:space="preserve">from </w:t>
      </w:r>
      <w:r>
        <w:rPr>
          <w:rFonts w:ascii="Arial" w:hAnsi="Arial" w:cs="Arial"/>
          <w:color w:val="000000"/>
        </w:rPr>
        <w:t xml:space="preserve">32 weeks of gestation. The second infant tested HIV DNA-positive at </w:t>
      </w:r>
      <w:r w:rsidR="004F1EC7">
        <w:rPr>
          <w:rFonts w:ascii="Arial" w:hAnsi="Arial" w:cs="Arial"/>
          <w:color w:val="000000"/>
        </w:rPr>
        <w:t>three</w:t>
      </w:r>
      <w:r>
        <w:rPr>
          <w:rFonts w:ascii="Arial" w:hAnsi="Arial" w:cs="Arial"/>
          <w:color w:val="000000"/>
        </w:rPr>
        <w:t xml:space="preserve"> days of age, </w:t>
      </w:r>
      <w:r w:rsidR="00643D36">
        <w:rPr>
          <w:rFonts w:ascii="Arial" w:hAnsi="Arial" w:cs="Arial"/>
          <w:color w:val="000000"/>
        </w:rPr>
        <w:t>after</w:t>
      </w:r>
      <w:r>
        <w:rPr>
          <w:rFonts w:ascii="Arial" w:hAnsi="Arial" w:cs="Arial"/>
          <w:color w:val="000000"/>
        </w:rPr>
        <w:t xml:space="preserve"> 32 days of maternal </w:t>
      </w:r>
      <w:r w:rsidR="002229C4">
        <w:rPr>
          <w:rFonts w:ascii="Arial" w:hAnsi="Arial" w:cs="Arial"/>
          <w:color w:val="000000"/>
        </w:rPr>
        <w:t>dolutegravir</w:t>
      </w:r>
      <w:r>
        <w:rPr>
          <w:rFonts w:ascii="Arial" w:hAnsi="Arial" w:cs="Arial"/>
          <w:color w:val="000000"/>
        </w:rPr>
        <w:t xml:space="preserve"> </w:t>
      </w:r>
      <w:r w:rsidR="00643D36">
        <w:rPr>
          <w:rFonts w:ascii="Arial" w:hAnsi="Arial" w:cs="Arial"/>
          <w:color w:val="000000"/>
        </w:rPr>
        <w:t xml:space="preserve">from </w:t>
      </w:r>
      <w:r>
        <w:rPr>
          <w:rFonts w:ascii="Arial" w:hAnsi="Arial" w:cs="Arial"/>
          <w:color w:val="000000"/>
        </w:rPr>
        <w:t xml:space="preserve">32 weeks of gestation while the third tested positive at 11 days, </w:t>
      </w:r>
      <w:r w:rsidR="00643D36">
        <w:rPr>
          <w:rFonts w:ascii="Arial" w:hAnsi="Arial" w:cs="Arial"/>
          <w:color w:val="000000"/>
        </w:rPr>
        <w:t xml:space="preserve">after </w:t>
      </w:r>
      <w:r>
        <w:rPr>
          <w:rFonts w:ascii="Arial" w:hAnsi="Arial" w:cs="Arial"/>
          <w:color w:val="000000"/>
        </w:rPr>
        <w:t xml:space="preserve">24 days of maternal </w:t>
      </w:r>
      <w:r w:rsidR="002229C4">
        <w:rPr>
          <w:rFonts w:ascii="Arial" w:hAnsi="Arial" w:cs="Arial"/>
          <w:color w:val="000000"/>
        </w:rPr>
        <w:t>dolutegravir</w:t>
      </w:r>
      <w:r>
        <w:rPr>
          <w:rFonts w:ascii="Arial" w:hAnsi="Arial" w:cs="Arial"/>
          <w:color w:val="000000"/>
        </w:rPr>
        <w:t xml:space="preserve"> </w:t>
      </w:r>
      <w:r w:rsidR="00643D36">
        <w:rPr>
          <w:rFonts w:ascii="Arial" w:hAnsi="Arial" w:cs="Arial"/>
          <w:color w:val="000000"/>
        </w:rPr>
        <w:t xml:space="preserve">from </w:t>
      </w:r>
      <w:r>
        <w:rPr>
          <w:rFonts w:ascii="Arial" w:hAnsi="Arial" w:cs="Arial"/>
          <w:color w:val="000000"/>
        </w:rPr>
        <w:t xml:space="preserve">30 </w:t>
      </w:r>
      <w:r>
        <w:rPr>
          <w:rFonts w:ascii="Arial" w:hAnsi="Arial" w:cs="Arial"/>
          <w:color w:val="000000"/>
        </w:rPr>
        <w:lastRenderedPageBreak/>
        <w:t xml:space="preserve">weeks of gestation. The maternal </w:t>
      </w:r>
      <w:r w:rsidR="009E5A07">
        <w:rPr>
          <w:rFonts w:ascii="Arial" w:hAnsi="Arial" w:cs="Arial"/>
          <w:color w:val="000000" w:themeColor="text1"/>
        </w:rPr>
        <w:t>viral load</w:t>
      </w:r>
      <w:r>
        <w:rPr>
          <w:rFonts w:ascii="Arial" w:hAnsi="Arial" w:cs="Arial"/>
          <w:color w:val="000000"/>
        </w:rPr>
        <w:t xml:space="preserve"> at delivery visit was &lt;50 </w:t>
      </w:r>
      <w:r w:rsidR="00147F88">
        <w:rPr>
          <w:rFonts w:ascii="Arial" w:hAnsi="Arial" w:cs="Arial"/>
          <w:color w:val="000000"/>
        </w:rPr>
        <w:t>copies per mL</w:t>
      </w:r>
      <w:r>
        <w:rPr>
          <w:rFonts w:ascii="Arial" w:hAnsi="Arial" w:cs="Arial"/>
          <w:color w:val="000000"/>
        </w:rPr>
        <w:t xml:space="preserve"> in the first two cases (with baseline </w:t>
      </w:r>
      <w:r w:rsidR="009E5A07">
        <w:rPr>
          <w:rFonts w:ascii="Arial" w:hAnsi="Arial" w:cs="Arial"/>
          <w:color w:val="000000" w:themeColor="text1"/>
        </w:rPr>
        <w:t>viral loads</w:t>
      </w:r>
      <w:r>
        <w:rPr>
          <w:rFonts w:ascii="Arial" w:hAnsi="Arial" w:cs="Arial"/>
          <w:color w:val="000000"/>
        </w:rPr>
        <w:t xml:space="preserve"> of 48,969 and 32,844 </w:t>
      </w:r>
      <w:r w:rsidR="00147F88">
        <w:rPr>
          <w:rFonts w:ascii="Arial" w:hAnsi="Arial" w:cs="Arial"/>
          <w:color w:val="000000"/>
        </w:rPr>
        <w:t>copies per mL</w:t>
      </w:r>
      <w:r>
        <w:rPr>
          <w:rFonts w:ascii="Arial" w:hAnsi="Arial" w:cs="Arial"/>
          <w:color w:val="000000"/>
        </w:rPr>
        <w:t xml:space="preserve">), and in the third case, was 31,354 </w:t>
      </w:r>
      <w:r w:rsidR="00147F88">
        <w:rPr>
          <w:rFonts w:ascii="Arial" w:hAnsi="Arial" w:cs="Arial"/>
          <w:color w:val="000000"/>
        </w:rPr>
        <w:t>copies per mL</w:t>
      </w:r>
      <w:r>
        <w:rPr>
          <w:rFonts w:ascii="Arial" w:hAnsi="Arial" w:cs="Arial"/>
          <w:color w:val="000000"/>
        </w:rPr>
        <w:t xml:space="preserve"> at baseline, and 200 </w:t>
      </w:r>
      <w:r w:rsidR="00147F88">
        <w:rPr>
          <w:rFonts w:ascii="Arial" w:hAnsi="Arial" w:cs="Arial"/>
          <w:color w:val="000000"/>
        </w:rPr>
        <w:t>copies per mL</w:t>
      </w:r>
      <w:r>
        <w:rPr>
          <w:rFonts w:ascii="Arial" w:hAnsi="Arial" w:cs="Arial"/>
          <w:color w:val="000000"/>
        </w:rPr>
        <w:t xml:space="preserve"> at delivery. </w:t>
      </w:r>
      <w:r w:rsidR="002C3030">
        <w:rPr>
          <w:rFonts w:ascii="Arial" w:hAnsi="Arial" w:cs="Arial"/>
          <w:color w:val="000000"/>
        </w:rPr>
        <w:t xml:space="preserve">We considered </w:t>
      </w:r>
      <w:r w:rsidR="002C3030" w:rsidRPr="00E02BB7">
        <w:rPr>
          <w:rFonts w:ascii="Arial" w:hAnsi="Arial" w:cs="Arial"/>
          <w:i/>
          <w:color w:val="000000"/>
        </w:rPr>
        <w:t>in-utero</w:t>
      </w:r>
      <w:r w:rsidR="002C3030">
        <w:rPr>
          <w:rFonts w:ascii="Arial" w:hAnsi="Arial" w:cs="Arial"/>
          <w:color w:val="000000"/>
        </w:rPr>
        <w:t xml:space="preserve"> transmission likely given t</w:t>
      </w:r>
      <w:r w:rsidR="00E02BB7">
        <w:rPr>
          <w:rFonts w:ascii="Arial" w:hAnsi="Arial" w:cs="Arial"/>
          <w:color w:val="000000"/>
        </w:rPr>
        <w:t xml:space="preserve">he early PCR-positivity of each infant, coupled with the low maternal viral loads at delivery s. All </w:t>
      </w:r>
      <w:r w:rsidR="00AB46CE">
        <w:rPr>
          <w:rFonts w:ascii="Arial" w:hAnsi="Arial" w:cs="Arial"/>
          <w:color w:val="000000"/>
        </w:rPr>
        <w:t xml:space="preserve">three </w:t>
      </w:r>
      <w:r w:rsidR="00E02BB7">
        <w:rPr>
          <w:rFonts w:ascii="Arial" w:hAnsi="Arial" w:cs="Arial"/>
          <w:color w:val="000000"/>
        </w:rPr>
        <w:t xml:space="preserve">mothers remained well, </w:t>
      </w:r>
      <w:r w:rsidR="00CF41AB">
        <w:rPr>
          <w:rFonts w:ascii="Arial" w:hAnsi="Arial" w:cs="Arial"/>
          <w:color w:val="000000"/>
        </w:rPr>
        <w:t>without</w:t>
      </w:r>
      <w:r w:rsidR="00E02BB7">
        <w:rPr>
          <w:rFonts w:ascii="Arial" w:hAnsi="Arial" w:cs="Arial"/>
          <w:color w:val="000000"/>
        </w:rPr>
        <w:t xml:space="preserve"> signs of illness or IRIS.</w:t>
      </w:r>
      <w:r w:rsidR="00BB3AAA">
        <w:rPr>
          <w:rFonts w:ascii="Arial" w:hAnsi="Arial" w:cs="Arial"/>
          <w:color w:val="000000"/>
        </w:rPr>
        <w:t xml:space="preserve"> </w:t>
      </w:r>
    </w:p>
    <w:p w14:paraId="04D54224" w14:textId="77777777" w:rsidR="00FD1174" w:rsidRDefault="00FD1174" w:rsidP="00881686">
      <w:pPr>
        <w:spacing w:line="360" w:lineRule="auto"/>
        <w:jc w:val="both"/>
        <w:rPr>
          <w:rFonts w:ascii="Arial" w:hAnsi="Arial" w:cs="Arial"/>
          <w:color w:val="000000"/>
        </w:rPr>
      </w:pPr>
    </w:p>
    <w:p w14:paraId="6F2EE691" w14:textId="7550353E" w:rsidR="009252EA" w:rsidRPr="00104214" w:rsidRDefault="009252EA" w:rsidP="00881686">
      <w:pPr>
        <w:spacing w:line="360" w:lineRule="auto"/>
        <w:jc w:val="both"/>
        <w:rPr>
          <w:rFonts w:ascii="Arial" w:hAnsi="Arial" w:cs="Arial"/>
          <w:color w:val="000000"/>
        </w:rPr>
      </w:pPr>
    </w:p>
    <w:p w14:paraId="2117935F" w14:textId="086B4C7C" w:rsidR="009252EA" w:rsidRPr="00E02BB7" w:rsidRDefault="009252EA" w:rsidP="00881686">
      <w:pPr>
        <w:spacing w:line="360" w:lineRule="auto"/>
        <w:jc w:val="both"/>
        <w:rPr>
          <w:rFonts w:ascii="Arial" w:hAnsi="Arial" w:cs="Arial"/>
          <w:color w:val="000000"/>
          <w:u w:val="single"/>
        </w:rPr>
      </w:pPr>
      <w:r w:rsidRPr="00E02BB7">
        <w:rPr>
          <w:rFonts w:ascii="Arial" w:hAnsi="Arial" w:cs="Arial"/>
          <w:color w:val="000000"/>
          <w:u w:val="single"/>
        </w:rPr>
        <w:t>Safety Outcomes</w:t>
      </w:r>
    </w:p>
    <w:p w14:paraId="28C4280C" w14:textId="7B842768" w:rsidR="00435046" w:rsidRPr="00435046" w:rsidRDefault="00435046" w:rsidP="00881686">
      <w:pPr>
        <w:spacing w:line="360" w:lineRule="auto"/>
        <w:jc w:val="both"/>
        <w:rPr>
          <w:rFonts w:ascii="Arial" w:hAnsi="Arial" w:cs="Arial"/>
          <w:color w:val="000000"/>
          <w:u w:val="single"/>
        </w:rPr>
      </w:pPr>
      <w:r w:rsidRPr="00435046">
        <w:rPr>
          <w:rFonts w:ascii="Arial" w:hAnsi="Arial" w:cs="Arial"/>
          <w:color w:val="000000"/>
          <w:u w:val="single"/>
        </w:rPr>
        <w:t>Maternal</w:t>
      </w:r>
    </w:p>
    <w:p w14:paraId="04A2A1FE" w14:textId="05F9462D" w:rsidR="00805720" w:rsidRDefault="00717CAF" w:rsidP="00881686">
      <w:pPr>
        <w:spacing w:line="360" w:lineRule="auto"/>
        <w:jc w:val="both"/>
        <w:rPr>
          <w:rFonts w:ascii="Arial" w:hAnsi="Arial" w:cs="Arial"/>
          <w:color w:val="000000"/>
        </w:rPr>
      </w:pPr>
      <w:r>
        <w:rPr>
          <w:rFonts w:ascii="Arial" w:hAnsi="Arial" w:cs="Arial"/>
          <w:color w:val="000000"/>
        </w:rPr>
        <w:t xml:space="preserve">Although </w:t>
      </w:r>
      <w:r w:rsidR="001A3165" w:rsidRPr="00BC4784">
        <w:rPr>
          <w:rFonts w:ascii="Arial" w:hAnsi="Arial" w:cs="Arial"/>
        </w:rPr>
        <w:t xml:space="preserve">antiretroviral therapy </w:t>
      </w:r>
      <w:r>
        <w:rPr>
          <w:rFonts w:ascii="Arial" w:hAnsi="Arial" w:cs="Arial"/>
          <w:color w:val="000000"/>
        </w:rPr>
        <w:t xml:space="preserve">was well-tolerated across both arms, </w:t>
      </w:r>
      <w:r>
        <w:rPr>
          <w:rFonts w:ascii="Arial" w:hAnsi="Arial" w:cs="Arial"/>
        </w:rPr>
        <w:t xml:space="preserve">more mothers in the </w:t>
      </w:r>
      <w:r w:rsidR="002229C4">
        <w:rPr>
          <w:rFonts w:ascii="Arial" w:hAnsi="Arial" w:cs="Arial"/>
        </w:rPr>
        <w:t>dolutegravir</w:t>
      </w:r>
      <w:r>
        <w:rPr>
          <w:rFonts w:ascii="Arial" w:hAnsi="Arial" w:cs="Arial"/>
        </w:rPr>
        <w:t xml:space="preserve"> arm (30/137 vs 14/131; P = 0</w:t>
      </w:r>
      <w:r w:rsidR="009F7192">
        <w:rPr>
          <w:rFonts w:ascii="Arial" w:hAnsi="Arial" w:cs="Arial"/>
        </w:rPr>
        <w:t>·</w:t>
      </w:r>
      <w:r>
        <w:rPr>
          <w:rFonts w:ascii="Arial" w:hAnsi="Arial" w:cs="Arial"/>
        </w:rPr>
        <w:t xml:space="preserve">013) reported any type of SAE.  This was driven by a higher overall frequency of ‘Pregnancy, Puerperium and Perinatal’ events in mothers receiving </w:t>
      </w:r>
      <w:r w:rsidR="002229C4">
        <w:rPr>
          <w:rFonts w:ascii="Arial" w:hAnsi="Arial" w:cs="Arial"/>
        </w:rPr>
        <w:t>dolutegravir</w:t>
      </w:r>
      <w:r>
        <w:rPr>
          <w:rFonts w:ascii="Arial" w:hAnsi="Arial" w:cs="Arial"/>
        </w:rPr>
        <w:t xml:space="preserve"> (Table 3; supplementary table S2</w:t>
      </w:r>
      <w:r w:rsidR="00392911">
        <w:rPr>
          <w:rFonts w:ascii="Arial" w:hAnsi="Arial" w:cs="Arial"/>
        </w:rPr>
        <w:t xml:space="preserve"> p2-3</w:t>
      </w:r>
      <w:r>
        <w:rPr>
          <w:rFonts w:ascii="Arial" w:hAnsi="Arial" w:cs="Arial"/>
        </w:rPr>
        <w:t xml:space="preserve">), the majority of whom were judged to have prolonged pregnancy beyond term, with or without other conditions which led to Caesarean section being performed. </w:t>
      </w:r>
      <w:r w:rsidR="00FD3710" w:rsidRPr="00FD3710">
        <w:rPr>
          <w:rFonts w:ascii="Arial" w:hAnsi="Arial" w:cs="Arial"/>
        </w:rPr>
        <w:t xml:space="preserve">Overall, there were 12 C-sections in the </w:t>
      </w:r>
      <w:r w:rsidR="002229C4">
        <w:rPr>
          <w:rFonts w:ascii="Arial" w:hAnsi="Arial" w:cs="Arial"/>
        </w:rPr>
        <w:t>dolutegravir</w:t>
      </w:r>
      <w:r w:rsidR="00FD3710" w:rsidRPr="00FD3710">
        <w:rPr>
          <w:rFonts w:ascii="Arial" w:hAnsi="Arial" w:cs="Arial"/>
        </w:rPr>
        <w:t xml:space="preserve"> arm and 7 in the </w:t>
      </w:r>
      <w:r w:rsidR="002229C4">
        <w:rPr>
          <w:rFonts w:ascii="Arial" w:hAnsi="Arial" w:cs="Arial"/>
        </w:rPr>
        <w:t>efavirenz</w:t>
      </w:r>
      <w:r w:rsidR="00FD3710" w:rsidRPr="00FD3710">
        <w:rPr>
          <w:rFonts w:ascii="Arial" w:hAnsi="Arial" w:cs="Arial"/>
        </w:rPr>
        <w:t xml:space="preserve"> arm (of which one was in the mother who had a stillbirth in the </w:t>
      </w:r>
      <w:r w:rsidR="002229C4">
        <w:rPr>
          <w:rFonts w:ascii="Arial" w:hAnsi="Arial" w:cs="Arial"/>
        </w:rPr>
        <w:t>efavirenz</w:t>
      </w:r>
      <w:r w:rsidR="00FD3710" w:rsidRPr="00FD3710">
        <w:rPr>
          <w:rFonts w:ascii="Arial" w:hAnsi="Arial" w:cs="Arial"/>
        </w:rPr>
        <w:t xml:space="preserve"> arm)</w:t>
      </w:r>
      <w:r w:rsidR="00FD3710">
        <w:rPr>
          <w:rFonts w:ascii="Arial" w:hAnsi="Arial" w:cs="Arial"/>
        </w:rPr>
        <w:t xml:space="preserve">. </w:t>
      </w:r>
      <w:r w:rsidR="00321F29">
        <w:rPr>
          <w:rFonts w:ascii="Arial" w:hAnsi="Arial" w:cs="Arial"/>
          <w:color w:val="000000"/>
        </w:rPr>
        <w:t xml:space="preserve">At the </w:t>
      </w:r>
      <w:proofErr w:type="gramStart"/>
      <w:r w:rsidR="00321F29">
        <w:rPr>
          <w:rFonts w:ascii="Arial" w:hAnsi="Arial" w:cs="Arial"/>
          <w:color w:val="000000"/>
        </w:rPr>
        <w:t>28 day</w:t>
      </w:r>
      <w:proofErr w:type="gramEnd"/>
      <w:r w:rsidR="00321F29">
        <w:rPr>
          <w:rFonts w:ascii="Arial" w:hAnsi="Arial" w:cs="Arial"/>
          <w:color w:val="000000"/>
        </w:rPr>
        <w:t xml:space="preserve"> visit, </w:t>
      </w:r>
      <w:r w:rsidR="00713E5A">
        <w:rPr>
          <w:rFonts w:ascii="Arial" w:hAnsi="Arial" w:cs="Arial"/>
          <w:color w:val="000000"/>
        </w:rPr>
        <w:t xml:space="preserve">we observed a </w:t>
      </w:r>
      <w:r w:rsidR="00A2665B">
        <w:rPr>
          <w:rFonts w:ascii="Arial" w:hAnsi="Arial" w:cs="Arial"/>
          <w:color w:val="000000"/>
        </w:rPr>
        <w:t xml:space="preserve">modest </w:t>
      </w:r>
      <w:r w:rsidR="00634344">
        <w:rPr>
          <w:rFonts w:ascii="Arial" w:hAnsi="Arial" w:cs="Arial"/>
          <w:color w:val="000000"/>
        </w:rPr>
        <w:t>increase</w:t>
      </w:r>
      <w:r w:rsidR="00321F29">
        <w:rPr>
          <w:rFonts w:ascii="Arial" w:hAnsi="Arial" w:cs="Arial"/>
          <w:color w:val="000000"/>
        </w:rPr>
        <w:t xml:space="preserve"> in serum creatinine </w:t>
      </w:r>
      <w:r w:rsidR="00586647">
        <w:rPr>
          <w:rFonts w:ascii="Arial" w:hAnsi="Arial" w:cs="Arial"/>
          <w:color w:val="000000"/>
        </w:rPr>
        <w:t xml:space="preserve">from </w:t>
      </w:r>
      <w:r w:rsidR="00321F29">
        <w:rPr>
          <w:rFonts w:ascii="Arial" w:hAnsi="Arial" w:cs="Arial"/>
          <w:color w:val="000000"/>
        </w:rPr>
        <w:t xml:space="preserve">baseline </w:t>
      </w:r>
      <w:r w:rsidR="00713E5A">
        <w:rPr>
          <w:rFonts w:ascii="Arial" w:hAnsi="Arial" w:cs="Arial"/>
          <w:color w:val="000000"/>
        </w:rPr>
        <w:t xml:space="preserve">of </w:t>
      </w:r>
      <w:r w:rsidR="00D029A1">
        <w:rPr>
          <w:rFonts w:ascii="Arial" w:hAnsi="Arial" w:cs="Arial"/>
          <w:color w:val="000000"/>
        </w:rPr>
        <w:t>0.08mg/d</w:t>
      </w:r>
      <w:r w:rsidR="00321F29">
        <w:rPr>
          <w:rFonts w:ascii="Arial" w:hAnsi="Arial" w:cs="Arial"/>
          <w:color w:val="000000"/>
        </w:rPr>
        <w:t xml:space="preserve">L in the </w:t>
      </w:r>
      <w:r w:rsidR="002229C4">
        <w:rPr>
          <w:rFonts w:ascii="Arial" w:hAnsi="Arial" w:cs="Arial"/>
          <w:color w:val="000000"/>
        </w:rPr>
        <w:t>dolutegravir</w:t>
      </w:r>
      <w:r w:rsidR="00321F29">
        <w:rPr>
          <w:rFonts w:ascii="Arial" w:hAnsi="Arial" w:cs="Arial"/>
          <w:color w:val="000000"/>
        </w:rPr>
        <w:t xml:space="preserve"> arm </w:t>
      </w:r>
      <w:r w:rsidR="00713E5A">
        <w:rPr>
          <w:rFonts w:ascii="Arial" w:hAnsi="Arial" w:cs="Arial"/>
          <w:color w:val="000000"/>
        </w:rPr>
        <w:t>and of</w:t>
      </w:r>
      <w:r w:rsidR="00321F29">
        <w:rPr>
          <w:rFonts w:ascii="Arial" w:hAnsi="Arial" w:cs="Arial"/>
          <w:color w:val="000000"/>
        </w:rPr>
        <w:t xml:space="preserve"> </w:t>
      </w:r>
      <w:r w:rsidR="00D029A1">
        <w:rPr>
          <w:rFonts w:ascii="Arial" w:hAnsi="Arial" w:cs="Arial"/>
          <w:color w:val="000000"/>
        </w:rPr>
        <w:t>0.02mg</w:t>
      </w:r>
      <w:r w:rsidR="00321F29" w:rsidRPr="00321F29">
        <w:rPr>
          <w:rFonts w:ascii="Arial" w:hAnsi="Arial" w:cs="Arial"/>
          <w:color w:val="000000"/>
        </w:rPr>
        <w:t>/</w:t>
      </w:r>
      <w:r w:rsidR="00D029A1">
        <w:rPr>
          <w:rFonts w:ascii="Arial" w:hAnsi="Arial" w:cs="Arial"/>
          <w:color w:val="000000"/>
        </w:rPr>
        <w:t>d</w:t>
      </w:r>
      <w:r w:rsidR="00321F29" w:rsidRPr="00321F29">
        <w:rPr>
          <w:rFonts w:ascii="Arial" w:hAnsi="Arial" w:cs="Arial"/>
          <w:color w:val="000000"/>
        </w:rPr>
        <w:t>L</w:t>
      </w:r>
      <w:r w:rsidR="00321F29">
        <w:rPr>
          <w:rFonts w:ascii="Arial" w:hAnsi="Arial" w:cs="Arial"/>
          <w:color w:val="000000"/>
        </w:rPr>
        <w:t xml:space="preserve"> for </w:t>
      </w:r>
      <w:r w:rsidR="002229C4">
        <w:rPr>
          <w:rFonts w:ascii="Arial" w:hAnsi="Arial" w:cs="Arial"/>
          <w:color w:val="000000"/>
        </w:rPr>
        <w:t>efavirenz</w:t>
      </w:r>
      <w:r w:rsidR="00321F29" w:rsidRPr="00321F29">
        <w:rPr>
          <w:rFonts w:ascii="Arial" w:hAnsi="Arial" w:cs="Arial"/>
          <w:color w:val="000000"/>
        </w:rPr>
        <w:t>; P&lt;0</w:t>
      </w:r>
      <w:r w:rsidR="009F7192">
        <w:rPr>
          <w:rFonts w:ascii="Arial" w:hAnsi="Arial" w:cs="Arial"/>
        </w:rPr>
        <w:t>·</w:t>
      </w:r>
      <w:r w:rsidR="00321F29" w:rsidRPr="00321F29">
        <w:rPr>
          <w:rFonts w:ascii="Arial" w:hAnsi="Arial" w:cs="Arial"/>
          <w:color w:val="000000"/>
        </w:rPr>
        <w:t>0001</w:t>
      </w:r>
      <w:r w:rsidR="00321F29">
        <w:rPr>
          <w:rFonts w:ascii="Arial" w:hAnsi="Arial" w:cs="Arial"/>
          <w:color w:val="000000"/>
        </w:rPr>
        <w:t xml:space="preserve">. </w:t>
      </w:r>
      <w:r w:rsidR="00952975">
        <w:rPr>
          <w:rFonts w:ascii="Arial" w:hAnsi="Arial" w:cs="Arial"/>
          <w:color w:val="000000"/>
        </w:rPr>
        <w:t>Antepartum change in weight over the first 28 days of treatment did not differ between arms</w:t>
      </w:r>
      <w:r w:rsidR="004D43A4">
        <w:rPr>
          <w:rFonts w:ascii="Arial" w:hAnsi="Arial" w:cs="Arial"/>
          <w:color w:val="000000"/>
        </w:rPr>
        <w:t xml:space="preserve">. </w:t>
      </w:r>
    </w:p>
    <w:p w14:paraId="598432A3" w14:textId="77777777" w:rsidR="00805720" w:rsidRDefault="00805720" w:rsidP="00881686">
      <w:pPr>
        <w:spacing w:line="360" w:lineRule="auto"/>
        <w:jc w:val="both"/>
        <w:rPr>
          <w:rFonts w:ascii="Arial" w:hAnsi="Arial" w:cs="Arial"/>
          <w:color w:val="000000"/>
        </w:rPr>
      </w:pPr>
    </w:p>
    <w:p w14:paraId="5DE58EA7" w14:textId="3625CBD9" w:rsidR="00435046" w:rsidRDefault="00805720" w:rsidP="00A67253">
      <w:pPr>
        <w:spacing w:line="360" w:lineRule="auto"/>
        <w:jc w:val="both"/>
        <w:rPr>
          <w:rFonts w:ascii="Arial" w:hAnsi="Arial" w:cs="Arial"/>
          <w:color w:val="000000"/>
        </w:rPr>
      </w:pPr>
      <w:r>
        <w:rPr>
          <w:rFonts w:ascii="Arial" w:hAnsi="Arial" w:cs="Arial"/>
          <w:color w:val="000000"/>
        </w:rPr>
        <w:t>F</w:t>
      </w:r>
      <w:r w:rsidR="00435046" w:rsidRPr="00104214">
        <w:rPr>
          <w:rFonts w:ascii="Arial" w:hAnsi="Arial" w:cs="Arial"/>
          <w:color w:val="000000"/>
        </w:rPr>
        <w:t xml:space="preserve">our stillbirths were </w:t>
      </w:r>
      <w:r>
        <w:rPr>
          <w:rFonts w:ascii="Arial" w:hAnsi="Arial" w:cs="Arial"/>
          <w:color w:val="000000"/>
        </w:rPr>
        <w:t>reported</w:t>
      </w:r>
      <w:r w:rsidR="00435046" w:rsidRPr="00104214">
        <w:rPr>
          <w:rFonts w:ascii="Arial" w:hAnsi="Arial" w:cs="Arial"/>
          <w:color w:val="000000"/>
        </w:rPr>
        <w:t xml:space="preserve"> (</w:t>
      </w:r>
      <w:r w:rsidR="001A4941">
        <w:rPr>
          <w:rFonts w:ascii="Arial" w:hAnsi="Arial" w:cs="Arial"/>
          <w:color w:val="000000"/>
        </w:rPr>
        <w:t>three in the</w:t>
      </w:r>
      <w:r w:rsidR="001A4941" w:rsidRPr="00104214">
        <w:rPr>
          <w:rFonts w:ascii="Arial" w:hAnsi="Arial" w:cs="Arial"/>
          <w:color w:val="000000"/>
        </w:rPr>
        <w:t xml:space="preserve"> </w:t>
      </w:r>
      <w:r w:rsidR="002229C4">
        <w:rPr>
          <w:rFonts w:ascii="Arial" w:hAnsi="Arial" w:cs="Arial"/>
          <w:color w:val="000000"/>
        </w:rPr>
        <w:t>dolutegravir</w:t>
      </w:r>
      <w:r w:rsidR="001A4941" w:rsidRPr="00104214">
        <w:rPr>
          <w:rFonts w:ascii="Arial" w:hAnsi="Arial" w:cs="Arial"/>
          <w:color w:val="000000"/>
        </w:rPr>
        <w:t xml:space="preserve"> arm</w:t>
      </w:r>
      <w:r w:rsidR="001A4941">
        <w:rPr>
          <w:rFonts w:ascii="Arial" w:hAnsi="Arial" w:cs="Arial"/>
          <w:color w:val="000000"/>
        </w:rPr>
        <w:t>; 2</w:t>
      </w:r>
      <w:r w:rsidR="009F7192">
        <w:rPr>
          <w:rFonts w:ascii="Arial" w:hAnsi="Arial" w:cs="Arial"/>
        </w:rPr>
        <w:t>·</w:t>
      </w:r>
      <w:r w:rsidR="001A4941">
        <w:rPr>
          <w:rFonts w:ascii="Arial" w:hAnsi="Arial" w:cs="Arial"/>
          <w:color w:val="000000"/>
        </w:rPr>
        <w:t>2%</w:t>
      </w:r>
      <w:r w:rsidR="00435046" w:rsidRPr="00104214">
        <w:rPr>
          <w:rFonts w:ascii="Arial" w:hAnsi="Arial" w:cs="Arial"/>
          <w:color w:val="000000"/>
        </w:rPr>
        <w:t>)</w:t>
      </w:r>
      <w:r w:rsidR="00654FCD">
        <w:rPr>
          <w:rFonts w:ascii="Arial" w:hAnsi="Arial" w:cs="Arial"/>
          <w:color w:val="000000"/>
        </w:rPr>
        <w:t xml:space="preserve">. </w:t>
      </w:r>
      <w:r>
        <w:rPr>
          <w:rFonts w:ascii="Arial" w:hAnsi="Arial" w:cs="Arial"/>
          <w:color w:val="000000"/>
        </w:rPr>
        <w:t xml:space="preserve">The first was a macerated stillbirth at 40w gestation, judged to be related to maternal syphilis. The second was at 36w gestation following uterine rupture and hemoperitoneum, with a history of maternal syphilis. The third fetus was </w:t>
      </w:r>
      <w:r w:rsidR="006E2E7B">
        <w:rPr>
          <w:rFonts w:ascii="Arial" w:hAnsi="Arial" w:cs="Arial"/>
          <w:color w:val="000000"/>
        </w:rPr>
        <w:t xml:space="preserve">a </w:t>
      </w:r>
      <w:r>
        <w:rPr>
          <w:rFonts w:ascii="Arial" w:hAnsi="Arial" w:cs="Arial"/>
          <w:color w:val="000000"/>
        </w:rPr>
        <w:t>post</w:t>
      </w:r>
      <w:r w:rsidR="009219E9">
        <w:rPr>
          <w:rFonts w:ascii="Arial" w:hAnsi="Arial" w:cs="Arial"/>
          <w:color w:val="000000"/>
        </w:rPr>
        <w:t>-</w:t>
      </w:r>
      <w:r w:rsidR="006E2E7B">
        <w:rPr>
          <w:rFonts w:ascii="Arial" w:hAnsi="Arial" w:cs="Arial"/>
          <w:color w:val="000000"/>
        </w:rPr>
        <w:t>term pregnancy</w:t>
      </w:r>
      <w:r>
        <w:rPr>
          <w:rFonts w:ascii="Arial" w:hAnsi="Arial" w:cs="Arial"/>
          <w:color w:val="000000"/>
        </w:rPr>
        <w:t xml:space="preserve"> at 41w gestation, with evidence of fetal distress</w:t>
      </w:r>
      <w:r w:rsidR="001A4941">
        <w:rPr>
          <w:rFonts w:ascii="Arial" w:hAnsi="Arial" w:cs="Arial"/>
          <w:color w:val="000000"/>
        </w:rPr>
        <w:t xml:space="preserve"> (</w:t>
      </w:r>
      <w:r w:rsidR="002229C4">
        <w:rPr>
          <w:rFonts w:ascii="Arial" w:hAnsi="Arial" w:cs="Arial"/>
          <w:color w:val="000000"/>
        </w:rPr>
        <w:t>efavirenz</w:t>
      </w:r>
      <w:r w:rsidR="001A4941">
        <w:rPr>
          <w:rFonts w:ascii="Arial" w:hAnsi="Arial" w:cs="Arial"/>
          <w:color w:val="000000"/>
        </w:rPr>
        <w:t xml:space="preserve"> arm)</w:t>
      </w:r>
      <w:r>
        <w:rPr>
          <w:rFonts w:ascii="Arial" w:hAnsi="Arial" w:cs="Arial"/>
          <w:color w:val="000000"/>
        </w:rPr>
        <w:t>. The fourth was a macerated stillbirth at 41w gestation</w:t>
      </w:r>
      <w:r w:rsidR="00367101">
        <w:rPr>
          <w:rFonts w:ascii="Arial" w:hAnsi="Arial" w:cs="Arial"/>
          <w:color w:val="000000"/>
        </w:rPr>
        <w:t xml:space="preserve"> to a mother</w:t>
      </w:r>
      <w:r>
        <w:rPr>
          <w:rFonts w:ascii="Arial" w:hAnsi="Arial" w:cs="Arial"/>
          <w:color w:val="000000"/>
        </w:rPr>
        <w:t xml:space="preserve"> with a history of intermittent fevers (onset preceding </w:t>
      </w:r>
      <w:r w:rsidR="001A3165" w:rsidRPr="00BC4784">
        <w:rPr>
          <w:rFonts w:ascii="Arial" w:hAnsi="Arial" w:cs="Arial"/>
        </w:rPr>
        <w:t>antiretroviral therapy</w:t>
      </w:r>
      <w:r>
        <w:rPr>
          <w:rFonts w:ascii="Arial" w:hAnsi="Arial" w:cs="Arial"/>
          <w:color w:val="000000"/>
        </w:rPr>
        <w:t xml:space="preserve">) </w:t>
      </w:r>
      <w:r w:rsidR="00367101">
        <w:rPr>
          <w:rFonts w:ascii="Arial" w:hAnsi="Arial" w:cs="Arial"/>
          <w:color w:val="000000"/>
        </w:rPr>
        <w:t xml:space="preserve">and </w:t>
      </w:r>
      <w:r>
        <w:rPr>
          <w:rFonts w:ascii="Arial" w:hAnsi="Arial" w:cs="Arial"/>
          <w:color w:val="000000"/>
        </w:rPr>
        <w:t>respiratory symptoms</w:t>
      </w:r>
      <w:r w:rsidR="00315074">
        <w:rPr>
          <w:rFonts w:ascii="Arial" w:hAnsi="Arial" w:cs="Arial"/>
          <w:color w:val="000000"/>
        </w:rPr>
        <w:t>,</w:t>
      </w:r>
      <w:r>
        <w:rPr>
          <w:rFonts w:ascii="Arial" w:hAnsi="Arial" w:cs="Arial"/>
          <w:color w:val="000000"/>
        </w:rPr>
        <w:t xml:space="preserve"> presumptively treated for pulmonary tuberculosis; there was a history of traditional medicine use and treatment for malaria at 16 weeks gestation.</w:t>
      </w:r>
      <w:r w:rsidR="009219E9">
        <w:rPr>
          <w:rFonts w:ascii="Arial" w:hAnsi="Arial" w:cs="Arial"/>
          <w:color w:val="000000"/>
        </w:rPr>
        <w:t xml:space="preserve"> All four cases were considered unlikely to be related to maternal </w:t>
      </w:r>
      <w:r w:rsidR="001A3165">
        <w:rPr>
          <w:rFonts w:ascii="Arial" w:hAnsi="Arial" w:cs="Arial"/>
          <w:color w:val="000000"/>
        </w:rPr>
        <w:t xml:space="preserve">antiretrovirals </w:t>
      </w:r>
      <w:r w:rsidR="0093092C">
        <w:rPr>
          <w:rFonts w:ascii="Arial" w:hAnsi="Arial" w:cs="Arial"/>
          <w:color w:val="000000"/>
        </w:rPr>
        <w:t>or</w:t>
      </w:r>
      <w:r w:rsidR="009219E9">
        <w:rPr>
          <w:rFonts w:ascii="Arial" w:hAnsi="Arial" w:cs="Arial"/>
          <w:color w:val="000000"/>
        </w:rPr>
        <w:t xml:space="preserve"> IRIS.</w:t>
      </w:r>
    </w:p>
    <w:p w14:paraId="4D274BC6" w14:textId="7792D540" w:rsidR="00654FCD" w:rsidRDefault="00654FCD" w:rsidP="00A67253">
      <w:pPr>
        <w:spacing w:line="360" w:lineRule="auto"/>
        <w:jc w:val="both"/>
        <w:rPr>
          <w:rFonts w:ascii="Arial" w:hAnsi="Arial" w:cs="Arial"/>
          <w:color w:val="000000"/>
        </w:rPr>
      </w:pPr>
    </w:p>
    <w:p w14:paraId="6AD294DB" w14:textId="77777777" w:rsidR="00435046" w:rsidRDefault="00435046" w:rsidP="00A67253">
      <w:pPr>
        <w:spacing w:line="360" w:lineRule="auto"/>
        <w:jc w:val="both"/>
        <w:rPr>
          <w:rFonts w:ascii="Arial" w:hAnsi="Arial" w:cs="Arial"/>
          <w:color w:val="000000"/>
        </w:rPr>
      </w:pPr>
    </w:p>
    <w:p w14:paraId="1A374583" w14:textId="13ADF9E8" w:rsidR="00435046" w:rsidRPr="00435046" w:rsidRDefault="00435046" w:rsidP="00A67253">
      <w:pPr>
        <w:spacing w:line="360" w:lineRule="auto"/>
        <w:jc w:val="both"/>
        <w:rPr>
          <w:rFonts w:ascii="Arial" w:hAnsi="Arial" w:cs="Arial"/>
          <w:color w:val="000000"/>
          <w:u w:val="single"/>
        </w:rPr>
      </w:pPr>
      <w:r w:rsidRPr="00435046">
        <w:rPr>
          <w:rFonts w:ascii="Arial" w:hAnsi="Arial" w:cs="Arial"/>
          <w:color w:val="000000"/>
          <w:u w:val="single"/>
        </w:rPr>
        <w:t>Infant</w:t>
      </w:r>
    </w:p>
    <w:p w14:paraId="6D424D66" w14:textId="7DE3AB2F" w:rsidR="009219E9" w:rsidRDefault="009252EA" w:rsidP="00A67253">
      <w:pPr>
        <w:spacing w:line="360" w:lineRule="auto"/>
        <w:jc w:val="both"/>
        <w:rPr>
          <w:rFonts w:ascii="Arial" w:hAnsi="Arial" w:cs="Arial"/>
          <w:color w:val="000000"/>
        </w:rPr>
      </w:pPr>
      <w:r w:rsidRPr="00104214">
        <w:rPr>
          <w:rFonts w:ascii="Arial" w:hAnsi="Arial" w:cs="Arial"/>
          <w:color w:val="000000"/>
        </w:rPr>
        <w:t xml:space="preserve">A total of </w:t>
      </w:r>
      <w:r w:rsidR="009219E9">
        <w:rPr>
          <w:rFonts w:ascii="Arial" w:hAnsi="Arial" w:cs="Arial"/>
          <w:color w:val="000000"/>
        </w:rPr>
        <w:t>242 evaluable</w:t>
      </w:r>
      <w:r w:rsidRPr="00104214">
        <w:rPr>
          <w:rFonts w:ascii="Arial" w:hAnsi="Arial" w:cs="Arial"/>
          <w:color w:val="000000"/>
        </w:rPr>
        <w:t xml:space="preserve"> live births </w:t>
      </w:r>
      <w:r w:rsidR="009219E9">
        <w:rPr>
          <w:rFonts w:ascii="Arial" w:hAnsi="Arial" w:cs="Arial"/>
          <w:color w:val="000000"/>
        </w:rPr>
        <w:t>(</w:t>
      </w:r>
      <w:r w:rsidR="002229C4">
        <w:rPr>
          <w:rFonts w:ascii="Arial" w:hAnsi="Arial" w:cs="Arial"/>
          <w:color w:val="000000"/>
        </w:rPr>
        <w:t>dolutegravir</w:t>
      </w:r>
      <w:r w:rsidR="009219E9">
        <w:rPr>
          <w:rFonts w:ascii="Arial" w:hAnsi="Arial" w:cs="Arial"/>
          <w:color w:val="000000"/>
        </w:rPr>
        <w:t xml:space="preserve"> 123, </w:t>
      </w:r>
      <w:r w:rsidR="002229C4">
        <w:rPr>
          <w:rFonts w:ascii="Arial" w:hAnsi="Arial" w:cs="Arial"/>
          <w:color w:val="000000"/>
        </w:rPr>
        <w:t>efavirenz</w:t>
      </w:r>
      <w:r w:rsidR="009219E9">
        <w:rPr>
          <w:rFonts w:ascii="Arial" w:hAnsi="Arial" w:cs="Arial"/>
          <w:color w:val="000000"/>
        </w:rPr>
        <w:t xml:space="preserve"> 119)</w:t>
      </w:r>
      <w:r w:rsidRPr="00104214">
        <w:rPr>
          <w:rFonts w:ascii="Arial" w:hAnsi="Arial" w:cs="Arial"/>
          <w:color w:val="000000"/>
        </w:rPr>
        <w:t xml:space="preserve"> were </w:t>
      </w:r>
      <w:r w:rsidR="009219E9">
        <w:rPr>
          <w:rFonts w:ascii="Arial" w:hAnsi="Arial" w:cs="Arial"/>
          <w:color w:val="000000"/>
        </w:rPr>
        <w:t>assessed</w:t>
      </w:r>
      <w:r w:rsidR="00435046">
        <w:rPr>
          <w:rFonts w:ascii="Arial" w:hAnsi="Arial" w:cs="Arial"/>
          <w:color w:val="000000"/>
        </w:rPr>
        <w:t xml:space="preserve">, with a </w:t>
      </w:r>
      <w:r w:rsidR="00435046" w:rsidRPr="00DE217E">
        <w:rPr>
          <w:rFonts w:ascii="Arial" w:hAnsi="Arial" w:cs="Arial"/>
          <w:color w:val="000000"/>
        </w:rPr>
        <w:t xml:space="preserve">median gestation at delivery of </w:t>
      </w:r>
      <w:r w:rsidR="001E4EEF" w:rsidRPr="00DE217E">
        <w:rPr>
          <w:rFonts w:ascii="Arial" w:hAnsi="Arial" w:cs="Arial"/>
          <w:color w:val="000000"/>
        </w:rPr>
        <w:t>39</w:t>
      </w:r>
      <w:r w:rsidR="00435046" w:rsidRPr="00DE217E">
        <w:rPr>
          <w:rFonts w:ascii="Arial" w:hAnsi="Arial" w:cs="Arial"/>
          <w:color w:val="000000"/>
        </w:rPr>
        <w:t xml:space="preserve"> weeks</w:t>
      </w:r>
      <w:r w:rsidR="00E97EB9" w:rsidRPr="00DE217E">
        <w:rPr>
          <w:rFonts w:ascii="Arial" w:hAnsi="Arial" w:cs="Arial"/>
          <w:color w:val="000000"/>
        </w:rPr>
        <w:t xml:space="preserve"> for both arms, and no significant difference in pre-term and </w:t>
      </w:r>
      <w:r w:rsidR="00002ECE" w:rsidRPr="00DE217E">
        <w:rPr>
          <w:rFonts w:ascii="Arial" w:hAnsi="Arial" w:cs="Arial"/>
          <w:color w:val="000000"/>
        </w:rPr>
        <w:t>premature</w:t>
      </w:r>
      <w:r w:rsidR="00E97EB9" w:rsidRPr="00DE217E">
        <w:rPr>
          <w:rFonts w:ascii="Arial" w:hAnsi="Arial" w:cs="Arial"/>
          <w:color w:val="000000"/>
        </w:rPr>
        <w:t xml:space="preserve"> </w:t>
      </w:r>
      <w:r w:rsidR="0093092C" w:rsidRPr="00DE217E">
        <w:rPr>
          <w:rFonts w:ascii="Arial" w:hAnsi="Arial" w:cs="Arial"/>
          <w:color w:val="000000"/>
        </w:rPr>
        <w:t xml:space="preserve">deliveries </w:t>
      </w:r>
      <w:r w:rsidR="00E97EB9" w:rsidRPr="00DE217E">
        <w:rPr>
          <w:rFonts w:ascii="Arial" w:hAnsi="Arial" w:cs="Arial"/>
          <w:color w:val="000000"/>
        </w:rPr>
        <w:t>(Table 3)</w:t>
      </w:r>
      <w:r w:rsidR="00662453" w:rsidRPr="001E4EEF">
        <w:rPr>
          <w:rFonts w:ascii="Arial" w:hAnsi="Arial" w:cs="Arial"/>
          <w:color w:val="000000"/>
        </w:rPr>
        <w:t>,</w:t>
      </w:r>
      <w:r w:rsidR="005F1CD5">
        <w:rPr>
          <w:rFonts w:ascii="Arial" w:hAnsi="Arial" w:cs="Arial"/>
          <w:color w:val="000000"/>
        </w:rPr>
        <w:t xml:space="preserve"> </w:t>
      </w:r>
      <w:r w:rsidR="00E97EB9">
        <w:rPr>
          <w:rFonts w:ascii="Arial" w:hAnsi="Arial" w:cs="Arial"/>
          <w:color w:val="000000"/>
        </w:rPr>
        <w:t>frequency of SAEs</w:t>
      </w:r>
      <w:r w:rsidR="002254B2">
        <w:rPr>
          <w:rFonts w:ascii="Arial" w:hAnsi="Arial" w:cs="Arial"/>
          <w:color w:val="000000"/>
        </w:rPr>
        <w:t>, or infant birthweights between arms</w:t>
      </w:r>
      <w:r w:rsidR="00E97EB9">
        <w:rPr>
          <w:rFonts w:ascii="Arial" w:hAnsi="Arial" w:cs="Arial"/>
          <w:color w:val="000000"/>
        </w:rPr>
        <w:t xml:space="preserve">.  </w:t>
      </w:r>
      <w:r w:rsidR="00626FB4">
        <w:rPr>
          <w:rFonts w:ascii="Arial" w:hAnsi="Arial" w:cs="Arial"/>
          <w:color w:val="000000"/>
        </w:rPr>
        <w:t xml:space="preserve">Six </w:t>
      </w:r>
      <w:r w:rsidR="002919C3">
        <w:rPr>
          <w:rFonts w:ascii="Arial" w:hAnsi="Arial" w:cs="Arial"/>
          <w:color w:val="000000"/>
        </w:rPr>
        <w:t>infant deaths (</w:t>
      </w:r>
      <w:r w:rsidR="002229C4">
        <w:rPr>
          <w:rFonts w:ascii="Arial" w:hAnsi="Arial" w:cs="Arial"/>
          <w:color w:val="000000"/>
        </w:rPr>
        <w:t>dolutegravir</w:t>
      </w:r>
      <w:r w:rsidR="002919C3">
        <w:rPr>
          <w:rFonts w:ascii="Arial" w:hAnsi="Arial" w:cs="Arial"/>
          <w:color w:val="000000"/>
        </w:rPr>
        <w:t>-</w:t>
      </w:r>
      <w:r w:rsidR="00626FB4">
        <w:rPr>
          <w:rFonts w:ascii="Arial" w:hAnsi="Arial" w:cs="Arial"/>
          <w:color w:val="000000"/>
        </w:rPr>
        <w:t>4</w:t>
      </w:r>
      <w:r w:rsidR="002919C3">
        <w:rPr>
          <w:rFonts w:ascii="Arial" w:hAnsi="Arial" w:cs="Arial"/>
          <w:color w:val="000000"/>
        </w:rPr>
        <w:t xml:space="preserve">, </w:t>
      </w:r>
      <w:r w:rsidR="002229C4">
        <w:rPr>
          <w:rFonts w:ascii="Arial" w:hAnsi="Arial" w:cs="Arial"/>
          <w:color w:val="000000"/>
        </w:rPr>
        <w:t>efavirenz</w:t>
      </w:r>
      <w:r w:rsidR="002919C3">
        <w:rPr>
          <w:rFonts w:ascii="Arial" w:hAnsi="Arial" w:cs="Arial"/>
          <w:color w:val="000000"/>
        </w:rPr>
        <w:t>-</w:t>
      </w:r>
      <w:r w:rsidR="00626FB4">
        <w:rPr>
          <w:rFonts w:ascii="Arial" w:hAnsi="Arial" w:cs="Arial"/>
          <w:color w:val="000000"/>
        </w:rPr>
        <w:t>2</w:t>
      </w:r>
      <w:r w:rsidR="002919C3">
        <w:rPr>
          <w:rFonts w:ascii="Arial" w:hAnsi="Arial" w:cs="Arial"/>
          <w:color w:val="000000"/>
        </w:rPr>
        <w:t>) were reported</w:t>
      </w:r>
      <w:r w:rsidR="00CA70A8">
        <w:rPr>
          <w:rFonts w:ascii="Arial" w:hAnsi="Arial" w:cs="Arial"/>
          <w:color w:val="000000"/>
        </w:rPr>
        <w:t xml:space="preserve"> (</w:t>
      </w:r>
      <w:r w:rsidR="008564FC">
        <w:rPr>
          <w:rFonts w:ascii="Arial" w:hAnsi="Arial" w:cs="Arial"/>
          <w:color w:val="000000"/>
        </w:rPr>
        <w:t xml:space="preserve">Table </w:t>
      </w:r>
      <w:r w:rsidR="00AB507B">
        <w:rPr>
          <w:rFonts w:ascii="Arial" w:hAnsi="Arial" w:cs="Arial"/>
          <w:color w:val="000000"/>
        </w:rPr>
        <w:t>S</w:t>
      </w:r>
      <w:r w:rsidR="00D10D28">
        <w:rPr>
          <w:rFonts w:ascii="Arial" w:hAnsi="Arial" w:cs="Arial"/>
          <w:color w:val="000000"/>
        </w:rPr>
        <w:t>4</w:t>
      </w:r>
      <w:r w:rsidR="00392911">
        <w:rPr>
          <w:rFonts w:ascii="Arial" w:hAnsi="Arial" w:cs="Arial"/>
          <w:color w:val="000000"/>
        </w:rPr>
        <w:t xml:space="preserve"> p6</w:t>
      </w:r>
      <w:r w:rsidR="00CA70A8">
        <w:rPr>
          <w:rFonts w:ascii="Arial" w:hAnsi="Arial" w:cs="Arial"/>
          <w:color w:val="000000"/>
        </w:rPr>
        <w:t>)</w:t>
      </w:r>
      <w:r w:rsidR="002919C3">
        <w:rPr>
          <w:rFonts w:ascii="Arial" w:hAnsi="Arial" w:cs="Arial"/>
          <w:color w:val="000000"/>
        </w:rPr>
        <w:t xml:space="preserve">. </w:t>
      </w:r>
      <w:r w:rsidR="00B32D81">
        <w:rPr>
          <w:rFonts w:ascii="Arial" w:hAnsi="Arial" w:cs="Arial"/>
          <w:color w:val="000000"/>
        </w:rPr>
        <w:t>Two deaths were related to extreme prematurity (a 1</w:t>
      </w:r>
      <w:r w:rsidR="00BB7BC7">
        <w:rPr>
          <w:rFonts w:ascii="Arial" w:hAnsi="Arial" w:cs="Arial"/>
          <w:color w:val="000000"/>
        </w:rPr>
        <w:t>-</w:t>
      </w:r>
      <w:r w:rsidR="00B32D81">
        <w:rPr>
          <w:rFonts w:ascii="Arial" w:hAnsi="Arial" w:cs="Arial"/>
          <w:color w:val="000000"/>
        </w:rPr>
        <w:t>day old twin born at 28</w:t>
      </w:r>
      <w:r w:rsidR="00E97EB9">
        <w:rPr>
          <w:rFonts w:ascii="Arial" w:hAnsi="Arial" w:cs="Arial"/>
          <w:color w:val="000000"/>
        </w:rPr>
        <w:t xml:space="preserve"> </w:t>
      </w:r>
      <w:r w:rsidR="00B32D81">
        <w:rPr>
          <w:rFonts w:ascii="Arial" w:hAnsi="Arial" w:cs="Arial"/>
          <w:color w:val="000000"/>
        </w:rPr>
        <w:t>w</w:t>
      </w:r>
      <w:r w:rsidR="00E97EB9">
        <w:rPr>
          <w:rFonts w:ascii="Arial" w:hAnsi="Arial" w:cs="Arial"/>
          <w:color w:val="000000"/>
        </w:rPr>
        <w:t>eeks</w:t>
      </w:r>
      <w:r w:rsidR="00B32D81">
        <w:rPr>
          <w:rFonts w:ascii="Arial" w:hAnsi="Arial" w:cs="Arial"/>
          <w:color w:val="000000"/>
        </w:rPr>
        <w:t xml:space="preserve"> gestation in the </w:t>
      </w:r>
      <w:r w:rsidR="002229C4">
        <w:rPr>
          <w:rFonts w:ascii="Arial" w:hAnsi="Arial" w:cs="Arial"/>
          <w:color w:val="000000"/>
        </w:rPr>
        <w:t>efavirenz</w:t>
      </w:r>
      <w:r w:rsidR="00B32D81">
        <w:rPr>
          <w:rFonts w:ascii="Arial" w:hAnsi="Arial" w:cs="Arial"/>
          <w:color w:val="000000"/>
        </w:rPr>
        <w:t xml:space="preserve"> arm, and a 19</w:t>
      </w:r>
      <w:r w:rsidR="00BB7BC7">
        <w:rPr>
          <w:rFonts w:ascii="Arial" w:hAnsi="Arial" w:cs="Arial"/>
          <w:color w:val="000000"/>
        </w:rPr>
        <w:t>-</w:t>
      </w:r>
      <w:r w:rsidR="00B32D81">
        <w:rPr>
          <w:rFonts w:ascii="Arial" w:hAnsi="Arial" w:cs="Arial"/>
          <w:color w:val="000000"/>
        </w:rPr>
        <w:t xml:space="preserve">day </w:t>
      </w:r>
      <w:r w:rsidR="00B32D81">
        <w:rPr>
          <w:rFonts w:ascii="Arial" w:hAnsi="Arial" w:cs="Arial"/>
          <w:color w:val="000000"/>
        </w:rPr>
        <w:lastRenderedPageBreak/>
        <w:t>old infant born at 32</w:t>
      </w:r>
      <w:r w:rsidR="00E97EB9">
        <w:rPr>
          <w:rFonts w:ascii="Arial" w:hAnsi="Arial" w:cs="Arial"/>
          <w:color w:val="000000"/>
        </w:rPr>
        <w:t xml:space="preserve"> </w:t>
      </w:r>
      <w:r w:rsidR="00B32D81">
        <w:rPr>
          <w:rFonts w:ascii="Arial" w:hAnsi="Arial" w:cs="Arial"/>
          <w:color w:val="000000"/>
        </w:rPr>
        <w:t>w</w:t>
      </w:r>
      <w:r w:rsidR="00E97EB9">
        <w:rPr>
          <w:rFonts w:ascii="Arial" w:hAnsi="Arial" w:cs="Arial"/>
          <w:color w:val="000000"/>
        </w:rPr>
        <w:t>eeks</w:t>
      </w:r>
      <w:r w:rsidR="00B32D81">
        <w:rPr>
          <w:rFonts w:ascii="Arial" w:hAnsi="Arial" w:cs="Arial"/>
          <w:color w:val="000000"/>
        </w:rPr>
        <w:t xml:space="preserve"> gestation in the </w:t>
      </w:r>
      <w:r w:rsidR="002229C4">
        <w:rPr>
          <w:rFonts w:ascii="Arial" w:hAnsi="Arial" w:cs="Arial"/>
          <w:color w:val="000000"/>
        </w:rPr>
        <w:t>dolutegravir</w:t>
      </w:r>
      <w:r w:rsidR="00B32D81">
        <w:rPr>
          <w:rFonts w:ascii="Arial" w:hAnsi="Arial" w:cs="Arial"/>
          <w:color w:val="000000"/>
        </w:rPr>
        <w:t xml:space="preserve"> arm, whose </w:t>
      </w:r>
      <w:r w:rsidR="002F72A9">
        <w:rPr>
          <w:rFonts w:ascii="Arial" w:hAnsi="Arial" w:cs="Arial"/>
          <w:color w:val="000000"/>
        </w:rPr>
        <w:t>mother suffered an antepartum h</w:t>
      </w:r>
      <w:r w:rsidR="00B32D81">
        <w:rPr>
          <w:rFonts w:ascii="Arial" w:hAnsi="Arial" w:cs="Arial"/>
          <w:color w:val="000000"/>
        </w:rPr>
        <w:t xml:space="preserve">emorrhage). A further four deaths were related to respiratory distress or asphyxia: </w:t>
      </w:r>
      <w:r w:rsidR="00C5299D">
        <w:rPr>
          <w:rFonts w:ascii="Arial" w:hAnsi="Arial" w:cs="Arial"/>
          <w:color w:val="000000"/>
        </w:rPr>
        <w:t xml:space="preserve">three </w:t>
      </w:r>
      <w:r w:rsidR="00B32D81">
        <w:rPr>
          <w:rFonts w:ascii="Arial" w:hAnsi="Arial" w:cs="Arial"/>
          <w:color w:val="000000"/>
        </w:rPr>
        <w:t xml:space="preserve">in the </w:t>
      </w:r>
      <w:r w:rsidR="002229C4">
        <w:rPr>
          <w:rFonts w:ascii="Arial" w:hAnsi="Arial" w:cs="Arial"/>
          <w:color w:val="000000"/>
        </w:rPr>
        <w:t>dolutegravir</w:t>
      </w:r>
      <w:r w:rsidR="00B32D81">
        <w:rPr>
          <w:rFonts w:ascii="Arial" w:hAnsi="Arial" w:cs="Arial"/>
          <w:color w:val="000000"/>
        </w:rPr>
        <w:t xml:space="preserve"> arm (aged 2</w:t>
      </w:r>
      <w:r w:rsidR="00B97BA5">
        <w:rPr>
          <w:rFonts w:ascii="Arial" w:hAnsi="Arial" w:cs="Arial"/>
          <w:color w:val="000000"/>
        </w:rPr>
        <w:t>,</w:t>
      </w:r>
      <w:r w:rsidR="00B32D81">
        <w:rPr>
          <w:rFonts w:ascii="Arial" w:hAnsi="Arial" w:cs="Arial"/>
          <w:color w:val="000000"/>
        </w:rPr>
        <w:t xml:space="preserve"> 47</w:t>
      </w:r>
      <w:r w:rsidR="00C5299D">
        <w:rPr>
          <w:rFonts w:ascii="Arial" w:hAnsi="Arial" w:cs="Arial"/>
          <w:color w:val="000000"/>
        </w:rPr>
        <w:t xml:space="preserve"> and 88</w:t>
      </w:r>
      <w:r w:rsidR="00B32D81">
        <w:rPr>
          <w:rFonts w:ascii="Arial" w:hAnsi="Arial" w:cs="Arial"/>
          <w:color w:val="000000"/>
        </w:rPr>
        <w:t xml:space="preserve"> days</w:t>
      </w:r>
      <w:r w:rsidR="00E97EB9">
        <w:rPr>
          <w:rFonts w:ascii="Arial" w:hAnsi="Arial" w:cs="Arial"/>
          <w:color w:val="000000"/>
        </w:rPr>
        <w:t xml:space="preserve">, </w:t>
      </w:r>
      <w:r w:rsidR="008A663A">
        <w:rPr>
          <w:rFonts w:ascii="Arial" w:hAnsi="Arial" w:cs="Arial"/>
          <w:color w:val="000000"/>
        </w:rPr>
        <w:t>full term</w:t>
      </w:r>
      <w:r w:rsidR="00B32D81">
        <w:rPr>
          <w:rFonts w:ascii="Arial" w:hAnsi="Arial" w:cs="Arial"/>
          <w:color w:val="000000"/>
        </w:rPr>
        <w:t xml:space="preserve">), one in the </w:t>
      </w:r>
      <w:r w:rsidR="002229C4">
        <w:rPr>
          <w:rFonts w:ascii="Arial" w:hAnsi="Arial" w:cs="Arial"/>
          <w:color w:val="000000"/>
        </w:rPr>
        <w:t>efavirenz</w:t>
      </w:r>
      <w:r w:rsidR="00B32D81">
        <w:rPr>
          <w:rFonts w:ascii="Arial" w:hAnsi="Arial" w:cs="Arial"/>
          <w:color w:val="000000"/>
        </w:rPr>
        <w:t xml:space="preserve"> arm (aged 14 days, born at 35</w:t>
      </w:r>
      <w:r w:rsidR="00E97EB9">
        <w:rPr>
          <w:rFonts w:ascii="Arial" w:hAnsi="Arial" w:cs="Arial"/>
          <w:color w:val="000000"/>
        </w:rPr>
        <w:t xml:space="preserve"> </w:t>
      </w:r>
      <w:r w:rsidR="00B32D81">
        <w:rPr>
          <w:rFonts w:ascii="Arial" w:hAnsi="Arial" w:cs="Arial"/>
          <w:color w:val="000000"/>
        </w:rPr>
        <w:t>w</w:t>
      </w:r>
      <w:r w:rsidR="00E97EB9">
        <w:rPr>
          <w:rFonts w:ascii="Arial" w:hAnsi="Arial" w:cs="Arial"/>
          <w:color w:val="000000"/>
        </w:rPr>
        <w:t>eeks</w:t>
      </w:r>
      <w:r w:rsidR="00B32D81">
        <w:rPr>
          <w:rFonts w:ascii="Arial" w:hAnsi="Arial" w:cs="Arial"/>
          <w:color w:val="000000"/>
        </w:rPr>
        <w:t xml:space="preserve"> gestation)</w:t>
      </w:r>
      <w:r w:rsidR="002F72A9">
        <w:rPr>
          <w:rFonts w:ascii="Arial" w:hAnsi="Arial" w:cs="Arial"/>
          <w:color w:val="000000"/>
        </w:rPr>
        <w:t xml:space="preserve">. </w:t>
      </w:r>
    </w:p>
    <w:p w14:paraId="5301536B" w14:textId="77777777" w:rsidR="009219E9" w:rsidRDefault="009219E9" w:rsidP="00A67253">
      <w:pPr>
        <w:spacing w:line="360" w:lineRule="auto"/>
        <w:jc w:val="both"/>
        <w:rPr>
          <w:rFonts w:ascii="Arial" w:hAnsi="Arial" w:cs="Arial"/>
          <w:color w:val="000000"/>
        </w:rPr>
      </w:pPr>
    </w:p>
    <w:p w14:paraId="62F6A7AA" w14:textId="00E5F070" w:rsidR="00322395" w:rsidRDefault="00BB7BC7" w:rsidP="00F60F29">
      <w:pPr>
        <w:spacing w:line="360" w:lineRule="auto"/>
        <w:jc w:val="both"/>
        <w:rPr>
          <w:rFonts w:ascii="Arial" w:hAnsi="Arial" w:cs="Arial"/>
          <w:color w:val="000000"/>
        </w:rPr>
      </w:pPr>
      <w:r>
        <w:rPr>
          <w:rFonts w:ascii="Arial" w:hAnsi="Arial" w:cs="Arial"/>
          <w:color w:val="000000"/>
        </w:rPr>
        <w:t xml:space="preserve">Congenital </w:t>
      </w:r>
      <w:r w:rsidR="00B94B57">
        <w:rPr>
          <w:rFonts w:ascii="Arial" w:hAnsi="Arial" w:cs="Arial"/>
          <w:color w:val="000000"/>
        </w:rPr>
        <w:t xml:space="preserve">disorders </w:t>
      </w:r>
      <w:r w:rsidR="00CA70A8">
        <w:rPr>
          <w:rFonts w:ascii="Arial" w:hAnsi="Arial" w:cs="Arial"/>
          <w:color w:val="000000"/>
        </w:rPr>
        <w:t>(</w:t>
      </w:r>
      <w:r w:rsidR="008564FC">
        <w:rPr>
          <w:rFonts w:ascii="Arial" w:hAnsi="Arial" w:cs="Arial"/>
          <w:color w:val="000000"/>
        </w:rPr>
        <w:t xml:space="preserve">Table </w:t>
      </w:r>
      <w:r w:rsidR="00AB507B">
        <w:rPr>
          <w:rFonts w:ascii="Arial" w:hAnsi="Arial" w:cs="Arial"/>
          <w:color w:val="000000"/>
        </w:rPr>
        <w:t>S</w:t>
      </w:r>
      <w:r w:rsidR="00D10D28">
        <w:rPr>
          <w:rFonts w:ascii="Arial" w:hAnsi="Arial" w:cs="Arial"/>
          <w:color w:val="000000"/>
        </w:rPr>
        <w:t>3</w:t>
      </w:r>
      <w:r w:rsidR="002229C4">
        <w:rPr>
          <w:rFonts w:ascii="Arial" w:hAnsi="Arial" w:cs="Arial"/>
          <w:color w:val="000000"/>
        </w:rPr>
        <w:t xml:space="preserve"> p4-5</w:t>
      </w:r>
      <w:r w:rsidR="00CA70A8">
        <w:rPr>
          <w:rFonts w:ascii="Arial" w:hAnsi="Arial" w:cs="Arial"/>
          <w:color w:val="000000"/>
        </w:rPr>
        <w:t>)</w:t>
      </w:r>
      <w:r w:rsidR="00A2665B">
        <w:rPr>
          <w:rFonts w:ascii="Arial" w:hAnsi="Arial" w:cs="Arial"/>
          <w:color w:val="000000"/>
        </w:rPr>
        <w:t xml:space="preserve"> also </w:t>
      </w:r>
      <w:r w:rsidR="00CA70A8">
        <w:rPr>
          <w:rFonts w:ascii="Arial" w:hAnsi="Arial" w:cs="Arial"/>
          <w:color w:val="000000"/>
        </w:rPr>
        <w:t xml:space="preserve">did </w:t>
      </w:r>
      <w:r w:rsidR="00A2665B">
        <w:rPr>
          <w:rFonts w:ascii="Arial" w:hAnsi="Arial" w:cs="Arial"/>
          <w:color w:val="000000"/>
        </w:rPr>
        <w:t>not differ between arms, and comprised (</w:t>
      </w:r>
      <w:r w:rsidR="002229C4">
        <w:rPr>
          <w:rFonts w:ascii="Arial" w:hAnsi="Arial" w:cs="Arial"/>
          <w:color w:val="000000"/>
        </w:rPr>
        <w:t>dolutegravir</w:t>
      </w:r>
      <w:r w:rsidR="00A2665B">
        <w:rPr>
          <w:rFonts w:ascii="Arial" w:hAnsi="Arial" w:cs="Arial"/>
          <w:color w:val="000000"/>
        </w:rPr>
        <w:t xml:space="preserve"> vs </w:t>
      </w:r>
      <w:r w:rsidR="002229C4">
        <w:rPr>
          <w:rFonts w:ascii="Arial" w:hAnsi="Arial" w:cs="Arial"/>
          <w:color w:val="000000"/>
        </w:rPr>
        <w:t>efavirenz</w:t>
      </w:r>
      <w:r w:rsidR="00A2665B">
        <w:rPr>
          <w:rFonts w:ascii="Arial" w:hAnsi="Arial" w:cs="Arial"/>
          <w:color w:val="000000"/>
        </w:rPr>
        <w:t xml:space="preserve">): </w:t>
      </w:r>
      <w:r>
        <w:rPr>
          <w:rFonts w:ascii="Arial" w:hAnsi="Arial" w:cs="Arial"/>
          <w:color w:val="000000"/>
        </w:rPr>
        <w:t xml:space="preserve">umbilical hernias </w:t>
      </w:r>
      <w:r w:rsidR="00A2665B">
        <w:rPr>
          <w:rFonts w:ascii="Arial" w:hAnsi="Arial" w:cs="Arial"/>
          <w:color w:val="000000"/>
        </w:rPr>
        <w:t>(</w:t>
      </w:r>
      <w:r w:rsidR="00D10D28">
        <w:rPr>
          <w:rFonts w:ascii="Arial" w:hAnsi="Arial" w:cs="Arial"/>
          <w:color w:val="000000"/>
        </w:rPr>
        <w:t>37/124 (</w:t>
      </w:r>
      <w:r w:rsidR="00B94B57">
        <w:rPr>
          <w:rFonts w:ascii="Arial" w:hAnsi="Arial" w:cs="Arial"/>
          <w:color w:val="000000"/>
        </w:rPr>
        <w:t>29</w:t>
      </w:r>
      <w:r w:rsidR="009F7192">
        <w:rPr>
          <w:rFonts w:ascii="Arial" w:hAnsi="Arial" w:cs="Arial"/>
        </w:rPr>
        <w:t>·</w:t>
      </w:r>
      <w:r w:rsidR="00B94B57">
        <w:rPr>
          <w:rFonts w:ascii="Arial" w:hAnsi="Arial" w:cs="Arial"/>
          <w:color w:val="000000"/>
        </w:rPr>
        <w:t>8</w:t>
      </w:r>
      <w:r w:rsidR="001A4941">
        <w:rPr>
          <w:rFonts w:ascii="Arial" w:hAnsi="Arial" w:cs="Arial"/>
          <w:color w:val="000000"/>
        </w:rPr>
        <w:t>%</w:t>
      </w:r>
      <w:r w:rsidR="00D10D28">
        <w:rPr>
          <w:rFonts w:ascii="Arial" w:hAnsi="Arial" w:cs="Arial"/>
          <w:color w:val="000000"/>
        </w:rPr>
        <w:t>)</w:t>
      </w:r>
      <w:r w:rsidR="001A4941">
        <w:rPr>
          <w:rFonts w:ascii="Arial" w:hAnsi="Arial" w:cs="Arial"/>
          <w:color w:val="000000"/>
        </w:rPr>
        <w:t xml:space="preserve"> </w:t>
      </w:r>
      <w:r w:rsidR="00A2665B">
        <w:rPr>
          <w:rFonts w:ascii="Arial" w:hAnsi="Arial" w:cs="Arial"/>
          <w:color w:val="000000"/>
        </w:rPr>
        <w:t xml:space="preserve">vs </w:t>
      </w:r>
      <w:r w:rsidR="00D10D28">
        <w:rPr>
          <w:rFonts w:ascii="Arial" w:hAnsi="Arial" w:cs="Arial"/>
          <w:color w:val="000000"/>
        </w:rPr>
        <w:t>41/120 (</w:t>
      </w:r>
      <w:r w:rsidR="001A4941">
        <w:rPr>
          <w:rFonts w:ascii="Arial" w:hAnsi="Arial" w:cs="Arial"/>
          <w:color w:val="000000"/>
        </w:rPr>
        <w:t>34</w:t>
      </w:r>
      <w:r w:rsidR="009F7192">
        <w:rPr>
          <w:rFonts w:ascii="Arial" w:hAnsi="Arial" w:cs="Arial"/>
        </w:rPr>
        <w:t>·</w:t>
      </w:r>
      <w:r w:rsidR="00B94B57">
        <w:rPr>
          <w:rFonts w:ascii="Arial" w:hAnsi="Arial" w:cs="Arial"/>
          <w:color w:val="000000"/>
        </w:rPr>
        <w:t>2</w:t>
      </w:r>
      <w:r w:rsidR="001A4941">
        <w:rPr>
          <w:rFonts w:ascii="Arial" w:hAnsi="Arial" w:cs="Arial"/>
          <w:color w:val="000000"/>
        </w:rPr>
        <w:t>%</w:t>
      </w:r>
      <w:r w:rsidR="00D10D28">
        <w:rPr>
          <w:rFonts w:ascii="Arial" w:hAnsi="Arial" w:cs="Arial"/>
          <w:color w:val="000000"/>
        </w:rPr>
        <w:t>)</w:t>
      </w:r>
      <w:r w:rsidR="00A2665B">
        <w:rPr>
          <w:rFonts w:ascii="Arial" w:hAnsi="Arial" w:cs="Arial"/>
          <w:color w:val="000000"/>
        </w:rPr>
        <w:t xml:space="preserve">), </w:t>
      </w:r>
      <w:r w:rsidR="001A4941">
        <w:rPr>
          <w:rFonts w:ascii="Arial" w:hAnsi="Arial" w:cs="Arial"/>
          <w:color w:val="000000"/>
        </w:rPr>
        <w:t>birth</w:t>
      </w:r>
      <w:r w:rsidR="00B94B57">
        <w:rPr>
          <w:rFonts w:ascii="Arial" w:hAnsi="Arial" w:cs="Arial"/>
          <w:color w:val="000000"/>
        </w:rPr>
        <w:t xml:space="preserve"> </w:t>
      </w:r>
      <w:r w:rsidR="001A4941">
        <w:rPr>
          <w:rFonts w:ascii="Arial" w:hAnsi="Arial" w:cs="Arial"/>
          <w:color w:val="000000"/>
        </w:rPr>
        <w:t xml:space="preserve">marks </w:t>
      </w:r>
      <w:r w:rsidR="00A2665B">
        <w:rPr>
          <w:rFonts w:ascii="Arial" w:hAnsi="Arial" w:cs="Arial"/>
          <w:color w:val="000000"/>
        </w:rPr>
        <w:t>(</w:t>
      </w:r>
      <w:r w:rsidR="00D10D28">
        <w:rPr>
          <w:rFonts w:ascii="Arial" w:hAnsi="Arial" w:cs="Arial"/>
          <w:color w:val="000000"/>
        </w:rPr>
        <w:t>21/124 (</w:t>
      </w:r>
      <w:r w:rsidR="001A4941">
        <w:rPr>
          <w:rFonts w:ascii="Arial" w:hAnsi="Arial" w:cs="Arial"/>
          <w:color w:val="000000"/>
        </w:rPr>
        <w:t>16</w:t>
      </w:r>
      <w:r w:rsidR="009F7192">
        <w:rPr>
          <w:rFonts w:ascii="Arial" w:hAnsi="Arial" w:cs="Arial"/>
        </w:rPr>
        <w:t>·</w:t>
      </w:r>
      <w:r w:rsidR="00B94B57">
        <w:rPr>
          <w:rFonts w:ascii="Arial" w:hAnsi="Arial" w:cs="Arial"/>
          <w:color w:val="000000"/>
        </w:rPr>
        <w:t>9</w:t>
      </w:r>
      <w:r w:rsidR="001A4941">
        <w:rPr>
          <w:rFonts w:ascii="Arial" w:hAnsi="Arial" w:cs="Arial"/>
          <w:color w:val="000000"/>
        </w:rPr>
        <w:t>%</w:t>
      </w:r>
      <w:r w:rsidR="00D10D28">
        <w:rPr>
          <w:rFonts w:ascii="Arial" w:hAnsi="Arial" w:cs="Arial"/>
          <w:color w:val="000000"/>
        </w:rPr>
        <w:t>)</w:t>
      </w:r>
      <w:r w:rsidR="001A4941">
        <w:rPr>
          <w:rFonts w:ascii="Arial" w:hAnsi="Arial" w:cs="Arial"/>
          <w:color w:val="000000"/>
        </w:rPr>
        <w:t xml:space="preserve"> </w:t>
      </w:r>
      <w:r w:rsidR="00A2665B">
        <w:rPr>
          <w:rFonts w:ascii="Arial" w:hAnsi="Arial" w:cs="Arial"/>
          <w:color w:val="000000"/>
        </w:rPr>
        <w:t xml:space="preserve">vs </w:t>
      </w:r>
      <w:r w:rsidR="00D10D28">
        <w:rPr>
          <w:rFonts w:ascii="Arial" w:hAnsi="Arial" w:cs="Arial"/>
          <w:color w:val="000000"/>
        </w:rPr>
        <w:t>21/120 (</w:t>
      </w:r>
      <w:r w:rsidR="001A4941">
        <w:rPr>
          <w:rFonts w:ascii="Arial" w:hAnsi="Arial" w:cs="Arial"/>
          <w:color w:val="000000"/>
        </w:rPr>
        <w:t>17</w:t>
      </w:r>
      <w:r w:rsidR="009F7192">
        <w:rPr>
          <w:rFonts w:ascii="Arial" w:hAnsi="Arial" w:cs="Arial"/>
        </w:rPr>
        <w:t>·</w:t>
      </w:r>
      <w:r w:rsidR="00B94B57">
        <w:rPr>
          <w:rFonts w:ascii="Arial" w:hAnsi="Arial" w:cs="Arial"/>
          <w:color w:val="000000"/>
        </w:rPr>
        <w:t>5</w:t>
      </w:r>
      <w:r w:rsidR="001A4941">
        <w:rPr>
          <w:rFonts w:ascii="Arial" w:hAnsi="Arial" w:cs="Arial"/>
          <w:color w:val="000000"/>
        </w:rPr>
        <w:t>%</w:t>
      </w:r>
      <w:r w:rsidR="00D10D28">
        <w:rPr>
          <w:rFonts w:ascii="Arial" w:hAnsi="Arial" w:cs="Arial"/>
          <w:color w:val="000000"/>
        </w:rPr>
        <w:t>)</w:t>
      </w:r>
      <w:r w:rsidR="00A2665B">
        <w:rPr>
          <w:rFonts w:ascii="Arial" w:hAnsi="Arial" w:cs="Arial"/>
          <w:color w:val="000000"/>
        </w:rPr>
        <w:t>)</w:t>
      </w:r>
      <w:r w:rsidR="00315074">
        <w:rPr>
          <w:rFonts w:ascii="Arial" w:hAnsi="Arial" w:cs="Arial"/>
          <w:color w:val="000000"/>
        </w:rPr>
        <w:t xml:space="preserve">, </w:t>
      </w:r>
      <w:r w:rsidR="00B94B57">
        <w:rPr>
          <w:rFonts w:ascii="Arial" w:hAnsi="Arial" w:cs="Arial"/>
          <w:color w:val="000000"/>
        </w:rPr>
        <w:t xml:space="preserve">skin </w:t>
      </w:r>
      <w:r w:rsidR="007D6F7E">
        <w:rPr>
          <w:rFonts w:ascii="Arial" w:hAnsi="Arial" w:cs="Arial"/>
          <w:color w:val="000000"/>
        </w:rPr>
        <w:t>dimple</w:t>
      </w:r>
      <w:r w:rsidR="00B94B57">
        <w:rPr>
          <w:rFonts w:ascii="Arial" w:hAnsi="Arial" w:cs="Arial"/>
          <w:color w:val="000000"/>
        </w:rPr>
        <w:t>s</w:t>
      </w:r>
      <w:r w:rsidR="007D6F7E">
        <w:rPr>
          <w:rFonts w:ascii="Arial" w:hAnsi="Arial" w:cs="Arial"/>
          <w:color w:val="000000"/>
        </w:rPr>
        <w:t xml:space="preserve"> (</w:t>
      </w:r>
      <w:r w:rsidR="002229C4">
        <w:rPr>
          <w:rFonts w:ascii="Arial" w:hAnsi="Arial" w:cs="Arial"/>
          <w:color w:val="000000"/>
        </w:rPr>
        <w:t>dolutegravir</w:t>
      </w:r>
      <w:r w:rsidR="007D6F7E">
        <w:rPr>
          <w:rFonts w:ascii="Arial" w:hAnsi="Arial" w:cs="Arial"/>
          <w:color w:val="000000"/>
        </w:rPr>
        <w:t xml:space="preserve">-3), acrochordon </w:t>
      </w:r>
      <w:r w:rsidR="00A83D04">
        <w:rPr>
          <w:rFonts w:ascii="Arial" w:hAnsi="Arial" w:cs="Arial"/>
          <w:color w:val="000000"/>
        </w:rPr>
        <w:t>(</w:t>
      </w:r>
      <w:r w:rsidR="002229C4">
        <w:rPr>
          <w:rFonts w:ascii="Arial" w:hAnsi="Arial" w:cs="Arial"/>
          <w:color w:val="000000"/>
        </w:rPr>
        <w:t>dolutegravir</w:t>
      </w:r>
      <w:r w:rsidR="007D6F7E">
        <w:rPr>
          <w:rFonts w:ascii="Arial" w:hAnsi="Arial" w:cs="Arial"/>
          <w:color w:val="000000"/>
        </w:rPr>
        <w:t xml:space="preserve">-2, </w:t>
      </w:r>
      <w:r w:rsidR="002229C4">
        <w:rPr>
          <w:rFonts w:ascii="Arial" w:hAnsi="Arial" w:cs="Arial"/>
          <w:color w:val="000000"/>
        </w:rPr>
        <w:t>efavirenz</w:t>
      </w:r>
      <w:r w:rsidR="007D6F7E">
        <w:rPr>
          <w:rFonts w:ascii="Arial" w:hAnsi="Arial" w:cs="Arial"/>
          <w:color w:val="000000"/>
        </w:rPr>
        <w:t xml:space="preserve">-3), </w:t>
      </w:r>
      <w:r w:rsidR="00B94B57">
        <w:rPr>
          <w:rFonts w:ascii="Arial" w:hAnsi="Arial" w:cs="Arial"/>
          <w:color w:val="000000"/>
          <w:lang w:val="en-GB"/>
        </w:rPr>
        <w:t>h</w:t>
      </w:r>
      <w:r w:rsidR="00B94B57" w:rsidRPr="00AC4DE7">
        <w:rPr>
          <w:rFonts w:ascii="Arial" w:hAnsi="Arial" w:cs="Arial"/>
          <w:color w:val="000000"/>
          <w:lang w:val="en-GB"/>
        </w:rPr>
        <w:t xml:space="preserve">eterochromia </w:t>
      </w:r>
      <w:r w:rsidR="001A4941" w:rsidRPr="00AC4DE7">
        <w:rPr>
          <w:rFonts w:ascii="Arial" w:hAnsi="Arial" w:cs="Arial"/>
          <w:color w:val="000000"/>
          <w:lang w:val="en-GB"/>
        </w:rPr>
        <w:t>iridis</w:t>
      </w:r>
      <w:r w:rsidR="001A4941">
        <w:rPr>
          <w:rFonts w:ascii="Arial" w:hAnsi="Arial" w:cs="Arial"/>
          <w:color w:val="000000"/>
        </w:rPr>
        <w:t xml:space="preserve"> </w:t>
      </w:r>
      <w:r w:rsidR="007D6F7E">
        <w:rPr>
          <w:rFonts w:ascii="Arial" w:hAnsi="Arial" w:cs="Arial"/>
          <w:color w:val="000000"/>
        </w:rPr>
        <w:t>(</w:t>
      </w:r>
      <w:r w:rsidR="002229C4">
        <w:rPr>
          <w:rFonts w:ascii="Arial" w:hAnsi="Arial" w:cs="Arial"/>
          <w:color w:val="000000"/>
        </w:rPr>
        <w:t>dolutegravir</w:t>
      </w:r>
      <w:r w:rsidR="007D6F7E">
        <w:rPr>
          <w:rFonts w:ascii="Arial" w:hAnsi="Arial" w:cs="Arial"/>
          <w:color w:val="000000"/>
        </w:rPr>
        <w:t>-1), laryngomalacia (</w:t>
      </w:r>
      <w:r w:rsidR="002229C4">
        <w:rPr>
          <w:rFonts w:ascii="Arial" w:hAnsi="Arial" w:cs="Arial"/>
          <w:color w:val="000000"/>
        </w:rPr>
        <w:t>dolutegravir</w:t>
      </w:r>
      <w:r w:rsidR="007D6F7E">
        <w:rPr>
          <w:rFonts w:ascii="Arial" w:hAnsi="Arial" w:cs="Arial"/>
          <w:color w:val="000000"/>
        </w:rPr>
        <w:t>-1)</w:t>
      </w:r>
      <w:r w:rsidR="00F60F29">
        <w:rPr>
          <w:rFonts w:ascii="Arial" w:hAnsi="Arial" w:cs="Arial"/>
          <w:color w:val="000000"/>
        </w:rPr>
        <w:t>, strabismus (</w:t>
      </w:r>
      <w:r w:rsidR="002229C4">
        <w:rPr>
          <w:rFonts w:ascii="Arial" w:hAnsi="Arial" w:cs="Arial"/>
          <w:color w:val="000000"/>
        </w:rPr>
        <w:t>dolutegravir</w:t>
      </w:r>
      <w:r w:rsidR="00F60F29">
        <w:rPr>
          <w:rFonts w:ascii="Arial" w:hAnsi="Arial" w:cs="Arial"/>
          <w:color w:val="000000"/>
        </w:rPr>
        <w:t xml:space="preserve">-1, </w:t>
      </w:r>
      <w:r w:rsidR="002229C4">
        <w:rPr>
          <w:rFonts w:ascii="Arial" w:hAnsi="Arial" w:cs="Arial"/>
          <w:color w:val="000000"/>
        </w:rPr>
        <w:t>efavirenz</w:t>
      </w:r>
      <w:r w:rsidR="00F60F29">
        <w:rPr>
          <w:rFonts w:ascii="Arial" w:hAnsi="Arial" w:cs="Arial"/>
          <w:color w:val="000000"/>
        </w:rPr>
        <w:t>-1), talipes (</w:t>
      </w:r>
      <w:r w:rsidR="002229C4">
        <w:rPr>
          <w:rFonts w:ascii="Arial" w:hAnsi="Arial" w:cs="Arial"/>
          <w:color w:val="000000"/>
        </w:rPr>
        <w:t>dolutegravir</w:t>
      </w:r>
      <w:r w:rsidR="00F60F29">
        <w:rPr>
          <w:rFonts w:ascii="Arial" w:hAnsi="Arial" w:cs="Arial"/>
          <w:color w:val="000000"/>
        </w:rPr>
        <w:t xml:space="preserve">-1, </w:t>
      </w:r>
      <w:r w:rsidR="002229C4">
        <w:rPr>
          <w:rFonts w:ascii="Arial" w:hAnsi="Arial" w:cs="Arial"/>
          <w:color w:val="000000"/>
        </w:rPr>
        <w:t>efavirenz</w:t>
      </w:r>
      <w:r w:rsidR="00F60F29">
        <w:rPr>
          <w:rFonts w:ascii="Arial" w:hAnsi="Arial" w:cs="Arial"/>
          <w:color w:val="000000"/>
        </w:rPr>
        <w:t>-2), cleft palate (</w:t>
      </w:r>
      <w:r w:rsidR="002229C4">
        <w:rPr>
          <w:rFonts w:ascii="Arial" w:hAnsi="Arial" w:cs="Arial"/>
          <w:color w:val="000000"/>
        </w:rPr>
        <w:t>efavirenz</w:t>
      </w:r>
      <w:r w:rsidR="00F60F29">
        <w:rPr>
          <w:rFonts w:ascii="Arial" w:hAnsi="Arial" w:cs="Arial"/>
          <w:color w:val="000000"/>
        </w:rPr>
        <w:t>-1), polydactyly (</w:t>
      </w:r>
      <w:r w:rsidR="002229C4">
        <w:rPr>
          <w:rFonts w:ascii="Arial" w:hAnsi="Arial" w:cs="Arial"/>
          <w:color w:val="000000"/>
        </w:rPr>
        <w:t>efavirenz</w:t>
      </w:r>
      <w:r w:rsidR="00F60F29">
        <w:rPr>
          <w:rFonts w:ascii="Arial" w:hAnsi="Arial" w:cs="Arial"/>
          <w:color w:val="000000"/>
        </w:rPr>
        <w:t>-2). No</w:t>
      </w:r>
      <w:r w:rsidR="007D6F7E">
        <w:rPr>
          <w:rFonts w:ascii="Arial" w:hAnsi="Arial" w:cs="Arial"/>
          <w:color w:val="000000"/>
        </w:rPr>
        <w:t xml:space="preserve"> </w:t>
      </w:r>
      <w:r w:rsidR="0038365F">
        <w:rPr>
          <w:rFonts w:ascii="Arial" w:hAnsi="Arial" w:cs="Arial"/>
          <w:color w:val="000000"/>
        </w:rPr>
        <w:t xml:space="preserve">neural tube defects </w:t>
      </w:r>
      <w:r w:rsidR="00F60F29">
        <w:rPr>
          <w:rFonts w:ascii="Arial" w:hAnsi="Arial" w:cs="Arial"/>
          <w:color w:val="000000"/>
        </w:rPr>
        <w:t xml:space="preserve">were </w:t>
      </w:r>
      <w:r w:rsidR="007D6F7E">
        <w:rPr>
          <w:rFonts w:ascii="Arial" w:hAnsi="Arial" w:cs="Arial"/>
          <w:color w:val="000000"/>
        </w:rPr>
        <w:t>reported</w:t>
      </w:r>
      <w:r w:rsidR="0038365F">
        <w:rPr>
          <w:rFonts w:ascii="Arial" w:hAnsi="Arial" w:cs="Arial"/>
          <w:color w:val="000000"/>
        </w:rPr>
        <w:t>.</w:t>
      </w:r>
    </w:p>
    <w:p w14:paraId="66243CAE" w14:textId="48B4E321" w:rsidR="00104214" w:rsidRDefault="00104214" w:rsidP="00A67253">
      <w:pPr>
        <w:spacing w:after="160" w:line="360" w:lineRule="auto"/>
        <w:jc w:val="both"/>
        <w:rPr>
          <w:rFonts w:ascii="Arial" w:hAnsi="Arial" w:cs="Arial"/>
        </w:rPr>
      </w:pPr>
      <w:r>
        <w:rPr>
          <w:rFonts w:ascii="Arial" w:hAnsi="Arial" w:cs="Arial"/>
        </w:rPr>
        <w:br w:type="page"/>
      </w:r>
      <w:r w:rsidR="00F60F29">
        <w:rPr>
          <w:rFonts w:ascii="Arial" w:hAnsi="Arial" w:cs="Arial"/>
        </w:rPr>
        <w:lastRenderedPageBreak/>
        <w:t xml:space="preserve"> </w:t>
      </w:r>
    </w:p>
    <w:p w14:paraId="1B7323D9" w14:textId="1642F920" w:rsidR="00A458A5" w:rsidRPr="00392A6B" w:rsidRDefault="00392A6B" w:rsidP="00A67253">
      <w:pPr>
        <w:spacing w:line="360" w:lineRule="auto"/>
        <w:jc w:val="both"/>
        <w:rPr>
          <w:rFonts w:ascii="Arial" w:hAnsi="Arial" w:cs="Arial"/>
          <w:b/>
          <w:u w:val="single"/>
        </w:rPr>
      </w:pPr>
      <w:r w:rsidRPr="00392A6B">
        <w:rPr>
          <w:rFonts w:ascii="Arial" w:hAnsi="Arial" w:cs="Arial"/>
          <w:b/>
          <w:u w:val="single"/>
        </w:rPr>
        <w:t>Discus</w:t>
      </w:r>
      <w:r>
        <w:rPr>
          <w:rFonts w:ascii="Arial" w:hAnsi="Arial" w:cs="Arial"/>
          <w:b/>
          <w:u w:val="single"/>
        </w:rPr>
        <w:t>si</w:t>
      </w:r>
      <w:r w:rsidRPr="00392A6B">
        <w:rPr>
          <w:rFonts w:ascii="Arial" w:hAnsi="Arial" w:cs="Arial"/>
          <w:b/>
          <w:u w:val="single"/>
        </w:rPr>
        <w:t>on</w:t>
      </w:r>
    </w:p>
    <w:p w14:paraId="5F8E9347" w14:textId="32B32393" w:rsidR="00A458A5" w:rsidRDefault="00A458A5" w:rsidP="00A67253">
      <w:pPr>
        <w:spacing w:line="360" w:lineRule="auto"/>
        <w:jc w:val="both"/>
        <w:rPr>
          <w:rFonts w:ascii="Arial" w:hAnsi="Arial" w:cs="Arial"/>
        </w:rPr>
      </w:pPr>
    </w:p>
    <w:p w14:paraId="3DD5C71F" w14:textId="44047C00" w:rsidR="000228F2" w:rsidRPr="00440E7A" w:rsidRDefault="002B1DE2" w:rsidP="007C084D">
      <w:pPr>
        <w:spacing w:line="360" w:lineRule="auto"/>
        <w:jc w:val="both"/>
        <w:rPr>
          <w:rFonts w:ascii="Arial" w:hAnsi="Arial" w:cs="Arial"/>
        </w:rPr>
      </w:pPr>
      <w:r>
        <w:rPr>
          <w:rFonts w:ascii="Arial" w:hAnsi="Arial" w:cs="Arial"/>
        </w:rPr>
        <w:t xml:space="preserve">We </w:t>
      </w:r>
      <w:r w:rsidR="00C03A53" w:rsidRPr="00C03A53">
        <w:rPr>
          <w:rFonts w:ascii="Arial" w:hAnsi="Arial" w:cs="Arial"/>
        </w:rPr>
        <w:t xml:space="preserve">found women on </w:t>
      </w:r>
      <w:r w:rsidR="002229C4">
        <w:rPr>
          <w:rFonts w:ascii="Arial" w:hAnsi="Arial" w:cs="Arial"/>
        </w:rPr>
        <w:t>dolutegravir</w:t>
      </w:r>
      <w:r w:rsidR="009406A6">
        <w:rPr>
          <w:rFonts w:ascii="Arial" w:hAnsi="Arial" w:cs="Arial"/>
        </w:rPr>
        <w:t>-</w:t>
      </w:r>
      <w:r w:rsidR="00991BC0">
        <w:rPr>
          <w:rFonts w:ascii="Arial" w:hAnsi="Arial" w:cs="Arial"/>
        </w:rPr>
        <w:t xml:space="preserve">based </w:t>
      </w:r>
      <w:r w:rsidR="001A3165">
        <w:rPr>
          <w:rFonts w:ascii="Arial" w:hAnsi="Arial" w:cs="Arial"/>
        </w:rPr>
        <w:t xml:space="preserve">therapy </w:t>
      </w:r>
      <w:r w:rsidR="00991BC0" w:rsidRPr="00C03A53">
        <w:rPr>
          <w:rFonts w:ascii="Arial" w:hAnsi="Arial" w:cs="Arial"/>
        </w:rPr>
        <w:t>were</w:t>
      </w:r>
      <w:r w:rsidR="00C03A53" w:rsidRPr="00C03A53">
        <w:rPr>
          <w:rFonts w:ascii="Arial" w:hAnsi="Arial" w:cs="Arial"/>
        </w:rPr>
        <w:t xml:space="preserve"> significantly more likely to </w:t>
      </w:r>
      <w:r w:rsidR="00C03A53">
        <w:rPr>
          <w:rFonts w:ascii="Arial" w:hAnsi="Arial" w:cs="Arial"/>
        </w:rPr>
        <w:t xml:space="preserve">achieve </w:t>
      </w:r>
      <w:r w:rsidR="009F3114">
        <w:rPr>
          <w:rFonts w:ascii="Arial" w:hAnsi="Arial" w:cs="Arial"/>
        </w:rPr>
        <w:t xml:space="preserve">a VL of &lt;50 </w:t>
      </w:r>
      <w:r w:rsidR="00147F88">
        <w:rPr>
          <w:rFonts w:ascii="Arial" w:hAnsi="Arial" w:cs="Arial"/>
        </w:rPr>
        <w:t>copies per mL</w:t>
      </w:r>
      <w:r w:rsidR="00C03A53">
        <w:rPr>
          <w:rFonts w:ascii="Arial" w:hAnsi="Arial" w:cs="Arial"/>
        </w:rPr>
        <w:t xml:space="preserve"> </w:t>
      </w:r>
      <w:r w:rsidR="001C2252">
        <w:rPr>
          <w:rFonts w:ascii="Arial" w:hAnsi="Arial" w:cs="Arial"/>
        </w:rPr>
        <w:t xml:space="preserve">(or less likely to have a VL of </w:t>
      </w:r>
      <w:r w:rsidR="00190CF0" w:rsidRPr="00C153C8">
        <w:rPr>
          <w:rFonts w:ascii="Arial" w:hAnsi="Arial" w:cs="Arial"/>
          <w:color w:val="000000"/>
        </w:rPr>
        <w:t>≥</w:t>
      </w:r>
      <w:r w:rsidR="001C2252">
        <w:rPr>
          <w:rFonts w:ascii="Arial" w:hAnsi="Arial" w:cs="Arial"/>
        </w:rPr>
        <w:t xml:space="preserve">50 </w:t>
      </w:r>
      <w:r w:rsidR="00147F88">
        <w:rPr>
          <w:rFonts w:ascii="Arial" w:hAnsi="Arial" w:cs="Arial"/>
        </w:rPr>
        <w:t>copies per mL</w:t>
      </w:r>
      <w:r w:rsidR="001C2252">
        <w:rPr>
          <w:rFonts w:ascii="Arial" w:hAnsi="Arial" w:cs="Arial"/>
        </w:rPr>
        <w:t xml:space="preserve">) </w:t>
      </w:r>
      <w:r w:rsidR="00C03A53">
        <w:rPr>
          <w:rFonts w:ascii="Arial" w:hAnsi="Arial" w:cs="Arial"/>
        </w:rPr>
        <w:t xml:space="preserve">at delivery compared with those taking </w:t>
      </w:r>
      <w:r w:rsidR="002229C4">
        <w:rPr>
          <w:rFonts w:ascii="Arial" w:hAnsi="Arial" w:cs="Arial"/>
        </w:rPr>
        <w:t>efavirenz</w:t>
      </w:r>
      <w:r w:rsidR="005A5700">
        <w:rPr>
          <w:rFonts w:ascii="Arial" w:hAnsi="Arial" w:cs="Arial"/>
        </w:rPr>
        <w:t xml:space="preserve"> regimens when initiated in the third trimester</w:t>
      </w:r>
      <w:r>
        <w:rPr>
          <w:rFonts w:ascii="Arial" w:hAnsi="Arial" w:cs="Arial"/>
        </w:rPr>
        <w:t xml:space="preserve">. These data </w:t>
      </w:r>
      <w:r w:rsidR="009406A6">
        <w:rPr>
          <w:rFonts w:ascii="Arial" w:hAnsi="Arial" w:cs="Arial"/>
        </w:rPr>
        <w:t>address</w:t>
      </w:r>
      <w:r>
        <w:rPr>
          <w:rFonts w:ascii="Arial" w:hAnsi="Arial" w:cs="Arial"/>
        </w:rPr>
        <w:t xml:space="preserve"> a critical knowledge gap </w:t>
      </w:r>
      <w:r w:rsidR="00C829F6">
        <w:rPr>
          <w:rFonts w:ascii="Arial" w:hAnsi="Arial" w:cs="Arial"/>
        </w:rPr>
        <w:t>around antepartum transmission of HIV in women initiating treatment late in pregnancy</w:t>
      </w:r>
      <w:r w:rsidR="00BC4784" w:rsidRPr="006D7CBA">
        <w:rPr>
          <w:rFonts w:ascii="Arial" w:hAnsi="Arial" w:cs="Arial"/>
          <w:vertAlign w:val="superscript"/>
        </w:rPr>
        <w:t>13-14</w:t>
      </w:r>
      <w:r w:rsidR="00C77CDD">
        <w:rPr>
          <w:rFonts w:ascii="Arial" w:hAnsi="Arial" w:cs="Arial"/>
        </w:rPr>
        <w:t xml:space="preserve"> whereas </w:t>
      </w:r>
      <w:r w:rsidR="00C77CDD" w:rsidRPr="00873004">
        <w:rPr>
          <w:rFonts w:ascii="Arial" w:hAnsi="Arial" w:cs="Arial"/>
        </w:rPr>
        <w:t xml:space="preserve">other studies are assessing use of </w:t>
      </w:r>
      <w:r w:rsidR="002229C4">
        <w:rPr>
          <w:rFonts w:ascii="Arial" w:hAnsi="Arial" w:cs="Arial"/>
        </w:rPr>
        <w:t>dolutegravir</w:t>
      </w:r>
      <w:r w:rsidR="00C77CDD" w:rsidRPr="00873004">
        <w:rPr>
          <w:rFonts w:ascii="Arial" w:hAnsi="Arial" w:cs="Arial"/>
        </w:rPr>
        <w:t xml:space="preserve"> earlier in pregnancy</w:t>
      </w:r>
      <w:r w:rsidR="00C77CDD">
        <w:rPr>
          <w:rFonts w:ascii="Arial" w:hAnsi="Arial" w:cs="Arial"/>
        </w:rPr>
        <w:t xml:space="preserve">. </w:t>
      </w:r>
      <w:r w:rsidR="009F3114">
        <w:rPr>
          <w:rFonts w:ascii="Arial" w:hAnsi="Arial" w:cs="Arial"/>
        </w:rPr>
        <w:t xml:space="preserve"> </w:t>
      </w:r>
      <w:r w:rsidR="00C77CDD" w:rsidRPr="00873004">
        <w:rPr>
          <w:rFonts w:ascii="Arial" w:hAnsi="Arial" w:cs="Arial"/>
        </w:rPr>
        <w:t xml:space="preserve">Undisclosed </w:t>
      </w:r>
      <w:r w:rsidR="001A3165" w:rsidRPr="00BC4784">
        <w:rPr>
          <w:rFonts w:ascii="Arial" w:hAnsi="Arial" w:cs="Arial"/>
        </w:rPr>
        <w:t xml:space="preserve">antiretroviral therapy </w:t>
      </w:r>
      <w:r w:rsidR="00C77CDD" w:rsidRPr="00873004">
        <w:rPr>
          <w:rFonts w:ascii="Arial" w:hAnsi="Arial" w:cs="Arial"/>
        </w:rPr>
        <w:t xml:space="preserve">was unlikely since we excluded mothers with </w:t>
      </w:r>
      <w:r w:rsidR="000D306B">
        <w:rPr>
          <w:rFonts w:ascii="Arial" w:hAnsi="Arial" w:cs="Arial"/>
        </w:rPr>
        <w:t>VL</w:t>
      </w:r>
      <w:r w:rsidR="00C77CDD" w:rsidRPr="00873004">
        <w:rPr>
          <w:rFonts w:ascii="Arial" w:hAnsi="Arial" w:cs="Arial"/>
        </w:rPr>
        <w:t xml:space="preserve"> &lt;50 copies </w:t>
      </w:r>
      <w:r w:rsidR="000D306B">
        <w:rPr>
          <w:rFonts w:ascii="Arial" w:hAnsi="Arial" w:cs="Arial"/>
        </w:rPr>
        <w:t xml:space="preserve">per mL </w:t>
      </w:r>
      <w:r w:rsidR="00C77CDD" w:rsidRPr="00873004">
        <w:rPr>
          <w:rFonts w:ascii="Arial" w:hAnsi="Arial" w:cs="Arial"/>
        </w:rPr>
        <w:t>at baseline.</w:t>
      </w:r>
      <w:r w:rsidR="00C77CDD">
        <w:rPr>
          <w:rFonts w:ascii="Arial" w:hAnsi="Arial" w:cs="Arial"/>
        </w:rPr>
        <w:t xml:space="preserve"> </w:t>
      </w:r>
      <w:r w:rsidR="00C829F6">
        <w:rPr>
          <w:rFonts w:ascii="Arial" w:hAnsi="Arial" w:cs="Arial"/>
        </w:rPr>
        <w:t>Smaller</w:t>
      </w:r>
      <w:r w:rsidR="009F3114">
        <w:rPr>
          <w:rFonts w:ascii="Arial" w:hAnsi="Arial" w:cs="Arial"/>
        </w:rPr>
        <w:t xml:space="preserve"> differences were observed in the proportion achieving HIV </w:t>
      </w:r>
      <w:r w:rsidR="002C3030">
        <w:rPr>
          <w:rFonts w:ascii="Arial" w:hAnsi="Arial" w:cs="Arial"/>
        </w:rPr>
        <w:t xml:space="preserve">viral load </w:t>
      </w:r>
      <w:r w:rsidR="009F3114">
        <w:rPr>
          <w:rFonts w:ascii="Arial" w:hAnsi="Arial" w:cs="Arial"/>
        </w:rPr>
        <w:t xml:space="preserve">&lt;1000 </w:t>
      </w:r>
      <w:r w:rsidR="00147F88">
        <w:rPr>
          <w:rFonts w:ascii="Arial" w:hAnsi="Arial" w:cs="Arial"/>
        </w:rPr>
        <w:t>copies per mL</w:t>
      </w:r>
      <w:r w:rsidR="008A063B">
        <w:rPr>
          <w:rFonts w:ascii="Arial" w:hAnsi="Arial" w:cs="Arial"/>
        </w:rPr>
        <w:t xml:space="preserve"> than that of achieving HIV </w:t>
      </w:r>
      <w:r w:rsidR="002C3030">
        <w:rPr>
          <w:rFonts w:ascii="Arial" w:hAnsi="Arial" w:cs="Arial"/>
        </w:rPr>
        <w:t xml:space="preserve">viral load </w:t>
      </w:r>
      <w:r w:rsidR="008A063B">
        <w:rPr>
          <w:rFonts w:ascii="Arial" w:hAnsi="Arial" w:cs="Arial"/>
        </w:rPr>
        <w:t xml:space="preserve">&lt;50 </w:t>
      </w:r>
      <w:r w:rsidR="00147F88">
        <w:rPr>
          <w:rFonts w:ascii="Arial" w:hAnsi="Arial" w:cs="Arial"/>
        </w:rPr>
        <w:t>copies per mL</w:t>
      </w:r>
      <w:r w:rsidR="009F3114">
        <w:rPr>
          <w:rFonts w:ascii="Arial" w:hAnsi="Arial" w:cs="Arial"/>
        </w:rPr>
        <w:t>, a</w:t>
      </w:r>
      <w:r w:rsidR="00F66553">
        <w:rPr>
          <w:rFonts w:ascii="Arial" w:hAnsi="Arial" w:cs="Arial"/>
        </w:rPr>
        <w:t>n alternative</w:t>
      </w:r>
      <w:r w:rsidR="009F3114">
        <w:rPr>
          <w:rFonts w:ascii="Arial" w:hAnsi="Arial" w:cs="Arial"/>
        </w:rPr>
        <w:t xml:space="preserve"> threshold</w:t>
      </w:r>
      <w:r w:rsidR="00F66553">
        <w:rPr>
          <w:rFonts w:ascii="Arial" w:hAnsi="Arial" w:cs="Arial"/>
        </w:rPr>
        <w:t xml:space="preserve"> for transmission risk</w:t>
      </w:r>
      <w:r w:rsidR="00BC4784" w:rsidRPr="006D7CBA">
        <w:rPr>
          <w:rFonts w:ascii="Arial" w:hAnsi="Arial" w:cs="Arial"/>
          <w:vertAlign w:val="superscript"/>
        </w:rPr>
        <w:t>15</w:t>
      </w:r>
      <w:r w:rsidR="005A5700">
        <w:rPr>
          <w:rStyle w:val="CommentReference"/>
        </w:rPr>
        <w:t>.</w:t>
      </w:r>
      <w:r w:rsidR="009F3114">
        <w:rPr>
          <w:rFonts w:ascii="Arial" w:hAnsi="Arial" w:cs="Arial"/>
        </w:rPr>
        <w:t xml:space="preserve"> </w:t>
      </w:r>
      <w:r w:rsidR="00BF5BEE" w:rsidRPr="00BF5BEE">
        <w:rPr>
          <w:rFonts w:ascii="Arial" w:hAnsi="Arial" w:cs="Arial"/>
        </w:rPr>
        <w:t xml:space="preserve">In calculating the time from </w:t>
      </w:r>
      <w:proofErr w:type="spellStart"/>
      <w:r w:rsidR="00BF5BEE" w:rsidRPr="00BF5BEE">
        <w:rPr>
          <w:rFonts w:ascii="Arial" w:hAnsi="Arial" w:cs="Arial"/>
        </w:rPr>
        <w:t>randomisation</w:t>
      </w:r>
      <w:proofErr w:type="spellEnd"/>
      <w:r w:rsidR="00BF5BEE" w:rsidRPr="00BF5BEE">
        <w:rPr>
          <w:rFonts w:ascii="Arial" w:hAnsi="Arial" w:cs="Arial"/>
        </w:rPr>
        <w:t xml:space="preserve"> to the occurrence of achieving viral suppression, we used the actual visit dates at the scheduled visits of 7 and 28 days. Such an algorithm may bias the true time of viral load suppression, however since it was equally applied in both arms, any bias should be similar</w:t>
      </w:r>
      <w:r w:rsidR="008A063B">
        <w:rPr>
          <w:rFonts w:ascii="Arial" w:hAnsi="Arial" w:cs="Arial"/>
        </w:rPr>
        <w:t xml:space="preserve">. </w:t>
      </w:r>
      <w:r w:rsidR="00991BC0" w:rsidRPr="00991BC0">
        <w:rPr>
          <w:rFonts w:ascii="Arial" w:hAnsi="Arial" w:cs="Arial"/>
        </w:rPr>
        <w:t xml:space="preserve">Given that </w:t>
      </w:r>
      <w:r w:rsidR="00C829F6">
        <w:rPr>
          <w:rFonts w:ascii="Arial" w:hAnsi="Arial" w:cs="Arial"/>
        </w:rPr>
        <w:t>peri-partum HIV transmission is strongly correlated with the prevailing maternal viral load,</w:t>
      </w:r>
      <w:r w:rsidR="00991BC0" w:rsidRPr="00991BC0">
        <w:rPr>
          <w:rFonts w:ascii="Arial" w:hAnsi="Arial" w:cs="Arial"/>
        </w:rPr>
        <w:t xml:space="preserve"> </w:t>
      </w:r>
      <w:r w:rsidR="002229C4">
        <w:rPr>
          <w:rFonts w:ascii="Arial" w:hAnsi="Arial" w:cs="Arial"/>
        </w:rPr>
        <w:t>dolutegravir</w:t>
      </w:r>
      <w:r w:rsidR="00991BC0" w:rsidRPr="00991BC0">
        <w:rPr>
          <w:rFonts w:ascii="Arial" w:hAnsi="Arial" w:cs="Arial"/>
        </w:rPr>
        <w:t xml:space="preserve"> based regimen</w:t>
      </w:r>
      <w:r w:rsidR="00C829F6">
        <w:rPr>
          <w:rFonts w:ascii="Arial" w:hAnsi="Arial" w:cs="Arial"/>
        </w:rPr>
        <w:t>s</w:t>
      </w:r>
      <w:r w:rsidR="00991BC0" w:rsidRPr="00991BC0">
        <w:rPr>
          <w:rFonts w:ascii="Arial" w:hAnsi="Arial" w:cs="Arial"/>
        </w:rPr>
        <w:t xml:space="preserve"> </w:t>
      </w:r>
      <w:r w:rsidR="009406A6">
        <w:rPr>
          <w:rFonts w:ascii="Arial" w:hAnsi="Arial" w:cs="Arial"/>
        </w:rPr>
        <w:t xml:space="preserve">may </w:t>
      </w:r>
      <w:r w:rsidR="00991BC0" w:rsidRPr="00991BC0">
        <w:rPr>
          <w:rFonts w:ascii="Arial" w:hAnsi="Arial" w:cs="Arial"/>
        </w:rPr>
        <w:t xml:space="preserve">reduce HIV transmission </w:t>
      </w:r>
      <w:r w:rsidR="00C829F6">
        <w:rPr>
          <w:rFonts w:ascii="Arial" w:hAnsi="Arial" w:cs="Arial"/>
        </w:rPr>
        <w:t xml:space="preserve">around birth </w:t>
      </w:r>
      <w:r w:rsidR="00991BC0" w:rsidRPr="00991BC0">
        <w:rPr>
          <w:rFonts w:ascii="Arial" w:hAnsi="Arial" w:cs="Arial"/>
        </w:rPr>
        <w:t xml:space="preserve">and </w:t>
      </w:r>
      <w:r w:rsidR="00C829F6">
        <w:rPr>
          <w:rFonts w:ascii="Arial" w:hAnsi="Arial" w:cs="Arial"/>
        </w:rPr>
        <w:t>potentially</w:t>
      </w:r>
      <w:r w:rsidR="00991BC0" w:rsidRPr="00991BC0">
        <w:rPr>
          <w:rFonts w:ascii="Arial" w:hAnsi="Arial" w:cs="Arial"/>
        </w:rPr>
        <w:t xml:space="preserve"> </w:t>
      </w:r>
      <w:r w:rsidR="00C829F6">
        <w:rPr>
          <w:rFonts w:ascii="Arial" w:hAnsi="Arial" w:cs="Arial"/>
        </w:rPr>
        <w:t>during</w:t>
      </w:r>
      <w:r w:rsidR="00991BC0" w:rsidRPr="00991BC0">
        <w:rPr>
          <w:rFonts w:ascii="Arial" w:hAnsi="Arial" w:cs="Arial"/>
        </w:rPr>
        <w:t xml:space="preserve"> breast feeding </w:t>
      </w:r>
      <w:r w:rsidR="009406A6">
        <w:rPr>
          <w:rFonts w:ascii="Arial" w:hAnsi="Arial" w:cs="Arial"/>
        </w:rPr>
        <w:t xml:space="preserve">versus </w:t>
      </w:r>
      <w:r w:rsidR="002229C4">
        <w:rPr>
          <w:rFonts w:ascii="Arial" w:hAnsi="Arial" w:cs="Arial"/>
        </w:rPr>
        <w:t>efavirenz</w:t>
      </w:r>
      <w:r w:rsidR="009406A6">
        <w:rPr>
          <w:rFonts w:ascii="Arial" w:hAnsi="Arial" w:cs="Arial"/>
        </w:rPr>
        <w:t>-</w:t>
      </w:r>
      <w:r w:rsidR="00991BC0" w:rsidRPr="00991BC0">
        <w:rPr>
          <w:rFonts w:ascii="Arial" w:hAnsi="Arial" w:cs="Arial"/>
        </w:rPr>
        <w:t>based regimens</w:t>
      </w:r>
      <w:r w:rsidR="00C829F6">
        <w:rPr>
          <w:rFonts w:ascii="Arial" w:hAnsi="Arial" w:cs="Arial"/>
        </w:rPr>
        <w:t xml:space="preserve"> in our population of pregnant mothers</w:t>
      </w:r>
      <w:r w:rsidR="00991BC0" w:rsidRPr="00991BC0">
        <w:rPr>
          <w:rFonts w:ascii="Arial" w:hAnsi="Arial" w:cs="Arial"/>
        </w:rPr>
        <w:t xml:space="preserve">. </w:t>
      </w:r>
      <w:r w:rsidR="00440E7A">
        <w:rPr>
          <w:rFonts w:ascii="Arial" w:hAnsi="Arial" w:cs="Arial"/>
        </w:rPr>
        <w:t>T</w:t>
      </w:r>
      <w:r w:rsidR="007F270C" w:rsidRPr="00991BC0">
        <w:rPr>
          <w:rFonts w:ascii="Arial" w:hAnsi="Arial" w:cs="Arial"/>
        </w:rPr>
        <w:t>he three HIV-infected infants detected were</w:t>
      </w:r>
      <w:r w:rsidR="00DA0681">
        <w:rPr>
          <w:rFonts w:ascii="Arial" w:hAnsi="Arial" w:cs="Arial"/>
        </w:rPr>
        <w:t xml:space="preserve"> considered likely </w:t>
      </w:r>
      <w:r w:rsidR="007F270C" w:rsidRPr="00440E7A">
        <w:rPr>
          <w:rFonts w:ascii="Arial" w:hAnsi="Arial" w:cs="Arial"/>
          <w:i/>
        </w:rPr>
        <w:t>in-utero</w:t>
      </w:r>
      <w:r w:rsidR="007F270C" w:rsidRPr="00440E7A">
        <w:rPr>
          <w:rFonts w:ascii="Arial" w:hAnsi="Arial" w:cs="Arial"/>
        </w:rPr>
        <w:t xml:space="preserve"> </w:t>
      </w:r>
      <w:r w:rsidR="00DA0681">
        <w:rPr>
          <w:rFonts w:ascii="Arial" w:hAnsi="Arial" w:cs="Arial"/>
        </w:rPr>
        <w:t xml:space="preserve">infections, although </w:t>
      </w:r>
      <w:r w:rsidR="00440E7A">
        <w:rPr>
          <w:rFonts w:ascii="Arial" w:hAnsi="Arial" w:cs="Arial"/>
        </w:rPr>
        <w:t xml:space="preserve">peripartum </w:t>
      </w:r>
      <w:r w:rsidR="00DA0681">
        <w:rPr>
          <w:rFonts w:ascii="Arial" w:hAnsi="Arial" w:cs="Arial"/>
        </w:rPr>
        <w:t>transmission could not be excluded as</w:t>
      </w:r>
      <w:r w:rsidR="00440E7A">
        <w:rPr>
          <w:rFonts w:ascii="Arial" w:hAnsi="Arial" w:cs="Arial"/>
        </w:rPr>
        <w:t xml:space="preserve"> we </w:t>
      </w:r>
      <w:r w:rsidR="00DA0681">
        <w:rPr>
          <w:rFonts w:ascii="Arial" w:hAnsi="Arial" w:cs="Arial"/>
        </w:rPr>
        <w:t>did not</w:t>
      </w:r>
      <w:r w:rsidR="00440E7A">
        <w:rPr>
          <w:rFonts w:ascii="Arial" w:hAnsi="Arial" w:cs="Arial"/>
        </w:rPr>
        <w:t xml:space="preserve"> test infants within two </w:t>
      </w:r>
      <w:r w:rsidR="00DA0681">
        <w:rPr>
          <w:rFonts w:ascii="Arial" w:hAnsi="Arial" w:cs="Arial"/>
        </w:rPr>
        <w:t xml:space="preserve">days </w:t>
      </w:r>
      <w:r w:rsidR="00440E7A">
        <w:rPr>
          <w:rFonts w:ascii="Arial" w:hAnsi="Arial" w:cs="Arial"/>
        </w:rPr>
        <w:t>of birth</w:t>
      </w:r>
      <w:r w:rsidR="00DA0681">
        <w:rPr>
          <w:rFonts w:ascii="Arial" w:hAnsi="Arial" w:cs="Arial"/>
        </w:rPr>
        <w:t xml:space="preserve">. </w:t>
      </w:r>
      <w:r w:rsidR="007F270C" w:rsidRPr="00440E7A">
        <w:rPr>
          <w:rFonts w:ascii="Arial" w:hAnsi="Arial" w:cs="Arial"/>
        </w:rPr>
        <w:t xml:space="preserve">Longer follow-up </w:t>
      </w:r>
      <w:r w:rsidR="00662453" w:rsidRPr="00440E7A">
        <w:rPr>
          <w:rFonts w:ascii="Arial" w:hAnsi="Arial" w:cs="Arial"/>
        </w:rPr>
        <w:t xml:space="preserve">to </w:t>
      </w:r>
      <w:r w:rsidR="007F270C" w:rsidRPr="00440E7A">
        <w:rPr>
          <w:rFonts w:ascii="Arial" w:hAnsi="Arial" w:cs="Arial"/>
        </w:rPr>
        <w:t xml:space="preserve">detect transmissions during breastfeeding </w:t>
      </w:r>
      <w:r w:rsidR="00440E7A">
        <w:rPr>
          <w:rFonts w:ascii="Arial" w:hAnsi="Arial" w:cs="Arial"/>
        </w:rPr>
        <w:t>is o</w:t>
      </w:r>
      <w:r w:rsidR="00A66A04">
        <w:rPr>
          <w:rFonts w:ascii="Arial" w:hAnsi="Arial" w:cs="Arial"/>
        </w:rPr>
        <w:t>n</w:t>
      </w:r>
      <w:r w:rsidR="00440E7A">
        <w:rPr>
          <w:rFonts w:ascii="Arial" w:hAnsi="Arial" w:cs="Arial"/>
        </w:rPr>
        <w:t>going.</w:t>
      </w:r>
      <w:r w:rsidR="00C03A53" w:rsidRPr="00440E7A">
        <w:rPr>
          <w:rFonts w:ascii="Arial" w:hAnsi="Arial" w:cs="Arial"/>
        </w:rPr>
        <w:t xml:space="preserve">  </w:t>
      </w:r>
    </w:p>
    <w:p w14:paraId="54F2C857" w14:textId="00FC890D" w:rsidR="008E7B78" w:rsidRDefault="008E7B78" w:rsidP="001A3165">
      <w:pPr>
        <w:spacing w:line="360" w:lineRule="auto"/>
        <w:jc w:val="both"/>
        <w:rPr>
          <w:rFonts w:ascii="Arial" w:hAnsi="Arial" w:cs="Arial"/>
        </w:rPr>
      </w:pPr>
    </w:p>
    <w:p w14:paraId="73226A39" w14:textId="0FA9B71A" w:rsidR="008E7B78" w:rsidRDefault="008E7B78" w:rsidP="00DD1EBA">
      <w:pPr>
        <w:spacing w:line="360" w:lineRule="auto"/>
        <w:jc w:val="both"/>
        <w:rPr>
          <w:rFonts w:ascii="Arial" w:hAnsi="Arial" w:cs="Arial"/>
        </w:rPr>
      </w:pPr>
      <w:r>
        <w:rPr>
          <w:rFonts w:ascii="Arial" w:hAnsi="Arial" w:cs="Arial"/>
        </w:rPr>
        <w:t xml:space="preserve">We found both </w:t>
      </w:r>
      <w:r w:rsidR="002229C4">
        <w:rPr>
          <w:rFonts w:ascii="Arial" w:hAnsi="Arial" w:cs="Arial"/>
        </w:rPr>
        <w:t>dolutegravir</w:t>
      </w:r>
      <w:r>
        <w:rPr>
          <w:rFonts w:ascii="Arial" w:hAnsi="Arial" w:cs="Arial"/>
        </w:rPr>
        <w:t xml:space="preserve"> and </w:t>
      </w:r>
      <w:r w:rsidR="002229C4">
        <w:rPr>
          <w:rFonts w:ascii="Arial" w:hAnsi="Arial" w:cs="Arial"/>
        </w:rPr>
        <w:t>efavirenz</w:t>
      </w:r>
      <w:r>
        <w:rPr>
          <w:rFonts w:ascii="Arial" w:hAnsi="Arial" w:cs="Arial"/>
        </w:rPr>
        <w:t xml:space="preserve"> </w:t>
      </w:r>
      <w:r w:rsidR="007F4D40">
        <w:rPr>
          <w:rFonts w:ascii="Arial" w:hAnsi="Arial" w:cs="Arial"/>
        </w:rPr>
        <w:t xml:space="preserve">to be </w:t>
      </w:r>
      <w:r>
        <w:rPr>
          <w:rFonts w:ascii="Arial" w:hAnsi="Arial" w:cs="Arial"/>
        </w:rPr>
        <w:t>well-tolerated</w:t>
      </w:r>
      <w:r w:rsidR="00766FEA">
        <w:rPr>
          <w:rFonts w:ascii="Arial" w:hAnsi="Arial" w:cs="Arial"/>
        </w:rPr>
        <w:t xml:space="preserve"> in mothers and infants</w:t>
      </w:r>
      <w:r>
        <w:rPr>
          <w:rFonts w:ascii="Arial" w:hAnsi="Arial" w:cs="Arial"/>
        </w:rPr>
        <w:t>.</w:t>
      </w:r>
      <w:r w:rsidR="00822609">
        <w:rPr>
          <w:rFonts w:ascii="Arial" w:hAnsi="Arial" w:cs="Arial"/>
        </w:rPr>
        <w:t xml:space="preserve"> However</w:t>
      </w:r>
      <w:r w:rsidR="00A83D04">
        <w:rPr>
          <w:rFonts w:ascii="Arial" w:hAnsi="Arial" w:cs="Arial"/>
        </w:rPr>
        <w:t>,</w:t>
      </w:r>
      <w:r w:rsidR="00822609">
        <w:rPr>
          <w:rFonts w:ascii="Arial" w:hAnsi="Arial" w:cs="Arial"/>
        </w:rPr>
        <w:t xml:space="preserve"> a higher </w:t>
      </w:r>
      <w:r w:rsidR="00FD3710">
        <w:rPr>
          <w:rFonts w:ascii="Arial" w:hAnsi="Arial" w:cs="Arial"/>
        </w:rPr>
        <w:t xml:space="preserve">proportion of mothers receiving </w:t>
      </w:r>
      <w:r w:rsidR="002229C4">
        <w:rPr>
          <w:rFonts w:ascii="Arial" w:hAnsi="Arial" w:cs="Arial"/>
        </w:rPr>
        <w:t>dolutegravir</w:t>
      </w:r>
      <w:r w:rsidR="00FD3710">
        <w:rPr>
          <w:rFonts w:ascii="Arial" w:hAnsi="Arial" w:cs="Arial"/>
        </w:rPr>
        <w:t xml:space="preserve"> developed SAEs</w:t>
      </w:r>
      <w:r w:rsidR="000741D3">
        <w:rPr>
          <w:rFonts w:ascii="Arial" w:hAnsi="Arial" w:cs="Arial"/>
        </w:rPr>
        <w:t xml:space="preserve">.  This was driven by a higher overall frequency of ‘Pregnancy, Puerperium and Perinatal’ events in mothers receiving </w:t>
      </w:r>
      <w:r w:rsidR="002229C4">
        <w:rPr>
          <w:rFonts w:ascii="Arial" w:hAnsi="Arial" w:cs="Arial"/>
        </w:rPr>
        <w:t>dolutegravir</w:t>
      </w:r>
      <w:r w:rsidR="00C77CDD">
        <w:rPr>
          <w:rFonts w:ascii="Arial" w:hAnsi="Arial" w:cs="Arial"/>
        </w:rPr>
        <w:t xml:space="preserve"> (supplementary table S1)</w:t>
      </w:r>
      <w:r w:rsidR="000741D3">
        <w:rPr>
          <w:rFonts w:ascii="Arial" w:hAnsi="Arial" w:cs="Arial"/>
        </w:rPr>
        <w:t>, the majority of whom were judged to have prolonged pregnancy beyond ter</w:t>
      </w:r>
      <w:r w:rsidR="00FD3710">
        <w:rPr>
          <w:rFonts w:ascii="Arial" w:hAnsi="Arial" w:cs="Arial"/>
        </w:rPr>
        <w:t>m</w:t>
      </w:r>
      <w:r w:rsidR="000741D3">
        <w:rPr>
          <w:rFonts w:ascii="Arial" w:hAnsi="Arial" w:cs="Arial"/>
        </w:rPr>
        <w:t xml:space="preserve">. The significance of this finding is unclear, since estimation of gestational age in late pregnancy is not always accurate. </w:t>
      </w:r>
      <w:r w:rsidR="0004385D">
        <w:rPr>
          <w:rFonts w:ascii="Arial" w:hAnsi="Arial" w:cs="Arial"/>
        </w:rPr>
        <w:t xml:space="preserve">It is important to examine whether our findings are replicated in other studies examining </w:t>
      </w:r>
      <w:r w:rsidR="002229C4">
        <w:rPr>
          <w:rFonts w:ascii="Arial" w:hAnsi="Arial" w:cs="Arial"/>
        </w:rPr>
        <w:t>dolutegravir</w:t>
      </w:r>
      <w:r w:rsidR="0004385D">
        <w:rPr>
          <w:rFonts w:ascii="Arial" w:hAnsi="Arial" w:cs="Arial"/>
        </w:rPr>
        <w:t xml:space="preserve"> in pregnancy (e.g. VESTED; </w:t>
      </w:r>
      <w:r w:rsidR="0004385D" w:rsidRPr="0004385D">
        <w:rPr>
          <w:rFonts w:ascii="Arial" w:hAnsi="Arial" w:cs="Arial"/>
        </w:rPr>
        <w:t>NCT03048422</w:t>
      </w:r>
      <w:r w:rsidR="0004385D">
        <w:rPr>
          <w:rFonts w:ascii="Arial" w:hAnsi="Arial" w:cs="Arial"/>
        </w:rPr>
        <w:t xml:space="preserve"> and the Antiviral Pregnancy Registry).</w:t>
      </w:r>
      <w:r>
        <w:rPr>
          <w:rFonts w:ascii="Arial" w:hAnsi="Arial" w:cs="Arial"/>
        </w:rPr>
        <w:t xml:space="preserve"> The incidence of serious adverse events</w:t>
      </w:r>
      <w:r w:rsidR="00975618">
        <w:rPr>
          <w:rFonts w:ascii="Arial" w:hAnsi="Arial" w:cs="Arial"/>
        </w:rPr>
        <w:t xml:space="preserve"> and treatment-related toxicities</w:t>
      </w:r>
      <w:r>
        <w:rPr>
          <w:rFonts w:ascii="Arial" w:hAnsi="Arial" w:cs="Arial"/>
        </w:rPr>
        <w:t xml:space="preserve"> </w:t>
      </w:r>
      <w:r w:rsidR="0004385D">
        <w:rPr>
          <w:rFonts w:ascii="Arial" w:hAnsi="Arial" w:cs="Arial"/>
        </w:rPr>
        <w:t>overall</w:t>
      </w:r>
      <w:r>
        <w:rPr>
          <w:rFonts w:ascii="Arial" w:hAnsi="Arial" w:cs="Arial"/>
        </w:rPr>
        <w:t xml:space="preserve"> was comparable to previous </w:t>
      </w:r>
      <w:r w:rsidR="00766FEA">
        <w:rPr>
          <w:rFonts w:ascii="Arial" w:hAnsi="Arial" w:cs="Arial"/>
        </w:rPr>
        <w:t>large</w:t>
      </w:r>
      <w:r>
        <w:rPr>
          <w:rFonts w:ascii="Arial" w:hAnsi="Arial" w:cs="Arial"/>
        </w:rPr>
        <w:t xml:space="preserve"> </w:t>
      </w:r>
      <w:proofErr w:type="spellStart"/>
      <w:r w:rsidR="001A3165">
        <w:rPr>
          <w:rFonts w:ascii="Arial" w:hAnsi="Arial" w:cs="Arial"/>
        </w:rPr>
        <w:t>randomi</w:t>
      </w:r>
      <w:r w:rsidR="00ED52A1">
        <w:rPr>
          <w:rFonts w:ascii="Arial" w:hAnsi="Arial" w:cs="Arial"/>
        </w:rPr>
        <w:t>s</w:t>
      </w:r>
      <w:r w:rsidR="001A3165">
        <w:rPr>
          <w:rFonts w:ascii="Arial" w:hAnsi="Arial" w:cs="Arial"/>
        </w:rPr>
        <w:t>ed</w:t>
      </w:r>
      <w:proofErr w:type="spellEnd"/>
      <w:r w:rsidR="001A3165">
        <w:rPr>
          <w:rFonts w:ascii="Arial" w:hAnsi="Arial" w:cs="Arial"/>
        </w:rPr>
        <w:t xml:space="preserve"> trials </w:t>
      </w:r>
      <w:r>
        <w:rPr>
          <w:rFonts w:ascii="Arial" w:hAnsi="Arial" w:cs="Arial"/>
        </w:rPr>
        <w:t xml:space="preserve">in </w:t>
      </w:r>
      <w:r w:rsidR="00975618">
        <w:rPr>
          <w:rFonts w:ascii="Arial" w:hAnsi="Arial" w:cs="Arial"/>
        </w:rPr>
        <w:t>non-pregnant adults</w:t>
      </w:r>
      <w:r w:rsidR="00F45D08">
        <w:rPr>
          <w:rFonts w:ascii="Arial" w:hAnsi="Arial" w:cs="Arial"/>
        </w:rPr>
        <w:t xml:space="preserve"> in </w:t>
      </w:r>
      <w:r>
        <w:rPr>
          <w:rFonts w:ascii="Arial" w:hAnsi="Arial" w:cs="Arial"/>
        </w:rPr>
        <w:t>sub-Saharan Africa</w:t>
      </w:r>
      <w:r w:rsidR="00BC4784" w:rsidRPr="006D7CBA">
        <w:rPr>
          <w:rFonts w:ascii="Arial" w:hAnsi="Arial" w:cs="Arial"/>
          <w:vertAlign w:val="superscript"/>
        </w:rPr>
        <w:t>7,18,19</w:t>
      </w:r>
      <w:r>
        <w:rPr>
          <w:rFonts w:ascii="Arial" w:hAnsi="Arial" w:cs="Arial"/>
        </w:rPr>
        <w:t xml:space="preserve">. </w:t>
      </w:r>
    </w:p>
    <w:p w14:paraId="04916F1E" w14:textId="77777777" w:rsidR="00643C0A" w:rsidRDefault="00643C0A" w:rsidP="00881686">
      <w:pPr>
        <w:spacing w:line="360" w:lineRule="auto"/>
        <w:jc w:val="both"/>
        <w:rPr>
          <w:rFonts w:ascii="Arial" w:hAnsi="Arial" w:cs="Arial"/>
        </w:rPr>
      </w:pPr>
    </w:p>
    <w:p w14:paraId="4ED75A2A" w14:textId="0B19F445" w:rsidR="00CA28E0" w:rsidRDefault="00643C0A" w:rsidP="0093092C">
      <w:pPr>
        <w:spacing w:line="360" w:lineRule="auto"/>
        <w:jc w:val="both"/>
        <w:rPr>
          <w:rFonts w:ascii="Arial" w:hAnsi="Arial" w:cs="Arial"/>
        </w:rPr>
      </w:pPr>
      <w:r>
        <w:rPr>
          <w:rFonts w:ascii="Arial" w:hAnsi="Arial" w:cs="Arial"/>
          <w:lang w:val="en-GB"/>
        </w:rPr>
        <w:t>The infant</w:t>
      </w:r>
      <w:r w:rsidRPr="00050492">
        <w:rPr>
          <w:rFonts w:ascii="Arial" w:hAnsi="Arial" w:cs="Arial"/>
          <w:lang w:val="en-GB"/>
        </w:rPr>
        <w:t xml:space="preserve"> deaths, stillbirths and infant </w:t>
      </w:r>
      <w:r>
        <w:rPr>
          <w:rFonts w:ascii="Arial" w:hAnsi="Arial" w:cs="Arial"/>
          <w:lang w:val="en-GB"/>
        </w:rPr>
        <w:t>transmissions observed</w:t>
      </w:r>
      <w:r w:rsidRPr="00050492">
        <w:rPr>
          <w:rFonts w:ascii="Arial" w:hAnsi="Arial" w:cs="Arial"/>
          <w:lang w:val="en-GB"/>
        </w:rPr>
        <w:t xml:space="preserve"> attest to the poor outcomes previously reported in this group of mothers</w:t>
      </w:r>
      <w:r w:rsidR="00BC4784" w:rsidRPr="006D7CBA">
        <w:rPr>
          <w:rFonts w:ascii="Arial" w:hAnsi="Arial" w:cs="Arial"/>
          <w:vertAlign w:val="superscript"/>
          <w:lang w:val="en-GB"/>
        </w:rPr>
        <w:t>3</w:t>
      </w:r>
      <w:r>
        <w:rPr>
          <w:rFonts w:ascii="Arial" w:hAnsi="Arial" w:cs="Arial"/>
          <w:lang w:val="en-GB"/>
        </w:rPr>
        <w:t xml:space="preserve">. </w:t>
      </w:r>
      <w:r w:rsidR="00315074">
        <w:rPr>
          <w:rFonts w:ascii="Arial" w:hAnsi="Arial" w:cs="Arial"/>
          <w:lang w:val="en-GB"/>
        </w:rPr>
        <w:t>D</w:t>
      </w:r>
      <w:r>
        <w:rPr>
          <w:rFonts w:ascii="Arial" w:hAnsi="Arial" w:cs="Arial"/>
          <w:lang w:val="en-GB"/>
        </w:rPr>
        <w:t xml:space="preserve">etailed examination </w:t>
      </w:r>
      <w:r w:rsidR="002D12E7">
        <w:rPr>
          <w:rFonts w:ascii="Arial" w:hAnsi="Arial" w:cs="Arial"/>
          <w:lang w:val="en-GB"/>
        </w:rPr>
        <w:t>revealed that</w:t>
      </w:r>
      <w:r>
        <w:rPr>
          <w:rFonts w:ascii="Arial" w:hAnsi="Arial" w:cs="Arial"/>
          <w:lang w:val="en-GB"/>
        </w:rPr>
        <w:t xml:space="preserve"> antiretroviral therapy or IRIS </w:t>
      </w:r>
      <w:r w:rsidR="00B33833">
        <w:rPr>
          <w:rFonts w:ascii="Arial" w:hAnsi="Arial" w:cs="Arial"/>
          <w:lang w:val="en-GB"/>
        </w:rPr>
        <w:t xml:space="preserve">was considered </w:t>
      </w:r>
      <w:r w:rsidR="002D12E7">
        <w:rPr>
          <w:rFonts w:ascii="Arial" w:hAnsi="Arial" w:cs="Arial"/>
          <w:lang w:val="en-GB"/>
        </w:rPr>
        <w:t>unlikely</w:t>
      </w:r>
      <w:r>
        <w:rPr>
          <w:rFonts w:ascii="Arial" w:hAnsi="Arial" w:cs="Arial"/>
          <w:lang w:val="en-GB"/>
        </w:rPr>
        <w:t xml:space="preserve"> to </w:t>
      </w:r>
      <w:r w:rsidR="002D12E7">
        <w:rPr>
          <w:rFonts w:ascii="Arial" w:hAnsi="Arial" w:cs="Arial"/>
          <w:lang w:val="en-GB"/>
        </w:rPr>
        <w:t>play a significant role</w:t>
      </w:r>
      <w:r>
        <w:rPr>
          <w:rFonts w:ascii="Arial" w:hAnsi="Arial" w:cs="Arial"/>
          <w:lang w:val="en-GB"/>
        </w:rPr>
        <w:t xml:space="preserve"> in any </w:t>
      </w:r>
      <w:r w:rsidR="002D12E7">
        <w:rPr>
          <w:rFonts w:ascii="Arial" w:hAnsi="Arial" w:cs="Arial"/>
          <w:lang w:val="en-GB"/>
        </w:rPr>
        <w:t>of these cases</w:t>
      </w:r>
      <w:r>
        <w:rPr>
          <w:rFonts w:ascii="Arial" w:hAnsi="Arial" w:cs="Arial"/>
          <w:lang w:val="en-GB"/>
        </w:rPr>
        <w:t xml:space="preserve">. Of the </w:t>
      </w:r>
      <w:r w:rsidR="00975618">
        <w:rPr>
          <w:rFonts w:ascii="Arial" w:hAnsi="Arial" w:cs="Arial"/>
          <w:lang w:val="en-GB"/>
        </w:rPr>
        <w:t>four</w:t>
      </w:r>
      <w:r w:rsidR="001A4941">
        <w:rPr>
          <w:rFonts w:ascii="Arial" w:hAnsi="Arial" w:cs="Arial"/>
        </w:rPr>
        <w:t xml:space="preserve"> </w:t>
      </w:r>
      <w:r w:rsidR="008E7B78">
        <w:rPr>
          <w:rFonts w:ascii="Arial" w:hAnsi="Arial" w:cs="Arial"/>
        </w:rPr>
        <w:t>stillbirths</w:t>
      </w:r>
      <w:r w:rsidR="00A66A04">
        <w:rPr>
          <w:rFonts w:ascii="Arial" w:hAnsi="Arial" w:cs="Arial"/>
        </w:rPr>
        <w:t>,</w:t>
      </w:r>
      <w:r w:rsidR="008E7B78">
        <w:rPr>
          <w:rFonts w:ascii="Arial" w:hAnsi="Arial" w:cs="Arial"/>
        </w:rPr>
        <w:t xml:space="preserve"> </w:t>
      </w:r>
      <w:r w:rsidR="00975618">
        <w:rPr>
          <w:rFonts w:ascii="Arial" w:hAnsi="Arial" w:cs="Arial"/>
        </w:rPr>
        <w:t>two were</w:t>
      </w:r>
      <w:r w:rsidR="008E7B78">
        <w:rPr>
          <w:rFonts w:ascii="Arial" w:hAnsi="Arial" w:cs="Arial"/>
        </w:rPr>
        <w:t xml:space="preserve"> related to obstetric complications</w:t>
      </w:r>
      <w:r w:rsidR="006E2E7B">
        <w:rPr>
          <w:rFonts w:ascii="Arial" w:hAnsi="Arial" w:cs="Arial"/>
        </w:rPr>
        <w:t xml:space="preserve"> </w:t>
      </w:r>
      <w:r>
        <w:rPr>
          <w:rFonts w:ascii="Arial" w:hAnsi="Arial" w:cs="Arial"/>
        </w:rPr>
        <w:t>and</w:t>
      </w:r>
      <w:r w:rsidR="006E2E7B">
        <w:rPr>
          <w:rFonts w:ascii="Arial" w:hAnsi="Arial" w:cs="Arial"/>
        </w:rPr>
        <w:t xml:space="preserve"> two to </w:t>
      </w:r>
      <w:r w:rsidR="00975618">
        <w:rPr>
          <w:rFonts w:ascii="Arial" w:hAnsi="Arial" w:cs="Arial"/>
        </w:rPr>
        <w:t xml:space="preserve">severe maternal </w:t>
      </w:r>
      <w:r w:rsidR="006E2E7B">
        <w:rPr>
          <w:rFonts w:ascii="Arial" w:hAnsi="Arial" w:cs="Arial"/>
        </w:rPr>
        <w:t xml:space="preserve">infection. </w:t>
      </w:r>
      <w:r w:rsidR="00B33833">
        <w:rPr>
          <w:rFonts w:ascii="Arial" w:hAnsi="Arial" w:cs="Arial"/>
        </w:rPr>
        <w:t xml:space="preserve">The </w:t>
      </w:r>
      <w:r w:rsidR="00A223E3">
        <w:rPr>
          <w:rFonts w:ascii="Arial" w:hAnsi="Arial" w:cs="Arial"/>
        </w:rPr>
        <w:t xml:space="preserve">six </w:t>
      </w:r>
      <w:r w:rsidR="006E2E7B">
        <w:rPr>
          <w:rFonts w:ascii="Arial" w:hAnsi="Arial" w:cs="Arial"/>
        </w:rPr>
        <w:t xml:space="preserve">infant deaths were related to conditions </w:t>
      </w:r>
      <w:r w:rsidR="00975618">
        <w:rPr>
          <w:rFonts w:ascii="Arial" w:hAnsi="Arial" w:cs="Arial"/>
        </w:rPr>
        <w:t>prevalent</w:t>
      </w:r>
      <w:r w:rsidR="006E2E7B">
        <w:rPr>
          <w:rFonts w:ascii="Arial" w:hAnsi="Arial" w:cs="Arial"/>
        </w:rPr>
        <w:t xml:space="preserve"> </w:t>
      </w:r>
      <w:r w:rsidR="00C01BD6">
        <w:rPr>
          <w:rFonts w:ascii="Arial" w:hAnsi="Arial" w:cs="Arial"/>
        </w:rPr>
        <w:t xml:space="preserve">in </w:t>
      </w:r>
      <w:r w:rsidR="00975618">
        <w:rPr>
          <w:rFonts w:ascii="Arial" w:hAnsi="Arial" w:cs="Arial"/>
        </w:rPr>
        <w:t xml:space="preserve">Uganda and S Africa </w:t>
      </w:r>
      <w:r>
        <w:rPr>
          <w:rFonts w:ascii="Arial" w:hAnsi="Arial" w:cs="Arial"/>
        </w:rPr>
        <w:t>where</w:t>
      </w:r>
      <w:r w:rsidR="00BF0C16">
        <w:rPr>
          <w:rFonts w:ascii="Arial" w:hAnsi="Arial" w:cs="Arial"/>
        </w:rPr>
        <w:t xml:space="preserve"> </w:t>
      </w:r>
      <w:r w:rsidR="00975618">
        <w:rPr>
          <w:rFonts w:ascii="Arial" w:hAnsi="Arial" w:cs="Arial"/>
        </w:rPr>
        <w:t xml:space="preserve">neonatal mortality </w:t>
      </w:r>
      <w:r w:rsidR="00975618">
        <w:rPr>
          <w:rFonts w:ascii="Arial" w:hAnsi="Arial" w:cs="Arial"/>
        </w:rPr>
        <w:lastRenderedPageBreak/>
        <w:t>rates are four to nine times those of Western Europe</w:t>
      </w:r>
      <w:r w:rsidR="00BC4784" w:rsidRPr="006D7CBA">
        <w:rPr>
          <w:rFonts w:ascii="Arial" w:hAnsi="Arial" w:cs="Arial"/>
          <w:vertAlign w:val="superscript"/>
        </w:rPr>
        <w:t>20,21</w:t>
      </w:r>
      <w:r w:rsidR="00907B49">
        <w:rPr>
          <w:rFonts w:ascii="Arial" w:hAnsi="Arial" w:cs="Arial"/>
        </w:rPr>
        <w:t xml:space="preserve">. We did not observe any increased risk of birth defects, although treatment was only </w:t>
      </w:r>
      <w:r w:rsidR="0093092C">
        <w:rPr>
          <w:rFonts w:ascii="Arial" w:hAnsi="Arial" w:cs="Arial"/>
        </w:rPr>
        <w:t>initiated</w:t>
      </w:r>
      <w:r w:rsidR="00907B49">
        <w:rPr>
          <w:rFonts w:ascii="Arial" w:hAnsi="Arial" w:cs="Arial"/>
        </w:rPr>
        <w:t xml:space="preserve"> </w:t>
      </w:r>
      <w:r w:rsidR="0093092C">
        <w:rPr>
          <w:rFonts w:ascii="Arial" w:hAnsi="Arial" w:cs="Arial"/>
        </w:rPr>
        <w:t xml:space="preserve">after </w:t>
      </w:r>
      <w:r w:rsidR="00907B49">
        <w:rPr>
          <w:rFonts w:ascii="Arial" w:hAnsi="Arial" w:cs="Arial"/>
        </w:rPr>
        <w:t xml:space="preserve">organogenesis </w:t>
      </w:r>
      <w:r w:rsidR="0093092C">
        <w:rPr>
          <w:rFonts w:ascii="Arial" w:hAnsi="Arial" w:cs="Arial"/>
        </w:rPr>
        <w:t xml:space="preserve">was </w:t>
      </w:r>
      <w:r w:rsidR="00907B49">
        <w:rPr>
          <w:rFonts w:ascii="Arial" w:hAnsi="Arial" w:cs="Arial"/>
        </w:rPr>
        <w:t>complete</w:t>
      </w:r>
      <w:r w:rsidR="0093092C">
        <w:rPr>
          <w:rFonts w:ascii="Arial" w:hAnsi="Arial" w:cs="Arial"/>
        </w:rPr>
        <w:t>d</w:t>
      </w:r>
      <w:r w:rsidR="00907B49">
        <w:rPr>
          <w:rFonts w:ascii="Arial" w:hAnsi="Arial" w:cs="Arial"/>
        </w:rPr>
        <w:t xml:space="preserve">. </w:t>
      </w:r>
    </w:p>
    <w:p w14:paraId="7A0D037D" w14:textId="604BDE99" w:rsidR="00F95BCC" w:rsidRDefault="00F95BCC" w:rsidP="0093092C">
      <w:pPr>
        <w:spacing w:line="360" w:lineRule="auto"/>
        <w:jc w:val="both"/>
        <w:rPr>
          <w:rFonts w:ascii="Arial" w:hAnsi="Arial" w:cs="Arial"/>
        </w:rPr>
      </w:pPr>
    </w:p>
    <w:p w14:paraId="59A78E17" w14:textId="5737EF21" w:rsidR="00F95BCC" w:rsidRDefault="00F95BCC" w:rsidP="0093092C">
      <w:pPr>
        <w:spacing w:line="360" w:lineRule="auto"/>
        <w:jc w:val="both"/>
        <w:rPr>
          <w:rFonts w:ascii="Arial" w:hAnsi="Arial" w:cs="Arial"/>
        </w:rPr>
      </w:pPr>
      <w:r>
        <w:rPr>
          <w:rFonts w:ascii="Arial" w:hAnsi="Arial" w:cs="Arial"/>
        </w:rPr>
        <w:t>Our sample size was not sufficiently large to study differences in infant transmis</w:t>
      </w:r>
      <w:r w:rsidR="009211D3">
        <w:rPr>
          <w:rFonts w:ascii="Arial" w:hAnsi="Arial" w:cs="Arial"/>
        </w:rPr>
        <w:t>si</w:t>
      </w:r>
      <w:r>
        <w:rPr>
          <w:rFonts w:ascii="Arial" w:hAnsi="Arial" w:cs="Arial"/>
        </w:rPr>
        <w:t xml:space="preserve">ons, although we were powered to detect </w:t>
      </w:r>
      <w:proofErr w:type="spellStart"/>
      <w:r>
        <w:rPr>
          <w:rFonts w:ascii="Arial" w:hAnsi="Arial" w:cs="Arial"/>
        </w:rPr>
        <w:t>virological</w:t>
      </w:r>
      <w:proofErr w:type="spellEnd"/>
      <w:r>
        <w:rPr>
          <w:rFonts w:ascii="Arial" w:hAnsi="Arial" w:cs="Arial"/>
        </w:rPr>
        <w:t xml:space="preserve"> superiority by delivery (the best validated proxy</w:t>
      </w:r>
      <w:r w:rsidR="001E182D">
        <w:rPr>
          <w:rFonts w:ascii="Arial" w:hAnsi="Arial" w:cs="Arial"/>
        </w:rPr>
        <w:t xml:space="preserve"> for vertical HIV transmission)</w:t>
      </w:r>
      <w:r>
        <w:rPr>
          <w:rFonts w:ascii="Arial" w:hAnsi="Arial" w:cs="Arial"/>
        </w:rPr>
        <w:t xml:space="preserve">. </w:t>
      </w:r>
      <w:r w:rsidR="009211D3">
        <w:rPr>
          <w:rFonts w:ascii="Arial" w:hAnsi="Arial" w:cs="Arial"/>
        </w:rPr>
        <w:t xml:space="preserve">Safety follow-up of mothers and babies was limited given the relatively short time between third trimester initiation and our primary endpoint at delivery, however continued follow-up of post-partum and infant outcomes continues to 72 weeks. The higher frequency of SAEs observed with dolutegravir should be confirmed in other studies and observational datasets which are planned and in progress. </w:t>
      </w:r>
    </w:p>
    <w:p w14:paraId="36AADE11" w14:textId="77777777" w:rsidR="00CA28E0" w:rsidRDefault="00CA28E0" w:rsidP="0093092C">
      <w:pPr>
        <w:spacing w:line="360" w:lineRule="auto"/>
        <w:jc w:val="both"/>
        <w:rPr>
          <w:rFonts w:ascii="Arial" w:hAnsi="Arial" w:cs="Arial"/>
        </w:rPr>
      </w:pPr>
    </w:p>
    <w:p w14:paraId="710F843B" w14:textId="4864747B" w:rsidR="001B4E6D" w:rsidRDefault="005C0FA6" w:rsidP="0093092C">
      <w:pPr>
        <w:spacing w:after="160" w:line="360" w:lineRule="auto"/>
        <w:jc w:val="both"/>
        <w:rPr>
          <w:rFonts w:ascii="Arial" w:hAnsi="Arial" w:cs="Arial"/>
        </w:rPr>
      </w:pPr>
      <w:r w:rsidRPr="000E4127">
        <w:rPr>
          <w:rFonts w:ascii="Arial" w:hAnsi="Arial" w:cs="Arial"/>
          <w:color w:val="000000"/>
        </w:rPr>
        <w:t xml:space="preserve">Policymakers </w:t>
      </w:r>
      <w:r>
        <w:rPr>
          <w:rFonts w:ascii="Arial" w:hAnsi="Arial" w:cs="Arial"/>
          <w:color w:val="000000"/>
        </w:rPr>
        <w:t xml:space="preserve">weigh </w:t>
      </w:r>
      <w:r w:rsidRPr="000E4127">
        <w:rPr>
          <w:rFonts w:ascii="Arial" w:hAnsi="Arial" w:cs="Arial"/>
          <w:color w:val="000000"/>
        </w:rPr>
        <w:t>risk</w:t>
      </w:r>
      <w:r w:rsidR="00675C4A">
        <w:rPr>
          <w:rFonts w:ascii="Arial" w:hAnsi="Arial" w:cs="Arial"/>
          <w:color w:val="000000"/>
        </w:rPr>
        <w:t>-b</w:t>
      </w:r>
      <w:r w:rsidRPr="000E4127">
        <w:rPr>
          <w:rFonts w:ascii="Arial" w:hAnsi="Arial" w:cs="Arial"/>
          <w:color w:val="000000"/>
        </w:rPr>
        <w:t xml:space="preserve">enefit of </w:t>
      </w:r>
      <w:r w:rsidR="00675C4A">
        <w:rPr>
          <w:rFonts w:ascii="Arial" w:hAnsi="Arial" w:cs="Arial"/>
          <w:color w:val="000000"/>
        </w:rPr>
        <w:t>new treatments before</w:t>
      </w:r>
      <w:r w:rsidRPr="000E4127">
        <w:rPr>
          <w:rFonts w:ascii="Arial" w:hAnsi="Arial" w:cs="Arial"/>
          <w:color w:val="000000"/>
        </w:rPr>
        <w:t xml:space="preserve"> data in pregnancy</w:t>
      </w:r>
      <w:r>
        <w:rPr>
          <w:rFonts w:ascii="Arial" w:hAnsi="Arial" w:cs="Arial"/>
          <w:color w:val="000000"/>
        </w:rPr>
        <w:t xml:space="preserve"> </w:t>
      </w:r>
      <w:r w:rsidR="00675C4A">
        <w:rPr>
          <w:rFonts w:ascii="Arial" w:hAnsi="Arial" w:cs="Arial"/>
          <w:color w:val="000000"/>
        </w:rPr>
        <w:t>are available</w:t>
      </w:r>
      <w:r w:rsidR="00BC4784" w:rsidRPr="006D7CBA">
        <w:rPr>
          <w:rFonts w:ascii="Arial" w:hAnsi="Arial" w:cs="Arial"/>
          <w:color w:val="000000"/>
          <w:vertAlign w:val="superscript"/>
        </w:rPr>
        <w:t>22</w:t>
      </w:r>
      <w:r>
        <w:rPr>
          <w:rFonts w:ascii="Arial" w:hAnsi="Arial" w:cs="Arial"/>
          <w:color w:val="000000"/>
        </w:rPr>
        <w:t xml:space="preserve">. </w:t>
      </w:r>
      <w:r w:rsidR="00663220">
        <w:rPr>
          <w:rFonts w:ascii="Arial" w:hAnsi="Arial" w:cs="Arial"/>
        </w:rPr>
        <w:t>A</w:t>
      </w:r>
      <w:r>
        <w:rPr>
          <w:rFonts w:ascii="Arial" w:hAnsi="Arial" w:cs="Arial"/>
        </w:rPr>
        <w:t xml:space="preserve"> preliminary </w:t>
      </w:r>
      <w:r w:rsidR="00675C4A">
        <w:rPr>
          <w:rFonts w:ascii="Arial" w:hAnsi="Arial" w:cs="Arial"/>
        </w:rPr>
        <w:t>association with</w:t>
      </w:r>
      <w:r>
        <w:rPr>
          <w:rFonts w:ascii="Arial" w:hAnsi="Arial" w:cs="Arial"/>
        </w:rPr>
        <w:t xml:space="preserve"> neural tube defects </w:t>
      </w:r>
      <w:r w:rsidR="00B33833">
        <w:rPr>
          <w:rFonts w:ascii="Arial" w:hAnsi="Arial" w:cs="Arial"/>
        </w:rPr>
        <w:t>triggered</w:t>
      </w:r>
      <w:r>
        <w:rPr>
          <w:rFonts w:ascii="Arial" w:hAnsi="Arial" w:cs="Arial"/>
        </w:rPr>
        <w:t xml:space="preserve"> </w:t>
      </w:r>
      <w:r>
        <w:rPr>
          <w:rFonts w:ascii="Arial" w:hAnsi="Arial" w:cs="Arial"/>
          <w:color w:val="000000"/>
        </w:rPr>
        <w:t xml:space="preserve">precautionary measures globally, </w:t>
      </w:r>
      <w:r w:rsidR="00675C4A">
        <w:rPr>
          <w:rFonts w:ascii="Arial" w:hAnsi="Arial" w:cs="Arial"/>
          <w:color w:val="000000"/>
        </w:rPr>
        <w:t xml:space="preserve">ranging widely in permissiveness for </w:t>
      </w:r>
      <w:r w:rsidR="002229C4">
        <w:rPr>
          <w:rFonts w:ascii="Arial" w:hAnsi="Arial" w:cs="Arial"/>
          <w:color w:val="000000"/>
        </w:rPr>
        <w:t>dolutegravir</w:t>
      </w:r>
      <w:r w:rsidR="00675C4A">
        <w:rPr>
          <w:rFonts w:ascii="Arial" w:hAnsi="Arial" w:cs="Arial"/>
          <w:color w:val="000000"/>
        </w:rPr>
        <w:t xml:space="preserve"> use in women</w:t>
      </w:r>
      <w:r w:rsidR="00BC4784" w:rsidRPr="006D7CBA">
        <w:rPr>
          <w:rFonts w:ascii="Arial" w:hAnsi="Arial" w:cs="Arial"/>
          <w:color w:val="000000"/>
          <w:vertAlign w:val="superscript"/>
        </w:rPr>
        <w:t>23-25</w:t>
      </w:r>
      <w:r w:rsidR="00675C4A">
        <w:rPr>
          <w:rFonts w:ascii="Arial" w:hAnsi="Arial" w:cs="Arial"/>
          <w:color w:val="000000"/>
        </w:rPr>
        <w:t xml:space="preserve">, </w:t>
      </w:r>
      <w:r w:rsidR="00B33833">
        <w:rPr>
          <w:rFonts w:ascii="Arial" w:hAnsi="Arial" w:cs="Arial"/>
          <w:color w:val="000000"/>
        </w:rPr>
        <w:t>increas</w:t>
      </w:r>
      <w:r w:rsidR="00675C4A">
        <w:rPr>
          <w:rFonts w:ascii="Arial" w:hAnsi="Arial" w:cs="Arial"/>
          <w:color w:val="000000"/>
        </w:rPr>
        <w:t>ing</w:t>
      </w:r>
      <w:r w:rsidR="00B33833">
        <w:rPr>
          <w:rFonts w:ascii="Arial" w:hAnsi="Arial" w:cs="Arial"/>
          <w:color w:val="000000"/>
        </w:rPr>
        <w:t xml:space="preserve"> the</w:t>
      </w:r>
      <w:r>
        <w:rPr>
          <w:rFonts w:ascii="Arial" w:hAnsi="Arial" w:cs="Arial"/>
        </w:rPr>
        <w:t xml:space="preserve"> burden </w:t>
      </w:r>
      <w:r w:rsidR="00B33833">
        <w:rPr>
          <w:rFonts w:ascii="Arial" w:hAnsi="Arial" w:cs="Arial"/>
        </w:rPr>
        <w:t xml:space="preserve">of </w:t>
      </w:r>
      <w:r>
        <w:rPr>
          <w:rFonts w:ascii="Arial" w:hAnsi="Arial" w:cs="Arial"/>
        </w:rPr>
        <w:t xml:space="preserve">healthcare </w:t>
      </w:r>
      <w:r w:rsidR="00B33833">
        <w:rPr>
          <w:rFonts w:ascii="Arial" w:hAnsi="Arial" w:cs="Arial"/>
        </w:rPr>
        <w:t>provision</w:t>
      </w:r>
      <w:r w:rsidR="00BC4784" w:rsidRPr="006D7CBA">
        <w:rPr>
          <w:rFonts w:ascii="Arial" w:hAnsi="Arial" w:cs="Arial"/>
          <w:vertAlign w:val="superscript"/>
        </w:rPr>
        <w:t>26</w:t>
      </w:r>
      <w:r>
        <w:rPr>
          <w:rFonts w:ascii="Arial" w:hAnsi="Arial" w:cs="Arial"/>
        </w:rPr>
        <w:t>, and delay</w:t>
      </w:r>
      <w:r w:rsidR="00675C4A">
        <w:rPr>
          <w:rFonts w:ascii="Arial" w:hAnsi="Arial" w:cs="Arial"/>
        </w:rPr>
        <w:t>ing</w:t>
      </w:r>
      <w:r>
        <w:rPr>
          <w:rFonts w:ascii="Arial" w:hAnsi="Arial" w:cs="Arial"/>
        </w:rPr>
        <w:t xml:space="preserve"> implementation of </w:t>
      </w:r>
      <w:r w:rsidR="002229C4">
        <w:rPr>
          <w:rFonts w:ascii="Arial" w:hAnsi="Arial" w:cs="Arial"/>
        </w:rPr>
        <w:t>dolutegravir</w:t>
      </w:r>
      <w:r w:rsidR="00675C4A">
        <w:rPr>
          <w:rFonts w:ascii="Arial" w:hAnsi="Arial" w:cs="Arial"/>
        </w:rPr>
        <w:t xml:space="preserve"> rollout</w:t>
      </w:r>
      <w:r>
        <w:rPr>
          <w:rFonts w:ascii="Arial" w:hAnsi="Arial" w:cs="Arial"/>
        </w:rPr>
        <w:t xml:space="preserve">. </w:t>
      </w:r>
      <w:r w:rsidR="00675C4A">
        <w:rPr>
          <w:rFonts w:ascii="Arial" w:hAnsi="Arial" w:cs="Arial"/>
        </w:rPr>
        <w:t>Population</w:t>
      </w:r>
      <w:r w:rsidR="00BB1049">
        <w:rPr>
          <w:rFonts w:ascii="Arial" w:hAnsi="Arial" w:cs="Arial"/>
        </w:rPr>
        <w:t xml:space="preserve"> modelling </w:t>
      </w:r>
      <w:r w:rsidR="00675C4A">
        <w:rPr>
          <w:rFonts w:ascii="Arial" w:hAnsi="Arial" w:cs="Arial"/>
        </w:rPr>
        <w:t>suggests</w:t>
      </w:r>
      <w:r w:rsidR="00BB1049">
        <w:rPr>
          <w:rFonts w:ascii="Arial" w:hAnsi="Arial" w:cs="Arial"/>
        </w:rPr>
        <w:t xml:space="preserve"> that net </w:t>
      </w:r>
      <w:r w:rsidR="00675C4A">
        <w:rPr>
          <w:rFonts w:ascii="Arial" w:hAnsi="Arial" w:cs="Arial"/>
        </w:rPr>
        <w:t xml:space="preserve">population </w:t>
      </w:r>
      <w:r w:rsidR="00BB1049">
        <w:rPr>
          <w:rFonts w:ascii="Arial" w:hAnsi="Arial" w:cs="Arial"/>
        </w:rPr>
        <w:t xml:space="preserve">health benefits accrue when </w:t>
      </w:r>
      <w:r w:rsidR="00CB32E9">
        <w:rPr>
          <w:rFonts w:ascii="Arial" w:hAnsi="Arial" w:cs="Arial"/>
        </w:rPr>
        <w:t>transitioning to</w:t>
      </w:r>
      <w:r w:rsidR="00BB1049">
        <w:rPr>
          <w:rFonts w:ascii="Arial" w:hAnsi="Arial" w:cs="Arial"/>
        </w:rPr>
        <w:t xml:space="preserve"> dolutegravir, including </w:t>
      </w:r>
      <w:r w:rsidR="00132BD4">
        <w:rPr>
          <w:rFonts w:ascii="Arial" w:hAnsi="Arial" w:cs="Arial"/>
        </w:rPr>
        <w:t xml:space="preserve">for </w:t>
      </w:r>
      <w:r w:rsidR="00BB1049">
        <w:rPr>
          <w:rFonts w:ascii="Arial" w:hAnsi="Arial" w:cs="Arial"/>
        </w:rPr>
        <w:t xml:space="preserve">women of </w:t>
      </w:r>
      <w:proofErr w:type="gramStart"/>
      <w:r w:rsidR="00BB1049">
        <w:rPr>
          <w:rFonts w:ascii="Arial" w:hAnsi="Arial" w:cs="Arial"/>
        </w:rPr>
        <w:t>child bearing</w:t>
      </w:r>
      <w:proofErr w:type="gramEnd"/>
      <w:r w:rsidR="00BB1049">
        <w:rPr>
          <w:rFonts w:ascii="Arial" w:hAnsi="Arial" w:cs="Arial"/>
        </w:rPr>
        <w:t xml:space="preserve"> potential</w:t>
      </w:r>
      <w:r w:rsidR="00BC4784" w:rsidRPr="006D7CBA">
        <w:rPr>
          <w:rFonts w:ascii="Arial" w:hAnsi="Arial" w:cs="Arial"/>
          <w:vertAlign w:val="superscript"/>
        </w:rPr>
        <w:t>27,28</w:t>
      </w:r>
      <w:r w:rsidR="00BB1049">
        <w:rPr>
          <w:rFonts w:ascii="Arial" w:hAnsi="Arial" w:cs="Arial"/>
        </w:rPr>
        <w:t xml:space="preserve">. </w:t>
      </w:r>
      <w:r w:rsidR="00C77CDD">
        <w:rPr>
          <w:rFonts w:ascii="Arial" w:hAnsi="Arial" w:cs="Arial"/>
        </w:rPr>
        <w:t xml:space="preserve">This would hold true notwithstanding </w:t>
      </w:r>
      <w:r w:rsidR="00FD3710">
        <w:rPr>
          <w:rFonts w:ascii="Arial" w:hAnsi="Arial" w:cs="Arial"/>
        </w:rPr>
        <w:t>the differences in</w:t>
      </w:r>
      <w:r w:rsidR="00C77CDD">
        <w:rPr>
          <w:rFonts w:ascii="Arial" w:hAnsi="Arial" w:cs="Arial"/>
        </w:rPr>
        <w:t xml:space="preserve"> SAEs amongst mothers assigned to </w:t>
      </w:r>
      <w:r w:rsidR="002229C4">
        <w:rPr>
          <w:rFonts w:ascii="Arial" w:hAnsi="Arial" w:cs="Arial"/>
        </w:rPr>
        <w:t>dolutegravir</w:t>
      </w:r>
      <w:r w:rsidR="00C77CDD">
        <w:rPr>
          <w:rFonts w:ascii="Arial" w:hAnsi="Arial" w:cs="Arial"/>
        </w:rPr>
        <w:t xml:space="preserve">. </w:t>
      </w:r>
      <w:r w:rsidR="00E9226A">
        <w:rPr>
          <w:rFonts w:ascii="Arial" w:hAnsi="Arial" w:cs="Arial"/>
        </w:rPr>
        <w:t xml:space="preserve">The DolPHIN-2 results, taken together with the current evidence favoring </w:t>
      </w:r>
      <w:r w:rsidR="002229C4">
        <w:rPr>
          <w:rFonts w:ascii="Arial" w:hAnsi="Arial" w:cs="Arial"/>
        </w:rPr>
        <w:t>dolutegravir</w:t>
      </w:r>
      <w:r w:rsidR="00E9226A">
        <w:rPr>
          <w:rFonts w:ascii="Arial" w:hAnsi="Arial" w:cs="Arial"/>
        </w:rPr>
        <w:t xml:space="preserve"> use over </w:t>
      </w:r>
      <w:r w:rsidR="002229C4">
        <w:rPr>
          <w:rFonts w:ascii="Arial" w:hAnsi="Arial" w:cs="Arial"/>
        </w:rPr>
        <w:t>efavirenz</w:t>
      </w:r>
      <w:r w:rsidR="00E9226A">
        <w:rPr>
          <w:rFonts w:ascii="Arial" w:hAnsi="Arial" w:cs="Arial"/>
        </w:rPr>
        <w:t xml:space="preserve"> (especially in countries where HIV drug resistance is increasing</w:t>
      </w:r>
      <w:r w:rsidR="00BC4784" w:rsidRPr="006D7CBA">
        <w:rPr>
          <w:rFonts w:ascii="Arial" w:hAnsi="Arial" w:cs="Arial"/>
          <w:vertAlign w:val="superscript"/>
        </w:rPr>
        <w:t>29</w:t>
      </w:r>
      <w:r w:rsidR="00E9226A">
        <w:rPr>
          <w:rFonts w:ascii="Arial" w:hAnsi="Arial" w:cs="Arial"/>
        </w:rPr>
        <w:t xml:space="preserve">) </w:t>
      </w:r>
      <w:r w:rsidR="007C62BE">
        <w:rPr>
          <w:rFonts w:ascii="Arial" w:hAnsi="Arial" w:cs="Arial"/>
        </w:rPr>
        <w:t>strongly support</w:t>
      </w:r>
      <w:r w:rsidR="00132BD4">
        <w:rPr>
          <w:rFonts w:ascii="Arial" w:hAnsi="Arial" w:cs="Arial"/>
        </w:rPr>
        <w:t xml:space="preserve"> global transition to dolutegravir use in first-line antiretroviral therapy.</w:t>
      </w:r>
    </w:p>
    <w:p w14:paraId="1834D52F" w14:textId="5DA61805" w:rsidR="00C37B18" w:rsidRDefault="00C37B18" w:rsidP="0093092C">
      <w:pPr>
        <w:spacing w:after="160" w:line="360" w:lineRule="auto"/>
        <w:jc w:val="both"/>
        <w:rPr>
          <w:rFonts w:ascii="Arial" w:hAnsi="Arial" w:cs="Arial"/>
        </w:rPr>
      </w:pPr>
    </w:p>
    <w:p w14:paraId="5593A0B4" w14:textId="1B88FC73" w:rsidR="007F60EE" w:rsidRDefault="007F60EE" w:rsidP="0093092C">
      <w:pPr>
        <w:spacing w:after="160" w:line="360" w:lineRule="auto"/>
        <w:jc w:val="both"/>
        <w:rPr>
          <w:rFonts w:ascii="Arial" w:hAnsi="Arial" w:cs="Arial"/>
        </w:rPr>
      </w:pPr>
    </w:p>
    <w:p w14:paraId="71498032" w14:textId="2BC7F5C0" w:rsidR="007F60EE" w:rsidRDefault="007F60EE" w:rsidP="0093092C">
      <w:pPr>
        <w:spacing w:after="160" w:line="360" w:lineRule="auto"/>
        <w:jc w:val="both"/>
        <w:rPr>
          <w:rFonts w:ascii="Arial" w:hAnsi="Arial" w:cs="Arial"/>
        </w:rPr>
      </w:pPr>
    </w:p>
    <w:p w14:paraId="312B9CB2" w14:textId="71271940" w:rsidR="007F60EE" w:rsidRDefault="007F60EE" w:rsidP="0093092C">
      <w:pPr>
        <w:spacing w:after="160" w:line="360" w:lineRule="auto"/>
        <w:jc w:val="both"/>
        <w:rPr>
          <w:rFonts w:ascii="Arial" w:hAnsi="Arial" w:cs="Arial"/>
        </w:rPr>
      </w:pPr>
    </w:p>
    <w:p w14:paraId="04009C1F" w14:textId="77777777" w:rsidR="007F60EE" w:rsidRDefault="007F60EE" w:rsidP="0093092C">
      <w:pPr>
        <w:spacing w:after="160" w:line="360" w:lineRule="auto"/>
        <w:jc w:val="both"/>
        <w:rPr>
          <w:rFonts w:ascii="Arial" w:hAnsi="Arial" w:cs="Arial"/>
        </w:rPr>
      </w:pPr>
    </w:p>
    <w:p w14:paraId="13ECB028" w14:textId="77777777" w:rsidR="00873004" w:rsidRDefault="00873004">
      <w:pPr>
        <w:spacing w:after="160" w:line="259" w:lineRule="auto"/>
        <w:rPr>
          <w:rFonts w:ascii="Arial" w:hAnsi="Arial" w:cs="Arial"/>
        </w:rPr>
      </w:pPr>
      <w:r>
        <w:rPr>
          <w:rFonts w:ascii="Arial" w:hAnsi="Arial" w:cs="Arial"/>
        </w:rPr>
        <w:br w:type="page"/>
      </w:r>
    </w:p>
    <w:p w14:paraId="3C543F98" w14:textId="30D91AFA" w:rsidR="00971DA4" w:rsidRPr="00C308D3" w:rsidRDefault="00971DA4" w:rsidP="00A67253">
      <w:pPr>
        <w:spacing w:line="360" w:lineRule="auto"/>
        <w:jc w:val="both"/>
        <w:rPr>
          <w:rFonts w:ascii="Arial" w:hAnsi="Arial" w:cs="Arial"/>
        </w:rPr>
      </w:pPr>
      <w:r w:rsidRPr="00C308D3">
        <w:rPr>
          <w:rFonts w:ascii="Arial" w:hAnsi="Arial" w:cs="Arial"/>
        </w:rPr>
        <w:lastRenderedPageBreak/>
        <w:t>ACKNOWLEDGEMENTS</w:t>
      </w:r>
    </w:p>
    <w:p w14:paraId="071870BB" w14:textId="77777777" w:rsidR="00971DA4" w:rsidRPr="00C308D3" w:rsidRDefault="00971DA4" w:rsidP="00A67253">
      <w:pPr>
        <w:spacing w:line="360" w:lineRule="auto"/>
        <w:jc w:val="both"/>
        <w:rPr>
          <w:rFonts w:ascii="Arial" w:hAnsi="Arial" w:cs="Arial"/>
        </w:rPr>
      </w:pPr>
    </w:p>
    <w:p w14:paraId="4FA9667D" w14:textId="3E7054BA" w:rsidR="00971DA4" w:rsidRPr="00C308D3" w:rsidRDefault="00132BD4" w:rsidP="00A67253">
      <w:pPr>
        <w:spacing w:line="360" w:lineRule="auto"/>
        <w:jc w:val="both"/>
        <w:rPr>
          <w:rFonts w:ascii="Arial" w:hAnsi="Arial" w:cs="Arial"/>
        </w:rPr>
      </w:pPr>
      <w:r>
        <w:rPr>
          <w:rFonts w:ascii="Arial" w:hAnsi="Arial" w:cs="Arial"/>
        </w:rPr>
        <w:t>We acknowledge the invaluable and generous contributions from all study participants, as well as from staff across health facilities who supported recruitment into our study.</w:t>
      </w:r>
      <w:r w:rsidR="00045218">
        <w:rPr>
          <w:rFonts w:ascii="Arial" w:hAnsi="Arial" w:cs="Arial"/>
        </w:rPr>
        <w:t xml:space="preserve"> We thank </w:t>
      </w:r>
      <w:proofErr w:type="spellStart"/>
      <w:r w:rsidR="00045218">
        <w:rPr>
          <w:rFonts w:ascii="Arial" w:hAnsi="Arial" w:cs="Arial"/>
        </w:rPr>
        <w:t>Yusif</w:t>
      </w:r>
      <w:proofErr w:type="spellEnd"/>
      <w:r w:rsidR="00045218">
        <w:rPr>
          <w:rFonts w:ascii="Arial" w:hAnsi="Arial" w:cs="Arial"/>
        </w:rPr>
        <w:t xml:space="preserve"> Alhassan for advice</w:t>
      </w:r>
      <w:r w:rsidR="005A13A0">
        <w:rPr>
          <w:rFonts w:ascii="Arial" w:hAnsi="Arial" w:cs="Arial"/>
        </w:rPr>
        <w:t xml:space="preserve">.  </w:t>
      </w:r>
      <w:r w:rsidR="00971DA4" w:rsidRPr="00C308D3">
        <w:rPr>
          <w:rFonts w:ascii="Arial" w:hAnsi="Arial" w:cs="Arial"/>
        </w:rPr>
        <w:t xml:space="preserve">The </w:t>
      </w:r>
      <w:r w:rsidR="00647163" w:rsidRPr="00C308D3">
        <w:rPr>
          <w:rFonts w:ascii="Arial" w:hAnsi="Arial" w:cs="Arial"/>
        </w:rPr>
        <w:t>D</w:t>
      </w:r>
      <w:r w:rsidR="00647163">
        <w:rPr>
          <w:rFonts w:ascii="Arial" w:hAnsi="Arial" w:cs="Arial"/>
        </w:rPr>
        <w:t>o</w:t>
      </w:r>
      <w:r w:rsidR="00647163" w:rsidRPr="00C308D3">
        <w:rPr>
          <w:rFonts w:ascii="Arial" w:hAnsi="Arial" w:cs="Arial"/>
        </w:rPr>
        <w:t>lPHIN</w:t>
      </w:r>
      <w:r w:rsidR="00971DA4" w:rsidRPr="00C308D3">
        <w:rPr>
          <w:rFonts w:ascii="Arial" w:hAnsi="Arial" w:cs="Arial"/>
        </w:rPr>
        <w:t xml:space="preserve">-2 </w:t>
      </w:r>
      <w:r w:rsidR="00971DA4">
        <w:rPr>
          <w:rFonts w:ascii="Arial" w:hAnsi="Arial" w:cs="Arial"/>
        </w:rPr>
        <w:t xml:space="preserve">Study was funded by </w:t>
      </w:r>
      <w:proofErr w:type="spellStart"/>
      <w:r w:rsidR="00647163">
        <w:rPr>
          <w:rFonts w:ascii="Arial" w:hAnsi="Arial" w:cs="Arial"/>
        </w:rPr>
        <w:t>Unitaid</w:t>
      </w:r>
      <w:proofErr w:type="spellEnd"/>
      <w:r w:rsidR="00971DA4">
        <w:rPr>
          <w:rFonts w:ascii="Arial" w:hAnsi="Arial" w:cs="Arial"/>
        </w:rPr>
        <w:t xml:space="preserve">. Dolutegravir was donated by </w:t>
      </w:r>
      <w:proofErr w:type="spellStart"/>
      <w:r w:rsidR="00971DA4">
        <w:rPr>
          <w:rFonts w:ascii="Arial" w:hAnsi="Arial" w:cs="Arial"/>
        </w:rPr>
        <w:t>ViiV</w:t>
      </w:r>
      <w:proofErr w:type="spellEnd"/>
      <w:r w:rsidR="00971DA4">
        <w:rPr>
          <w:rFonts w:ascii="Arial" w:hAnsi="Arial" w:cs="Arial"/>
        </w:rPr>
        <w:t xml:space="preserve"> Healthcare. </w:t>
      </w:r>
    </w:p>
    <w:p w14:paraId="5E352C5E" w14:textId="77777777" w:rsidR="00971DA4" w:rsidRDefault="00971DA4" w:rsidP="00A67253">
      <w:pPr>
        <w:spacing w:line="360" w:lineRule="auto"/>
        <w:jc w:val="both"/>
        <w:rPr>
          <w:rFonts w:ascii="Arial" w:hAnsi="Arial" w:cs="Arial"/>
        </w:rPr>
      </w:pPr>
    </w:p>
    <w:p w14:paraId="38F3EB50" w14:textId="77777777" w:rsidR="00971DA4" w:rsidRDefault="00971DA4" w:rsidP="00A67253">
      <w:pPr>
        <w:spacing w:line="360" w:lineRule="auto"/>
        <w:jc w:val="both"/>
        <w:rPr>
          <w:rFonts w:ascii="Arial" w:hAnsi="Arial" w:cs="Arial"/>
        </w:rPr>
      </w:pPr>
    </w:p>
    <w:p w14:paraId="00973BC0" w14:textId="2364548E" w:rsidR="00971DA4" w:rsidRDefault="0025085E" w:rsidP="00A67253">
      <w:pPr>
        <w:spacing w:line="360" w:lineRule="auto"/>
        <w:jc w:val="both"/>
        <w:rPr>
          <w:rFonts w:ascii="Arial" w:hAnsi="Arial" w:cs="Arial"/>
        </w:rPr>
      </w:pPr>
      <w:r>
        <w:rPr>
          <w:rFonts w:ascii="Arial" w:hAnsi="Arial" w:cs="Arial"/>
        </w:rPr>
        <w:t>CONTRIBUTOR’S STATEMENT</w:t>
      </w:r>
    </w:p>
    <w:p w14:paraId="2D9AB6D2" w14:textId="10FC2B63" w:rsidR="0025085E" w:rsidRDefault="0025085E" w:rsidP="0025085E">
      <w:pPr>
        <w:spacing w:line="360" w:lineRule="auto"/>
        <w:jc w:val="both"/>
        <w:rPr>
          <w:rFonts w:ascii="Arial" w:hAnsi="Arial" w:cs="Arial"/>
        </w:rPr>
      </w:pPr>
      <w:r w:rsidRPr="0025085E">
        <w:rPr>
          <w:rFonts w:ascii="Arial" w:hAnsi="Arial" w:cs="Arial"/>
        </w:rPr>
        <w:t>SK, DW, ML, LM, CO, CW</w:t>
      </w:r>
      <w:r>
        <w:rPr>
          <w:rFonts w:ascii="Arial" w:hAnsi="Arial" w:cs="Arial"/>
        </w:rPr>
        <w:t xml:space="preserve"> were involved in design of the study, </w:t>
      </w:r>
      <w:r w:rsidRPr="0025085E">
        <w:rPr>
          <w:rFonts w:ascii="Arial" w:hAnsi="Arial" w:cs="Arial"/>
        </w:rPr>
        <w:t>SK, KB, CP, HER, AC</w:t>
      </w:r>
      <w:r w:rsidR="00611D72">
        <w:rPr>
          <w:rFonts w:ascii="Arial" w:hAnsi="Arial" w:cs="Arial"/>
        </w:rPr>
        <w:t>, CW</w:t>
      </w:r>
      <w:r>
        <w:rPr>
          <w:rFonts w:ascii="Arial" w:hAnsi="Arial" w:cs="Arial"/>
        </w:rPr>
        <w:t xml:space="preserve"> in protocol development, </w:t>
      </w:r>
      <w:r w:rsidRPr="0025085E">
        <w:rPr>
          <w:rFonts w:ascii="Arial" w:hAnsi="Arial" w:cs="Arial"/>
        </w:rPr>
        <w:t>all authors contributed equally</w:t>
      </w:r>
      <w:r>
        <w:rPr>
          <w:rFonts w:ascii="Arial" w:hAnsi="Arial" w:cs="Arial"/>
        </w:rPr>
        <w:t xml:space="preserve"> to study execution, </w:t>
      </w:r>
      <w:r w:rsidRPr="0025085E">
        <w:rPr>
          <w:rFonts w:ascii="Arial" w:hAnsi="Arial" w:cs="Arial"/>
        </w:rPr>
        <w:t>DW, TC, CP, VW, KS, HER, EMH</w:t>
      </w:r>
      <w:r>
        <w:rPr>
          <w:rFonts w:ascii="Arial" w:hAnsi="Arial" w:cs="Arial"/>
        </w:rPr>
        <w:t xml:space="preserve"> contributed to study analysis and </w:t>
      </w:r>
      <w:r w:rsidRPr="0025085E">
        <w:rPr>
          <w:rFonts w:ascii="Arial" w:hAnsi="Arial" w:cs="Arial"/>
        </w:rPr>
        <w:t>KK, SK, LM, MT, DB, CW CO, ML</w:t>
      </w:r>
      <w:r>
        <w:rPr>
          <w:rFonts w:ascii="Arial" w:hAnsi="Arial" w:cs="Arial"/>
        </w:rPr>
        <w:t xml:space="preserve"> were involved in writing the manuscript</w:t>
      </w:r>
    </w:p>
    <w:p w14:paraId="551B06B2" w14:textId="77777777" w:rsidR="002C0DD8" w:rsidRDefault="002C0DD8" w:rsidP="00A67253">
      <w:pPr>
        <w:spacing w:after="160" w:line="360" w:lineRule="auto"/>
        <w:rPr>
          <w:rFonts w:ascii="Arial" w:hAnsi="Arial" w:cs="Arial"/>
          <w:u w:val="single"/>
        </w:rPr>
      </w:pPr>
    </w:p>
    <w:p w14:paraId="0E9139C8" w14:textId="77777777" w:rsidR="002C0DD8" w:rsidRPr="002C0DD8" w:rsidRDefault="002C0DD8" w:rsidP="00A67253">
      <w:pPr>
        <w:spacing w:after="160" w:line="360" w:lineRule="auto"/>
        <w:rPr>
          <w:rFonts w:ascii="Arial" w:hAnsi="Arial" w:cs="Arial"/>
        </w:rPr>
      </w:pPr>
      <w:r w:rsidRPr="002C0DD8">
        <w:rPr>
          <w:rFonts w:ascii="Arial" w:hAnsi="Arial" w:cs="Arial"/>
        </w:rPr>
        <w:t>DATA SHARING STATEMENT</w:t>
      </w:r>
    </w:p>
    <w:p w14:paraId="3CE9327E" w14:textId="50D573B7" w:rsidR="00971DA4" w:rsidRPr="002C0DD8" w:rsidRDefault="002C0DD8" w:rsidP="00A67253">
      <w:pPr>
        <w:spacing w:after="160" w:line="360" w:lineRule="auto"/>
        <w:rPr>
          <w:rFonts w:ascii="Arial" w:hAnsi="Arial" w:cs="Arial"/>
        </w:rPr>
      </w:pPr>
      <w:r w:rsidRPr="002C0DD8">
        <w:rPr>
          <w:rFonts w:ascii="Arial" w:hAnsi="Arial" w:cs="Arial"/>
        </w:rPr>
        <w:t xml:space="preserve">We adhere to the principles of the UK Concordat on Open Research Data, which </w:t>
      </w:r>
      <w:proofErr w:type="spellStart"/>
      <w:r w:rsidRPr="002C0DD8">
        <w:rPr>
          <w:rFonts w:ascii="Arial" w:hAnsi="Arial" w:cs="Arial"/>
        </w:rPr>
        <w:t>recognises</w:t>
      </w:r>
      <w:proofErr w:type="spellEnd"/>
      <w:r w:rsidRPr="002C0DD8">
        <w:rPr>
          <w:rFonts w:ascii="Arial" w:hAnsi="Arial" w:cs="Arial"/>
        </w:rPr>
        <w:t xml:space="preserve"> that research data should wherever possible be made openly available for use by others in a manner consistent with relevant legal, ethical, disciplinary and regulatory frameworks and norms, and with due regard to the cost involved. Our data will be assigned a DOI through deposition in the University of Liverpool Research Data Catalogue (rdm@liverpool.ac.uk) and shared under a Data Transfer agreement (or equivalent- </w:t>
      </w:r>
      <w:proofErr w:type="spellStart"/>
      <w:r w:rsidRPr="002C0DD8">
        <w:rPr>
          <w:rFonts w:ascii="Arial" w:hAnsi="Arial" w:cs="Arial"/>
        </w:rPr>
        <w:t>eg</w:t>
      </w:r>
      <w:proofErr w:type="spellEnd"/>
      <w:r w:rsidRPr="002C0DD8">
        <w:rPr>
          <w:rFonts w:ascii="Arial" w:hAnsi="Arial" w:cs="Arial"/>
        </w:rPr>
        <w:t xml:space="preserve"> as part of a research collaboration agreement or confidentiality disclosure agreement), with all originating DolPHIN-2 data remaining the property of the </w:t>
      </w:r>
      <w:r w:rsidR="00263CC4">
        <w:rPr>
          <w:rFonts w:ascii="Arial" w:hAnsi="Arial" w:cs="Arial"/>
        </w:rPr>
        <w:t>University of Liverpool</w:t>
      </w:r>
      <w:r w:rsidRPr="002C0DD8">
        <w:rPr>
          <w:rFonts w:ascii="Arial" w:hAnsi="Arial" w:cs="Arial"/>
        </w:rPr>
        <w:t>.</w:t>
      </w:r>
      <w:r w:rsidR="00971DA4" w:rsidRPr="002C0DD8">
        <w:rPr>
          <w:rFonts w:ascii="Arial" w:hAnsi="Arial" w:cs="Arial"/>
        </w:rPr>
        <w:br w:type="page"/>
      </w:r>
    </w:p>
    <w:p w14:paraId="44DBE681" w14:textId="505DE363" w:rsidR="00971DA4" w:rsidRPr="00484696" w:rsidRDefault="00971DA4" w:rsidP="00A67253">
      <w:pPr>
        <w:spacing w:line="360" w:lineRule="auto"/>
        <w:rPr>
          <w:rFonts w:ascii="Arial" w:hAnsi="Arial" w:cs="Arial"/>
          <w:u w:val="single"/>
        </w:rPr>
      </w:pPr>
      <w:r w:rsidRPr="00484696">
        <w:rPr>
          <w:rFonts w:ascii="Arial" w:hAnsi="Arial" w:cs="Arial"/>
          <w:u w:val="single"/>
        </w:rPr>
        <w:lastRenderedPageBreak/>
        <w:t>The DolPHIN-2 Study Team</w:t>
      </w:r>
    </w:p>
    <w:p w14:paraId="4326ADB8" w14:textId="77777777" w:rsidR="00971DA4" w:rsidRDefault="00971DA4" w:rsidP="00A67253">
      <w:pPr>
        <w:spacing w:line="360" w:lineRule="auto"/>
        <w:rPr>
          <w:rFonts w:ascii="Arial" w:hAnsi="Arial" w:cs="Arial"/>
          <w:i/>
        </w:rPr>
      </w:pPr>
    </w:p>
    <w:p w14:paraId="69AACBBE" w14:textId="77777777" w:rsidR="00525BE2" w:rsidRPr="004910FC" w:rsidRDefault="00971DA4" w:rsidP="00A67253">
      <w:pPr>
        <w:spacing w:line="360" w:lineRule="auto"/>
        <w:rPr>
          <w:rFonts w:ascii="Arial" w:hAnsi="Arial" w:cs="Arial"/>
          <w:color w:val="000000" w:themeColor="text1"/>
        </w:rPr>
      </w:pPr>
      <w:r w:rsidRPr="004910FC">
        <w:rPr>
          <w:rFonts w:ascii="Arial" w:hAnsi="Arial" w:cs="Arial"/>
          <w:i/>
          <w:color w:val="000000" w:themeColor="text1"/>
        </w:rPr>
        <w:t>Trial Steering Committee and Independent Data and Safety Monitoring Committee</w:t>
      </w:r>
      <w:r w:rsidRPr="004910FC">
        <w:rPr>
          <w:rFonts w:ascii="Arial" w:hAnsi="Arial" w:cs="Arial"/>
          <w:color w:val="000000" w:themeColor="text1"/>
        </w:rPr>
        <w:t xml:space="preserve">: </w:t>
      </w:r>
    </w:p>
    <w:p w14:paraId="3DE33C64" w14:textId="3712B008" w:rsidR="00971DA4" w:rsidRPr="004910FC" w:rsidRDefault="00583C56" w:rsidP="00A67253">
      <w:pPr>
        <w:spacing w:line="360" w:lineRule="auto"/>
        <w:rPr>
          <w:rFonts w:ascii="Arial" w:hAnsi="Arial" w:cs="Arial"/>
          <w:color w:val="000000" w:themeColor="text1"/>
        </w:rPr>
      </w:pPr>
      <w:r w:rsidRPr="004910FC">
        <w:rPr>
          <w:rFonts w:ascii="Arial" w:hAnsi="Arial" w:cs="Arial"/>
          <w:color w:val="000000" w:themeColor="text1"/>
        </w:rPr>
        <w:t xml:space="preserve">Marta Boffito, Polly Clayden, </w:t>
      </w:r>
      <w:r w:rsidR="00971DA4" w:rsidRPr="004910FC">
        <w:rPr>
          <w:rFonts w:ascii="Arial" w:hAnsi="Arial" w:cs="Arial"/>
          <w:color w:val="000000" w:themeColor="text1"/>
        </w:rPr>
        <w:t xml:space="preserve">Tim Peto (chair IDSMB), </w:t>
      </w:r>
      <w:r w:rsidRPr="004910FC">
        <w:rPr>
          <w:rFonts w:ascii="Arial" w:hAnsi="Arial" w:cs="Arial"/>
          <w:color w:val="000000" w:themeColor="text1"/>
        </w:rPr>
        <w:t xml:space="preserve">Anton Pozniak (chair TSC), </w:t>
      </w:r>
      <w:r w:rsidR="00971DA4" w:rsidRPr="004910FC">
        <w:rPr>
          <w:rFonts w:ascii="Arial" w:hAnsi="Arial" w:cs="Arial"/>
          <w:color w:val="000000" w:themeColor="text1"/>
        </w:rPr>
        <w:t xml:space="preserve">Graham Taylor </w:t>
      </w:r>
    </w:p>
    <w:p w14:paraId="5190AC48" w14:textId="77777777" w:rsidR="00971DA4" w:rsidRPr="004910FC" w:rsidRDefault="00971DA4" w:rsidP="00A67253">
      <w:pPr>
        <w:spacing w:line="360" w:lineRule="auto"/>
        <w:rPr>
          <w:rFonts w:ascii="Arial" w:hAnsi="Arial" w:cs="Arial"/>
          <w:color w:val="000000" w:themeColor="text1"/>
        </w:rPr>
      </w:pPr>
    </w:p>
    <w:p w14:paraId="15A733A0" w14:textId="77777777" w:rsidR="00525BE2" w:rsidRPr="004910FC" w:rsidRDefault="00971DA4" w:rsidP="009E7E75">
      <w:pPr>
        <w:spacing w:line="360" w:lineRule="auto"/>
        <w:rPr>
          <w:rFonts w:ascii="Arial" w:hAnsi="Arial" w:cs="Arial"/>
          <w:color w:val="000000" w:themeColor="text1"/>
        </w:rPr>
      </w:pPr>
      <w:r w:rsidRPr="004910FC">
        <w:rPr>
          <w:rFonts w:ascii="Arial" w:hAnsi="Arial" w:cs="Arial"/>
          <w:i/>
          <w:color w:val="000000" w:themeColor="text1"/>
        </w:rPr>
        <w:t>Infectious Diseases Institute, Kampala</w:t>
      </w:r>
      <w:r w:rsidRPr="004910FC">
        <w:rPr>
          <w:rFonts w:ascii="Arial" w:hAnsi="Arial" w:cs="Arial"/>
          <w:color w:val="000000" w:themeColor="text1"/>
        </w:rPr>
        <w:t xml:space="preserve">: </w:t>
      </w:r>
    </w:p>
    <w:p w14:paraId="26445153" w14:textId="0F2B430F" w:rsidR="009E7E75" w:rsidRPr="004910FC" w:rsidRDefault="00583C56" w:rsidP="00634344">
      <w:pPr>
        <w:spacing w:line="360" w:lineRule="auto"/>
        <w:rPr>
          <w:rFonts w:ascii="Arial" w:hAnsi="Arial" w:cs="Arial"/>
          <w:color w:val="000000" w:themeColor="text1"/>
        </w:rPr>
      </w:pPr>
      <w:r w:rsidRPr="004910FC">
        <w:rPr>
          <w:rFonts w:ascii="Arial" w:hAnsi="Arial" w:cs="Arial"/>
          <w:color w:val="000000" w:themeColor="text1"/>
        </w:rPr>
        <w:t xml:space="preserve">Tabitha </w:t>
      </w:r>
      <w:proofErr w:type="spellStart"/>
      <w:r w:rsidRPr="004910FC">
        <w:rPr>
          <w:rFonts w:ascii="Arial" w:hAnsi="Arial" w:cs="Arial"/>
          <w:color w:val="000000" w:themeColor="text1"/>
        </w:rPr>
        <w:t>Ayabo</w:t>
      </w:r>
      <w:proofErr w:type="spellEnd"/>
      <w:r w:rsidRPr="004910FC">
        <w:rPr>
          <w:rFonts w:ascii="Arial" w:hAnsi="Arial" w:cs="Arial"/>
          <w:color w:val="000000" w:themeColor="text1"/>
        </w:rPr>
        <w:t xml:space="preserve">, Sabrina </w:t>
      </w:r>
      <w:proofErr w:type="spellStart"/>
      <w:r w:rsidRPr="004910FC">
        <w:rPr>
          <w:rFonts w:ascii="Arial" w:hAnsi="Arial" w:cs="Arial"/>
          <w:color w:val="000000" w:themeColor="text1"/>
        </w:rPr>
        <w:t>Bakeera</w:t>
      </w:r>
      <w:proofErr w:type="spellEnd"/>
      <w:r w:rsidRPr="004910FC">
        <w:rPr>
          <w:rFonts w:ascii="Arial" w:hAnsi="Arial" w:cs="Arial"/>
          <w:color w:val="000000" w:themeColor="text1"/>
        </w:rPr>
        <w:t xml:space="preserve"> </w:t>
      </w:r>
      <w:proofErr w:type="spellStart"/>
      <w:r w:rsidRPr="004910FC">
        <w:rPr>
          <w:rFonts w:ascii="Arial" w:hAnsi="Arial" w:cs="Arial"/>
          <w:color w:val="000000" w:themeColor="text1"/>
        </w:rPr>
        <w:t>Kitaka</w:t>
      </w:r>
      <w:proofErr w:type="spellEnd"/>
      <w:r w:rsidRPr="004910FC">
        <w:rPr>
          <w:rFonts w:ascii="Arial" w:hAnsi="Arial" w:cs="Arial"/>
          <w:color w:val="000000" w:themeColor="text1"/>
        </w:rPr>
        <w:t>, Pauline Byakika-</w:t>
      </w:r>
      <w:proofErr w:type="spellStart"/>
      <w:r w:rsidRPr="004910FC">
        <w:rPr>
          <w:rFonts w:ascii="Arial" w:hAnsi="Arial" w:cs="Arial"/>
          <w:color w:val="000000" w:themeColor="text1"/>
        </w:rPr>
        <w:t>Kibwika</w:t>
      </w:r>
      <w:proofErr w:type="spellEnd"/>
      <w:r w:rsidRPr="004910FC">
        <w:rPr>
          <w:rFonts w:ascii="Arial" w:hAnsi="Arial" w:cs="Arial"/>
          <w:color w:val="000000" w:themeColor="text1"/>
        </w:rPr>
        <w:t xml:space="preserve">, </w:t>
      </w:r>
      <w:r w:rsidRPr="004910FC">
        <w:rPr>
          <w:rFonts w:ascii="Arial" w:eastAsia="Times New Roman" w:hAnsi="Arial" w:cs="Arial"/>
          <w:color w:val="000000" w:themeColor="text1"/>
        </w:rPr>
        <w:t>Daniel Kiiza,</w:t>
      </w:r>
      <w:r w:rsidRPr="004910FC">
        <w:rPr>
          <w:rFonts w:ascii="Arial" w:hAnsi="Arial" w:cs="Arial"/>
          <w:color w:val="000000" w:themeColor="text1"/>
        </w:rPr>
        <w:t xml:space="preserve"> Isabella </w:t>
      </w:r>
      <w:proofErr w:type="spellStart"/>
      <w:r w:rsidRPr="004910FC">
        <w:rPr>
          <w:rFonts w:ascii="Arial" w:hAnsi="Arial" w:cs="Arial"/>
          <w:color w:val="000000" w:themeColor="text1"/>
        </w:rPr>
        <w:t>Kyohairwe</w:t>
      </w:r>
      <w:proofErr w:type="spellEnd"/>
      <w:r w:rsidRPr="004910FC">
        <w:rPr>
          <w:rFonts w:ascii="Arial" w:hAnsi="Arial" w:cs="Arial"/>
          <w:color w:val="000000" w:themeColor="text1"/>
        </w:rPr>
        <w:t xml:space="preserve">, Eva Laker, Andrew </w:t>
      </w:r>
      <w:proofErr w:type="spellStart"/>
      <w:r w:rsidRPr="004910FC">
        <w:rPr>
          <w:rFonts w:ascii="Arial" w:hAnsi="Arial" w:cs="Arial"/>
          <w:color w:val="000000" w:themeColor="text1"/>
        </w:rPr>
        <w:t>Luswata</w:t>
      </w:r>
      <w:proofErr w:type="spellEnd"/>
      <w:r w:rsidRPr="004910FC">
        <w:rPr>
          <w:rFonts w:ascii="Arial" w:hAnsi="Arial" w:cs="Arial"/>
          <w:color w:val="000000" w:themeColor="text1"/>
        </w:rPr>
        <w:t xml:space="preserve">, </w:t>
      </w:r>
      <w:r w:rsidRPr="004910FC">
        <w:rPr>
          <w:rFonts w:ascii="Arial" w:eastAsia="Times New Roman" w:hAnsi="Arial" w:cs="Arial"/>
          <w:color w:val="000000" w:themeColor="text1"/>
        </w:rPr>
        <w:t xml:space="preserve">Johnson </w:t>
      </w:r>
      <w:proofErr w:type="spellStart"/>
      <w:r w:rsidRPr="004910FC">
        <w:rPr>
          <w:rFonts w:ascii="Arial" w:eastAsia="Times New Roman" w:hAnsi="Arial" w:cs="Arial"/>
          <w:color w:val="000000" w:themeColor="text1"/>
        </w:rPr>
        <w:t>Magoola</w:t>
      </w:r>
      <w:proofErr w:type="spellEnd"/>
      <w:r w:rsidRPr="004910FC">
        <w:rPr>
          <w:rFonts w:ascii="Arial" w:eastAsia="Times New Roman" w:hAnsi="Arial" w:cs="Arial"/>
          <w:color w:val="000000" w:themeColor="text1"/>
        </w:rPr>
        <w:t xml:space="preserve">, </w:t>
      </w:r>
      <w:r w:rsidRPr="004910FC">
        <w:rPr>
          <w:rFonts w:ascii="Arial" w:hAnsi="Arial" w:cs="Arial"/>
          <w:color w:val="000000" w:themeColor="text1"/>
        </w:rPr>
        <w:t xml:space="preserve">Hamza Mayanja, </w:t>
      </w:r>
      <w:r w:rsidRPr="004910FC">
        <w:rPr>
          <w:rFonts w:ascii="Arial" w:eastAsia="Times New Roman" w:hAnsi="Arial" w:cs="Arial"/>
          <w:color w:val="000000" w:themeColor="text1"/>
        </w:rPr>
        <w:t xml:space="preserve">Flavia Vivian </w:t>
      </w:r>
      <w:proofErr w:type="spellStart"/>
      <w:r w:rsidRPr="004910FC">
        <w:rPr>
          <w:rFonts w:ascii="Arial" w:eastAsia="Times New Roman" w:hAnsi="Arial" w:cs="Arial"/>
          <w:color w:val="000000" w:themeColor="text1"/>
        </w:rPr>
        <w:t>Najjuma</w:t>
      </w:r>
      <w:proofErr w:type="spellEnd"/>
      <w:r w:rsidRPr="004910FC">
        <w:rPr>
          <w:rFonts w:ascii="Arial" w:eastAsia="Times New Roman" w:hAnsi="Arial" w:cs="Arial"/>
          <w:color w:val="000000" w:themeColor="text1"/>
        </w:rPr>
        <w:t xml:space="preserve">, </w:t>
      </w:r>
      <w:r w:rsidRPr="004910FC">
        <w:rPr>
          <w:rFonts w:ascii="Arial" w:hAnsi="Arial" w:cs="Arial"/>
          <w:color w:val="000000" w:themeColor="text1"/>
        </w:rPr>
        <w:t xml:space="preserve">Ritah Nakijoba, Diana </w:t>
      </w:r>
      <w:proofErr w:type="spellStart"/>
      <w:r w:rsidRPr="004910FC">
        <w:rPr>
          <w:rFonts w:ascii="Arial" w:hAnsi="Arial" w:cs="Arial"/>
          <w:color w:val="000000" w:themeColor="text1"/>
        </w:rPr>
        <w:t>Namuddu</w:t>
      </w:r>
      <w:proofErr w:type="spellEnd"/>
      <w:r w:rsidRPr="004910FC">
        <w:rPr>
          <w:rFonts w:ascii="Arial" w:hAnsi="Arial" w:cs="Arial"/>
          <w:color w:val="000000" w:themeColor="text1"/>
        </w:rPr>
        <w:t xml:space="preserve">, </w:t>
      </w:r>
      <w:proofErr w:type="spellStart"/>
      <w:r w:rsidRPr="004910FC">
        <w:rPr>
          <w:rFonts w:ascii="Arial" w:hAnsi="Arial" w:cs="Arial"/>
          <w:color w:val="000000" w:themeColor="text1"/>
        </w:rPr>
        <w:t>Teopista</w:t>
      </w:r>
      <w:proofErr w:type="spellEnd"/>
      <w:r w:rsidRPr="004910FC">
        <w:rPr>
          <w:rFonts w:ascii="Arial" w:hAnsi="Arial" w:cs="Arial"/>
          <w:color w:val="000000" w:themeColor="text1"/>
        </w:rPr>
        <w:t xml:space="preserve"> </w:t>
      </w:r>
      <w:proofErr w:type="spellStart"/>
      <w:r w:rsidRPr="004910FC">
        <w:rPr>
          <w:rFonts w:ascii="Arial" w:hAnsi="Arial" w:cs="Arial"/>
          <w:color w:val="000000" w:themeColor="text1"/>
        </w:rPr>
        <w:t>Namuli</w:t>
      </w:r>
      <w:proofErr w:type="spellEnd"/>
      <w:r w:rsidRPr="004910FC">
        <w:rPr>
          <w:rFonts w:ascii="Arial" w:hAnsi="Arial" w:cs="Arial"/>
          <w:color w:val="000000" w:themeColor="text1"/>
        </w:rPr>
        <w:t xml:space="preserve">, Peter </w:t>
      </w:r>
      <w:proofErr w:type="spellStart"/>
      <w:r w:rsidRPr="004910FC">
        <w:rPr>
          <w:rFonts w:ascii="Arial" w:hAnsi="Arial" w:cs="Arial"/>
          <w:color w:val="000000" w:themeColor="text1"/>
        </w:rPr>
        <w:t>Ntuyo</w:t>
      </w:r>
      <w:proofErr w:type="spellEnd"/>
      <w:r w:rsidRPr="004910FC">
        <w:rPr>
          <w:rFonts w:ascii="Arial" w:hAnsi="Arial" w:cs="Arial"/>
          <w:color w:val="000000" w:themeColor="text1"/>
        </w:rPr>
        <w:t xml:space="preserve">, </w:t>
      </w:r>
      <w:proofErr w:type="spellStart"/>
      <w:r w:rsidRPr="004910FC">
        <w:rPr>
          <w:rFonts w:ascii="Arial" w:eastAsia="Times New Roman" w:hAnsi="Arial" w:cs="Arial"/>
          <w:color w:val="000000" w:themeColor="text1"/>
        </w:rPr>
        <w:t>Annet</w:t>
      </w:r>
      <w:proofErr w:type="spellEnd"/>
      <w:r w:rsidRPr="004910FC">
        <w:rPr>
          <w:rFonts w:ascii="Arial" w:eastAsia="Times New Roman" w:hAnsi="Arial" w:cs="Arial"/>
          <w:color w:val="000000" w:themeColor="text1"/>
        </w:rPr>
        <w:t xml:space="preserve"> </w:t>
      </w:r>
      <w:proofErr w:type="spellStart"/>
      <w:r w:rsidRPr="004910FC">
        <w:rPr>
          <w:rFonts w:ascii="Arial" w:eastAsia="Times New Roman" w:hAnsi="Arial" w:cs="Arial"/>
          <w:color w:val="000000" w:themeColor="text1"/>
        </w:rPr>
        <w:t>Onzia</w:t>
      </w:r>
      <w:proofErr w:type="spellEnd"/>
      <w:r w:rsidRPr="004910FC">
        <w:rPr>
          <w:rFonts w:ascii="Arial" w:eastAsia="Times New Roman" w:hAnsi="Arial" w:cs="Arial"/>
          <w:color w:val="000000" w:themeColor="text1"/>
        </w:rPr>
        <w:t xml:space="preserve">, Emmanuel </w:t>
      </w:r>
      <w:proofErr w:type="spellStart"/>
      <w:proofErr w:type="gramStart"/>
      <w:r w:rsidRPr="004910FC">
        <w:rPr>
          <w:rFonts w:ascii="Arial" w:eastAsia="Times New Roman" w:hAnsi="Arial" w:cs="Arial"/>
          <w:color w:val="000000" w:themeColor="text1"/>
        </w:rPr>
        <w:t>Sempijja</w:t>
      </w:r>
      <w:proofErr w:type="spellEnd"/>
      <w:r w:rsidRPr="004910FC">
        <w:rPr>
          <w:rFonts w:ascii="Arial" w:eastAsia="Times New Roman" w:hAnsi="Arial" w:cs="Arial"/>
          <w:color w:val="000000" w:themeColor="text1"/>
        </w:rPr>
        <w:t xml:space="preserve">,  </w:t>
      </w:r>
      <w:proofErr w:type="spellStart"/>
      <w:r w:rsidRPr="004910FC">
        <w:rPr>
          <w:rFonts w:ascii="Arial" w:eastAsia="Times New Roman" w:hAnsi="Arial" w:cs="Arial"/>
          <w:color w:val="000000" w:themeColor="text1"/>
        </w:rPr>
        <w:t>Jovia</w:t>
      </w:r>
      <w:proofErr w:type="spellEnd"/>
      <w:proofErr w:type="gramEnd"/>
      <w:r w:rsidRPr="004910FC">
        <w:rPr>
          <w:rFonts w:ascii="Arial" w:eastAsia="Times New Roman" w:hAnsi="Arial" w:cs="Arial"/>
          <w:color w:val="000000" w:themeColor="text1"/>
        </w:rPr>
        <w:t xml:space="preserve"> </w:t>
      </w:r>
      <w:proofErr w:type="spellStart"/>
      <w:r w:rsidRPr="004910FC">
        <w:rPr>
          <w:rFonts w:ascii="Arial" w:eastAsia="Times New Roman" w:hAnsi="Arial" w:cs="Arial"/>
          <w:color w:val="000000" w:themeColor="text1"/>
        </w:rPr>
        <w:t>Tabwenda</w:t>
      </w:r>
      <w:proofErr w:type="spellEnd"/>
      <w:r w:rsidRPr="004910FC">
        <w:rPr>
          <w:rFonts w:ascii="Arial" w:eastAsia="Times New Roman" w:hAnsi="Arial" w:cs="Arial"/>
          <w:color w:val="000000" w:themeColor="text1"/>
        </w:rPr>
        <w:t xml:space="preserve">, </w:t>
      </w:r>
      <w:r w:rsidRPr="004910FC">
        <w:rPr>
          <w:rFonts w:ascii="Arial" w:hAnsi="Arial" w:cs="Arial"/>
          <w:color w:val="000000" w:themeColor="text1"/>
        </w:rPr>
        <w:t>Baluku William</w:t>
      </w:r>
    </w:p>
    <w:p w14:paraId="576149D0" w14:textId="77777777" w:rsidR="00971DA4" w:rsidRPr="004910FC" w:rsidRDefault="00971DA4" w:rsidP="00A67253">
      <w:pPr>
        <w:spacing w:line="360" w:lineRule="auto"/>
        <w:rPr>
          <w:rFonts w:ascii="Arial" w:hAnsi="Arial" w:cs="Arial"/>
          <w:color w:val="000000" w:themeColor="text1"/>
        </w:rPr>
      </w:pPr>
    </w:p>
    <w:p w14:paraId="77B93E34" w14:textId="77777777" w:rsidR="00525BE2" w:rsidRPr="004910FC" w:rsidRDefault="00971DA4" w:rsidP="00A67253">
      <w:pPr>
        <w:spacing w:line="360" w:lineRule="auto"/>
        <w:rPr>
          <w:rFonts w:ascii="Arial" w:hAnsi="Arial" w:cs="Arial"/>
          <w:color w:val="000000" w:themeColor="text1"/>
        </w:rPr>
      </w:pPr>
      <w:r w:rsidRPr="004910FC">
        <w:rPr>
          <w:rFonts w:ascii="Arial" w:hAnsi="Arial" w:cs="Arial"/>
          <w:i/>
          <w:color w:val="000000" w:themeColor="text1"/>
        </w:rPr>
        <w:t>University of Cape Town</w:t>
      </w:r>
      <w:r w:rsidRPr="004910FC">
        <w:rPr>
          <w:rFonts w:ascii="Arial" w:hAnsi="Arial" w:cs="Arial"/>
          <w:color w:val="000000" w:themeColor="text1"/>
        </w:rPr>
        <w:t xml:space="preserve">: </w:t>
      </w:r>
    </w:p>
    <w:p w14:paraId="0EE0A780" w14:textId="24E2C144" w:rsidR="004D3249" w:rsidRPr="004910FC" w:rsidRDefault="00583C56" w:rsidP="00583C56">
      <w:pPr>
        <w:spacing w:line="360" w:lineRule="auto"/>
        <w:rPr>
          <w:rFonts w:ascii="Arial" w:hAnsi="Arial" w:cs="Arial"/>
          <w:color w:val="000000" w:themeColor="text1"/>
        </w:rPr>
      </w:pPr>
      <w:r w:rsidRPr="004910FC">
        <w:rPr>
          <w:rFonts w:ascii="Arial" w:hAnsi="Arial" w:cs="Arial"/>
          <w:color w:val="000000" w:themeColor="text1"/>
        </w:rPr>
        <w:t xml:space="preserve">Nina Abrahams, </w:t>
      </w:r>
      <w:proofErr w:type="spellStart"/>
      <w:r w:rsidR="00B9528C" w:rsidRPr="006B1517">
        <w:rPr>
          <w:rFonts w:ascii="Arial" w:hAnsi="Arial" w:cs="Arial"/>
          <w:color w:val="1F497D"/>
        </w:rPr>
        <w:t>Phakamani</w:t>
      </w:r>
      <w:proofErr w:type="spellEnd"/>
      <w:r w:rsidR="00B9528C" w:rsidRPr="006B1517">
        <w:rPr>
          <w:rFonts w:ascii="Arial" w:hAnsi="Arial" w:cs="Arial"/>
          <w:color w:val="1F497D"/>
        </w:rPr>
        <w:t xml:space="preserve"> </w:t>
      </w:r>
      <w:proofErr w:type="spellStart"/>
      <w:proofErr w:type="gramStart"/>
      <w:r w:rsidR="00B9528C" w:rsidRPr="006B1517">
        <w:rPr>
          <w:rFonts w:ascii="Arial" w:hAnsi="Arial" w:cs="Arial"/>
          <w:color w:val="1F497D"/>
        </w:rPr>
        <w:t>Magano</w:t>
      </w:r>
      <w:proofErr w:type="spellEnd"/>
      <w:r w:rsidR="00B9528C" w:rsidRPr="006B1517">
        <w:rPr>
          <w:rFonts w:ascii="Arial" w:hAnsi="Arial" w:cs="Arial"/>
          <w:color w:val="1F497D"/>
        </w:rPr>
        <w:t xml:space="preserve"> </w:t>
      </w:r>
      <w:r w:rsidRPr="004910FC">
        <w:rPr>
          <w:rFonts w:ascii="Arial" w:hAnsi="Arial" w:cs="Arial"/>
          <w:color w:val="000000" w:themeColor="text1"/>
        </w:rPr>
        <w:t>,</w:t>
      </w:r>
      <w:proofErr w:type="gramEnd"/>
      <w:r w:rsidRPr="004910FC">
        <w:rPr>
          <w:rFonts w:ascii="Arial" w:hAnsi="Arial" w:cs="Arial"/>
          <w:color w:val="000000" w:themeColor="text1"/>
        </w:rPr>
        <w:t xml:space="preserve"> Sharon </w:t>
      </w:r>
      <w:proofErr w:type="spellStart"/>
      <w:r w:rsidRPr="004910FC">
        <w:rPr>
          <w:rFonts w:ascii="Arial" w:hAnsi="Arial" w:cs="Arial"/>
          <w:color w:val="000000" w:themeColor="text1"/>
        </w:rPr>
        <w:t>Bokako</w:t>
      </w:r>
      <w:proofErr w:type="spellEnd"/>
      <w:r w:rsidRPr="004910FC" w:rsidDel="00634344">
        <w:rPr>
          <w:rFonts w:ascii="Arial" w:hAnsi="Arial" w:cs="Arial"/>
          <w:color w:val="000000" w:themeColor="text1"/>
        </w:rPr>
        <w:t xml:space="preserve"> </w:t>
      </w:r>
      <w:r w:rsidRPr="004910FC">
        <w:rPr>
          <w:rFonts w:ascii="Arial" w:hAnsi="Arial" w:cs="Arial"/>
          <w:color w:val="000000" w:themeColor="text1"/>
        </w:rPr>
        <w:t xml:space="preserve">, </w:t>
      </w:r>
      <w:r w:rsidR="004D3249" w:rsidRPr="004910FC">
        <w:rPr>
          <w:rFonts w:ascii="Arial" w:hAnsi="Arial" w:cs="Arial"/>
          <w:color w:val="000000" w:themeColor="text1"/>
        </w:rPr>
        <w:t xml:space="preserve">Carmen </w:t>
      </w:r>
      <w:proofErr w:type="spellStart"/>
      <w:r w:rsidR="004D3249" w:rsidRPr="004910FC">
        <w:rPr>
          <w:rFonts w:ascii="Arial" w:hAnsi="Arial" w:cs="Arial"/>
          <w:color w:val="000000" w:themeColor="text1"/>
        </w:rPr>
        <w:t>Delport</w:t>
      </w:r>
      <w:proofErr w:type="spellEnd"/>
      <w:r w:rsidRPr="004910FC">
        <w:rPr>
          <w:rFonts w:ascii="Arial" w:hAnsi="Arial" w:cs="Arial"/>
          <w:color w:val="000000" w:themeColor="text1"/>
        </w:rPr>
        <w:t xml:space="preserve">, Linda </w:t>
      </w:r>
      <w:proofErr w:type="spellStart"/>
      <w:r w:rsidRPr="004910FC">
        <w:rPr>
          <w:rFonts w:ascii="Arial" w:hAnsi="Arial" w:cs="Arial"/>
          <w:color w:val="000000" w:themeColor="text1"/>
        </w:rPr>
        <w:t>Hlwaya</w:t>
      </w:r>
      <w:proofErr w:type="spellEnd"/>
      <w:r w:rsidRPr="004910FC">
        <w:rPr>
          <w:rFonts w:ascii="Arial" w:hAnsi="Arial" w:cs="Arial"/>
          <w:color w:val="000000" w:themeColor="text1"/>
        </w:rPr>
        <w:t xml:space="preserve">, </w:t>
      </w:r>
      <w:proofErr w:type="spellStart"/>
      <w:r w:rsidRPr="004910FC">
        <w:rPr>
          <w:rFonts w:ascii="Arial" w:hAnsi="Arial" w:cs="Arial"/>
          <w:color w:val="000000" w:themeColor="text1"/>
        </w:rPr>
        <w:t>Nai</w:t>
      </w:r>
      <w:proofErr w:type="spellEnd"/>
      <w:r w:rsidRPr="004910FC">
        <w:rPr>
          <w:rFonts w:ascii="Arial" w:hAnsi="Arial" w:cs="Arial"/>
          <w:color w:val="000000" w:themeColor="text1"/>
        </w:rPr>
        <w:t xml:space="preserve">-Chung Hu, Ushma Mehta, Dineo </w:t>
      </w:r>
      <w:proofErr w:type="spellStart"/>
      <w:r w:rsidRPr="004910FC">
        <w:rPr>
          <w:rFonts w:ascii="Arial" w:hAnsi="Arial" w:cs="Arial"/>
          <w:color w:val="000000" w:themeColor="text1"/>
        </w:rPr>
        <w:t>Molitsane</w:t>
      </w:r>
      <w:proofErr w:type="spellEnd"/>
      <w:r w:rsidRPr="004910FC">
        <w:rPr>
          <w:rFonts w:ascii="Arial" w:hAnsi="Arial" w:cs="Arial"/>
          <w:color w:val="000000" w:themeColor="text1"/>
        </w:rPr>
        <w:t xml:space="preserve">, </w:t>
      </w:r>
      <w:r w:rsidR="004D3249" w:rsidRPr="004910FC">
        <w:rPr>
          <w:rFonts w:ascii="Arial" w:hAnsi="Arial" w:cs="Arial"/>
          <w:color w:val="000000" w:themeColor="text1"/>
        </w:rPr>
        <w:t>Megan Mrubata</w:t>
      </w:r>
      <w:r w:rsidRPr="004910FC">
        <w:rPr>
          <w:rFonts w:ascii="Arial" w:hAnsi="Arial" w:cs="Arial"/>
          <w:color w:val="000000" w:themeColor="text1"/>
        </w:rPr>
        <w:t xml:space="preserve">,  Jasantha Odayar, Lee-Ann Stemmet, </w:t>
      </w:r>
      <w:r w:rsidR="004D3249" w:rsidRPr="004910FC">
        <w:rPr>
          <w:rFonts w:ascii="Arial" w:hAnsi="Arial" w:cs="Arial"/>
          <w:color w:val="000000" w:themeColor="text1"/>
        </w:rPr>
        <w:t xml:space="preserve">Sivuyile </w:t>
      </w:r>
      <w:proofErr w:type="spellStart"/>
      <w:r w:rsidR="004D3249" w:rsidRPr="004910FC">
        <w:rPr>
          <w:rFonts w:ascii="Arial" w:hAnsi="Arial" w:cs="Arial"/>
          <w:color w:val="000000" w:themeColor="text1"/>
        </w:rPr>
        <w:t>Tambula</w:t>
      </w:r>
      <w:proofErr w:type="spellEnd"/>
      <w:r w:rsidRPr="004910FC">
        <w:rPr>
          <w:rFonts w:ascii="Arial" w:hAnsi="Arial" w:cs="Arial"/>
          <w:color w:val="000000" w:themeColor="text1"/>
        </w:rPr>
        <w:t xml:space="preserve">, Helene </w:t>
      </w:r>
      <w:proofErr w:type="spellStart"/>
      <w:r w:rsidRPr="004910FC">
        <w:rPr>
          <w:rFonts w:ascii="Arial" w:hAnsi="Arial" w:cs="Arial"/>
          <w:color w:val="000000" w:themeColor="text1"/>
        </w:rPr>
        <w:t>Theunissen</w:t>
      </w:r>
      <w:proofErr w:type="spellEnd"/>
      <w:r w:rsidRPr="004910FC">
        <w:rPr>
          <w:rFonts w:ascii="Arial" w:hAnsi="Arial" w:cs="Arial"/>
          <w:color w:val="000000" w:themeColor="text1"/>
        </w:rPr>
        <w:t xml:space="preserve">, </w:t>
      </w:r>
      <w:proofErr w:type="spellStart"/>
      <w:r w:rsidRPr="004910FC">
        <w:rPr>
          <w:rFonts w:ascii="Arial" w:hAnsi="Arial" w:cs="Arial"/>
          <w:color w:val="000000" w:themeColor="text1"/>
        </w:rPr>
        <w:t>Mbuyiswa</w:t>
      </w:r>
      <w:proofErr w:type="spellEnd"/>
      <w:r w:rsidRPr="004910FC">
        <w:rPr>
          <w:rFonts w:ascii="Arial" w:hAnsi="Arial" w:cs="Arial"/>
          <w:color w:val="000000" w:themeColor="text1"/>
        </w:rPr>
        <w:t xml:space="preserve"> </w:t>
      </w:r>
      <w:proofErr w:type="spellStart"/>
      <w:r w:rsidRPr="004910FC">
        <w:rPr>
          <w:rFonts w:ascii="Arial" w:hAnsi="Arial" w:cs="Arial"/>
          <w:color w:val="000000" w:themeColor="text1"/>
        </w:rPr>
        <w:t>Tyam</w:t>
      </w:r>
      <w:proofErr w:type="spellEnd"/>
      <w:r w:rsidRPr="004910FC">
        <w:rPr>
          <w:rFonts w:ascii="Arial" w:hAnsi="Arial" w:cs="Arial"/>
          <w:color w:val="000000" w:themeColor="text1"/>
        </w:rPr>
        <w:t xml:space="preserve">, </w:t>
      </w:r>
      <w:r w:rsidR="004D3249" w:rsidRPr="004910FC">
        <w:rPr>
          <w:rFonts w:ascii="Arial" w:hAnsi="Arial" w:cs="Arial"/>
          <w:color w:val="000000" w:themeColor="text1"/>
        </w:rPr>
        <w:t xml:space="preserve">Olga </w:t>
      </w:r>
      <w:proofErr w:type="spellStart"/>
      <w:r w:rsidR="004D3249" w:rsidRPr="004910FC">
        <w:rPr>
          <w:rFonts w:ascii="Arial" w:hAnsi="Arial" w:cs="Arial"/>
          <w:color w:val="000000" w:themeColor="text1"/>
        </w:rPr>
        <w:t>Venfolo</w:t>
      </w:r>
      <w:proofErr w:type="spellEnd"/>
      <w:r w:rsidR="00634344" w:rsidRPr="004910FC">
        <w:rPr>
          <w:rFonts w:ascii="Arial" w:hAnsi="Arial" w:cs="Arial"/>
          <w:color w:val="000000" w:themeColor="text1"/>
        </w:rPr>
        <w:t xml:space="preserve"> </w:t>
      </w:r>
    </w:p>
    <w:p w14:paraId="490DCED9" w14:textId="77777777" w:rsidR="00583C56" w:rsidRPr="004910FC" w:rsidRDefault="00583C56" w:rsidP="00A67253">
      <w:pPr>
        <w:spacing w:line="360" w:lineRule="auto"/>
        <w:rPr>
          <w:rFonts w:ascii="Arial" w:hAnsi="Arial" w:cs="Arial"/>
          <w:color w:val="000000" w:themeColor="text1"/>
        </w:rPr>
      </w:pPr>
    </w:p>
    <w:p w14:paraId="55C84BC3" w14:textId="77777777" w:rsidR="00583C56" w:rsidRPr="004910FC" w:rsidRDefault="00971DA4" w:rsidP="00A67253">
      <w:pPr>
        <w:spacing w:line="360" w:lineRule="auto"/>
        <w:rPr>
          <w:rFonts w:ascii="Arial" w:hAnsi="Arial" w:cs="Arial"/>
          <w:color w:val="000000" w:themeColor="text1"/>
        </w:rPr>
      </w:pPr>
      <w:r w:rsidRPr="004910FC">
        <w:rPr>
          <w:rFonts w:ascii="Arial" w:hAnsi="Arial" w:cs="Arial"/>
          <w:i/>
          <w:color w:val="000000" w:themeColor="text1"/>
        </w:rPr>
        <w:t>University of Liverpool</w:t>
      </w:r>
      <w:r w:rsidRPr="004910FC">
        <w:rPr>
          <w:rFonts w:ascii="Arial" w:hAnsi="Arial" w:cs="Arial"/>
          <w:color w:val="000000" w:themeColor="text1"/>
        </w:rPr>
        <w:t xml:space="preserve">: </w:t>
      </w:r>
    </w:p>
    <w:p w14:paraId="58066665" w14:textId="6CF196E0" w:rsidR="00971DA4" w:rsidRPr="004910FC" w:rsidRDefault="00583C56" w:rsidP="00A67253">
      <w:pPr>
        <w:spacing w:line="360" w:lineRule="auto"/>
        <w:rPr>
          <w:rFonts w:ascii="Arial" w:hAnsi="Arial" w:cs="Arial"/>
          <w:color w:val="000000" w:themeColor="text1"/>
        </w:rPr>
      </w:pPr>
      <w:r w:rsidRPr="004910FC">
        <w:rPr>
          <w:rFonts w:ascii="Arial" w:hAnsi="Arial" w:cs="Arial"/>
          <w:color w:val="000000" w:themeColor="text1"/>
        </w:rPr>
        <w:t xml:space="preserve">Katie McAllister, Justin Chiong, </w:t>
      </w:r>
      <w:r w:rsidR="00971DA4" w:rsidRPr="004910FC">
        <w:rPr>
          <w:rFonts w:ascii="Arial" w:hAnsi="Arial" w:cs="Arial"/>
          <w:color w:val="000000" w:themeColor="text1"/>
        </w:rPr>
        <w:t xml:space="preserve">Laura Else, Steve Potter, </w:t>
      </w:r>
    </w:p>
    <w:p w14:paraId="08932057" w14:textId="77777777" w:rsidR="00971DA4" w:rsidRPr="004910FC" w:rsidRDefault="00971DA4" w:rsidP="00A67253">
      <w:pPr>
        <w:spacing w:line="360" w:lineRule="auto"/>
        <w:rPr>
          <w:rFonts w:ascii="Arial" w:hAnsi="Arial" w:cs="Arial"/>
          <w:color w:val="000000" w:themeColor="text1"/>
        </w:rPr>
      </w:pPr>
    </w:p>
    <w:p w14:paraId="0ACA308F" w14:textId="77777777" w:rsidR="00525BE2" w:rsidRPr="004910FC" w:rsidRDefault="00971DA4" w:rsidP="00A67253">
      <w:pPr>
        <w:spacing w:line="360" w:lineRule="auto"/>
        <w:rPr>
          <w:rFonts w:ascii="Arial" w:hAnsi="Arial" w:cs="Arial"/>
          <w:color w:val="000000" w:themeColor="text1"/>
        </w:rPr>
      </w:pPr>
      <w:r w:rsidRPr="004910FC">
        <w:rPr>
          <w:rFonts w:ascii="Arial" w:hAnsi="Arial" w:cs="Arial"/>
          <w:i/>
          <w:color w:val="000000" w:themeColor="text1"/>
        </w:rPr>
        <w:t>Royal Liverpool University Hospital NHS Trust</w:t>
      </w:r>
      <w:r w:rsidRPr="004910FC">
        <w:rPr>
          <w:rFonts w:ascii="Arial" w:hAnsi="Arial" w:cs="Arial"/>
          <w:color w:val="000000" w:themeColor="text1"/>
        </w:rPr>
        <w:t xml:space="preserve">: </w:t>
      </w:r>
    </w:p>
    <w:p w14:paraId="0F4C4F73" w14:textId="09B591CE" w:rsidR="00971DA4" w:rsidRPr="004910FC" w:rsidRDefault="00971DA4" w:rsidP="00A67253">
      <w:pPr>
        <w:spacing w:line="360" w:lineRule="auto"/>
        <w:rPr>
          <w:rFonts w:ascii="Arial" w:hAnsi="Arial" w:cs="Arial"/>
          <w:color w:val="000000" w:themeColor="text1"/>
        </w:rPr>
      </w:pPr>
      <w:r w:rsidRPr="004910FC">
        <w:rPr>
          <w:rFonts w:ascii="Arial" w:hAnsi="Arial" w:cs="Arial"/>
          <w:color w:val="000000" w:themeColor="text1"/>
        </w:rPr>
        <w:t>Anne Neary</w:t>
      </w:r>
    </w:p>
    <w:p w14:paraId="7D9097D6" w14:textId="77777777" w:rsidR="00971DA4" w:rsidRDefault="00971DA4" w:rsidP="00A67253">
      <w:pPr>
        <w:spacing w:line="360" w:lineRule="auto"/>
        <w:rPr>
          <w:rFonts w:ascii="Arial" w:hAnsi="Arial" w:cs="Arial"/>
        </w:rPr>
      </w:pPr>
    </w:p>
    <w:p w14:paraId="2F1DDB43" w14:textId="77777777" w:rsidR="00971DA4" w:rsidRDefault="00971DA4" w:rsidP="00A67253">
      <w:pPr>
        <w:spacing w:line="360" w:lineRule="auto"/>
        <w:rPr>
          <w:rFonts w:ascii="Arial" w:hAnsi="Arial" w:cs="Arial"/>
        </w:rPr>
      </w:pPr>
    </w:p>
    <w:p w14:paraId="2771702F" w14:textId="77777777" w:rsidR="00971DA4" w:rsidRDefault="00971DA4" w:rsidP="00A67253">
      <w:pPr>
        <w:spacing w:line="360" w:lineRule="auto"/>
        <w:rPr>
          <w:rFonts w:ascii="Arial" w:hAnsi="Arial" w:cs="Arial"/>
        </w:rPr>
      </w:pPr>
    </w:p>
    <w:p w14:paraId="45E9828E" w14:textId="77777777" w:rsidR="00971DA4" w:rsidRDefault="00971DA4" w:rsidP="00A67253">
      <w:pPr>
        <w:spacing w:line="360" w:lineRule="auto"/>
        <w:rPr>
          <w:rFonts w:ascii="Arial" w:hAnsi="Arial" w:cs="Arial"/>
        </w:rPr>
      </w:pPr>
    </w:p>
    <w:p w14:paraId="2A42665E" w14:textId="77777777" w:rsidR="00971DA4" w:rsidRDefault="00971DA4" w:rsidP="00A67253">
      <w:pPr>
        <w:spacing w:line="360" w:lineRule="auto"/>
        <w:rPr>
          <w:rFonts w:ascii="Arial" w:hAnsi="Arial" w:cs="Arial"/>
        </w:rPr>
      </w:pPr>
    </w:p>
    <w:p w14:paraId="7A084C63" w14:textId="4F876951" w:rsidR="00104214" w:rsidRDefault="00104214" w:rsidP="00A67253">
      <w:pPr>
        <w:spacing w:line="360" w:lineRule="auto"/>
        <w:rPr>
          <w:rFonts w:ascii="Arial" w:hAnsi="Arial" w:cs="Arial"/>
        </w:rPr>
      </w:pPr>
      <w:r>
        <w:rPr>
          <w:rFonts w:ascii="Arial" w:hAnsi="Arial" w:cs="Arial"/>
        </w:rPr>
        <w:br w:type="page"/>
      </w:r>
    </w:p>
    <w:p w14:paraId="16075582" w14:textId="1F1314AE" w:rsidR="00C40AAE" w:rsidRDefault="00906E12" w:rsidP="00F72441">
      <w:pPr>
        <w:spacing w:line="360" w:lineRule="auto"/>
        <w:ind w:left="426" w:hanging="426"/>
        <w:rPr>
          <w:rFonts w:ascii="Arial" w:hAnsi="Arial" w:cs="Arial"/>
          <w:b/>
        </w:rPr>
      </w:pPr>
      <w:r w:rsidRPr="00B049B6">
        <w:rPr>
          <w:rFonts w:ascii="Arial" w:hAnsi="Arial" w:cs="Arial"/>
          <w:b/>
        </w:rPr>
        <w:lastRenderedPageBreak/>
        <w:t>References</w:t>
      </w:r>
    </w:p>
    <w:p w14:paraId="43C1EB37" w14:textId="3C384D1D" w:rsidR="00263418" w:rsidRDefault="00263418" w:rsidP="006B1517">
      <w:pPr>
        <w:pStyle w:val="ListParagraph"/>
        <w:numPr>
          <w:ilvl w:val="0"/>
          <w:numId w:val="13"/>
        </w:numPr>
        <w:spacing w:line="360" w:lineRule="auto"/>
        <w:ind w:left="425" w:hanging="425"/>
        <w:jc w:val="both"/>
      </w:pPr>
      <w:r w:rsidRPr="00263418">
        <w:rPr>
          <w:rFonts w:ascii="Arial" w:hAnsi="Arial" w:cs="Arial"/>
          <w:sz w:val="20"/>
        </w:rPr>
        <w:t>S</w:t>
      </w:r>
      <w:r w:rsidRPr="00A77C2A">
        <w:t>tatistics UB</w:t>
      </w:r>
      <w:r>
        <w:t>O</w:t>
      </w:r>
      <w:r w:rsidRPr="00A77C2A">
        <w:t>. Uganda Demographic and Health Survey 2016. Rockville, Maryland, USA2018.</w:t>
      </w:r>
    </w:p>
    <w:p w14:paraId="03831302" w14:textId="47C8AB16" w:rsidR="00263418" w:rsidRDefault="00DD02CE" w:rsidP="006B1517">
      <w:pPr>
        <w:pStyle w:val="ListParagraph"/>
        <w:numPr>
          <w:ilvl w:val="0"/>
          <w:numId w:val="13"/>
        </w:numPr>
        <w:spacing w:line="360" w:lineRule="auto"/>
        <w:ind w:left="425" w:hanging="425"/>
        <w:jc w:val="both"/>
      </w:pPr>
      <w:proofErr w:type="spellStart"/>
      <w:r w:rsidRPr="006B1517">
        <w:rPr>
          <w:rFonts w:ascii="Arial" w:hAnsi="Arial" w:cs="Arial"/>
          <w:sz w:val="20"/>
        </w:rPr>
        <w:t>Kisuule</w:t>
      </w:r>
      <w:proofErr w:type="spellEnd"/>
      <w:r w:rsidRPr="006B1517">
        <w:rPr>
          <w:rFonts w:ascii="Arial" w:hAnsi="Arial" w:cs="Arial"/>
          <w:sz w:val="20"/>
        </w:rPr>
        <w:t xml:space="preserve"> I, Kaye DK, </w:t>
      </w:r>
      <w:proofErr w:type="spellStart"/>
      <w:r w:rsidRPr="006B1517">
        <w:rPr>
          <w:rFonts w:ascii="Arial" w:hAnsi="Arial" w:cs="Arial"/>
          <w:sz w:val="20"/>
        </w:rPr>
        <w:t>Najjuka</w:t>
      </w:r>
      <w:proofErr w:type="spellEnd"/>
      <w:r w:rsidRPr="006B1517">
        <w:rPr>
          <w:rFonts w:ascii="Arial" w:hAnsi="Arial" w:cs="Arial"/>
          <w:sz w:val="20"/>
        </w:rPr>
        <w:t xml:space="preserve"> F, et al. Timing and reasons for coming late for the first antenatal care visit by pregnant women at Mulago</w:t>
      </w:r>
      <w:r w:rsidR="008B50AF" w:rsidRPr="006B1517">
        <w:rPr>
          <w:rFonts w:ascii="Arial" w:hAnsi="Arial" w:cs="Arial"/>
          <w:sz w:val="20"/>
        </w:rPr>
        <w:t xml:space="preserve"> hospital, Kampala Uganda. BMC P</w:t>
      </w:r>
      <w:r w:rsidRPr="006B1517">
        <w:rPr>
          <w:rFonts w:ascii="Arial" w:hAnsi="Arial" w:cs="Arial"/>
          <w:sz w:val="20"/>
        </w:rPr>
        <w:t xml:space="preserve">regnancy and </w:t>
      </w:r>
      <w:r w:rsidR="008B50AF" w:rsidRPr="006B1517">
        <w:rPr>
          <w:rFonts w:ascii="Arial" w:hAnsi="Arial" w:cs="Arial"/>
          <w:sz w:val="20"/>
        </w:rPr>
        <w:t>C</w:t>
      </w:r>
      <w:r w:rsidRPr="006B1517">
        <w:rPr>
          <w:rFonts w:ascii="Arial" w:hAnsi="Arial" w:cs="Arial"/>
          <w:sz w:val="20"/>
        </w:rPr>
        <w:t xml:space="preserve">hildbirth. </w:t>
      </w:r>
      <w:proofErr w:type="gramStart"/>
      <w:r w:rsidRPr="006B1517">
        <w:rPr>
          <w:rFonts w:ascii="Arial" w:hAnsi="Arial" w:cs="Arial"/>
          <w:sz w:val="20"/>
        </w:rPr>
        <w:t>2013;13:121</w:t>
      </w:r>
      <w:proofErr w:type="gramEnd"/>
      <w:r w:rsidRPr="006B1517">
        <w:rPr>
          <w:rFonts w:ascii="Arial" w:hAnsi="Arial" w:cs="Arial"/>
          <w:sz w:val="20"/>
        </w:rPr>
        <w:t>.</w:t>
      </w:r>
    </w:p>
    <w:p w14:paraId="11E40E63" w14:textId="78583325" w:rsidR="00DD02CE" w:rsidRPr="00263418" w:rsidRDefault="00DD02CE" w:rsidP="006B1517">
      <w:pPr>
        <w:pStyle w:val="ListParagraph"/>
        <w:numPr>
          <w:ilvl w:val="0"/>
          <w:numId w:val="13"/>
        </w:numPr>
        <w:spacing w:line="360" w:lineRule="auto"/>
        <w:ind w:left="425" w:hanging="425"/>
        <w:jc w:val="both"/>
        <w:rPr>
          <w:rFonts w:ascii="Arial" w:hAnsi="Arial" w:cs="Arial"/>
          <w:sz w:val="20"/>
        </w:rPr>
      </w:pPr>
      <w:proofErr w:type="spellStart"/>
      <w:r w:rsidRPr="00263418">
        <w:rPr>
          <w:rFonts w:ascii="Arial" w:hAnsi="Arial" w:cs="Arial"/>
          <w:sz w:val="20"/>
        </w:rPr>
        <w:t>Ebonwu</w:t>
      </w:r>
      <w:proofErr w:type="spellEnd"/>
      <w:r w:rsidRPr="00263418">
        <w:rPr>
          <w:rFonts w:ascii="Arial" w:hAnsi="Arial" w:cs="Arial"/>
          <w:sz w:val="20"/>
        </w:rPr>
        <w:t xml:space="preserve"> J, </w:t>
      </w:r>
      <w:proofErr w:type="spellStart"/>
      <w:r w:rsidRPr="00263418">
        <w:rPr>
          <w:rFonts w:ascii="Arial" w:hAnsi="Arial" w:cs="Arial"/>
          <w:sz w:val="20"/>
        </w:rPr>
        <w:t>Mumbauer</w:t>
      </w:r>
      <w:proofErr w:type="spellEnd"/>
      <w:r w:rsidRPr="00263418">
        <w:rPr>
          <w:rFonts w:ascii="Arial" w:hAnsi="Arial" w:cs="Arial"/>
          <w:sz w:val="20"/>
        </w:rPr>
        <w:t xml:space="preserve"> A, </w:t>
      </w:r>
      <w:proofErr w:type="spellStart"/>
      <w:r w:rsidRPr="00263418">
        <w:rPr>
          <w:rFonts w:ascii="Arial" w:hAnsi="Arial" w:cs="Arial"/>
          <w:sz w:val="20"/>
        </w:rPr>
        <w:t>Uys</w:t>
      </w:r>
      <w:proofErr w:type="spellEnd"/>
      <w:r w:rsidRPr="00263418">
        <w:rPr>
          <w:rFonts w:ascii="Arial" w:hAnsi="Arial" w:cs="Arial"/>
          <w:sz w:val="20"/>
        </w:rPr>
        <w:t xml:space="preserve"> M, </w:t>
      </w:r>
      <w:proofErr w:type="spellStart"/>
      <w:r w:rsidRPr="00263418">
        <w:rPr>
          <w:rFonts w:ascii="Arial" w:hAnsi="Arial" w:cs="Arial"/>
          <w:sz w:val="20"/>
        </w:rPr>
        <w:t>Wainberg</w:t>
      </w:r>
      <w:proofErr w:type="spellEnd"/>
      <w:r w:rsidRPr="00263418">
        <w:rPr>
          <w:rFonts w:ascii="Arial" w:hAnsi="Arial" w:cs="Arial"/>
          <w:sz w:val="20"/>
        </w:rPr>
        <w:t xml:space="preserve"> ML, Medina-Marino A. Determinants of late antenatal care presentation in rural and peri-urban communities in South Africa:</w:t>
      </w:r>
      <w:r w:rsidR="008B50AF" w:rsidRPr="00263418">
        <w:rPr>
          <w:rFonts w:ascii="Arial" w:hAnsi="Arial" w:cs="Arial"/>
          <w:sz w:val="20"/>
        </w:rPr>
        <w:t xml:space="preserve"> A cross-sectional study. </w:t>
      </w:r>
      <w:proofErr w:type="spellStart"/>
      <w:r w:rsidR="008B50AF" w:rsidRPr="00263418">
        <w:rPr>
          <w:rFonts w:ascii="Arial" w:hAnsi="Arial" w:cs="Arial"/>
          <w:sz w:val="20"/>
        </w:rPr>
        <w:t>PloS</w:t>
      </w:r>
      <w:proofErr w:type="spellEnd"/>
      <w:r w:rsidR="008B50AF" w:rsidRPr="00263418">
        <w:rPr>
          <w:rFonts w:ascii="Arial" w:hAnsi="Arial" w:cs="Arial"/>
          <w:sz w:val="20"/>
        </w:rPr>
        <w:t xml:space="preserve"> O</w:t>
      </w:r>
      <w:r w:rsidRPr="00263418">
        <w:rPr>
          <w:rFonts w:ascii="Arial" w:hAnsi="Arial" w:cs="Arial"/>
          <w:sz w:val="20"/>
        </w:rPr>
        <w:t>ne. 2018;13(3</w:t>
      </w:r>
      <w:proofErr w:type="gramStart"/>
      <w:r w:rsidRPr="00263418">
        <w:rPr>
          <w:rFonts w:ascii="Arial" w:hAnsi="Arial" w:cs="Arial"/>
          <w:sz w:val="20"/>
        </w:rPr>
        <w:t>):e</w:t>
      </w:r>
      <w:proofErr w:type="gramEnd"/>
      <w:r w:rsidRPr="00263418">
        <w:rPr>
          <w:rFonts w:ascii="Arial" w:hAnsi="Arial" w:cs="Arial"/>
          <w:sz w:val="20"/>
        </w:rPr>
        <w:t>0191903.</w:t>
      </w:r>
    </w:p>
    <w:p w14:paraId="7508B04C" w14:textId="796B234B" w:rsidR="00DD02CE" w:rsidRPr="003C3D07" w:rsidRDefault="00263418" w:rsidP="006B1517">
      <w:pPr>
        <w:spacing w:line="360" w:lineRule="auto"/>
        <w:ind w:left="425" w:hanging="425"/>
        <w:jc w:val="both"/>
        <w:rPr>
          <w:rFonts w:ascii="Arial" w:hAnsi="Arial" w:cs="Arial"/>
          <w:sz w:val="20"/>
        </w:rPr>
      </w:pPr>
      <w:r w:rsidRPr="00A223E3">
        <w:rPr>
          <w:rFonts w:ascii="Arial" w:hAnsi="Arial" w:cs="Arial"/>
          <w:sz w:val="20"/>
        </w:rPr>
        <w:t xml:space="preserve">4. </w:t>
      </w:r>
      <w:r w:rsidR="009D58BF">
        <w:rPr>
          <w:rFonts w:ascii="Arial" w:hAnsi="Arial" w:cs="Arial"/>
          <w:sz w:val="20"/>
        </w:rPr>
        <w:tab/>
      </w:r>
      <w:r w:rsidR="00DD02CE" w:rsidRPr="00A223E3">
        <w:rPr>
          <w:rFonts w:ascii="Arial" w:hAnsi="Arial" w:cs="Arial"/>
          <w:sz w:val="20"/>
        </w:rPr>
        <w:t xml:space="preserve">Meyers K, Qian H, Wu Y, et al. </w:t>
      </w:r>
      <w:r w:rsidR="00DD02CE" w:rsidRPr="003C3D07">
        <w:rPr>
          <w:rFonts w:ascii="Arial" w:hAnsi="Arial" w:cs="Arial"/>
          <w:sz w:val="20"/>
        </w:rPr>
        <w:t>Early Initiation of ARV During Pregnancy to Move towards Virtual Elimination of Mother-to-Child-Transmission o</w:t>
      </w:r>
      <w:r w:rsidR="008B50AF">
        <w:rPr>
          <w:rFonts w:ascii="Arial" w:hAnsi="Arial" w:cs="Arial"/>
          <w:sz w:val="20"/>
        </w:rPr>
        <w:t xml:space="preserve">f HIV-1 in Yunnan, China. </w:t>
      </w:r>
      <w:proofErr w:type="spellStart"/>
      <w:r w:rsidR="008B50AF">
        <w:rPr>
          <w:rFonts w:ascii="Arial" w:hAnsi="Arial" w:cs="Arial"/>
          <w:sz w:val="20"/>
        </w:rPr>
        <w:t>PloS</w:t>
      </w:r>
      <w:proofErr w:type="spellEnd"/>
      <w:r w:rsidR="008B50AF">
        <w:rPr>
          <w:rFonts w:ascii="Arial" w:hAnsi="Arial" w:cs="Arial"/>
          <w:sz w:val="20"/>
        </w:rPr>
        <w:t xml:space="preserve"> O</w:t>
      </w:r>
      <w:r w:rsidR="00DD02CE" w:rsidRPr="003C3D07">
        <w:rPr>
          <w:rFonts w:ascii="Arial" w:hAnsi="Arial" w:cs="Arial"/>
          <w:sz w:val="20"/>
        </w:rPr>
        <w:t>ne. 2015;10(9</w:t>
      </w:r>
      <w:proofErr w:type="gramStart"/>
      <w:r w:rsidR="00DD02CE" w:rsidRPr="003C3D07">
        <w:rPr>
          <w:rFonts w:ascii="Arial" w:hAnsi="Arial" w:cs="Arial"/>
          <w:sz w:val="20"/>
        </w:rPr>
        <w:t>):e</w:t>
      </w:r>
      <w:proofErr w:type="gramEnd"/>
      <w:r w:rsidR="00DD02CE" w:rsidRPr="003C3D07">
        <w:rPr>
          <w:rFonts w:ascii="Arial" w:hAnsi="Arial" w:cs="Arial"/>
          <w:sz w:val="20"/>
        </w:rPr>
        <w:t>0138104.</w:t>
      </w:r>
    </w:p>
    <w:p w14:paraId="6960469F" w14:textId="58F53B10" w:rsidR="00DD02CE" w:rsidRPr="00DD02CE" w:rsidRDefault="00263418">
      <w:pPr>
        <w:spacing w:line="360" w:lineRule="auto"/>
        <w:ind w:left="426" w:hanging="426"/>
        <w:jc w:val="both"/>
        <w:rPr>
          <w:rFonts w:ascii="Arial" w:hAnsi="Arial" w:cs="Arial"/>
          <w:sz w:val="20"/>
          <w:szCs w:val="20"/>
        </w:rPr>
      </w:pPr>
      <w:r>
        <w:rPr>
          <w:rFonts w:ascii="Arial" w:hAnsi="Arial" w:cs="Arial"/>
          <w:sz w:val="20"/>
        </w:rPr>
        <w:t>5</w:t>
      </w:r>
      <w:r w:rsidR="00DD02CE" w:rsidRPr="003C3D07">
        <w:rPr>
          <w:rFonts w:ascii="Arial" w:hAnsi="Arial" w:cs="Arial"/>
          <w:sz w:val="20"/>
        </w:rPr>
        <w:t>.</w:t>
      </w:r>
      <w:r w:rsidR="00DD02CE" w:rsidRPr="003C3D07">
        <w:rPr>
          <w:rFonts w:ascii="Arial" w:hAnsi="Arial" w:cs="Arial"/>
          <w:sz w:val="20"/>
        </w:rPr>
        <w:tab/>
        <w:t xml:space="preserve">Walmsley </w:t>
      </w:r>
      <w:r w:rsidR="00DD02CE" w:rsidRPr="00DD02CE">
        <w:rPr>
          <w:rFonts w:ascii="Arial" w:hAnsi="Arial" w:cs="Arial"/>
          <w:sz w:val="20"/>
          <w:szCs w:val="20"/>
        </w:rPr>
        <w:t xml:space="preserve">SL, </w:t>
      </w:r>
      <w:proofErr w:type="spellStart"/>
      <w:r w:rsidR="00DD02CE" w:rsidRPr="00DD02CE">
        <w:rPr>
          <w:rFonts w:ascii="Arial" w:hAnsi="Arial" w:cs="Arial"/>
          <w:sz w:val="20"/>
          <w:szCs w:val="20"/>
        </w:rPr>
        <w:t>Antela</w:t>
      </w:r>
      <w:proofErr w:type="spellEnd"/>
      <w:r w:rsidR="00DD02CE" w:rsidRPr="00DD02CE">
        <w:rPr>
          <w:rFonts w:ascii="Arial" w:hAnsi="Arial" w:cs="Arial"/>
          <w:sz w:val="20"/>
          <w:szCs w:val="20"/>
        </w:rPr>
        <w:t xml:space="preserve"> A, </w:t>
      </w:r>
      <w:proofErr w:type="spellStart"/>
      <w:r w:rsidR="00DD02CE" w:rsidRPr="00DD02CE">
        <w:rPr>
          <w:rFonts w:ascii="Arial" w:hAnsi="Arial" w:cs="Arial"/>
          <w:sz w:val="20"/>
          <w:szCs w:val="20"/>
        </w:rPr>
        <w:t>Clumeck</w:t>
      </w:r>
      <w:proofErr w:type="spellEnd"/>
      <w:r w:rsidR="00DD02CE" w:rsidRPr="00DD02CE">
        <w:rPr>
          <w:rFonts w:ascii="Arial" w:hAnsi="Arial" w:cs="Arial"/>
          <w:sz w:val="20"/>
          <w:szCs w:val="20"/>
        </w:rPr>
        <w:t xml:space="preserve"> N, et al. Dolutegravir plus abacavir-lamivudine for the treatment of HI</w:t>
      </w:r>
      <w:r w:rsidR="001B2C4D">
        <w:rPr>
          <w:rFonts w:ascii="Arial" w:hAnsi="Arial" w:cs="Arial"/>
          <w:sz w:val="20"/>
          <w:szCs w:val="20"/>
        </w:rPr>
        <w:t>V-1 infection. The New England Journal of M</w:t>
      </w:r>
      <w:r w:rsidR="00DD02CE" w:rsidRPr="00DD02CE">
        <w:rPr>
          <w:rFonts w:ascii="Arial" w:hAnsi="Arial" w:cs="Arial"/>
          <w:sz w:val="20"/>
          <w:szCs w:val="20"/>
        </w:rPr>
        <w:t>edicine. 2013;369(19):1807-18.</w:t>
      </w:r>
    </w:p>
    <w:p w14:paraId="613D6800" w14:textId="52E7CBA6" w:rsidR="00DD02CE" w:rsidRPr="00DD02CE" w:rsidRDefault="00263418">
      <w:pPr>
        <w:spacing w:line="360" w:lineRule="auto"/>
        <w:ind w:left="426" w:hanging="426"/>
        <w:jc w:val="both"/>
        <w:rPr>
          <w:rFonts w:ascii="Arial" w:hAnsi="Arial" w:cs="Arial"/>
          <w:sz w:val="20"/>
          <w:szCs w:val="20"/>
        </w:rPr>
      </w:pPr>
      <w:r>
        <w:rPr>
          <w:rFonts w:ascii="Arial" w:hAnsi="Arial" w:cs="Arial"/>
          <w:sz w:val="20"/>
          <w:szCs w:val="20"/>
        </w:rPr>
        <w:t>6</w:t>
      </w:r>
      <w:r w:rsidR="00DD02CE" w:rsidRPr="00DD02CE">
        <w:rPr>
          <w:rFonts w:ascii="Arial" w:hAnsi="Arial" w:cs="Arial"/>
          <w:sz w:val="20"/>
          <w:szCs w:val="20"/>
        </w:rPr>
        <w:t>.</w:t>
      </w:r>
      <w:r w:rsidR="00DD02CE" w:rsidRPr="00DD02CE">
        <w:rPr>
          <w:rFonts w:ascii="Arial" w:hAnsi="Arial" w:cs="Arial"/>
          <w:sz w:val="20"/>
          <w:szCs w:val="20"/>
        </w:rPr>
        <w:tab/>
      </w:r>
      <w:r w:rsidR="0093092C" w:rsidRPr="0093092C">
        <w:rPr>
          <w:rFonts w:ascii="Arial" w:hAnsi="Arial" w:cs="Arial"/>
          <w:sz w:val="20"/>
          <w:szCs w:val="20"/>
        </w:rPr>
        <w:t xml:space="preserve">International Council for </w:t>
      </w:r>
      <w:proofErr w:type="spellStart"/>
      <w:r w:rsidR="0093092C" w:rsidRPr="0093092C">
        <w:rPr>
          <w:rFonts w:ascii="Arial" w:hAnsi="Arial" w:cs="Arial"/>
          <w:sz w:val="20"/>
          <w:szCs w:val="20"/>
        </w:rPr>
        <w:t>Harmonisatio</w:t>
      </w:r>
      <w:r w:rsidR="00DF0E34">
        <w:rPr>
          <w:rFonts w:ascii="Arial" w:hAnsi="Arial" w:cs="Arial"/>
          <w:sz w:val="20"/>
          <w:szCs w:val="20"/>
        </w:rPr>
        <w:t>n</w:t>
      </w:r>
      <w:proofErr w:type="spellEnd"/>
      <w:r w:rsidR="0093092C">
        <w:rPr>
          <w:rFonts w:ascii="Arial" w:hAnsi="Arial" w:cs="Arial"/>
          <w:sz w:val="20"/>
          <w:szCs w:val="20"/>
        </w:rPr>
        <w:t xml:space="preserve">. </w:t>
      </w:r>
      <w:r w:rsidR="00DD02CE" w:rsidRPr="00F72441">
        <w:rPr>
          <w:rFonts w:ascii="Arial" w:hAnsi="Arial" w:cs="Arial"/>
          <w:sz w:val="20"/>
          <w:szCs w:val="20"/>
        </w:rPr>
        <w:t xml:space="preserve">https://www.meddra.org/ version 22.0, accessed </w:t>
      </w:r>
      <w:r w:rsidR="008B50AF">
        <w:rPr>
          <w:rFonts w:ascii="Arial" w:hAnsi="Arial" w:cs="Arial"/>
          <w:sz w:val="20"/>
          <w:szCs w:val="20"/>
        </w:rPr>
        <w:t>1</w:t>
      </w:r>
      <w:r w:rsidR="00DF0E34">
        <w:rPr>
          <w:rFonts w:ascii="Arial" w:hAnsi="Arial" w:cs="Arial"/>
          <w:sz w:val="20"/>
          <w:szCs w:val="20"/>
        </w:rPr>
        <w:t>8</w:t>
      </w:r>
      <w:r w:rsidR="008B50AF" w:rsidRPr="00F72441">
        <w:rPr>
          <w:rFonts w:ascii="Arial" w:hAnsi="Arial" w:cs="Arial"/>
          <w:sz w:val="20"/>
          <w:szCs w:val="20"/>
          <w:vertAlign w:val="superscript"/>
        </w:rPr>
        <w:t>th</w:t>
      </w:r>
      <w:r w:rsidR="008B50AF">
        <w:rPr>
          <w:rFonts w:ascii="Arial" w:hAnsi="Arial" w:cs="Arial"/>
          <w:sz w:val="20"/>
          <w:szCs w:val="20"/>
        </w:rPr>
        <w:t xml:space="preserve"> June 2019</w:t>
      </w:r>
    </w:p>
    <w:p w14:paraId="0BCBB7CC" w14:textId="217C7C4B" w:rsidR="00DD02CE" w:rsidRDefault="00263418">
      <w:pPr>
        <w:spacing w:line="360" w:lineRule="auto"/>
        <w:ind w:left="426" w:hanging="426"/>
        <w:jc w:val="both"/>
        <w:rPr>
          <w:rFonts w:ascii="Arial" w:hAnsi="Arial" w:cs="Arial"/>
          <w:sz w:val="20"/>
        </w:rPr>
      </w:pPr>
      <w:r>
        <w:rPr>
          <w:rFonts w:ascii="Arial" w:hAnsi="Arial" w:cs="Arial"/>
          <w:sz w:val="20"/>
        </w:rPr>
        <w:t>7</w:t>
      </w:r>
      <w:r w:rsidR="00DD02CE">
        <w:rPr>
          <w:rFonts w:ascii="Arial" w:hAnsi="Arial" w:cs="Arial"/>
          <w:sz w:val="20"/>
        </w:rPr>
        <w:t>.</w:t>
      </w:r>
      <w:r w:rsidR="00DD02CE">
        <w:rPr>
          <w:rFonts w:ascii="Arial" w:hAnsi="Arial" w:cs="Arial"/>
          <w:sz w:val="20"/>
        </w:rPr>
        <w:tab/>
      </w:r>
      <w:r w:rsidR="00A97A49" w:rsidRPr="003C3D07">
        <w:rPr>
          <w:rFonts w:ascii="Arial" w:hAnsi="Arial" w:cs="Arial"/>
          <w:sz w:val="20"/>
        </w:rPr>
        <w:t xml:space="preserve">Gallagher RM, Kirkham JJ, Mason JR, et al. Development and inter-rater reliability of the Liverpool adverse drug reaction causality assessment tool. </w:t>
      </w:r>
      <w:proofErr w:type="spellStart"/>
      <w:r w:rsidR="00A97A49" w:rsidRPr="003C3D07">
        <w:rPr>
          <w:rFonts w:ascii="Arial" w:hAnsi="Arial" w:cs="Arial"/>
          <w:sz w:val="20"/>
        </w:rPr>
        <w:t>PloS</w:t>
      </w:r>
      <w:proofErr w:type="spellEnd"/>
      <w:r w:rsidR="00A97A49" w:rsidRPr="003C3D07">
        <w:rPr>
          <w:rFonts w:ascii="Arial" w:hAnsi="Arial" w:cs="Arial"/>
          <w:sz w:val="20"/>
        </w:rPr>
        <w:t xml:space="preserve"> One. 2011;6(12</w:t>
      </w:r>
      <w:proofErr w:type="gramStart"/>
      <w:r w:rsidR="00A97A49" w:rsidRPr="003C3D07">
        <w:rPr>
          <w:rFonts w:ascii="Arial" w:hAnsi="Arial" w:cs="Arial"/>
          <w:sz w:val="20"/>
        </w:rPr>
        <w:t>):e</w:t>
      </w:r>
      <w:proofErr w:type="gramEnd"/>
      <w:r w:rsidR="00A97A49" w:rsidRPr="003C3D07">
        <w:rPr>
          <w:rFonts w:ascii="Arial" w:hAnsi="Arial" w:cs="Arial"/>
          <w:sz w:val="20"/>
        </w:rPr>
        <w:t>28096.</w:t>
      </w:r>
    </w:p>
    <w:p w14:paraId="3724D849" w14:textId="3FB90CAF" w:rsidR="00A97A49" w:rsidRPr="003C3D07" w:rsidRDefault="00263418">
      <w:pPr>
        <w:spacing w:line="360" w:lineRule="auto"/>
        <w:ind w:left="426" w:hanging="426"/>
        <w:jc w:val="both"/>
        <w:rPr>
          <w:rFonts w:ascii="Arial" w:hAnsi="Arial" w:cs="Arial"/>
          <w:sz w:val="20"/>
        </w:rPr>
      </w:pPr>
      <w:r>
        <w:rPr>
          <w:rFonts w:ascii="Arial" w:hAnsi="Arial" w:cs="Arial"/>
          <w:sz w:val="20"/>
        </w:rPr>
        <w:t>8</w:t>
      </w:r>
      <w:r w:rsidR="00A97A49" w:rsidRPr="003C3D07">
        <w:rPr>
          <w:rFonts w:ascii="Arial" w:hAnsi="Arial" w:cs="Arial"/>
          <w:sz w:val="20"/>
        </w:rPr>
        <w:t>.</w:t>
      </w:r>
      <w:r w:rsidR="00A97A49" w:rsidRPr="003C3D07">
        <w:rPr>
          <w:rFonts w:ascii="Arial" w:hAnsi="Arial" w:cs="Arial"/>
          <w:sz w:val="20"/>
        </w:rPr>
        <w:tab/>
        <w:t xml:space="preserve">Hakim J, </w:t>
      </w:r>
      <w:proofErr w:type="spellStart"/>
      <w:r w:rsidR="00A97A49" w:rsidRPr="003C3D07">
        <w:rPr>
          <w:rFonts w:ascii="Arial" w:hAnsi="Arial" w:cs="Arial"/>
          <w:sz w:val="20"/>
        </w:rPr>
        <w:t>Musiime</w:t>
      </w:r>
      <w:proofErr w:type="spellEnd"/>
      <w:r w:rsidR="00A97A49" w:rsidRPr="003C3D07">
        <w:rPr>
          <w:rFonts w:ascii="Arial" w:hAnsi="Arial" w:cs="Arial"/>
          <w:sz w:val="20"/>
        </w:rPr>
        <w:t xml:space="preserve"> V, </w:t>
      </w:r>
      <w:proofErr w:type="spellStart"/>
      <w:r w:rsidR="00A97A49" w:rsidRPr="003C3D07">
        <w:rPr>
          <w:rFonts w:ascii="Arial" w:hAnsi="Arial" w:cs="Arial"/>
          <w:sz w:val="20"/>
        </w:rPr>
        <w:t>Szubert</w:t>
      </w:r>
      <w:proofErr w:type="spellEnd"/>
      <w:r w:rsidR="00A97A49" w:rsidRPr="003C3D07">
        <w:rPr>
          <w:rFonts w:ascii="Arial" w:hAnsi="Arial" w:cs="Arial"/>
          <w:sz w:val="20"/>
        </w:rPr>
        <w:t xml:space="preserve"> AJ, et al. Enhanced Prophylaxis plus Antiretroviral Therapy for Advanced HIV Infection in Africa. The New England Journal of Medicine. 2017;377(3):233-45.</w:t>
      </w:r>
    </w:p>
    <w:p w14:paraId="1B8A30D4" w14:textId="39285B55" w:rsidR="00A97A49" w:rsidRPr="003C3D07" w:rsidRDefault="00263418">
      <w:pPr>
        <w:spacing w:line="360" w:lineRule="auto"/>
        <w:ind w:left="426" w:hanging="426"/>
        <w:jc w:val="both"/>
        <w:rPr>
          <w:rFonts w:ascii="Arial" w:hAnsi="Arial" w:cs="Arial"/>
          <w:sz w:val="20"/>
        </w:rPr>
      </w:pPr>
      <w:r>
        <w:rPr>
          <w:rFonts w:ascii="Arial" w:hAnsi="Arial" w:cs="Arial"/>
          <w:sz w:val="20"/>
        </w:rPr>
        <w:t>9</w:t>
      </w:r>
      <w:r w:rsidR="00A97A49" w:rsidRPr="003C3D07">
        <w:rPr>
          <w:rFonts w:ascii="Arial" w:hAnsi="Arial" w:cs="Arial"/>
          <w:sz w:val="20"/>
        </w:rPr>
        <w:t>.</w:t>
      </w:r>
      <w:r w:rsidR="00A97A49" w:rsidRPr="003C3D07">
        <w:rPr>
          <w:rFonts w:ascii="Arial" w:hAnsi="Arial" w:cs="Arial"/>
          <w:sz w:val="20"/>
        </w:rPr>
        <w:tab/>
        <w:t>French MA, Price P, Stone SF. Immune restoration disease after antiretroviral therapy. A</w:t>
      </w:r>
      <w:r w:rsidR="001B2C4D">
        <w:rPr>
          <w:rFonts w:ascii="Arial" w:hAnsi="Arial" w:cs="Arial"/>
          <w:sz w:val="20"/>
        </w:rPr>
        <w:t>IDS</w:t>
      </w:r>
      <w:r w:rsidR="00A97A49" w:rsidRPr="003C3D07">
        <w:rPr>
          <w:rFonts w:ascii="Arial" w:hAnsi="Arial" w:cs="Arial"/>
          <w:sz w:val="20"/>
        </w:rPr>
        <w:t>. 2004;18(12):1615-27.</w:t>
      </w:r>
    </w:p>
    <w:p w14:paraId="1F7FF35C" w14:textId="5C44A9D6" w:rsidR="00A97A49" w:rsidRPr="003C3D07" w:rsidRDefault="00263418">
      <w:pPr>
        <w:spacing w:line="360" w:lineRule="auto"/>
        <w:ind w:left="426" w:hanging="426"/>
        <w:jc w:val="both"/>
        <w:rPr>
          <w:rFonts w:ascii="Arial" w:hAnsi="Arial" w:cs="Arial"/>
          <w:sz w:val="20"/>
        </w:rPr>
      </w:pPr>
      <w:r>
        <w:rPr>
          <w:rFonts w:ascii="Arial" w:hAnsi="Arial" w:cs="Arial"/>
          <w:sz w:val="20"/>
        </w:rPr>
        <w:t>10</w:t>
      </w:r>
      <w:r w:rsidR="00A97A49" w:rsidRPr="003C3D07">
        <w:rPr>
          <w:rFonts w:ascii="Arial" w:hAnsi="Arial" w:cs="Arial"/>
          <w:sz w:val="20"/>
        </w:rPr>
        <w:t>.</w:t>
      </w:r>
      <w:r w:rsidR="00A97A49" w:rsidRPr="003C3D07">
        <w:rPr>
          <w:rFonts w:ascii="Arial" w:hAnsi="Arial" w:cs="Arial"/>
          <w:sz w:val="20"/>
        </w:rPr>
        <w:tab/>
        <w:t xml:space="preserve">Meintjes G, Lawn SD, </w:t>
      </w:r>
      <w:proofErr w:type="spellStart"/>
      <w:r w:rsidR="00A97A49" w:rsidRPr="003C3D07">
        <w:rPr>
          <w:rFonts w:ascii="Arial" w:hAnsi="Arial" w:cs="Arial"/>
          <w:sz w:val="20"/>
        </w:rPr>
        <w:t>Scano</w:t>
      </w:r>
      <w:proofErr w:type="spellEnd"/>
      <w:r w:rsidR="00A97A49" w:rsidRPr="003C3D07">
        <w:rPr>
          <w:rFonts w:ascii="Arial" w:hAnsi="Arial" w:cs="Arial"/>
          <w:sz w:val="20"/>
        </w:rPr>
        <w:t xml:space="preserve"> F, et al. Tuberculosis-associated immune reconstitution inflammatory syndrome: case definitions for use in resource-limited settings. The Lancet Infectious </w:t>
      </w:r>
      <w:r w:rsidR="001B2C4D">
        <w:rPr>
          <w:rFonts w:ascii="Arial" w:hAnsi="Arial" w:cs="Arial"/>
          <w:sz w:val="20"/>
        </w:rPr>
        <w:t>D</w:t>
      </w:r>
      <w:r w:rsidR="00A97A49" w:rsidRPr="003C3D07">
        <w:rPr>
          <w:rFonts w:ascii="Arial" w:hAnsi="Arial" w:cs="Arial"/>
          <w:sz w:val="20"/>
        </w:rPr>
        <w:t>iseases. 2008;8(8):516-23.</w:t>
      </w:r>
    </w:p>
    <w:p w14:paraId="68DEF5FD" w14:textId="51346E67" w:rsidR="00A97A49" w:rsidRDefault="00263418">
      <w:pPr>
        <w:spacing w:line="360" w:lineRule="auto"/>
        <w:ind w:left="426" w:hanging="426"/>
        <w:jc w:val="both"/>
        <w:rPr>
          <w:rFonts w:ascii="Arial" w:hAnsi="Arial" w:cs="Arial"/>
          <w:sz w:val="20"/>
        </w:rPr>
      </w:pPr>
      <w:r>
        <w:rPr>
          <w:rFonts w:ascii="Arial" w:hAnsi="Arial" w:cs="Arial"/>
          <w:sz w:val="20"/>
        </w:rPr>
        <w:t>11</w:t>
      </w:r>
      <w:r w:rsidR="00A97A49" w:rsidRPr="003C3D07">
        <w:rPr>
          <w:rFonts w:ascii="Arial" w:hAnsi="Arial" w:cs="Arial"/>
          <w:sz w:val="20"/>
        </w:rPr>
        <w:t>.</w:t>
      </w:r>
      <w:r w:rsidR="00A97A49" w:rsidRPr="003C3D07">
        <w:rPr>
          <w:rFonts w:ascii="Arial" w:hAnsi="Arial" w:cs="Arial"/>
          <w:sz w:val="20"/>
        </w:rPr>
        <w:tab/>
        <w:t xml:space="preserve">Quinn JA, Munoz FM, </w:t>
      </w:r>
      <w:proofErr w:type="spellStart"/>
      <w:r w:rsidR="00A97A49" w:rsidRPr="003C3D07">
        <w:rPr>
          <w:rFonts w:ascii="Arial" w:hAnsi="Arial" w:cs="Arial"/>
          <w:sz w:val="20"/>
        </w:rPr>
        <w:t>Gonik</w:t>
      </w:r>
      <w:proofErr w:type="spellEnd"/>
      <w:r w:rsidR="00A97A49" w:rsidRPr="003C3D07">
        <w:rPr>
          <w:rFonts w:ascii="Arial" w:hAnsi="Arial" w:cs="Arial"/>
          <w:sz w:val="20"/>
        </w:rPr>
        <w:t xml:space="preserve"> B, et al. Preterm birth: Case definition &amp; guidelines for data collection, analysis, and presentation of </w:t>
      </w:r>
      <w:proofErr w:type="spellStart"/>
      <w:r w:rsidR="00A97A49" w:rsidRPr="003C3D07">
        <w:rPr>
          <w:rFonts w:ascii="Arial" w:hAnsi="Arial" w:cs="Arial"/>
          <w:sz w:val="20"/>
        </w:rPr>
        <w:t>immunisation</w:t>
      </w:r>
      <w:proofErr w:type="spellEnd"/>
      <w:r w:rsidR="00A97A49" w:rsidRPr="003C3D07">
        <w:rPr>
          <w:rFonts w:ascii="Arial" w:hAnsi="Arial" w:cs="Arial"/>
          <w:sz w:val="20"/>
        </w:rPr>
        <w:t xml:space="preserve"> safety data. Vaccine. 2016;34(49):6047-56.</w:t>
      </w:r>
    </w:p>
    <w:p w14:paraId="4C8FC93F" w14:textId="637C4254" w:rsidR="00A97A49" w:rsidRDefault="00263418">
      <w:pPr>
        <w:spacing w:line="360" w:lineRule="auto"/>
        <w:ind w:left="426" w:hanging="426"/>
        <w:jc w:val="both"/>
        <w:rPr>
          <w:rFonts w:ascii="Arial" w:hAnsi="Arial" w:cs="Arial"/>
          <w:sz w:val="20"/>
        </w:rPr>
      </w:pPr>
      <w:r>
        <w:rPr>
          <w:rFonts w:ascii="Arial" w:hAnsi="Arial" w:cs="Arial"/>
          <w:sz w:val="20"/>
        </w:rPr>
        <w:t>12</w:t>
      </w:r>
      <w:r w:rsidR="00A97A49">
        <w:rPr>
          <w:rFonts w:ascii="Arial" w:hAnsi="Arial" w:cs="Arial"/>
          <w:sz w:val="20"/>
        </w:rPr>
        <w:t>.</w:t>
      </w:r>
      <w:r w:rsidR="00A97A49">
        <w:rPr>
          <w:rFonts w:ascii="Arial" w:hAnsi="Arial" w:cs="Arial"/>
          <w:sz w:val="20"/>
        </w:rPr>
        <w:tab/>
      </w:r>
      <w:r w:rsidR="0093092C">
        <w:rPr>
          <w:rFonts w:ascii="Arial" w:hAnsi="Arial" w:cs="Arial"/>
          <w:sz w:val="20"/>
        </w:rPr>
        <w:t>World Health Organi</w:t>
      </w:r>
      <w:r w:rsidR="008564FC">
        <w:rPr>
          <w:rFonts w:ascii="Arial" w:hAnsi="Arial" w:cs="Arial"/>
          <w:sz w:val="20"/>
        </w:rPr>
        <w:t>z</w:t>
      </w:r>
      <w:r w:rsidR="0093092C">
        <w:rPr>
          <w:rFonts w:ascii="Arial" w:hAnsi="Arial" w:cs="Arial"/>
          <w:sz w:val="20"/>
        </w:rPr>
        <w:t xml:space="preserve">ation. </w:t>
      </w:r>
      <w:hyperlink r:id="rId9" w:history="1">
        <w:r w:rsidR="0093092C" w:rsidRPr="0093092C">
          <w:rPr>
            <w:rStyle w:val="Hyperlink"/>
            <w:rFonts w:ascii="Arial" w:hAnsi="Arial" w:cs="Arial"/>
            <w:sz w:val="20"/>
          </w:rPr>
          <w:t>https://www.who.int/tdr/news/2012/pregnancy_registry_protocol/en/</w:t>
        </w:r>
      </w:hyperlink>
      <w:r w:rsidR="00A97A49">
        <w:rPr>
          <w:rFonts w:ascii="Arial" w:hAnsi="Arial" w:cs="Arial"/>
          <w:sz w:val="20"/>
        </w:rPr>
        <w:t>, accessed 13</w:t>
      </w:r>
      <w:r w:rsidR="00A97A49" w:rsidRPr="00F72441">
        <w:rPr>
          <w:rFonts w:ascii="Arial" w:hAnsi="Arial" w:cs="Arial"/>
          <w:sz w:val="20"/>
          <w:vertAlign w:val="superscript"/>
        </w:rPr>
        <w:t>th</w:t>
      </w:r>
      <w:r w:rsidR="00A97A49">
        <w:rPr>
          <w:rFonts w:ascii="Arial" w:hAnsi="Arial" w:cs="Arial"/>
          <w:sz w:val="20"/>
        </w:rPr>
        <w:t xml:space="preserve"> June 2019</w:t>
      </w:r>
    </w:p>
    <w:p w14:paraId="688151EA" w14:textId="31097359" w:rsidR="004F4188" w:rsidRPr="003C3D07" w:rsidRDefault="00263418">
      <w:pPr>
        <w:spacing w:line="360" w:lineRule="auto"/>
        <w:ind w:left="426" w:hanging="426"/>
        <w:jc w:val="both"/>
        <w:rPr>
          <w:rFonts w:ascii="Arial" w:hAnsi="Arial" w:cs="Arial"/>
          <w:sz w:val="20"/>
        </w:rPr>
      </w:pPr>
      <w:r>
        <w:rPr>
          <w:rFonts w:ascii="Arial" w:hAnsi="Arial" w:cs="Arial"/>
          <w:sz w:val="20"/>
        </w:rPr>
        <w:t>13</w:t>
      </w:r>
      <w:r w:rsidR="004F4188" w:rsidRPr="003C3D07">
        <w:rPr>
          <w:rFonts w:ascii="Arial" w:hAnsi="Arial" w:cs="Arial"/>
          <w:sz w:val="20"/>
        </w:rPr>
        <w:t>.</w:t>
      </w:r>
      <w:r w:rsidR="004F4188" w:rsidRPr="003C3D07">
        <w:rPr>
          <w:rFonts w:ascii="Arial" w:hAnsi="Arial" w:cs="Arial"/>
          <w:sz w:val="20"/>
        </w:rPr>
        <w:tab/>
        <w:t>Myer L, Phillips TK, Hsiao NY</w:t>
      </w:r>
      <w:r w:rsidR="008B50AF">
        <w:rPr>
          <w:rFonts w:ascii="Arial" w:hAnsi="Arial" w:cs="Arial"/>
          <w:sz w:val="20"/>
        </w:rPr>
        <w:t xml:space="preserve"> </w:t>
      </w:r>
      <w:r w:rsidR="004F4188" w:rsidRPr="003C3D07">
        <w:rPr>
          <w:rFonts w:ascii="Arial" w:hAnsi="Arial" w:cs="Arial"/>
          <w:sz w:val="20"/>
        </w:rPr>
        <w:t xml:space="preserve">et al. Plasma </w:t>
      </w:r>
      <w:proofErr w:type="spellStart"/>
      <w:r w:rsidR="004F4188" w:rsidRPr="003C3D07">
        <w:rPr>
          <w:rFonts w:ascii="Arial" w:hAnsi="Arial" w:cs="Arial"/>
          <w:sz w:val="20"/>
        </w:rPr>
        <w:t>viraemia</w:t>
      </w:r>
      <w:proofErr w:type="spellEnd"/>
      <w:r w:rsidR="004F4188" w:rsidRPr="003C3D07">
        <w:rPr>
          <w:rFonts w:ascii="Arial" w:hAnsi="Arial" w:cs="Arial"/>
          <w:sz w:val="20"/>
        </w:rPr>
        <w:t xml:space="preserve"> in HIV-positive pregnant women entering antenatal care in South Africa. J Int AIDS Soc. </w:t>
      </w:r>
      <w:proofErr w:type="gramStart"/>
      <w:r w:rsidR="004F4188" w:rsidRPr="003C3D07">
        <w:rPr>
          <w:rFonts w:ascii="Arial" w:hAnsi="Arial" w:cs="Arial"/>
          <w:sz w:val="20"/>
        </w:rPr>
        <w:t>2015;18:20045</w:t>
      </w:r>
      <w:proofErr w:type="gramEnd"/>
      <w:r w:rsidR="004F4188" w:rsidRPr="003C3D07">
        <w:rPr>
          <w:rFonts w:ascii="Arial" w:hAnsi="Arial" w:cs="Arial"/>
          <w:sz w:val="20"/>
        </w:rPr>
        <w:t>.</w:t>
      </w:r>
    </w:p>
    <w:p w14:paraId="11DD57EC" w14:textId="529AE736" w:rsidR="004F4188" w:rsidRPr="00FF2975" w:rsidRDefault="00263418">
      <w:pPr>
        <w:spacing w:line="360" w:lineRule="auto"/>
        <w:ind w:left="426" w:hanging="426"/>
        <w:jc w:val="both"/>
        <w:rPr>
          <w:rFonts w:ascii="Arial" w:hAnsi="Arial" w:cs="Arial"/>
          <w:sz w:val="20"/>
        </w:rPr>
      </w:pPr>
      <w:r>
        <w:rPr>
          <w:rFonts w:ascii="Arial" w:hAnsi="Arial" w:cs="Arial"/>
          <w:sz w:val="20"/>
        </w:rPr>
        <w:t>14</w:t>
      </w:r>
      <w:r w:rsidR="004F4188">
        <w:rPr>
          <w:rFonts w:ascii="Arial" w:hAnsi="Arial" w:cs="Arial"/>
          <w:sz w:val="20"/>
        </w:rPr>
        <w:tab/>
      </w:r>
      <w:r w:rsidR="00FF2975" w:rsidRPr="00FF2975">
        <w:rPr>
          <w:rFonts w:ascii="Arial" w:hAnsi="Arial" w:cs="Arial"/>
          <w:sz w:val="20"/>
        </w:rPr>
        <w:t xml:space="preserve">Mofenson LM. In-utero ART exposure and the need for pharmacovigilance. </w:t>
      </w:r>
      <w:r w:rsidR="00FF2975">
        <w:rPr>
          <w:rFonts w:ascii="Arial" w:hAnsi="Arial" w:cs="Arial"/>
          <w:sz w:val="20"/>
        </w:rPr>
        <w:t xml:space="preserve">The Lancet Global Health </w:t>
      </w:r>
      <w:r w:rsidR="00FF2975" w:rsidRPr="00FF2975">
        <w:rPr>
          <w:rFonts w:ascii="Arial" w:hAnsi="Arial" w:cs="Arial"/>
          <w:sz w:val="20"/>
        </w:rPr>
        <w:t xml:space="preserve">2018; </w:t>
      </w:r>
      <w:proofErr w:type="gramStart"/>
      <w:r w:rsidR="00FF2975" w:rsidRPr="00FF2975">
        <w:rPr>
          <w:rFonts w:ascii="Arial" w:hAnsi="Arial" w:cs="Arial"/>
          <w:sz w:val="20"/>
        </w:rPr>
        <w:t>6:e</w:t>
      </w:r>
      <w:proofErr w:type="gramEnd"/>
      <w:r w:rsidR="00FF2975" w:rsidRPr="00FF2975">
        <w:rPr>
          <w:rFonts w:ascii="Arial" w:hAnsi="Arial" w:cs="Arial"/>
          <w:sz w:val="20"/>
        </w:rPr>
        <w:t>716-e717</w:t>
      </w:r>
    </w:p>
    <w:p w14:paraId="1B3667FD" w14:textId="1BA4E035" w:rsidR="004F4188" w:rsidRDefault="00263418">
      <w:pPr>
        <w:spacing w:line="360" w:lineRule="auto"/>
        <w:ind w:left="426" w:hanging="426"/>
        <w:jc w:val="both"/>
        <w:rPr>
          <w:rFonts w:ascii="Arial" w:hAnsi="Arial" w:cs="Arial"/>
          <w:sz w:val="20"/>
        </w:rPr>
      </w:pPr>
      <w:r w:rsidRPr="00FF2975">
        <w:rPr>
          <w:rFonts w:ascii="Arial" w:hAnsi="Arial" w:cs="Arial"/>
          <w:sz w:val="20"/>
        </w:rPr>
        <w:t>1</w:t>
      </w:r>
      <w:r>
        <w:rPr>
          <w:rFonts w:ascii="Arial" w:hAnsi="Arial" w:cs="Arial"/>
          <w:sz w:val="20"/>
        </w:rPr>
        <w:t>5</w:t>
      </w:r>
      <w:r w:rsidR="004F4188" w:rsidRPr="00FF2975">
        <w:rPr>
          <w:rFonts w:ascii="Arial" w:hAnsi="Arial" w:cs="Arial"/>
          <w:sz w:val="20"/>
        </w:rPr>
        <w:tab/>
      </w:r>
      <w:r w:rsidR="00FF2975" w:rsidRPr="00FF2975">
        <w:rPr>
          <w:rFonts w:ascii="Arial" w:hAnsi="Arial" w:cs="Arial"/>
          <w:sz w:val="20"/>
        </w:rPr>
        <w:t>Black V, Schwartz SR. Issues about periconception use of dolutegravir are reminiscent of early concerns about efavirenz. The Lancet HIV 2018;</w:t>
      </w:r>
      <w:proofErr w:type="gramStart"/>
      <w:r w:rsidR="00FF2975" w:rsidRPr="00FF2975">
        <w:rPr>
          <w:rFonts w:ascii="Arial" w:hAnsi="Arial" w:cs="Arial"/>
          <w:sz w:val="20"/>
        </w:rPr>
        <w:t>5:e</w:t>
      </w:r>
      <w:proofErr w:type="gramEnd"/>
      <w:r w:rsidR="00FF2975" w:rsidRPr="00FF2975">
        <w:rPr>
          <w:rFonts w:ascii="Arial" w:hAnsi="Arial" w:cs="Arial"/>
          <w:sz w:val="20"/>
        </w:rPr>
        <w:t>732-e736</w:t>
      </w:r>
      <w:r w:rsidR="004F4188">
        <w:rPr>
          <w:rFonts w:ascii="Arial" w:hAnsi="Arial" w:cs="Arial"/>
          <w:sz w:val="20"/>
        </w:rPr>
        <w:t xml:space="preserve"> </w:t>
      </w:r>
    </w:p>
    <w:p w14:paraId="11401893" w14:textId="1F39FFB6" w:rsidR="004F4188" w:rsidRDefault="00263418">
      <w:pPr>
        <w:spacing w:line="360" w:lineRule="auto"/>
        <w:ind w:left="426" w:hanging="426"/>
        <w:jc w:val="both"/>
        <w:rPr>
          <w:rFonts w:ascii="Arial" w:hAnsi="Arial" w:cs="Arial"/>
          <w:sz w:val="20"/>
        </w:rPr>
      </w:pPr>
      <w:r w:rsidRPr="00A223E3">
        <w:rPr>
          <w:rFonts w:ascii="Arial" w:hAnsi="Arial" w:cs="Arial"/>
          <w:sz w:val="20"/>
        </w:rPr>
        <w:t>16</w:t>
      </w:r>
      <w:r w:rsidR="004F4188" w:rsidRPr="00A223E3">
        <w:rPr>
          <w:rFonts w:ascii="Arial" w:hAnsi="Arial" w:cs="Arial"/>
          <w:sz w:val="20"/>
        </w:rPr>
        <w:t>.</w:t>
      </w:r>
      <w:r w:rsidR="00B01596" w:rsidRPr="00A223E3">
        <w:rPr>
          <w:rFonts w:ascii="Arial" w:hAnsi="Arial" w:cs="Arial"/>
          <w:sz w:val="20"/>
        </w:rPr>
        <w:tab/>
      </w:r>
      <w:r w:rsidR="00EA76FD" w:rsidRPr="00A223E3">
        <w:rPr>
          <w:rFonts w:ascii="Arial" w:hAnsi="Arial" w:cs="Arial"/>
          <w:sz w:val="20"/>
        </w:rPr>
        <w:t xml:space="preserve">Myer L, Phillips T, McIntyre J, et al. </w:t>
      </w:r>
      <w:r w:rsidR="00EA76FD" w:rsidRPr="00EA76FD">
        <w:rPr>
          <w:rFonts w:ascii="Arial" w:hAnsi="Arial" w:cs="Arial"/>
          <w:sz w:val="20"/>
        </w:rPr>
        <w:t xml:space="preserve">HIV </w:t>
      </w:r>
      <w:proofErr w:type="spellStart"/>
      <w:r w:rsidR="00EA76FD" w:rsidRPr="00EA76FD">
        <w:rPr>
          <w:rFonts w:ascii="Arial" w:hAnsi="Arial" w:cs="Arial"/>
          <w:sz w:val="20"/>
        </w:rPr>
        <w:t>viraemia</w:t>
      </w:r>
      <w:proofErr w:type="spellEnd"/>
      <w:r w:rsidR="00EA76FD" w:rsidRPr="00EA76FD">
        <w:rPr>
          <w:rFonts w:ascii="Arial" w:hAnsi="Arial" w:cs="Arial"/>
          <w:sz w:val="20"/>
        </w:rPr>
        <w:t xml:space="preserve"> and mother</w:t>
      </w:r>
      <w:r w:rsidR="00EA76FD" w:rsidRPr="00EA76FD">
        <w:rPr>
          <w:rFonts w:ascii="Cambria Math" w:hAnsi="Cambria Math" w:cs="Cambria Math"/>
          <w:sz w:val="20"/>
        </w:rPr>
        <w:t>‐</w:t>
      </w:r>
      <w:r w:rsidR="00EA76FD" w:rsidRPr="00EA76FD">
        <w:rPr>
          <w:rFonts w:ascii="Arial" w:hAnsi="Arial" w:cs="Arial"/>
          <w:sz w:val="20"/>
        </w:rPr>
        <w:t>to</w:t>
      </w:r>
      <w:r w:rsidR="00EA76FD" w:rsidRPr="00EA76FD">
        <w:rPr>
          <w:rFonts w:ascii="Cambria Math" w:hAnsi="Cambria Math" w:cs="Cambria Math"/>
          <w:sz w:val="20"/>
        </w:rPr>
        <w:t>‐</w:t>
      </w:r>
      <w:r w:rsidR="00EA76FD" w:rsidRPr="00EA76FD">
        <w:rPr>
          <w:rFonts w:ascii="Arial" w:hAnsi="Arial" w:cs="Arial"/>
          <w:sz w:val="20"/>
        </w:rPr>
        <w:t>child transmission risk after antiretroviral therapy initiation in pregnancy in Cape Town, South Africa. HIV Med</w:t>
      </w:r>
      <w:r w:rsidR="00EA76FD">
        <w:rPr>
          <w:rFonts w:ascii="Arial" w:hAnsi="Arial" w:cs="Arial"/>
          <w:sz w:val="20"/>
        </w:rPr>
        <w:t xml:space="preserve"> 2017;</w:t>
      </w:r>
      <w:r w:rsidR="00EA76FD" w:rsidRPr="00EA76FD">
        <w:rPr>
          <w:rFonts w:ascii="Arial" w:hAnsi="Arial" w:cs="Arial"/>
          <w:sz w:val="20"/>
        </w:rPr>
        <w:t xml:space="preserve">18: 80-88. </w:t>
      </w:r>
    </w:p>
    <w:p w14:paraId="55793D76" w14:textId="2BAA3BEA" w:rsidR="004F4188" w:rsidRDefault="00263418">
      <w:pPr>
        <w:spacing w:line="360" w:lineRule="auto"/>
        <w:ind w:left="426" w:hanging="426"/>
        <w:jc w:val="both"/>
        <w:rPr>
          <w:rFonts w:ascii="Arial" w:hAnsi="Arial" w:cs="Arial"/>
          <w:sz w:val="20"/>
        </w:rPr>
      </w:pPr>
      <w:r>
        <w:rPr>
          <w:rFonts w:ascii="Arial" w:hAnsi="Arial" w:cs="Arial"/>
          <w:sz w:val="20"/>
        </w:rPr>
        <w:t>17</w:t>
      </w:r>
      <w:r w:rsidR="004F4188" w:rsidRPr="003C3D07">
        <w:rPr>
          <w:rFonts w:ascii="Arial" w:hAnsi="Arial" w:cs="Arial"/>
          <w:sz w:val="20"/>
        </w:rPr>
        <w:t>.</w:t>
      </w:r>
      <w:r w:rsidR="004F4188" w:rsidRPr="003C3D07">
        <w:rPr>
          <w:rFonts w:ascii="Arial" w:hAnsi="Arial" w:cs="Arial"/>
          <w:sz w:val="20"/>
        </w:rPr>
        <w:tab/>
      </w:r>
      <w:r w:rsidR="00DB7164">
        <w:rPr>
          <w:rFonts w:ascii="Arial" w:hAnsi="Arial" w:cs="Arial"/>
          <w:sz w:val="20"/>
        </w:rPr>
        <w:t xml:space="preserve">Waitt, C, </w:t>
      </w:r>
      <w:proofErr w:type="spellStart"/>
      <w:r w:rsidR="00DB7164">
        <w:rPr>
          <w:rFonts w:ascii="Arial" w:hAnsi="Arial" w:cs="Arial"/>
          <w:sz w:val="20"/>
        </w:rPr>
        <w:t>Orrell</w:t>
      </w:r>
      <w:proofErr w:type="spellEnd"/>
      <w:r w:rsidR="00DB7164">
        <w:rPr>
          <w:rFonts w:ascii="Arial" w:hAnsi="Arial" w:cs="Arial"/>
          <w:sz w:val="20"/>
        </w:rPr>
        <w:t xml:space="preserve"> C, </w:t>
      </w:r>
      <w:proofErr w:type="spellStart"/>
      <w:r w:rsidR="00DB7164">
        <w:rPr>
          <w:rFonts w:ascii="Arial" w:hAnsi="Arial" w:cs="Arial"/>
          <w:sz w:val="20"/>
        </w:rPr>
        <w:t>Walimbwa</w:t>
      </w:r>
      <w:proofErr w:type="spellEnd"/>
      <w:r w:rsidR="00DB7164">
        <w:rPr>
          <w:rFonts w:ascii="Arial" w:hAnsi="Arial" w:cs="Arial"/>
          <w:sz w:val="20"/>
        </w:rPr>
        <w:t xml:space="preserve"> S, et al. </w:t>
      </w:r>
      <w:r w:rsidR="00DB7164" w:rsidRPr="00DB7164">
        <w:rPr>
          <w:rFonts w:ascii="Arial" w:hAnsi="Arial" w:cs="Arial"/>
          <w:sz w:val="20"/>
        </w:rPr>
        <w:t xml:space="preserve">The DolPHIN-1 study: A </w:t>
      </w:r>
      <w:proofErr w:type="spellStart"/>
      <w:r w:rsidR="00DB7164" w:rsidRPr="00DB7164">
        <w:rPr>
          <w:rFonts w:ascii="Arial" w:hAnsi="Arial" w:cs="Arial"/>
          <w:sz w:val="20"/>
        </w:rPr>
        <w:t>randomised</w:t>
      </w:r>
      <w:proofErr w:type="spellEnd"/>
      <w:r w:rsidR="00DB7164" w:rsidRPr="00DB7164">
        <w:rPr>
          <w:rFonts w:ascii="Arial" w:hAnsi="Arial" w:cs="Arial"/>
          <w:sz w:val="20"/>
        </w:rPr>
        <w:t xml:space="preserve"> trial of the </w:t>
      </w:r>
      <w:proofErr w:type="spellStart"/>
      <w:r w:rsidR="00DB7164" w:rsidRPr="00DB7164">
        <w:rPr>
          <w:rFonts w:ascii="Arial" w:hAnsi="Arial" w:cs="Arial"/>
          <w:sz w:val="20"/>
        </w:rPr>
        <w:t>sSafety</w:t>
      </w:r>
      <w:proofErr w:type="spellEnd"/>
      <w:r w:rsidR="00DB7164" w:rsidRPr="00DB7164">
        <w:rPr>
          <w:rFonts w:ascii="Arial" w:hAnsi="Arial" w:cs="Arial"/>
          <w:sz w:val="20"/>
        </w:rPr>
        <w:t xml:space="preserve"> and pharmacokinetics of dolutegravir in pregnant mothers with HIV infection and their neonates</w:t>
      </w:r>
      <w:r w:rsidR="00DB7164">
        <w:rPr>
          <w:rFonts w:ascii="Arial" w:hAnsi="Arial" w:cs="Arial"/>
          <w:sz w:val="20"/>
        </w:rPr>
        <w:t xml:space="preserve">. </w:t>
      </w:r>
      <w:proofErr w:type="spellStart"/>
      <w:r w:rsidR="00DB7164">
        <w:rPr>
          <w:rFonts w:ascii="Arial" w:hAnsi="Arial" w:cs="Arial"/>
          <w:sz w:val="20"/>
        </w:rPr>
        <w:t>PLoS</w:t>
      </w:r>
      <w:proofErr w:type="spellEnd"/>
      <w:r w:rsidR="00DB7164">
        <w:rPr>
          <w:rFonts w:ascii="Arial" w:hAnsi="Arial" w:cs="Arial"/>
          <w:sz w:val="20"/>
        </w:rPr>
        <w:t xml:space="preserve"> Medicine 2019 </w:t>
      </w:r>
      <w:r w:rsidR="009D58BF" w:rsidRPr="009D58BF">
        <w:rPr>
          <w:rFonts w:ascii="Arial" w:hAnsi="Arial" w:cs="Arial"/>
          <w:sz w:val="20"/>
        </w:rPr>
        <w:t>Sep 20;16(9</w:t>
      </w:r>
      <w:proofErr w:type="gramStart"/>
      <w:r w:rsidR="009D58BF" w:rsidRPr="009D58BF">
        <w:rPr>
          <w:rFonts w:ascii="Arial" w:hAnsi="Arial" w:cs="Arial"/>
          <w:sz w:val="20"/>
        </w:rPr>
        <w:t>):e</w:t>
      </w:r>
      <w:proofErr w:type="gramEnd"/>
      <w:r w:rsidR="009D58BF" w:rsidRPr="009D58BF">
        <w:rPr>
          <w:rFonts w:ascii="Arial" w:hAnsi="Arial" w:cs="Arial"/>
          <w:sz w:val="20"/>
        </w:rPr>
        <w:t>1002895</w:t>
      </w:r>
      <w:r w:rsidR="009D58BF" w:rsidRPr="009D58BF" w:rsidDel="009D58BF">
        <w:rPr>
          <w:rFonts w:ascii="Arial" w:hAnsi="Arial" w:cs="Arial"/>
          <w:sz w:val="20"/>
        </w:rPr>
        <w:t xml:space="preserve"> </w:t>
      </w:r>
    </w:p>
    <w:p w14:paraId="11D5FEF0" w14:textId="13296DAC" w:rsidR="004F4188" w:rsidRDefault="00263418">
      <w:pPr>
        <w:spacing w:line="360" w:lineRule="auto"/>
        <w:ind w:left="426" w:hanging="426"/>
        <w:jc w:val="both"/>
        <w:rPr>
          <w:rFonts w:ascii="Arial" w:hAnsi="Arial" w:cs="Arial"/>
          <w:sz w:val="20"/>
        </w:rPr>
      </w:pPr>
      <w:r>
        <w:rPr>
          <w:rFonts w:ascii="Arial" w:hAnsi="Arial" w:cs="Arial"/>
          <w:sz w:val="20"/>
        </w:rPr>
        <w:t>18</w:t>
      </w:r>
      <w:r w:rsidR="004F4188">
        <w:rPr>
          <w:rFonts w:ascii="Arial" w:hAnsi="Arial" w:cs="Arial"/>
          <w:sz w:val="20"/>
        </w:rPr>
        <w:t>.</w:t>
      </w:r>
      <w:r w:rsidR="004F4188">
        <w:rPr>
          <w:rFonts w:ascii="Arial" w:hAnsi="Arial" w:cs="Arial"/>
          <w:sz w:val="20"/>
        </w:rPr>
        <w:tab/>
      </w:r>
      <w:r w:rsidR="009351D8" w:rsidRPr="009351D8">
        <w:rPr>
          <w:rFonts w:ascii="Arial" w:hAnsi="Arial" w:cs="Arial"/>
          <w:sz w:val="20"/>
        </w:rPr>
        <w:t xml:space="preserve">Mulligan N, Best BM, Wang J, </w:t>
      </w:r>
      <w:r w:rsidR="008B50AF">
        <w:rPr>
          <w:rFonts w:ascii="Arial" w:hAnsi="Arial" w:cs="Arial"/>
          <w:sz w:val="20"/>
        </w:rPr>
        <w:t>et al</w:t>
      </w:r>
      <w:r w:rsidR="009351D8" w:rsidRPr="009351D8">
        <w:rPr>
          <w:rFonts w:ascii="Arial" w:hAnsi="Arial" w:cs="Arial"/>
          <w:sz w:val="20"/>
        </w:rPr>
        <w:t xml:space="preserve">. Dolutegravir pharmacokinetics in pregnant and postpartum women living with HIV. AIDS. 2018 Mar 27;32(6):729-737. </w:t>
      </w:r>
    </w:p>
    <w:p w14:paraId="19791A6F" w14:textId="37610AA5" w:rsidR="004F4188" w:rsidRDefault="00263418">
      <w:pPr>
        <w:spacing w:line="360" w:lineRule="auto"/>
        <w:ind w:left="426" w:hanging="426"/>
        <w:jc w:val="both"/>
        <w:rPr>
          <w:rFonts w:ascii="Arial" w:hAnsi="Arial" w:cs="Arial"/>
          <w:sz w:val="20"/>
        </w:rPr>
      </w:pPr>
      <w:r>
        <w:rPr>
          <w:rFonts w:ascii="Arial" w:hAnsi="Arial" w:cs="Arial"/>
          <w:sz w:val="20"/>
        </w:rPr>
        <w:t>19</w:t>
      </w:r>
      <w:r w:rsidR="004F4188" w:rsidRPr="003C3D07">
        <w:rPr>
          <w:rFonts w:ascii="Arial" w:hAnsi="Arial" w:cs="Arial"/>
          <w:sz w:val="20"/>
        </w:rPr>
        <w:t>.</w:t>
      </w:r>
      <w:r w:rsidR="004F4188" w:rsidRPr="003C3D07">
        <w:rPr>
          <w:rFonts w:ascii="Arial" w:hAnsi="Arial" w:cs="Arial"/>
          <w:sz w:val="20"/>
        </w:rPr>
        <w:tab/>
      </w:r>
      <w:r w:rsidR="009351D8">
        <w:rPr>
          <w:rFonts w:ascii="Arial" w:hAnsi="Arial" w:cs="Arial"/>
          <w:sz w:val="20"/>
        </w:rPr>
        <w:t>DART Trial Team</w:t>
      </w:r>
      <w:r w:rsidR="004F4188" w:rsidRPr="003C3D07">
        <w:rPr>
          <w:rFonts w:ascii="Arial" w:hAnsi="Arial" w:cs="Arial"/>
          <w:sz w:val="20"/>
        </w:rPr>
        <w:t>. Fixed duration interruptions are inferior to continuous treatment in African adults starting therapy w</w:t>
      </w:r>
      <w:r w:rsidR="009351D8">
        <w:rPr>
          <w:rFonts w:ascii="Arial" w:hAnsi="Arial" w:cs="Arial"/>
          <w:sz w:val="20"/>
        </w:rPr>
        <w:t>ith CD4 cell counts &lt;</w:t>
      </w:r>
      <w:r w:rsidR="004F4188" w:rsidRPr="003C3D07">
        <w:rPr>
          <w:rFonts w:ascii="Arial" w:hAnsi="Arial" w:cs="Arial"/>
          <w:sz w:val="20"/>
        </w:rPr>
        <w:t>200 cells/</w:t>
      </w:r>
      <w:proofErr w:type="spellStart"/>
      <w:r w:rsidR="004F4188" w:rsidRPr="003C3D07">
        <w:rPr>
          <w:rFonts w:ascii="Arial" w:hAnsi="Arial" w:cs="Arial"/>
          <w:sz w:val="20"/>
        </w:rPr>
        <w:t>microl</w:t>
      </w:r>
      <w:proofErr w:type="spellEnd"/>
      <w:r w:rsidR="004F4188" w:rsidRPr="003C3D07">
        <w:rPr>
          <w:rFonts w:ascii="Arial" w:hAnsi="Arial" w:cs="Arial"/>
          <w:sz w:val="20"/>
        </w:rPr>
        <w:t xml:space="preserve">. </w:t>
      </w:r>
      <w:r w:rsidR="009351D8">
        <w:rPr>
          <w:rFonts w:ascii="Arial" w:hAnsi="Arial" w:cs="Arial"/>
          <w:sz w:val="20"/>
        </w:rPr>
        <w:t>AIDS</w:t>
      </w:r>
      <w:r w:rsidR="004F4188" w:rsidRPr="003C3D07">
        <w:rPr>
          <w:rFonts w:ascii="Arial" w:hAnsi="Arial" w:cs="Arial"/>
          <w:sz w:val="20"/>
        </w:rPr>
        <w:t>. 2008;22(2):237-47</w:t>
      </w:r>
    </w:p>
    <w:p w14:paraId="3D5E3124" w14:textId="20E23E66" w:rsidR="00551B69" w:rsidRPr="003C3D07" w:rsidRDefault="00263418">
      <w:pPr>
        <w:spacing w:line="360" w:lineRule="auto"/>
        <w:ind w:left="426" w:hanging="426"/>
        <w:jc w:val="both"/>
        <w:rPr>
          <w:rFonts w:ascii="Arial" w:hAnsi="Arial" w:cs="Arial"/>
          <w:sz w:val="20"/>
        </w:rPr>
      </w:pPr>
      <w:r w:rsidRPr="00A223E3">
        <w:rPr>
          <w:rFonts w:ascii="Arial" w:hAnsi="Arial" w:cs="Arial"/>
          <w:sz w:val="20"/>
        </w:rPr>
        <w:lastRenderedPageBreak/>
        <w:t>20</w:t>
      </w:r>
      <w:r w:rsidR="00551B69" w:rsidRPr="00A223E3">
        <w:rPr>
          <w:rFonts w:ascii="Arial" w:hAnsi="Arial" w:cs="Arial"/>
          <w:sz w:val="20"/>
        </w:rPr>
        <w:t>.</w:t>
      </w:r>
      <w:r w:rsidR="00551B69" w:rsidRPr="00A223E3">
        <w:rPr>
          <w:rFonts w:ascii="Arial" w:hAnsi="Arial" w:cs="Arial"/>
          <w:sz w:val="20"/>
        </w:rPr>
        <w:tab/>
        <w:t xml:space="preserve">Flynn PM, Taha TE, </w:t>
      </w:r>
      <w:proofErr w:type="spellStart"/>
      <w:r w:rsidR="00551B69" w:rsidRPr="00A223E3">
        <w:rPr>
          <w:rFonts w:ascii="Arial" w:hAnsi="Arial" w:cs="Arial"/>
          <w:sz w:val="20"/>
        </w:rPr>
        <w:t>Cababasay</w:t>
      </w:r>
      <w:proofErr w:type="spellEnd"/>
      <w:r w:rsidR="00551B69" w:rsidRPr="00A223E3">
        <w:rPr>
          <w:rFonts w:ascii="Arial" w:hAnsi="Arial" w:cs="Arial"/>
          <w:sz w:val="20"/>
        </w:rPr>
        <w:t xml:space="preserve"> M, et al. </w:t>
      </w:r>
      <w:r w:rsidR="00551B69" w:rsidRPr="003C3D07">
        <w:rPr>
          <w:rFonts w:ascii="Arial" w:hAnsi="Arial" w:cs="Arial"/>
          <w:sz w:val="20"/>
        </w:rPr>
        <w:t xml:space="preserve">Prevention of HIV-1 Transmission Through Breastfeeding: Efficacy and Safety of Maternal Antiretroviral Therapy Versus Infant Nevirapine Prophylaxis for Duration of Breastfeeding in HIV-1-Infected Women With High CD4 Cell Count (IMPAACT PROMISE): A Randomized, Open-Label, Clinical Trial. </w:t>
      </w:r>
      <w:r w:rsidR="00551B69" w:rsidRPr="00FF2975">
        <w:rPr>
          <w:rFonts w:ascii="Arial" w:hAnsi="Arial" w:cs="Arial"/>
          <w:sz w:val="20"/>
        </w:rPr>
        <w:t xml:space="preserve">Journal of </w:t>
      </w:r>
      <w:r w:rsidR="009351D8" w:rsidRPr="00FF2975">
        <w:rPr>
          <w:rFonts w:ascii="Arial" w:hAnsi="Arial" w:cs="Arial"/>
          <w:sz w:val="20"/>
        </w:rPr>
        <w:t>A</w:t>
      </w:r>
      <w:r w:rsidR="00551B69" w:rsidRPr="00FF2975">
        <w:rPr>
          <w:rFonts w:ascii="Arial" w:hAnsi="Arial" w:cs="Arial"/>
          <w:sz w:val="20"/>
        </w:rPr>
        <w:t xml:space="preserve">cquired </w:t>
      </w:r>
      <w:r w:rsidR="009351D8" w:rsidRPr="00F72441">
        <w:rPr>
          <w:rFonts w:ascii="Arial" w:hAnsi="Arial" w:cs="Arial"/>
          <w:sz w:val="20"/>
        </w:rPr>
        <w:t>I</w:t>
      </w:r>
      <w:r w:rsidR="00551B69" w:rsidRPr="00FF2975">
        <w:rPr>
          <w:rFonts w:ascii="Arial" w:hAnsi="Arial" w:cs="Arial"/>
          <w:sz w:val="20"/>
        </w:rPr>
        <w:t xml:space="preserve">mmune </w:t>
      </w:r>
      <w:r w:rsidR="009351D8" w:rsidRPr="00F72441">
        <w:rPr>
          <w:rFonts w:ascii="Arial" w:hAnsi="Arial" w:cs="Arial"/>
          <w:sz w:val="20"/>
        </w:rPr>
        <w:t>D</w:t>
      </w:r>
      <w:r w:rsidR="00551B69" w:rsidRPr="00FF2975">
        <w:rPr>
          <w:rFonts w:ascii="Arial" w:hAnsi="Arial" w:cs="Arial"/>
          <w:sz w:val="20"/>
        </w:rPr>
        <w:t xml:space="preserve">eficiency </w:t>
      </w:r>
      <w:r w:rsidR="009351D8" w:rsidRPr="00F72441">
        <w:rPr>
          <w:rFonts w:ascii="Arial" w:hAnsi="Arial" w:cs="Arial"/>
          <w:sz w:val="20"/>
        </w:rPr>
        <w:t>S</w:t>
      </w:r>
      <w:r w:rsidR="00551B69" w:rsidRPr="00FF2975">
        <w:rPr>
          <w:rFonts w:ascii="Arial" w:hAnsi="Arial" w:cs="Arial"/>
          <w:sz w:val="20"/>
        </w:rPr>
        <w:t>yndromes. 2018;77(4):383-92.</w:t>
      </w:r>
    </w:p>
    <w:p w14:paraId="02E476DD" w14:textId="3AFF0055" w:rsidR="00551B69" w:rsidRPr="003C3D07" w:rsidRDefault="00263418">
      <w:pPr>
        <w:spacing w:line="360" w:lineRule="auto"/>
        <w:ind w:left="426" w:hanging="426"/>
        <w:jc w:val="both"/>
        <w:rPr>
          <w:rFonts w:ascii="Arial" w:hAnsi="Arial" w:cs="Arial"/>
          <w:sz w:val="20"/>
        </w:rPr>
      </w:pPr>
      <w:r>
        <w:rPr>
          <w:rFonts w:ascii="Arial" w:hAnsi="Arial" w:cs="Arial"/>
          <w:sz w:val="20"/>
        </w:rPr>
        <w:t>21</w:t>
      </w:r>
      <w:r w:rsidR="00551B69" w:rsidRPr="003C3D07">
        <w:rPr>
          <w:rFonts w:ascii="Arial" w:hAnsi="Arial" w:cs="Arial"/>
          <w:sz w:val="20"/>
        </w:rPr>
        <w:t>.</w:t>
      </w:r>
      <w:r w:rsidR="00551B69" w:rsidRPr="003C3D07">
        <w:rPr>
          <w:rFonts w:ascii="Arial" w:hAnsi="Arial" w:cs="Arial"/>
          <w:sz w:val="20"/>
        </w:rPr>
        <w:tab/>
      </w:r>
      <w:proofErr w:type="spellStart"/>
      <w:r w:rsidR="00551B69" w:rsidRPr="003C3D07">
        <w:rPr>
          <w:rFonts w:ascii="Arial" w:hAnsi="Arial" w:cs="Arial"/>
          <w:sz w:val="20"/>
        </w:rPr>
        <w:t>Tlou</w:t>
      </w:r>
      <w:proofErr w:type="spellEnd"/>
      <w:r w:rsidR="00551B69" w:rsidRPr="003C3D07">
        <w:rPr>
          <w:rFonts w:ascii="Arial" w:hAnsi="Arial" w:cs="Arial"/>
          <w:sz w:val="20"/>
        </w:rPr>
        <w:t xml:space="preserve"> B, Sartorius B, </w:t>
      </w:r>
      <w:proofErr w:type="spellStart"/>
      <w:r w:rsidR="00551B69" w:rsidRPr="003C3D07">
        <w:rPr>
          <w:rFonts w:ascii="Arial" w:hAnsi="Arial" w:cs="Arial"/>
          <w:sz w:val="20"/>
        </w:rPr>
        <w:t>Tanser</w:t>
      </w:r>
      <w:proofErr w:type="spellEnd"/>
      <w:r w:rsidR="00551B69" w:rsidRPr="003C3D07">
        <w:rPr>
          <w:rFonts w:ascii="Arial" w:hAnsi="Arial" w:cs="Arial"/>
          <w:sz w:val="20"/>
        </w:rPr>
        <w:t xml:space="preserve"> F. Investigating risk factors for under-five mortality in an HIV hyper-endemic area of rural South Africa, from 2000-2014. </w:t>
      </w:r>
      <w:proofErr w:type="spellStart"/>
      <w:r w:rsidR="00551B69" w:rsidRPr="003C3D07">
        <w:rPr>
          <w:rFonts w:ascii="Arial" w:hAnsi="Arial" w:cs="Arial"/>
          <w:sz w:val="20"/>
        </w:rPr>
        <w:t>PloS</w:t>
      </w:r>
      <w:proofErr w:type="spellEnd"/>
      <w:r w:rsidR="00551B69" w:rsidRPr="003C3D07">
        <w:rPr>
          <w:rFonts w:ascii="Arial" w:hAnsi="Arial" w:cs="Arial"/>
          <w:sz w:val="20"/>
        </w:rPr>
        <w:t xml:space="preserve"> </w:t>
      </w:r>
      <w:r w:rsidR="00551B69">
        <w:rPr>
          <w:rFonts w:ascii="Arial" w:hAnsi="Arial" w:cs="Arial"/>
          <w:sz w:val="20"/>
        </w:rPr>
        <w:t>O</w:t>
      </w:r>
      <w:r w:rsidR="00551B69" w:rsidRPr="003C3D07">
        <w:rPr>
          <w:rFonts w:ascii="Arial" w:hAnsi="Arial" w:cs="Arial"/>
          <w:sz w:val="20"/>
        </w:rPr>
        <w:t>ne. 2018;13(11</w:t>
      </w:r>
      <w:proofErr w:type="gramStart"/>
      <w:r w:rsidR="00551B69" w:rsidRPr="003C3D07">
        <w:rPr>
          <w:rFonts w:ascii="Arial" w:hAnsi="Arial" w:cs="Arial"/>
          <w:sz w:val="20"/>
        </w:rPr>
        <w:t>):e</w:t>
      </w:r>
      <w:proofErr w:type="gramEnd"/>
      <w:r w:rsidR="00551B69" w:rsidRPr="003C3D07">
        <w:rPr>
          <w:rFonts w:ascii="Arial" w:hAnsi="Arial" w:cs="Arial"/>
          <w:sz w:val="20"/>
        </w:rPr>
        <w:t>0207294.</w:t>
      </w:r>
    </w:p>
    <w:p w14:paraId="11B0C066" w14:textId="53E66E6A" w:rsidR="00551B69" w:rsidRPr="003C3D07" w:rsidRDefault="00263418">
      <w:pPr>
        <w:spacing w:line="360" w:lineRule="auto"/>
        <w:ind w:left="426" w:hanging="426"/>
        <w:jc w:val="both"/>
        <w:rPr>
          <w:rFonts w:ascii="Arial" w:hAnsi="Arial" w:cs="Arial"/>
          <w:sz w:val="20"/>
        </w:rPr>
      </w:pPr>
      <w:r>
        <w:rPr>
          <w:rFonts w:ascii="Arial" w:hAnsi="Arial" w:cs="Arial"/>
          <w:sz w:val="20"/>
        </w:rPr>
        <w:t>22</w:t>
      </w:r>
      <w:r w:rsidR="00551B69" w:rsidRPr="003C3D07">
        <w:rPr>
          <w:rFonts w:ascii="Arial" w:hAnsi="Arial" w:cs="Arial"/>
          <w:sz w:val="20"/>
        </w:rPr>
        <w:t>.</w:t>
      </w:r>
      <w:r w:rsidR="00551B69" w:rsidRPr="003C3D07">
        <w:rPr>
          <w:rFonts w:ascii="Arial" w:hAnsi="Arial" w:cs="Arial"/>
          <w:sz w:val="20"/>
        </w:rPr>
        <w:tab/>
      </w:r>
      <w:proofErr w:type="spellStart"/>
      <w:r w:rsidR="00551B69" w:rsidRPr="003C3D07">
        <w:rPr>
          <w:rFonts w:ascii="Arial" w:hAnsi="Arial" w:cs="Arial"/>
          <w:sz w:val="20"/>
        </w:rPr>
        <w:t>Unicef</w:t>
      </w:r>
      <w:proofErr w:type="spellEnd"/>
      <w:r w:rsidR="00551B69" w:rsidRPr="003C3D07">
        <w:rPr>
          <w:rFonts w:ascii="Arial" w:hAnsi="Arial" w:cs="Arial"/>
          <w:sz w:val="20"/>
        </w:rPr>
        <w:t xml:space="preserve">. Neonatal mortality 2018. Available from: </w:t>
      </w:r>
      <w:hyperlink r:id="rId10" w:history="1">
        <w:r w:rsidR="00551B69" w:rsidRPr="00630D3A">
          <w:rPr>
            <w:rStyle w:val="Hyperlink"/>
            <w:rFonts w:ascii="Arial" w:hAnsi="Arial" w:cs="Arial"/>
            <w:sz w:val="20"/>
          </w:rPr>
          <w:t>https://data.unicef.org/topic/child-survival/neonatal-mortality/</w:t>
        </w:r>
      </w:hyperlink>
      <w:r w:rsidR="00551B69" w:rsidRPr="003C3D07">
        <w:rPr>
          <w:rFonts w:ascii="Arial" w:hAnsi="Arial" w:cs="Arial"/>
          <w:sz w:val="20"/>
        </w:rPr>
        <w:t>.</w:t>
      </w:r>
      <w:r w:rsidR="00551B69">
        <w:rPr>
          <w:rFonts w:ascii="Arial" w:hAnsi="Arial" w:cs="Arial"/>
          <w:sz w:val="20"/>
        </w:rPr>
        <w:t xml:space="preserve">, accessed </w:t>
      </w:r>
      <w:r w:rsidR="008B50AF">
        <w:rPr>
          <w:rFonts w:ascii="Arial" w:hAnsi="Arial" w:cs="Arial"/>
          <w:sz w:val="20"/>
        </w:rPr>
        <w:t>13</w:t>
      </w:r>
      <w:r w:rsidR="008B50AF" w:rsidRPr="00F72441">
        <w:rPr>
          <w:rFonts w:ascii="Arial" w:hAnsi="Arial" w:cs="Arial"/>
          <w:sz w:val="20"/>
          <w:vertAlign w:val="superscript"/>
        </w:rPr>
        <w:t>th</w:t>
      </w:r>
      <w:r w:rsidR="008B50AF">
        <w:rPr>
          <w:rFonts w:ascii="Arial" w:hAnsi="Arial" w:cs="Arial"/>
          <w:sz w:val="20"/>
        </w:rPr>
        <w:t xml:space="preserve"> June 2019</w:t>
      </w:r>
    </w:p>
    <w:p w14:paraId="4334E581" w14:textId="4A26AD67" w:rsidR="00CF41AB" w:rsidRPr="00CE2C9A" w:rsidRDefault="00263418">
      <w:pPr>
        <w:spacing w:line="360" w:lineRule="auto"/>
        <w:ind w:left="426" w:hanging="426"/>
        <w:jc w:val="both"/>
        <w:rPr>
          <w:rFonts w:ascii="Arial" w:hAnsi="Arial" w:cs="Arial"/>
          <w:sz w:val="20"/>
        </w:rPr>
      </w:pPr>
      <w:r w:rsidRPr="00FF2975">
        <w:rPr>
          <w:rFonts w:ascii="Arial" w:hAnsi="Arial" w:cs="Arial"/>
          <w:sz w:val="20"/>
        </w:rPr>
        <w:t>2</w:t>
      </w:r>
      <w:r>
        <w:rPr>
          <w:rFonts w:ascii="Arial" w:hAnsi="Arial" w:cs="Arial"/>
          <w:sz w:val="20"/>
        </w:rPr>
        <w:t>3</w:t>
      </w:r>
      <w:r w:rsidR="00CF41AB" w:rsidRPr="00CE2C9A">
        <w:rPr>
          <w:rFonts w:ascii="Arial" w:hAnsi="Arial" w:cs="Arial"/>
          <w:sz w:val="20"/>
        </w:rPr>
        <w:t>.</w:t>
      </w:r>
      <w:r w:rsidR="00CF41AB" w:rsidRPr="00CE2C9A">
        <w:rPr>
          <w:rFonts w:ascii="Arial" w:hAnsi="Arial" w:cs="Arial"/>
          <w:sz w:val="20"/>
        </w:rPr>
        <w:tab/>
      </w:r>
      <w:proofErr w:type="spellStart"/>
      <w:r w:rsidR="00CF41AB" w:rsidRPr="00CE2C9A">
        <w:rPr>
          <w:rFonts w:ascii="Arial" w:hAnsi="Arial" w:cs="Arial"/>
          <w:sz w:val="20"/>
        </w:rPr>
        <w:t>Colbers</w:t>
      </w:r>
      <w:proofErr w:type="spellEnd"/>
      <w:r w:rsidR="00CF41AB" w:rsidRPr="00CE2C9A">
        <w:rPr>
          <w:rFonts w:ascii="Arial" w:hAnsi="Arial" w:cs="Arial"/>
          <w:sz w:val="20"/>
        </w:rPr>
        <w:t xml:space="preserve"> A, Mirochnick M, </w:t>
      </w:r>
      <w:proofErr w:type="spellStart"/>
      <w:r w:rsidR="00CF41AB" w:rsidRPr="00CE2C9A">
        <w:rPr>
          <w:rFonts w:ascii="Arial" w:hAnsi="Arial" w:cs="Arial"/>
          <w:sz w:val="20"/>
        </w:rPr>
        <w:t>Schalkwijk</w:t>
      </w:r>
      <w:proofErr w:type="spellEnd"/>
      <w:r w:rsidR="00CF41AB" w:rsidRPr="00CE2C9A">
        <w:rPr>
          <w:rFonts w:ascii="Arial" w:hAnsi="Arial" w:cs="Arial"/>
          <w:sz w:val="20"/>
        </w:rPr>
        <w:t xml:space="preserve"> S, </w:t>
      </w:r>
      <w:proofErr w:type="spellStart"/>
      <w:r w:rsidR="00CF41AB" w:rsidRPr="00CE2C9A">
        <w:rPr>
          <w:rFonts w:ascii="Arial" w:hAnsi="Arial" w:cs="Arial"/>
          <w:sz w:val="20"/>
        </w:rPr>
        <w:t>Penazzato</w:t>
      </w:r>
      <w:proofErr w:type="spellEnd"/>
      <w:r w:rsidR="00CF41AB" w:rsidRPr="00CE2C9A">
        <w:rPr>
          <w:rFonts w:ascii="Arial" w:hAnsi="Arial" w:cs="Arial"/>
          <w:sz w:val="20"/>
        </w:rPr>
        <w:t xml:space="preserve"> M, Townsend C, Burger D. Importance of prospective studies in pregnant and breastfeeding women living with HIV. </w:t>
      </w:r>
      <w:r w:rsidR="00FF2975" w:rsidRPr="00F72441">
        <w:rPr>
          <w:rFonts w:ascii="Arial" w:hAnsi="Arial" w:cs="Arial"/>
          <w:sz w:val="20"/>
        </w:rPr>
        <w:t>Clinical Infectious D</w:t>
      </w:r>
      <w:r w:rsidR="00CF41AB" w:rsidRPr="00FF2975">
        <w:rPr>
          <w:rFonts w:ascii="Arial" w:hAnsi="Arial" w:cs="Arial"/>
          <w:sz w:val="20"/>
        </w:rPr>
        <w:t xml:space="preserve">iseases </w:t>
      </w:r>
      <w:r w:rsidR="00FF2975" w:rsidRPr="00CE2C9A">
        <w:rPr>
          <w:rFonts w:ascii="Arial" w:hAnsi="Arial" w:cs="Arial"/>
          <w:sz w:val="20"/>
        </w:rPr>
        <w:t>2019;</w:t>
      </w:r>
      <w:r w:rsidR="00FF2975" w:rsidRPr="00CE2C9A">
        <w:t xml:space="preserve"> </w:t>
      </w:r>
      <w:r w:rsidR="00FF2975" w:rsidRPr="00CE2C9A">
        <w:rPr>
          <w:rFonts w:ascii="Arial" w:hAnsi="Arial" w:cs="Arial"/>
          <w:sz w:val="20"/>
        </w:rPr>
        <w:t xml:space="preserve">Feb 13. </w:t>
      </w:r>
      <w:proofErr w:type="spellStart"/>
      <w:r w:rsidR="00FF2975" w:rsidRPr="00CE2C9A">
        <w:rPr>
          <w:rFonts w:ascii="Arial" w:hAnsi="Arial" w:cs="Arial"/>
          <w:sz w:val="20"/>
        </w:rPr>
        <w:t>pii</w:t>
      </w:r>
      <w:proofErr w:type="spellEnd"/>
      <w:r w:rsidR="00FF2975" w:rsidRPr="00CE2C9A">
        <w:rPr>
          <w:rFonts w:ascii="Arial" w:hAnsi="Arial" w:cs="Arial"/>
          <w:sz w:val="20"/>
        </w:rPr>
        <w:t xml:space="preserve">: ciz121. </w:t>
      </w:r>
      <w:proofErr w:type="spellStart"/>
      <w:r w:rsidR="00FF2975" w:rsidRPr="00CE2C9A">
        <w:rPr>
          <w:rFonts w:ascii="Arial" w:hAnsi="Arial" w:cs="Arial"/>
          <w:sz w:val="20"/>
        </w:rPr>
        <w:t>doi</w:t>
      </w:r>
      <w:proofErr w:type="spellEnd"/>
      <w:r w:rsidR="00FF2975" w:rsidRPr="00CE2C9A">
        <w:rPr>
          <w:rFonts w:ascii="Arial" w:hAnsi="Arial" w:cs="Arial"/>
          <w:sz w:val="20"/>
        </w:rPr>
        <w:t>: 10.1093/</w:t>
      </w:r>
      <w:proofErr w:type="spellStart"/>
      <w:r w:rsidR="00FF2975" w:rsidRPr="00CE2C9A">
        <w:rPr>
          <w:rFonts w:ascii="Arial" w:hAnsi="Arial" w:cs="Arial"/>
          <w:sz w:val="20"/>
        </w:rPr>
        <w:t>cid</w:t>
      </w:r>
      <w:proofErr w:type="spellEnd"/>
      <w:r w:rsidR="00FF2975" w:rsidRPr="00CE2C9A">
        <w:rPr>
          <w:rFonts w:ascii="Arial" w:hAnsi="Arial" w:cs="Arial"/>
          <w:sz w:val="20"/>
        </w:rPr>
        <w:t>/ciz121. [</w:t>
      </w:r>
      <w:proofErr w:type="spellStart"/>
      <w:r w:rsidR="00FF2975" w:rsidRPr="00CE2C9A">
        <w:rPr>
          <w:rFonts w:ascii="Arial" w:hAnsi="Arial" w:cs="Arial"/>
          <w:sz w:val="20"/>
        </w:rPr>
        <w:t>Epub</w:t>
      </w:r>
      <w:proofErr w:type="spellEnd"/>
      <w:r w:rsidR="00FF2975" w:rsidRPr="00CE2C9A">
        <w:rPr>
          <w:rFonts w:ascii="Arial" w:hAnsi="Arial" w:cs="Arial"/>
          <w:sz w:val="20"/>
        </w:rPr>
        <w:t xml:space="preserve"> ahead of print]</w:t>
      </w:r>
    </w:p>
    <w:p w14:paraId="5F556B64" w14:textId="48D71A8A" w:rsidR="00CF41AB" w:rsidRPr="003C3D07" w:rsidRDefault="00263418">
      <w:pPr>
        <w:spacing w:line="360" w:lineRule="auto"/>
        <w:ind w:left="426" w:hanging="426"/>
        <w:jc w:val="both"/>
        <w:rPr>
          <w:rFonts w:ascii="Arial" w:hAnsi="Arial" w:cs="Arial"/>
          <w:sz w:val="20"/>
        </w:rPr>
      </w:pPr>
      <w:r w:rsidRPr="00A223E3">
        <w:rPr>
          <w:rFonts w:ascii="Arial" w:hAnsi="Arial" w:cs="Arial"/>
          <w:sz w:val="20"/>
        </w:rPr>
        <w:t>24</w:t>
      </w:r>
      <w:r w:rsidR="00CF41AB" w:rsidRPr="00A223E3">
        <w:rPr>
          <w:rFonts w:ascii="Arial" w:hAnsi="Arial" w:cs="Arial"/>
          <w:sz w:val="20"/>
        </w:rPr>
        <w:t>.</w:t>
      </w:r>
      <w:r w:rsidR="00CF41AB" w:rsidRPr="00A223E3">
        <w:rPr>
          <w:rFonts w:ascii="Arial" w:hAnsi="Arial" w:cs="Arial"/>
          <w:sz w:val="20"/>
        </w:rPr>
        <w:tab/>
      </w:r>
      <w:proofErr w:type="spellStart"/>
      <w:r w:rsidR="00CF41AB" w:rsidRPr="00A223E3">
        <w:rPr>
          <w:rFonts w:ascii="Arial" w:hAnsi="Arial" w:cs="Arial"/>
          <w:sz w:val="20"/>
        </w:rPr>
        <w:t>Zash</w:t>
      </w:r>
      <w:proofErr w:type="spellEnd"/>
      <w:r w:rsidR="00CF41AB" w:rsidRPr="00A223E3">
        <w:rPr>
          <w:rFonts w:ascii="Arial" w:hAnsi="Arial" w:cs="Arial"/>
          <w:sz w:val="20"/>
        </w:rPr>
        <w:t xml:space="preserve"> R, </w:t>
      </w:r>
      <w:r w:rsidR="00DB7164" w:rsidRPr="00A223E3">
        <w:rPr>
          <w:rFonts w:ascii="Arial" w:hAnsi="Arial" w:cs="Arial"/>
          <w:sz w:val="20"/>
        </w:rPr>
        <w:t>Holmes L, Jacobson DL, et al</w:t>
      </w:r>
      <w:r w:rsidR="00CF41AB" w:rsidRPr="00A223E3">
        <w:rPr>
          <w:rFonts w:ascii="Arial" w:hAnsi="Arial" w:cs="Arial"/>
          <w:sz w:val="20"/>
        </w:rPr>
        <w:t xml:space="preserve">. </w:t>
      </w:r>
      <w:r w:rsidR="00CF41AB" w:rsidRPr="00CE2C9A">
        <w:rPr>
          <w:rFonts w:ascii="Arial" w:hAnsi="Arial" w:cs="Arial"/>
          <w:sz w:val="20"/>
        </w:rPr>
        <w:t xml:space="preserve">Neural-Tube Defects </w:t>
      </w:r>
      <w:r w:rsidR="00DB7164">
        <w:rPr>
          <w:rFonts w:ascii="Arial" w:hAnsi="Arial" w:cs="Arial"/>
          <w:sz w:val="20"/>
        </w:rPr>
        <w:t>and Antiretroviral Treatment Regimens in Botswana</w:t>
      </w:r>
      <w:r w:rsidR="001B2C4D">
        <w:rPr>
          <w:rFonts w:ascii="Arial" w:hAnsi="Arial" w:cs="Arial"/>
          <w:sz w:val="20"/>
        </w:rPr>
        <w:t>. The New England Journal of M</w:t>
      </w:r>
      <w:r w:rsidR="00CF41AB" w:rsidRPr="003C3D07">
        <w:rPr>
          <w:rFonts w:ascii="Arial" w:hAnsi="Arial" w:cs="Arial"/>
          <w:sz w:val="20"/>
        </w:rPr>
        <w:t xml:space="preserve">edicine. </w:t>
      </w:r>
      <w:r w:rsidR="00DB7164" w:rsidRPr="003C3D07">
        <w:rPr>
          <w:rFonts w:ascii="Arial" w:hAnsi="Arial" w:cs="Arial"/>
          <w:sz w:val="20"/>
        </w:rPr>
        <w:t>201</w:t>
      </w:r>
      <w:r w:rsidR="00DB7164">
        <w:rPr>
          <w:rFonts w:ascii="Arial" w:hAnsi="Arial" w:cs="Arial"/>
          <w:sz w:val="20"/>
        </w:rPr>
        <w:t>9</w:t>
      </w:r>
      <w:r w:rsidR="00CF41AB" w:rsidRPr="003C3D07">
        <w:rPr>
          <w:rFonts w:ascii="Arial" w:hAnsi="Arial" w:cs="Arial"/>
          <w:sz w:val="20"/>
        </w:rPr>
        <w:t>;</w:t>
      </w:r>
      <w:r w:rsidR="00DB7164" w:rsidRPr="00DB7164">
        <w:t xml:space="preserve"> </w:t>
      </w:r>
      <w:r w:rsidR="00DB7164" w:rsidRPr="00DB7164">
        <w:rPr>
          <w:rFonts w:ascii="Arial" w:hAnsi="Arial" w:cs="Arial"/>
          <w:sz w:val="20"/>
        </w:rPr>
        <w:t xml:space="preserve">Jul 22. </w:t>
      </w:r>
      <w:proofErr w:type="spellStart"/>
      <w:r w:rsidR="00DB7164" w:rsidRPr="00DB7164">
        <w:rPr>
          <w:rFonts w:ascii="Arial" w:hAnsi="Arial" w:cs="Arial"/>
          <w:sz w:val="20"/>
        </w:rPr>
        <w:t>doi</w:t>
      </w:r>
      <w:proofErr w:type="spellEnd"/>
      <w:r w:rsidR="00DB7164" w:rsidRPr="00DB7164">
        <w:rPr>
          <w:rFonts w:ascii="Arial" w:hAnsi="Arial" w:cs="Arial"/>
          <w:sz w:val="20"/>
        </w:rPr>
        <w:t>: 10.1056/NEJMoa1905230. [</w:t>
      </w:r>
      <w:proofErr w:type="spellStart"/>
      <w:r w:rsidR="00DB7164" w:rsidRPr="00DB7164">
        <w:rPr>
          <w:rFonts w:ascii="Arial" w:hAnsi="Arial" w:cs="Arial"/>
          <w:sz w:val="20"/>
        </w:rPr>
        <w:t>Epub</w:t>
      </w:r>
      <w:proofErr w:type="spellEnd"/>
      <w:r w:rsidR="00DB7164" w:rsidRPr="00DB7164">
        <w:rPr>
          <w:rFonts w:ascii="Arial" w:hAnsi="Arial" w:cs="Arial"/>
          <w:sz w:val="20"/>
        </w:rPr>
        <w:t xml:space="preserve"> ahead of print]</w:t>
      </w:r>
    </w:p>
    <w:p w14:paraId="6B05B9E3" w14:textId="7F21FCF7" w:rsidR="00CF41AB" w:rsidRPr="006B1517" w:rsidRDefault="00263418">
      <w:pPr>
        <w:spacing w:line="360" w:lineRule="auto"/>
        <w:ind w:left="426" w:hanging="426"/>
        <w:jc w:val="both"/>
      </w:pPr>
      <w:r>
        <w:rPr>
          <w:rFonts w:ascii="Arial" w:hAnsi="Arial" w:cs="Arial"/>
          <w:sz w:val="20"/>
        </w:rPr>
        <w:t>25</w:t>
      </w:r>
      <w:r w:rsidR="00CF41AB" w:rsidRPr="003C3D07">
        <w:rPr>
          <w:rFonts w:ascii="Arial" w:hAnsi="Arial" w:cs="Arial"/>
          <w:sz w:val="20"/>
        </w:rPr>
        <w:t>.</w:t>
      </w:r>
      <w:r w:rsidR="00CF41AB" w:rsidRPr="003C3D07">
        <w:rPr>
          <w:rFonts w:ascii="Arial" w:hAnsi="Arial" w:cs="Arial"/>
          <w:sz w:val="20"/>
        </w:rPr>
        <w:tab/>
      </w:r>
      <w:r w:rsidR="008B50AF" w:rsidRPr="006B1517">
        <w:t xml:space="preserve">World Health </w:t>
      </w:r>
      <w:r w:rsidR="00DE217E" w:rsidRPr="006B1517">
        <w:t>Organization</w:t>
      </w:r>
      <w:r w:rsidR="00CF41AB" w:rsidRPr="006B1517">
        <w:t xml:space="preserve">. </w:t>
      </w:r>
      <w:hyperlink r:id="rId11" w:history="1">
        <w:r w:rsidRPr="006B1517">
          <w:rPr>
            <w:rStyle w:val="Hyperlink"/>
          </w:rPr>
          <w:t>https://www.who.int/medicines/publications/drugalerts/Statement_on_DTG_18May_2018final.pdf</w:t>
        </w:r>
      </w:hyperlink>
      <w:r w:rsidR="00CF41AB" w:rsidRPr="006B1517">
        <w:t>.</w:t>
      </w:r>
      <w:r w:rsidR="008B50AF" w:rsidRPr="006B1517">
        <w:t>, accessed 13th June 2019</w:t>
      </w:r>
    </w:p>
    <w:p w14:paraId="2737B0A9" w14:textId="55F291F4" w:rsidR="004F4188" w:rsidRPr="00F72441" w:rsidRDefault="00263418">
      <w:pPr>
        <w:spacing w:line="360" w:lineRule="auto"/>
        <w:ind w:left="426" w:hanging="426"/>
        <w:jc w:val="both"/>
        <w:rPr>
          <w:rFonts w:ascii="Arial" w:hAnsi="Arial" w:cs="Arial"/>
          <w:sz w:val="20"/>
          <w:szCs w:val="20"/>
        </w:rPr>
      </w:pPr>
      <w:r w:rsidRPr="00F72441">
        <w:rPr>
          <w:rFonts w:ascii="Arial" w:hAnsi="Arial" w:cs="Arial"/>
          <w:sz w:val="20"/>
          <w:szCs w:val="20"/>
        </w:rPr>
        <w:t>2</w:t>
      </w:r>
      <w:r>
        <w:rPr>
          <w:rFonts w:ascii="Arial" w:hAnsi="Arial" w:cs="Arial"/>
          <w:sz w:val="20"/>
          <w:szCs w:val="20"/>
        </w:rPr>
        <w:t>6</w:t>
      </w:r>
      <w:r w:rsidR="00CF41AB" w:rsidRPr="00F72441">
        <w:rPr>
          <w:rFonts w:ascii="Arial" w:hAnsi="Arial" w:cs="Arial"/>
          <w:sz w:val="20"/>
          <w:szCs w:val="20"/>
        </w:rPr>
        <w:t>.</w:t>
      </w:r>
      <w:r w:rsidR="00CF41AB" w:rsidRPr="00F72441">
        <w:rPr>
          <w:rFonts w:ascii="Arial" w:hAnsi="Arial" w:cs="Arial"/>
          <w:sz w:val="20"/>
          <w:szCs w:val="20"/>
        </w:rPr>
        <w:tab/>
      </w:r>
      <w:r w:rsidR="00F72441">
        <w:rPr>
          <w:rFonts w:ascii="Arial" w:hAnsi="Arial" w:cs="Arial"/>
          <w:sz w:val="20"/>
          <w:szCs w:val="20"/>
        </w:rPr>
        <w:t xml:space="preserve">US Food and Drug Administration. </w:t>
      </w:r>
      <w:hyperlink r:id="rId12" w:history="1">
        <w:r w:rsidR="00F72441" w:rsidRPr="00F72441">
          <w:rPr>
            <w:rStyle w:val="Hyperlink"/>
            <w:rFonts w:ascii="Arial" w:hAnsi="Arial" w:cs="Arial"/>
            <w:sz w:val="20"/>
            <w:szCs w:val="20"/>
          </w:rPr>
          <w:t>https://www.fda.gov/drugs/drug-safety-and-availability/fda-drug-safety-communication-fda-evaluate-potential-risk-neural-tube-birth-defects-hiv-medicine</w:t>
        </w:r>
      </w:hyperlink>
      <w:r w:rsidR="00F72441" w:rsidRPr="00F72441" w:rsidDel="00F72441">
        <w:rPr>
          <w:rFonts w:ascii="Arial" w:hAnsi="Arial" w:cs="Arial"/>
          <w:sz w:val="20"/>
          <w:szCs w:val="20"/>
        </w:rPr>
        <w:t xml:space="preserve"> </w:t>
      </w:r>
      <w:r w:rsidR="00F72441" w:rsidRPr="00F72441">
        <w:rPr>
          <w:rFonts w:ascii="Arial" w:hAnsi="Arial" w:cs="Arial"/>
          <w:sz w:val="20"/>
          <w:szCs w:val="20"/>
        </w:rPr>
        <w:t xml:space="preserve"> accessed 13</w:t>
      </w:r>
      <w:r w:rsidR="00F72441" w:rsidRPr="00F72441">
        <w:rPr>
          <w:rFonts w:ascii="Arial" w:hAnsi="Arial" w:cs="Arial"/>
          <w:sz w:val="20"/>
          <w:szCs w:val="20"/>
          <w:vertAlign w:val="superscript"/>
        </w:rPr>
        <w:t>th</w:t>
      </w:r>
      <w:r w:rsidR="00F72441" w:rsidRPr="00F72441">
        <w:rPr>
          <w:rFonts w:ascii="Arial" w:hAnsi="Arial" w:cs="Arial"/>
          <w:sz w:val="20"/>
          <w:szCs w:val="20"/>
        </w:rPr>
        <w:t xml:space="preserve"> June 2019</w:t>
      </w:r>
      <w:r w:rsidR="00CF41AB" w:rsidRPr="00F72441">
        <w:rPr>
          <w:rFonts w:ascii="Arial" w:hAnsi="Arial" w:cs="Arial"/>
          <w:sz w:val="20"/>
          <w:szCs w:val="20"/>
        </w:rPr>
        <w:t>.</w:t>
      </w:r>
    </w:p>
    <w:p w14:paraId="10ED3642" w14:textId="55D63227" w:rsidR="00CF41AB" w:rsidRPr="003C3D07" w:rsidRDefault="00263418">
      <w:pPr>
        <w:spacing w:line="360" w:lineRule="auto"/>
        <w:ind w:left="426" w:hanging="426"/>
        <w:jc w:val="both"/>
        <w:rPr>
          <w:rFonts w:ascii="Arial" w:hAnsi="Arial" w:cs="Arial"/>
          <w:sz w:val="20"/>
        </w:rPr>
      </w:pPr>
      <w:r>
        <w:rPr>
          <w:rFonts w:ascii="Arial" w:hAnsi="Arial" w:cs="Arial"/>
          <w:sz w:val="20"/>
        </w:rPr>
        <w:t>27</w:t>
      </w:r>
      <w:r w:rsidR="00CF41AB" w:rsidRPr="003C3D07">
        <w:rPr>
          <w:rFonts w:ascii="Arial" w:hAnsi="Arial" w:cs="Arial"/>
          <w:sz w:val="20"/>
        </w:rPr>
        <w:t>.</w:t>
      </w:r>
      <w:r w:rsidR="00CF41AB" w:rsidRPr="003C3D07">
        <w:rPr>
          <w:rFonts w:ascii="Arial" w:hAnsi="Arial" w:cs="Arial"/>
          <w:sz w:val="20"/>
        </w:rPr>
        <w:tab/>
        <w:t>Arnold</w:t>
      </w:r>
      <w:r w:rsidR="001B2C4D">
        <w:rPr>
          <w:rFonts w:ascii="Arial" w:hAnsi="Arial" w:cs="Arial"/>
          <w:sz w:val="20"/>
        </w:rPr>
        <w:t xml:space="preserve"> A</w:t>
      </w:r>
      <w:r w:rsidR="00CF41AB" w:rsidRPr="003C3D07">
        <w:rPr>
          <w:rFonts w:ascii="Arial" w:hAnsi="Arial" w:cs="Arial"/>
          <w:sz w:val="20"/>
        </w:rPr>
        <w:t>, Laker</w:t>
      </w:r>
      <w:r w:rsidR="001B2C4D">
        <w:rPr>
          <w:rFonts w:ascii="Arial" w:hAnsi="Arial" w:cs="Arial"/>
          <w:sz w:val="20"/>
        </w:rPr>
        <w:t xml:space="preserve"> </w:t>
      </w:r>
      <w:proofErr w:type="spellStart"/>
      <w:r w:rsidR="00CF41AB" w:rsidRPr="003C3D07">
        <w:rPr>
          <w:rFonts w:ascii="Arial" w:hAnsi="Arial" w:cs="Arial"/>
          <w:sz w:val="20"/>
        </w:rPr>
        <w:t>Odongpiny</w:t>
      </w:r>
      <w:proofErr w:type="spellEnd"/>
      <w:r w:rsidR="001B2C4D">
        <w:rPr>
          <w:rFonts w:ascii="Arial" w:hAnsi="Arial" w:cs="Arial"/>
          <w:sz w:val="20"/>
        </w:rPr>
        <w:t xml:space="preserve"> EA</w:t>
      </w:r>
      <w:r w:rsidR="00CF41AB" w:rsidRPr="003C3D07">
        <w:rPr>
          <w:rFonts w:ascii="Arial" w:hAnsi="Arial" w:cs="Arial"/>
          <w:sz w:val="20"/>
        </w:rPr>
        <w:t xml:space="preserve">, </w:t>
      </w:r>
      <w:proofErr w:type="spellStart"/>
      <w:r w:rsidR="00CF41AB" w:rsidRPr="003C3D07">
        <w:rPr>
          <w:rFonts w:ascii="Arial" w:hAnsi="Arial" w:cs="Arial"/>
          <w:sz w:val="20"/>
        </w:rPr>
        <w:t>Owarwo</w:t>
      </w:r>
      <w:proofErr w:type="spellEnd"/>
      <w:r w:rsidR="00CF41AB" w:rsidRPr="003C3D07">
        <w:rPr>
          <w:rFonts w:ascii="Arial" w:hAnsi="Arial" w:cs="Arial"/>
          <w:sz w:val="20"/>
        </w:rPr>
        <w:t>. N, et al. Ugandan clinic experience following potential teratogenicity alert for dolutegravir.  CROI 2019; Seattle, Washington</w:t>
      </w:r>
      <w:r w:rsidR="00CF41AB">
        <w:rPr>
          <w:rFonts w:ascii="Arial" w:hAnsi="Arial" w:cs="Arial"/>
          <w:sz w:val="20"/>
        </w:rPr>
        <w:t xml:space="preserve"> </w:t>
      </w:r>
      <w:r w:rsidR="00CF41AB" w:rsidRPr="003C3D07">
        <w:rPr>
          <w:rFonts w:ascii="Arial" w:hAnsi="Arial" w:cs="Arial"/>
          <w:sz w:val="20"/>
        </w:rPr>
        <w:t>2019</w:t>
      </w:r>
      <w:r w:rsidR="001B2C4D">
        <w:rPr>
          <w:rFonts w:ascii="Arial" w:hAnsi="Arial" w:cs="Arial"/>
          <w:sz w:val="20"/>
        </w:rPr>
        <w:t>, March</w:t>
      </w:r>
      <w:r w:rsidR="00CF41AB" w:rsidRPr="003C3D07">
        <w:rPr>
          <w:rFonts w:ascii="Arial" w:hAnsi="Arial" w:cs="Arial"/>
          <w:sz w:val="20"/>
        </w:rPr>
        <w:t>.</w:t>
      </w:r>
    </w:p>
    <w:p w14:paraId="1E81003D" w14:textId="154EED51" w:rsidR="004F4188" w:rsidRDefault="00263418">
      <w:pPr>
        <w:spacing w:line="360" w:lineRule="auto"/>
        <w:ind w:left="426" w:hanging="426"/>
        <w:jc w:val="both"/>
        <w:rPr>
          <w:rFonts w:ascii="Arial" w:hAnsi="Arial" w:cs="Arial"/>
          <w:sz w:val="20"/>
        </w:rPr>
      </w:pPr>
      <w:r>
        <w:rPr>
          <w:rFonts w:ascii="Arial" w:hAnsi="Arial" w:cs="Arial"/>
          <w:sz w:val="20"/>
        </w:rPr>
        <w:t>28</w:t>
      </w:r>
      <w:r w:rsidR="00CF41AB">
        <w:rPr>
          <w:rFonts w:ascii="Arial" w:hAnsi="Arial" w:cs="Arial"/>
          <w:sz w:val="20"/>
        </w:rPr>
        <w:t>.</w:t>
      </w:r>
      <w:r w:rsidR="00CF41AB" w:rsidRPr="003C3D07">
        <w:rPr>
          <w:rFonts w:ascii="Arial" w:hAnsi="Arial" w:cs="Arial"/>
          <w:sz w:val="20"/>
        </w:rPr>
        <w:tab/>
        <w:t xml:space="preserve">Phillips AN, Venter F, </w:t>
      </w:r>
      <w:proofErr w:type="spellStart"/>
      <w:r w:rsidR="00CF41AB" w:rsidRPr="003C3D07">
        <w:rPr>
          <w:rFonts w:ascii="Arial" w:hAnsi="Arial" w:cs="Arial"/>
          <w:sz w:val="20"/>
        </w:rPr>
        <w:t>Havlir</w:t>
      </w:r>
      <w:proofErr w:type="spellEnd"/>
      <w:r w:rsidR="00CF41AB" w:rsidRPr="003C3D07">
        <w:rPr>
          <w:rFonts w:ascii="Arial" w:hAnsi="Arial" w:cs="Arial"/>
          <w:sz w:val="20"/>
        </w:rPr>
        <w:t xml:space="preserve"> D, et al. Risks and benefits of dolutegravir-based antiretroviral drug regimens in sub-Saharan Africa: </w:t>
      </w:r>
      <w:r w:rsidR="001B2C4D">
        <w:rPr>
          <w:rFonts w:ascii="Arial" w:hAnsi="Arial" w:cs="Arial"/>
          <w:sz w:val="20"/>
        </w:rPr>
        <w:t>a modelling study. The L</w:t>
      </w:r>
      <w:r w:rsidR="00CF41AB" w:rsidRPr="003C3D07">
        <w:rPr>
          <w:rFonts w:ascii="Arial" w:hAnsi="Arial" w:cs="Arial"/>
          <w:sz w:val="20"/>
        </w:rPr>
        <w:t>ancet HIV. 2019;6(2</w:t>
      </w:r>
      <w:proofErr w:type="gramStart"/>
      <w:r w:rsidR="00CF41AB" w:rsidRPr="003C3D07">
        <w:rPr>
          <w:rFonts w:ascii="Arial" w:hAnsi="Arial" w:cs="Arial"/>
          <w:sz w:val="20"/>
        </w:rPr>
        <w:t>):e</w:t>
      </w:r>
      <w:proofErr w:type="gramEnd"/>
      <w:r w:rsidR="00CF41AB" w:rsidRPr="003C3D07">
        <w:rPr>
          <w:rFonts w:ascii="Arial" w:hAnsi="Arial" w:cs="Arial"/>
          <w:sz w:val="20"/>
        </w:rPr>
        <w:t>116-e27.</w:t>
      </w:r>
    </w:p>
    <w:p w14:paraId="55F2EA84" w14:textId="0FF30C87" w:rsidR="004F4188" w:rsidRDefault="00263418">
      <w:pPr>
        <w:spacing w:line="360" w:lineRule="auto"/>
        <w:ind w:left="426" w:hanging="426"/>
        <w:jc w:val="both"/>
        <w:rPr>
          <w:rFonts w:ascii="Arial" w:hAnsi="Arial" w:cs="Arial"/>
          <w:sz w:val="20"/>
        </w:rPr>
      </w:pPr>
      <w:r>
        <w:rPr>
          <w:rFonts w:ascii="Arial" w:hAnsi="Arial" w:cs="Arial"/>
          <w:sz w:val="20"/>
        </w:rPr>
        <w:t>29</w:t>
      </w:r>
      <w:r w:rsidR="00CF41AB">
        <w:rPr>
          <w:rFonts w:ascii="Arial" w:hAnsi="Arial" w:cs="Arial"/>
          <w:sz w:val="20"/>
        </w:rPr>
        <w:t>.</w:t>
      </w:r>
      <w:r w:rsidR="00CF41AB">
        <w:rPr>
          <w:rFonts w:ascii="Arial" w:hAnsi="Arial" w:cs="Arial"/>
          <w:sz w:val="20"/>
        </w:rPr>
        <w:tab/>
      </w:r>
      <w:r w:rsidR="00CF41AB" w:rsidRPr="00CF41AB">
        <w:rPr>
          <w:rFonts w:ascii="Arial" w:hAnsi="Arial" w:cs="Arial"/>
          <w:sz w:val="20"/>
        </w:rPr>
        <w:t xml:space="preserve">Dugdale CM, </w:t>
      </w:r>
      <w:proofErr w:type="spellStart"/>
      <w:r w:rsidR="00CF41AB" w:rsidRPr="00CF41AB">
        <w:rPr>
          <w:rFonts w:ascii="Arial" w:hAnsi="Arial" w:cs="Arial"/>
          <w:sz w:val="20"/>
        </w:rPr>
        <w:t>Ciaranello</w:t>
      </w:r>
      <w:proofErr w:type="spellEnd"/>
      <w:r w:rsidR="00CF41AB" w:rsidRPr="00CF41AB">
        <w:rPr>
          <w:rFonts w:ascii="Arial" w:hAnsi="Arial" w:cs="Arial"/>
          <w:sz w:val="20"/>
        </w:rPr>
        <w:t xml:space="preserve"> AL, Bekker L, et al. Risks and Benefits of Dolutegravir- and Efavirenz-Based Strategies for South African Women </w:t>
      </w:r>
      <w:proofErr w:type="gramStart"/>
      <w:r w:rsidR="00CF41AB" w:rsidRPr="00CF41AB">
        <w:rPr>
          <w:rFonts w:ascii="Arial" w:hAnsi="Arial" w:cs="Arial"/>
          <w:sz w:val="20"/>
        </w:rPr>
        <w:t>With</w:t>
      </w:r>
      <w:proofErr w:type="gramEnd"/>
      <w:r w:rsidR="00CF41AB" w:rsidRPr="00CF41AB">
        <w:rPr>
          <w:rFonts w:ascii="Arial" w:hAnsi="Arial" w:cs="Arial"/>
          <w:sz w:val="20"/>
        </w:rPr>
        <w:t xml:space="preserve"> HIV of Child-Bearing Potential: A Modeling Study. Ann Intern Med. </w:t>
      </w:r>
      <w:r w:rsidR="00CE2C9A">
        <w:rPr>
          <w:rFonts w:ascii="Arial" w:hAnsi="Arial" w:cs="Arial"/>
          <w:sz w:val="20"/>
        </w:rPr>
        <w:t>2019</w:t>
      </w:r>
      <w:r w:rsidR="00CE2C9A" w:rsidRPr="00CE2C9A">
        <w:t xml:space="preserve"> </w:t>
      </w:r>
      <w:r w:rsidR="00CE2C9A" w:rsidRPr="00CE2C9A">
        <w:rPr>
          <w:rFonts w:ascii="Arial" w:hAnsi="Arial" w:cs="Arial"/>
          <w:sz w:val="20"/>
        </w:rPr>
        <w:t xml:space="preserve">Apr 2. </w:t>
      </w:r>
      <w:proofErr w:type="spellStart"/>
      <w:r w:rsidR="00CE2C9A" w:rsidRPr="00CE2C9A">
        <w:rPr>
          <w:rFonts w:ascii="Arial" w:hAnsi="Arial" w:cs="Arial"/>
          <w:sz w:val="20"/>
        </w:rPr>
        <w:t>doi</w:t>
      </w:r>
      <w:proofErr w:type="spellEnd"/>
      <w:r w:rsidR="00CE2C9A" w:rsidRPr="00CE2C9A">
        <w:rPr>
          <w:rFonts w:ascii="Arial" w:hAnsi="Arial" w:cs="Arial"/>
          <w:sz w:val="20"/>
        </w:rPr>
        <w:t>: 10.7326/M18-3358. [</w:t>
      </w:r>
      <w:proofErr w:type="spellStart"/>
      <w:r w:rsidR="00CE2C9A" w:rsidRPr="00CE2C9A">
        <w:rPr>
          <w:rFonts w:ascii="Arial" w:hAnsi="Arial" w:cs="Arial"/>
          <w:sz w:val="20"/>
        </w:rPr>
        <w:t>Epub</w:t>
      </w:r>
      <w:proofErr w:type="spellEnd"/>
      <w:r w:rsidR="00CE2C9A" w:rsidRPr="00CE2C9A">
        <w:rPr>
          <w:rFonts w:ascii="Arial" w:hAnsi="Arial" w:cs="Arial"/>
          <w:sz w:val="20"/>
        </w:rPr>
        <w:t xml:space="preserve"> ahead of print]</w:t>
      </w:r>
    </w:p>
    <w:p w14:paraId="53EA20F9" w14:textId="7A34512F" w:rsidR="008976FF" w:rsidRDefault="00263418">
      <w:pPr>
        <w:spacing w:line="360" w:lineRule="auto"/>
        <w:ind w:left="426" w:hanging="426"/>
        <w:jc w:val="both"/>
        <w:rPr>
          <w:rFonts w:ascii="Arial" w:hAnsi="Arial" w:cs="Arial"/>
          <w:sz w:val="20"/>
        </w:rPr>
      </w:pPr>
      <w:r>
        <w:rPr>
          <w:rFonts w:ascii="Arial" w:hAnsi="Arial" w:cs="Arial"/>
          <w:sz w:val="20"/>
        </w:rPr>
        <w:t>30</w:t>
      </w:r>
      <w:r w:rsidR="008976FF">
        <w:rPr>
          <w:rFonts w:ascii="Arial" w:hAnsi="Arial" w:cs="Arial"/>
          <w:sz w:val="20"/>
        </w:rPr>
        <w:t>.</w:t>
      </w:r>
      <w:r w:rsidR="008976FF">
        <w:rPr>
          <w:rFonts w:ascii="Arial" w:hAnsi="Arial" w:cs="Arial"/>
          <w:sz w:val="20"/>
        </w:rPr>
        <w:tab/>
        <w:t>Gupta</w:t>
      </w:r>
      <w:r w:rsidR="00CE2C9A">
        <w:rPr>
          <w:rFonts w:ascii="Arial" w:hAnsi="Arial" w:cs="Arial"/>
          <w:sz w:val="20"/>
        </w:rPr>
        <w:t xml:space="preserve"> R, Gregson J, Parkin N, et al. </w:t>
      </w:r>
      <w:r w:rsidR="00CE2C9A" w:rsidRPr="00CE2C9A">
        <w:rPr>
          <w:rFonts w:ascii="Arial" w:hAnsi="Arial" w:cs="Arial"/>
          <w:sz w:val="20"/>
        </w:rPr>
        <w:t>HIV-1 drug resistance before initiation or re-initiation of first-line antiretroviral therapy in low-income and middle-income countries: a systematic review and meta-regression analysis. Lancet Infect Dis. 2018 Mar;18(3):346-355.</w:t>
      </w:r>
    </w:p>
    <w:p w14:paraId="6A365939" w14:textId="01975C33" w:rsidR="00A77C2A" w:rsidRDefault="00A77C2A" w:rsidP="00A77C2A">
      <w:pPr>
        <w:spacing w:line="360" w:lineRule="auto"/>
        <w:ind w:left="426" w:hanging="426"/>
        <w:jc w:val="both"/>
        <w:rPr>
          <w:rFonts w:ascii="Arial" w:hAnsi="Arial" w:cs="Arial"/>
          <w:sz w:val="20"/>
        </w:rPr>
      </w:pPr>
    </w:p>
    <w:p w14:paraId="08F76956" w14:textId="77777777" w:rsidR="004F4188" w:rsidRDefault="004F4188" w:rsidP="00F72441">
      <w:pPr>
        <w:spacing w:line="360" w:lineRule="auto"/>
        <w:ind w:left="284" w:hanging="284"/>
        <w:jc w:val="both"/>
        <w:rPr>
          <w:rFonts w:ascii="Arial" w:hAnsi="Arial" w:cs="Arial"/>
          <w:sz w:val="20"/>
        </w:rPr>
      </w:pPr>
    </w:p>
    <w:p w14:paraId="1F5F7CA6" w14:textId="77777777" w:rsidR="001107FD" w:rsidRDefault="001107FD" w:rsidP="00F72441">
      <w:pPr>
        <w:spacing w:line="360" w:lineRule="auto"/>
        <w:ind w:left="284" w:hanging="284"/>
        <w:jc w:val="both"/>
        <w:rPr>
          <w:rFonts w:ascii="Arial" w:hAnsi="Arial" w:cs="Arial"/>
          <w:sz w:val="20"/>
        </w:rPr>
      </w:pPr>
    </w:p>
    <w:p w14:paraId="2D3DABEC" w14:textId="31F93861" w:rsidR="001107FD" w:rsidRDefault="001107FD">
      <w:pPr>
        <w:spacing w:after="160" w:line="259" w:lineRule="auto"/>
        <w:rPr>
          <w:rFonts w:ascii="Arial" w:hAnsi="Arial" w:cs="Arial"/>
          <w:sz w:val="20"/>
        </w:rPr>
      </w:pPr>
      <w:r>
        <w:rPr>
          <w:rFonts w:ascii="Arial" w:hAnsi="Arial" w:cs="Arial"/>
          <w:sz w:val="20"/>
        </w:rPr>
        <w:br w:type="page"/>
      </w:r>
    </w:p>
    <w:p w14:paraId="05585B5C" w14:textId="00386E5C" w:rsidR="001107FD" w:rsidRPr="00BC4784" w:rsidRDefault="001107FD" w:rsidP="00132D8F">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u w:val="single"/>
        </w:rPr>
      </w:pPr>
      <w:r w:rsidRPr="00BC4784">
        <w:rPr>
          <w:rFonts w:ascii="Arial" w:hAnsi="Arial" w:cs="Arial"/>
          <w:b/>
          <w:u w:val="single"/>
        </w:rPr>
        <w:lastRenderedPageBreak/>
        <w:t>Panel: Research in context</w:t>
      </w:r>
    </w:p>
    <w:p w14:paraId="7063D15F" w14:textId="77777777" w:rsidR="001107FD" w:rsidRPr="00BC4784" w:rsidRDefault="001107FD" w:rsidP="00132D8F">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p>
    <w:p w14:paraId="6EB3BBCC" w14:textId="48C93E17" w:rsidR="001107FD" w:rsidRPr="00BC4784" w:rsidRDefault="001107FD" w:rsidP="00132D8F">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rPr>
      </w:pPr>
      <w:r w:rsidRPr="00BC4784">
        <w:rPr>
          <w:rFonts w:ascii="Arial" w:hAnsi="Arial" w:cs="Arial"/>
          <w:b/>
        </w:rPr>
        <w:t>Evidence before this study</w:t>
      </w:r>
    </w:p>
    <w:p w14:paraId="6B5FE102" w14:textId="4A3D9029" w:rsidR="001107FD" w:rsidRPr="00BC4784" w:rsidRDefault="001107FD" w:rsidP="00132D8F">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BC4784">
        <w:rPr>
          <w:rFonts w:ascii="Arial" w:hAnsi="Arial" w:cs="Arial"/>
        </w:rPr>
        <w:t>Late initiation of antiretroviral therapy</w:t>
      </w:r>
      <w:r w:rsidR="00EB4DC7" w:rsidRPr="00BC4784">
        <w:rPr>
          <w:rFonts w:ascii="Arial" w:hAnsi="Arial" w:cs="Arial"/>
        </w:rPr>
        <w:t xml:space="preserve"> </w:t>
      </w:r>
      <w:r w:rsidRPr="00BC4784">
        <w:rPr>
          <w:rFonts w:ascii="Arial" w:hAnsi="Arial" w:cs="Arial"/>
        </w:rPr>
        <w:t xml:space="preserve">in the third trimester of pregnancy is associated with a seven-fold increased risk of infant HIV transmissions, and a doubling of infant mortality in the first year of life. The period of greatest risk for mother-to-child HIV transmission is during </w:t>
      </w:r>
      <w:proofErr w:type="spellStart"/>
      <w:r w:rsidRPr="00BC4784">
        <w:rPr>
          <w:rFonts w:ascii="Arial" w:hAnsi="Arial" w:cs="Arial"/>
        </w:rPr>
        <w:t>labour</w:t>
      </w:r>
      <w:proofErr w:type="spellEnd"/>
      <w:r w:rsidRPr="00BC4784">
        <w:rPr>
          <w:rFonts w:ascii="Arial" w:hAnsi="Arial" w:cs="Arial"/>
        </w:rPr>
        <w:t xml:space="preserve"> and delivery</w:t>
      </w:r>
      <w:r w:rsidR="00E70F13" w:rsidRPr="00BC4784">
        <w:rPr>
          <w:rFonts w:ascii="Arial" w:hAnsi="Arial" w:cs="Arial"/>
        </w:rPr>
        <w:t xml:space="preserve">, and risks are highest for mothers who are not </w:t>
      </w:r>
      <w:proofErr w:type="spellStart"/>
      <w:r w:rsidR="00E70F13" w:rsidRPr="00BC4784">
        <w:rPr>
          <w:rFonts w:ascii="Arial" w:hAnsi="Arial" w:cs="Arial"/>
        </w:rPr>
        <w:t>virologically</w:t>
      </w:r>
      <w:proofErr w:type="spellEnd"/>
      <w:r w:rsidR="00E70F13" w:rsidRPr="00BC4784">
        <w:rPr>
          <w:rFonts w:ascii="Arial" w:hAnsi="Arial" w:cs="Arial"/>
        </w:rPr>
        <w:t xml:space="preserve"> suppressed at this time. </w:t>
      </w:r>
      <w:r w:rsidR="00717CAF">
        <w:rPr>
          <w:rFonts w:ascii="Arial" w:hAnsi="Arial" w:cs="Arial"/>
        </w:rPr>
        <w:t>Using a PubMed search (</w:t>
      </w:r>
      <w:r w:rsidR="007C084D">
        <w:rPr>
          <w:rFonts w:ascii="Arial" w:hAnsi="Arial" w:cs="Arial"/>
        </w:rPr>
        <w:t>‘</w:t>
      </w:r>
      <w:r w:rsidR="00717CAF">
        <w:rPr>
          <w:rFonts w:ascii="Arial" w:hAnsi="Arial" w:cs="Arial"/>
        </w:rPr>
        <w:t>HIV</w:t>
      </w:r>
      <w:r w:rsidR="007C084D">
        <w:rPr>
          <w:rFonts w:ascii="Arial" w:hAnsi="Arial" w:cs="Arial"/>
        </w:rPr>
        <w:t>’</w:t>
      </w:r>
      <w:r w:rsidR="00717CAF">
        <w:rPr>
          <w:rFonts w:ascii="Arial" w:hAnsi="Arial" w:cs="Arial"/>
        </w:rPr>
        <w:t xml:space="preserve">, </w:t>
      </w:r>
      <w:r w:rsidR="007C084D">
        <w:rPr>
          <w:rFonts w:ascii="Arial" w:hAnsi="Arial" w:cs="Arial"/>
        </w:rPr>
        <w:t>‘</w:t>
      </w:r>
      <w:r w:rsidR="00717CAF">
        <w:rPr>
          <w:rFonts w:ascii="Arial" w:hAnsi="Arial" w:cs="Arial"/>
        </w:rPr>
        <w:t>pregnancy</w:t>
      </w:r>
      <w:r w:rsidR="007C084D">
        <w:rPr>
          <w:rFonts w:ascii="Arial" w:hAnsi="Arial" w:cs="Arial"/>
        </w:rPr>
        <w:t>’</w:t>
      </w:r>
      <w:r w:rsidR="00717CAF">
        <w:rPr>
          <w:rFonts w:ascii="Arial" w:hAnsi="Arial" w:cs="Arial"/>
        </w:rPr>
        <w:t xml:space="preserve">, </w:t>
      </w:r>
      <w:r w:rsidR="007C084D">
        <w:rPr>
          <w:rFonts w:ascii="Arial" w:hAnsi="Arial" w:cs="Arial"/>
        </w:rPr>
        <w:t>‘</w:t>
      </w:r>
      <w:r w:rsidR="00717CAF">
        <w:rPr>
          <w:rFonts w:ascii="Arial" w:hAnsi="Arial" w:cs="Arial"/>
        </w:rPr>
        <w:t>initiation</w:t>
      </w:r>
      <w:r w:rsidR="007C084D">
        <w:rPr>
          <w:rFonts w:ascii="Arial" w:hAnsi="Arial" w:cs="Arial"/>
        </w:rPr>
        <w:t>’</w:t>
      </w:r>
      <w:r w:rsidR="00717CAF">
        <w:rPr>
          <w:rFonts w:ascii="Arial" w:hAnsi="Arial" w:cs="Arial"/>
        </w:rPr>
        <w:t xml:space="preserve">, </w:t>
      </w:r>
      <w:r w:rsidR="007C084D">
        <w:rPr>
          <w:rFonts w:ascii="Arial" w:hAnsi="Arial" w:cs="Arial"/>
        </w:rPr>
        <w:t>‘</w:t>
      </w:r>
      <w:r w:rsidR="00717CAF">
        <w:rPr>
          <w:rFonts w:ascii="Arial" w:hAnsi="Arial" w:cs="Arial"/>
        </w:rPr>
        <w:t>antiretroviral therapy</w:t>
      </w:r>
      <w:r w:rsidR="007C084D">
        <w:rPr>
          <w:rFonts w:ascii="Arial" w:hAnsi="Arial" w:cs="Arial"/>
        </w:rPr>
        <w:t>’</w:t>
      </w:r>
      <w:r w:rsidR="00BD17B0">
        <w:rPr>
          <w:rFonts w:ascii="Arial" w:hAnsi="Arial" w:cs="Arial"/>
        </w:rPr>
        <w:t>, ‘Africa’</w:t>
      </w:r>
      <w:r w:rsidR="007C084D">
        <w:rPr>
          <w:rFonts w:ascii="Arial" w:hAnsi="Arial" w:cs="Arial"/>
        </w:rPr>
        <w:t xml:space="preserve">; </w:t>
      </w:r>
      <w:r w:rsidR="00DE791F">
        <w:rPr>
          <w:rFonts w:ascii="Arial" w:hAnsi="Arial" w:cs="Arial"/>
        </w:rPr>
        <w:t>10</w:t>
      </w:r>
      <w:r w:rsidR="007C084D" w:rsidRPr="00DD1EBA">
        <w:rPr>
          <w:rFonts w:ascii="Arial" w:hAnsi="Arial" w:cs="Arial"/>
          <w:vertAlign w:val="superscript"/>
        </w:rPr>
        <w:t>th</w:t>
      </w:r>
      <w:r w:rsidR="007C084D">
        <w:rPr>
          <w:rFonts w:ascii="Arial" w:hAnsi="Arial" w:cs="Arial"/>
        </w:rPr>
        <w:t xml:space="preserve"> February 2020</w:t>
      </w:r>
      <w:r w:rsidR="00717CAF">
        <w:rPr>
          <w:rFonts w:ascii="Arial" w:hAnsi="Arial" w:cs="Arial"/>
        </w:rPr>
        <w:t>) we confirmed that a</w:t>
      </w:r>
      <w:r w:rsidR="00EB4DC7" w:rsidRPr="00BC4784">
        <w:rPr>
          <w:rFonts w:ascii="Arial" w:hAnsi="Arial" w:cs="Arial"/>
        </w:rPr>
        <w:t xml:space="preserve">cross sub-Saharan Africa, late presentation for </w:t>
      </w:r>
      <w:r w:rsidR="001A3165" w:rsidRPr="00BC4784">
        <w:rPr>
          <w:rFonts w:ascii="Arial" w:hAnsi="Arial" w:cs="Arial"/>
        </w:rPr>
        <w:t xml:space="preserve">antiretroviral therapy </w:t>
      </w:r>
      <w:r w:rsidR="00EB4DC7" w:rsidRPr="00BC4784">
        <w:rPr>
          <w:rFonts w:ascii="Arial" w:hAnsi="Arial" w:cs="Arial"/>
        </w:rPr>
        <w:t>during pregnancy is not uncommon</w:t>
      </w:r>
      <w:r w:rsidR="00717CAF">
        <w:rPr>
          <w:rFonts w:ascii="Arial" w:hAnsi="Arial" w:cs="Arial"/>
        </w:rPr>
        <w:t xml:space="preserve"> (up to 1 in 5 pregnancies</w:t>
      </w:r>
      <w:r w:rsidR="00EB4DC7" w:rsidRPr="00BC4784">
        <w:rPr>
          <w:rFonts w:ascii="Arial" w:hAnsi="Arial" w:cs="Arial"/>
        </w:rPr>
        <w:t xml:space="preserve"> from South Africa</w:t>
      </w:r>
      <w:r w:rsidR="00717CAF">
        <w:rPr>
          <w:rFonts w:ascii="Arial" w:hAnsi="Arial" w:cs="Arial"/>
        </w:rPr>
        <w:t>)</w:t>
      </w:r>
      <w:r w:rsidR="00EB4DC7" w:rsidRPr="00BC4784">
        <w:rPr>
          <w:rFonts w:ascii="Arial" w:hAnsi="Arial" w:cs="Arial"/>
        </w:rPr>
        <w:t xml:space="preserve">. Conventional (efavirenz-based) </w:t>
      </w:r>
      <w:proofErr w:type="gramStart"/>
      <w:r w:rsidR="001A3165" w:rsidRPr="00BC4784">
        <w:rPr>
          <w:rFonts w:ascii="Arial" w:hAnsi="Arial" w:cs="Arial"/>
        </w:rPr>
        <w:t xml:space="preserve">antiretroviral </w:t>
      </w:r>
      <w:r w:rsidR="00EB4DC7" w:rsidRPr="00BC4784">
        <w:rPr>
          <w:rFonts w:ascii="Arial" w:hAnsi="Arial" w:cs="Arial"/>
        </w:rPr>
        <w:t xml:space="preserve"> regimens</w:t>
      </w:r>
      <w:proofErr w:type="gramEnd"/>
      <w:r w:rsidR="00EB4DC7" w:rsidRPr="00BC4784">
        <w:rPr>
          <w:rFonts w:ascii="Arial" w:hAnsi="Arial" w:cs="Arial"/>
        </w:rPr>
        <w:t xml:space="preserve"> may simply have insufficient time to suppress maternal HIV viral load quickly enough in this scenario. Newer, dolutegravir-based regimens are associated with faster declines in HIV viral load in non-pregnant adults, reaching undetectable (&lt;50 </w:t>
      </w:r>
      <w:r w:rsidR="00147F88">
        <w:rPr>
          <w:rFonts w:ascii="Arial" w:hAnsi="Arial" w:cs="Arial"/>
        </w:rPr>
        <w:t>copies per mL</w:t>
      </w:r>
      <w:r w:rsidR="00EB4DC7" w:rsidRPr="00BC4784">
        <w:rPr>
          <w:rFonts w:ascii="Arial" w:hAnsi="Arial" w:cs="Arial"/>
        </w:rPr>
        <w:t xml:space="preserve">) viral load after a median of </w:t>
      </w:r>
      <w:bookmarkStart w:id="0" w:name="_GoBack"/>
      <w:bookmarkEnd w:id="0"/>
      <w:r w:rsidR="00EB4DC7" w:rsidRPr="00BC4784">
        <w:rPr>
          <w:rFonts w:ascii="Arial" w:hAnsi="Arial" w:cs="Arial"/>
        </w:rPr>
        <w:t xml:space="preserve">28 days in comparison with 84 days for efavirenz. However, the safety and efficacy of dolutegravir in pregnancy is unknown, and there is a general lack of </w:t>
      </w:r>
      <w:proofErr w:type="spellStart"/>
      <w:r w:rsidR="001A3165">
        <w:rPr>
          <w:rFonts w:ascii="Arial" w:hAnsi="Arial" w:cs="Arial"/>
        </w:rPr>
        <w:t>randomised</w:t>
      </w:r>
      <w:proofErr w:type="spellEnd"/>
      <w:r w:rsidR="001A3165">
        <w:rPr>
          <w:rFonts w:ascii="Arial" w:hAnsi="Arial" w:cs="Arial"/>
        </w:rPr>
        <w:t xml:space="preserve"> trial</w:t>
      </w:r>
      <w:r w:rsidR="001A3165" w:rsidRPr="00BC4784">
        <w:rPr>
          <w:rFonts w:ascii="Arial" w:hAnsi="Arial" w:cs="Arial"/>
        </w:rPr>
        <w:t xml:space="preserve"> </w:t>
      </w:r>
      <w:r w:rsidR="00EB4DC7" w:rsidRPr="00BC4784">
        <w:rPr>
          <w:rFonts w:ascii="Arial" w:hAnsi="Arial" w:cs="Arial"/>
        </w:rPr>
        <w:t xml:space="preserve">data informing selection of newer </w:t>
      </w:r>
      <w:r w:rsidR="001A3165" w:rsidRPr="00BC4784">
        <w:rPr>
          <w:rFonts w:ascii="Arial" w:hAnsi="Arial" w:cs="Arial"/>
        </w:rPr>
        <w:t xml:space="preserve">antiretroviral </w:t>
      </w:r>
      <w:r w:rsidR="00EB4DC7" w:rsidRPr="00BC4784">
        <w:rPr>
          <w:rFonts w:ascii="Arial" w:hAnsi="Arial" w:cs="Arial"/>
        </w:rPr>
        <w:t>regimens for use in pregnant mothers.</w:t>
      </w:r>
      <w:r w:rsidR="009C0051" w:rsidRPr="00BC4784">
        <w:rPr>
          <w:rFonts w:ascii="Arial" w:hAnsi="Arial" w:cs="Arial"/>
        </w:rPr>
        <w:t xml:space="preserve"> Moreover, recent data from a large birth registry in Botswana suggest peri-conception use of dolutegravir was associated with an excess risk of neural tube defects. This safety concern has led to precautionary alerts from WHO and regulatory agencies, and the restriction of use of dolutegravir in pregnancy or women of child-bearing potential.</w:t>
      </w:r>
    </w:p>
    <w:p w14:paraId="01DB40BA" w14:textId="77777777" w:rsidR="001107FD" w:rsidRPr="00BC4784" w:rsidRDefault="001107FD" w:rsidP="00132D8F">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p>
    <w:p w14:paraId="58480847" w14:textId="5438E2AD" w:rsidR="001107FD" w:rsidRPr="00BC4784" w:rsidRDefault="001107FD" w:rsidP="00132D8F">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rPr>
      </w:pPr>
      <w:r w:rsidRPr="00BC4784">
        <w:rPr>
          <w:rFonts w:ascii="Arial" w:hAnsi="Arial" w:cs="Arial"/>
          <w:b/>
        </w:rPr>
        <w:t>Added value of this study</w:t>
      </w:r>
    </w:p>
    <w:p w14:paraId="255CFA17" w14:textId="0701608A" w:rsidR="001107FD" w:rsidRPr="00BC4784" w:rsidRDefault="009C0051" w:rsidP="00132D8F">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BC4784">
        <w:rPr>
          <w:rFonts w:ascii="Arial" w:hAnsi="Arial" w:cs="Arial"/>
        </w:rPr>
        <w:t xml:space="preserve">DolPHIN-2 </w:t>
      </w:r>
      <w:proofErr w:type="spellStart"/>
      <w:r w:rsidRPr="00BC4784">
        <w:rPr>
          <w:rFonts w:ascii="Arial" w:hAnsi="Arial" w:cs="Arial"/>
        </w:rPr>
        <w:t>randomised</w:t>
      </w:r>
      <w:proofErr w:type="spellEnd"/>
      <w:r w:rsidRPr="00BC4784">
        <w:rPr>
          <w:rFonts w:ascii="Arial" w:hAnsi="Arial" w:cs="Arial"/>
        </w:rPr>
        <w:t xml:space="preserve"> 268 pregnant mothers initiating </w:t>
      </w:r>
      <w:r w:rsidR="001A3165" w:rsidRPr="00BC4784">
        <w:rPr>
          <w:rFonts w:ascii="Arial" w:hAnsi="Arial" w:cs="Arial"/>
        </w:rPr>
        <w:t xml:space="preserve">antiretroviral therapy </w:t>
      </w:r>
      <w:r w:rsidRPr="00BC4784">
        <w:rPr>
          <w:rFonts w:ascii="Arial" w:hAnsi="Arial" w:cs="Arial"/>
        </w:rPr>
        <w:t xml:space="preserve">in third trimester to receive either efavirenz- or dolutegravir-based </w:t>
      </w:r>
      <w:r w:rsidR="001A3165">
        <w:rPr>
          <w:rFonts w:ascii="Arial" w:hAnsi="Arial" w:cs="Arial"/>
        </w:rPr>
        <w:t>regimens</w:t>
      </w:r>
      <w:r w:rsidRPr="00BC4784">
        <w:rPr>
          <w:rFonts w:ascii="Arial" w:hAnsi="Arial" w:cs="Arial"/>
        </w:rPr>
        <w:t>. Dolutegravir was associated with superior rates of viral load reduction</w:t>
      </w:r>
      <w:r w:rsidR="0004385D">
        <w:rPr>
          <w:rFonts w:ascii="Arial" w:hAnsi="Arial" w:cs="Arial"/>
        </w:rPr>
        <w:t>. Although both regimens were</w:t>
      </w:r>
      <w:r w:rsidRPr="00BC4784">
        <w:rPr>
          <w:rFonts w:ascii="Arial" w:hAnsi="Arial" w:cs="Arial"/>
        </w:rPr>
        <w:t xml:space="preserve"> well-tolerated</w:t>
      </w:r>
      <w:r w:rsidR="00C77CDD">
        <w:rPr>
          <w:rFonts w:ascii="Arial" w:hAnsi="Arial" w:cs="Arial"/>
        </w:rPr>
        <w:t xml:space="preserve"> by mothers and infants</w:t>
      </w:r>
      <w:r w:rsidR="0004385D">
        <w:rPr>
          <w:rFonts w:ascii="Arial" w:hAnsi="Arial" w:cs="Arial"/>
        </w:rPr>
        <w:t xml:space="preserve">, </w:t>
      </w:r>
      <w:r w:rsidR="00C62C54">
        <w:rPr>
          <w:rFonts w:ascii="Arial" w:hAnsi="Arial" w:cs="Arial"/>
        </w:rPr>
        <w:t>more</w:t>
      </w:r>
      <w:r w:rsidR="00C77CDD">
        <w:rPr>
          <w:rFonts w:ascii="Arial" w:hAnsi="Arial" w:cs="Arial"/>
        </w:rPr>
        <w:t xml:space="preserve"> mothers receiving dolutegravir</w:t>
      </w:r>
      <w:r w:rsidR="00C62C54">
        <w:rPr>
          <w:rFonts w:ascii="Arial" w:hAnsi="Arial" w:cs="Arial"/>
        </w:rPr>
        <w:t xml:space="preserve"> developed serious adverse events</w:t>
      </w:r>
      <w:r w:rsidR="0004385D">
        <w:rPr>
          <w:rFonts w:ascii="Arial" w:hAnsi="Arial" w:cs="Arial"/>
        </w:rPr>
        <w:t xml:space="preserve"> (driven </w:t>
      </w:r>
      <w:r w:rsidR="00C62C54">
        <w:rPr>
          <w:rFonts w:ascii="Arial" w:hAnsi="Arial" w:cs="Arial"/>
        </w:rPr>
        <w:t>mainly</w:t>
      </w:r>
      <w:r w:rsidR="0004385D">
        <w:rPr>
          <w:rFonts w:ascii="Arial" w:hAnsi="Arial" w:cs="Arial"/>
        </w:rPr>
        <w:t xml:space="preserve"> by prolonged pregnancies)</w:t>
      </w:r>
      <w:r w:rsidRPr="00BC4784">
        <w:rPr>
          <w:rFonts w:ascii="Arial" w:hAnsi="Arial" w:cs="Arial"/>
        </w:rPr>
        <w:t xml:space="preserve">. </w:t>
      </w:r>
      <w:r w:rsidR="0004385D">
        <w:rPr>
          <w:rFonts w:ascii="Arial" w:hAnsi="Arial" w:cs="Arial"/>
        </w:rPr>
        <w:t xml:space="preserve">The significance of this </w:t>
      </w:r>
      <w:r w:rsidR="00C77CDD">
        <w:rPr>
          <w:rFonts w:ascii="Arial" w:hAnsi="Arial" w:cs="Arial"/>
        </w:rPr>
        <w:t xml:space="preserve">finding </w:t>
      </w:r>
      <w:r w:rsidR="0004385D">
        <w:rPr>
          <w:rFonts w:ascii="Arial" w:hAnsi="Arial" w:cs="Arial"/>
        </w:rPr>
        <w:t xml:space="preserve">is </w:t>
      </w:r>
      <w:proofErr w:type="gramStart"/>
      <w:r w:rsidR="0004385D">
        <w:rPr>
          <w:rFonts w:ascii="Arial" w:hAnsi="Arial" w:cs="Arial"/>
        </w:rPr>
        <w:t>uncertain, and</w:t>
      </w:r>
      <w:proofErr w:type="gramEnd"/>
      <w:r w:rsidR="0004385D">
        <w:rPr>
          <w:rFonts w:ascii="Arial" w:hAnsi="Arial" w:cs="Arial"/>
        </w:rPr>
        <w:t xml:space="preserve"> </w:t>
      </w:r>
      <w:r w:rsidR="00C77CDD">
        <w:rPr>
          <w:rFonts w:ascii="Arial" w:hAnsi="Arial" w:cs="Arial"/>
        </w:rPr>
        <w:t>should</w:t>
      </w:r>
      <w:r w:rsidR="0004385D">
        <w:rPr>
          <w:rFonts w:ascii="Arial" w:hAnsi="Arial" w:cs="Arial"/>
        </w:rPr>
        <w:t xml:space="preserve"> be confirmed in other studies.</w:t>
      </w:r>
    </w:p>
    <w:p w14:paraId="534ED24C" w14:textId="77777777" w:rsidR="001107FD" w:rsidRPr="00BC4784" w:rsidRDefault="001107FD" w:rsidP="00132D8F">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p>
    <w:p w14:paraId="7AF305C4" w14:textId="348BC07A" w:rsidR="001107FD" w:rsidRPr="00BC4784" w:rsidRDefault="001107FD" w:rsidP="00132D8F">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rPr>
      </w:pPr>
      <w:r w:rsidRPr="00BC4784">
        <w:rPr>
          <w:rFonts w:ascii="Arial" w:hAnsi="Arial" w:cs="Arial"/>
          <w:b/>
        </w:rPr>
        <w:t>Implications of all the available evidence</w:t>
      </w:r>
    </w:p>
    <w:p w14:paraId="5B6E7C17" w14:textId="1136D179" w:rsidR="00EB4DC7" w:rsidRDefault="005A4E46" w:rsidP="00132D8F">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rPr>
      </w:pPr>
      <w:r w:rsidRPr="00BC4784">
        <w:rPr>
          <w:rFonts w:ascii="Arial" w:hAnsi="Arial" w:cs="Arial"/>
        </w:rPr>
        <w:t xml:space="preserve">Risk-benefit evaluation of drug use in pregnancy needs to be separately undertaken according to trimester of exposure, especially given risks may be higher in early pregnancy, whereas benefits may be greater for pregnant mothers starting treatment in late pregnancy. The large differences in rates of </w:t>
      </w:r>
      <w:proofErr w:type="spellStart"/>
      <w:r w:rsidRPr="00BC4784">
        <w:rPr>
          <w:rFonts w:ascii="Arial" w:hAnsi="Arial" w:cs="Arial"/>
        </w:rPr>
        <w:t>virological</w:t>
      </w:r>
      <w:proofErr w:type="spellEnd"/>
      <w:r w:rsidRPr="00BC4784">
        <w:rPr>
          <w:rFonts w:ascii="Arial" w:hAnsi="Arial" w:cs="Arial"/>
        </w:rPr>
        <w:t xml:space="preserve"> suppression between both regimens suggest that significant public health benefits could accrue if dolutegravir</w:t>
      </w:r>
      <w:r w:rsidR="001E7EBC" w:rsidRPr="00BC4784">
        <w:rPr>
          <w:rFonts w:ascii="Arial" w:hAnsi="Arial" w:cs="Arial"/>
        </w:rPr>
        <w:t xml:space="preserve">-based </w:t>
      </w:r>
      <w:r w:rsidR="001A3165">
        <w:rPr>
          <w:rFonts w:ascii="Arial" w:hAnsi="Arial" w:cs="Arial"/>
        </w:rPr>
        <w:t>therapy</w:t>
      </w:r>
      <w:r w:rsidR="001A3165" w:rsidRPr="00BC4784">
        <w:rPr>
          <w:rFonts w:ascii="Arial" w:hAnsi="Arial" w:cs="Arial"/>
        </w:rPr>
        <w:t xml:space="preserve"> </w:t>
      </w:r>
      <w:r w:rsidRPr="00BC4784">
        <w:rPr>
          <w:rFonts w:ascii="Arial" w:hAnsi="Arial" w:cs="Arial"/>
        </w:rPr>
        <w:t xml:space="preserve">is widely implemented. Our data support the recent revision to WHO guidelines recommending transition to dolutegravir </w:t>
      </w:r>
      <w:r w:rsidR="001E7EBC" w:rsidRPr="00BC4784">
        <w:rPr>
          <w:rFonts w:ascii="Arial" w:hAnsi="Arial" w:cs="Arial"/>
        </w:rPr>
        <w:t xml:space="preserve">in </w:t>
      </w:r>
      <w:r w:rsidRPr="00BC4784">
        <w:rPr>
          <w:rFonts w:ascii="Arial" w:hAnsi="Arial" w:cs="Arial"/>
        </w:rPr>
        <w:t xml:space="preserve">first line </w:t>
      </w:r>
      <w:r w:rsidR="001A3165" w:rsidRPr="00BC4784">
        <w:rPr>
          <w:rFonts w:ascii="Arial" w:hAnsi="Arial" w:cs="Arial"/>
        </w:rPr>
        <w:t xml:space="preserve">antiretroviral therapy </w:t>
      </w:r>
      <w:r w:rsidRPr="00BC4784">
        <w:rPr>
          <w:rFonts w:ascii="Arial" w:hAnsi="Arial" w:cs="Arial"/>
        </w:rPr>
        <w:t xml:space="preserve">for all adults, regardless of pregnancy or child-bearing potential. </w:t>
      </w:r>
    </w:p>
    <w:p w14:paraId="4AAB84A7" w14:textId="76890525" w:rsidR="008B309C" w:rsidRPr="00C308D3" w:rsidRDefault="008B309C" w:rsidP="009D58BF">
      <w:pPr>
        <w:spacing w:after="160" w:line="259" w:lineRule="auto"/>
        <w:rPr>
          <w:rFonts w:ascii="Arial" w:hAnsi="Arial" w:cs="Arial"/>
        </w:rPr>
      </w:pPr>
      <w:bookmarkStart w:id="1" w:name="IDX"/>
      <w:bookmarkEnd w:id="1"/>
    </w:p>
    <w:sectPr w:rsidR="008B309C" w:rsidRPr="00C308D3" w:rsidSect="00AE3CC5">
      <w:footerReference w:type="default" r:id="rId13"/>
      <w:pgSz w:w="11906" w:h="16838"/>
      <w:pgMar w:top="1135"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9DB7F" w14:textId="77777777" w:rsidR="009D2EE6" w:rsidRDefault="009D2EE6" w:rsidP="001D4C57">
      <w:r>
        <w:separator/>
      </w:r>
    </w:p>
  </w:endnote>
  <w:endnote w:type="continuationSeparator" w:id="0">
    <w:p w14:paraId="57416C98" w14:textId="77777777" w:rsidR="009D2EE6" w:rsidRDefault="009D2EE6" w:rsidP="001D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774542"/>
      <w:docPartObj>
        <w:docPartGallery w:val="Page Numbers (Bottom of Page)"/>
        <w:docPartUnique/>
      </w:docPartObj>
    </w:sdtPr>
    <w:sdtEndPr>
      <w:rPr>
        <w:noProof/>
      </w:rPr>
    </w:sdtEndPr>
    <w:sdtContent>
      <w:p w14:paraId="542BC65D" w14:textId="0DF3A210" w:rsidR="00045218" w:rsidRDefault="00045218">
        <w:pPr>
          <w:pStyle w:val="Footer"/>
          <w:jc w:val="right"/>
        </w:pPr>
        <w:r>
          <w:fldChar w:fldCharType="begin"/>
        </w:r>
        <w:r>
          <w:instrText xml:space="preserve"> PAGE   \* MERGEFORMAT </w:instrText>
        </w:r>
        <w:r>
          <w:fldChar w:fldCharType="separate"/>
        </w:r>
        <w:r w:rsidR="001A0ADE">
          <w:rPr>
            <w:noProof/>
          </w:rPr>
          <w:t>20</w:t>
        </w:r>
        <w:r>
          <w:rPr>
            <w:noProof/>
          </w:rPr>
          <w:fldChar w:fldCharType="end"/>
        </w:r>
      </w:p>
    </w:sdtContent>
  </w:sdt>
  <w:p w14:paraId="495E8FDF" w14:textId="77777777" w:rsidR="00045218" w:rsidRDefault="0004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48D0" w14:textId="77777777" w:rsidR="009D2EE6" w:rsidRDefault="009D2EE6" w:rsidP="001D4C57">
      <w:r>
        <w:separator/>
      </w:r>
    </w:p>
  </w:footnote>
  <w:footnote w:type="continuationSeparator" w:id="0">
    <w:p w14:paraId="7C1CACC4" w14:textId="77777777" w:rsidR="009D2EE6" w:rsidRDefault="009D2EE6" w:rsidP="001D4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23B"/>
    <w:multiLevelType w:val="hybridMultilevel"/>
    <w:tmpl w:val="CBD2ECF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256815"/>
    <w:multiLevelType w:val="hybridMultilevel"/>
    <w:tmpl w:val="5798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52155"/>
    <w:multiLevelType w:val="hybridMultilevel"/>
    <w:tmpl w:val="0D8AB608"/>
    <w:lvl w:ilvl="0" w:tplc="308EFC92">
      <w:start w:val="1"/>
      <w:numFmt w:val="decimal"/>
      <w:lvlText w:val="%1."/>
      <w:lvlJc w:val="left"/>
      <w:pPr>
        <w:ind w:left="780" w:hanging="42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43249"/>
    <w:multiLevelType w:val="hybridMultilevel"/>
    <w:tmpl w:val="4EEE6B8A"/>
    <w:lvl w:ilvl="0" w:tplc="C018E21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1E5FCD"/>
    <w:multiLevelType w:val="hybridMultilevel"/>
    <w:tmpl w:val="2CCC0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04DE7"/>
    <w:multiLevelType w:val="hybridMultilevel"/>
    <w:tmpl w:val="ED740164"/>
    <w:lvl w:ilvl="0" w:tplc="688648B6">
      <w:numFmt w:val="bullet"/>
      <w:lvlText w:val="•"/>
      <w:lvlJc w:val="left"/>
      <w:pPr>
        <w:ind w:left="718" w:hanging="576"/>
      </w:pPr>
      <w:rPr>
        <w:rFonts w:ascii="Calibri" w:eastAsiaTheme="minorHAnsi"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5B3C66B5"/>
    <w:multiLevelType w:val="hybridMultilevel"/>
    <w:tmpl w:val="D01EA420"/>
    <w:lvl w:ilvl="0" w:tplc="EEAA90BC">
      <w:start w:val="1"/>
      <w:numFmt w:val="bullet"/>
      <w:lvlText w:val=""/>
      <w:lvlJc w:val="left"/>
      <w:pPr>
        <w:tabs>
          <w:tab w:val="num" w:pos="720"/>
        </w:tabs>
        <w:ind w:left="720" w:hanging="360"/>
      </w:pPr>
      <w:rPr>
        <w:rFonts w:ascii="Wingdings" w:hAnsi="Wingdings" w:hint="default"/>
      </w:rPr>
    </w:lvl>
    <w:lvl w:ilvl="1" w:tplc="E0A6D2FA" w:tentative="1">
      <w:start w:val="1"/>
      <w:numFmt w:val="bullet"/>
      <w:lvlText w:val=""/>
      <w:lvlJc w:val="left"/>
      <w:pPr>
        <w:tabs>
          <w:tab w:val="num" w:pos="1440"/>
        </w:tabs>
        <w:ind w:left="1440" w:hanging="360"/>
      </w:pPr>
      <w:rPr>
        <w:rFonts w:ascii="Wingdings" w:hAnsi="Wingdings" w:hint="default"/>
      </w:rPr>
    </w:lvl>
    <w:lvl w:ilvl="2" w:tplc="61686A9C" w:tentative="1">
      <w:start w:val="1"/>
      <w:numFmt w:val="bullet"/>
      <w:lvlText w:val=""/>
      <w:lvlJc w:val="left"/>
      <w:pPr>
        <w:tabs>
          <w:tab w:val="num" w:pos="2160"/>
        </w:tabs>
        <w:ind w:left="2160" w:hanging="360"/>
      </w:pPr>
      <w:rPr>
        <w:rFonts w:ascii="Wingdings" w:hAnsi="Wingdings" w:hint="default"/>
      </w:rPr>
    </w:lvl>
    <w:lvl w:ilvl="3" w:tplc="46AA7C38" w:tentative="1">
      <w:start w:val="1"/>
      <w:numFmt w:val="bullet"/>
      <w:lvlText w:val=""/>
      <w:lvlJc w:val="left"/>
      <w:pPr>
        <w:tabs>
          <w:tab w:val="num" w:pos="2880"/>
        </w:tabs>
        <w:ind w:left="2880" w:hanging="360"/>
      </w:pPr>
      <w:rPr>
        <w:rFonts w:ascii="Wingdings" w:hAnsi="Wingdings" w:hint="default"/>
      </w:rPr>
    </w:lvl>
    <w:lvl w:ilvl="4" w:tplc="05DAED60" w:tentative="1">
      <w:start w:val="1"/>
      <w:numFmt w:val="bullet"/>
      <w:lvlText w:val=""/>
      <w:lvlJc w:val="left"/>
      <w:pPr>
        <w:tabs>
          <w:tab w:val="num" w:pos="3600"/>
        </w:tabs>
        <w:ind w:left="3600" w:hanging="360"/>
      </w:pPr>
      <w:rPr>
        <w:rFonts w:ascii="Wingdings" w:hAnsi="Wingdings" w:hint="default"/>
      </w:rPr>
    </w:lvl>
    <w:lvl w:ilvl="5" w:tplc="1F9ACA0C" w:tentative="1">
      <w:start w:val="1"/>
      <w:numFmt w:val="bullet"/>
      <w:lvlText w:val=""/>
      <w:lvlJc w:val="left"/>
      <w:pPr>
        <w:tabs>
          <w:tab w:val="num" w:pos="4320"/>
        </w:tabs>
        <w:ind w:left="4320" w:hanging="360"/>
      </w:pPr>
      <w:rPr>
        <w:rFonts w:ascii="Wingdings" w:hAnsi="Wingdings" w:hint="default"/>
      </w:rPr>
    </w:lvl>
    <w:lvl w:ilvl="6" w:tplc="AA96E2E4" w:tentative="1">
      <w:start w:val="1"/>
      <w:numFmt w:val="bullet"/>
      <w:lvlText w:val=""/>
      <w:lvlJc w:val="left"/>
      <w:pPr>
        <w:tabs>
          <w:tab w:val="num" w:pos="5040"/>
        </w:tabs>
        <w:ind w:left="5040" w:hanging="360"/>
      </w:pPr>
      <w:rPr>
        <w:rFonts w:ascii="Wingdings" w:hAnsi="Wingdings" w:hint="default"/>
      </w:rPr>
    </w:lvl>
    <w:lvl w:ilvl="7" w:tplc="D5465790" w:tentative="1">
      <w:start w:val="1"/>
      <w:numFmt w:val="bullet"/>
      <w:lvlText w:val=""/>
      <w:lvlJc w:val="left"/>
      <w:pPr>
        <w:tabs>
          <w:tab w:val="num" w:pos="5760"/>
        </w:tabs>
        <w:ind w:left="5760" w:hanging="360"/>
      </w:pPr>
      <w:rPr>
        <w:rFonts w:ascii="Wingdings" w:hAnsi="Wingdings" w:hint="default"/>
      </w:rPr>
    </w:lvl>
    <w:lvl w:ilvl="8" w:tplc="B7803D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756F1"/>
    <w:multiLevelType w:val="hybridMultilevel"/>
    <w:tmpl w:val="F88E2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85DA0"/>
    <w:multiLevelType w:val="multilevel"/>
    <w:tmpl w:val="2F6A52F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640A2D70"/>
    <w:multiLevelType w:val="hybridMultilevel"/>
    <w:tmpl w:val="B638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C1D7E"/>
    <w:multiLevelType w:val="hybridMultilevel"/>
    <w:tmpl w:val="63263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CC9777E"/>
    <w:multiLevelType w:val="hybridMultilevel"/>
    <w:tmpl w:val="C1962BB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7DD97BA6"/>
    <w:multiLevelType w:val="hybridMultilevel"/>
    <w:tmpl w:val="924E08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FF65E1D"/>
    <w:multiLevelType w:val="hybridMultilevel"/>
    <w:tmpl w:val="47666FC4"/>
    <w:lvl w:ilvl="0" w:tplc="3F1CA952">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9"/>
  </w:num>
  <w:num w:numId="5">
    <w:abstractNumId w:val="7"/>
  </w:num>
  <w:num w:numId="6">
    <w:abstractNumId w:val="4"/>
  </w:num>
  <w:num w:numId="7">
    <w:abstractNumId w:val="12"/>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psz0p0pyfexw5ew20r52evqp0svswad0das&quot;&gt;D2 New Primary&lt;record-ids&gt;&lt;item&gt;39&lt;/item&gt;&lt;/record-ids&gt;&lt;/item&gt;&lt;/Libraries&gt;"/>
  </w:docVars>
  <w:rsids>
    <w:rsidRoot w:val="00C138C3"/>
    <w:rsid w:val="00002ECE"/>
    <w:rsid w:val="0000510D"/>
    <w:rsid w:val="000122DF"/>
    <w:rsid w:val="00020091"/>
    <w:rsid w:val="000221DB"/>
    <w:rsid w:val="000228F2"/>
    <w:rsid w:val="0002484D"/>
    <w:rsid w:val="00025A74"/>
    <w:rsid w:val="00026271"/>
    <w:rsid w:val="000319DE"/>
    <w:rsid w:val="00034B8D"/>
    <w:rsid w:val="000432DD"/>
    <w:rsid w:val="0004385D"/>
    <w:rsid w:val="00045218"/>
    <w:rsid w:val="000467CD"/>
    <w:rsid w:val="00047181"/>
    <w:rsid w:val="00047D3A"/>
    <w:rsid w:val="00050492"/>
    <w:rsid w:val="00060174"/>
    <w:rsid w:val="000628B4"/>
    <w:rsid w:val="00064888"/>
    <w:rsid w:val="000656BC"/>
    <w:rsid w:val="000704A0"/>
    <w:rsid w:val="000722CC"/>
    <w:rsid w:val="000741D3"/>
    <w:rsid w:val="00077931"/>
    <w:rsid w:val="0008368C"/>
    <w:rsid w:val="00085133"/>
    <w:rsid w:val="000873FC"/>
    <w:rsid w:val="00093C11"/>
    <w:rsid w:val="00094711"/>
    <w:rsid w:val="000A3060"/>
    <w:rsid w:val="000B1D58"/>
    <w:rsid w:val="000B23CF"/>
    <w:rsid w:val="000B3C3A"/>
    <w:rsid w:val="000B75D6"/>
    <w:rsid w:val="000C3F9B"/>
    <w:rsid w:val="000C4608"/>
    <w:rsid w:val="000C4A86"/>
    <w:rsid w:val="000D1E15"/>
    <w:rsid w:val="000D306B"/>
    <w:rsid w:val="000D3D94"/>
    <w:rsid w:val="000D5B93"/>
    <w:rsid w:val="000E1632"/>
    <w:rsid w:val="000E1A1D"/>
    <w:rsid w:val="000E2DCB"/>
    <w:rsid w:val="000E4127"/>
    <w:rsid w:val="000F2A5C"/>
    <w:rsid w:val="0010000B"/>
    <w:rsid w:val="00104214"/>
    <w:rsid w:val="0010753D"/>
    <w:rsid w:val="001107FD"/>
    <w:rsid w:val="00112DE6"/>
    <w:rsid w:val="0011787F"/>
    <w:rsid w:val="0012066F"/>
    <w:rsid w:val="001214BD"/>
    <w:rsid w:val="001233E7"/>
    <w:rsid w:val="001243AD"/>
    <w:rsid w:val="00124A7B"/>
    <w:rsid w:val="00126327"/>
    <w:rsid w:val="00132BD4"/>
    <w:rsid w:val="00132D8F"/>
    <w:rsid w:val="00143841"/>
    <w:rsid w:val="00147F88"/>
    <w:rsid w:val="0015340D"/>
    <w:rsid w:val="00154FE8"/>
    <w:rsid w:val="00157637"/>
    <w:rsid w:val="00165479"/>
    <w:rsid w:val="001703B3"/>
    <w:rsid w:val="00172470"/>
    <w:rsid w:val="001741BF"/>
    <w:rsid w:val="0017568F"/>
    <w:rsid w:val="0017724C"/>
    <w:rsid w:val="00180F76"/>
    <w:rsid w:val="00190CF0"/>
    <w:rsid w:val="001940CB"/>
    <w:rsid w:val="00195E6E"/>
    <w:rsid w:val="00197969"/>
    <w:rsid w:val="001A0ADE"/>
    <w:rsid w:val="001A3165"/>
    <w:rsid w:val="001A43FA"/>
    <w:rsid w:val="001A480E"/>
    <w:rsid w:val="001A4941"/>
    <w:rsid w:val="001A7594"/>
    <w:rsid w:val="001B09A8"/>
    <w:rsid w:val="001B2402"/>
    <w:rsid w:val="001B2C4D"/>
    <w:rsid w:val="001B4E6D"/>
    <w:rsid w:val="001B6517"/>
    <w:rsid w:val="001C2252"/>
    <w:rsid w:val="001C5AEE"/>
    <w:rsid w:val="001D012C"/>
    <w:rsid w:val="001D4C57"/>
    <w:rsid w:val="001D7A93"/>
    <w:rsid w:val="001E182D"/>
    <w:rsid w:val="001E4C00"/>
    <w:rsid w:val="001E4EEF"/>
    <w:rsid w:val="001E7EBC"/>
    <w:rsid w:val="001F2CA0"/>
    <w:rsid w:val="001F7FA9"/>
    <w:rsid w:val="00201068"/>
    <w:rsid w:val="00205FA9"/>
    <w:rsid w:val="00206644"/>
    <w:rsid w:val="00210D7E"/>
    <w:rsid w:val="002116F9"/>
    <w:rsid w:val="0021626E"/>
    <w:rsid w:val="00217529"/>
    <w:rsid w:val="0022204D"/>
    <w:rsid w:val="002225E3"/>
    <w:rsid w:val="002229C4"/>
    <w:rsid w:val="002254B2"/>
    <w:rsid w:val="00225505"/>
    <w:rsid w:val="002347B6"/>
    <w:rsid w:val="00235160"/>
    <w:rsid w:val="0023708E"/>
    <w:rsid w:val="002378E1"/>
    <w:rsid w:val="00243CBA"/>
    <w:rsid w:val="002449FD"/>
    <w:rsid w:val="0025085E"/>
    <w:rsid w:val="002525E5"/>
    <w:rsid w:val="00263418"/>
    <w:rsid w:val="00263CC4"/>
    <w:rsid w:val="00267B2F"/>
    <w:rsid w:val="00271074"/>
    <w:rsid w:val="00272B3A"/>
    <w:rsid w:val="00291932"/>
    <w:rsid w:val="002919C3"/>
    <w:rsid w:val="00291FF3"/>
    <w:rsid w:val="002A684A"/>
    <w:rsid w:val="002A7A22"/>
    <w:rsid w:val="002B1DE2"/>
    <w:rsid w:val="002B36FF"/>
    <w:rsid w:val="002B4FC1"/>
    <w:rsid w:val="002B7618"/>
    <w:rsid w:val="002C0DD8"/>
    <w:rsid w:val="002C1576"/>
    <w:rsid w:val="002C1DEA"/>
    <w:rsid w:val="002C3030"/>
    <w:rsid w:val="002D07E0"/>
    <w:rsid w:val="002D12E7"/>
    <w:rsid w:val="002D2D8A"/>
    <w:rsid w:val="002D5A81"/>
    <w:rsid w:val="002E58ED"/>
    <w:rsid w:val="002E69C9"/>
    <w:rsid w:val="002F3B85"/>
    <w:rsid w:val="002F72A9"/>
    <w:rsid w:val="0030343A"/>
    <w:rsid w:val="00304828"/>
    <w:rsid w:val="0030791C"/>
    <w:rsid w:val="0031228B"/>
    <w:rsid w:val="00313FBA"/>
    <w:rsid w:val="00315074"/>
    <w:rsid w:val="003174FB"/>
    <w:rsid w:val="00321F29"/>
    <w:rsid w:val="00322395"/>
    <w:rsid w:val="003300BE"/>
    <w:rsid w:val="0033566C"/>
    <w:rsid w:val="00337939"/>
    <w:rsid w:val="00346F27"/>
    <w:rsid w:val="00354296"/>
    <w:rsid w:val="00357075"/>
    <w:rsid w:val="00362802"/>
    <w:rsid w:val="00365B38"/>
    <w:rsid w:val="00367101"/>
    <w:rsid w:val="0036738B"/>
    <w:rsid w:val="00367517"/>
    <w:rsid w:val="003779A9"/>
    <w:rsid w:val="0038095F"/>
    <w:rsid w:val="003810B0"/>
    <w:rsid w:val="0038365F"/>
    <w:rsid w:val="00387386"/>
    <w:rsid w:val="00392911"/>
    <w:rsid w:val="00392A6B"/>
    <w:rsid w:val="00393E4E"/>
    <w:rsid w:val="003A1D3F"/>
    <w:rsid w:val="003A1D48"/>
    <w:rsid w:val="003B0C3A"/>
    <w:rsid w:val="003B3ECD"/>
    <w:rsid w:val="003B6733"/>
    <w:rsid w:val="003C04D1"/>
    <w:rsid w:val="003C21A2"/>
    <w:rsid w:val="003C6471"/>
    <w:rsid w:val="003C6F98"/>
    <w:rsid w:val="003D0445"/>
    <w:rsid w:val="003D6946"/>
    <w:rsid w:val="003F5FB4"/>
    <w:rsid w:val="003F7EFA"/>
    <w:rsid w:val="00401BE6"/>
    <w:rsid w:val="00413259"/>
    <w:rsid w:val="00423E54"/>
    <w:rsid w:val="004246CA"/>
    <w:rsid w:val="00427D3C"/>
    <w:rsid w:val="00435046"/>
    <w:rsid w:val="004351D2"/>
    <w:rsid w:val="004367C2"/>
    <w:rsid w:val="00440E7A"/>
    <w:rsid w:val="00446456"/>
    <w:rsid w:val="00447E59"/>
    <w:rsid w:val="00450040"/>
    <w:rsid w:val="00454255"/>
    <w:rsid w:val="00454E93"/>
    <w:rsid w:val="00455A6B"/>
    <w:rsid w:val="00463979"/>
    <w:rsid w:val="00484696"/>
    <w:rsid w:val="004910FC"/>
    <w:rsid w:val="00492FA7"/>
    <w:rsid w:val="00497FFC"/>
    <w:rsid w:val="004A38BA"/>
    <w:rsid w:val="004A785C"/>
    <w:rsid w:val="004B4190"/>
    <w:rsid w:val="004B5497"/>
    <w:rsid w:val="004C69E8"/>
    <w:rsid w:val="004D3249"/>
    <w:rsid w:val="004D43A4"/>
    <w:rsid w:val="004D6A28"/>
    <w:rsid w:val="004E2FDA"/>
    <w:rsid w:val="004F1EC7"/>
    <w:rsid w:val="004F22C0"/>
    <w:rsid w:val="004F4188"/>
    <w:rsid w:val="004F418A"/>
    <w:rsid w:val="005010C7"/>
    <w:rsid w:val="005079F9"/>
    <w:rsid w:val="0051788D"/>
    <w:rsid w:val="00523C4E"/>
    <w:rsid w:val="0052526C"/>
    <w:rsid w:val="00525BE2"/>
    <w:rsid w:val="005319FC"/>
    <w:rsid w:val="00534BCA"/>
    <w:rsid w:val="005436EA"/>
    <w:rsid w:val="0055041A"/>
    <w:rsid w:val="005507FF"/>
    <w:rsid w:val="0055158D"/>
    <w:rsid w:val="0055187D"/>
    <w:rsid w:val="00551B69"/>
    <w:rsid w:val="00552880"/>
    <w:rsid w:val="00552A85"/>
    <w:rsid w:val="00553862"/>
    <w:rsid w:val="00567D61"/>
    <w:rsid w:val="005734E7"/>
    <w:rsid w:val="00577BA1"/>
    <w:rsid w:val="00580D91"/>
    <w:rsid w:val="00583C56"/>
    <w:rsid w:val="00585534"/>
    <w:rsid w:val="00586647"/>
    <w:rsid w:val="0058709F"/>
    <w:rsid w:val="00591D80"/>
    <w:rsid w:val="0059480A"/>
    <w:rsid w:val="00595960"/>
    <w:rsid w:val="005A13A0"/>
    <w:rsid w:val="005A4E46"/>
    <w:rsid w:val="005A5700"/>
    <w:rsid w:val="005A61D5"/>
    <w:rsid w:val="005B23AA"/>
    <w:rsid w:val="005B4600"/>
    <w:rsid w:val="005B4977"/>
    <w:rsid w:val="005B4B4D"/>
    <w:rsid w:val="005C00C5"/>
    <w:rsid w:val="005C0FA6"/>
    <w:rsid w:val="005C1EAE"/>
    <w:rsid w:val="005C244B"/>
    <w:rsid w:val="005C3AA3"/>
    <w:rsid w:val="005C7521"/>
    <w:rsid w:val="005D4162"/>
    <w:rsid w:val="005E04F7"/>
    <w:rsid w:val="005E61A8"/>
    <w:rsid w:val="005E7657"/>
    <w:rsid w:val="005F0890"/>
    <w:rsid w:val="005F1CD5"/>
    <w:rsid w:val="00600E07"/>
    <w:rsid w:val="006020CA"/>
    <w:rsid w:val="00604EE8"/>
    <w:rsid w:val="00611D72"/>
    <w:rsid w:val="00615D20"/>
    <w:rsid w:val="0062478A"/>
    <w:rsid w:val="00626FB4"/>
    <w:rsid w:val="00627AE1"/>
    <w:rsid w:val="00631733"/>
    <w:rsid w:val="00632BD3"/>
    <w:rsid w:val="00634344"/>
    <w:rsid w:val="00635814"/>
    <w:rsid w:val="006368EB"/>
    <w:rsid w:val="00643A4D"/>
    <w:rsid w:val="00643C0A"/>
    <w:rsid w:val="00643D36"/>
    <w:rsid w:val="00643FE5"/>
    <w:rsid w:val="00647163"/>
    <w:rsid w:val="00654FCD"/>
    <w:rsid w:val="006553A9"/>
    <w:rsid w:val="006601F4"/>
    <w:rsid w:val="00662453"/>
    <w:rsid w:val="006627BD"/>
    <w:rsid w:val="00663220"/>
    <w:rsid w:val="00664F78"/>
    <w:rsid w:val="006659A2"/>
    <w:rsid w:val="0067061B"/>
    <w:rsid w:val="00675C4A"/>
    <w:rsid w:val="0067750D"/>
    <w:rsid w:val="00687EBD"/>
    <w:rsid w:val="00687F8F"/>
    <w:rsid w:val="00696270"/>
    <w:rsid w:val="006A038A"/>
    <w:rsid w:val="006A16BF"/>
    <w:rsid w:val="006A49CB"/>
    <w:rsid w:val="006A652E"/>
    <w:rsid w:val="006B0F04"/>
    <w:rsid w:val="006B1517"/>
    <w:rsid w:val="006C27FD"/>
    <w:rsid w:val="006D1F42"/>
    <w:rsid w:val="006D6D75"/>
    <w:rsid w:val="006D7CBA"/>
    <w:rsid w:val="006E0BF2"/>
    <w:rsid w:val="006E2068"/>
    <w:rsid w:val="006E2E7B"/>
    <w:rsid w:val="006F5992"/>
    <w:rsid w:val="006F7440"/>
    <w:rsid w:val="007012AD"/>
    <w:rsid w:val="00702F95"/>
    <w:rsid w:val="007036FF"/>
    <w:rsid w:val="00706AD5"/>
    <w:rsid w:val="0070703E"/>
    <w:rsid w:val="00710FAC"/>
    <w:rsid w:val="00713E5A"/>
    <w:rsid w:val="007171D0"/>
    <w:rsid w:val="00717CAF"/>
    <w:rsid w:val="007210C3"/>
    <w:rsid w:val="00724D65"/>
    <w:rsid w:val="007303AD"/>
    <w:rsid w:val="0073114D"/>
    <w:rsid w:val="00734B64"/>
    <w:rsid w:val="00737653"/>
    <w:rsid w:val="00743306"/>
    <w:rsid w:val="007514AA"/>
    <w:rsid w:val="007543B1"/>
    <w:rsid w:val="00757362"/>
    <w:rsid w:val="00766FEA"/>
    <w:rsid w:val="00770C0E"/>
    <w:rsid w:val="007818B4"/>
    <w:rsid w:val="0078618E"/>
    <w:rsid w:val="007908EF"/>
    <w:rsid w:val="00795530"/>
    <w:rsid w:val="007A1638"/>
    <w:rsid w:val="007A2F9F"/>
    <w:rsid w:val="007A50CF"/>
    <w:rsid w:val="007B214A"/>
    <w:rsid w:val="007B48E8"/>
    <w:rsid w:val="007B5FA9"/>
    <w:rsid w:val="007B7334"/>
    <w:rsid w:val="007C084D"/>
    <w:rsid w:val="007C5B72"/>
    <w:rsid w:val="007C6245"/>
    <w:rsid w:val="007C62BE"/>
    <w:rsid w:val="007D4966"/>
    <w:rsid w:val="007D6F7E"/>
    <w:rsid w:val="007E37F1"/>
    <w:rsid w:val="007E6391"/>
    <w:rsid w:val="007F2631"/>
    <w:rsid w:val="007F270C"/>
    <w:rsid w:val="007F4D40"/>
    <w:rsid w:val="007F60EE"/>
    <w:rsid w:val="00802924"/>
    <w:rsid w:val="00805720"/>
    <w:rsid w:val="008111C8"/>
    <w:rsid w:val="00814D2D"/>
    <w:rsid w:val="00814DB0"/>
    <w:rsid w:val="00815107"/>
    <w:rsid w:val="00822609"/>
    <w:rsid w:val="00831E3D"/>
    <w:rsid w:val="00840AB2"/>
    <w:rsid w:val="00843D88"/>
    <w:rsid w:val="00855927"/>
    <w:rsid w:val="008564FC"/>
    <w:rsid w:val="008626DF"/>
    <w:rsid w:val="00865DAE"/>
    <w:rsid w:val="00866FFC"/>
    <w:rsid w:val="0087000C"/>
    <w:rsid w:val="00872E11"/>
    <w:rsid w:val="00873004"/>
    <w:rsid w:val="00873A73"/>
    <w:rsid w:val="00875B28"/>
    <w:rsid w:val="00880B59"/>
    <w:rsid w:val="00881686"/>
    <w:rsid w:val="00894AF9"/>
    <w:rsid w:val="00895C9D"/>
    <w:rsid w:val="00897649"/>
    <w:rsid w:val="008976FF"/>
    <w:rsid w:val="008A063B"/>
    <w:rsid w:val="008A4746"/>
    <w:rsid w:val="008A613E"/>
    <w:rsid w:val="008A663A"/>
    <w:rsid w:val="008A6805"/>
    <w:rsid w:val="008B146F"/>
    <w:rsid w:val="008B309C"/>
    <w:rsid w:val="008B50AF"/>
    <w:rsid w:val="008C0D79"/>
    <w:rsid w:val="008C3E5B"/>
    <w:rsid w:val="008C4DE7"/>
    <w:rsid w:val="008C7EC2"/>
    <w:rsid w:val="008D0C9A"/>
    <w:rsid w:val="008D649B"/>
    <w:rsid w:val="008E7B78"/>
    <w:rsid w:val="008F1F55"/>
    <w:rsid w:val="008F79A3"/>
    <w:rsid w:val="0090476F"/>
    <w:rsid w:val="009047E5"/>
    <w:rsid w:val="00904F2A"/>
    <w:rsid w:val="00906E12"/>
    <w:rsid w:val="00907B49"/>
    <w:rsid w:val="009211D3"/>
    <w:rsid w:val="009219E9"/>
    <w:rsid w:val="00924CA4"/>
    <w:rsid w:val="009252EA"/>
    <w:rsid w:val="0093092C"/>
    <w:rsid w:val="009351D8"/>
    <w:rsid w:val="009406A6"/>
    <w:rsid w:val="00944525"/>
    <w:rsid w:val="00951367"/>
    <w:rsid w:val="009526F1"/>
    <w:rsid w:val="00952975"/>
    <w:rsid w:val="009543BD"/>
    <w:rsid w:val="00954CA5"/>
    <w:rsid w:val="00956FB0"/>
    <w:rsid w:val="0096184F"/>
    <w:rsid w:val="00962D9F"/>
    <w:rsid w:val="00966C6D"/>
    <w:rsid w:val="00971DA4"/>
    <w:rsid w:val="00971E7D"/>
    <w:rsid w:val="00972F6B"/>
    <w:rsid w:val="00975618"/>
    <w:rsid w:val="00976090"/>
    <w:rsid w:val="00981AAD"/>
    <w:rsid w:val="00986CD0"/>
    <w:rsid w:val="00991BC0"/>
    <w:rsid w:val="009946FB"/>
    <w:rsid w:val="00996AAE"/>
    <w:rsid w:val="009A09D2"/>
    <w:rsid w:val="009B0AEC"/>
    <w:rsid w:val="009B22F7"/>
    <w:rsid w:val="009B66D2"/>
    <w:rsid w:val="009C0051"/>
    <w:rsid w:val="009C0599"/>
    <w:rsid w:val="009C3CDE"/>
    <w:rsid w:val="009C6A43"/>
    <w:rsid w:val="009D20E4"/>
    <w:rsid w:val="009D2EE6"/>
    <w:rsid w:val="009D58BF"/>
    <w:rsid w:val="009E0445"/>
    <w:rsid w:val="009E1BCA"/>
    <w:rsid w:val="009E5A07"/>
    <w:rsid w:val="009E5D83"/>
    <w:rsid w:val="009E6736"/>
    <w:rsid w:val="009E7E75"/>
    <w:rsid w:val="009F3114"/>
    <w:rsid w:val="009F387E"/>
    <w:rsid w:val="009F3BA8"/>
    <w:rsid w:val="009F696F"/>
    <w:rsid w:val="009F7192"/>
    <w:rsid w:val="00A04357"/>
    <w:rsid w:val="00A10C8B"/>
    <w:rsid w:val="00A11444"/>
    <w:rsid w:val="00A13226"/>
    <w:rsid w:val="00A223E3"/>
    <w:rsid w:val="00A22ADC"/>
    <w:rsid w:val="00A23A08"/>
    <w:rsid w:val="00A2665B"/>
    <w:rsid w:val="00A36E17"/>
    <w:rsid w:val="00A37C48"/>
    <w:rsid w:val="00A40BEF"/>
    <w:rsid w:val="00A413CD"/>
    <w:rsid w:val="00A44804"/>
    <w:rsid w:val="00A458A5"/>
    <w:rsid w:val="00A4710C"/>
    <w:rsid w:val="00A56B49"/>
    <w:rsid w:val="00A61E7A"/>
    <w:rsid w:val="00A6218C"/>
    <w:rsid w:val="00A66A04"/>
    <w:rsid w:val="00A67253"/>
    <w:rsid w:val="00A74F03"/>
    <w:rsid w:val="00A77C2A"/>
    <w:rsid w:val="00A77E62"/>
    <w:rsid w:val="00A81859"/>
    <w:rsid w:val="00A83D04"/>
    <w:rsid w:val="00A97A49"/>
    <w:rsid w:val="00A97A87"/>
    <w:rsid w:val="00A97EDF"/>
    <w:rsid w:val="00AA6D02"/>
    <w:rsid w:val="00AB43F9"/>
    <w:rsid w:val="00AB46CE"/>
    <w:rsid w:val="00AB507B"/>
    <w:rsid w:val="00AB53E0"/>
    <w:rsid w:val="00AC08D8"/>
    <w:rsid w:val="00AD3261"/>
    <w:rsid w:val="00AD7464"/>
    <w:rsid w:val="00AE0059"/>
    <w:rsid w:val="00AE1BD3"/>
    <w:rsid w:val="00AE3CC5"/>
    <w:rsid w:val="00AE45FE"/>
    <w:rsid w:val="00AF01E3"/>
    <w:rsid w:val="00AF1DE9"/>
    <w:rsid w:val="00AF4B47"/>
    <w:rsid w:val="00AF4E74"/>
    <w:rsid w:val="00AF60FF"/>
    <w:rsid w:val="00B01596"/>
    <w:rsid w:val="00B049B6"/>
    <w:rsid w:val="00B05D62"/>
    <w:rsid w:val="00B064D3"/>
    <w:rsid w:val="00B07BBB"/>
    <w:rsid w:val="00B105C1"/>
    <w:rsid w:val="00B1798E"/>
    <w:rsid w:val="00B20E66"/>
    <w:rsid w:val="00B2768A"/>
    <w:rsid w:val="00B32D81"/>
    <w:rsid w:val="00B33833"/>
    <w:rsid w:val="00B34803"/>
    <w:rsid w:val="00B352E6"/>
    <w:rsid w:val="00B37D7F"/>
    <w:rsid w:val="00B4218B"/>
    <w:rsid w:val="00B43515"/>
    <w:rsid w:val="00B43B2D"/>
    <w:rsid w:val="00B4715D"/>
    <w:rsid w:val="00B51B6C"/>
    <w:rsid w:val="00B51EC5"/>
    <w:rsid w:val="00B53CD1"/>
    <w:rsid w:val="00B55764"/>
    <w:rsid w:val="00B56977"/>
    <w:rsid w:val="00B57733"/>
    <w:rsid w:val="00B66B65"/>
    <w:rsid w:val="00B7124E"/>
    <w:rsid w:val="00B725C8"/>
    <w:rsid w:val="00B75F27"/>
    <w:rsid w:val="00B90074"/>
    <w:rsid w:val="00B94040"/>
    <w:rsid w:val="00B94B57"/>
    <w:rsid w:val="00B9528C"/>
    <w:rsid w:val="00B95DBE"/>
    <w:rsid w:val="00B95E51"/>
    <w:rsid w:val="00B97BA5"/>
    <w:rsid w:val="00BA4001"/>
    <w:rsid w:val="00BA54FD"/>
    <w:rsid w:val="00BA7513"/>
    <w:rsid w:val="00BB1049"/>
    <w:rsid w:val="00BB2241"/>
    <w:rsid w:val="00BB3AAA"/>
    <w:rsid w:val="00BB6349"/>
    <w:rsid w:val="00BB7BC7"/>
    <w:rsid w:val="00BC3907"/>
    <w:rsid w:val="00BC4784"/>
    <w:rsid w:val="00BC50EA"/>
    <w:rsid w:val="00BC73C9"/>
    <w:rsid w:val="00BD02F9"/>
    <w:rsid w:val="00BD17B0"/>
    <w:rsid w:val="00BD2C59"/>
    <w:rsid w:val="00BD2EE8"/>
    <w:rsid w:val="00BD5CEF"/>
    <w:rsid w:val="00BE0288"/>
    <w:rsid w:val="00BE1DFC"/>
    <w:rsid w:val="00BE7AEC"/>
    <w:rsid w:val="00BF0C16"/>
    <w:rsid w:val="00BF324B"/>
    <w:rsid w:val="00BF5BEE"/>
    <w:rsid w:val="00BF6DE5"/>
    <w:rsid w:val="00C01BD6"/>
    <w:rsid w:val="00C02998"/>
    <w:rsid w:val="00C033DF"/>
    <w:rsid w:val="00C03A53"/>
    <w:rsid w:val="00C05017"/>
    <w:rsid w:val="00C138C3"/>
    <w:rsid w:val="00C14202"/>
    <w:rsid w:val="00C16F25"/>
    <w:rsid w:val="00C2667D"/>
    <w:rsid w:val="00C308D3"/>
    <w:rsid w:val="00C3581D"/>
    <w:rsid w:val="00C37B18"/>
    <w:rsid w:val="00C40AAE"/>
    <w:rsid w:val="00C40B3C"/>
    <w:rsid w:val="00C5299D"/>
    <w:rsid w:val="00C60B33"/>
    <w:rsid w:val="00C61B15"/>
    <w:rsid w:val="00C62C54"/>
    <w:rsid w:val="00C65A1C"/>
    <w:rsid w:val="00C70CC7"/>
    <w:rsid w:val="00C72984"/>
    <w:rsid w:val="00C76FB5"/>
    <w:rsid w:val="00C77CDD"/>
    <w:rsid w:val="00C829F6"/>
    <w:rsid w:val="00C93452"/>
    <w:rsid w:val="00CA28E0"/>
    <w:rsid w:val="00CA3CF4"/>
    <w:rsid w:val="00CA70A8"/>
    <w:rsid w:val="00CB2B37"/>
    <w:rsid w:val="00CB32E9"/>
    <w:rsid w:val="00CC0EEE"/>
    <w:rsid w:val="00CC25F6"/>
    <w:rsid w:val="00CC52EC"/>
    <w:rsid w:val="00CC6FFA"/>
    <w:rsid w:val="00CD120F"/>
    <w:rsid w:val="00CD262A"/>
    <w:rsid w:val="00CD305F"/>
    <w:rsid w:val="00CD54E9"/>
    <w:rsid w:val="00CE0D83"/>
    <w:rsid w:val="00CE2C9A"/>
    <w:rsid w:val="00CF41AB"/>
    <w:rsid w:val="00CF6155"/>
    <w:rsid w:val="00D0041D"/>
    <w:rsid w:val="00D019AF"/>
    <w:rsid w:val="00D029A1"/>
    <w:rsid w:val="00D07C71"/>
    <w:rsid w:val="00D10D28"/>
    <w:rsid w:val="00D1251C"/>
    <w:rsid w:val="00D15B64"/>
    <w:rsid w:val="00D20197"/>
    <w:rsid w:val="00D27185"/>
    <w:rsid w:val="00D27D0E"/>
    <w:rsid w:val="00D31233"/>
    <w:rsid w:val="00D31A83"/>
    <w:rsid w:val="00D31BD2"/>
    <w:rsid w:val="00D32C1C"/>
    <w:rsid w:val="00D350A3"/>
    <w:rsid w:val="00D47931"/>
    <w:rsid w:val="00D47F20"/>
    <w:rsid w:val="00D613CF"/>
    <w:rsid w:val="00D727AD"/>
    <w:rsid w:val="00D8056F"/>
    <w:rsid w:val="00D81E46"/>
    <w:rsid w:val="00D8562A"/>
    <w:rsid w:val="00D92685"/>
    <w:rsid w:val="00D940FA"/>
    <w:rsid w:val="00D94B32"/>
    <w:rsid w:val="00DA0681"/>
    <w:rsid w:val="00DA1088"/>
    <w:rsid w:val="00DB066C"/>
    <w:rsid w:val="00DB42F2"/>
    <w:rsid w:val="00DB6499"/>
    <w:rsid w:val="00DB6E63"/>
    <w:rsid w:val="00DB7164"/>
    <w:rsid w:val="00DC0403"/>
    <w:rsid w:val="00DC707B"/>
    <w:rsid w:val="00DC76D1"/>
    <w:rsid w:val="00DD02CE"/>
    <w:rsid w:val="00DD1A27"/>
    <w:rsid w:val="00DD1EBA"/>
    <w:rsid w:val="00DD2427"/>
    <w:rsid w:val="00DD4284"/>
    <w:rsid w:val="00DE0480"/>
    <w:rsid w:val="00DE217E"/>
    <w:rsid w:val="00DE791F"/>
    <w:rsid w:val="00DF0E34"/>
    <w:rsid w:val="00DF150B"/>
    <w:rsid w:val="00DF45E7"/>
    <w:rsid w:val="00DF52BA"/>
    <w:rsid w:val="00E02BB7"/>
    <w:rsid w:val="00E04FA1"/>
    <w:rsid w:val="00E12D59"/>
    <w:rsid w:val="00E20712"/>
    <w:rsid w:val="00E2419B"/>
    <w:rsid w:val="00E274FF"/>
    <w:rsid w:val="00E359F9"/>
    <w:rsid w:val="00E3638C"/>
    <w:rsid w:val="00E4220F"/>
    <w:rsid w:val="00E45C11"/>
    <w:rsid w:val="00E469EE"/>
    <w:rsid w:val="00E62B11"/>
    <w:rsid w:val="00E64B42"/>
    <w:rsid w:val="00E6591F"/>
    <w:rsid w:val="00E6688D"/>
    <w:rsid w:val="00E70F13"/>
    <w:rsid w:val="00E718A0"/>
    <w:rsid w:val="00E72B25"/>
    <w:rsid w:val="00E73160"/>
    <w:rsid w:val="00E7467D"/>
    <w:rsid w:val="00E765CF"/>
    <w:rsid w:val="00E81D45"/>
    <w:rsid w:val="00E8423F"/>
    <w:rsid w:val="00E9226A"/>
    <w:rsid w:val="00E929B7"/>
    <w:rsid w:val="00E92FFD"/>
    <w:rsid w:val="00E97EB9"/>
    <w:rsid w:val="00EA2317"/>
    <w:rsid w:val="00EA76FD"/>
    <w:rsid w:val="00EB0E85"/>
    <w:rsid w:val="00EB13E1"/>
    <w:rsid w:val="00EB4DC7"/>
    <w:rsid w:val="00EC126B"/>
    <w:rsid w:val="00EC44AF"/>
    <w:rsid w:val="00EC4DBE"/>
    <w:rsid w:val="00EC4F70"/>
    <w:rsid w:val="00EC5141"/>
    <w:rsid w:val="00ED2798"/>
    <w:rsid w:val="00ED2AF6"/>
    <w:rsid w:val="00ED419A"/>
    <w:rsid w:val="00ED493F"/>
    <w:rsid w:val="00ED4BBC"/>
    <w:rsid w:val="00ED50AE"/>
    <w:rsid w:val="00ED52A1"/>
    <w:rsid w:val="00EE1F26"/>
    <w:rsid w:val="00EE6F09"/>
    <w:rsid w:val="00EF1E90"/>
    <w:rsid w:val="00EF50CC"/>
    <w:rsid w:val="00F0003C"/>
    <w:rsid w:val="00F0182B"/>
    <w:rsid w:val="00F019E4"/>
    <w:rsid w:val="00F02BD0"/>
    <w:rsid w:val="00F02ED0"/>
    <w:rsid w:val="00F0710B"/>
    <w:rsid w:val="00F1367E"/>
    <w:rsid w:val="00F22145"/>
    <w:rsid w:val="00F2507D"/>
    <w:rsid w:val="00F458EE"/>
    <w:rsid w:val="00F45D08"/>
    <w:rsid w:val="00F60263"/>
    <w:rsid w:val="00F60F29"/>
    <w:rsid w:val="00F62EA9"/>
    <w:rsid w:val="00F66553"/>
    <w:rsid w:val="00F669AA"/>
    <w:rsid w:val="00F701C9"/>
    <w:rsid w:val="00F71020"/>
    <w:rsid w:val="00F72441"/>
    <w:rsid w:val="00F82420"/>
    <w:rsid w:val="00F84C19"/>
    <w:rsid w:val="00F863BF"/>
    <w:rsid w:val="00F86A6E"/>
    <w:rsid w:val="00F9100A"/>
    <w:rsid w:val="00F92745"/>
    <w:rsid w:val="00F935CA"/>
    <w:rsid w:val="00F954AC"/>
    <w:rsid w:val="00F95BCC"/>
    <w:rsid w:val="00F96F8A"/>
    <w:rsid w:val="00FA1C6E"/>
    <w:rsid w:val="00FA6992"/>
    <w:rsid w:val="00FB1421"/>
    <w:rsid w:val="00FB2F8B"/>
    <w:rsid w:val="00FB313F"/>
    <w:rsid w:val="00FB7A58"/>
    <w:rsid w:val="00FC1F4A"/>
    <w:rsid w:val="00FC300F"/>
    <w:rsid w:val="00FC4637"/>
    <w:rsid w:val="00FC4E1C"/>
    <w:rsid w:val="00FD1174"/>
    <w:rsid w:val="00FD26E5"/>
    <w:rsid w:val="00FD3710"/>
    <w:rsid w:val="00FE2C4A"/>
    <w:rsid w:val="00FE2DE3"/>
    <w:rsid w:val="00FE78AD"/>
    <w:rsid w:val="00FF1B5E"/>
    <w:rsid w:val="00FF21FD"/>
    <w:rsid w:val="00FF2975"/>
    <w:rsid w:val="00FF3A23"/>
    <w:rsid w:val="00FF425C"/>
    <w:rsid w:val="00FF4A89"/>
    <w:rsid w:val="00FF5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29C4"/>
  <w15:docId w15:val="{36B2A23D-6DB3-4797-AE15-85387F6C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8C3"/>
    <w:pPr>
      <w:spacing w:after="0" w:line="240" w:lineRule="auto"/>
    </w:pPr>
    <w:rPr>
      <w:rFonts w:ascii="Calibri" w:hAnsi="Calibri" w:cs="Calibri"/>
    </w:rPr>
  </w:style>
  <w:style w:type="paragraph" w:styleId="Heading1">
    <w:name w:val="heading 1"/>
    <w:basedOn w:val="Normal"/>
    <w:link w:val="Heading1Char"/>
    <w:uiPriority w:val="9"/>
    <w:qFormat/>
    <w:rsid w:val="003B0C3A"/>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745"/>
    <w:pPr>
      <w:ind w:left="720"/>
      <w:contextualSpacing/>
    </w:pPr>
  </w:style>
  <w:style w:type="character" w:styleId="CommentReference">
    <w:name w:val="annotation reference"/>
    <w:basedOn w:val="DefaultParagraphFont"/>
    <w:uiPriority w:val="99"/>
    <w:semiHidden/>
    <w:unhideWhenUsed/>
    <w:rsid w:val="00BF324B"/>
    <w:rPr>
      <w:sz w:val="16"/>
      <w:szCs w:val="16"/>
    </w:rPr>
  </w:style>
  <w:style w:type="paragraph" w:styleId="CommentText">
    <w:name w:val="annotation text"/>
    <w:basedOn w:val="Normal"/>
    <w:link w:val="CommentTextChar"/>
    <w:uiPriority w:val="99"/>
    <w:semiHidden/>
    <w:unhideWhenUsed/>
    <w:rsid w:val="00BF324B"/>
    <w:rPr>
      <w:sz w:val="20"/>
      <w:szCs w:val="20"/>
    </w:rPr>
  </w:style>
  <w:style w:type="character" w:customStyle="1" w:styleId="CommentTextChar">
    <w:name w:val="Comment Text Char"/>
    <w:basedOn w:val="DefaultParagraphFont"/>
    <w:link w:val="CommentText"/>
    <w:uiPriority w:val="99"/>
    <w:semiHidden/>
    <w:rsid w:val="00BF32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324B"/>
    <w:rPr>
      <w:b/>
      <w:bCs/>
    </w:rPr>
  </w:style>
  <w:style w:type="character" w:customStyle="1" w:styleId="CommentSubjectChar">
    <w:name w:val="Comment Subject Char"/>
    <w:basedOn w:val="CommentTextChar"/>
    <w:link w:val="CommentSubject"/>
    <w:uiPriority w:val="99"/>
    <w:semiHidden/>
    <w:rsid w:val="00BF324B"/>
    <w:rPr>
      <w:rFonts w:ascii="Calibri" w:hAnsi="Calibri" w:cs="Calibri"/>
      <w:b/>
      <w:bCs/>
      <w:sz w:val="20"/>
      <w:szCs w:val="20"/>
    </w:rPr>
  </w:style>
  <w:style w:type="paragraph" w:styleId="BalloonText">
    <w:name w:val="Balloon Text"/>
    <w:basedOn w:val="Normal"/>
    <w:link w:val="BalloonTextChar"/>
    <w:uiPriority w:val="99"/>
    <w:semiHidden/>
    <w:unhideWhenUsed/>
    <w:rsid w:val="00BF3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4B"/>
    <w:rPr>
      <w:rFonts w:ascii="Segoe UI" w:hAnsi="Segoe UI" w:cs="Segoe UI"/>
      <w:sz w:val="18"/>
      <w:szCs w:val="18"/>
    </w:rPr>
  </w:style>
  <w:style w:type="character" w:styleId="Hyperlink">
    <w:name w:val="Hyperlink"/>
    <w:basedOn w:val="DefaultParagraphFont"/>
    <w:uiPriority w:val="99"/>
    <w:unhideWhenUsed/>
    <w:rsid w:val="007036FF"/>
    <w:rPr>
      <w:color w:val="0563C1" w:themeColor="hyperlink"/>
      <w:u w:val="single"/>
    </w:rPr>
  </w:style>
  <w:style w:type="character" w:styleId="Emphasis">
    <w:name w:val="Emphasis"/>
    <w:basedOn w:val="DefaultParagraphFont"/>
    <w:uiPriority w:val="20"/>
    <w:qFormat/>
    <w:rsid w:val="00981AAD"/>
    <w:rPr>
      <w:i/>
      <w:iCs/>
    </w:rPr>
  </w:style>
  <w:style w:type="paragraph" w:customStyle="1" w:styleId="Default">
    <w:name w:val="Default"/>
    <w:rsid w:val="003C04D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EndNoteBibliographyTitle">
    <w:name w:val="EndNote Bibliography Title"/>
    <w:basedOn w:val="Normal"/>
    <w:link w:val="EndNoteBibliographyTitleChar"/>
    <w:rsid w:val="00C40AAE"/>
    <w:pPr>
      <w:jc w:val="center"/>
    </w:pPr>
    <w:rPr>
      <w:noProof/>
    </w:rPr>
  </w:style>
  <w:style w:type="character" w:customStyle="1" w:styleId="EndNoteBibliographyTitleChar">
    <w:name w:val="EndNote Bibliography Title Char"/>
    <w:basedOn w:val="DefaultParagraphFont"/>
    <w:link w:val="EndNoteBibliographyTitle"/>
    <w:rsid w:val="00C40AAE"/>
    <w:rPr>
      <w:rFonts w:ascii="Calibri" w:hAnsi="Calibri" w:cs="Calibri"/>
      <w:noProof/>
    </w:rPr>
  </w:style>
  <w:style w:type="paragraph" w:customStyle="1" w:styleId="EndNoteBibliography">
    <w:name w:val="EndNote Bibliography"/>
    <w:basedOn w:val="Normal"/>
    <w:link w:val="EndNoteBibliographyChar"/>
    <w:rsid w:val="00C40AAE"/>
    <w:rPr>
      <w:noProof/>
    </w:rPr>
  </w:style>
  <w:style w:type="character" w:customStyle="1" w:styleId="EndNoteBibliographyChar">
    <w:name w:val="EndNote Bibliography Char"/>
    <w:basedOn w:val="DefaultParagraphFont"/>
    <w:link w:val="EndNoteBibliography"/>
    <w:rsid w:val="00C40AAE"/>
    <w:rPr>
      <w:rFonts w:ascii="Calibri" w:hAnsi="Calibri" w:cs="Calibri"/>
      <w:noProof/>
    </w:rPr>
  </w:style>
  <w:style w:type="character" w:customStyle="1" w:styleId="mixed-citation">
    <w:name w:val="mixed-citation"/>
    <w:basedOn w:val="DefaultParagraphFont"/>
    <w:rsid w:val="003B0C3A"/>
  </w:style>
  <w:style w:type="character" w:customStyle="1" w:styleId="ref-journal">
    <w:name w:val="ref-journal"/>
    <w:basedOn w:val="DefaultParagraphFont"/>
    <w:rsid w:val="003B0C3A"/>
  </w:style>
  <w:style w:type="character" w:customStyle="1" w:styleId="Heading1Char">
    <w:name w:val="Heading 1 Char"/>
    <w:basedOn w:val="DefaultParagraphFont"/>
    <w:link w:val="Heading1"/>
    <w:uiPriority w:val="9"/>
    <w:rsid w:val="003B0C3A"/>
    <w:rPr>
      <w:rFonts w:ascii="Times New Roman" w:eastAsia="Times New Roman" w:hAnsi="Times New Roman" w:cs="Times New Roman"/>
      <w:b/>
      <w:bCs/>
      <w:kern w:val="36"/>
      <w:sz w:val="48"/>
      <w:szCs w:val="48"/>
      <w:lang w:val="en-GB" w:eastAsia="en-GB"/>
    </w:rPr>
  </w:style>
  <w:style w:type="character" w:styleId="FollowedHyperlink">
    <w:name w:val="FollowedHyperlink"/>
    <w:basedOn w:val="DefaultParagraphFont"/>
    <w:uiPriority w:val="99"/>
    <w:semiHidden/>
    <w:unhideWhenUsed/>
    <w:rsid w:val="002E58ED"/>
    <w:rPr>
      <w:color w:val="954F72" w:themeColor="followedHyperlink"/>
      <w:u w:val="single"/>
    </w:rPr>
  </w:style>
  <w:style w:type="character" w:customStyle="1" w:styleId="titleseparator">
    <w:name w:val="titleseparator"/>
    <w:basedOn w:val="DefaultParagraphFont"/>
    <w:rsid w:val="00B049B6"/>
  </w:style>
  <w:style w:type="character" w:customStyle="1" w:styleId="Subtitle1">
    <w:name w:val="Subtitle1"/>
    <w:basedOn w:val="DefaultParagraphFont"/>
    <w:rsid w:val="00B049B6"/>
  </w:style>
  <w:style w:type="paragraph" w:styleId="Revision">
    <w:name w:val="Revision"/>
    <w:hidden/>
    <w:uiPriority w:val="99"/>
    <w:semiHidden/>
    <w:rsid w:val="005A5700"/>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93092C"/>
    <w:rPr>
      <w:color w:val="605E5C"/>
      <w:shd w:val="clear" w:color="auto" w:fill="E1DFDD"/>
    </w:rPr>
  </w:style>
  <w:style w:type="paragraph" w:styleId="Header">
    <w:name w:val="header"/>
    <w:basedOn w:val="Normal"/>
    <w:link w:val="HeaderChar"/>
    <w:uiPriority w:val="99"/>
    <w:unhideWhenUsed/>
    <w:rsid w:val="001D4C57"/>
    <w:pPr>
      <w:tabs>
        <w:tab w:val="center" w:pos="4513"/>
        <w:tab w:val="right" w:pos="9026"/>
      </w:tabs>
    </w:pPr>
  </w:style>
  <w:style w:type="character" w:customStyle="1" w:styleId="HeaderChar">
    <w:name w:val="Header Char"/>
    <w:basedOn w:val="DefaultParagraphFont"/>
    <w:link w:val="Header"/>
    <w:uiPriority w:val="99"/>
    <w:rsid w:val="001D4C57"/>
    <w:rPr>
      <w:rFonts w:ascii="Calibri" w:hAnsi="Calibri" w:cs="Calibri"/>
    </w:rPr>
  </w:style>
  <w:style w:type="paragraph" w:styleId="Footer">
    <w:name w:val="footer"/>
    <w:basedOn w:val="Normal"/>
    <w:link w:val="FooterChar"/>
    <w:uiPriority w:val="99"/>
    <w:unhideWhenUsed/>
    <w:rsid w:val="001D4C57"/>
    <w:pPr>
      <w:tabs>
        <w:tab w:val="center" w:pos="4513"/>
        <w:tab w:val="right" w:pos="9026"/>
      </w:tabs>
    </w:pPr>
  </w:style>
  <w:style w:type="character" w:customStyle="1" w:styleId="FooterChar">
    <w:name w:val="Footer Char"/>
    <w:basedOn w:val="DefaultParagraphFont"/>
    <w:link w:val="Footer"/>
    <w:uiPriority w:val="99"/>
    <w:rsid w:val="001D4C57"/>
    <w:rPr>
      <w:rFonts w:ascii="Calibri" w:hAnsi="Calibri" w:cs="Calibri"/>
    </w:rPr>
  </w:style>
  <w:style w:type="table" w:styleId="TableGrid">
    <w:name w:val="Table Grid"/>
    <w:basedOn w:val="TableNormal"/>
    <w:uiPriority w:val="39"/>
    <w:rsid w:val="00B37D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802">
      <w:bodyDiv w:val="1"/>
      <w:marLeft w:val="0"/>
      <w:marRight w:val="0"/>
      <w:marTop w:val="0"/>
      <w:marBottom w:val="0"/>
      <w:divBdr>
        <w:top w:val="none" w:sz="0" w:space="0" w:color="auto"/>
        <w:left w:val="none" w:sz="0" w:space="0" w:color="auto"/>
        <w:bottom w:val="none" w:sz="0" w:space="0" w:color="auto"/>
        <w:right w:val="none" w:sz="0" w:space="0" w:color="auto"/>
      </w:divBdr>
    </w:div>
    <w:div w:id="41100294">
      <w:bodyDiv w:val="1"/>
      <w:marLeft w:val="0"/>
      <w:marRight w:val="0"/>
      <w:marTop w:val="0"/>
      <w:marBottom w:val="0"/>
      <w:divBdr>
        <w:top w:val="none" w:sz="0" w:space="0" w:color="auto"/>
        <w:left w:val="none" w:sz="0" w:space="0" w:color="auto"/>
        <w:bottom w:val="none" w:sz="0" w:space="0" w:color="auto"/>
        <w:right w:val="none" w:sz="0" w:space="0" w:color="auto"/>
      </w:divBdr>
    </w:div>
    <w:div w:id="159319931">
      <w:bodyDiv w:val="1"/>
      <w:marLeft w:val="0"/>
      <w:marRight w:val="0"/>
      <w:marTop w:val="0"/>
      <w:marBottom w:val="0"/>
      <w:divBdr>
        <w:top w:val="none" w:sz="0" w:space="0" w:color="auto"/>
        <w:left w:val="none" w:sz="0" w:space="0" w:color="auto"/>
        <w:bottom w:val="none" w:sz="0" w:space="0" w:color="auto"/>
        <w:right w:val="none" w:sz="0" w:space="0" w:color="auto"/>
      </w:divBdr>
    </w:div>
    <w:div w:id="277876346">
      <w:bodyDiv w:val="1"/>
      <w:marLeft w:val="0"/>
      <w:marRight w:val="0"/>
      <w:marTop w:val="0"/>
      <w:marBottom w:val="0"/>
      <w:divBdr>
        <w:top w:val="none" w:sz="0" w:space="0" w:color="auto"/>
        <w:left w:val="none" w:sz="0" w:space="0" w:color="auto"/>
        <w:bottom w:val="none" w:sz="0" w:space="0" w:color="auto"/>
        <w:right w:val="none" w:sz="0" w:space="0" w:color="auto"/>
      </w:divBdr>
      <w:divsChild>
        <w:div w:id="200478204">
          <w:marLeft w:val="0"/>
          <w:marRight w:val="1"/>
          <w:marTop w:val="0"/>
          <w:marBottom w:val="0"/>
          <w:divBdr>
            <w:top w:val="none" w:sz="0" w:space="0" w:color="auto"/>
            <w:left w:val="none" w:sz="0" w:space="0" w:color="auto"/>
            <w:bottom w:val="none" w:sz="0" w:space="0" w:color="auto"/>
            <w:right w:val="none" w:sz="0" w:space="0" w:color="auto"/>
          </w:divBdr>
          <w:divsChild>
            <w:div w:id="2099982907">
              <w:marLeft w:val="0"/>
              <w:marRight w:val="0"/>
              <w:marTop w:val="0"/>
              <w:marBottom w:val="0"/>
              <w:divBdr>
                <w:top w:val="none" w:sz="0" w:space="0" w:color="auto"/>
                <w:left w:val="none" w:sz="0" w:space="0" w:color="auto"/>
                <w:bottom w:val="none" w:sz="0" w:space="0" w:color="auto"/>
                <w:right w:val="none" w:sz="0" w:space="0" w:color="auto"/>
              </w:divBdr>
              <w:divsChild>
                <w:div w:id="129396530">
                  <w:marLeft w:val="0"/>
                  <w:marRight w:val="1"/>
                  <w:marTop w:val="0"/>
                  <w:marBottom w:val="0"/>
                  <w:divBdr>
                    <w:top w:val="none" w:sz="0" w:space="0" w:color="auto"/>
                    <w:left w:val="none" w:sz="0" w:space="0" w:color="auto"/>
                    <w:bottom w:val="none" w:sz="0" w:space="0" w:color="auto"/>
                    <w:right w:val="none" w:sz="0" w:space="0" w:color="auto"/>
                  </w:divBdr>
                  <w:divsChild>
                    <w:div w:id="1196237383">
                      <w:marLeft w:val="0"/>
                      <w:marRight w:val="0"/>
                      <w:marTop w:val="0"/>
                      <w:marBottom w:val="0"/>
                      <w:divBdr>
                        <w:top w:val="none" w:sz="0" w:space="0" w:color="auto"/>
                        <w:left w:val="none" w:sz="0" w:space="0" w:color="auto"/>
                        <w:bottom w:val="none" w:sz="0" w:space="0" w:color="auto"/>
                        <w:right w:val="none" w:sz="0" w:space="0" w:color="auto"/>
                      </w:divBdr>
                      <w:divsChild>
                        <w:div w:id="1101990214">
                          <w:marLeft w:val="0"/>
                          <w:marRight w:val="0"/>
                          <w:marTop w:val="0"/>
                          <w:marBottom w:val="0"/>
                          <w:divBdr>
                            <w:top w:val="none" w:sz="0" w:space="0" w:color="auto"/>
                            <w:left w:val="none" w:sz="0" w:space="0" w:color="auto"/>
                            <w:bottom w:val="none" w:sz="0" w:space="0" w:color="auto"/>
                            <w:right w:val="none" w:sz="0" w:space="0" w:color="auto"/>
                          </w:divBdr>
                          <w:divsChild>
                            <w:div w:id="1557087906">
                              <w:marLeft w:val="0"/>
                              <w:marRight w:val="0"/>
                              <w:marTop w:val="120"/>
                              <w:marBottom w:val="360"/>
                              <w:divBdr>
                                <w:top w:val="none" w:sz="0" w:space="0" w:color="auto"/>
                                <w:left w:val="none" w:sz="0" w:space="0" w:color="auto"/>
                                <w:bottom w:val="none" w:sz="0" w:space="0" w:color="auto"/>
                                <w:right w:val="none" w:sz="0" w:space="0" w:color="auto"/>
                              </w:divBdr>
                              <w:divsChild>
                                <w:div w:id="1096483606">
                                  <w:marLeft w:val="0"/>
                                  <w:marRight w:val="0"/>
                                  <w:marTop w:val="0"/>
                                  <w:marBottom w:val="0"/>
                                  <w:divBdr>
                                    <w:top w:val="none" w:sz="0" w:space="0" w:color="auto"/>
                                    <w:left w:val="none" w:sz="0" w:space="0" w:color="auto"/>
                                    <w:bottom w:val="none" w:sz="0" w:space="0" w:color="auto"/>
                                    <w:right w:val="none" w:sz="0" w:space="0" w:color="auto"/>
                                  </w:divBdr>
                                  <w:divsChild>
                                    <w:div w:id="3616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742634">
      <w:bodyDiv w:val="1"/>
      <w:marLeft w:val="0"/>
      <w:marRight w:val="0"/>
      <w:marTop w:val="0"/>
      <w:marBottom w:val="0"/>
      <w:divBdr>
        <w:top w:val="none" w:sz="0" w:space="0" w:color="auto"/>
        <w:left w:val="none" w:sz="0" w:space="0" w:color="auto"/>
        <w:bottom w:val="none" w:sz="0" w:space="0" w:color="auto"/>
        <w:right w:val="none" w:sz="0" w:space="0" w:color="auto"/>
      </w:divBdr>
    </w:div>
    <w:div w:id="631636287">
      <w:bodyDiv w:val="1"/>
      <w:marLeft w:val="0"/>
      <w:marRight w:val="0"/>
      <w:marTop w:val="0"/>
      <w:marBottom w:val="0"/>
      <w:divBdr>
        <w:top w:val="none" w:sz="0" w:space="0" w:color="auto"/>
        <w:left w:val="none" w:sz="0" w:space="0" w:color="auto"/>
        <w:bottom w:val="none" w:sz="0" w:space="0" w:color="auto"/>
        <w:right w:val="none" w:sz="0" w:space="0" w:color="auto"/>
      </w:divBdr>
    </w:div>
    <w:div w:id="792209018">
      <w:bodyDiv w:val="1"/>
      <w:marLeft w:val="0"/>
      <w:marRight w:val="0"/>
      <w:marTop w:val="0"/>
      <w:marBottom w:val="0"/>
      <w:divBdr>
        <w:top w:val="none" w:sz="0" w:space="0" w:color="auto"/>
        <w:left w:val="none" w:sz="0" w:space="0" w:color="auto"/>
        <w:bottom w:val="none" w:sz="0" w:space="0" w:color="auto"/>
        <w:right w:val="none" w:sz="0" w:space="0" w:color="auto"/>
      </w:divBdr>
      <w:divsChild>
        <w:div w:id="417531124">
          <w:marLeft w:val="360"/>
          <w:marRight w:val="0"/>
          <w:marTop w:val="240"/>
          <w:marBottom w:val="240"/>
          <w:divBdr>
            <w:top w:val="none" w:sz="0" w:space="0" w:color="auto"/>
            <w:left w:val="none" w:sz="0" w:space="0" w:color="auto"/>
            <w:bottom w:val="none" w:sz="0" w:space="0" w:color="auto"/>
            <w:right w:val="none" w:sz="0" w:space="0" w:color="auto"/>
          </w:divBdr>
        </w:div>
        <w:div w:id="933783919">
          <w:marLeft w:val="360"/>
          <w:marRight w:val="0"/>
          <w:marTop w:val="240"/>
          <w:marBottom w:val="240"/>
          <w:divBdr>
            <w:top w:val="none" w:sz="0" w:space="0" w:color="auto"/>
            <w:left w:val="none" w:sz="0" w:space="0" w:color="auto"/>
            <w:bottom w:val="none" w:sz="0" w:space="0" w:color="auto"/>
            <w:right w:val="none" w:sz="0" w:space="0" w:color="auto"/>
          </w:divBdr>
        </w:div>
        <w:div w:id="2121992086">
          <w:marLeft w:val="360"/>
          <w:marRight w:val="0"/>
          <w:marTop w:val="240"/>
          <w:marBottom w:val="240"/>
          <w:divBdr>
            <w:top w:val="none" w:sz="0" w:space="0" w:color="auto"/>
            <w:left w:val="none" w:sz="0" w:space="0" w:color="auto"/>
            <w:bottom w:val="none" w:sz="0" w:space="0" w:color="auto"/>
            <w:right w:val="none" w:sz="0" w:space="0" w:color="auto"/>
          </w:divBdr>
        </w:div>
        <w:div w:id="650016767">
          <w:marLeft w:val="360"/>
          <w:marRight w:val="0"/>
          <w:marTop w:val="240"/>
          <w:marBottom w:val="240"/>
          <w:divBdr>
            <w:top w:val="none" w:sz="0" w:space="0" w:color="auto"/>
            <w:left w:val="none" w:sz="0" w:space="0" w:color="auto"/>
            <w:bottom w:val="none" w:sz="0" w:space="0" w:color="auto"/>
            <w:right w:val="none" w:sz="0" w:space="0" w:color="auto"/>
          </w:divBdr>
        </w:div>
      </w:divsChild>
    </w:div>
    <w:div w:id="824051074">
      <w:bodyDiv w:val="1"/>
      <w:marLeft w:val="0"/>
      <w:marRight w:val="0"/>
      <w:marTop w:val="0"/>
      <w:marBottom w:val="0"/>
      <w:divBdr>
        <w:top w:val="none" w:sz="0" w:space="0" w:color="auto"/>
        <w:left w:val="none" w:sz="0" w:space="0" w:color="auto"/>
        <w:bottom w:val="none" w:sz="0" w:space="0" w:color="auto"/>
        <w:right w:val="none" w:sz="0" w:space="0" w:color="auto"/>
      </w:divBdr>
    </w:div>
    <w:div w:id="867909448">
      <w:bodyDiv w:val="1"/>
      <w:marLeft w:val="0"/>
      <w:marRight w:val="0"/>
      <w:marTop w:val="0"/>
      <w:marBottom w:val="0"/>
      <w:divBdr>
        <w:top w:val="none" w:sz="0" w:space="0" w:color="auto"/>
        <w:left w:val="none" w:sz="0" w:space="0" w:color="auto"/>
        <w:bottom w:val="none" w:sz="0" w:space="0" w:color="auto"/>
        <w:right w:val="none" w:sz="0" w:space="0" w:color="auto"/>
      </w:divBdr>
    </w:div>
    <w:div w:id="868572401">
      <w:bodyDiv w:val="1"/>
      <w:marLeft w:val="0"/>
      <w:marRight w:val="0"/>
      <w:marTop w:val="0"/>
      <w:marBottom w:val="0"/>
      <w:divBdr>
        <w:top w:val="none" w:sz="0" w:space="0" w:color="auto"/>
        <w:left w:val="none" w:sz="0" w:space="0" w:color="auto"/>
        <w:bottom w:val="none" w:sz="0" w:space="0" w:color="auto"/>
        <w:right w:val="none" w:sz="0" w:space="0" w:color="auto"/>
      </w:divBdr>
    </w:div>
    <w:div w:id="1013337337">
      <w:bodyDiv w:val="1"/>
      <w:marLeft w:val="0"/>
      <w:marRight w:val="0"/>
      <w:marTop w:val="0"/>
      <w:marBottom w:val="0"/>
      <w:divBdr>
        <w:top w:val="none" w:sz="0" w:space="0" w:color="auto"/>
        <w:left w:val="none" w:sz="0" w:space="0" w:color="auto"/>
        <w:bottom w:val="none" w:sz="0" w:space="0" w:color="auto"/>
        <w:right w:val="none" w:sz="0" w:space="0" w:color="auto"/>
      </w:divBdr>
      <w:divsChild>
        <w:div w:id="2109109785">
          <w:marLeft w:val="0"/>
          <w:marRight w:val="1"/>
          <w:marTop w:val="0"/>
          <w:marBottom w:val="0"/>
          <w:divBdr>
            <w:top w:val="none" w:sz="0" w:space="0" w:color="auto"/>
            <w:left w:val="none" w:sz="0" w:space="0" w:color="auto"/>
            <w:bottom w:val="none" w:sz="0" w:space="0" w:color="auto"/>
            <w:right w:val="none" w:sz="0" w:space="0" w:color="auto"/>
          </w:divBdr>
          <w:divsChild>
            <w:div w:id="1629624041">
              <w:marLeft w:val="0"/>
              <w:marRight w:val="0"/>
              <w:marTop w:val="0"/>
              <w:marBottom w:val="0"/>
              <w:divBdr>
                <w:top w:val="none" w:sz="0" w:space="0" w:color="auto"/>
                <w:left w:val="none" w:sz="0" w:space="0" w:color="auto"/>
                <w:bottom w:val="none" w:sz="0" w:space="0" w:color="auto"/>
                <w:right w:val="none" w:sz="0" w:space="0" w:color="auto"/>
              </w:divBdr>
              <w:divsChild>
                <w:div w:id="643000320">
                  <w:marLeft w:val="0"/>
                  <w:marRight w:val="1"/>
                  <w:marTop w:val="0"/>
                  <w:marBottom w:val="0"/>
                  <w:divBdr>
                    <w:top w:val="none" w:sz="0" w:space="0" w:color="auto"/>
                    <w:left w:val="none" w:sz="0" w:space="0" w:color="auto"/>
                    <w:bottom w:val="none" w:sz="0" w:space="0" w:color="auto"/>
                    <w:right w:val="none" w:sz="0" w:space="0" w:color="auto"/>
                  </w:divBdr>
                  <w:divsChild>
                    <w:div w:id="553389184">
                      <w:marLeft w:val="0"/>
                      <w:marRight w:val="0"/>
                      <w:marTop w:val="0"/>
                      <w:marBottom w:val="0"/>
                      <w:divBdr>
                        <w:top w:val="none" w:sz="0" w:space="0" w:color="auto"/>
                        <w:left w:val="none" w:sz="0" w:space="0" w:color="auto"/>
                        <w:bottom w:val="none" w:sz="0" w:space="0" w:color="auto"/>
                        <w:right w:val="none" w:sz="0" w:space="0" w:color="auto"/>
                      </w:divBdr>
                      <w:divsChild>
                        <w:div w:id="299044762">
                          <w:marLeft w:val="0"/>
                          <w:marRight w:val="0"/>
                          <w:marTop w:val="0"/>
                          <w:marBottom w:val="0"/>
                          <w:divBdr>
                            <w:top w:val="none" w:sz="0" w:space="0" w:color="auto"/>
                            <w:left w:val="none" w:sz="0" w:space="0" w:color="auto"/>
                            <w:bottom w:val="none" w:sz="0" w:space="0" w:color="auto"/>
                            <w:right w:val="none" w:sz="0" w:space="0" w:color="auto"/>
                          </w:divBdr>
                          <w:divsChild>
                            <w:div w:id="951589947">
                              <w:marLeft w:val="0"/>
                              <w:marRight w:val="0"/>
                              <w:marTop w:val="120"/>
                              <w:marBottom w:val="360"/>
                              <w:divBdr>
                                <w:top w:val="none" w:sz="0" w:space="0" w:color="auto"/>
                                <w:left w:val="none" w:sz="0" w:space="0" w:color="auto"/>
                                <w:bottom w:val="none" w:sz="0" w:space="0" w:color="auto"/>
                                <w:right w:val="none" w:sz="0" w:space="0" w:color="auto"/>
                              </w:divBdr>
                              <w:divsChild>
                                <w:div w:id="445589491">
                                  <w:marLeft w:val="0"/>
                                  <w:marRight w:val="0"/>
                                  <w:marTop w:val="0"/>
                                  <w:marBottom w:val="0"/>
                                  <w:divBdr>
                                    <w:top w:val="none" w:sz="0" w:space="0" w:color="auto"/>
                                    <w:left w:val="none" w:sz="0" w:space="0" w:color="auto"/>
                                    <w:bottom w:val="none" w:sz="0" w:space="0" w:color="auto"/>
                                    <w:right w:val="none" w:sz="0" w:space="0" w:color="auto"/>
                                  </w:divBdr>
                                  <w:divsChild>
                                    <w:div w:id="273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181459">
      <w:bodyDiv w:val="1"/>
      <w:marLeft w:val="0"/>
      <w:marRight w:val="0"/>
      <w:marTop w:val="0"/>
      <w:marBottom w:val="0"/>
      <w:divBdr>
        <w:top w:val="none" w:sz="0" w:space="0" w:color="auto"/>
        <w:left w:val="none" w:sz="0" w:space="0" w:color="auto"/>
        <w:bottom w:val="none" w:sz="0" w:space="0" w:color="auto"/>
        <w:right w:val="none" w:sz="0" w:space="0" w:color="auto"/>
      </w:divBdr>
    </w:div>
    <w:div w:id="1068457492">
      <w:bodyDiv w:val="1"/>
      <w:marLeft w:val="0"/>
      <w:marRight w:val="0"/>
      <w:marTop w:val="0"/>
      <w:marBottom w:val="0"/>
      <w:divBdr>
        <w:top w:val="none" w:sz="0" w:space="0" w:color="auto"/>
        <w:left w:val="none" w:sz="0" w:space="0" w:color="auto"/>
        <w:bottom w:val="none" w:sz="0" w:space="0" w:color="auto"/>
        <w:right w:val="none" w:sz="0" w:space="0" w:color="auto"/>
      </w:divBdr>
    </w:div>
    <w:div w:id="1250654279">
      <w:bodyDiv w:val="1"/>
      <w:marLeft w:val="0"/>
      <w:marRight w:val="0"/>
      <w:marTop w:val="0"/>
      <w:marBottom w:val="0"/>
      <w:divBdr>
        <w:top w:val="none" w:sz="0" w:space="0" w:color="auto"/>
        <w:left w:val="none" w:sz="0" w:space="0" w:color="auto"/>
        <w:bottom w:val="none" w:sz="0" w:space="0" w:color="auto"/>
        <w:right w:val="none" w:sz="0" w:space="0" w:color="auto"/>
      </w:divBdr>
    </w:div>
    <w:div w:id="1260917944">
      <w:bodyDiv w:val="1"/>
      <w:marLeft w:val="0"/>
      <w:marRight w:val="0"/>
      <w:marTop w:val="0"/>
      <w:marBottom w:val="0"/>
      <w:divBdr>
        <w:top w:val="none" w:sz="0" w:space="0" w:color="auto"/>
        <w:left w:val="none" w:sz="0" w:space="0" w:color="auto"/>
        <w:bottom w:val="none" w:sz="0" w:space="0" w:color="auto"/>
        <w:right w:val="none" w:sz="0" w:space="0" w:color="auto"/>
      </w:divBdr>
    </w:div>
    <w:div w:id="1314673212">
      <w:bodyDiv w:val="1"/>
      <w:marLeft w:val="0"/>
      <w:marRight w:val="0"/>
      <w:marTop w:val="0"/>
      <w:marBottom w:val="0"/>
      <w:divBdr>
        <w:top w:val="none" w:sz="0" w:space="0" w:color="auto"/>
        <w:left w:val="none" w:sz="0" w:space="0" w:color="auto"/>
        <w:bottom w:val="none" w:sz="0" w:space="0" w:color="auto"/>
        <w:right w:val="none" w:sz="0" w:space="0" w:color="auto"/>
      </w:divBdr>
    </w:div>
    <w:div w:id="1524128463">
      <w:bodyDiv w:val="1"/>
      <w:marLeft w:val="0"/>
      <w:marRight w:val="0"/>
      <w:marTop w:val="0"/>
      <w:marBottom w:val="0"/>
      <w:divBdr>
        <w:top w:val="none" w:sz="0" w:space="0" w:color="auto"/>
        <w:left w:val="none" w:sz="0" w:space="0" w:color="auto"/>
        <w:bottom w:val="none" w:sz="0" w:space="0" w:color="auto"/>
        <w:right w:val="none" w:sz="0" w:space="0" w:color="auto"/>
      </w:divBdr>
    </w:div>
    <w:div w:id="1595358776">
      <w:bodyDiv w:val="1"/>
      <w:marLeft w:val="0"/>
      <w:marRight w:val="0"/>
      <w:marTop w:val="0"/>
      <w:marBottom w:val="0"/>
      <w:divBdr>
        <w:top w:val="none" w:sz="0" w:space="0" w:color="auto"/>
        <w:left w:val="none" w:sz="0" w:space="0" w:color="auto"/>
        <w:bottom w:val="none" w:sz="0" w:space="0" w:color="auto"/>
        <w:right w:val="none" w:sz="0" w:space="0" w:color="auto"/>
      </w:divBdr>
    </w:div>
    <w:div w:id="1800805471">
      <w:bodyDiv w:val="1"/>
      <w:marLeft w:val="0"/>
      <w:marRight w:val="0"/>
      <w:marTop w:val="0"/>
      <w:marBottom w:val="0"/>
      <w:divBdr>
        <w:top w:val="none" w:sz="0" w:space="0" w:color="auto"/>
        <w:left w:val="none" w:sz="0" w:space="0" w:color="auto"/>
        <w:bottom w:val="none" w:sz="0" w:space="0" w:color="auto"/>
        <w:right w:val="none" w:sz="0" w:space="0" w:color="auto"/>
      </w:divBdr>
    </w:div>
    <w:div w:id="18710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program.com/pubs/pdf/FR333/FR33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drugs/drug-safety-and-availability/fda-drug-safety-communication-fda-evaluate-potential-risk-neural-tube-birth-defects-hiv-medic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medicines/publications/drugalerts/Statement_on_DTG_18May_2018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unicef.org/topic/child-survival/neonatal-mortality/" TargetMode="External"/><Relationship Id="rId4" Type="http://schemas.openxmlformats.org/officeDocument/2006/relationships/settings" Target="settings.xml"/><Relationship Id="rId9" Type="http://schemas.openxmlformats.org/officeDocument/2006/relationships/hyperlink" Target="https://www.who.int/tdr/news/2012/pregnancy_registry_protoco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42FFB-1F0D-4843-A71D-78FE755A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5775</Words>
  <Characters>32922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Saye Khoo</dc:creator>
  <cp:lastModifiedBy>Khoo, Saye</cp:lastModifiedBy>
  <cp:revision>2</cp:revision>
  <cp:lastPrinted>2019-12-02T09:11:00Z</cp:lastPrinted>
  <dcterms:created xsi:type="dcterms:W3CDTF">2020-02-10T15:04:00Z</dcterms:created>
  <dcterms:modified xsi:type="dcterms:W3CDTF">2020-02-10T15:04:00Z</dcterms:modified>
</cp:coreProperties>
</file>