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17827" w14:textId="4CB40110" w:rsidR="00A90EEF" w:rsidRPr="00695A23" w:rsidRDefault="008C446D" w:rsidP="00EB5439">
      <w:pPr>
        <w:widowControl/>
        <w:wordWrap/>
        <w:autoSpaceDE/>
        <w:autoSpaceDN/>
        <w:spacing w:after="0" w:line="480" w:lineRule="auto"/>
        <w:rPr>
          <w:rFonts w:ascii="Arial" w:hAnsi="Arial" w:cs="Arial"/>
          <w:b/>
          <w:bCs/>
          <w:kern w:val="0"/>
          <w:sz w:val="24"/>
          <w:szCs w:val="24"/>
        </w:rPr>
      </w:pPr>
      <w:bookmarkStart w:id="0" w:name="_Hlk23846978"/>
      <w:r w:rsidRPr="00695A23">
        <w:rPr>
          <w:rFonts w:ascii="Arial" w:hAnsi="Arial" w:cs="Arial"/>
          <w:b/>
          <w:bCs/>
          <w:kern w:val="0"/>
          <w:sz w:val="24"/>
          <w:szCs w:val="24"/>
        </w:rPr>
        <w:t>Patient-incurred cost</w:t>
      </w:r>
      <w:r w:rsidR="00A90EEF" w:rsidRPr="00695A23">
        <w:rPr>
          <w:rFonts w:ascii="Arial" w:hAnsi="Arial" w:cs="Arial"/>
          <w:b/>
          <w:bCs/>
          <w:kern w:val="0"/>
          <w:sz w:val="24"/>
          <w:szCs w:val="24"/>
        </w:rPr>
        <w:t xml:space="preserve"> of </w:t>
      </w:r>
      <w:r w:rsidRPr="00695A23">
        <w:rPr>
          <w:rFonts w:ascii="Arial" w:hAnsi="Arial" w:cs="Arial"/>
          <w:b/>
          <w:bCs/>
          <w:kern w:val="0"/>
          <w:sz w:val="24"/>
          <w:szCs w:val="24"/>
        </w:rPr>
        <w:t xml:space="preserve">inpatient treatment for Tuberculosis in </w:t>
      </w:r>
      <w:r w:rsidR="00A90EEF" w:rsidRPr="00695A23">
        <w:rPr>
          <w:rFonts w:ascii="Arial" w:hAnsi="Arial" w:cs="Arial"/>
          <w:b/>
          <w:bCs/>
          <w:kern w:val="0"/>
          <w:sz w:val="24"/>
          <w:szCs w:val="24"/>
        </w:rPr>
        <w:t>rural Malawi</w:t>
      </w:r>
    </w:p>
    <w:bookmarkEnd w:id="0"/>
    <w:p w14:paraId="0A6B2466" w14:textId="77777777" w:rsidR="00A90EEF" w:rsidRPr="001612B3" w:rsidRDefault="00A90EEF" w:rsidP="00EB5439">
      <w:pPr>
        <w:widowControl/>
        <w:wordWrap/>
        <w:autoSpaceDE/>
        <w:autoSpaceDN/>
        <w:spacing w:after="0" w:line="480" w:lineRule="auto"/>
        <w:rPr>
          <w:rFonts w:ascii="Arial" w:hAnsi="Arial" w:cs="Arial"/>
          <w:kern w:val="0"/>
          <w:sz w:val="24"/>
          <w:szCs w:val="24"/>
        </w:rPr>
      </w:pPr>
    </w:p>
    <w:p w14:paraId="4B600152" w14:textId="3C0D2535" w:rsidR="00A90EEF" w:rsidRPr="001612B3" w:rsidRDefault="0035602D" w:rsidP="00EB5439">
      <w:pPr>
        <w:widowControl/>
        <w:wordWrap/>
        <w:autoSpaceDE/>
        <w:autoSpaceDN/>
        <w:spacing w:after="0" w:line="480" w:lineRule="auto"/>
        <w:rPr>
          <w:rFonts w:ascii="Arial" w:hAnsi="Arial" w:cs="Arial"/>
          <w:kern w:val="0"/>
          <w:sz w:val="24"/>
          <w:szCs w:val="24"/>
        </w:rPr>
      </w:pPr>
      <w:r>
        <w:rPr>
          <w:rFonts w:ascii="Arial" w:hAnsi="Arial" w:cs="Arial"/>
          <w:kern w:val="0"/>
          <w:sz w:val="24"/>
          <w:szCs w:val="24"/>
        </w:rPr>
        <w:t>Hyejeong</w:t>
      </w:r>
      <w:r w:rsidR="00A90EEF" w:rsidRPr="001612B3">
        <w:rPr>
          <w:rFonts w:ascii="Arial" w:hAnsi="Arial" w:cs="Arial"/>
          <w:kern w:val="0"/>
          <w:sz w:val="24"/>
          <w:szCs w:val="24"/>
        </w:rPr>
        <w:t xml:space="preserve"> Shin</w:t>
      </w:r>
      <w:r w:rsidR="00A90EEF" w:rsidRPr="00ED6358">
        <w:rPr>
          <w:rFonts w:ascii="Arial" w:hAnsi="Arial" w:cs="Arial"/>
          <w:kern w:val="0"/>
          <w:sz w:val="24"/>
          <w:szCs w:val="24"/>
          <w:vertAlign w:val="superscript"/>
        </w:rPr>
        <w:t>1</w:t>
      </w:r>
      <w:r w:rsidR="00A90EEF" w:rsidRPr="001612B3">
        <w:rPr>
          <w:rFonts w:ascii="Arial" w:hAnsi="Arial" w:cs="Arial"/>
          <w:kern w:val="0"/>
          <w:sz w:val="24"/>
          <w:szCs w:val="24"/>
        </w:rPr>
        <w:t>, Lucky Ngwira</w:t>
      </w:r>
      <w:r w:rsidR="00A90EEF" w:rsidRPr="00ED6358">
        <w:rPr>
          <w:rFonts w:ascii="Arial" w:hAnsi="Arial" w:cs="Arial"/>
          <w:kern w:val="0"/>
          <w:sz w:val="24"/>
          <w:szCs w:val="24"/>
          <w:vertAlign w:val="superscript"/>
        </w:rPr>
        <w:t>2</w:t>
      </w:r>
      <w:r w:rsidR="00ED6358">
        <w:rPr>
          <w:rFonts w:ascii="Arial" w:hAnsi="Arial" w:cs="Arial"/>
          <w:kern w:val="0"/>
          <w:sz w:val="24"/>
          <w:szCs w:val="24"/>
          <w:vertAlign w:val="superscript"/>
        </w:rPr>
        <w:t>,</w:t>
      </w:r>
      <w:r w:rsidR="00A90EEF" w:rsidRPr="00ED6358">
        <w:rPr>
          <w:rFonts w:ascii="Arial" w:hAnsi="Arial" w:cs="Arial"/>
          <w:kern w:val="0"/>
          <w:sz w:val="24"/>
          <w:szCs w:val="24"/>
          <w:vertAlign w:val="superscript"/>
        </w:rPr>
        <w:t>3</w:t>
      </w:r>
      <w:r w:rsidR="00A90EEF" w:rsidRPr="001612B3">
        <w:rPr>
          <w:rFonts w:ascii="Arial" w:hAnsi="Arial" w:cs="Arial"/>
          <w:kern w:val="0"/>
          <w:sz w:val="24"/>
          <w:szCs w:val="24"/>
        </w:rPr>
        <w:t>, Austin Tucker</w:t>
      </w:r>
      <w:r w:rsidR="00A90EEF" w:rsidRPr="00ED6358">
        <w:rPr>
          <w:rFonts w:ascii="Arial" w:hAnsi="Arial" w:cs="Arial"/>
          <w:kern w:val="0"/>
          <w:sz w:val="24"/>
          <w:szCs w:val="24"/>
          <w:vertAlign w:val="superscript"/>
        </w:rPr>
        <w:t>1</w:t>
      </w:r>
      <w:r w:rsidR="00A90EEF" w:rsidRPr="001612B3">
        <w:rPr>
          <w:rFonts w:ascii="Arial" w:hAnsi="Arial" w:cs="Arial"/>
          <w:kern w:val="0"/>
          <w:sz w:val="24"/>
          <w:szCs w:val="24"/>
        </w:rPr>
        <w:t xml:space="preserve">, Richard </w:t>
      </w:r>
      <w:r w:rsidR="001C1496">
        <w:rPr>
          <w:rFonts w:ascii="Arial" w:hAnsi="Arial" w:cs="Arial"/>
          <w:kern w:val="0"/>
          <w:sz w:val="24"/>
          <w:szCs w:val="24"/>
        </w:rPr>
        <w:t xml:space="preserve">E </w:t>
      </w:r>
      <w:r w:rsidR="00A90EEF" w:rsidRPr="001612B3">
        <w:rPr>
          <w:rFonts w:ascii="Arial" w:hAnsi="Arial" w:cs="Arial"/>
          <w:kern w:val="0"/>
          <w:sz w:val="24"/>
          <w:szCs w:val="24"/>
        </w:rPr>
        <w:t>Chaisson</w:t>
      </w:r>
      <w:r w:rsidR="00A90EEF" w:rsidRPr="00ED6358">
        <w:rPr>
          <w:rFonts w:ascii="Arial" w:hAnsi="Arial" w:cs="Arial"/>
          <w:kern w:val="0"/>
          <w:sz w:val="24"/>
          <w:szCs w:val="24"/>
          <w:vertAlign w:val="superscript"/>
        </w:rPr>
        <w:t>4</w:t>
      </w:r>
      <w:r w:rsidR="00A90EEF" w:rsidRPr="001612B3">
        <w:rPr>
          <w:rFonts w:ascii="Arial" w:hAnsi="Arial" w:cs="Arial"/>
          <w:kern w:val="0"/>
          <w:sz w:val="24"/>
          <w:szCs w:val="24"/>
        </w:rPr>
        <w:t xml:space="preserve">, </w:t>
      </w:r>
      <w:r w:rsidR="00DF0D03">
        <w:rPr>
          <w:rFonts w:ascii="Arial" w:hAnsi="Arial" w:cs="Arial"/>
          <w:kern w:val="0"/>
          <w:sz w:val="24"/>
          <w:szCs w:val="24"/>
        </w:rPr>
        <w:br/>
      </w:r>
      <w:r w:rsidR="00A90EEF" w:rsidRPr="001612B3">
        <w:rPr>
          <w:rFonts w:ascii="Arial" w:hAnsi="Arial" w:cs="Arial"/>
          <w:kern w:val="0"/>
          <w:sz w:val="24"/>
          <w:szCs w:val="24"/>
        </w:rPr>
        <w:t xml:space="preserve">Elizabeth </w:t>
      </w:r>
      <w:r w:rsidR="00DF0D03">
        <w:rPr>
          <w:rFonts w:ascii="Arial" w:hAnsi="Arial" w:cs="Arial"/>
          <w:kern w:val="0"/>
          <w:sz w:val="24"/>
          <w:szCs w:val="24"/>
        </w:rPr>
        <w:t xml:space="preserve">L </w:t>
      </w:r>
      <w:r w:rsidR="00A90EEF" w:rsidRPr="001612B3">
        <w:rPr>
          <w:rFonts w:ascii="Arial" w:hAnsi="Arial" w:cs="Arial"/>
          <w:kern w:val="0"/>
          <w:sz w:val="24"/>
          <w:szCs w:val="24"/>
        </w:rPr>
        <w:t>Corbett</w:t>
      </w:r>
      <w:r w:rsidR="00F01BF0">
        <w:rPr>
          <w:rFonts w:ascii="Arial" w:hAnsi="Arial" w:cs="Arial"/>
          <w:kern w:val="0"/>
          <w:sz w:val="24"/>
          <w:szCs w:val="24"/>
          <w:vertAlign w:val="superscript"/>
        </w:rPr>
        <w:t>2,5</w:t>
      </w:r>
      <w:r w:rsidR="00A90EEF" w:rsidRPr="001612B3">
        <w:rPr>
          <w:rFonts w:ascii="Arial" w:hAnsi="Arial" w:cs="Arial"/>
          <w:kern w:val="0"/>
          <w:sz w:val="24"/>
          <w:szCs w:val="24"/>
        </w:rPr>
        <w:t>, David Dowdy</w:t>
      </w:r>
      <w:r w:rsidR="00A90EEF" w:rsidRPr="00ED6358">
        <w:rPr>
          <w:rFonts w:ascii="Arial" w:hAnsi="Arial" w:cs="Arial"/>
          <w:kern w:val="0"/>
          <w:sz w:val="24"/>
          <w:szCs w:val="24"/>
          <w:vertAlign w:val="superscript"/>
        </w:rPr>
        <w:t>1</w:t>
      </w:r>
      <w:r w:rsidR="00ED6358">
        <w:rPr>
          <w:rFonts w:ascii="Arial" w:hAnsi="Arial" w:cs="Arial"/>
          <w:kern w:val="0"/>
          <w:sz w:val="24"/>
          <w:szCs w:val="24"/>
          <w:vertAlign w:val="superscript"/>
        </w:rPr>
        <w:t>,</w:t>
      </w:r>
      <w:r w:rsidR="00A90EEF" w:rsidRPr="00ED6358">
        <w:rPr>
          <w:rFonts w:ascii="Arial" w:hAnsi="Arial" w:cs="Arial"/>
          <w:kern w:val="0"/>
          <w:sz w:val="24"/>
          <w:szCs w:val="24"/>
          <w:vertAlign w:val="superscript"/>
        </w:rPr>
        <w:t>4</w:t>
      </w:r>
      <w:r w:rsidR="00695A23">
        <w:rPr>
          <w:rFonts w:ascii="Arial" w:hAnsi="Arial" w:cs="Arial"/>
          <w:kern w:val="0"/>
          <w:sz w:val="24"/>
          <w:szCs w:val="24"/>
          <w:vertAlign w:val="superscript"/>
        </w:rPr>
        <w:t xml:space="preserve">* </w:t>
      </w:r>
    </w:p>
    <w:p w14:paraId="7FD7BEFC" w14:textId="2D4A8B04" w:rsidR="009C6DF8" w:rsidRDefault="009C6DF8" w:rsidP="00EB5439">
      <w:pPr>
        <w:widowControl/>
        <w:wordWrap/>
        <w:autoSpaceDE/>
        <w:autoSpaceDN/>
        <w:spacing w:after="0" w:line="480" w:lineRule="auto"/>
        <w:rPr>
          <w:rFonts w:ascii="Arial" w:hAnsi="Arial" w:cs="Arial"/>
          <w:kern w:val="0"/>
          <w:sz w:val="24"/>
          <w:szCs w:val="24"/>
        </w:rPr>
      </w:pPr>
    </w:p>
    <w:p w14:paraId="3359BA19" w14:textId="76C79528" w:rsidR="00ED6358" w:rsidRDefault="00A90EEF" w:rsidP="00EB5439">
      <w:pPr>
        <w:widowControl/>
        <w:wordWrap/>
        <w:autoSpaceDE/>
        <w:autoSpaceDN/>
        <w:spacing w:after="0" w:line="480" w:lineRule="auto"/>
        <w:rPr>
          <w:rFonts w:ascii="Arial" w:hAnsi="Arial" w:cs="Arial"/>
          <w:kern w:val="0"/>
          <w:sz w:val="24"/>
          <w:szCs w:val="24"/>
        </w:rPr>
      </w:pPr>
      <w:r w:rsidRPr="00695A23">
        <w:rPr>
          <w:rFonts w:ascii="Arial" w:hAnsi="Arial" w:cs="Arial"/>
          <w:kern w:val="0"/>
          <w:sz w:val="24"/>
          <w:szCs w:val="24"/>
          <w:vertAlign w:val="superscript"/>
        </w:rPr>
        <w:t>1</w:t>
      </w:r>
      <w:r w:rsidRPr="001612B3">
        <w:rPr>
          <w:rFonts w:ascii="Arial" w:hAnsi="Arial" w:cs="Arial"/>
          <w:kern w:val="0"/>
          <w:sz w:val="24"/>
          <w:szCs w:val="24"/>
        </w:rPr>
        <w:t xml:space="preserve"> Department of Epidemiology, Johns Hopkins Bloomberg School of Public Health, Baltimore, Maryland, USA</w:t>
      </w:r>
      <w:r w:rsidR="00695A23">
        <w:rPr>
          <w:rFonts w:ascii="Arial" w:hAnsi="Arial" w:cs="Arial"/>
          <w:kern w:val="0"/>
          <w:sz w:val="24"/>
          <w:szCs w:val="24"/>
        </w:rPr>
        <w:t>.</w:t>
      </w:r>
    </w:p>
    <w:p w14:paraId="34310A09" w14:textId="77777777" w:rsidR="0035602D" w:rsidRDefault="00A90EEF" w:rsidP="00EB5439">
      <w:pPr>
        <w:widowControl/>
        <w:wordWrap/>
        <w:autoSpaceDE/>
        <w:autoSpaceDN/>
        <w:spacing w:after="0" w:line="480" w:lineRule="auto"/>
        <w:rPr>
          <w:rFonts w:ascii="Arial" w:hAnsi="Arial" w:cs="Arial"/>
          <w:kern w:val="0"/>
          <w:sz w:val="24"/>
          <w:szCs w:val="24"/>
        </w:rPr>
      </w:pPr>
      <w:r w:rsidRPr="00695A23">
        <w:rPr>
          <w:rFonts w:ascii="Arial" w:hAnsi="Arial" w:cs="Arial"/>
          <w:kern w:val="0"/>
          <w:sz w:val="24"/>
          <w:szCs w:val="24"/>
          <w:vertAlign w:val="superscript"/>
        </w:rPr>
        <w:t>2</w:t>
      </w:r>
      <w:r w:rsidRPr="001612B3">
        <w:rPr>
          <w:rFonts w:ascii="Arial" w:hAnsi="Arial" w:cs="Arial"/>
          <w:kern w:val="0"/>
          <w:sz w:val="24"/>
          <w:szCs w:val="24"/>
        </w:rPr>
        <w:t xml:space="preserve"> HIV and TB Group, Malawi Liverpool </w:t>
      </w:r>
      <w:proofErr w:type="spellStart"/>
      <w:r w:rsidRPr="001612B3">
        <w:rPr>
          <w:rFonts w:ascii="Arial" w:hAnsi="Arial" w:cs="Arial"/>
          <w:kern w:val="0"/>
          <w:sz w:val="24"/>
          <w:szCs w:val="24"/>
        </w:rPr>
        <w:t>Wellcome</w:t>
      </w:r>
      <w:proofErr w:type="spellEnd"/>
      <w:r w:rsidRPr="001612B3">
        <w:rPr>
          <w:rFonts w:ascii="Arial" w:hAnsi="Arial" w:cs="Arial"/>
          <w:kern w:val="0"/>
          <w:sz w:val="24"/>
          <w:szCs w:val="24"/>
        </w:rPr>
        <w:t xml:space="preserve"> Trust Clinical Research </w:t>
      </w:r>
      <w:proofErr w:type="spellStart"/>
      <w:r w:rsidRPr="001612B3">
        <w:rPr>
          <w:rFonts w:ascii="Arial" w:hAnsi="Arial" w:cs="Arial"/>
          <w:kern w:val="0"/>
          <w:sz w:val="24"/>
          <w:szCs w:val="24"/>
        </w:rPr>
        <w:t>Programme</w:t>
      </w:r>
      <w:proofErr w:type="spellEnd"/>
      <w:r w:rsidRPr="001612B3">
        <w:rPr>
          <w:rFonts w:ascii="Arial" w:hAnsi="Arial" w:cs="Arial"/>
          <w:kern w:val="0"/>
          <w:sz w:val="24"/>
          <w:szCs w:val="24"/>
        </w:rPr>
        <w:t>, Blantyre</w:t>
      </w:r>
      <w:r w:rsidR="00695A23">
        <w:rPr>
          <w:rFonts w:ascii="Arial" w:hAnsi="Arial" w:cs="Arial"/>
          <w:kern w:val="0"/>
          <w:sz w:val="24"/>
          <w:szCs w:val="24"/>
        </w:rPr>
        <w:t>, Malawi.</w:t>
      </w:r>
    </w:p>
    <w:p w14:paraId="2AC2EF7C" w14:textId="743F1C63" w:rsidR="00ED6358" w:rsidRDefault="00A90EEF" w:rsidP="00EB5439">
      <w:pPr>
        <w:widowControl/>
        <w:wordWrap/>
        <w:autoSpaceDE/>
        <w:autoSpaceDN/>
        <w:spacing w:after="0" w:line="480" w:lineRule="auto"/>
        <w:rPr>
          <w:rFonts w:ascii="Arial" w:hAnsi="Arial" w:cs="Arial"/>
          <w:kern w:val="0"/>
          <w:sz w:val="24"/>
          <w:szCs w:val="24"/>
        </w:rPr>
      </w:pPr>
      <w:r w:rsidRPr="00695A23">
        <w:rPr>
          <w:rFonts w:ascii="Arial" w:hAnsi="Arial" w:cs="Arial"/>
          <w:kern w:val="0"/>
          <w:sz w:val="24"/>
          <w:szCs w:val="24"/>
          <w:vertAlign w:val="superscript"/>
        </w:rPr>
        <w:t>3</w:t>
      </w:r>
      <w:r w:rsidRPr="001612B3">
        <w:rPr>
          <w:rFonts w:ascii="Arial" w:hAnsi="Arial" w:cs="Arial"/>
          <w:kern w:val="0"/>
          <w:sz w:val="24"/>
          <w:szCs w:val="24"/>
        </w:rPr>
        <w:t xml:space="preserve"> Clinical Sciences Department, Liverpool School of Tropical Medicine, UK</w:t>
      </w:r>
      <w:r w:rsidR="00695A23">
        <w:rPr>
          <w:rFonts w:ascii="Arial" w:hAnsi="Arial" w:cs="Arial"/>
          <w:kern w:val="0"/>
          <w:sz w:val="24"/>
          <w:szCs w:val="24"/>
        </w:rPr>
        <w:t>.</w:t>
      </w:r>
    </w:p>
    <w:p w14:paraId="3D1F7D55" w14:textId="341239AB" w:rsidR="00A90EEF" w:rsidRDefault="00A90EEF" w:rsidP="00EB5439">
      <w:pPr>
        <w:widowControl/>
        <w:wordWrap/>
        <w:autoSpaceDE/>
        <w:autoSpaceDN/>
        <w:spacing w:after="0" w:line="480" w:lineRule="auto"/>
        <w:rPr>
          <w:rFonts w:ascii="Arial" w:hAnsi="Arial" w:cs="Arial"/>
          <w:kern w:val="0"/>
          <w:sz w:val="24"/>
          <w:szCs w:val="24"/>
        </w:rPr>
      </w:pPr>
      <w:r w:rsidRPr="00695A23">
        <w:rPr>
          <w:rFonts w:ascii="Arial" w:hAnsi="Arial" w:cs="Arial"/>
          <w:kern w:val="0"/>
          <w:sz w:val="24"/>
          <w:szCs w:val="24"/>
          <w:vertAlign w:val="superscript"/>
        </w:rPr>
        <w:t>4</w:t>
      </w:r>
      <w:r w:rsidR="00ED6358">
        <w:rPr>
          <w:rFonts w:ascii="Arial" w:hAnsi="Arial" w:cs="Arial"/>
          <w:kern w:val="0"/>
          <w:sz w:val="24"/>
          <w:szCs w:val="24"/>
        </w:rPr>
        <w:t xml:space="preserve"> </w:t>
      </w:r>
      <w:r w:rsidRPr="001612B3">
        <w:rPr>
          <w:rFonts w:ascii="Arial" w:hAnsi="Arial" w:cs="Arial"/>
          <w:kern w:val="0"/>
          <w:sz w:val="24"/>
          <w:szCs w:val="24"/>
        </w:rPr>
        <w:t>Center for Tuberculosis Research, Johns Hopkins University School of Medicine, Baltimore, Maryland</w:t>
      </w:r>
      <w:r w:rsidR="00695A23">
        <w:rPr>
          <w:rFonts w:ascii="Arial" w:hAnsi="Arial" w:cs="Arial"/>
          <w:kern w:val="0"/>
          <w:sz w:val="24"/>
          <w:szCs w:val="24"/>
        </w:rPr>
        <w:t>, USA.</w:t>
      </w:r>
    </w:p>
    <w:p w14:paraId="0AC4CDB5" w14:textId="0489291B" w:rsidR="00D52B4A" w:rsidRDefault="00D52B4A" w:rsidP="00D52B4A">
      <w:pPr>
        <w:widowControl/>
        <w:wordWrap/>
        <w:autoSpaceDE/>
        <w:autoSpaceDN/>
        <w:spacing w:after="0" w:line="480" w:lineRule="auto"/>
        <w:rPr>
          <w:rFonts w:ascii="Arial" w:hAnsi="Arial" w:cs="Arial"/>
          <w:kern w:val="0"/>
          <w:sz w:val="24"/>
          <w:szCs w:val="24"/>
        </w:rPr>
      </w:pPr>
      <w:r w:rsidRPr="00D52B4A">
        <w:rPr>
          <w:rFonts w:ascii="Arial" w:hAnsi="Arial" w:cs="Arial"/>
          <w:kern w:val="0"/>
          <w:sz w:val="24"/>
          <w:szCs w:val="24"/>
          <w:vertAlign w:val="superscript"/>
        </w:rPr>
        <w:t>5</w:t>
      </w:r>
      <w:r>
        <w:rPr>
          <w:rFonts w:ascii="Arial" w:hAnsi="Arial" w:cs="Arial"/>
          <w:kern w:val="0"/>
          <w:sz w:val="24"/>
          <w:szCs w:val="24"/>
          <w:vertAlign w:val="superscript"/>
        </w:rPr>
        <w:t xml:space="preserve"> </w:t>
      </w:r>
      <w:r w:rsidR="00DF0D03">
        <w:rPr>
          <w:rFonts w:ascii="Arial" w:hAnsi="Arial" w:cs="Arial"/>
          <w:kern w:val="0"/>
          <w:sz w:val="24"/>
          <w:szCs w:val="24"/>
        </w:rPr>
        <w:t>Clinical Research D</w:t>
      </w:r>
      <w:r w:rsidRPr="001612B3">
        <w:rPr>
          <w:rFonts w:ascii="Arial" w:hAnsi="Arial" w:cs="Arial"/>
          <w:kern w:val="0"/>
          <w:sz w:val="24"/>
          <w:szCs w:val="24"/>
        </w:rPr>
        <w:t>epartment</w:t>
      </w:r>
      <w:r w:rsidR="00DF0D03">
        <w:rPr>
          <w:rFonts w:ascii="Arial" w:hAnsi="Arial" w:cs="Arial"/>
          <w:kern w:val="0"/>
          <w:sz w:val="24"/>
          <w:szCs w:val="24"/>
        </w:rPr>
        <w:t xml:space="preserve">, </w:t>
      </w:r>
      <w:r w:rsidRPr="00D52B4A">
        <w:rPr>
          <w:rFonts w:ascii="Arial" w:hAnsi="Arial" w:cs="Arial"/>
          <w:kern w:val="0"/>
          <w:sz w:val="24"/>
          <w:szCs w:val="24"/>
        </w:rPr>
        <w:t>London School</w:t>
      </w:r>
      <w:r w:rsidR="00F01BF0">
        <w:rPr>
          <w:rFonts w:ascii="Arial" w:hAnsi="Arial" w:cs="Arial"/>
          <w:kern w:val="0"/>
          <w:sz w:val="24"/>
          <w:szCs w:val="24"/>
        </w:rPr>
        <w:t xml:space="preserve"> of</w:t>
      </w:r>
      <w:r w:rsidRPr="00D52B4A">
        <w:rPr>
          <w:rFonts w:ascii="Arial" w:hAnsi="Arial" w:cs="Arial"/>
          <w:kern w:val="0"/>
          <w:sz w:val="24"/>
          <w:szCs w:val="24"/>
        </w:rPr>
        <w:t xml:space="preserve"> Hyg</w:t>
      </w:r>
      <w:r w:rsidR="00F01BF0">
        <w:rPr>
          <w:rFonts w:ascii="Arial" w:hAnsi="Arial" w:cs="Arial"/>
          <w:kern w:val="0"/>
          <w:sz w:val="24"/>
          <w:szCs w:val="24"/>
        </w:rPr>
        <w:t>iene and</w:t>
      </w:r>
      <w:r w:rsidRPr="00D52B4A">
        <w:rPr>
          <w:rFonts w:ascii="Arial" w:hAnsi="Arial" w:cs="Arial"/>
          <w:kern w:val="0"/>
          <w:sz w:val="24"/>
          <w:szCs w:val="24"/>
        </w:rPr>
        <w:t xml:space="preserve"> Trop</w:t>
      </w:r>
      <w:r w:rsidR="00F01BF0">
        <w:rPr>
          <w:rFonts w:ascii="Arial" w:hAnsi="Arial" w:cs="Arial"/>
          <w:kern w:val="0"/>
          <w:sz w:val="24"/>
          <w:szCs w:val="24"/>
        </w:rPr>
        <w:t>ical</w:t>
      </w:r>
      <w:r w:rsidRPr="00D52B4A">
        <w:rPr>
          <w:rFonts w:ascii="Arial" w:hAnsi="Arial" w:cs="Arial"/>
          <w:kern w:val="0"/>
          <w:sz w:val="24"/>
          <w:szCs w:val="24"/>
        </w:rPr>
        <w:t xml:space="preserve"> Med</w:t>
      </w:r>
      <w:r w:rsidR="00F01BF0">
        <w:rPr>
          <w:rFonts w:ascii="Arial" w:hAnsi="Arial" w:cs="Arial"/>
          <w:kern w:val="0"/>
          <w:sz w:val="24"/>
          <w:szCs w:val="24"/>
        </w:rPr>
        <w:t>icine</w:t>
      </w:r>
      <w:r w:rsidR="00DF0D03">
        <w:rPr>
          <w:rFonts w:ascii="Arial" w:hAnsi="Arial" w:cs="Arial"/>
          <w:kern w:val="0"/>
          <w:sz w:val="24"/>
          <w:szCs w:val="24"/>
        </w:rPr>
        <w:t>, London</w:t>
      </w:r>
      <w:r w:rsidRPr="00D52B4A">
        <w:rPr>
          <w:rFonts w:ascii="Arial" w:hAnsi="Arial" w:cs="Arial"/>
          <w:kern w:val="0"/>
          <w:sz w:val="24"/>
          <w:szCs w:val="24"/>
        </w:rPr>
        <w:t xml:space="preserve"> </w:t>
      </w:r>
      <w:r w:rsidR="00DF0D03">
        <w:rPr>
          <w:rFonts w:ascii="Arial" w:hAnsi="Arial" w:cs="Arial"/>
          <w:kern w:val="0"/>
          <w:sz w:val="24"/>
          <w:szCs w:val="24"/>
        </w:rPr>
        <w:t>WC1E 7HT, UK.</w:t>
      </w:r>
    </w:p>
    <w:p w14:paraId="69659AA6" w14:textId="77777777" w:rsidR="00695A23" w:rsidRDefault="00695A23" w:rsidP="00EB5439">
      <w:pPr>
        <w:widowControl/>
        <w:wordWrap/>
        <w:autoSpaceDE/>
        <w:autoSpaceDN/>
        <w:spacing w:after="0" w:line="480" w:lineRule="auto"/>
        <w:rPr>
          <w:rFonts w:ascii="Arial" w:hAnsi="Arial" w:cs="Arial"/>
          <w:kern w:val="0"/>
          <w:sz w:val="24"/>
          <w:szCs w:val="24"/>
        </w:rPr>
      </w:pPr>
    </w:p>
    <w:p w14:paraId="77A8B3EA" w14:textId="77777777" w:rsidR="006D3E18" w:rsidRDefault="00695A23" w:rsidP="00EB5439">
      <w:pPr>
        <w:widowControl/>
        <w:wordWrap/>
        <w:autoSpaceDE/>
        <w:autoSpaceDN/>
        <w:spacing w:after="0" w:line="480" w:lineRule="auto"/>
        <w:rPr>
          <w:rFonts w:ascii="Arial" w:hAnsi="Arial" w:cs="Arial"/>
          <w:kern w:val="0"/>
          <w:sz w:val="24"/>
          <w:szCs w:val="24"/>
        </w:rPr>
      </w:pPr>
      <w:r>
        <w:rPr>
          <w:rFonts w:ascii="Arial" w:hAnsi="Arial" w:cs="Arial" w:hint="eastAsia"/>
          <w:kern w:val="0"/>
          <w:sz w:val="24"/>
          <w:szCs w:val="24"/>
        </w:rPr>
        <w:t>*</w:t>
      </w:r>
      <w:r w:rsidR="00087672">
        <w:rPr>
          <w:rFonts w:ascii="Arial" w:hAnsi="Arial" w:cs="Arial"/>
          <w:kern w:val="0"/>
          <w:sz w:val="24"/>
          <w:szCs w:val="24"/>
        </w:rPr>
        <w:t>Correspond</w:t>
      </w:r>
      <w:r w:rsidR="006D3E18">
        <w:rPr>
          <w:rFonts w:ascii="Arial" w:hAnsi="Arial" w:cs="Arial"/>
          <w:kern w:val="0"/>
          <w:sz w:val="24"/>
          <w:szCs w:val="24"/>
        </w:rPr>
        <w:t>ing author</w:t>
      </w:r>
      <w:r w:rsidR="00087672">
        <w:rPr>
          <w:rFonts w:ascii="Arial" w:hAnsi="Arial" w:cs="Arial"/>
          <w:kern w:val="0"/>
          <w:sz w:val="24"/>
          <w:szCs w:val="24"/>
        </w:rPr>
        <w:t xml:space="preserve">: </w:t>
      </w:r>
    </w:p>
    <w:p w14:paraId="5310FC24" w14:textId="04AC498F" w:rsidR="00695A23" w:rsidRDefault="00695A23" w:rsidP="00EB5439">
      <w:pPr>
        <w:widowControl/>
        <w:wordWrap/>
        <w:autoSpaceDE/>
        <w:autoSpaceDN/>
        <w:spacing w:after="0" w:line="480" w:lineRule="auto"/>
        <w:rPr>
          <w:rFonts w:ascii="Arial" w:hAnsi="Arial" w:cs="Arial"/>
          <w:kern w:val="0"/>
          <w:sz w:val="24"/>
          <w:szCs w:val="24"/>
        </w:rPr>
      </w:pPr>
      <w:r>
        <w:rPr>
          <w:rFonts w:ascii="Arial" w:hAnsi="Arial" w:cs="Arial"/>
          <w:kern w:val="0"/>
          <w:sz w:val="24"/>
          <w:szCs w:val="24"/>
        </w:rPr>
        <w:t>David Dowdy,</w:t>
      </w:r>
      <w:r w:rsidR="00407D40">
        <w:rPr>
          <w:rFonts w:ascii="Arial" w:hAnsi="Arial" w:cs="Arial"/>
          <w:kern w:val="0"/>
          <w:sz w:val="24"/>
          <w:szCs w:val="24"/>
        </w:rPr>
        <w:t xml:space="preserve"> Associate</w:t>
      </w:r>
      <w:r>
        <w:rPr>
          <w:rFonts w:ascii="Arial" w:hAnsi="Arial" w:cs="Arial"/>
          <w:kern w:val="0"/>
          <w:sz w:val="24"/>
          <w:szCs w:val="24"/>
        </w:rPr>
        <w:t xml:space="preserve"> Professor</w:t>
      </w:r>
    </w:p>
    <w:p w14:paraId="53725FE8" w14:textId="77777777" w:rsidR="00F01BF0" w:rsidRDefault="00695A23" w:rsidP="00EB5439">
      <w:pPr>
        <w:widowControl/>
        <w:wordWrap/>
        <w:autoSpaceDE/>
        <w:autoSpaceDN/>
        <w:spacing w:after="0" w:line="480" w:lineRule="auto"/>
        <w:rPr>
          <w:rFonts w:ascii="Arial" w:hAnsi="Arial" w:cs="Arial"/>
          <w:kern w:val="0"/>
          <w:sz w:val="24"/>
          <w:szCs w:val="24"/>
        </w:rPr>
      </w:pPr>
      <w:r w:rsidRPr="001612B3">
        <w:rPr>
          <w:rFonts w:ascii="Arial" w:hAnsi="Arial" w:cs="Arial"/>
          <w:kern w:val="0"/>
          <w:sz w:val="24"/>
          <w:szCs w:val="24"/>
        </w:rPr>
        <w:t>Johns Hopkins Bloomberg School of Public Health</w:t>
      </w:r>
    </w:p>
    <w:p w14:paraId="37384B15" w14:textId="77777777" w:rsidR="00F01BF0" w:rsidRDefault="00F01BF0" w:rsidP="00EB5439">
      <w:pPr>
        <w:widowControl/>
        <w:wordWrap/>
        <w:autoSpaceDE/>
        <w:autoSpaceDN/>
        <w:spacing w:after="0" w:line="480" w:lineRule="auto"/>
        <w:rPr>
          <w:rFonts w:ascii="Arial" w:hAnsi="Arial" w:cs="Arial"/>
          <w:kern w:val="0"/>
          <w:sz w:val="24"/>
          <w:szCs w:val="24"/>
        </w:rPr>
      </w:pPr>
      <w:r>
        <w:rPr>
          <w:rFonts w:ascii="Arial" w:hAnsi="Arial" w:cs="Arial"/>
          <w:kern w:val="0"/>
          <w:sz w:val="24"/>
          <w:szCs w:val="24"/>
        </w:rPr>
        <w:t>615 N. Wolfe St., E6531</w:t>
      </w:r>
    </w:p>
    <w:p w14:paraId="372BE9A3" w14:textId="26D4E989" w:rsidR="00F01BF0" w:rsidRDefault="00695A23" w:rsidP="00EB5439">
      <w:pPr>
        <w:widowControl/>
        <w:wordWrap/>
        <w:autoSpaceDE/>
        <w:autoSpaceDN/>
        <w:spacing w:after="0" w:line="480" w:lineRule="auto"/>
        <w:rPr>
          <w:rFonts w:ascii="Arial" w:hAnsi="Arial" w:cs="Arial"/>
          <w:kern w:val="0"/>
          <w:sz w:val="24"/>
          <w:szCs w:val="24"/>
        </w:rPr>
      </w:pPr>
      <w:r>
        <w:rPr>
          <w:rFonts w:ascii="Arial" w:hAnsi="Arial" w:cs="Arial"/>
          <w:kern w:val="0"/>
          <w:sz w:val="24"/>
          <w:szCs w:val="24"/>
        </w:rPr>
        <w:t xml:space="preserve">Baltimore, MD </w:t>
      </w:r>
      <w:r w:rsidR="00F01BF0">
        <w:rPr>
          <w:rFonts w:ascii="Arial" w:hAnsi="Arial" w:cs="Arial"/>
          <w:kern w:val="0"/>
          <w:sz w:val="24"/>
          <w:szCs w:val="24"/>
        </w:rPr>
        <w:t>21205</w:t>
      </w:r>
    </w:p>
    <w:p w14:paraId="7B378971" w14:textId="38412B6E" w:rsidR="00695A23" w:rsidRDefault="00695A23" w:rsidP="00EB5439">
      <w:pPr>
        <w:widowControl/>
        <w:wordWrap/>
        <w:autoSpaceDE/>
        <w:autoSpaceDN/>
        <w:spacing w:after="0" w:line="480" w:lineRule="auto"/>
        <w:rPr>
          <w:rFonts w:ascii="Arial" w:hAnsi="Arial" w:cs="Arial"/>
          <w:kern w:val="0"/>
          <w:sz w:val="24"/>
          <w:szCs w:val="24"/>
        </w:rPr>
      </w:pPr>
      <w:r>
        <w:rPr>
          <w:rFonts w:ascii="Arial" w:hAnsi="Arial" w:cs="Arial"/>
          <w:kern w:val="0"/>
          <w:sz w:val="24"/>
          <w:szCs w:val="24"/>
        </w:rPr>
        <w:t>USA</w:t>
      </w:r>
    </w:p>
    <w:p w14:paraId="55821EB7" w14:textId="1CD1787C" w:rsidR="00695A23" w:rsidRPr="001612B3" w:rsidRDefault="00FE46FC" w:rsidP="00EB5439">
      <w:pPr>
        <w:widowControl/>
        <w:wordWrap/>
        <w:autoSpaceDE/>
        <w:autoSpaceDN/>
        <w:spacing w:after="0" w:line="480" w:lineRule="auto"/>
        <w:rPr>
          <w:rFonts w:ascii="Arial" w:hAnsi="Arial" w:cs="Arial"/>
          <w:kern w:val="0"/>
          <w:sz w:val="24"/>
          <w:szCs w:val="24"/>
        </w:rPr>
      </w:pPr>
      <w:r>
        <w:rPr>
          <w:rFonts w:ascii="Arial" w:hAnsi="Arial" w:cs="Arial"/>
          <w:kern w:val="0"/>
          <w:sz w:val="24"/>
          <w:szCs w:val="24"/>
        </w:rPr>
        <w:t xml:space="preserve">Email: </w:t>
      </w:r>
      <w:r w:rsidRPr="00FE46FC">
        <w:rPr>
          <w:rFonts w:ascii="Arial" w:hAnsi="Arial" w:cs="Arial"/>
          <w:kern w:val="0"/>
          <w:sz w:val="24"/>
          <w:szCs w:val="24"/>
        </w:rPr>
        <w:t>ddowdy1@jhmi.edu</w:t>
      </w:r>
    </w:p>
    <w:p w14:paraId="0CCAF4C7" w14:textId="16104CBC" w:rsidR="00A90EEF" w:rsidRPr="006F107F" w:rsidRDefault="00A90EEF" w:rsidP="009C6DF8">
      <w:pPr>
        <w:wordWrap/>
        <w:spacing w:after="0" w:line="480" w:lineRule="auto"/>
        <w:rPr>
          <w:b/>
          <w:sz w:val="24"/>
          <w:szCs w:val="24"/>
        </w:rPr>
      </w:pPr>
      <w:r w:rsidRPr="006F107F">
        <w:rPr>
          <w:rFonts w:hint="eastAsia"/>
          <w:b/>
          <w:sz w:val="24"/>
          <w:szCs w:val="24"/>
        </w:rPr>
        <w:lastRenderedPageBreak/>
        <w:t>A</w:t>
      </w:r>
      <w:r w:rsidRPr="006F107F">
        <w:rPr>
          <w:b/>
          <w:sz w:val="24"/>
          <w:szCs w:val="24"/>
        </w:rPr>
        <w:t>bstract</w:t>
      </w:r>
    </w:p>
    <w:p w14:paraId="1CDA7DF1" w14:textId="13763F64" w:rsidR="00E63860" w:rsidRPr="001612B3" w:rsidRDefault="0058497F" w:rsidP="009C6DF8">
      <w:pPr>
        <w:widowControl/>
        <w:wordWrap/>
        <w:autoSpaceDE/>
        <w:autoSpaceDN/>
        <w:spacing w:after="0" w:line="480" w:lineRule="auto"/>
        <w:rPr>
          <w:rFonts w:ascii="Arial" w:hAnsi="Arial" w:cs="Arial"/>
          <w:kern w:val="0"/>
          <w:sz w:val="24"/>
          <w:szCs w:val="24"/>
        </w:rPr>
      </w:pPr>
      <w:r>
        <w:rPr>
          <w:rFonts w:ascii="Arial" w:hAnsi="Arial" w:cs="Arial"/>
          <w:b/>
          <w:kern w:val="0"/>
          <w:sz w:val="24"/>
          <w:szCs w:val="24"/>
        </w:rPr>
        <w:t>Objectives</w:t>
      </w:r>
      <w:r w:rsidR="00AA19F4" w:rsidRPr="00ED6358">
        <w:rPr>
          <w:rFonts w:ascii="Arial" w:hAnsi="Arial" w:cs="Arial"/>
          <w:b/>
          <w:kern w:val="0"/>
          <w:sz w:val="24"/>
          <w:szCs w:val="24"/>
        </w:rPr>
        <w:t>:</w:t>
      </w:r>
      <w:r w:rsidR="00AA19F4">
        <w:rPr>
          <w:rFonts w:ascii="Arial" w:hAnsi="Arial" w:cs="Arial"/>
          <w:kern w:val="0"/>
          <w:sz w:val="24"/>
          <w:szCs w:val="24"/>
        </w:rPr>
        <w:t xml:space="preserve"> </w:t>
      </w:r>
      <w:r w:rsidR="003A1F4E">
        <w:rPr>
          <w:rFonts w:ascii="Arial" w:hAnsi="Arial" w:cs="Arial"/>
          <w:kern w:val="0"/>
          <w:sz w:val="24"/>
          <w:szCs w:val="24"/>
        </w:rPr>
        <w:t xml:space="preserve">To mitigate </w:t>
      </w:r>
      <w:r w:rsidR="00ED6358">
        <w:rPr>
          <w:rFonts w:ascii="Arial" w:hAnsi="Arial" w:cs="Arial"/>
          <w:kern w:val="0"/>
          <w:sz w:val="24"/>
          <w:szCs w:val="24"/>
        </w:rPr>
        <w:t xml:space="preserve">the </w:t>
      </w:r>
      <w:r w:rsidR="003A1F4E">
        <w:rPr>
          <w:rFonts w:ascii="Arial" w:hAnsi="Arial" w:cs="Arial"/>
          <w:kern w:val="0"/>
          <w:sz w:val="24"/>
          <w:szCs w:val="24"/>
        </w:rPr>
        <w:t xml:space="preserve">economic burden of </w:t>
      </w:r>
      <w:r w:rsidR="00ED6358">
        <w:rPr>
          <w:rFonts w:ascii="Arial" w:hAnsi="Arial" w:cs="Arial"/>
          <w:kern w:val="0"/>
          <w:sz w:val="24"/>
          <w:szCs w:val="24"/>
        </w:rPr>
        <w:t>tuberculosis (</w:t>
      </w:r>
      <w:r w:rsidR="003A1F4E">
        <w:rPr>
          <w:rFonts w:ascii="Arial" w:hAnsi="Arial" w:cs="Arial"/>
          <w:kern w:val="0"/>
          <w:sz w:val="24"/>
          <w:szCs w:val="24"/>
        </w:rPr>
        <w:t>TB</w:t>
      </w:r>
      <w:r w:rsidR="00ED6358">
        <w:rPr>
          <w:rFonts w:ascii="Arial" w:hAnsi="Arial" w:cs="Arial"/>
          <w:kern w:val="0"/>
          <w:sz w:val="24"/>
          <w:szCs w:val="24"/>
        </w:rPr>
        <w:t>)</w:t>
      </w:r>
      <w:r w:rsidR="003A1F4E">
        <w:rPr>
          <w:rFonts w:ascii="Arial" w:hAnsi="Arial" w:cs="Arial"/>
          <w:kern w:val="0"/>
          <w:sz w:val="24"/>
          <w:szCs w:val="24"/>
        </w:rPr>
        <w:t xml:space="preserve">, it is important to fully understand the costs of TB treatment from </w:t>
      </w:r>
      <w:r w:rsidR="00ED6358">
        <w:rPr>
          <w:rFonts w:ascii="Arial" w:hAnsi="Arial" w:cs="Arial"/>
          <w:kern w:val="0"/>
          <w:sz w:val="24"/>
          <w:szCs w:val="24"/>
        </w:rPr>
        <w:t xml:space="preserve">the </w:t>
      </w:r>
      <w:r w:rsidR="003A1F4E">
        <w:rPr>
          <w:rFonts w:ascii="Arial" w:hAnsi="Arial" w:cs="Arial"/>
          <w:kern w:val="0"/>
          <w:sz w:val="24"/>
          <w:szCs w:val="24"/>
        </w:rPr>
        <w:t>patient perspective. We therefore sought to quantify the patient-incurred cost of TB treatment in</w:t>
      </w:r>
      <w:r w:rsidR="00F17701">
        <w:rPr>
          <w:rFonts w:ascii="Arial" w:hAnsi="Arial" w:cs="Arial"/>
          <w:kern w:val="0"/>
          <w:sz w:val="24"/>
          <w:szCs w:val="24"/>
        </w:rPr>
        <w:t xml:space="preserve"> </w:t>
      </w:r>
      <w:r w:rsidR="003A1F4E">
        <w:rPr>
          <w:rFonts w:ascii="Arial" w:hAnsi="Arial" w:cs="Arial"/>
          <w:kern w:val="0"/>
          <w:sz w:val="24"/>
          <w:szCs w:val="24"/>
        </w:rPr>
        <w:t xml:space="preserve">rural </w:t>
      </w:r>
      <w:r w:rsidR="00ED6358">
        <w:rPr>
          <w:rFonts w:ascii="Arial" w:hAnsi="Arial" w:cs="Arial"/>
          <w:kern w:val="0"/>
          <w:sz w:val="24"/>
          <w:szCs w:val="24"/>
        </w:rPr>
        <w:t>Malawi</w:t>
      </w:r>
      <w:r w:rsidR="003A1F4E">
        <w:rPr>
          <w:rFonts w:ascii="Arial" w:hAnsi="Arial" w:cs="Arial"/>
          <w:kern w:val="0"/>
          <w:sz w:val="24"/>
          <w:szCs w:val="24"/>
        </w:rPr>
        <w:t>, with</w:t>
      </w:r>
      <w:r w:rsidR="00AA19F4">
        <w:rPr>
          <w:rFonts w:ascii="Arial" w:hAnsi="Arial" w:cs="Arial"/>
          <w:kern w:val="0"/>
          <w:sz w:val="24"/>
          <w:szCs w:val="24"/>
        </w:rPr>
        <w:t xml:space="preserve"> </w:t>
      </w:r>
      <w:r w:rsidR="00ED6358">
        <w:rPr>
          <w:rFonts w:ascii="Arial" w:hAnsi="Arial" w:cs="Arial"/>
          <w:kern w:val="0"/>
          <w:sz w:val="24"/>
          <w:szCs w:val="24"/>
        </w:rPr>
        <w:t>specific focus on costs borne by patients requiring</w:t>
      </w:r>
      <w:r w:rsidR="00AA19F4">
        <w:rPr>
          <w:rFonts w:ascii="Arial" w:hAnsi="Arial" w:cs="Arial"/>
          <w:kern w:val="0"/>
          <w:sz w:val="24"/>
          <w:szCs w:val="24"/>
        </w:rPr>
        <w:t xml:space="preserve"> inpatient </w:t>
      </w:r>
      <w:r w:rsidR="00ED6358">
        <w:rPr>
          <w:rFonts w:ascii="Arial" w:hAnsi="Arial" w:cs="Arial"/>
          <w:kern w:val="0"/>
          <w:sz w:val="24"/>
          <w:szCs w:val="24"/>
        </w:rPr>
        <w:t>hospitalization</w:t>
      </w:r>
      <w:r w:rsidR="00AA19F4">
        <w:rPr>
          <w:rFonts w:ascii="Arial" w:hAnsi="Arial" w:cs="Arial"/>
          <w:kern w:val="0"/>
          <w:sz w:val="24"/>
          <w:szCs w:val="24"/>
        </w:rPr>
        <w:t>.</w:t>
      </w:r>
      <w:r w:rsidR="003A1F4E">
        <w:rPr>
          <w:rFonts w:ascii="Arial" w:hAnsi="Arial" w:cs="Arial"/>
          <w:kern w:val="0"/>
          <w:sz w:val="24"/>
          <w:szCs w:val="24"/>
        </w:rPr>
        <w:t xml:space="preserve"> </w:t>
      </w:r>
    </w:p>
    <w:p w14:paraId="203C9407" w14:textId="510FE411" w:rsidR="00AA19F4" w:rsidRPr="001612B3" w:rsidRDefault="008C446D" w:rsidP="009C6DF8">
      <w:pPr>
        <w:widowControl/>
        <w:wordWrap/>
        <w:autoSpaceDE/>
        <w:autoSpaceDN/>
        <w:spacing w:after="0" w:line="480" w:lineRule="auto"/>
        <w:rPr>
          <w:rFonts w:ascii="Arial" w:hAnsi="Arial" w:cs="Arial"/>
          <w:kern w:val="0"/>
          <w:sz w:val="24"/>
          <w:szCs w:val="24"/>
        </w:rPr>
      </w:pPr>
      <w:r w:rsidRPr="00ED6358">
        <w:rPr>
          <w:rFonts w:ascii="Arial" w:hAnsi="Arial" w:cs="Arial" w:hint="eastAsia"/>
          <w:b/>
          <w:kern w:val="0"/>
          <w:sz w:val="24"/>
          <w:szCs w:val="24"/>
        </w:rPr>
        <w:t>M</w:t>
      </w:r>
      <w:r w:rsidRPr="00ED6358">
        <w:rPr>
          <w:rFonts w:ascii="Arial" w:hAnsi="Arial" w:cs="Arial"/>
          <w:b/>
          <w:kern w:val="0"/>
          <w:sz w:val="24"/>
          <w:szCs w:val="24"/>
        </w:rPr>
        <w:t>ethods</w:t>
      </w:r>
      <w:r w:rsidR="00AA19F4" w:rsidRPr="00ED6358">
        <w:rPr>
          <w:rFonts w:ascii="Arial" w:hAnsi="Arial" w:cs="Arial"/>
          <w:b/>
          <w:kern w:val="0"/>
          <w:sz w:val="24"/>
          <w:szCs w:val="24"/>
        </w:rPr>
        <w:t>:</w:t>
      </w:r>
      <w:r w:rsidR="00AA19F4">
        <w:rPr>
          <w:rFonts w:ascii="Arial" w:hAnsi="Arial" w:cs="Arial"/>
          <w:kern w:val="0"/>
          <w:sz w:val="24"/>
          <w:szCs w:val="24"/>
        </w:rPr>
        <w:t xml:space="preserve"> </w:t>
      </w:r>
      <w:r w:rsidR="00ED6358">
        <w:rPr>
          <w:rFonts w:ascii="Arial" w:hAnsi="Arial" w:cs="Arial"/>
          <w:kern w:val="0"/>
          <w:sz w:val="24"/>
          <w:szCs w:val="24"/>
        </w:rPr>
        <w:t>We conducted a</w:t>
      </w:r>
      <w:r w:rsidR="00AA19F4">
        <w:rPr>
          <w:rFonts w:ascii="Arial" w:hAnsi="Arial" w:cs="Arial"/>
          <w:kern w:val="0"/>
          <w:sz w:val="24"/>
          <w:szCs w:val="24"/>
        </w:rPr>
        <w:t xml:space="preserve"> cross-sectional survey of </w:t>
      </w:r>
      <w:r w:rsidR="00AA19F4" w:rsidRPr="00AA19F4">
        <w:rPr>
          <w:rFonts w:ascii="Arial" w:hAnsi="Arial" w:cs="Arial"/>
          <w:kern w:val="0"/>
          <w:sz w:val="24"/>
          <w:szCs w:val="24"/>
        </w:rPr>
        <w:t>197 inpatients and 156 outpatients being treated for TB in rural Malawi</w:t>
      </w:r>
      <w:r w:rsidR="00AA19F4">
        <w:rPr>
          <w:rFonts w:ascii="Arial" w:hAnsi="Arial" w:cs="Arial"/>
          <w:kern w:val="0"/>
          <w:sz w:val="24"/>
          <w:szCs w:val="24"/>
        </w:rPr>
        <w:t xml:space="preserve">. </w:t>
      </w:r>
      <w:r w:rsidR="00B5203E">
        <w:rPr>
          <w:rFonts w:ascii="Arial" w:hAnsi="Arial" w:cs="Arial"/>
          <w:kern w:val="0"/>
          <w:sz w:val="24"/>
          <w:szCs w:val="24"/>
        </w:rPr>
        <w:t xml:space="preserve">We collected data on </w:t>
      </w:r>
      <w:r w:rsidR="0036218C" w:rsidRPr="0036218C">
        <w:rPr>
          <w:rFonts w:ascii="Arial" w:hAnsi="Arial" w:cs="Arial"/>
          <w:kern w:val="0"/>
          <w:sz w:val="24"/>
          <w:szCs w:val="24"/>
        </w:rPr>
        <w:t xml:space="preserve">out-of-pocket costs </w:t>
      </w:r>
      <w:r w:rsidR="00B5203E">
        <w:rPr>
          <w:rFonts w:ascii="Arial" w:hAnsi="Arial" w:cs="Arial"/>
          <w:kern w:val="0"/>
          <w:sz w:val="24"/>
          <w:szCs w:val="24"/>
        </w:rPr>
        <w:t>and lost wages</w:t>
      </w:r>
      <w:r w:rsidR="00ED6358">
        <w:rPr>
          <w:rFonts w:ascii="Arial" w:hAnsi="Arial" w:cs="Arial"/>
          <w:kern w:val="0"/>
          <w:sz w:val="24"/>
          <w:szCs w:val="24"/>
        </w:rPr>
        <w:t>, including costs to guardians</w:t>
      </w:r>
      <w:r w:rsidR="00B5203E">
        <w:rPr>
          <w:rFonts w:ascii="Arial" w:hAnsi="Arial" w:cs="Arial"/>
          <w:kern w:val="0"/>
          <w:sz w:val="24"/>
          <w:szCs w:val="24"/>
        </w:rPr>
        <w:t xml:space="preserve">. Costs for </w:t>
      </w:r>
      <w:r w:rsidR="00546874">
        <w:rPr>
          <w:rFonts w:ascii="Arial" w:hAnsi="Arial" w:cs="Arial"/>
          <w:kern w:val="0"/>
          <w:sz w:val="24"/>
          <w:szCs w:val="24"/>
        </w:rPr>
        <w:t xml:space="preserve">inpatient </w:t>
      </w:r>
      <w:r w:rsidR="00B5203E">
        <w:rPr>
          <w:rFonts w:ascii="Arial" w:hAnsi="Arial" w:cs="Arial"/>
          <w:kern w:val="0"/>
          <w:sz w:val="24"/>
          <w:szCs w:val="24"/>
        </w:rPr>
        <w:t xml:space="preserve">TB treatment were estimated and compared to costs for outpatient TB treatment. </w:t>
      </w:r>
      <w:r w:rsidR="00836449">
        <w:rPr>
          <w:rFonts w:ascii="Arial" w:hAnsi="Arial" w:cs="Arial"/>
          <w:kern w:val="0"/>
          <w:sz w:val="24"/>
          <w:szCs w:val="24"/>
        </w:rPr>
        <w:t>We then explored the equity distribution of inpatient TB treatment cost using concentration curves.</w:t>
      </w:r>
    </w:p>
    <w:p w14:paraId="3C7D41C3" w14:textId="575B1898" w:rsidR="00F01BF0" w:rsidRPr="001612B3" w:rsidRDefault="008C446D" w:rsidP="009C6DF8">
      <w:pPr>
        <w:widowControl/>
        <w:wordWrap/>
        <w:autoSpaceDE/>
        <w:autoSpaceDN/>
        <w:spacing w:after="0" w:line="480" w:lineRule="auto"/>
        <w:rPr>
          <w:rFonts w:ascii="Arial" w:hAnsi="Arial" w:cs="Arial"/>
          <w:kern w:val="0"/>
          <w:sz w:val="24"/>
          <w:szCs w:val="24"/>
        </w:rPr>
      </w:pPr>
      <w:r w:rsidRPr="00ED6358">
        <w:rPr>
          <w:rFonts w:ascii="Arial" w:hAnsi="Arial" w:cs="Arial" w:hint="eastAsia"/>
          <w:b/>
          <w:kern w:val="0"/>
          <w:sz w:val="24"/>
          <w:szCs w:val="24"/>
        </w:rPr>
        <w:t>R</w:t>
      </w:r>
      <w:r w:rsidRPr="00ED6358">
        <w:rPr>
          <w:rFonts w:ascii="Arial" w:hAnsi="Arial" w:cs="Arial"/>
          <w:b/>
          <w:kern w:val="0"/>
          <w:sz w:val="24"/>
          <w:szCs w:val="24"/>
        </w:rPr>
        <w:t>esults</w:t>
      </w:r>
      <w:r w:rsidR="002E025D" w:rsidRPr="00ED6358">
        <w:rPr>
          <w:rFonts w:ascii="Arial" w:hAnsi="Arial" w:cs="Arial"/>
          <w:b/>
          <w:kern w:val="0"/>
          <w:sz w:val="24"/>
          <w:szCs w:val="24"/>
        </w:rPr>
        <w:t>:</w:t>
      </w:r>
      <w:r w:rsidR="002E025D">
        <w:rPr>
          <w:rFonts w:ascii="Arial" w:hAnsi="Arial" w:cs="Arial"/>
          <w:kern w:val="0"/>
          <w:sz w:val="24"/>
          <w:szCs w:val="24"/>
        </w:rPr>
        <w:t xml:space="preserve"> </w:t>
      </w:r>
      <w:r w:rsidR="00DF0D03">
        <w:rPr>
          <w:rFonts w:ascii="Arial" w:hAnsi="Arial" w:cs="Arial"/>
          <w:kern w:val="0"/>
          <w:sz w:val="24"/>
          <w:szCs w:val="24"/>
        </w:rPr>
        <w:t>Despite free government services, inp</w:t>
      </w:r>
      <w:r w:rsidR="00ED6358">
        <w:rPr>
          <w:rFonts w:ascii="Arial" w:hAnsi="Arial" w:cs="Arial"/>
          <w:kern w:val="0"/>
          <w:sz w:val="24"/>
          <w:szCs w:val="24"/>
        </w:rPr>
        <w:t>atients</w:t>
      </w:r>
      <w:r w:rsidR="00CF73AE" w:rsidRPr="00CF73AE">
        <w:rPr>
          <w:rFonts w:ascii="Arial" w:hAnsi="Arial" w:cs="Arial"/>
          <w:kern w:val="0"/>
          <w:sz w:val="24"/>
          <w:szCs w:val="24"/>
        </w:rPr>
        <w:t xml:space="preserve"> w</w:t>
      </w:r>
      <w:r w:rsidR="00ED6358">
        <w:rPr>
          <w:rFonts w:ascii="Arial" w:hAnsi="Arial" w:cs="Arial"/>
          <w:kern w:val="0"/>
          <w:sz w:val="24"/>
          <w:szCs w:val="24"/>
        </w:rPr>
        <w:t>ere</w:t>
      </w:r>
      <w:r w:rsidR="00CF73AE" w:rsidRPr="00CF73AE">
        <w:rPr>
          <w:rFonts w:ascii="Arial" w:hAnsi="Arial" w:cs="Arial"/>
          <w:kern w:val="0"/>
          <w:sz w:val="24"/>
          <w:szCs w:val="24"/>
        </w:rPr>
        <w:t xml:space="preserve"> estimated to incur</w:t>
      </w:r>
      <w:r w:rsidR="00ED6358">
        <w:rPr>
          <w:rFonts w:ascii="Arial" w:hAnsi="Arial" w:cs="Arial"/>
          <w:kern w:val="0"/>
          <w:sz w:val="24"/>
          <w:szCs w:val="24"/>
        </w:rPr>
        <w:t xml:space="preserve"> a mean of</w:t>
      </w:r>
      <w:r w:rsidR="00CF73AE" w:rsidRPr="00CF73AE">
        <w:rPr>
          <w:rFonts w:ascii="Arial" w:hAnsi="Arial" w:cs="Arial"/>
          <w:kern w:val="0"/>
          <w:sz w:val="24"/>
          <w:szCs w:val="24"/>
        </w:rPr>
        <w:t xml:space="preserve"> $</w:t>
      </w:r>
      <w:r w:rsidR="00F66EFB" w:rsidRPr="00CF73AE">
        <w:rPr>
          <w:rFonts w:ascii="Arial" w:hAnsi="Arial" w:cs="Arial"/>
          <w:kern w:val="0"/>
          <w:sz w:val="24"/>
          <w:szCs w:val="24"/>
        </w:rPr>
        <w:t>1</w:t>
      </w:r>
      <w:r w:rsidR="00F66EFB">
        <w:rPr>
          <w:rFonts w:ascii="Arial" w:hAnsi="Arial" w:cs="Arial"/>
          <w:kern w:val="0"/>
          <w:sz w:val="24"/>
          <w:szCs w:val="24"/>
        </w:rPr>
        <w:t>3</w:t>
      </w:r>
      <w:r w:rsidR="00116871">
        <w:rPr>
          <w:rFonts w:ascii="Arial" w:hAnsi="Arial" w:cs="Arial"/>
          <w:kern w:val="0"/>
          <w:sz w:val="24"/>
          <w:szCs w:val="24"/>
        </w:rPr>
        <w:t>7</w:t>
      </w:r>
      <w:r w:rsidR="00F66EFB" w:rsidRPr="00CF73AE">
        <w:rPr>
          <w:rFonts w:ascii="Arial" w:hAnsi="Arial" w:cs="Arial"/>
          <w:kern w:val="0"/>
          <w:sz w:val="24"/>
          <w:szCs w:val="24"/>
        </w:rPr>
        <w:t xml:space="preserve"> </w:t>
      </w:r>
      <w:r w:rsidR="00ED6358">
        <w:rPr>
          <w:rFonts w:ascii="Arial" w:hAnsi="Arial" w:cs="Arial"/>
          <w:kern w:val="0"/>
          <w:sz w:val="24"/>
          <w:szCs w:val="24"/>
        </w:rPr>
        <w:t xml:space="preserve">(standard deviation: </w:t>
      </w:r>
      <w:r w:rsidR="00112DD6">
        <w:rPr>
          <w:rFonts w:ascii="Arial" w:hAnsi="Arial" w:cs="Arial"/>
          <w:kern w:val="0"/>
          <w:sz w:val="24"/>
          <w:szCs w:val="24"/>
        </w:rPr>
        <w:t>$</w:t>
      </w:r>
      <w:r w:rsidR="00F66EFB">
        <w:rPr>
          <w:rFonts w:ascii="Arial" w:hAnsi="Arial" w:cs="Arial"/>
          <w:kern w:val="0"/>
          <w:sz w:val="24"/>
          <w:szCs w:val="24"/>
        </w:rPr>
        <w:t>147</w:t>
      </w:r>
      <w:r w:rsidR="00ED6358">
        <w:rPr>
          <w:rFonts w:ascii="Arial" w:hAnsi="Arial" w:cs="Arial"/>
          <w:kern w:val="0"/>
          <w:sz w:val="24"/>
          <w:szCs w:val="24"/>
        </w:rPr>
        <w:t>) per</w:t>
      </w:r>
      <w:r w:rsidR="00DA23B7">
        <w:rPr>
          <w:rFonts w:ascii="Arial" w:hAnsi="Arial" w:cs="Arial"/>
          <w:kern w:val="0"/>
          <w:sz w:val="24"/>
          <w:szCs w:val="24"/>
        </w:rPr>
        <w:t xml:space="preserve"> </w:t>
      </w:r>
      <w:r w:rsidR="00F66EFB">
        <w:rPr>
          <w:rFonts w:ascii="Arial" w:hAnsi="Arial" w:cs="Arial"/>
          <w:kern w:val="0"/>
          <w:sz w:val="24"/>
          <w:szCs w:val="24"/>
        </w:rPr>
        <w:t xml:space="preserve">initial </w:t>
      </w:r>
      <w:r w:rsidR="00DA23B7">
        <w:rPr>
          <w:rFonts w:ascii="Arial" w:hAnsi="Arial" w:cs="Arial"/>
          <w:kern w:val="0"/>
          <w:sz w:val="24"/>
          <w:szCs w:val="24"/>
        </w:rPr>
        <w:t>TB</w:t>
      </w:r>
      <w:r w:rsidR="00CF73AE" w:rsidRPr="00CF73AE">
        <w:rPr>
          <w:rFonts w:ascii="Arial" w:hAnsi="Arial" w:cs="Arial"/>
          <w:kern w:val="0"/>
          <w:sz w:val="24"/>
          <w:szCs w:val="24"/>
        </w:rPr>
        <w:t xml:space="preserve"> </w:t>
      </w:r>
      <w:r w:rsidR="00ED6358">
        <w:rPr>
          <w:rFonts w:ascii="Arial" w:hAnsi="Arial" w:cs="Arial"/>
          <w:kern w:val="0"/>
          <w:sz w:val="24"/>
          <w:szCs w:val="24"/>
        </w:rPr>
        <w:t>episode</w:t>
      </w:r>
      <w:r w:rsidR="00CF73AE" w:rsidRPr="00CF73AE">
        <w:rPr>
          <w:rFonts w:ascii="Arial" w:hAnsi="Arial" w:cs="Arial"/>
          <w:kern w:val="0"/>
          <w:sz w:val="24"/>
          <w:szCs w:val="24"/>
        </w:rPr>
        <w:t xml:space="preserve">, </w:t>
      </w:r>
      <w:r w:rsidR="00ED6358">
        <w:rPr>
          <w:rFonts w:ascii="Arial" w:hAnsi="Arial" w:cs="Arial"/>
          <w:kern w:val="0"/>
          <w:sz w:val="24"/>
          <w:szCs w:val="24"/>
        </w:rPr>
        <w:t>corresponding to</w:t>
      </w:r>
      <w:r w:rsidR="00CF73AE" w:rsidRPr="00CF73AE">
        <w:rPr>
          <w:rFonts w:ascii="Arial" w:hAnsi="Arial" w:cs="Arial"/>
          <w:kern w:val="0"/>
          <w:sz w:val="24"/>
          <w:szCs w:val="24"/>
        </w:rPr>
        <w:t xml:space="preserve"> </w:t>
      </w:r>
      <w:r w:rsidR="00DF0D03">
        <w:rPr>
          <w:rFonts w:ascii="Arial" w:hAnsi="Arial" w:cs="Arial"/>
          <w:kern w:val="0"/>
          <w:sz w:val="24"/>
          <w:szCs w:val="24"/>
        </w:rPr>
        <w:t xml:space="preserve">&gt; </w:t>
      </w:r>
      <w:r w:rsidR="00116871">
        <w:rPr>
          <w:rFonts w:ascii="Arial" w:hAnsi="Arial" w:cs="Arial"/>
          <w:kern w:val="0"/>
          <w:sz w:val="24"/>
          <w:szCs w:val="24"/>
        </w:rPr>
        <w:t>50</w:t>
      </w:r>
      <w:r w:rsidR="00CF73AE" w:rsidRPr="00CF73AE">
        <w:rPr>
          <w:rFonts w:ascii="Arial" w:hAnsi="Arial" w:cs="Arial"/>
          <w:kern w:val="0"/>
          <w:sz w:val="24"/>
          <w:szCs w:val="24"/>
        </w:rPr>
        <w:t xml:space="preserve">% of annual household spending among </w:t>
      </w:r>
      <w:r w:rsidR="00ED6358">
        <w:rPr>
          <w:rFonts w:ascii="Arial" w:hAnsi="Arial" w:cs="Arial"/>
          <w:kern w:val="0"/>
          <w:sz w:val="24"/>
          <w:szCs w:val="24"/>
        </w:rPr>
        <w:t xml:space="preserve">patients in </w:t>
      </w:r>
      <w:r w:rsidR="00AA600D">
        <w:rPr>
          <w:rFonts w:ascii="Arial" w:hAnsi="Arial" w:cs="Arial"/>
          <w:kern w:val="0"/>
          <w:sz w:val="24"/>
          <w:szCs w:val="24"/>
        </w:rPr>
        <w:t xml:space="preserve">the </w:t>
      </w:r>
      <w:r w:rsidR="00ED6358">
        <w:rPr>
          <w:rFonts w:ascii="Arial" w:hAnsi="Arial" w:cs="Arial"/>
          <w:kern w:val="0"/>
          <w:sz w:val="24"/>
          <w:szCs w:val="24"/>
        </w:rPr>
        <w:t xml:space="preserve">lowest </w:t>
      </w:r>
      <w:r w:rsidR="00DF0D03">
        <w:rPr>
          <w:rFonts w:ascii="Arial" w:hAnsi="Arial" w:cs="Arial"/>
          <w:kern w:val="0"/>
          <w:sz w:val="24"/>
          <w:szCs w:val="24"/>
        </w:rPr>
        <w:t xml:space="preserve">expenditure </w:t>
      </w:r>
      <w:r w:rsidR="00CF73AE" w:rsidRPr="00CF73AE">
        <w:rPr>
          <w:rFonts w:ascii="Arial" w:hAnsi="Arial" w:cs="Arial"/>
          <w:kern w:val="0"/>
          <w:sz w:val="24"/>
          <w:szCs w:val="24"/>
        </w:rPr>
        <w:t>quintile.</w:t>
      </w:r>
      <w:r w:rsidR="00CF73AE">
        <w:rPr>
          <w:rFonts w:ascii="Arial" w:hAnsi="Arial" w:cs="Arial"/>
          <w:kern w:val="0"/>
          <w:sz w:val="24"/>
          <w:szCs w:val="24"/>
        </w:rPr>
        <w:t xml:space="preserve"> </w:t>
      </w:r>
      <w:r w:rsidR="00DF0D03">
        <w:rPr>
          <w:rFonts w:ascii="Arial" w:hAnsi="Arial" w:cs="Arial"/>
          <w:kern w:val="0"/>
          <w:sz w:val="24"/>
          <w:szCs w:val="24"/>
        </w:rPr>
        <w:t>Non-medical h</w:t>
      </w:r>
      <w:r w:rsidR="00ED6358">
        <w:rPr>
          <w:rFonts w:ascii="Arial" w:hAnsi="Arial" w:cs="Arial"/>
          <w:kern w:val="0"/>
          <w:sz w:val="24"/>
          <w:szCs w:val="24"/>
        </w:rPr>
        <w:t xml:space="preserve">ospitalization costs accounted for </w:t>
      </w:r>
      <w:r w:rsidR="00116871">
        <w:rPr>
          <w:rFonts w:ascii="Arial" w:hAnsi="Arial" w:cs="Arial"/>
          <w:kern w:val="0"/>
          <w:sz w:val="24"/>
          <w:szCs w:val="24"/>
        </w:rPr>
        <w:t>88</w:t>
      </w:r>
      <w:r w:rsidR="00ED6358">
        <w:rPr>
          <w:rFonts w:ascii="Arial" w:hAnsi="Arial" w:cs="Arial"/>
          <w:kern w:val="0"/>
          <w:sz w:val="24"/>
          <w:szCs w:val="24"/>
        </w:rPr>
        <w:t xml:space="preserve">% of this total. </w:t>
      </w:r>
      <w:r w:rsidR="00546874">
        <w:rPr>
          <w:rFonts w:ascii="Arial" w:hAnsi="Arial" w:cs="Arial"/>
          <w:kern w:val="0"/>
          <w:sz w:val="24"/>
          <w:szCs w:val="24"/>
        </w:rPr>
        <w:t>P</w:t>
      </w:r>
      <w:r w:rsidR="00CF73AE" w:rsidRPr="00CF73AE">
        <w:rPr>
          <w:rFonts w:ascii="Arial" w:hAnsi="Arial" w:cs="Arial"/>
          <w:kern w:val="0"/>
          <w:sz w:val="24"/>
          <w:szCs w:val="24"/>
        </w:rPr>
        <w:t>atient</w:t>
      </w:r>
      <w:r w:rsidR="00ED6358">
        <w:rPr>
          <w:rFonts w:ascii="Arial" w:hAnsi="Arial" w:cs="Arial"/>
          <w:kern w:val="0"/>
          <w:sz w:val="24"/>
          <w:szCs w:val="24"/>
        </w:rPr>
        <w:t>s</w:t>
      </w:r>
      <w:r w:rsidR="00CF73AE" w:rsidRPr="00CF73AE">
        <w:rPr>
          <w:rFonts w:ascii="Arial" w:hAnsi="Arial" w:cs="Arial"/>
          <w:kern w:val="0"/>
          <w:sz w:val="24"/>
          <w:szCs w:val="24"/>
        </w:rPr>
        <w:t xml:space="preserve"> treated entirely as outpatient</w:t>
      </w:r>
      <w:r w:rsidR="00ED6358">
        <w:rPr>
          <w:rFonts w:ascii="Arial" w:hAnsi="Arial" w:cs="Arial"/>
          <w:kern w:val="0"/>
          <w:sz w:val="24"/>
          <w:szCs w:val="24"/>
        </w:rPr>
        <w:t>s</w:t>
      </w:r>
      <w:r w:rsidR="00CF73AE" w:rsidRPr="00CF73AE">
        <w:rPr>
          <w:rFonts w:ascii="Arial" w:hAnsi="Arial" w:cs="Arial"/>
          <w:kern w:val="0"/>
          <w:sz w:val="24"/>
          <w:szCs w:val="24"/>
        </w:rPr>
        <w:t xml:space="preserve"> incurred </w:t>
      </w:r>
      <w:r w:rsidR="00ED6358">
        <w:rPr>
          <w:rFonts w:ascii="Arial" w:hAnsi="Arial" w:cs="Arial"/>
          <w:kern w:val="0"/>
          <w:sz w:val="24"/>
          <w:szCs w:val="24"/>
        </w:rPr>
        <w:t xml:space="preserve">estimated </w:t>
      </w:r>
      <w:r w:rsidR="00CF73AE" w:rsidRPr="00CF73AE">
        <w:rPr>
          <w:rFonts w:ascii="Arial" w:hAnsi="Arial" w:cs="Arial"/>
          <w:kern w:val="0"/>
          <w:sz w:val="24"/>
          <w:szCs w:val="24"/>
        </w:rPr>
        <w:t>costs of $25</w:t>
      </w:r>
      <w:r w:rsidR="00D65A43">
        <w:rPr>
          <w:rFonts w:ascii="Arial" w:hAnsi="Arial" w:cs="Arial"/>
          <w:kern w:val="0"/>
          <w:sz w:val="24"/>
          <w:szCs w:val="24"/>
        </w:rPr>
        <w:t xml:space="preserve"> (standard deviation: $15) </w:t>
      </w:r>
      <w:r w:rsidR="00CF73AE" w:rsidRPr="00CF73AE">
        <w:rPr>
          <w:rFonts w:ascii="Arial" w:hAnsi="Arial" w:cs="Arial"/>
          <w:kern w:val="0"/>
          <w:sz w:val="24"/>
          <w:szCs w:val="24"/>
        </w:rPr>
        <w:t>per episode</w:t>
      </w:r>
      <w:r w:rsidR="00CF73AE">
        <w:rPr>
          <w:rFonts w:ascii="Arial" w:hAnsi="Arial" w:cs="Arial"/>
          <w:kern w:val="0"/>
          <w:sz w:val="24"/>
          <w:szCs w:val="24"/>
        </w:rPr>
        <w:t>.</w:t>
      </w:r>
      <w:r w:rsidR="00836449">
        <w:rPr>
          <w:rFonts w:ascii="Arial" w:hAnsi="Arial" w:cs="Arial"/>
          <w:kern w:val="0"/>
          <w:sz w:val="24"/>
          <w:szCs w:val="24"/>
        </w:rPr>
        <w:t xml:space="preserve"> The concentration curves showed that</w:t>
      </w:r>
      <w:r w:rsidR="00F01BF0">
        <w:rPr>
          <w:rFonts w:ascii="Arial" w:hAnsi="Arial" w:cs="Arial"/>
          <w:kern w:val="0"/>
          <w:sz w:val="24"/>
          <w:szCs w:val="24"/>
        </w:rPr>
        <w:t>, among individuals hospitalized for an initial TB episode,</w:t>
      </w:r>
      <w:r w:rsidR="00836449">
        <w:rPr>
          <w:rFonts w:ascii="Arial" w:hAnsi="Arial" w:cs="Arial"/>
          <w:kern w:val="0"/>
          <w:sz w:val="24"/>
          <w:szCs w:val="24"/>
        </w:rPr>
        <w:t xml:space="preserve"> poorer patients </w:t>
      </w:r>
      <w:r w:rsidR="00334611">
        <w:rPr>
          <w:rFonts w:ascii="Arial" w:hAnsi="Arial" w:cs="Arial"/>
          <w:kern w:val="0"/>
          <w:sz w:val="24"/>
          <w:szCs w:val="24"/>
        </w:rPr>
        <w:t>shouldered a much greater proportion of inpatient TB treatment cost</w:t>
      </w:r>
      <w:r w:rsidR="00407D40">
        <w:rPr>
          <w:rFonts w:ascii="Arial" w:hAnsi="Arial" w:cs="Arial"/>
          <w:kern w:val="0"/>
          <w:sz w:val="24"/>
          <w:szCs w:val="24"/>
        </w:rPr>
        <w:t>s</w:t>
      </w:r>
      <w:r w:rsidR="00334611">
        <w:rPr>
          <w:rFonts w:ascii="Arial" w:hAnsi="Arial" w:cs="Arial"/>
          <w:kern w:val="0"/>
          <w:sz w:val="24"/>
          <w:szCs w:val="24"/>
        </w:rPr>
        <w:t xml:space="preserve"> than wealthier ones (c</w:t>
      </w:r>
      <w:r w:rsidR="00836449">
        <w:rPr>
          <w:rFonts w:ascii="Arial" w:hAnsi="Arial" w:cs="Arial"/>
          <w:kern w:val="0"/>
          <w:sz w:val="24"/>
          <w:szCs w:val="24"/>
        </w:rPr>
        <w:t>oncentration ind</w:t>
      </w:r>
      <w:r w:rsidR="00407D40">
        <w:rPr>
          <w:rFonts w:ascii="Arial" w:hAnsi="Arial" w:cs="Arial"/>
          <w:kern w:val="0"/>
          <w:sz w:val="24"/>
          <w:szCs w:val="24"/>
        </w:rPr>
        <w:t>ex</w:t>
      </w:r>
      <w:r w:rsidR="00546874">
        <w:rPr>
          <w:rFonts w:ascii="Arial" w:hAnsi="Arial" w:cs="Arial"/>
          <w:kern w:val="0"/>
          <w:sz w:val="24"/>
          <w:szCs w:val="24"/>
        </w:rPr>
        <w:t xml:space="preserve">: </w:t>
      </w:r>
      <w:r w:rsidR="00334611">
        <w:rPr>
          <w:rFonts w:ascii="Arial" w:hAnsi="Arial" w:cs="Arial"/>
          <w:kern w:val="0"/>
          <w:sz w:val="24"/>
          <w:szCs w:val="24"/>
        </w:rPr>
        <w:t>-0.</w:t>
      </w:r>
      <w:r w:rsidR="00546874">
        <w:rPr>
          <w:rFonts w:ascii="Arial" w:hAnsi="Arial" w:cs="Arial"/>
          <w:kern w:val="0"/>
          <w:sz w:val="24"/>
          <w:szCs w:val="24"/>
        </w:rPr>
        <w:t>279).</w:t>
      </w:r>
    </w:p>
    <w:p w14:paraId="483387C4" w14:textId="22FD3418" w:rsidR="008C446D" w:rsidRDefault="008C446D" w:rsidP="00546874">
      <w:pPr>
        <w:widowControl/>
        <w:wordWrap/>
        <w:autoSpaceDE/>
        <w:autoSpaceDN/>
        <w:spacing w:after="0" w:line="480" w:lineRule="auto"/>
        <w:rPr>
          <w:rFonts w:ascii="Arial" w:hAnsi="Arial" w:cs="Arial"/>
          <w:kern w:val="0"/>
          <w:sz w:val="24"/>
          <w:szCs w:val="24"/>
        </w:rPr>
      </w:pPr>
      <w:r w:rsidRPr="00ED6358">
        <w:rPr>
          <w:rFonts w:ascii="Arial" w:hAnsi="Arial" w:cs="Arial" w:hint="eastAsia"/>
          <w:b/>
          <w:kern w:val="0"/>
          <w:sz w:val="24"/>
          <w:szCs w:val="24"/>
        </w:rPr>
        <w:t>C</w:t>
      </w:r>
      <w:r w:rsidRPr="00ED6358">
        <w:rPr>
          <w:rFonts w:ascii="Arial" w:hAnsi="Arial" w:cs="Arial"/>
          <w:b/>
          <w:kern w:val="0"/>
          <w:sz w:val="24"/>
          <w:szCs w:val="24"/>
        </w:rPr>
        <w:t>onclusion</w:t>
      </w:r>
      <w:r w:rsidR="00DA23B7" w:rsidRPr="00ED6358">
        <w:rPr>
          <w:rFonts w:ascii="Arial" w:hAnsi="Arial" w:cs="Arial"/>
          <w:b/>
          <w:kern w:val="0"/>
          <w:sz w:val="24"/>
          <w:szCs w:val="24"/>
        </w:rPr>
        <w:t>:</w:t>
      </w:r>
      <w:r w:rsidR="00DA23B7">
        <w:rPr>
          <w:rFonts w:ascii="Arial" w:hAnsi="Arial" w:cs="Arial"/>
          <w:kern w:val="0"/>
          <w:sz w:val="24"/>
          <w:szCs w:val="24"/>
        </w:rPr>
        <w:t xml:space="preserve"> </w:t>
      </w:r>
      <w:r w:rsidR="00ED6358">
        <w:rPr>
          <w:rFonts w:ascii="Arial" w:hAnsi="Arial" w:cs="Arial"/>
          <w:kern w:val="0"/>
          <w:sz w:val="24"/>
          <w:szCs w:val="24"/>
        </w:rPr>
        <w:t>P</w:t>
      </w:r>
      <w:r w:rsidR="00DA23B7" w:rsidRPr="00DA23B7">
        <w:rPr>
          <w:rFonts w:ascii="Arial" w:hAnsi="Arial" w:cs="Arial"/>
          <w:kern w:val="0"/>
          <w:sz w:val="24"/>
          <w:szCs w:val="24"/>
        </w:rPr>
        <w:t>atients hospitalized for TB in resource-limited rural Malawi experience devastating costs of TB treatment.</w:t>
      </w:r>
      <w:r w:rsidR="00DA23B7">
        <w:rPr>
          <w:rFonts w:ascii="Arial" w:hAnsi="Arial" w:cs="Arial"/>
          <w:kern w:val="0"/>
          <w:sz w:val="24"/>
          <w:szCs w:val="24"/>
        </w:rPr>
        <w:t xml:space="preserve"> </w:t>
      </w:r>
      <w:bookmarkStart w:id="1" w:name="_Hlk23853377"/>
      <w:r w:rsidR="00ED6358">
        <w:rPr>
          <w:rFonts w:ascii="Arial" w:hAnsi="Arial" w:cs="Arial"/>
          <w:kern w:val="0"/>
          <w:sz w:val="24"/>
          <w:szCs w:val="24"/>
        </w:rPr>
        <w:t>E</w:t>
      </w:r>
      <w:r w:rsidR="00DA23B7" w:rsidRPr="00DA23B7">
        <w:rPr>
          <w:rFonts w:ascii="Arial" w:hAnsi="Arial" w:cs="Arial"/>
          <w:kern w:val="0"/>
          <w:sz w:val="24"/>
          <w:szCs w:val="24"/>
        </w:rPr>
        <w:t>arlier diagnosis and treatment must be prioritized if we are to meet goals of effective TB control, avoidance of catastrophic costs, and provision of appropriate patient-centered care in such settings</w:t>
      </w:r>
      <w:bookmarkEnd w:id="1"/>
      <w:r w:rsidR="00DA23B7" w:rsidRPr="00DA23B7">
        <w:rPr>
          <w:rFonts w:ascii="Arial" w:hAnsi="Arial" w:cs="Arial"/>
          <w:kern w:val="0"/>
          <w:sz w:val="24"/>
          <w:szCs w:val="24"/>
        </w:rPr>
        <w:t xml:space="preserve">. </w:t>
      </w:r>
    </w:p>
    <w:p w14:paraId="4C02BEB6" w14:textId="7FA594FB" w:rsidR="00695A23" w:rsidRDefault="00695A23" w:rsidP="00F17701">
      <w:pPr>
        <w:spacing w:line="480" w:lineRule="auto"/>
        <w:rPr>
          <w:rFonts w:ascii="Arial" w:hAnsi="Arial" w:cs="Arial"/>
          <w:kern w:val="0"/>
          <w:sz w:val="24"/>
          <w:szCs w:val="24"/>
        </w:rPr>
      </w:pPr>
      <w:r w:rsidRPr="00836449">
        <w:rPr>
          <w:rFonts w:ascii="Arial" w:hAnsi="Arial" w:cs="Arial"/>
          <w:b/>
          <w:bCs/>
          <w:kern w:val="0"/>
          <w:sz w:val="24"/>
          <w:szCs w:val="24"/>
        </w:rPr>
        <w:lastRenderedPageBreak/>
        <w:t>Keywords:</w:t>
      </w:r>
      <w:r>
        <w:rPr>
          <w:rFonts w:ascii="Arial" w:hAnsi="Arial" w:cs="Arial"/>
          <w:kern w:val="0"/>
          <w:sz w:val="24"/>
          <w:szCs w:val="24"/>
        </w:rPr>
        <w:t xml:space="preserve"> Tuberculosis</w:t>
      </w:r>
      <w:r w:rsidR="00112DD6">
        <w:rPr>
          <w:rFonts w:ascii="Arial" w:hAnsi="Arial" w:cs="Arial"/>
          <w:kern w:val="0"/>
          <w:sz w:val="24"/>
          <w:szCs w:val="24"/>
        </w:rPr>
        <w:t xml:space="preserve"> (TB)</w:t>
      </w:r>
      <w:r>
        <w:rPr>
          <w:rFonts w:ascii="Arial" w:hAnsi="Arial" w:cs="Arial"/>
          <w:kern w:val="0"/>
          <w:sz w:val="24"/>
          <w:szCs w:val="24"/>
        </w:rPr>
        <w:t xml:space="preserve">, </w:t>
      </w:r>
      <w:r w:rsidR="00112DD6">
        <w:rPr>
          <w:rFonts w:ascii="Arial" w:hAnsi="Arial" w:cs="Arial"/>
          <w:kern w:val="0"/>
          <w:sz w:val="24"/>
          <w:szCs w:val="24"/>
        </w:rPr>
        <w:t>patient-incurred cost</w:t>
      </w:r>
      <w:r>
        <w:rPr>
          <w:rFonts w:ascii="Arial" w:hAnsi="Arial" w:cs="Arial"/>
          <w:kern w:val="0"/>
          <w:sz w:val="24"/>
          <w:szCs w:val="24"/>
        </w:rPr>
        <w:t xml:space="preserve">, </w:t>
      </w:r>
      <w:r w:rsidR="00112DD6">
        <w:rPr>
          <w:rFonts w:ascii="Arial" w:hAnsi="Arial" w:cs="Arial"/>
          <w:kern w:val="0"/>
          <w:sz w:val="24"/>
          <w:szCs w:val="24"/>
        </w:rPr>
        <w:t xml:space="preserve">inpatient, </w:t>
      </w:r>
      <w:r w:rsidR="00087672">
        <w:rPr>
          <w:rFonts w:ascii="Arial" w:hAnsi="Arial" w:cs="Arial"/>
          <w:kern w:val="0"/>
          <w:sz w:val="24"/>
          <w:szCs w:val="24"/>
        </w:rPr>
        <w:t>Malawi, rural</w:t>
      </w:r>
    </w:p>
    <w:p w14:paraId="7B79A480" w14:textId="77777777" w:rsidR="00695A23" w:rsidRDefault="00695A23" w:rsidP="00F17701">
      <w:pPr>
        <w:spacing w:line="480" w:lineRule="auto"/>
        <w:rPr>
          <w:rFonts w:ascii="Arial" w:hAnsi="Arial" w:cs="Arial"/>
          <w:kern w:val="0"/>
          <w:sz w:val="24"/>
          <w:szCs w:val="24"/>
        </w:rPr>
      </w:pPr>
    </w:p>
    <w:p w14:paraId="58B47558" w14:textId="16DCF44A" w:rsidR="00087672" w:rsidRDefault="00087672" w:rsidP="00F17701">
      <w:pPr>
        <w:spacing w:line="480" w:lineRule="auto"/>
        <w:rPr>
          <w:rFonts w:ascii="Arial" w:hAnsi="Arial" w:cs="Arial"/>
          <w:kern w:val="0"/>
          <w:sz w:val="24"/>
          <w:szCs w:val="24"/>
        </w:rPr>
      </w:pPr>
    </w:p>
    <w:p w14:paraId="67F0D9F4" w14:textId="0D3B157A" w:rsidR="00695A23" w:rsidRPr="00087672" w:rsidRDefault="00695A23" w:rsidP="00F17701">
      <w:pPr>
        <w:spacing w:line="480" w:lineRule="auto"/>
        <w:rPr>
          <w:rFonts w:ascii="Arial" w:hAnsi="Arial" w:cs="Arial"/>
          <w:kern w:val="0"/>
          <w:sz w:val="24"/>
          <w:szCs w:val="24"/>
        </w:rPr>
        <w:sectPr w:rsidR="00695A23" w:rsidRPr="00087672" w:rsidSect="00BA4636">
          <w:headerReference w:type="default" r:id="rId7"/>
          <w:footerReference w:type="default" r:id="rId8"/>
          <w:pgSz w:w="12242" w:h="15842" w:code="1"/>
          <w:pgMar w:top="1701" w:right="1440" w:bottom="1440" w:left="1440" w:header="464" w:footer="548" w:gutter="0"/>
          <w:lnNumType w:countBy="1" w:restart="continuous"/>
          <w:cols w:space="425"/>
          <w:docGrid w:linePitch="360"/>
        </w:sectPr>
      </w:pPr>
    </w:p>
    <w:p w14:paraId="6730AF96" w14:textId="578B8489" w:rsidR="00A90EEF" w:rsidRPr="00081F10" w:rsidRDefault="00081F10" w:rsidP="009C6DF8">
      <w:pPr>
        <w:wordWrap/>
        <w:adjustRightInd w:val="0"/>
        <w:snapToGrid w:val="0"/>
        <w:spacing w:after="0" w:line="480" w:lineRule="auto"/>
        <w:jc w:val="left"/>
        <w:rPr>
          <w:rFonts w:ascii="Arial" w:hAnsi="Arial" w:cs="Arial"/>
          <w:bCs/>
          <w:sz w:val="24"/>
          <w:szCs w:val="24"/>
        </w:rPr>
      </w:pPr>
      <w:r w:rsidRPr="00081F10">
        <w:rPr>
          <w:rFonts w:ascii="Arial" w:hAnsi="Arial" w:cs="Arial"/>
          <w:b/>
          <w:sz w:val="24"/>
          <w:szCs w:val="24"/>
        </w:rPr>
        <w:lastRenderedPageBreak/>
        <w:t xml:space="preserve">INTRODUCTION </w:t>
      </w:r>
    </w:p>
    <w:p w14:paraId="51CD096C" w14:textId="740259D6" w:rsidR="00A90EEF" w:rsidRPr="009C6DF8" w:rsidRDefault="00A90EEF" w:rsidP="009C6DF8">
      <w:pPr>
        <w:wordWrap/>
        <w:adjustRightInd w:val="0"/>
        <w:snapToGrid w:val="0"/>
        <w:spacing w:after="0" w:line="480" w:lineRule="auto"/>
        <w:jc w:val="left"/>
        <w:rPr>
          <w:rFonts w:ascii="Arial" w:hAnsi="Arial" w:cs="Arial"/>
          <w:kern w:val="0"/>
          <w:sz w:val="24"/>
          <w:szCs w:val="24"/>
        </w:rPr>
      </w:pPr>
      <w:r w:rsidRPr="009C6DF8">
        <w:rPr>
          <w:rFonts w:ascii="Arial" w:hAnsi="Arial" w:cs="Arial" w:hint="eastAsia"/>
          <w:kern w:val="0"/>
          <w:sz w:val="24"/>
          <w:szCs w:val="24"/>
        </w:rPr>
        <w:t>T</w:t>
      </w:r>
      <w:r w:rsidRPr="009C6DF8">
        <w:rPr>
          <w:rFonts w:ascii="Arial" w:hAnsi="Arial" w:cs="Arial"/>
          <w:kern w:val="0"/>
          <w:sz w:val="24"/>
          <w:szCs w:val="24"/>
        </w:rPr>
        <w:t>uberculosis (TB) is the world’s deadliest infectious disease, with an estimated 10 million people developing new active TB and more than 1.5 million dying from TB each year</w:t>
      </w:r>
      <w:r w:rsidR="000851F8">
        <w:rPr>
          <w:rFonts w:ascii="Arial" w:hAnsi="Arial" w:cs="Arial"/>
          <w:kern w:val="0"/>
          <w:sz w:val="24"/>
          <w:szCs w:val="24"/>
        </w:rPr>
        <w:t xml:space="preserve"> (1)</w:t>
      </w:r>
      <w:r w:rsidRPr="009C6DF8">
        <w:rPr>
          <w:rFonts w:ascii="Arial" w:hAnsi="Arial" w:cs="Arial"/>
          <w:kern w:val="0"/>
          <w:sz w:val="24"/>
          <w:szCs w:val="24"/>
        </w:rPr>
        <w:t>. Although TB treatment is provided free of charge in most high-burden countries, non-medical costs for such expenses as transport to health facilities, temporary accommodation, childcare and food are still shouldered by people being treated for TB</w:t>
      </w:r>
      <w:r w:rsidR="000851F8">
        <w:rPr>
          <w:rFonts w:ascii="Arial" w:hAnsi="Arial" w:cs="Arial"/>
          <w:kern w:val="0"/>
          <w:sz w:val="24"/>
          <w:szCs w:val="24"/>
        </w:rPr>
        <w:t xml:space="preserve"> </w:t>
      </w:r>
      <w:r w:rsidR="00456A26">
        <w:rPr>
          <w:rFonts w:ascii="Arial" w:hAnsi="Arial" w:cs="Arial"/>
          <w:kern w:val="0"/>
          <w:sz w:val="24"/>
          <w:szCs w:val="24"/>
        </w:rPr>
        <w:t xml:space="preserve">and their households </w:t>
      </w:r>
      <w:r w:rsidR="000851F8">
        <w:rPr>
          <w:rFonts w:ascii="Arial" w:hAnsi="Arial" w:cs="Arial"/>
          <w:kern w:val="0"/>
          <w:sz w:val="24"/>
          <w:szCs w:val="24"/>
        </w:rPr>
        <w:t>(4-5)</w:t>
      </w:r>
      <w:r w:rsidRPr="009C6DF8">
        <w:rPr>
          <w:rFonts w:ascii="Arial" w:hAnsi="Arial" w:cs="Arial"/>
          <w:kern w:val="0"/>
          <w:sz w:val="24"/>
          <w:szCs w:val="24"/>
        </w:rPr>
        <w:t>. This burden may be particularly severe for patients in rural settings with very few resources, especially those who require extended hospitalization after presenting with advanced disease. Indeed, a negative cycle often develops where</w:t>
      </w:r>
      <w:r w:rsidR="00DF0D03">
        <w:rPr>
          <w:rFonts w:ascii="Arial" w:hAnsi="Arial" w:cs="Arial"/>
          <w:kern w:val="0"/>
          <w:sz w:val="24"/>
          <w:szCs w:val="24"/>
        </w:rPr>
        <w:t>by</w:t>
      </w:r>
      <w:r w:rsidRPr="009C6DF8">
        <w:rPr>
          <w:rFonts w:ascii="Arial" w:hAnsi="Arial" w:cs="Arial"/>
          <w:kern w:val="0"/>
          <w:sz w:val="24"/>
          <w:szCs w:val="24"/>
        </w:rPr>
        <w:t xml:space="preserve"> high perceived costs cause individuals to delay seeking care, in turn resulting in more severe disease at presentation and the need for even costlier interventions such as hospitalization – with both the initial barriers to seeking care and the economic consequences of hospitalization disproportionately affecting the poor. This cycle is further exacerbated by the fact that TB often affects adults in their most productive years, resulting in loss of key household income</w:t>
      </w:r>
      <w:r w:rsidR="000851F8">
        <w:rPr>
          <w:rFonts w:ascii="Arial" w:hAnsi="Arial" w:cs="Arial"/>
          <w:kern w:val="0"/>
          <w:sz w:val="24"/>
          <w:szCs w:val="24"/>
        </w:rPr>
        <w:t xml:space="preserve"> (6)</w:t>
      </w:r>
      <w:r w:rsidRPr="009C6DF8">
        <w:rPr>
          <w:rFonts w:ascii="Arial" w:hAnsi="Arial" w:cs="Arial"/>
          <w:kern w:val="0"/>
          <w:sz w:val="24"/>
          <w:szCs w:val="24"/>
        </w:rPr>
        <w:t xml:space="preserve">. </w:t>
      </w:r>
    </w:p>
    <w:p w14:paraId="41EF5EB5" w14:textId="193D6AB2" w:rsidR="00A90EEF" w:rsidRPr="009C6DF8" w:rsidRDefault="00A90EEF" w:rsidP="009C6DF8">
      <w:pPr>
        <w:wordWrap/>
        <w:adjustRightInd w:val="0"/>
        <w:snapToGrid w:val="0"/>
        <w:spacing w:after="0" w:line="480" w:lineRule="auto"/>
        <w:jc w:val="left"/>
        <w:rPr>
          <w:rFonts w:ascii="Arial" w:hAnsi="Arial" w:cs="Arial"/>
          <w:kern w:val="0"/>
          <w:sz w:val="24"/>
          <w:szCs w:val="24"/>
        </w:rPr>
      </w:pPr>
      <w:r w:rsidRPr="009C6DF8">
        <w:rPr>
          <w:rFonts w:ascii="Arial" w:hAnsi="Arial" w:cs="Arial"/>
          <w:kern w:val="0"/>
          <w:sz w:val="24"/>
          <w:szCs w:val="24"/>
        </w:rPr>
        <w:t xml:space="preserve">In 2017, the World Health Organization (WHO) and World Bank reported that 10% of the world’s population experience catastrophic health expenditures, </w:t>
      </w:r>
      <w:r w:rsidR="00DF0D03">
        <w:rPr>
          <w:rFonts w:ascii="Arial" w:hAnsi="Arial" w:cs="Arial"/>
          <w:kern w:val="0"/>
          <w:sz w:val="24"/>
          <w:szCs w:val="24"/>
        </w:rPr>
        <w:t>and</w:t>
      </w:r>
      <w:r w:rsidRPr="009C6DF8">
        <w:rPr>
          <w:rFonts w:ascii="Arial" w:hAnsi="Arial" w:cs="Arial"/>
          <w:kern w:val="0"/>
          <w:sz w:val="24"/>
          <w:szCs w:val="24"/>
        </w:rPr>
        <w:t xml:space="preserve"> urg</w:t>
      </w:r>
      <w:r w:rsidR="00DF0D03">
        <w:rPr>
          <w:rFonts w:ascii="Arial" w:hAnsi="Arial" w:cs="Arial"/>
          <w:kern w:val="0"/>
          <w:sz w:val="24"/>
          <w:szCs w:val="24"/>
        </w:rPr>
        <w:t xml:space="preserve">ed </w:t>
      </w:r>
      <w:r w:rsidRPr="009C6DF8">
        <w:rPr>
          <w:rFonts w:ascii="Arial" w:hAnsi="Arial" w:cs="Arial"/>
          <w:kern w:val="0"/>
          <w:sz w:val="24"/>
          <w:szCs w:val="24"/>
        </w:rPr>
        <w:t>countries to implement universal health coverage</w:t>
      </w:r>
      <w:r w:rsidR="000851F8">
        <w:rPr>
          <w:rFonts w:ascii="Arial" w:hAnsi="Arial" w:cs="Arial"/>
          <w:kern w:val="0"/>
          <w:sz w:val="24"/>
          <w:szCs w:val="24"/>
        </w:rPr>
        <w:t xml:space="preserve"> (7)</w:t>
      </w:r>
      <w:r w:rsidRPr="009C6DF8">
        <w:rPr>
          <w:rFonts w:ascii="Arial" w:hAnsi="Arial" w:cs="Arial"/>
          <w:kern w:val="0"/>
          <w:sz w:val="24"/>
          <w:szCs w:val="24"/>
        </w:rPr>
        <w:t xml:space="preserve">. </w:t>
      </w:r>
      <w:r w:rsidR="00DF0D03">
        <w:rPr>
          <w:rFonts w:ascii="Arial" w:hAnsi="Arial" w:cs="Arial"/>
          <w:kern w:val="0"/>
          <w:sz w:val="24"/>
          <w:szCs w:val="24"/>
        </w:rPr>
        <w:t>T</w:t>
      </w:r>
      <w:r w:rsidRPr="009C6DF8">
        <w:rPr>
          <w:rFonts w:ascii="Arial" w:hAnsi="Arial" w:cs="Arial"/>
          <w:kern w:val="0"/>
          <w:sz w:val="24"/>
          <w:szCs w:val="24"/>
        </w:rPr>
        <w:t xml:space="preserve">he End TB Strategy </w:t>
      </w:r>
      <w:r w:rsidR="00DF0D03">
        <w:rPr>
          <w:rFonts w:ascii="Arial" w:hAnsi="Arial" w:cs="Arial"/>
          <w:kern w:val="0"/>
          <w:sz w:val="24"/>
          <w:szCs w:val="24"/>
        </w:rPr>
        <w:t>includes</w:t>
      </w:r>
      <w:r w:rsidRPr="009C6DF8">
        <w:rPr>
          <w:rFonts w:ascii="Arial" w:hAnsi="Arial" w:cs="Arial"/>
          <w:kern w:val="0"/>
          <w:sz w:val="24"/>
          <w:szCs w:val="24"/>
        </w:rPr>
        <w:t xml:space="preserve"> a target of zero catastrophic costs due to TB by 2020</w:t>
      </w:r>
      <w:r w:rsidR="000851F8">
        <w:rPr>
          <w:rFonts w:ascii="Arial" w:hAnsi="Arial" w:cs="Arial"/>
          <w:kern w:val="0"/>
          <w:sz w:val="24"/>
          <w:szCs w:val="24"/>
        </w:rPr>
        <w:t xml:space="preserve"> (1)</w:t>
      </w:r>
      <w:r w:rsidRPr="009C6DF8">
        <w:rPr>
          <w:rFonts w:ascii="Arial" w:hAnsi="Arial" w:cs="Arial"/>
          <w:kern w:val="0"/>
          <w:sz w:val="24"/>
          <w:szCs w:val="24"/>
        </w:rPr>
        <w:t xml:space="preserve">. Eliminating barriers and expanding access to care can </w:t>
      </w:r>
      <w:r w:rsidR="002D5D7F">
        <w:rPr>
          <w:rFonts w:ascii="Arial" w:hAnsi="Arial" w:cs="Arial"/>
          <w:kern w:val="0"/>
          <w:sz w:val="24"/>
          <w:szCs w:val="24"/>
        </w:rPr>
        <w:t>mitigate TB</w:t>
      </w:r>
      <w:r w:rsidRPr="009C6DF8">
        <w:rPr>
          <w:rFonts w:ascii="Arial" w:hAnsi="Arial" w:cs="Arial"/>
          <w:kern w:val="0"/>
          <w:sz w:val="24"/>
          <w:szCs w:val="24"/>
        </w:rPr>
        <w:t>-related catastrophic costs</w:t>
      </w:r>
      <w:r w:rsidR="009E627D">
        <w:rPr>
          <w:rFonts w:ascii="Arial" w:hAnsi="Arial" w:cs="Arial"/>
          <w:kern w:val="0"/>
          <w:sz w:val="24"/>
          <w:szCs w:val="24"/>
        </w:rPr>
        <w:t xml:space="preserve"> </w:t>
      </w:r>
      <w:r w:rsidR="000851F8">
        <w:rPr>
          <w:rFonts w:ascii="Arial" w:hAnsi="Arial" w:cs="Arial"/>
          <w:kern w:val="0"/>
          <w:sz w:val="24"/>
          <w:szCs w:val="24"/>
        </w:rPr>
        <w:t>(8)</w:t>
      </w:r>
      <w:r w:rsidR="002D5D7F">
        <w:rPr>
          <w:rFonts w:ascii="Arial" w:hAnsi="Arial" w:cs="Arial"/>
          <w:kern w:val="0"/>
          <w:sz w:val="24"/>
          <w:szCs w:val="24"/>
        </w:rPr>
        <w:t>,</w:t>
      </w:r>
      <w:r w:rsidRPr="009C6DF8">
        <w:rPr>
          <w:rFonts w:ascii="Arial" w:hAnsi="Arial" w:cs="Arial"/>
          <w:kern w:val="0"/>
          <w:sz w:val="24"/>
          <w:szCs w:val="24"/>
        </w:rPr>
        <w:t xml:space="preserve"> but costs of TB treatment</w:t>
      </w:r>
      <w:r w:rsidR="00DF0D03">
        <w:rPr>
          <w:rFonts w:ascii="Arial" w:hAnsi="Arial" w:cs="Arial"/>
          <w:kern w:val="0"/>
          <w:sz w:val="24"/>
          <w:szCs w:val="24"/>
        </w:rPr>
        <w:t xml:space="preserve"> are still incompletely defined</w:t>
      </w:r>
      <w:r w:rsidRPr="009C6DF8">
        <w:rPr>
          <w:rFonts w:ascii="Arial" w:hAnsi="Arial" w:cs="Arial"/>
          <w:kern w:val="0"/>
          <w:sz w:val="24"/>
          <w:szCs w:val="24"/>
        </w:rPr>
        <w:t xml:space="preserve"> from the patient perspective. While a number of studies have estimated patient costs of TB</w:t>
      </w:r>
      <w:r w:rsidR="000851F8">
        <w:rPr>
          <w:rFonts w:ascii="Arial" w:hAnsi="Arial" w:cs="Arial"/>
          <w:kern w:val="0"/>
          <w:sz w:val="24"/>
          <w:szCs w:val="24"/>
        </w:rPr>
        <w:t xml:space="preserve"> (9-14)</w:t>
      </w:r>
      <w:r w:rsidR="002D5D7F" w:rsidRPr="009C6DF8">
        <w:rPr>
          <w:rFonts w:ascii="Arial" w:hAnsi="Arial" w:cs="Arial"/>
          <w:kern w:val="0"/>
          <w:sz w:val="24"/>
          <w:szCs w:val="24"/>
        </w:rPr>
        <w:t>,</w:t>
      </w:r>
      <w:r w:rsidRPr="009C6DF8">
        <w:rPr>
          <w:rFonts w:ascii="Arial" w:hAnsi="Arial" w:cs="Arial"/>
          <w:kern w:val="0"/>
          <w:sz w:val="24"/>
          <w:szCs w:val="24"/>
        </w:rPr>
        <w:t xml:space="preserve"> most consider hospitalization in </w:t>
      </w:r>
      <w:r w:rsidR="00DF0D03">
        <w:rPr>
          <w:rFonts w:ascii="Arial" w:hAnsi="Arial" w:cs="Arial"/>
          <w:kern w:val="0"/>
          <w:sz w:val="24"/>
          <w:szCs w:val="24"/>
        </w:rPr>
        <w:t xml:space="preserve">a </w:t>
      </w:r>
      <w:r w:rsidRPr="009C6DF8">
        <w:rPr>
          <w:rFonts w:ascii="Arial" w:hAnsi="Arial" w:cs="Arial"/>
          <w:kern w:val="0"/>
          <w:sz w:val="24"/>
          <w:szCs w:val="24"/>
        </w:rPr>
        <w:t xml:space="preserve">proportional fashion (for example, calculating a single mean cost assuming a probability </w:t>
      </w:r>
      <w:r w:rsidRPr="009C6DF8">
        <w:rPr>
          <w:rFonts w:ascii="Arial" w:hAnsi="Arial" w:cs="Arial"/>
          <w:kern w:val="0"/>
          <w:sz w:val="24"/>
          <w:szCs w:val="24"/>
        </w:rPr>
        <w:lastRenderedPageBreak/>
        <w:t xml:space="preserve">of hospitalization). This masks the tremendous costs that may be borne by those who require hospitalization, particularly in severely resource-constrained rural contexts, where these costs may be most devastating. </w:t>
      </w:r>
    </w:p>
    <w:p w14:paraId="171123DE" w14:textId="77777777" w:rsidR="00A90EEF" w:rsidRPr="009C6DF8" w:rsidRDefault="00A90EEF" w:rsidP="009C6DF8">
      <w:pPr>
        <w:wordWrap/>
        <w:adjustRightInd w:val="0"/>
        <w:snapToGrid w:val="0"/>
        <w:spacing w:after="0" w:line="480" w:lineRule="auto"/>
        <w:jc w:val="left"/>
        <w:rPr>
          <w:rFonts w:ascii="Arial" w:hAnsi="Arial" w:cs="Arial"/>
          <w:kern w:val="0"/>
          <w:sz w:val="24"/>
          <w:szCs w:val="24"/>
        </w:rPr>
      </w:pPr>
      <w:r w:rsidRPr="009C6DF8">
        <w:rPr>
          <w:rFonts w:ascii="Arial" w:hAnsi="Arial" w:cs="Arial"/>
          <w:kern w:val="0"/>
          <w:sz w:val="24"/>
          <w:szCs w:val="24"/>
        </w:rPr>
        <w:t xml:space="preserve">We therefore sought to quantify the cost of TB treatment from the patient perspective in rural Malawi, with explicit attention to the costs associated with hospitalization in this setting. We assessed hospital-related costs by surveying individuals undergoing inpatient treatment. We also surveyed individuals attending primary health clinics to infer the costs of outpatient treatment for comparison. We then used these data to estimate the total cost of TB treatment from the patient perspective, </w:t>
      </w:r>
      <w:bookmarkStart w:id="2" w:name="_Hlk23852680"/>
      <w:r w:rsidRPr="009C6DF8">
        <w:rPr>
          <w:rFonts w:ascii="Arial" w:hAnsi="Arial" w:cs="Arial"/>
          <w:kern w:val="0"/>
          <w:sz w:val="24"/>
          <w:szCs w:val="24"/>
        </w:rPr>
        <w:t>separately for individuals who are hospitalized versus treated entirely as outpatients.</w:t>
      </w:r>
      <w:bookmarkEnd w:id="2"/>
    </w:p>
    <w:p w14:paraId="0799B486" w14:textId="77777777" w:rsidR="00A90EEF" w:rsidRPr="009C6DF8" w:rsidRDefault="00A90EEF" w:rsidP="009C6DF8">
      <w:pPr>
        <w:wordWrap/>
        <w:adjustRightInd w:val="0"/>
        <w:snapToGrid w:val="0"/>
        <w:spacing w:after="0" w:line="480" w:lineRule="auto"/>
        <w:jc w:val="left"/>
        <w:rPr>
          <w:bCs/>
          <w:color w:val="FF0000"/>
          <w:sz w:val="24"/>
          <w:szCs w:val="24"/>
        </w:rPr>
      </w:pPr>
    </w:p>
    <w:p w14:paraId="2EAF26FD" w14:textId="01E840F3" w:rsidR="00A90EEF" w:rsidRPr="00081F10" w:rsidRDefault="00081F10" w:rsidP="009C6DF8">
      <w:pPr>
        <w:wordWrap/>
        <w:adjustRightInd w:val="0"/>
        <w:snapToGrid w:val="0"/>
        <w:spacing w:after="0" w:line="480" w:lineRule="auto"/>
        <w:jc w:val="left"/>
        <w:rPr>
          <w:rFonts w:ascii="Arial" w:hAnsi="Arial" w:cs="Arial"/>
          <w:b/>
          <w:sz w:val="24"/>
          <w:szCs w:val="24"/>
        </w:rPr>
      </w:pPr>
      <w:r w:rsidRPr="00081F10">
        <w:rPr>
          <w:rFonts w:ascii="Arial" w:hAnsi="Arial" w:cs="Arial"/>
          <w:b/>
          <w:sz w:val="24"/>
          <w:szCs w:val="24"/>
        </w:rPr>
        <w:t>METHODS</w:t>
      </w:r>
    </w:p>
    <w:p w14:paraId="10777521" w14:textId="77777777" w:rsidR="00A90EEF" w:rsidRPr="00081F10" w:rsidRDefault="00A90EEF" w:rsidP="009C6DF8">
      <w:pPr>
        <w:wordWrap/>
        <w:adjustRightInd w:val="0"/>
        <w:snapToGrid w:val="0"/>
        <w:spacing w:after="0" w:line="480" w:lineRule="auto"/>
        <w:jc w:val="left"/>
        <w:rPr>
          <w:rFonts w:ascii="Arial" w:hAnsi="Arial" w:cs="Arial"/>
          <w:i/>
          <w:iCs/>
          <w:kern w:val="0"/>
          <w:sz w:val="24"/>
          <w:szCs w:val="24"/>
        </w:rPr>
      </w:pPr>
      <w:r w:rsidRPr="00081F10">
        <w:rPr>
          <w:rFonts w:ascii="Arial" w:hAnsi="Arial" w:cs="Arial" w:hint="eastAsia"/>
          <w:i/>
          <w:iCs/>
          <w:kern w:val="0"/>
          <w:sz w:val="24"/>
          <w:szCs w:val="24"/>
        </w:rPr>
        <w:t>S</w:t>
      </w:r>
      <w:r w:rsidRPr="00081F10">
        <w:rPr>
          <w:rFonts w:ascii="Arial" w:hAnsi="Arial" w:cs="Arial"/>
          <w:i/>
          <w:iCs/>
          <w:kern w:val="0"/>
          <w:sz w:val="24"/>
          <w:szCs w:val="24"/>
        </w:rPr>
        <w:t>tudy population</w:t>
      </w:r>
    </w:p>
    <w:p w14:paraId="51D535D3" w14:textId="4063EEFB" w:rsidR="00A90EEF" w:rsidRPr="00F17701" w:rsidRDefault="00A90EEF" w:rsidP="009C6DF8">
      <w:pPr>
        <w:wordWrap/>
        <w:adjustRightInd w:val="0"/>
        <w:snapToGrid w:val="0"/>
        <w:spacing w:after="0" w:line="480" w:lineRule="auto"/>
        <w:jc w:val="left"/>
        <w:rPr>
          <w:rFonts w:ascii="Arial" w:hAnsi="Arial" w:cs="Arial"/>
          <w:kern w:val="0"/>
          <w:sz w:val="24"/>
          <w:szCs w:val="24"/>
        </w:rPr>
      </w:pPr>
      <w:r w:rsidRPr="00F17701">
        <w:rPr>
          <w:rFonts w:ascii="Arial" w:hAnsi="Arial" w:cs="Arial"/>
          <w:kern w:val="0"/>
          <w:sz w:val="24"/>
          <w:szCs w:val="24"/>
        </w:rPr>
        <w:t>We enrolled randomly selected adult inpatients who were receiving inpatient treatment for TB at Thyolo District Hospital in Malawi between the dates of Aug. 2012 to Jan. 2017. Thyolo District Hospital is the only inpatient facility serving Thyolo District, a rural district located in the southern portion of Malawi (bordering Mozambique) with a population of over 720,000</w:t>
      </w:r>
      <w:r w:rsidR="000851F8">
        <w:rPr>
          <w:rFonts w:ascii="Arial" w:hAnsi="Arial" w:cs="Arial"/>
          <w:kern w:val="0"/>
          <w:sz w:val="24"/>
          <w:szCs w:val="24"/>
        </w:rPr>
        <w:t xml:space="preserve"> (15)</w:t>
      </w:r>
      <w:r w:rsidRPr="00F17701">
        <w:rPr>
          <w:rFonts w:ascii="Arial" w:hAnsi="Arial" w:cs="Arial"/>
          <w:kern w:val="0"/>
          <w:sz w:val="24"/>
          <w:szCs w:val="24"/>
        </w:rPr>
        <w:t xml:space="preserve">. </w:t>
      </w:r>
      <w:r w:rsidR="00456A26">
        <w:rPr>
          <w:rFonts w:ascii="Arial" w:hAnsi="Arial" w:cs="Arial"/>
          <w:kern w:val="0"/>
          <w:sz w:val="24"/>
          <w:szCs w:val="24"/>
        </w:rPr>
        <w:t xml:space="preserve">Contemporary Malawian guidelines recommended hospitalization for individuals with recurrent TB for </w:t>
      </w:r>
      <w:r w:rsidR="00456A26" w:rsidRPr="00A647B5">
        <w:rPr>
          <w:rFonts w:ascii="Arial" w:hAnsi="Arial" w:cs="Arial"/>
          <w:kern w:val="0"/>
          <w:sz w:val="24"/>
          <w:szCs w:val="24"/>
        </w:rPr>
        <w:t xml:space="preserve">two months of injectable </w:t>
      </w:r>
      <w:r w:rsidR="00A647B5" w:rsidRPr="00A647B5">
        <w:rPr>
          <w:rFonts w:ascii="Arial" w:hAnsi="Arial" w:cs="Arial"/>
          <w:color w:val="000000"/>
          <w:sz w:val="24"/>
          <w:szCs w:val="24"/>
        </w:rPr>
        <w:t xml:space="preserve">(“category 2”) </w:t>
      </w:r>
      <w:r w:rsidR="00456A26" w:rsidRPr="00A647B5">
        <w:rPr>
          <w:rFonts w:ascii="Arial" w:hAnsi="Arial" w:cs="Arial"/>
          <w:kern w:val="0"/>
          <w:sz w:val="24"/>
          <w:szCs w:val="24"/>
        </w:rPr>
        <w:t>treatment;</w:t>
      </w:r>
      <w:r w:rsidR="00456A26">
        <w:rPr>
          <w:rFonts w:ascii="Arial" w:hAnsi="Arial" w:cs="Arial"/>
          <w:kern w:val="0"/>
          <w:sz w:val="24"/>
          <w:szCs w:val="24"/>
        </w:rPr>
        <w:t xml:space="preserve"> otherwise, the decision to hospitalize was at the discretion of individual clinician with likely consideration of symptom severity and ability to mobilize the patient to Thyolo District Hospital. Following hospital discharge, patients were referred to their local clinics for completion of treatment as</w:t>
      </w:r>
      <w:r w:rsidR="00F42EE6">
        <w:rPr>
          <w:rFonts w:ascii="Arial" w:hAnsi="Arial" w:cs="Arial"/>
          <w:kern w:val="0"/>
          <w:sz w:val="24"/>
          <w:szCs w:val="24"/>
        </w:rPr>
        <w:t xml:space="preserve"> </w:t>
      </w:r>
      <w:r w:rsidR="00456A26">
        <w:rPr>
          <w:rFonts w:ascii="Arial" w:hAnsi="Arial" w:cs="Arial"/>
          <w:kern w:val="0"/>
          <w:sz w:val="24"/>
          <w:szCs w:val="24"/>
        </w:rPr>
        <w:t>outpatient</w:t>
      </w:r>
      <w:r w:rsidR="00F42EE6">
        <w:rPr>
          <w:rFonts w:ascii="Arial" w:hAnsi="Arial" w:cs="Arial"/>
          <w:kern w:val="0"/>
          <w:sz w:val="24"/>
          <w:szCs w:val="24"/>
        </w:rPr>
        <w:t>s</w:t>
      </w:r>
      <w:r w:rsidR="00456A26">
        <w:rPr>
          <w:rFonts w:ascii="Arial" w:hAnsi="Arial" w:cs="Arial"/>
          <w:kern w:val="0"/>
          <w:sz w:val="24"/>
          <w:szCs w:val="24"/>
        </w:rPr>
        <w:t xml:space="preserve">. </w:t>
      </w:r>
      <w:r w:rsidRPr="00F17701">
        <w:rPr>
          <w:rFonts w:ascii="Arial" w:hAnsi="Arial" w:cs="Arial"/>
          <w:kern w:val="0"/>
          <w:sz w:val="24"/>
          <w:szCs w:val="24"/>
        </w:rPr>
        <w:t xml:space="preserve">Data collection was performed </w:t>
      </w:r>
      <w:r w:rsidRPr="00F17701">
        <w:rPr>
          <w:rFonts w:ascii="Arial" w:hAnsi="Arial" w:cs="Arial"/>
          <w:kern w:val="0"/>
          <w:sz w:val="24"/>
          <w:szCs w:val="24"/>
        </w:rPr>
        <w:lastRenderedPageBreak/>
        <w:t>contemporaneously with the CHEPETSA study</w:t>
      </w:r>
      <w:r w:rsidR="00B62FFC">
        <w:rPr>
          <w:rFonts w:ascii="Arial" w:hAnsi="Arial" w:cs="Arial"/>
          <w:kern w:val="0"/>
          <w:sz w:val="24"/>
          <w:szCs w:val="24"/>
        </w:rPr>
        <w:t xml:space="preserve"> </w:t>
      </w:r>
      <w:r w:rsidR="000851F8">
        <w:rPr>
          <w:rFonts w:ascii="Arial" w:hAnsi="Arial" w:cs="Arial"/>
          <w:kern w:val="0"/>
          <w:sz w:val="24"/>
          <w:szCs w:val="24"/>
        </w:rPr>
        <w:t>(16-17)</w:t>
      </w:r>
      <w:r w:rsidRPr="00F17701">
        <w:rPr>
          <w:rFonts w:ascii="Arial" w:hAnsi="Arial" w:cs="Arial"/>
          <w:kern w:val="0"/>
          <w:sz w:val="24"/>
          <w:szCs w:val="24"/>
        </w:rPr>
        <w:t>, a cluster-randomized trial of point-of-care TB screening among adults newly diagnosed with HIV in 12 primary health clinics in Thyolo District. In these clinics, due to severe resource constraints, medication for TB treatment is provided on a monthly basis and is not directly observed</w:t>
      </w:r>
      <w:r w:rsidR="001A0AD7">
        <w:rPr>
          <w:rFonts w:ascii="Arial" w:hAnsi="Arial" w:cs="Arial"/>
          <w:kern w:val="0"/>
          <w:sz w:val="24"/>
          <w:szCs w:val="24"/>
        </w:rPr>
        <w:t xml:space="preserve"> in clinic, though some community based directly observed therapy is provided.</w:t>
      </w:r>
    </w:p>
    <w:p w14:paraId="7B7EBA63" w14:textId="1171625C" w:rsidR="00A90EEF" w:rsidRPr="00F17701" w:rsidRDefault="00A90EEF" w:rsidP="009C6DF8">
      <w:pPr>
        <w:wordWrap/>
        <w:adjustRightInd w:val="0"/>
        <w:snapToGrid w:val="0"/>
        <w:spacing w:after="0" w:line="480" w:lineRule="auto"/>
        <w:jc w:val="left"/>
        <w:rPr>
          <w:rFonts w:ascii="Arial" w:hAnsi="Arial" w:cs="Arial"/>
          <w:kern w:val="0"/>
          <w:sz w:val="24"/>
          <w:szCs w:val="24"/>
        </w:rPr>
      </w:pPr>
      <w:r w:rsidRPr="00F17701">
        <w:rPr>
          <w:rFonts w:ascii="Arial" w:hAnsi="Arial" w:cs="Arial"/>
          <w:kern w:val="0"/>
          <w:sz w:val="24"/>
          <w:szCs w:val="24"/>
        </w:rPr>
        <w:t>For comparison of inpatient and outpatient costs, we also surveyed two additional populations. First, we assessed the cost of clinic visits among CHEPETSA participants (i.e., consecutive adults in 12 primary health clinics who were recently diagnosed with HIV and undergoing screening for active TB). Second, we obtained demographic and socioeconomic data from a consecutive cross-section of patients</w:t>
      </w:r>
      <w:r w:rsidR="00F265C0">
        <w:rPr>
          <w:rFonts w:ascii="Arial" w:hAnsi="Arial" w:cs="Arial"/>
          <w:kern w:val="0"/>
          <w:sz w:val="24"/>
          <w:szCs w:val="24"/>
        </w:rPr>
        <w:t xml:space="preserve"> who were not CHEPETSA participants but who</w:t>
      </w:r>
      <w:r w:rsidRPr="00F17701">
        <w:rPr>
          <w:rFonts w:ascii="Arial" w:hAnsi="Arial" w:cs="Arial"/>
          <w:kern w:val="0"/>
          <w:sz w:val="24"/>
          <w:szCs w:val="24"/>
        </w:rPr>
        <w:t xml:space="preserve"> receiv</w:t>
      </w:r>
      <w:r w:rsidR="00F265C0">
        <w:rPr>
          <w:rFonts w:ascii="Arial" w:hAnsi="Arial" w:cs="Arial"/>
          <w:kern w:val="0"/>
          <w:sz w:val="24"/>
          <w:szCs w:val="24"/>
        </w:rPr>
        <w:t>ed</w:t>
      </w:r>
      <w:r w:rsidRPr="00F17701">
        <w:rPr>
          <w:rFonts w:ascii="Arial" w:hAnsi="Arial" w:cs="Arial"/>
          <w:kern w:val="0"/>
          <w:sz w:val="24"/>
          <w:szCs w:val="24"/>
        </w:rPr>
        <w:t xml:space="preserve"> outpatient treatment for TB in the 12 CHEPETSA clinics. The latter population was recruited by study staff who approached patients at the time of presentation for regularly scheduled monthly follow-up visits (for clinical evaluation and TB medication dispensation) and did not include participants diagnosed with TB through CHEPETSA screening activities.</w:t>
      </w:r>
    </w:p>
    <w:p w14:paraId="47C166E5" w14:textId="77777777" w:rsidR="00A90EEF" w:rsidRPr="00F17701" w:rsidRDefault="00A90EEF" w:rsidP="009C6DF8">
      <w:pPr>
        <w:wordWrap/>
        <w:adjustRightInd w:val="0"/>
        <w:snapToGrid w:val="0"/>
        <w:spacing w:after="0" w:line="480" w:lineRule="auto"/>
        <w:jc w:val="left"/>
        <w:rPr>
          <w:rFonts w:ascii="Arial" w:hAnsi="Arial" w:cs="Arial"/>
          <w:kern w:val="0"/>
          <w:sz w:val="24"/>
          <w:szCs w:val="24"/>
        </w:rPr>
      </w:pPr>
    </w:p>
    <w:p w14:paraId="61952DA4" w14:textId="77777777" w:rsidR="00A90EEF" w:rsidRPr="00081F10" w:rsidRDefault="00A90EEF" w:rsidP="009C6DF8">
      <w:pPr>
        <w:wordWrap/>
        <w:adjustRightInd w:val="0"/>
        <w:snapToGrid w:val="0"/>
        <w:spacing w:after="0" w:line="480" w:lineRule="auto"/>
        <w:jc w:val="left"/>
        <w:rPr>
          <w:rFonts w:ascii="Arial" w:hAnsi="Arial" w:cs="Arial"/>
          <w:i/>
          <w:iCs/>
          <w:kern w:val="0"/>
          <w:sz w:val="24"/>
          <w:szCs w:val="24"/>
        </w:rPr>
      </w:pPr>
      <w:r w:rsidRPr="00081F10">
        <w:rPr>
          <w:rFonts w:ascii="Arial" w:hAnsi="Arial" w:cs="Arial" w:hint="eastAsia"/>
          <w:i/>
          <w:iCs/>
          <w:kern w:val="0"/>
          <w:sz w:val="24"/>
          <w:szCs w:val="24"/>
        </w:rPr>
        <w:t>D</w:t>
      </w:r>
      <w:r w:rsidRPr="00081F10">
        <w:rPr>
          <w:rFonts w:ascii="Arial" w:hAnsi="Arial" w:cs="Arial"/>
          <w:i/>
          <w:iCs/>
          <w:kern w:val="0"/>
          <w:sz w:val="24"/>
          <w:szCs w:val="24"/>
        </w:rPr>
        <w:t>ata collection</w:t>
      </w:r>
    </w:p>
    <w:p w14:paraId="3304CD3D" w14:textId="60132771" w:rsidR="00A90EEF" w:rsidRPr="00F17701" w:rsidRDefault="00A90EEF" w:rsidP="009C6DF8">
      <w:pPr>
        <w:widowControl/>
        <w:wordWrap/>
        <w:autoSpaceDE/>
        <w:autoSpaceDN/>
        <w:adjustRightInd w:val="0"/>
        <w:snapToGrid w:val="0"/>
        <w:spacing w:after="0" w:line="480" w:lineRule="auto"/>
        <w:jc w:val="left"/>
        <w:rPr>
          <w:rFonts w:ascii="Arial" w:hAnsi="Arial" w:cs="Arial"/>
          <w:kern w:val="0"/>
          <w:sz w:val="24"/>
          <w:szCs w:val="24"/>
        </w:rPr>
      </w:pPr>
      <w:r w:rsidRPr="00F17701">
        <w:rPr>
          <w:rFonts w:ascii="Arial" w:hAnsi="Arial" w:cs="Arial"/>
          <w:kern w:val="0"/>
          <w:sz w:val="24"/>
          <w:szCs w:val="24"/>
        </w:rPr>
        <w:t>We asked inpatients to respond to a costing survey developed based on the Stop TB Partnership’s Tool to Estimate Patients’ Costs</w:t>
      </w:r>
      <w:r w:rsidR="000851F8">
        <w:rPr>
          <w:rFonts w:ascii="Arial" w:hAnsi="Arial" w:cs="Arial"/>
          <w:kern w:val="0"/>
          <w:sz w:val="24"/>
          <w:szCs w:val="24"/>
        </w:rPr>
        <w:t xml:space="preserve"> (18)</w:t>
      </w:r>
      <w:r w:rsidRPr="00F17701">
        <w:rPr>
          <w:rFonts w:ascii="Arial" w:hAnsi="Arial" w:cs="Arial"/>
          <w:kern w:val="0"/>
          <w:sz w:val="24"/>
          <w:szCs w:val="24"/>
        </w:rPr>
        <w:t xml:space="preserve">. We asked patients to estimate their total out-of-pocket (OOP) costs related to TB treatment, from the time of TB diagnosis to the time of interview. Costs assessed included costs for transportation, food, accommodation, clothing, consultation and diagnostic expenses, medicine, childcare, and other expenses. In a separate single item (analyzed as a secondary outcome), we </w:t>
      </w:r>
      <w:r w:rsidRPr="00F17701">
        <w:rPr>
          <w:rFonts w:ascii="Arial" w:hAnsi="Arial" w:cs="Arial"/>
          <w:kern w:val="0"/>
          <w:sz w:val="24"/>
          <w:szCs w:val="24"/>
        </w:rPr>
        <w:lastRenderedPageBreak/>
        <w:t>asked respondents to estimate the total OOP cost incurred. We also elicited costs to guardians and caregivers (for example, those accompanying the patient during the inpatient stay). We estimated the opportunity cost of lost work while hospitalized as the patient’s weekly pre-illness wage, multiplied by the expected total number of weeks hospitalized</w:t>
      </w:r>
      <w:r w:rsidR="00772DB7">
        <w:rPr>
          <w:rFonts w:ascii="Arial" w:hAnsi="Arial" w:cs="Arial"/>
          <w:kern w:val="0"/>
          <w:sz w:val="24"/>
          <w:szCs w:val="24"/>
        </w:rPr>
        <w:t xml:space="preserve">. </w:t>
      </w:r>
      <w:r w:rsidR="00F265C0">
        <w:rPr>
          <w:rFonts w:ascii="Arial" w:hAnsi="Arial" w:cs="Arial"/>
          <w:kern w:val="0"/>
          <w:sz w:val="24"/>
          <w:szCs w:val="24"/>
        </w:rPr>
        <w:t xml:space="preserve">When earnings were in-kind, patients were asked to estimate the market value of all in-kind payments or gifts received. </w:t>
      </w:r>
      <w:r w:rsidRPr="00F17701">
        <w:rPr>
          <w:rFonts w:ascii="Arial" w:hAnsi="Arial" w:cs="Arial"/>
          <w:kern w:val="0"/>
          <w:sz w:val="24"/>
          <w:szCs w:val="24"/>
        </w:rPr>
        <w:t xml:space="preserve">In addition, we elicited guardians’ lost income from time of TB diagnosis to the day of survey administration, in a single questionnaire item. In calculating the total cost of TB treatment, we assumed that additional childcare, food, and opportunity costs would be incurred during hospitalization (in prorated fashion based on the number of additional expected hospital days), that additional medical costs would not be incurred from the time of the survey to hospital discharge, and an equivalent cost of transportation would be incurred on discharge as on admission. We also assumed that, following discharge, hospitalized patients would visit an outpatient clinic on a monthly basis for the rest of the six-month standard treatment period. To estimate the costs of these outpatient clinic visits, we used the outpatient OOP cost per visit and time spent at the facility as reported by the outpatient population.   </w:t>
      </w:r>
    </w:p>
    <w:p w14:paraId="5A425CC6" w14:textId="7CFA8CEE" w:rsidR="00A90EEF" w:rsidRPr="00F17701" w:rsidRDefault="00A90EEF" w:rsidP="009C6DF8">
      <w:pPr>
        <w:widowControl/>
        <w:wordWrap/>
        <w:autoSpaceDE/>
        <w:autoSpaceDN/>
        <w:adjustRightInd w:val="0"/>
        <w:snapToGrid w:val="0"/>
        <w:spacing w:after="0" w:line="480" w:lineRule="auto"/>
        <w:jc w:val="left"/>
        <w:rPr>
          <w:rFonts w:ascii="Arial" w:hAnsi="Arial" w:cs="Arial"/>
          <w:kern w:val="0"/>
          <w:sz w:val="24"/>
          <w:szCs w:val="24"/>
        </w:rPr>
      </w:pPr>
      <w:r w:rsidRPr="00F17701">
        <w:rPr>
          <w:rFonts w:ascii="Arial" w:hAnsi="Arial" w:cs="Arial"/>
          <w:kern w:val="0"/>
          <w:sz w:val="24"/>
          <w:szCs w:val="24"/>
        </w:rPr>
        <w:t xml:space="preserve">To compare the cost of inpatient and outpatient treatment, we administered the same costing survey to a consecutive sample of CHEPETSA participants (individuals recently diagnosed with HIV and screened for TB in the outpatient setting). This enabled us to estimate the cost of an outpatient clinic visit from the patient perspective. Since CHEPETSA participants could differ from individuals receiving treatment for TB in ways that might be important from a costing perspective (for example, having different levels </w:t>
      </w:r>
      <w:r w:rsidRPr="00F17701">
        <w:rPr>
          <w:rFonts w:ascii="Arial" w:hAnsi="Arial" w:cs="Arial"/>
          <w:kern w:val="0"/>
          <w:sz w:val="24"/>
          <w:szCs w:val="24"/>
        </w:rPr>
        <w:lastRenderedPageBreak/>
        <w:t xml:space="preserve">of income), we used demographic and socioeconomic data from a sample of individuals receiving outpatient treatment for TB in the same clinics to </w:t>
      </w:r>
      <w:r w:rsidR="005A1FB1">
        <w:rPr>
          <w:rFonts w:ascii="Arial" w:hAnsi="Arial" w:cs="Arial"/>
          <w:kern w:val="0"/>
          <w:sz w:val="24"/>
          <w:szCs w:val="24"/>
        </w:rPr>
        <w:t>estimate</w:t>
      </w:r>
      <w:r w:rsidR="005A1FB1" w:rsidRPr="00F17701">
        <w:rPr>
          <w:rFonts w:ascii="Arial" w:hAnsi="Arial" w:cs="Arial"/>
          <w:kern w:val="0"/>
          <w:sz w:val="24"/>
          <w:szCs w:val="24"/>
        </w:rPr>
        <w:t xml:space="preserve"> </w:t>
      </w:r>
      <w:r w:rsidRPr="00F17701">
        <w:rPr>
          <w:rFonts w:ascii="Arial" w:hAnsi="Arial" w:cs="Arial"/>
          <w:kern w:val="0"/>
          <w:sz w:val="24"/>
          <w:szCs w:val="24"/>
        </w:rPr>
        <w:t xml:space="preserve">the likely cost per clinic visit among people being treated for TB in the outpatient setting. We assumed that the patient cost of outpatient TB treatment consisted of seven clinic visits (one for diagnosis and six monthly visits for treatment), according to the contemporary standard of care in this impoverished rural setting, that additional medical costs and guardian costs would not be incurred during outpatient TB treatment, and that reported patient OOP and opportunity costs were representative of a typical clinic visit.  </w:t>
      </w:r>
    </w:p>
    <w:p w14:paraId="3EEDF9F0" w14:textId="754C80DB" w:rsidR="00A90EEF" w:rsidRPr="00F17701" w:rsidRDefault="00A90EEF" w:rsidP="009C6DF8">
      <w:pPr>
        <w:widowControl/>
        <w:wordWrap/>
        <w:autoSpaceDE/>
        <w:autoSpaceDN/>
        <w:adjustRightInd w:val="0"/>
        <w:snapToGrid w:val="0"/>
        <w:spacing w:after="0" w:line="480" w:lineRule="auto"/>
        <w:jc w:val="left"/>
        <w:rPr>
          <w:rFonts w:ascii="Arial" w:hAnsi="Arial" w:cs="Arial"/>
          <w:kern w:val="0"/>
          <w:sz w:val="24"/>
          <w:szCs w:val="24"/>
        </w:rPr>
      </w:pPr>
      <w:r w:rsidRPr="00F17701">
        <w:rPr>
          <w:rFonts w:ascii="Arial" w:hAnsi="Arial" w:cs="Arial"/>
          <w:kern w:val="0"/>
          <w:sz w:val="24"/>
          <w:szCs w:val="24"/>
        </w:rPr>
        <w:t>All costs were measured in Malawian Kwacha at the time of the interview, inflated to 2017 values using the Malawian GDP deflator</w:t>
      </w:r>
      <w:r w:rsidR="000851F8">
        <w:rPr>
          <w:rFonts w:ascii="Arial" w:hAnsi="Arial" w:cs="Arial"/>
          <w:kern w:val="0"/>
          <w:sz w:val="24"/>
          <w:szCs w:val="24"/>
        </w:rPr>
        <w:t xml:space="preserve"> (19)</w:t>
      </w:r>
      <w:r w:rsidRPr="00F17701">
        <w:rPr>
          <w:rFonts w:ascii="Arial" w:hAnsi="Arial" w:cs="Arial"/>
          <w:kern w:val="0"/>
          <w:sz w:val="24"/>
          <w:szCs w:val="24"/>
        </w:rPr>
        <w:t>, and converted into US dollars using the average December 2017 exchange rate (1USD = 716.557MK)</w:t>
      </w:r>
      <w:r w:rsidR="00B62FFC">
        <w:rPr>
          <w:rFonts w:ascii="Arial" w:hAnsi="Arial" w:cs="Arial"/>
          <w:kern w:val="0"/>
          <w:sz w:val="24"/>
          <w:szCs w:val="24"/>
        </w:rPr>
        <w:t xml:space="preserve"> </w:t>
      </w:r>
      <w:r w:rsidR="000851F8">
        <w:rPr>
          <w:rFonts w:ascii="Arial" w:hAnsi="Arial" w:cs="Arial"/>
          <w:kern w:val="0"/>
          <w:sz w:val="24"/>
          <w:szCs w:val="24"/>
        </w:rPr>
        <w:t>(20).</w:t>
      </w:r>
      <w:r w:rsidRPr="00F17701">
        <w:rPr>
          <w:rFonts w:ascii="Arial" w:hAnsi="Arial" w:cs="Arial"/>
          <w:kern w:val="0"/>
          <w:sz w:val="24"/>
          <w:szCs w:val="24"/>
        </w:rPr>
        <w:t xml:space="preserve"> We considered alternative methods of inflation given a spike in the exchange rate that occurred during study period (reflecting a 2012 fiscal policy decision to stop benchmarking the value of the kwacha to that of the US dollar), and found that this alternative valuation did not materially affect our results (defined as a &gt;10% change in any of our primary estimates of cost; data not shown)</w:t>
      </w:r>
      <w:r w:rsidR="000851F8">
        <w:rPr>
          <w:rFonts w:ascii="Arial" w:hAnsi="Arial" w:cs="Arial"/>
          <w:kern w:val="0"/>
          <w:sz w:val="24"/>
          <w:szCs w:val="24"/>
        </w:rPr>
        <w:t xml:space="preserve"> (21)</w:t>
      </w:r>
      <w:r w:rsidRPr="00F17701">
        <w:rPr>
          <w:rFonts w:ascii="Arial" w:hAnsi="Arial" w:cs="Arial"/>
          <w:kern w:val="0"/>
          <w:sz w:val="24"/>
          <w:szCs w:val="24"/>
        </w:rPr>
        <w:t>.</w:t>
      </w:r>
    </w:p>
    <w:p w14:paraId="4A9A3624" w14:textId="77777777" w:rsidR="00A90EEF" w:rsidRPr="00F17701" w:rsidRDefault="00A90EEF" w:rsidP="009C6DF8">
      <w:pPr>
        <w:widowControl/>
        <w:wordWrap/>
        <w:autoSpaceDE/>
        <w:autoSpaceDN/>
        <w:adjustRightInd w:val="0"/>
        <w:snapToGrid w:val="0"/>
        <w:spacing w:after="0" w:line="480" w:lineRule="auto"/>
        <w:jc w:val="left"/>
        <w:rPr>
          <w:rFonts w:ascii="Arial" w:hAnsi="Arial" w:cs="Arial"/>
          <w:kern w:val="0"/>
          <w:sz w:val="24"/>
          <w:szCs w:val="24"/>
        </w:rPr>
      </w:pPr>
    </w:p>
    <w:p w14:paraId="191BE7A2" w14:textId="77777777" w:rsidR="00A90EEF" w:rsidRPr="00081F10" w:rsidRDefault="00A90EEF" w:rsidP="009C6DF8">
      <w:pPr>
        <w:wordWrap/>
        <w:adjustRightInd w:val="0"/>
        <w:snapToGrid w:val="0"/>
        <w:spacing w:after="0" w:line="480" w:lineRule="auto"/>
        <w:jc w:val="left"/>
        <w:rPr>
          <w:rFonts w:ascii="Arial" w:hAnsi="Arial" w:cs="Arial"/>
          <w:i/>
          <w:iCs/>
          <w:kern w:val="0"/>
          <w:sz w:val="24"/>
          <w:szCs w:val="24"/>
        </w:rPr>
      </w:pPr>
      <w:r w:rsidRPr="00081F10">
        <w:rPr>
          <w:rFonts w:ascii="Arial" w:hAnsi="Arial" w:cs="Arial"/>
          <w:i/>
          <w:iCs/>
          <w:kern w:val="0"/>
          <w:sz w:val="24"/>
          <w:szCs w:val="24"/>
        </w:rPr>
        <w:t>Statistical analysis</w:t>
      </w:r>
    </w:p>
    <w:p w14:paraId="5E92028C" w14:textId="51926456" w:rsidR="00A90EEF" w:rsidRPr="00F17701" w:rsidRDefault="00A90EEF" w:rsidP="009C6DF8">
      <w:pPr>
        <w:pStyle w:val="CommentText"/>
        <w:wordWrap/>
        <w:adjustRightInd w:val="0"/>
        <w:snapToGrid w:val="0"/>
        <w:spacing w:after="0" w:line="480" w:lineRule="auto"/>
        <w:jc w:val="left"/>
        <w:rPr>
          <w:rFonts w:ascii="Arial" w:hAnsi="Arial" w:cs="Arial"/>
          <w:kern w:val="0"/>
          <w:sz w:val="24"/>
          <w:szCs w:val="24"/>
        </w:rPr>
      </w:pPr>
      <w:r w:rsidRPr="00F17701">
        <w:rPr>
          <w:rFonts w:ascii="Arial" w:hAnsi="Arial" w:cs="Arial"/>
          <w:kern w:val="0"/>
          <w:sz w:val="24"/>
          <w:szCs w:val="24"/>
        </w:rPr>
        <w:t xml:space="preserve">Descriptive statistics were used to summarize data on </w:t>
      </w:r>
      <w:r w:rsidR="00E735A7">
        <w:rPr>
          <w:rFonts w:ascii="Arial" w:hAnsi="Arial" w:cs="Arial"/>
          <w:kern w:val="0"/>
          <w:sz w:val="24"/>
          <w:szCs w:val="24"/>
        </w:rPr>
        <w:t xml:space="preserve">mean </w:t>
      </w:r>
      <w:r w:rsidRPr="00F17701">
        <w:rPr>
          <w:rFonts w:ascii="Arial" w:hAnsi="Arial" w:cs="Arial"/>
          <w:kern w:val="0"/>
          <w:sz w:val="24"/>
          <w:szCs w:val="24"/>
        </w:rPr>
        <w:t xml:space="preserve">costs as well as general characteristics for each study population group. To compare general characteristics and </w:t>
      </w:r>
      <w:r w:rsidR="00E735A7">
        <w:rPr>
          <w:rFonts w:ascii="Arial" w:hAnsi="Arial" w:cs="Arial"/>
          <w:kern w:val="0"/>
          <w:sz w:val="24"/>
          <w:szCs w:val="24"/>
        </w:rPr>
        <w:t xml:space="preserve">mean </w:t>
      </w:r>
      <w:r w:rsidRPr="00F17701">
        <w:rPr>
          <w:rFonts w:ascii="Arial" w:hAnsi="Arial" w:cs="Arial"/>
          <w:kern w:val="0"/>
          <w:sz w:val="24"/>
          <w:szCs w:val="24"/>
        </w:rPr>
        <w:t xml:space="preserve">costs among the groups, univariate comparison analyses were done with chi-square tests for categorical variables and F-tests from analysis of variance (ANOVA) tests for continuous variables. </w:t>
      </w:r>
      <w:r w:rsidR="005878AA">
        <w:rPr>
          <w:rFonts w:ascii="Arial" w:hAnsi="Arial" w:cs="Arial"/>
          <w:kern w:val="0"/>
          <w:sz w:val="24"/>
          <w:szCs w:val="24"/>
        </w:rPr>
        <w:t>W</w:t>
      </w:r>
      <w:r w:rsidR="00C0733A">
        <w:rPr>
          <w:rFonts w:ascii="Arial" w:hAnsi="Arial" w:cs="Arial"/>
          <w:kern w:val="0"/>
          <w:sz w:val="24"/>
          <w:szCs w:val="24"/>
        </w:rPr>
        <w:t xml:space="preserve">e analyzed </w:t>
      </w:r>
      <w:r w:rsidR="00F01BF0">
        <w:rPr>
          <w:rFonts w:ascii="Arial" w:hAnsi="Arial" w:cs="Arial"/>
          <w:kern w:val="0"/>
          <w:sz w:val="24"/>
          <w:szCs w:val="24"/>
        </w:rPr>
        <w:t>patients with recurrent TB</w:t>
      </w:r>
      <w:r w:rsidR="00C0733A">
        <w:rPr>
          <w:rFonts w:ascii="Arial" w:hAnsi="Arial" w:cs="Arial"/>
          <w:kern w:val="0"/>
          <w:sz w:val="24"/>
          <w:szCs w:val="24"/>
        </w:rPr>
        <w:t xml:space="preserve"> separately from </w:t>
      </w:r>
      <w:r w:rsidR="00C0733A">
        <w:rPr>
          <w:rFonts w:ascii="Arial" w:hAnsi="Arial" w:cs="Arial"/>
          <w:kern w:val="0"/>
          <w:sz w:val="24"/>
          <w:szCs w:val="24"/>
        </w:rPr>
        <w:lastRenderedPageBreak/>
        <w:t xml:space="preserve">those who were hospitalized for </w:t>
      </w:r>
      <w:r w:rsidR="00F01BF0">
        <w:rPr>
          <w:rFonts w:ascii="Arial" w:hAnsi="Arial" w:cs="Arial"/>
          <w:kern w:val="0"/>
          <w:sz w:val="24"/>
          <w:szCs w:val="24"/>
        </w:rPr>
        <w:t xml:space="preserve">an initial </w:t>
      </w:r>
      <w:r w:rsidR="00C0733A">
        <w:rPr>
          <w:rFonts w:ascii="Arial" w:hAnsi="Arial" w:cs="Arial"/>
          <w:kern w:val="0"/>
          <w:sz w:val="24"/>
          <w:szCs w:val="24"/>
        </w:rPr>
        <w:t>TB</w:t>
      </w:r>
      <w:r w:rsidR="00F01BF0">
        <w:rPr>
          <w:rFonts w:ascii="Arial" w:hAnsi="Arial" w:cs="Arial"/>
          <w:kern w:val="0"/>
          <w:sz w:val="24"/>
          <w:szCs w:val="24"/>
        </w:rPr>
        <w:t xml:space="preserve"> episode</w:t>
      </w:r>
      <w:r w:rsidR="00C0733A">
        <w:rPr>
          <w:rFonts w:ascii="Arial" w:hAnsi="Arial" w:cs="Arial"/>
          <w:kern w:val="0"/>
          <w:sz w:val="24"/>
          <w:szCs w:val="24"/>
        </w:rPr>
        <w:t xml:space="preserve">. </w:t>
      </w:r>
      <w:r w:rsidRPr="00F17701">
        <w:rPr>
          <w:rFonts w:ascii="Arial" w:hAnsi="Arial" w:cs="Arial"/>
          <w:kern w:val="0"/>
          <w:sz w:val="24"/>
          <w:szCs w:val="24"/>
        </w:rPr>
        <w:t xml:space="preserve">In our primary analysis, we included all reasonable responses to the questionnaire, but in a sensitivity analysis, we excluded outlier responses (defined as the being more than twice as large as the next-largest value). This sensitivity analysis did not cause our estimates of </w:t>
      </w:r>
      <w:r w:rsidR="00E735A7">
        <w:rPr>
          <w:rFonts w:ascii="Arial" w:hAnsi="Arial" w:cs="Arial"/>
          <w:kern w:val="0"/>
          <w:sz w:val="24"/>
          <w:szCs w:val="24"/>
        </w:rPr>
        <w:t xml:space="preserve">mean </w:t>
      </w:r>
      <w:r w:rsidRPr="00F17701">
        <w:rPr>
          <w:rFonts w:ascii="Arial" w:hAnsi="Arial" w:cs="Arial"/>
          <w:kern w:val="0"/>
          <w:sz w:val="24"/>
          <w:szCs w:val="24"/>
        </w:rPr>
        <w:t>per-person OOP costs or opportunity costs to vary by more than ten percent (data not shown).</w:t>
      </w:r>
    </w:p>
    <w:p w14:paraId="2278A6C1" w14:textId="0A244861" w:rsidR="00A90EEF" w:rsidRPr="00F17701" w:rsidRDefault="00A90EEF" w:rsidP="009C6DF8">
      <w:pPr>
        <w:pStyle w:val="CommentText"/>
        <w:wordWrap/>
        <w:adjustRightInd w:val="0"/>
        <w:snapToGrid w:val="0"/>
        <w:spacing w:after="0" w:line="480" w:lineRule="auto"/>
        <w:jc w:val="left"/>
        <w:rPr>
          <w:rFonts w:ascii="Arial" w:hAnsi="Arial" w:cs="Arial"/>
          <w:kern w:val="0"/>
          <w:sz w:val="24"/>
          <w:szCs w:val="24"/>
        </w:rPr>
      </w:pPr>
      <w:r w:rsidRPr="00F17701">
        <w:rPr>
          <w:rFonts w:ascii="Arial" w:hAnsi="Arial" w:cs="Arial"/>
          <w:kern w:val="0"/>
          <w:sz w:val="24"/>
          <w:szCs w:val="24"/>
        </w:rPr>
        <w:t xml:space="preserve">We used multiple imputation with chained equations to estimate the </w:t>
      </w:r>
      <w:r w:rsidR="00E735A7">
        <w:rPr>
          <w:rFonts w:ascii="Arial" w:hAnsi="Arial" w:cs="Arial"/>
          <w:kern w:val="0"/>
          <w:sz w:val="24"/>
          <w:szCs w:val="24"/>
        </w:rPr>
        <w:t xml:space="preserve">mean </w:t>
      </w:r>
      <w:r w:rsidRPr="00F17701">
        <w:rPr>
          <w:rFonts w:ascii="Arial" w:hAnsi="Arial" w:cs="Arial"/>
          <w:kern w:val="0"/>
          <w:sz w:val="24"/>
          <w:szCs w:val="24"/>
        </w:rPr>
        <w:t>costs associated with an outpatient clinic visit</w:t>
      </w:r>
      <w:r w:rsidR="00CC2779">
        <w:rPr>
          <w:rFonts w:ascii="Arial" w:hAnsi="Arial" w:cs="Arial"/>
          <w:kern w:val="0"/>
          <w:sz w:val="24"/>
          <w:szCs w:val="24"/>
        </w:rPr>
        <w:t xml:space="preserve">, extrapolated from costs </w:t>
      </w:r>
      <w:r w:rsidR="00AC55A7">
        <w:rPr>
          <w:rFonts w:ascii="Arial" w:hAnsi="Arial" w:cs="Arial"/>
          <w:kern w:val="0"/>
          <w:sz w:val="24"/>
          <w:szCs w:val="24"/>
        </w:rPr>
        <w:t>reported by</w:t>
      </w:r>
      <w:r w:rsidR="00CC2779">
        <w:rPr>
          <w:rFonts w:ascii="Arial" w:hAnsi="Arial" w:cs="Arial"/>
          <w:kern w:val="0"/>
          <w:sz w:val="24"/>
          <w:szCs w:val="24"/>
        </w:rPr>
        <w:t xml:space="preserve"> </w:t>
      </w:r>
      <w:proofErr w:type="spellStart"/>
      <w:r w:rsidR="00CC2779">
        <w:rPr>
          <w:rFonts w:ascii="Arial" w:hAnsi="Arial" w:cs="Arial"/>
          <w:kern w:val="0"/>
          <w:sz w:val="24"/>
          <w:szCs w:val="24"/>
        </w:rPr>
        <w:t>Chepetsa</w:t>
      </w:r>
      <w:proofErr w:type="spellEnd"/>
      <w:r w:rsidR="00CC2779">
        <w:rPr>
          <w:rFonts w:ascii="Arial" w:hAnsi="Arial" w:cs="Arial"/>
          <w:kern w:val="0"/>
          <w:sz w:val="24"/>
          <w:szCs w:val="24"/>
        </w:rPr>
        <w:t xml:space="preserve"> participants.</w:t>
      </w:r>
      <w:r w:rsidRPr="00F17701">
        <w:rPr>
          <w:rFonts w:ascii="Arial" w:hAnsi="Arial" w:cs="Arial"/>
          <w:kern w:val="0"/>
          <w:sz w:val="24"/>
          <w:szCs w:val="24"/>
        </w:rPr>
        <w:t xml:space="preserve"> Imputation was based on log-linear regression models that regressed socio-economic data including weekly household consumption, occupation, education level, literacy, and household size on the components of </w:t>
      </w:r>
      <w:r w:rsidR="00E735A7">
        <w:rPr>
          <w:rFonts w:ascii="Arial" w:hAnsi="Arial" w:cs="Arial"/>
          <w:kern w:val="0"/>
          <w:sz w:val="24"/>
          <w:szCs w:val="24"/>
        </w:rPr>
        <w:t xml:space="preserve">mean </w:t>
      </w:r>
      <w:r w:rsidRPr="00F17701">
        <w:rPr>
          <w:rFonts w:ascii="Arial" w:hAnsi="Arial" w:cs="Arial"/>
          <w:kern w:val="0"/>
          <w:sz w:val="24"/>
          <w:szCs w:val="24"/>
        </w:rPr>
        <w:t xml:space="preserve">OOP costs (travel, childcare, food, and accommodation) and wage estimates used to calculate the </w:t>
      </w:r>
      <w:r w:rsidR="00E735A7">
        <w:rPr>
          <w:rFonts w:ascii="Arial" w:hAnsi="Arial" w:cs="Arial"/>
          <w:kern w:val="0"/>
          <w:sz w:val="24"/>
          <w:szCs w:val="24"/>
        </w:rPr>
        <w:t xml:space="preserve">mean </w:t>
      </w:r>
      <w:r w:rsidRPr="00F17701">
        <w:rPr>
          <w:rFonts w:ascii="Arial" w:hAnsi="Arial" w:cs="Arial"/>
          <w:kern w:val="0"/>
          <w:sz w:val="24"/>
          <w:szCs w:val="24"/>
        </w:rPr>
        <w:t xml:space="preserve">opportunity cost per clinic visit. In order to account for skewness in the data and ensure that the residuals were normally distributed, we performed a log transformation on the cost regressors in the model. </w:t>
      </w:r>
      <w:r w:rsidR="00407D40">
        <w:rPr>
          <w:rFonts w:ascii="Arial" w:hAnsi="Arial" w:cs="Arial"/>
          <w:kern w:val="0"/>
          <w:sz w:val="24"/>
          <w:szCs w:val="24"/>
        </w:rPr>
        <w:t>The s</w:t>
      </w:r>
      <w:r w:rsidRPr="00F17701">
        <w:rPr>
          <w:rFonts w:ascii="Arial" w:hAnsi="Arial" w:cs="Arial"/>
          <w:kern w:val="0"/>
          <w:sz w:val="24"/>
          <w:szCs w:val="24"/>
        </w:rPr>
        <w:t xml:space="preserve">um of each imputed </w:t>
      </w:r>
      <w:r w:rsidR="00E735A7">
        <w:rPr>
          <w:rFonts w:ascii="Arial" w:hAnsi="Arial" w:cs="Arial"/>
          <w:kern w:val="0"/>
          <w:sz w:val="24"/>
          <w:szCs w:val="24"/>
        </w:rPr>
        <w:t xml:space="preserve">mean </w:t>
      </w:r>
      <w:r w:rsidRPr="00F17701">
        <w:rPr>
          <w:rFonts w:ascii="Arial" w:hAnsi="Arial" w:cs="Arial"/>
          <w:kern w:val="0"/>
          <w:sz w:val="24"/>
          <w:szCs w:val="24"/>
        </w:rPr>
        <w:t>cost estimate (using the characteristics of patients being treated for TB) w</w:t>
      </w:r>
      <w:r w:rsidR="00407D40">
        <w:rPr>
          <w:rFonts w:ascii="Arial" w:hAnsi="Arial" w:cs="Arial"/>
          <w:kern w:val="0"/>
          <w:sz w:val="24"/>
          <w:szCs w:val="24"/>
        </w:rPr>
        <w:t>as</w:t>
      </w:r>
      <w:r w:rsidRPr="00F17701">
        <w:rPr>
          <w:rFonts w:ascii="Arial" w:hAnsi="Arial" w:cs="Arial"/>
          <w:kern w:val="0"/>
          <w:sz w:val="24"/>
          <w:szCs w:val="24"/>
        </w:rPr>
        <w:t xml:space="preserve"> then compared to </w:t>
      </w:r>
      <w:r w:rsidR="00407D40">
        <w:rPr>
          <w:rFonts w:ascii="Arial" w:hAnsi="Arial" w:cs="Arial"/>
          <w:kern w:val="0"/>
          <w:sz w:val="24"/>
          <w:szCs w:val="24"/>
        </w:rPr>
        <w:t xml:space="preserve">the </w:t>
      </w:r>
      <w:r w:rsidR="00E735A7">
        <w:rPr>
          <w:rFonts w:ascii="Arial" w:hAnsi="Arial" w:cs="Arial"/>
          <w:kern w:val="0"/>
          <w:sz w:val="24"/>
          <w:szCs w:val="24"/>
        </w:rPr>
        <w:t xml:space="preserve">mean </w:t>
      </w:r>
      <w:r w:rsidRPr="00F17701">
        <w:rPr>
          <w:rFonts w:ascii="Arial" w:hAnsi="Arial" w:cs="Arial"/>
          <w:kern w:val="0"/>
          <w:sz w:val="24"/>
          <w:szCs w:val="24"/>
        </w:rPr>
        <w:t>cost estimate as directly imputed from the sum of each cost obtained in CHEPETSA (from patients newly diagnosed with HIV).</w:t>
      </w:r>
    </w:p>
    <w:p w14:paraId="09A1F130" w14:textId="32F7A19C" w:rsidR="00A90EEF" w:rsidRPr="00F17701" w:rsidRDefault="00A90EEF" w:rsidP="009C6DF8">
      <w:pPr>
        <w:widowControl/>
        <w:wordWrap/>
        <w:autoSpaceDE/>
        <w:autoSpaceDN/>
        <w:adjustRightInd w:val="0"/>
        <w:snapToGrid w:val="0"/>
        <w:spacing w:after="0" w:line="480" w:lineRule="auto"/>
        <w:jc w:val="left"/>
        <w:rPr>
          <w:rFonts w:ascii="Arial" w:hAnsi="Arial" w:cs="Arial"/>
          <w:kern w:val="0"/>
          <w:sz w:val="24"/>
          <w:szCs w:val="24"/>
        </w:rPr>
      </w:pPr>
      <w:r w:rsidRPr="00F17701">
        <w:rPr>
          <w:rFonts w:ascii="Arial" w:hAnsi="Arial" w:cs="Arial"/>
          <w:kern w:val="0"/>
          <w:sz w:val="24"/>
          <w:szCs w:val="24"/>
        </w:rPr>
        <w:t xml:space="preserve">Finally, we used concentration curves to describe the equity distribution of inpatient TB treatment costs, according to two metrics: (a) total treatment costs and (b) treatment costs scaled as a proportion of annual household spending. </w:t>
      </w:r>
      <w:r w:rsidR="005878AA">
        <w:rPr>
          <w:rFonts w:ascii="Arial" w:hAnsi="Arial" w:cs="Arial"/>
          <w:kern w:val="0"/>
          <w:sz w:val="24"/>
          <w:szCs w:val="24"/>
        </w:rPr>
        <w:t>To estimate annual household expenditure, participants were asked to estimate all household spending</w:t>
      </w:r>
      <w:r w:rsidR="004332F7">
        <w:rPr>
          <w:rFonts w:ascii="Arial" w:hAnsi="Arial" w:cs="Arial"/>
          <w:kern w:val="0"/>
          <w:sz w:val="24"/>
          <w:szCs w:val="24"/>
        </w:rPr>
        <w:t xml:space="preserve"> </w:t>
      </w:r>
      <w:r w:rsidR="005878AA">
        <w:rPr>
          <w:rFonts w:ascii="Arial" w:hAnsi="Arial" w:cs="Arial"/>
          <w:kern w:val="0"/>
          <w:sz w:val="24"/>
          <w:szCs w:val="24"/>
        </w:rPr>
        <w:t xml:space="preserve">in a typical week; we multiplied this estimate by 52. </w:t>
      </w:r>
      <w:r w:rsidRPr="00F17701">
        <w:rPr>
          <w:rFonts w:ascii="Arial" w:hAnsi="Arial" w:cs="Arial"/>
          <w:kern w:val="0"/>
          <w:sz w:val="24"/>
          <w:szCs w:val="24"/>
        </w:rPr>
        <w:t xml:space="preserve">Concentration curves </w:t>
      </w:r>
      <w:r w:rsidR="002D5D7F">
        <w:rPr>
          <w:rFonts w:ascii="Arial" w:hAnsi="Arial" w:cs="Arial"/>
          <w:kern w:val="0"/>
          <w:sz w:val="24"/>
          <w:szCs w:val="24"/>
        </w:rPr>
        <w:t xml:space="preserve">provide magnitude of socio-economic inequality </w:t>
      </w:r>
      <w:r w:rsidR="00326EA9">
        <w:rPr>
          <w:rFonts w:ascii="Arial" w:hAnsi="Arial" w:cs="Arial"/>
          <w:kern w:val="0"/>
          <w:sz w:val="24"/>
          <w:szCs w:val="24"/>
        </w:rPr>
        <w:t xml:space="preserve">intuitively </w:t>
      </w:r>
      <w:r w:rsidRPr="00F17701">
        <w:rPr>
          <w:rFonts w:ascii="Arial" w:hAnsi="Arial" w:cs="Arial"/>
          <w:kern w:val="0"/>
          <w:sz w:val="24"/>
          <w:szCs w:val="24"/>
        </w:rPr>
        <w:t xml:space="preserve">by plotting the cumulative proportion of health </w:t>
      </w:r>
      <w:r w:rsidRPr="00F17701">
        <w:rPr>
          <w:rFonts w:ascii="Arial" w:hAnsi="Arial" w:cs="Arial"/>
          <w:kern w:val="0"/>
          <w:sz w:val="24"/>
          <w:szCs w:val="24"/>
        </w:rPr>
        <w:lastRenderedPageBreak/>
        <w:t xml:space="preserve">spending against the cumulative proportion of individuals ranked by </w:t>
      </w:r>
      <w:r w:rsidR="00326EA9">
        <w:rPr>
          <w:rFonts w:ascii="Arial" w:hAnsi="Arial" w:cs="Arial"/>
          <w:kern w:val="0"/>
          <w:sz w:val="24"/>
          <w:szCs w:val="24"/>
        </w:rPr>
        <w:t>income level</w:t>
      </w:r>
      <w:r w:rsidRPr="00F17701">
        <w:rPr>
          <w:rFonts w:ascii="Arial" w:hAnsi="Arial" w:cs="Arial"/>
          <w:kern w:val="0"/>
          <w:sz w:val="24"/>
          <w:szCs w:val="24"/>
        </w:rPr>
        <w:t xml:space="preserve"> (here measured by annual household expenditure)</w:t>
      </w:r>
      <w:r w:rsidR="000851F8">
        <w:rPr>
          <w:rFonts w:ascii="Arial" w:hAnsi="Arial" w:cs="Arial"/>
          <w:kern w:val="0"/>
          <w:sz w:val="24"/>
          <w:szCs w:val="24"/>
        </w:rPr>
        <w:t xml:space="preserve"> (22)</w:t>
      </w:r>
      <w:r w:rsidRPr="00F17701">
        <w:rPr>
          <w:rFonts w:ascii="Arial" w:hAnsi="Arial" w:cs="Arial"/>
          <w:kern w:val="0"/>
          <w:sz w:val="24"/>
          <w:szCs w:val="24"/>
        </w:rPr>
        <w:t xml:space="preserve">. The concentration index is defined as twice the area between the concentration curve and the 45-degree line of perfect equality and ranges from -1 to 1, with 0 indicating perfect equality. Positive values indicate inequality concentrated toward the wealthy, and negative values indicate inequality concentrated toward the poor. All analyses were performed using R version 3.5.3 (R Foundation for Statistical Computing, Vienna, Austria). </w:t>
      </w:r>
    </w:p>
    <w:p w14:paraId="24AE8552" w14:textId="77777777" w:rsidR="00A90EEF" w:rsidRPr="00F17701" w:rsidRDefault="00A90EEF" w:rsidP="009C6DF8">
      <w:pPr>
        <w:wordWrap/>
        <w:adjustRightInd w:val="0"/>
        <w:snapToGrid w:val="0"/>
        <w:spacing w:after="0" w:line="480" w:lineRule="auto"/>
        <w:jc w:val="left"/>
        <w:rPr>
          <w:rFonts w:ascii="Arial" w:hAnsi="Arial" w:cs="Arial"/>
          <w:kern w:val="0"/>
          <w:sz w:val="24"/>
          <w:szCs w:val="24"/>
        </w:rPr>
      </w:pPr>
    </w:p>
    <w:p w14:paraId="563D6E2F" w14:textId="77777777" w:rsidR="00A90EEF" w:rsidRPr="00081F10" w:rsidRDefault="00A90EEF" w:rsidP="009C6DF8">
      <w:pPr>
        <w:wordWrap/>
        <w:adjustRightInd w:val="0"/>
        <w:snapToGrid w:val="0"/>
        <w:spacing w:after="0" w:line="480" w:lineRule="auto"/>
        <w:jc w:val="left"/>
        <w:rPr>
          <w:rFonts w:ascii="Arial" w:hAnsi="Arial" w:cs="Arial"/>
          <w:i/>
          <w:iCs/>
          <w:kern w:val="0"/>
          <w:sz w:val="24"/>
          <w:szCs w:val="24"/>
        </w:rPr>
      </w:pPr>
      <w:r w:rsidRPr="00081F10">
        <w:rPr>
          <w:rFonts w:ascii="Arial" w:hAnsi="Arial" w:cs="Arial" w:hint="eastAsia"/>
          <w:i/>
          <w:iCs/>
          <w:kern w:val="0"/>
          <w:sz w:val="24"/>
          <w:szCs w:val="24"/>
        </w:rPr>
        <w:t>E</w:t>
      </w:r>
      <w:r w:rsidRPr="00081F10">
        <w:rPr>
          <w:rFonts w:ascii="Arial" w:hAnsi="Arial" w:cs="Arial"/>
          <w:i/>
          <w:iCs/>
          <w:kern w:val="0"/>
          <w:sz w:val="24"/>
          <w:szCs w:val="24"/>
        </w:rPr>
        <w:t>thical Considerations</w:t>
      </w:r>
    </w:p>
    <w:p w14:paraId="198E594F" w14:textId="4A310445" w:rsidR="00A90EEF" w:rsidRPr="00081F10" w:rsidRDefault="00A90EEF" w:rsidP="00081F10">
      <w:pPr>
        <w:wordWrap/>
        <w:adjustRightInd w:val="0"/>
        <w:snapToGrid w:val="0"/>
        <w:spacing w:after="0" w:line="480" w:lineRule="auto"/>
        <w:jc w:val="left"/>
        <w:rPr>
          <w:rFonts w:ascii="Arial" w:hAnsi="Arial" w:cs="Arial"/>
          <w:kern w:val="0"/>
          <w:sz w:val="24"/>
          <w:szCs w:val="24"/>
        </w:rPr>
      </w:pPr>
      <w:r w:rsidRPr="00F17701">
        <w:rPr>
          <w:rFonts w:ascii="Arial" w:hAnsi="Arial" w:cs="Arial"/>
          <w:kern w:val="0"/>
          <w:sz w:val="24"/>
          <w:szCs w:val="24"/>
        </w:rPr>
        <w:t xml:space="preserve">The </w:t>
      </w:r>
      <w:r w:rsidR="00326EA9" w:rsidRPr="00F17701">
        <w:rPr>
          <w:rFonts w:ascii="Arial" w:hAnsi="Arial" w:cs="Arial"/>
          <w:kern w:val="0"/>
          <w:sz w:val="24"/>
          <w:szCs w:val="24"/>
        </w:rPr>
        <w:t xml:space="preserve">CHEPETSA </w:t>
      </w:r>
      <w:r w:rsidRPr="00F17701">
        <w:rPr>
          <w:rFonts w:ascii="Arial" w:hAnsi="Arial" w:cs="Arial"/>
          <w:kern w:val="0"/>
          <w:sz w:val="24"/>
          <w:szCs w:val="24"/>
        </w:rPr>
        <w:t>trial is registered on ClinicalTrials.gov (NCT01450085)</w:t>
      </w:r>
      <w:r w:rsidR="00326EA9">
        <w:rPr>
          <w:rFonts w:ascii="Arial" w:hAnsi="Arial" w:cs="Arial"/>
          <w:kern w:val="0"/>
          <w:sz w:val="24"/>
          <w:szCs w:val="24"/>
        </w:rPr>
        <w:t xml:space="preserve">. This trial was </w:t>
      </w:r>
      <w:r w:rsidRPr="00F17701">
        <w:rPr>
          <w:rFonts w:ascii="Arial" w:hAnsi="Arial" w:cs="Arial"/>
          <w:kern w:val="0"/>
          <w:sz w:val="24"/>
          <w:szCs w:val="24"/>
        </w:rPr>
        <w:t>approved by the Institutional Review Boards of the Johns Hopkins Medical Institutions, the London School of Hygiene and Tropical Medicine, and the Malawi College of Medicine.</w:t>
      </w:r>
      <w:r w:rsidRPr="009C6DF8">
        <w:rPr>
          <w:b/>
          <w:sz w:val="24"/>
          <w:szCs w:val="24"/>
        </w:rPr>
        <w:br w:type="page"/>
      </w:r>
    </w:p>
    <w:p w14:paraId="0504F369" w14:textId="26C7C435" w:rsidR="00A90EEF" w:rsidRPr="00081F10" w:rsidRDefault="00081F10" w:rsidP="009C6DF8">
      <w:pPr>
        <w:wordWrap/>
        <w:adjustRightInd w:val="0"/>
        <w:snapToGrid w:val="0"/>
        <w:spacing w:after="0" w:line="480" w:lineRule="auto"/>
        <w:jc w:val="left"/>
        <w:rPr>
          <w:rFonts w:ascii="Arial" w:hAnsi="Arial" w:cs="Arial"/>
          <w:b/>
          <w:bCs/>
          <w:kern w:val="0"/>
          <w:sz w:val="24"/>
          <w:szCs w:val="24"/>
        </w:rPr>
      </w:pPr>
      <w:r w:rsidRPr="00081F10">
        <w:rPr>
          <w:rFonts w:ascii="Arial" w:hAnsi="Arial" w:cs="Arial"/>
          <w:b/>
          <w:bCs/>
          <w:kern w:val="0"/>
          <w:sz w:val="24"/>
          <w:szCs w:val="24"/>
        </w:rPr>
        <w:lastRenderedPageBreak/>
        <w:t>RESULTS</w:t>
      </w:r>
      <w:r w:rsidR="00A90EEF" w:rsidRPr="00081F10">
        <w:rPr>
          <w:rFonts w:ascii="Arial" w:hAnsi="Arial" w:cs="Arial"/>
          <w:b/>
          <w:bCs/>
          <w:kern w:val="0"/>
          <w:sz w:val="24"/>
          <w:szCs w:val="24"/>
        </w:rPr>
        <w:t xml:space="preserve"> </w:t>
      </w:r>
    </w:p>
    <w:p w14:paraId="29FAB01A" w14:textId="77777777" w:rsidR="00A90EEF" w:rsidRPr="00081F10" w:rsidRDefault="00A90EEF" w:rsidP="009C6DF8">
      <w:pPr>
        <w:wordWrap/>
        <w:adjustRightInd w:val="0"/>
        <w:snapToGrid w:val="0"/>
        <w:spacing w:after="0" w:line="480" w:lineRule="auto"/>
        <w:jc w:val="left"/>
        <w:rPr>
          <w:rFonts w:ascii="Arial" w:hAnsi="Arial" w:cs="Arial"/>
          <w:i/>
          <w:iCs/>
          <w:kern w:val="0"/>
          <w:sz w:val="24"/>
          <w:szCs w:val="24"/>
        </w:rPr>
      </w:pPr>
      <w:r w:rsidRPr="00081F10">
        <w:rPr>
          <w:rFonts w:ascii="Arial" w:hAnsi="Arial" w:cs="Arial" w:hint="eastAsia"/>
          <w:i/>
          <w:iCs/>
          <w:kern w:val="0"/>
          <w:sz w:val="24"/>
          <w:szCs w:val="24"/>
        </w:rPr>
        <w:t>S</w:t>
      </w:r>
      <w:r w:rsidRPr="00081F10">
        <w:rPr>
          <w:rFonts w:ascii="Arial" w:hAnsi="Arial" w:cs="Arial"/>
          <w:i/>
          <w:iCs/>
          <w:kern w:val="0"/>
          <w:sz w:val="24"/>
          <w:szCs w:val="24"/>
        </w:rPr>
        <w:t>tudy population</w:t>
      </w:r>
    </w:p>
    <w:p w14:paraId="1142AEB0" w14:textId="6ED1D5B9" w:rsidR="00A90EEF" w:rsidRPr="00F17701" w:rsidRDefault="00A90EEF" w:rsidP="009C6DF8">
      <w:pPr>
        <w:wordWrap/>
        <w:adjustRightInd w:val="0"/>
        <w:snapToGrid w:val="0"/>
        <w:spacing w:after="0" w:line="480" w:lineRule="auto"/>
        <w:jc w:val="left"/>
        <w:rPr>
          <w:rFonts w:ascii="Arial" w:hAnsi="Arial" w:cs="Arial"/>
          <w:kern w:val="0"/>
          <w:sz w:val="24"/>
          <w:szCs w:val="24"/>
        </w:rPr>
      </w:pPr>
      <w:r w:rsidRPr="00F17701">
        <w:rPr>
          <w:rFonts w:ascii="Arial" w:hAnsi="Arial" w:cs="Arial" w:hint="eastAsia"/>
          <w:kern w:val="0"/>
          <w:sz w:val="24"/>
          <w:szCs w:val="24"/>
        </w:rPr>
        <w:t>I</w:t>
      </w:r>
      <w:r w:rsidRPr="00F17701">
        <w:rPr>
          <w:rFonts w:ascii="Arial" w:hAnsi="Arial" w:cs="Arial"/>
          <w:kern w:val="0"/>
          <w:sz w:val="24"/>
          <w:szCs w:val="24"/>
        </w:rPr>
        <w:t xml:space="preserve">n all three populations, mean patient age ranged from 35 to 38 years, fewer than 15% reported completing secondary education, and </w:t>
      </w:r>
      <w:r w:rsidR="00E735A7">
        <w:rPr>
          <w:rFonts w:ascii="Arial" w:hAnsi="Arial" w:cs="Arial"/>
          <w:kern w:val="0"/>
          <w:sz w:val="24"/>
          <w:szCs w:val="24"/>
        </w:rPr>
        <w:t xml:space="preserve">mean </w:t>
      </w:r>
      <w:r w:rsidRPr="00F17701">
        <w:rPr>
          <w:rFonts w:ascii="Arial" w:hAnsi="Arial" w:cs="Arial"/>
          <w:kern w:val="0"/>
          <w:sz w:val="24"/>
          <w:szCs w:val="24"/>
        </w:rPr>
        <w:t xml:space="preserve">annual household expenditure ranged from $346 to $595 with 70~90% of participants under the poverty line (Table 1). Outpatients receiving new HIV diagnoses had lower household expenditure and education than </w:t>
      </w:r>
      <w:r w:rsidR="00BB1E9B">
        <w:rPr>
          <w:rFonts w:ascii="Arial" w:hAnsi="Arial" w:cs="Arial"/>
          <w:kern w:val="0"/>
          <w:sz w:val="24"/>
          <w:szCs w:val="24"/>
        </w:rPr>
        <w:t>other groups</w:t>
      </w:r>
      <w:r w:rsidRPr="00F17701">
        <w:rPr>
          <w:rFonts w:ascii="Arial" w:hAnsi="Arial" w:cs="Arial"/>
          <w:kern w:val="0"/>
          <w:sz w:val="24"/>
          <w:szCs w:val="24"/>
        </w:rPr>
        <w:t xml:space="preserve">. </w:t>
      </w:r>
      <w:r w:rsidR="00AC55A7">
        <w:rPr>
          <w:rFonts w:ascii="Arial" w:hAnsi="Arial" w:cs="Arial"/>
          <w:kern w:val="0"/>
          <w:sz w:val="24"/>
          <w:szCs w:val="24"/>
        </w:rPr>
        <w:t>Twenty-eight percent</w:t>
      </w:r>
      <w:r w:rsidR="002B69A9">
        <w:rPr>
          <w:rFonts w:ascii="Arial" w:hAnsi="Arial" w:cs="Arial"/>
          <w:kern w:val="0"/>
          <w:sz w:val="24"/>
          <w:szCs w:val="24"/>
        </w:rPr>
        <w:t xml:space="preserve"> of </w:t>
      </w:r>
      <w:r w:rsidR="00AC55A7">
        <w:rPr>
          <w:rFonts w:ascii="Arial" w:hAnsi="Arial" w:cs="Arial"/>
          <w:kern w:val="0"/>
          <w:sz w:val="24"/>
          <w:szCs w:val="24"/>
        </w:rPr>
        <w:t xml:space="preserve">hospitalized </w:t>
      </w:r>
      <w:r w:rsidR="000F59BE">
        <w:rPr>
          <w:rFonts w:ascii="Arial" w:hAnsi="Arial" w:cs="Arial"/>
          <w:kern w:val="0"/>
          <w:sz w:val="24"/>
          <w:szCs w:val="24"/>
        </w:rPr>
        <w:t>i</w:t>
      </w:r>
      <w:r w:rsidR="002B69A9" w:rsidRPr="00F17701">
        <w:rPr>
          <w:rFonts w:ascii="Arial" w:hAnsi="Arial" w:cs="Arial"/>
          <w:kern w:val="0"/>
          <w:sz w:val="24"/>
          <w:szCs w:val="24"/>
        </w:rPr>
        <w:t xml:space="preserve">ndividuals </w:t>
      </w:r>
      <w:r w:rsidR="00AC55A7">
        <w:rPr>
          <w:rFonts w:ascii="Arial" w:hAnsi="Arial" w:cs="Arial"/>
          <w:kern w:val="0"/>
          <w:sz w:val="24"/>
          <w:szCs w:val="24"/>
        </w:rPr>
        <w:t>had previously been treated for TB</w:t>
      </w:r>
      <w:r w:rsidR="002B69A9">
        <w:rPr>
          <w:rFonts w:ascii="Arial" w:hAnsi="Arial" w:cs="Arial"/>
          <w:kern w:val="0"/>
          <w:sz w:val="24"/>
          <w:szCs w:val="24"/>
        </w:rPr>
        <w:t>.</w:t>
      </w:r>
    </w:p>
    <w:p w14:paraId="4634563A" w14:textId="77777777" w:rsidR="00A90EEF" w:rsidRPr="00F17701" w:rsidRDefault="00A90EEF" w:rsidP="009C6DF8">
      <w:pPr>
        <w:wordWrap/>
        <w:adjustRightInd w:val="0"/>
        <w:snapToGrid w:val="0"/>
        <w:spacing w:after="0" w:line="480" w:lineRule="auto"/>
        <w:jc w:val="left"/>
        <w:rPr>
          <w:rFonts w:ascii="Arial" w:hAnsi="Arial" w:cs="Arial"/>
          <w:kern w:val="0"/>
          <w:sz w:val="24"/>
          <w:szCs w:val="24"/>
        </w:rPr>
      </w:pPr>
    </w:p>
    <w:p w14:paraId="60DCC310" w14:textId="77777777" w:rsidR="00A90EEF" w:rsidRPr="00081F10" w:rsidRDefault="00A90EEF" w:rsidP="009C6DF8">
      <w:pPr>
        <w:wordWrap/>
        <w:adjustRightInd w:val="0"/>
        <w:snapToGrid w:val="0"/>
        <w:spacing w:after="0" w:line="480" w:lineRule="auto"/>
        <w:jc w:val="left"/>
        <w:rPr>
          <w:rFonts w:ascii="Arial" w:hAnsi="Arial" w:cs="Arial"/>
          <w:i/>
          <w:iCs/>
          <w:kern w:val="0"/>
          <w:sz w:val="24"/>
          <w:szCs w:val="24"/>
        </w:rPr>
      </w:pPr>
      <w:r w:rsidRPr="00081F10">
        <w:rPr>
          <w:rFonts w:ascii="Arial" w:hAnsi="Arial" w:cs="Arial"/>
          <w:i/>
          <w:iCs/>
          <w:kern w:val="0"/>
          <w:sz w:val="24"/>
          <w:szCs w:val="24"/>
        </w:rPr>
        <w:t xml:space="preserve">Empiric data on Patient costs </w:t>
      </w:r>
    </w:p>
    <w:p w14:paraId="10342E68" w14:textId="4F598DB0" w:rsidR="00A90EEF" w:rsidRPr="00F17701" w:rsidRDefault="00A90EEF" w:rsidP="009C6DF8">
      <w:pPr>
        <w:wordWrap/>
        <w:adjustRightInd w:val="0"/>
        <w:snapToGrid w:val="0"/>
        <w:spacing w:after="0" w:line="480" w:lineRule="auto"/>
        <w:jc w:val="left"/>
        <w:rPr>
          <w:rFonts w:ascii="Arial" w:hAnsi="Arial" w:cs="Arial"/>
          <w:kern w:val="0"/>
          <w:sz w:val="24"/>
          <w:szCs w:val="24"/>
        </w:rPr>
      </w:pPr>
      <w:r w:rsidRPr="00F17701">
        <w:rPr>
          <w:rFonts w:ascii="Arial" w:hAnsi="Arial" w:cs="Arial"/>
          <w:kern w:val="0"/>
          <w:sz w:val="24"/>
          <w:szCs w:val="24"/>
        </w:rPr>
        <w:t xml:space="preserve">The mean reported OOP expenditures per individual receiving inpatient treatment for </w:t>
      </w:r>
      <w:r w:rsidR="00AC55A7">
        <w:rPr>
          <w:rFonts w:ascii="Arial" w:hAnsi="Arial" w:cs="Arial"/>
          <w:kern w:val="0"/>
          <w:sz w:val="24"/>
          <w:szCs w:val="24"/>
        </w:rPr>
        <w:t xml:space="preserve">an </w:t>
      </w:r>
      <w:r w:rsidR="00304549">
        <w:rPr>
          <w:rFonts w:ascii="Arial" w:hAnsi="Arial" w:cs="Arial"/>
          <w:kern w:val="0"/>
          <w:sz w:val="24"/>
          <w:szCs w:val="24"/>
        </w:rPr>
        <w:t xml:space="preserve">initial </w:t>
      </w:r>
      <w:r w:rsidR="00C0733A">
        <w:rPr>
          <w:rFonts w:ascii="Arial" w:hAnsi="Arial" w:cs="Arial"/>
          <w:kern w:val="0"/>
          <w:sz w:val="24"/>
          <w:szCs w:val="24"/>
        </w:rPr>
        <w:t>TB</w:t>
      </w:r>
      <w:r w:rsidR="00AC55A7">
        <w:rPr>
          <w:rFonts w:ascii="Arial" w:hAnsi="Arial" w:cs="Arial"/>
          <w:kern w:val="0"/>
          <w:sz w:val="24"/>
          <w:szCs w:val="24"/>
        </w:rPr>
        <w:t xml:space="preserve"> episode</w:t>
      </w:r>
      <w:r w:rsidRPr="00F17701">
        <w:rPr>
          <w:rFonts w:ascii="Arial" w:hAnsi="Arial" w:cs="Arial"/>
          <w:kern w:val="0"/>
          <w:sz w:val="24"/>
          <w:szCs w:val="24"/>
        </w:rPr>
        <w:t xml:space="preserve"> w</w:t>
      </w:r>
      <w:r w:rsidR="00AC55A7">
        <w:rPr>
          <w:rFonts w:ascii="Arial" w:hAnsi="Arial" w:cs="Arial"/>
          <w:kern w:val="0"/>
          <w:sz w:val="24"/>
          <w:szCs w:val="24"/>
        </w:rPr>
        <w:t>as</w:t>
      </w:r>
      <w:r w:rsidR="009C75D3">
        <w:rPr>
          <w:rFonts w:ascii="Arial" w:hAnsi="Arial" w:cs="Arial"/>
          <w:kern w:val="0"/>
          <w:sz w:val="24"/>
          <w:szCs w:val="24"/>
        </w:rPr>
        <w:t xml:space="preserve"> </w:t>
      </w:r>
      <w:r w:rsidRPr="00F17701">
        <w:rPr>
          <w:rFonts w:ascii="Arial" w:hAnsi="Arial" w:cs="Arial"/>
          <w:kern w:val="0"/>
          <w:sz w:val="24"/>
          <w:szCs w:val="24"/>
        </w:rPr>
        <w:t>$</w:t>
      </w:r>
      <w:r w:rsidR="009C75D3">
        <w:rPr>
          <w:rFonts w:ascii="Arial" w:hAnsi="Arial" w:cs="Arial"/>
          <w:kern w:val="0"/>
          <w:sz w:val="24"/>
          <w:szCs w:val="24"/>
        </w:rPr>
        <w:t>14.96</w:t>
      </w:r>
      <w:r w:rsidRPr="00F17701">
        <w:rPr>
          <w:rFonts w:ascii="Arial" w:hAnsi="Arial" w:cs="Arial"/>
          <w:kern w:val="0"/>
          <w:sz w:val="24"/>
          <w:szCs w:val="24"/>
        </w:rPr>
        <w:t xml:space="preserve"> (standard deviation, SD: $</w:t>
      </w:r>
      <w:r w:rsidR="009C75D3">
        <w:rPr>
          <w:rFonts w:ascii="Arial" w:hAnsi="Arial" w:cs="Arial"/>
          <w:kern w:val="0"/>
          <w:sz w:val="24"/>
          <w:szCs w:val="24"/>
        </w:rPr>
        <w:t>19.52</w:t>
      </w:r>
      <w:r w:rsidRPr="00F17701">
        <w:rPr>
          <w:rFonts w:ascii="Arial" w:hAnsi="Arial" w:cs="Arial"/>
          <w:kern w:val="0"/>
          <w:sz w:val="24"/>
          <w:szCs w:val="24"/>
        </w:rPr>
        <w:t>)</w:t>
      </w:r>
      <w:r w:rsidR="00AC55A7">
        <w:rPr>
          <w:rFonts w:ascii="Arial" w:hAnsi="Arial" w:cs="Arial"/>
          <w:kern w:val="0"/>
          <w:sz w:val="24"/>
          <w:szCs w:val="24"/>
        </w:rPr>
        <w:t>, versus</w:t>
      </w:r>
      <w:r w:rsidR="009C75D3">
        <w:rPr>
          <w:rFonts w:ascii="Arial" w:hAnsi="Arial" w:cs="Arial"/>
          <w:kern w:val="0"/>
          <w:sz w:val="24"/>
          <w:szCs w:val="24"/>
        </w:rPr>
        <w:t xml:space="preserve"> $22.86 (SD: $27.46) </w:t>
      </w:r>
      <w:r w:rsidR="00AC55A7">
        <w:rPr>
          <w:rFonts w:ascii="Arial" w:hAnsi="Arial" w:cs="Arial"/>
          <w:kern w:val="0"/>
          <w:sz w:val="24"/>
          <w:szCs w:val="24"/>
        </w:rPr>
        <w:t>for recurrent TB</w:t>
      </w:r>
      <w:r w:rsidRPr="00F17701">
        <w:rPr>
          <w:rFonts w:ascii="Arial" w:hAnsi="Arial" w:cs="Arial"/>
          <w:kern w:val="0"/>
          <w:sz w:val="24"/>
          <w:szCs w:val="24"/>
        </w:rPr>
        <w:t xml:space="preserve">. When also considering guardian costs, </w:t>
      </w:r>
      <w:r w:rsidR="00E735A7">
        <w:rPr>
          <w:rFonts w:ascii="Arial" w:hAnsi="Arial" w:cs="Arial"/>
          <w:kern w:val="0"/>
          <w:sz w:val="24"/>
          <w:szCs w:val="24"/>
        </w:rPr>
        <w:t xml:space="preserve">mean </w:t>
      </w:r>
      <w:r w:rsidRPr="00F17701">
        <w:rPr>
          <w:rFonts w:ascii="Arial" w:hAnsi="Arial" w:cs="Arial"/>
          <w:kern w:val="0"/>
          <w:sz w:val="24"/>
          <w:szCs w:val="24"/>
        </w:rPr>
        <w:t>total OOP costs rose to $</w:t>
      </w:r>
      <w:r w:rsidR="009C75D3">
        <w:rPr>
          <w:rFonts w:ascii="Arial" w:hAnsi="Arial" w:cs="Arial"/>
          <w:kern w:val="0"/>
          <w:sz w:val="24"/>
          <w:szCs w:val="24"/>
        </w:rPr>
        <w:t>28.66</w:t>
      </w:r>
      <w:r w:rsidRPr="00F17701">
        <w:rPr>
          <w:rFonts w:ascii="Arial" w:hAnsi="Arial" w:cs="Arial"/>
          <w:kern w:val="0"/>
          <w:sz w:val="24"/>
          <w:szCs w:val="24"/>
        </w:rPr>
        <w:t xml:space="preserve"> (SD: $</w:t>
      </w:r>
      <w:r w:rsidR="009C75D3">
        <w:rPr>
          <w:rFonts w:ascii="Arial" w:hAnsi="Arial" w:cs="Arial"/>
          <w:kern w:val="0"/>
          <w:sz w:val="24"/>
          <w:szCs w:val="24"/>
        </w:rPr>
        <w:t>29.09</w:t>
      </w:r>
      <w:r w:rsidRPr="00F17701">
        <w:rPr>
          <w:rFonts w:ascii="Arial" w:hAnsi="Arial" w:cs="Arial"/>
          <w:kern w:val="0"/>
          <w:sz w:val="24"/>
          <w:szCs w:val="24"/>
        </w:rPr>
        <w:t>)</w:t>
      </w:r>
      <w:r w:rsidR="009C75D3">
        <w:rPr>
          <w:rFonts w:ascii="Arial" w:hAnsi="Arial" w:cs="Arial"/>
          <w:kern w:val="0"/>
          <w:sz w:val="24"/>
          <w:szCs w:val="24"/>
        </w:rPr>
        <w:t xml:space="preserve"> and $39.68 (SD: $46.04)</w:t>
      </w:r>
      <w:r w:rsidR="00AC55A7">
        <w:rPr>
          <w:rFonts w:ascii="Arial" w:hAnsi="Arial" w:cs="Arial"/>
          <w:kern w:val="0"/>
          <w:sz w:val="24"/>
          <w:szCs w:val="24"/>
        </w:rPr>
        <w:t>, respectively</w:t>
      </w:r>
      <w:r w:rsidRPr="00F17701">
        <w:rPr>
          <w:rFonts w:ascii="Arial" w:hAnsi="Arial" w:cs="Arial"/>
          <w:kern w:val="0"/>
          <w:sz w:val="24"/>
          <w:szCs w:val="24"/>
        </w:rPr>
        <w:t>. Among the OOP expenditures, food costs accounted for 50%</w:t>
      </w:r>
      <w:r w:rsidR="004B5599">
        <w:rPr>
          <w:rFonts w:ascii="Arial" w:hAnsi="Arial" w:cs="Arial"/>
          <w:kern w:val="0"/>
          <w:sz w:val="24"/>
          <w:szCs w:val="24"/>
        </w:rPr>
        <w:t xml:space="preserve"> in both</w:t>
      </w:r>
      <w:r w:rsidR="00AC55A7">
        <w:rPr>
          <w:rFonts w:ascii="Arial" w:hAnsi="Arial" w:cs="Arial"/>
          <w:kern w:val="0"/>
          <w:sz w:val="24"/>
          <w:szCs w:val="24"/>
        </w:rPr>
        <w:t xml:space="preserve"> populations</w:t>
      </w:r>
      <w:r w:rsidRPr="00F17701">
        <w:rPr>
          <w:rFonts w:ascii="Arial" w:hAnsi="Arial" w:cs="Arial"/>
          <w:kern w:val="0"/>
          <w:sz w:val="24"/>
          <w:szCs w:val="24"/>
        </w:rPr>
        <w:t xml:space="preserve">. </w:t>
      </w:r>
      <w:r w:rsidR="00B82806">
        <w:rPr>
          <w:rFonts w:ascii="Arial" w:hAnsi="Arial" w:cs="Arial"/>
          <w:kern w:val="0"/>
          <w:sz w:val="24"/>
          <w:szCs w:val="24"/>
        </w:rPr>
        <w:t>M</w:t>
      </w:r>
      <w:r w:rsidR="0052290E" w:rsidRPr="00F17701">
        <w:rPr>
          <w:rFonts w:ascii="Arial" w:hAnsi="Arial" w:cs="Arial"/>
          <w:kern w:val="0"/>
          <w:sz w:val="24"/>
          <w:szCs w:val="24"/>
        </w:rPr>
        <w:t xml:space="preserve">ean </w:t>
      </w:r>
      <w:r w:rsidRPr="00F17701">
        <w:rPr>
          <w:rFonts w:ascii="Arial" w:hAnsi="Arial" w:cs="Arial"/>
          <w:kern w:val="0"/>
          <w:sz w:val="24"/>
          <w:szCs w:val="24"/>
        </w:rPr>
        <w:t>(SD) lost wage</w:t>
      </w:r>
      <w:r w:rsidR="00AC55A7">
        <w:rPr>
          <w:rFonts w:ascii="Arial" w:hAnsi="Arial" w:cs="Arial"/>
          <w:kern w:val="0"/>
          <w:sz w:val="24"/>
          <w:szCs w:val="24"/>
        </w:rPr>
        <w:t>s</w:t>
      </w:r>
      <w:r w:rsidRPr="00F17701">
        <w:rPr>
          <w:rFonts w:ascii="Arial" w:hAnsi="Arial" w:cs="Arial"/>
          <w:kern w:val="0"/>
          <w:sz w:val="24"/>
          <w:szCs w:val="24"/>
        </w:rPr>
        <w:t xml:space="preserve"> </w:t>
      </w:r>
      <w:r w:rsidR="00AC55A7">
        <w:rPr>
          <w:rFonts w:ascii="Arial" w:hAnsi="Arial" w:cs="Arial"/>
          <w:kern w:val="0"/>
          <w:sz w:val="24"/>
          <w:szCs w:val="24"/>
        </w:rPr>
        <w:t xml:space="preserve">(for </w:t>
      </w:r>
      <w:r w:rsidR="00B82806">
        <w:rPr>
          <w:rFonts w:ascii="Arial" w:hAnsi="Arial" w:cs="Arial"/>
          <w:kern w:val="0"/>
          <w:sz w:val="24"/>
          <w:szCs w:val="24"/>
        </w:rPr>
        <w:t>patient</w:t>
      </w:r>
      <w:r w:rsidR="00AC55A7">
        <w:rPr>
          <w:rFonts w:ascii="Arial" w:hAnsi="Arial" w:cs="Arial"/>
          <w:kern w:val="0"/>
          <w:sz w:val="24"/>
          <w:szCs w:val="24"/>
        </w:rPr>
        <w:t>s</w:t>
      </w:r>
      <w:r w:rsidR="00B82806">
        <w:rPr>
          <w:rFonts w:ascii="Arial" w:hAnsi="Arial" w:cs="Arial"/>
          <w:kern w:val="0"/>
          <w:sz w:val="24"/>
          <w:szCs w:val="24"/>
        </w:rPr>
        <w:t xml:space="preserve"> and guardian</w:t>
      </w:r>
      <w:r w:rsidR="00AC55A7">
        <w:rPr>
          <w:rFonts w:ascii="Arial" w:hAnsi="Arial" w:cs="Arial"/>
          <w:kern w:val="0"/>
          <w:sz w:val="24"/>
          <w:szCs w:val="24"/>
        </w:rPr>
        <w:t>s)</w:t>
      </w:r>
      <w:r w:rsidR="00B82806" w:rsidRPr="00F17701">
        <w:rPr>
          <w:rFonts w:ascii="Arial" w:hAnsi="Arial" w:cs="Arial"/>
          <w:kern w:val="0"/>
          <w:sz w:val="24"/>
          <w:szCs w:val="24"/>
        </w:rPr>
        <w:t xml:space="preserve"> </w:t>
      </w:r>
      <w:r w:rsidRPr="00F17701">
        <w:rPr>
          <w:rFonts w:ascii="Arial" w:hAnsi="Arial" w:cs="Arial"/>
          <w:kern w:val="0"/>
          <w:sz w:val="24"/>
          <w:szCs w:val="24"/>
        </w:rPr>
        <w:t xml:space="preserve">from the time of TB diagnosis to the time of survey </w:t>
      </w:r>
      <w:r w:rsidR="00AC55A7">
        <w:rPr>
          <w:rFonts w:ascii="Arial" w:hAnsi="Arial" w:cs="Arial"/>
          <w:kern w:val="0"/>
          <w:sz w:val="24"/>
          <w:szCs w:val="24"/>
        </w:rPr>
        <w:t xml:space="preserve">were </w:t>
      </w:r>
      <w:r w:rsidRPr="00F17701">
        <w:rPr>
          <w:rFonts w:ascii="Arial" w:hAnsi="Arial" w:cs="Arial"/>
          <w:kern w:val="0"/>
          <w:sz w:val="24"/>
          <w:szCs w:val="24"/>
        </w:rPr>
        <w:t>$</w:t>
      </w:r>
      <w:r w:rsidR="004B5599">
        <w:rPr>
          <w:rFonts w:ascii="Arial" w:hAnsi="Arial" w:cs="Arial"/>
          <w:kern w:val="0"/>
          <w:sz w:val="24"/>
          <w:szCs w:val="24"/>
        </w:rPr>
        <w:t>26.65</w:t>
      </w:r>
      <w:r w:rsidRPr="00F17701">
        <w:rPr>
          <w:rFonts w:ascii="Arial" w:hAnsi="Arial" w:cs="Arial"/>
          <w:kern w:val="0"/>
          <w:sz w:val="24"/>
          <w:szCs w:val="24"/>
        </w:rPr>
        <w:t xml:space="preserve"> (SD: $</w:t>
      </w:r>
      <w:r w:rsidR="004B5599">
        <w:rPr>
          <w:rFonts w:ascii="Arial" w:hAnsi="Arial" w:cs="Arial"/>
          <w:kern w:val="0"/>
          <w:sz w:val="24"/>
          <w:szCs w:val="24"/>
        </w:rPr>
        <w:t>39.75</w:t>
      </w:r>
      <w:r w:rsidRPr="00F17701">
        <w:rPr>
          <w:rFonts w:ascii="Arial" w:hAnsi="Arial" w:cs="Arial"/>
          <w:kern w:val="0"/>
          <w:sz w:val="24"/>
          <w:szCs w:val="24"/>
        </w:rPr>
        <w:t xml:space="preserve">) per </w:t>
      </w:r>
      <w:r w:rsidR="00AC55A7">
        <w:rPr>
          <w:rFonts w:ascii="Arial" w:hAnsi="Arial" w:cs="Arial"/>
          <w:kern w:val="0"/>
          <w:sz w:val="24"/>
          <w:szCs w:val="24"/>
        </w:rPr>
        <w:t>hospitalization for initial TB and</w:t>
      </w:r>
      <w:r w:rsidR="004B5599">
        <w:rPr>
          <w:rFonts w:ascii="Arial" w:hAnsi="Arial" w:cs="Arial"/>
          <w:kern w:val="0"/>
          <w:sz w:val="24"/>
          <w:szCs w:val="24"/>
        </w:rPr>
        <w:t xml:space="preserve"> $83.32 (SD: $132.40) per </w:t>
      </w:r>
      <w:r w:rsidR="00AC55A7">
        <w:rPr>
          <w:rFonts w:ascii="Arial" w:hAnsi="Arial" w:cs="Arial"/>
          <w:kern w:val="0"/>
          <w:sz w:val="24"/>
          <w:szCs w:val="24"/>
        </w:rPr>
        <w:t>recurrent TB hospitalization</w:t>
      </w:r>
      <w:r w:rsidR="004B5599">
        <w:rPr>
          <w:rFonts w:ascii="Arial" w:hAnsi="Arial" w:cs="Arial"/>
          <w:kern w:val="0"/>
          <w:sz w:val="24"/>
          <w:szCs w:val="24"/>
        </w:rPr>
        <w:t xml:space="preserve">. </w:t>
      </w:r>
      <w:r w:rsidRPr="00F17701">
        <w:rPr>
          <w:rFonts w:ascii="Arial" w:hAnsi="Arial" w:cs="Arial"/>
          <w:kern w:val="0"/>
          <w:sz w:val="24"/>
          <w:szCs w:val="24"/>
        </w:rPr>
        <w:t xml:space="preserve">Combining lost wages and OOP costs for both patients and guardians, the mean </w:t>
      </w:r>
      <w:r w:rsidR="004B5599">
        <w:rPr>
          <w:rFonts w:ascii="Arial" w:hAnsi="Arial" w:cs="Arial"/>
          <w:kern w:val="0"/>
          <w:sz w:val="24"/>
          <w:szCs w:val="24"/>
        </w:rPr>
        <w:t xml:space="preserve">total </w:t>
      </w:r>
      <w:r w:rsidRPr="00F17701">
        <w:rPr>
          <w:rFonts w:ascii="Arial" w:hAnsi="Arial" w:cs="Arial"/>
          <w:kern w:val="0"/>
          <w:sz w:val="24"/>
          <w:szCs w:val="24"/>
        </w:rPr>
        <w:t>patient cost from TB diagnosis to the time of survey w</w:t>
      </w:r>
      <w:r w:rsidR="00AC55A7">
        <w:rPr>
          <w:rFonts w:ascii="Arial" w:hAnsi="Arial" w:cs="Arial"/>
          <w:kern w:val="0"/>
          <w:sz w:val="24"/>
          <w:szCs w:val="24"/>
        </w:rPr>
        <w:t>as</w:t>
      </w:r>
      <w:r w:rsidR="004B5599">
        <w:rPr>
          <w:rFonts w:ascii="Arial" w:hAnsi="Arial" w:cs="Arial"/>
          <w:kern w:val="0"/>
          <w:sz w:val="24"/>
          <w:szCs w:val="24"/>
        </w:rPr>
        <w:t xml:space="preserve"> </w:t>
      </w:r>
      <w:r w:rsidRPr="00F17701">
        <w:rPr>
          <w:rFonts w:ascii="Arial" w:hAnsi="Arial" w:cs="Arial"/>
          <w:kern w:val="0"/>
          <w:sz w:val="24"/>
          <w:szCs w:val="24"/>
        </w:rPr>
        <w:t>$</w:t>
      </w:r>
      <w:r w:rsidR="004B5599">
        <w:rPr>
          <w:rFonts w:ascii="Arial" w:hAnsi="Arial" w:cs="Arial"/>
          <w:kern w:val="0"/>
          <w:sz w:val="24"/>
          <w:szCs w:val="24"/>
        </w:rPr>
        <w:t>55.31</w:t>
      </w:r>
      <w:r w:rsidRPr="00F17701">
        <w:rPr>
          <w:rFonts w:ascii="Arial" w:hAnsi="Arial" w:cs="Arial"/>
          <w:kern w:val="0"/>
          <w:sz w:val="24"/>
          <w:szCs w:val="24"/>
        </w:rPr>
        <w:t xml:space="preserve"> (SD: $</w:t>
      </w:r>
      <w:r w:rsidR="004B5599">
        <w:rPr>
          <w:rFonts w:ascii="Arial" w:hAnsi="Arial" w:cs="Arial"/>
          <w:kern w:val="0"/>
          <w:sz w:val="24"/>
          <w:szCs w:val="24"/>
        </w:rPr>
        <w:t>58.50</w:t>
      </w:r>
      <w:r w:rsidRPr="00F17701">
        <w:rPr>
          <w:rFonts w:ascii="Arial" w:hAnsi="Arial" w:cs="Arial"/>
          <w:kern w:val="0"/>
          <w:sz w:val="24"/>
          <w:szCs w:val="24"/>
        </w:rPr>
        <w:t>)</w:t>
      </w:r>
      <w:r w:rsidR="004B5599">
        <w:rPr>
          <w:rFonts w:ascii="Arial" w:hAnsi="Arial" w:cs="Arial"/>
          <w:kern w:val="0"/>
          <w:sz w:val="24"/>
          <w:szCs w:val="24"/>
        </w:rPr>
        <w:t xml:space="preserve"> </w:t>
      </w:r>
      <w:r w:rsidR="00037AAD">
        <w:rPr>
          <w:rFonts w:ascii="Arial" w:hAnsi="Arial" w:cs="Arial"/>
          <w:kern w:val="0"/>
          <w:sz w:val="24"/>
          <w:szCs w:val="24"/>
        </w:rPr>
        <w:t xml:space="preserve">per patient </w:t>
      </w:r>
      <w:r w:rsidR="004B5599">
        <w:rPr>
          <w:rFonts w:ascii="Arial" w:hAnsi="Arial" w:cs="Arial"/>
          <w:kern w:val="0"/>
          <w:sz w:val="24"/>
          <w:szCs w:val="24"/>
        </w:rPr>
        <w:t xml:space="preserve">for </w:t>
      </w:r>
      <w:r w:rsidR="00AC55A7">
        <w:rPr>
          <w:rFonts w:ascii="Arial" w:hAnsi="Arial" w:cs="Arial"/>
          <w:kern w:val="0"/>
          <w:sz w:val="24"/>
          <w:szCs w:val="24"/>
        </w:rPr>
        <w:t xml:space="preserve">an </w:t>
      </w:r>
      <w:r w:rsidR="00B82806">
        <w:rPr>
          <w:rFonts w:ascii="Arial" w:hAnsi="Arial" w:cs="Arial"/>
          <w:kern w:val="0"/>
          <w:sz w:val="24"/>
          <w:szCs w:val="24"/>
        </w:rPr>
        <w:t>initial</w:t>
      </w:r>
      <w:r w:rsidR="004B5599">
        <w:rPr>
          <w:rFonts w:ascii="Arial" w:hAnsi="Arial" w:cs="Arial"/>
          <w:kern w:val="0"/>
          <w:sz w:val="24"/>
          <w:szCs w:val="24"/>
        </w:rPr>
        <w:t xml:space="preserve"> TB </w:t>
      </w:r>
      <w:r w:rsidR="00B82806">
        <w:rPr>
          <w:rFonts w:ascii="Arial" w:hAnsi="Arial" w:cs="Arial"/>
          <w:kern w:val="0"/>
          <w:sz w:val="24"/>
          <w:szCs w:val="24"/>
        </w:rPr>
        <w:t xml:space="preserve">episode </w:t>
      </w:r>
      <w:r w:rsidR="004B5599">
        <w:rPr>
          <w:rFonts w:ascii="Arial" w:hAnsi="Arial" w:cs="Arial"/>
          <w:kern w:val="0"/>
          <w:sz w:val="24"/>
          <w:szCs w:val="24"/>
        </w:rPr>
        <w:t>and $123.00 (SD: $153.79) per patient</w:t>
      </w:r>
      <w:r w:rsidR="00037AAD">
        <w:rPr>
          <w:rFonts w:ascii="Arial" w:hAnsi="Arial" w:cs="Arial"/>
          <w:kern w:val="0"/>
          <w:sz w:val="24"/>
          <w:szCs w:val="24"/>
        </w:rPr>
        <w:t xml:space="preserve"> for </w:t>
      </w:r>
      <w:r w:rsidR="00AC55A7">
        <w:rPr>
          <w:rFonts w:ascii="Arial" w:hAnsi="Arial" w:cs="Arial"/>
          <w:kern w:val="0"/>
          <w:sz w:val="24"/>
          <w:szCs w:val="24"/>
        </w:rPr>
        <w:t xml:space="preserve">a </w:t>
      </w:r>
      <w:r w:rsidR="00037AAD">
        <w:rPr>
          <w:rFonts w:ascii="Arial" w:hAnsi="Arial" w:cs="Arial"/>
          <w:kern w:val="0"/>
          <w:sz w:val="24"/>
          <w:szCs w:val="24"/>
        </w:rPr>
        <w:t>recurrent TB</w:t>
      </w:r>
      <w:r w:rsidR="00B82806">
        <w:rPr>
          <w:rFonts w:ascii="Arial" w:hAnsi="Arial" w:cs="Arial"/>
          <w:kern w:val="0"/>
          <w:sz w:val="24"/>
          <w:szCs w:val="24"/>
        </w:rPr>
        <w:t xml:space="preserve"> episode</w:t>
      </w:r>
      <w:r w:rsidRPr="00F17701">
        <w:rPr>
          <w:rFonts w:ascii="Arial" w:hAnsi="Arial" w:cs="Arial"/>
          <w:kern w:val="0"/>
          <w:sz w:val="24"/>
          <w:szCs w:val="24"/>
        </w:rPr>
        <w:t xml:space="preserve">. Mean (SD) total OOP expenditures for outpatients receiving new HIV diagnoses were $3.25 (SD: $5.06) per clinic visit, and </w:t>
      </w:r>
      <w:r w:rsidR="00E735A7">
        <w:rPr>
          <w:rFonts w:ascii="Arial" w:hAnsi="Arial" w:cs="Arial"/>
          <w:kern w:val="0"/>
          <w:sz w:val="24"/>
          <w:szCs w:val="24"/>
        </w:rPr>
        <w:t xml:space="preserve">mean </w:t>
      </w:r>
      <w:r w:rsidRPr="00F17701">
        <w:rPr>
          <w:rFonts w:ascii="Arial" w:hAnsi="Arial" w:cs="Arial"/>
          <w:kern w:val="0"/>
          <w:sz w:val="24"/>
          <w:szCs w:val="24"/>
        </w:rPr>
        <w:t xml:space="preserve">lost wages per visit were estimated at $1.57 (SD: $5.89). When asked to report total OOP </w:t>
      </w:r>
      <w:r w:rsidRPr="00F17701">
        <w:rPr>
          <w:rFonts w:ascii="Arial" w:hAnsi="Arial" w:cs="Arial"/>
          <w:kern w:val="0"/>
          <w:sz w:val="24"/>
          <w:szCs w:val="24"/>
        </w:rPr>
        <w:lastRenderedPageBreak/>
        <w:t xml:space="preserve">costs as a single item (i.e., without enumerating each component individually), patients underestimated their itemized OOP costs by </w:t>
      </w:r>
      <w:r w:rsidR="00037AAD">
        <w:rPr>
          <w:rFonts w:ascii="Arial" w:hAnsi="Arial" w:cs="Arial"/>
          <w:kern w:val="0"/>
          <w:sz w:val="24"/>
          <w:szCs w:val="24"/>
        </w:rPr>
        <w:t>53</w:t>
      </w:r>
      <w:r w:rsidRPr="00F17701">
        <w:rPr>
          <w:rFonts w:ascii="Arial" w:hAnsi="Arial" w:cs="Arial"/>
          <w:kern w:val="0"/>
          <w:sz w:val="24"/>
          <w:szCs w:val="24"/>
        </w:rPr>
        <w:t>-</w:t>
      </w:r>
      <w:r w:rsidR="00037AAD">
        <w:rPr>
          <w:rFonts w:ascii="Arial" w:hAnsi="Arial" w:cs="Arial"/>
          <w:kern w:val="0"/>
          <w:sz w:val="24"/>
          <w:szCs w:val="24"/>
        </w:rPr>
        <w:t>74</w:t>
      </w:r>
      <w:r w:rsidRPr="00F17701">
        <w:rPr>
          <w:rFonts w:ascii="Arial" w:hAnsi="Arial" w:cs="Arial"/>
          <w:kern w:val="0"/>
          <w:sz w:val="24"/>
          <w:szCs w:val="24"/>
        </w:rPr>
        <w:t xml:space="preserve">% (Table 2).      </w:t>
      </w:r>
    </w:p>
    <w:p w14:paraId="3CE50D58" w14:textId="77777777" w:rsidR="00A90EEF" w:rsidRPr="00F17701" w:rsidRDefault="00A90EEF" w:rsidP="009C6DF8">
      <w:pPr>
        <w:wordWrap/>
        <w:adjustRightInd w:val="0"/>
        <w:snapToGrid w:val="0"/>
        <w:spacing w:after="0" w:line="480" w:lineRule="auto"/>
        <w:jc w:val="left"/>
        <w:rPr>
          <w:rFonts w:ascii="Arial" w:hAnsi="Arial" w:cs="Arial"/>
          <w:kern w:val="0"/>
          <w:sz w:val="24"/>
          <w:szCs w:val="24"/>
        </w:rPr>
      </w:pPr>
    </w:p>
    <w:p w14:paraId="3A3DC056" w14:textId="77777777" w:rsidR="00A90EEF" w:rsidRPr="00081F10" w:rsidRDefault="00A90EEF" w:rsidP="009C6DF8">
      <w:pPr>
        <w:wordWrap/>
        <w:adjustRightInd w:val="0"/>
        <w:snapToGrid w:val="0"/>
        <w:spacing w:after="0" w:line="480" w:lineRule="auto"/>
        <w:jc w:val="left"/>
        <w:rPr>
          <w:rFonts w:ascii="Arial" w:hAnsi="Arial" w:cs="Arial"/>
          <w:i/>
          <w:iCs/>
          <w:kern w:val="0"/>
          <w:sz w:val="24"/>
          <w:szCs w:val="24"/>
        </w:rPr>
      </w:pPr>
      <w:r w:rsidRPr="00081F10">
        <w:rPr>
          <w:rFonts w:ascii="Arial" w:hAnsi="Arial" w:cs="Arial"/>
          <w:i/>
          <w:iCs/>
          <w:kern w:val="0"/>
          <w:sz w:val="24"/>
          <w:szCs w:val="24"/>
        </w:rPr>
        <w:t xml:space="preserve">Cost per TB treatment </w:t>
      </w:r>
    </w:p>
    <w:p w14:paraId="6E087523" w14:textId="5E726073" w:rsidR="00A90EEF" w:rsidRPr="00F17701" w:rsidRDefault="00A90EEF" w:rsidP="00F17701">
      <w:pPr>
        <w:wordWrap/>
        <w:adjustRightInd w:val="0"/>
        <w:snapToGrid w:val="0"/>
        <w:spacing w:after="0" w:line="480" w:lineRule="auto"/>
        <w:jc w:val="left"/>
        <w:rPr>
          <w:rFonts w:ascii="Arial" w:hAnsi="Arial" w:cs="Arial"/>
          <w:kern w:val="0"/>
          <w:sz w:val="24"/>
          <w:szCs w:val="24"/>
        </w:rPr>
      </w:pPr>
      <w:r w:rsidRPr="00F17701">
        <w:rPr>
          <w:rFonts w:ascii="Arial" w:hAnsi="Arial" w:cs="Arial"/>
          <w:kern w:val="0"/>
          <w:sz w:val="24"/>
          <w:szCs w:val="24"/>
        </w:rPr>
        <w:t xml:space="preserve">Table 3 shows the estimated patient-incurred costs per clinic visit among outpatients being treated for TB, based on </w:t>
      </w:r>
      <w:r w:rsidR="00CC2779">
        <w:rPr>
          <w:rFonts w:ascii="Arial" w:hAnsi="Arial" w:cs="Arial"/>
          <w:kern w:val="0"/>
          <w:sz w:val="24"/>
          <w:szCs w:val="24"/>
        </w:rPr>
        <w:t>extrapolation</w:t>
      </w:r>
      <w:r w:rsidRPr="00F17701">
        <w:rPr>
          <w:rFonts w:ascii="Arial" w:hAnsi="Arial" w:cs="Arial"/>
          <w:kern w:val="0"/>
          <w:sz w:val="24"/>
          <w:szCs w:val="24"/>
        </w:rPr>
        <w:t xml:space="preserve"> from reported costs among outpatients receiving new HIV diagnoses. Mean OOP costs per visit were estimated as $1.69 (SD: $1.41), assuming medical costs would not be incurred for TB outpatient treatment visits. Food costs accounted for the largest proportion of OOP costs (38%). </w:t>
      </w:r>
      <w:r w:rsidR="00E735A7">
        <w:rPr>
          <w:rFonts w:ascii="Arial" w:hAnsi="Arial" w:cs="Arial"/>
          <w:kern w:val="0"/>
          <w:sz w:val="24"/>
          <w:szCs w:val="24"/>
        </w:rPr>
        <w:t>Mean l</w:t>
      </w:r>
      <w:r w:rsidRPr="00F17701">
        <w:rPr>
          <w:rFonts w:ascii="Arial" w:hAnsi="Arial" w:cs="Arial"/>
          <w:kern w:val="0"/>
          <w:sz w:val="24"/>
          <w:szCs w:val="24"/>
        </w:rPr>
        <w:t xml:space="preserve">ost wages were estimated as $1.79 (SD: $1.40) per outpatient clinic visit with longer time spent at the facility for TB treatment than receiving HIV diagnoses. When data from patients receiving new HIV diagnoses were used to </w:t>
      </w:r>
      <w:r w:rsidR="00CC2779">
        <w:rPr>
          <w:rFonts w:ascii="Arial" w:hAnsi="Arial" w:cs="Arial"/>
          <w:kern w:val="0"/>
          <w:sz w:val="24"/>
          <w:szCs w:val="24"/>
        </w:rPr>
        <w:t>estimate</w:t>
      </w:r>
      <w:r w:rsidR="00CC2779" w:rsidRPr="00F17701">
        <w:rPr>
          <w:rFonts w:ascii="Arial" w:hAnsi="Arial" w:cs="Arial"/>
          <w:kern w:val="0"/>
          <w:sz w:val="24"/>
          <w:szCs w:val="24"/>
        </w:rPr>
        <w:t xml:space="preserve"> </w:t>
      </w:r>
      <w:r w:rsidRPr="00F17701">
        <w:rPr>
          <w:rFonts w:ascii="Arial" w:hAnsi="Arial" w:cs="Arial"/>
          <w:kern w:val="0"/>
          <w:sz w:val="24"/>
          <w:szCs w:val="24"/>
        </w:rPr>
        <w:t xml:space="preserve">total visit costs as a single item (rather than </w:t>
      </w:r>
      <w:r w:rsidR="00CC2779">
        <w:rPr>
          <w:rFonts w:ascii="Arial" w:hAnsi="Arial" w:cs="Arial"/>
          <w:kern w:val="0"/>
          <w:sz w:val="24"/>
          <w:szCs w:val="24"/>
        </w:rPr>
        <w:t>estimating</w:t>
      </w:r>
      <w:r w:rsidR="00CC2779" w:rsidRPr="00F17701">
        <w:rPr>
          <w:rFonts w:ascii="Arial" w:hAnsi="Arial" w:cs="Arial"/>
          <w:kern w:val="0"/>
          <w:sz w:val="24"/>
          <w:szCs w:val="24"/>
        </w:rPr>
        <w:t xml:space="preserve"> </w:t>
      </w:r>
      <w:r w:rsidRPr="00F17701">
        <w:rPr>
          <w:rFonts w:ascii="Arial" w:hAnsi="Arial" w:cs="Arial"/>
          <w:kern w:val="0"/>
          <w:sz w:val="24"/>
          <w:szCs w:val="24"/>
        </w:rPr>
        <w:t xml:space="preserve">each individual cost item separately), results were similar, though variance was larger: mean $3.29 (SD: $4.86) versus $3.52 (SD: $2.11) per visit. </w:t>
      </w:r>
    </w:p>
    <w:p w14:paraId="5582AE02" w14:textId="1EE8B7E2" w:rsidR="00A90EEF" w:rsidRPr="00F17701" w:rsidRDefault="00A90EEF" w:rsidP="00F17701">
      <w:pPr>
        <w:wordWrap/>
        <w:adjustRightInd w:val="0"/>
        <w:snapToGrid w:val="0"/>
        <w:spacing w:after="0" w:line="480" w:lineRule="auto"/>
        <w:jc w:val="left"/>
        <w:rPr>
          <w:rFonts w:ascii="Arial" w:hAnsi="Arial" w:cs="Arial"/>
          <w:kern w:val="0"/>
          <w:sz w:val="24"/>
          <w:szCs w:val="24"/>
        </w:rPr>
      </w:pPr>
      <w:r w:rsidRPr="00F17701">
        <w:rPr>
          <w:rFonts w:ascii="Arial" w:hAnsi="Arial" w:cs="Arial"/>
          <w:kern w:val="0"/>
          <w:sz w:val="24"/>
          <w:szCs w:val="24"/>
        </w:rPr>
        <w:t>Assuming standard six-month treatment for TB in this population with no documented cases of multidrug resistance, we estimated the total patient cost</w:t>
      </w:r>
      <w:r w:rsidR="00C0674E">
        <w:rPr>
          <w:rFonts w:ascii="Arial" w:hAnsi="Arial" w:cs="Arial"/>
          <w:kern w:val="0"/>
          <w:sz w:val="24"/>
          <w:szCs w:val="24"/>
        </w:rPr>
        <w:t>s</w:t>
      </w:r>
      <w:r w:rsidRPr="00F17701">
        <w:rPr>
          <w:rFonts w:ascii="Arial" w:hAnsi="Arial" w:cs="Arial"/>
          <w:kern w:val="0"/>
          <w:sz w:val="24"/>
          <w:szCs w:val="24"/>
        </w:rPr>
        <w:t xml:space="preserve"> per TB treatment episode, for</w:t>
      </w:r>
      <w:r w:rsidR="00C0674E">
        <w:rPr>
          <w:rFonts w:ascii="Arial" w:hAnsi="Arial" w:cs="Arial"/>
          <w:kern w:val="0"/>
          <w:sz w:val="24"/>
          <w:szCs w:val="24"/>
        </w:rPr>
        <w:t xml:space="preserve"> </w:t>
      </w:r>
      <w:r w:rsidRPr="00F17701">
        <w:rPr>
          <w:rFonts w:ascii="Arial" w:hAnsi="Arial" w:cs="Arial"/>
          <w:kern w:val="0"/>
          <w:sz w:val="24"/>
          <w:szCs w:val="24"/>
        </w:rPr>
        <w:t>individuals who were hospitalized</w:t>
      </w:r>
      <w:r w:rsidR="00AC55A7">
        <w:rPr>
          <w:rFonts w:ascii="Arial" w:hAnsi="Arial" w:cs="Arial"/>
          <w:kern w:val="0"/>
          <w:sz w:val="24"/>
          <w:szCs w:val="24"/>
        </w:rPr>
        <w:t xml:space="preserve"> (separately for initial and recurrent episodes)</w:t>
      </w:r>
      <w:r w:rsidRPr="00F17701">
        <w:rPr>
          <w:rFonts w:ascii="Arial" w:hAnsi="Arial" w:cs="Arial"/>
          <w:kern w:val="0"/>
          <w:sz w:val="24"/>
          <w:szCs w:val="24"/>
        </w:rPr>
        <w:t xml:space="preserve"> and for individuals receiving treatment entirely as outpatients (Figure 1). The mean estimated total patient-incurred cost</w:t>
      </w:r>
      <w:r w:rsidR="00C0674E">
        <w:rPr>
          <w:rFonts w:ascii="Arial" w:hAnsi="Arial" w:cs="Arial"/>
          <w:kern w:val="0"/>
          <w:sz w:val="24"/>
          <w:szCs w:val="24"/>
        </w:rPr>
        <w:t>s</w:t>
      </w:r>
      <w:r w:rsidRPr="00F17701">
        <w:rPr>
          <w:rFonts w:ascii="Arial" w:hAnsi="Arial" w:cs="Arial"/>
          <w:kern w:val="0"/>
          <w:sz w:val="24"/>
          <w:szCs w:val="24"/>
        </w:rPr>
        <w:t xml:space="preserve"> of TB treatment for </w:t>
      </w:r>
      <w:r w:rsidR="00B82806">
        <w:rPr>
          <w:rFonts w:ascii="Arial" w:hAnsi="Arial" w:cs="Arial"/>
          <w:kern w:val="0"/>
          <w:sz w:val="24"/>
          <w:szCs w:val="24"/>
        </w:rPr>
        <w:t>initial</w:t>
      </w:r>
      <w:r w:rsidR="00C0674E">
        <w:rPr>
          <w:rFonts w:ascii="Arial" w:hAnsi="Arial" w:cs="Arial"/>
          <w:kern w:val="0"/>
          <w:sz w:val="24"/>
          <w:szCs w:val="24"/>
        </w:rPr>
        <w:t xml:space="preserve"> and recurrent</w:t>
      </w:r>
      <w:r w:rsidR="00B82806">
        <w:rPr>
          <w:rFonts w:ascii="Arial" w:hAnsi="Arial" w:cs="Arial"/>
          <w:kern w:val="0"/>
          <w:sz w:val="24"/>
          <w:szCs w:val="24"/>
        </w:rPr>
        <w:t xml:space="preserve"> TB with </w:t>
      </w:r>
      <w:r w:rsidRPr="00F17701">
        <w:rPr>
          <w:rFonts w:ascii="Arial" w:hAnsi="Arial" w:cs="Arial"/>
          <w:kern w:val="0"/>
          <w:sz w:val="24"/>
          <w:szCs w:val="24"/>
        </w:rPr>
        <w:t>hospitaliz</w:t>
      </w:r>
      <w:r w:rsidR="00B82806">
        <w:rPr>
          <w:rFonts w:ascii="Arial" w:hAnsi="Arial" w:cs="Arial"/>
          <w:kern w:val="0"/>
          <w:sz w:val="24"/>
          <w:szCs w:val="24"/>
        </w:rPr>
        <w:t xml:space="preserve">ation </w:t>
      </w:r>
      <w:r w:rsidR="00C0674E" w:rsidRPr="00F17701">
        <w:rPr>
          <w:rFonts w:ascii="Arial" w:hAnsi="Arial" w:cs="Arial"/>
          <w:kern w:val="0"/>
          <w:sz w:val="24"/>
          <w:szCs w:val="24"/>
        </w:rPr>
        <w:t>w</w:t>
      </w:r>
      <w:r w:rsidR="00C0674E">
        <w:rPr>
          <w:rFonts w:ascii="Arial" w:hAnsi="Arial" w:cs="Arial"/>
          <w:kern w:val="0"/>
          <w:sz w:val="24"/>
          <w:szCs w:val="24"/>
        </w:rPr>
        <w:t>ere</w:t>
      </w:r>
      <w:r w:rsidR="00C0674E" w:rsidRPr="00F17701">
        <w:rPr>
          <w:rFonts w:ascii="Arial" w:hAnsi="Arial" w:cs="Arial"/>
          <w:kern w:val="0"/>
          <w:sz w:val="24"/>
          <w:szCs w:val="24"/>
        </w:rPr>
        <w:t xml:space="preserve"> </w:t>
      </w:r>
      <w:r w:rsidRPr="00F17701">
        <w:rPr>
          <w:rFonts w:ascii="Arial" w:hAnsi="Arial" w:cs="Arial"/>
          <w:kern w:val="0"/>
          <w:sz w:val="24"/>
          <w:szCs w:val="24"/>
        </w:rPr>
        <w:t>$</w:t>
      </w:r>
      <w:r w:rsidR="00C0674E">
        <w:rPr>
          <w:rFonts w:ascii="Arial" w:hAnsi="Arial" w:cs="Arial"/>
          <w:kern w:val="0"/>
          <w:sz w:val="24"/>
          <w:szCs w:val="24"/>
        </w:rPr>
        <w:t>136.83</w:t>
      </w:r>
      <w:r w:rsidRPr="00F17701">
        <w:rPr>
          <w:rFonts w:ascii="Arial" w:hAnsi="Arial" w:cs="Arial"/>
          <w:kern w:val="0"/>
          <w:sz w:val="24"/>
          <w:szCs w:val="24"/>
        </w:rPr>
        <w:t xml:space="preserve"> (SD: $</w:t>
      </w:r>
      <w:r w:rsidR="00C0674E">
        <w:rPr>
          <w:rFonts w:ascii="Arial" w:hAnsi="Arial" w:cs="Arial"/>
          <w:kern w:val="0"/>
          <w:sz w:val="24"/>
          <w:szCs w:val="24"/>
        </w:rPr>
        <w:t>147.49</w:t>
      </w:r>
      <w:r w:rsidRPr="00F17701">
        <w:rPr>
          <w:rFonts w:ascii="Arial" w:hAnsi="Arial" w:cs="Arial"/>
          <w:kern w:val="0"/>
          <w:sz w:val="24"/>
          <w:szCs w:val="24"/>
        </w:rPr>
        <w:t>)</w:t>
      </w:r>
      <w:r w:rsidR="00C0674E">
        <w:rPr>
          <w:rFonts w:ascii="Arial" w:hAnsi="Arial" w:cs="Arial"/>
          <w:kern w:val="0"/>
          <w:sz w:val="24"/>
          <w:szCs w:val="24"/>
        </w:rPr>
        <w:t xml:space="preserve"> and $286.01 (SD: $305.32)</w:t>
      </w:r>
      <w:r w:rsidRPr="00F17701">
        <w:rPr>
          <w:rFonts w:ascii="Arial" w:hAnsi="Arial" w:cs="Arial"/>
          <w:kern w:val="0"/>
          <w:sz w:val="24"/>
          <w:szCs w:val="24"/>
        </w:rPr>
        <w:t xml:space="preserve">, </w:t>
      </w:r>
      <w:r w:rsidR="00E3401E">
        <w:rPr>
          <w:rFonts w:ascii="Arial" w:hAnsi="Arial" w:cs="Arial"/>
          <w:kern w:val="0"/>
          <w:sz w:val="24"/>
          <w:szCs w:val="24"/>
        </w:rPr>
        <w:t xml:space="preserve">respectively, </w:t>
      </w:r>
      <w:r w:rsidRPr="00F17701">
        <w:rPr>
          <w:rFonts w:ascii="Arial" w:hAnsi="Arial" w:cs="Arial"/>
          <w:kern w:val="0"/>
          <w:sz w:val="24"/>
          <w:szCs w:val="24"/>
        </w:rPr>
        <w:t xml:space="preserve">with </w:t>
      </w:r>
      <w:r w:rsidR="00C0674E">
        <w:rPr>
          <w:rFonts w:ascii="Arial" w:hAnsi="Arial" w:cs="Arial"/>
          <w:kern w:val="0"/>
          <w:sz w:val="24"/>
          <w:szCs w:val="24"/>
        </w:rPr>
        <w:t xml:space="preserve">most </w:t>
      </w:r>
      <w:r w:rsidRPr="00F17701">
        <w:rPr>
          <w:rFonts w:ascii="Arial" w:hAnsi="Arial" w:cs="Arial"/>
          <w:kern w:val="0"/>
          <w:sz w:val="24"/>
          <w:szCs w:val="24"/>
        </w:rPr>
        <w:t>of th</w:t>
      </w:r>
      <w:r w:rsidR="00C0674E">
        <w:rPr>
          <w:rFonts w:ascii="Arial" w:hAnsi="Arial" w:cs="Arial"/>
          <w:kern w:val="0"/>
          <w:sz w:val="24"/>
          <w:szCs w:val="24"/>
        </w:rPr>
        <w:t xml:space="preserve">ose costs </w:t>
      </w:r>
      <w:r w:rsidRPr="00F17701">
        <w:rPr>
          <w:rFonts w:ascii="Arial" w:hAnsi="Arial" w:cs="Arial"/>
          <w:kern w:val="0"/>
          <w:sz w:val="24"/>
          <w:szCs w:val="24"/>
        </w:rPr>
        <w:t xml:space="preserve">occurring during the inpatient period. Patient lost wages accounted for </w:t>
      </w:r>
      <w:r w:rsidR="00784F52">
        <w:rPr>
          <w:rFonts w:ascii="Arial" w:hAnsi="Arial" w:cs="Arial"/>
          <w:kern w:val="0"/>
          <w:sz w:val="24"/>
          <w:szCs w:val="24"/>
        </w:rPr>
        <w:t>$42.47 (31%) and $163.82 (57%)</w:t>
      </w:r>
      <w:r w:rsidR="00784F52" w:rsidRPr="00F17701" w:rsidDel="00C0674E">
        <w:rPr>
          <w:rFonts w:ascii="Arial" w:hAnsi="Arial" w:cs="Arial"/>
          <w:kern w:val="0"/>
          <w:sz w:val="24"/>
          <w:szCs w:val="24"/>
        </w:rPr>
        <w:t xml:space="preserve"> </w:t>
      </w:r>
      <w:r w:rsidRPr="00F17701">
        <w:rPr>
          <w:rFonts w:ascii="Arial" w:hAnsi="Arial" w:cs="Arial"/>
          <w:kern w:val="0"/>
          <w:sz w:val="24"/>
          <w:szCs w:val="24"/>
        </w:rPr>
        <w:t xml:space="preserve">of </w:t>
      </w:r>
      <w:r w:rsidR="00E735A7">
        <w:rPr>
          <w:rFonts w:ascii="Arial" w:hAnsi="Arial" w:cs="Arial"/>
          <w:kern w:val="0"/>
          <w:sz w:val="24"/>
          <w:szCs w:val="24"/>
        </w:rPr>
        <w:t xml:space="preserve">mean </w:t>
      </w:r>
      <w:r w:rsidRPr="00F17701">
        <w:rPr>
          <w:rFonts w:ascii="Arial" w:hAnsi="Arial" w:cs="Arial"/>
          <w:kern w:val="0"/>
          <w:sz w:val="24"/>
          <w:szCs w:val="24"/>
        </w:rPr>
        <w:t>total treatment costs, guardian lost wages accounted for $</w:t>
      </w:r>
      <w:r w:rsidR="00784F52">
        <w:rPr>
          <w:rFonts w:ascii="Arial" w:hAnsi="Arial" w:cs="Arial"/>
          <w:kern w:val="0"/>
          <w:sz w:val="24"/>
          <w:szCs w:val="24"/>
        </w:rPr>
        <w:t>23.59 (17%) and $29.30 (10%)</w:t>
      </w:r>
      <w:r w:rsidRPr="00F17701">
        <w:rPr>
          <w:rFonts w:ascii="Arial" w:hAnsi="Arial" w:cs="Arial"/>
          <w:kern w:val="0"/>
          <w:sz w:val="24"/>
          <w:szCs w:val="24"/>
        </w:rPr>
        <w:t xml:space="preserve">, and food costs </w:t>
      </w:r>
      <w:r w:rsidRPr="00F17701">
        <w:rPr>
          <w:rFonts w:ascii="Arial" w:hAnsi="Arial" w:cs="Arial"/>
          <w:kern w:val="0"/>
          <w:sz w:val="24"/>
          <w:szCs w:val="24"/>
        </w:rPr>
        <w:lastRenderedPageBreak/>
        <w:t>accounted for $</w:t>
      </w:r>
      <w:r w:rsidR="00784F52">
        <w:rPr>
          <w:rFonts w:ascii="Arial" w:hAnsi="Arial" w:cs="Arial"/>
          <w:kern w:val="0"/>
          <w:sz w:val="24"/>
          <w:szCs w:val="24"/>
        </w:rPr>
        <w:t>22.02 (16%) and $32.75 (11%), respectively</w:t>
      </w:r>
      <w:r w:rsidRPr="00F17701">
        <w:rPr>
          <w:rFonts w:ascii="Arial" w:hAnsi="Arial" w:cs="Arial"/>
          <w:kern w:val="0"/>
          <w:sz w:val="24"/>
          <w:szCs w:val="24"/>
        </w:rPr>
        <w:t>. For patients treated entirely in the outpatient setting, the mean total TB treatment cost was estimated as $24.</w:t>
      </w:r>
      <w:r w:rsidR="00797963">
        <w:rPr>
          <w:rFonts w:ascii="Arial" w:hAnsi="Arial" w:cs="Arial"/>
          <w:kern w:val="0"/>
          <w:sz w:val="24"/>
          <w:szCs w:val="24"/>
        </w:rPr>
        <w:t xml:space="preserve">61 </w:t>
      </w:r>
      <w:r w:rsidRPr="00F17701">
        <w:rPr>
          <w:rFonts w:ascii="Arial" w:hAnsi="Arial" w:cs="Arial"/>
          <w:kern w:val="0"/>
          <w:sz w:val="24"/>
          <w:szCs w:val="24"/>
        </w:rPr>
        <w:t>(SD: $</w:t>
      </w:r>
      <w:r w:rsidR="00797963">
        <w:rPr>
          <w:rFonts w:ascii="Arial" w:hAnsi="Arial" w:cs="Arial"/>
          <w:kern w:val="0"/>
          <w:sz w:val="24"/>
          <w:szCs w:val="24"/>
        </w:rPr>
        <w:t>14.77</w:t>
      </w:r>
      <w:r w:rsidRPr="00F17701">
        <w:rPr>
          <w:rFonts w:ascii="Arial" w:hAnsi="Arial" w:cs="Arial"/>
          <w:kern w:val="0"/>
          <w:sz w:val="24"/>
          <w:szCs w:val="24"/>
        </w:rPr>
        <w:t>), of which $12.</w:t>
      </w:r>
      <w:r w:rsidR="00797963">
        <w:rPr>
          <w:rFonts w:ascii="Arial" w:hAnsi="Arial" w:cs="Arial"/>
          <w:kern w:val="0"/>
          <w:sz w:val="24"/>
          <w:szCs w:val="24"/>
        </w:rPr>
        <w:t xml:space="preserve">50 </w:t>
      </w:r>
      <w:r w:rsidRPr="00F17701">
        <w:rPr>
          <w:rFonts w:ascii="Arial" w:hAnsi="Arial" w:cs="Arial"/>
          <w:kern w:val="0"/>
          <w:sz w:val="24"/>
          <w:szCs w:val="24"/>
        </w:rPr>
        <w:t>(</w:t>
      </w:r>
      <w:r w:rsidR="00797963">
        <w:rPr>
          <w:rFonts w:ascii="Arial" w:hAnsi="Arial" w:cs="Arial"/>
          <w:kern w:val="0"/>
          <w:sz w:val="24"/>
          <w:szCs w:val="24"/>
        </w:rPr>
        <w:t>51</w:t>
      </w:r>
      <w:r w:rsidRPr="00F17701">
        <w:rPr>
          <w:rFonts w:ascii="Arial" w:hAnsi="Arial" w:cs="Arial"/>
          <w:kern w:val="0"/>
          <w:sz w:val="24"/>
          <w:szCs w:val="24"/>
        </w:rPr>
        <w:t>%) represented lost wages, and $</w:t>
      </w:r>
      <w:r w:rsidR="00797963">
        <w:rPr>
          <w:rFonts w:ascii="Arial" w:hAnsi="Arial" w:cs="Arial"/>
          <w:kern w:val="0"/>
          <w:sz w:val="24"/>
          <w:szCs w:val="24"/>
        </w:rPr>
        <w:t xml:space="preserve">4.47 </w:t>
      </w:r>
      <w:r w:rsidRPr="00F17701">
        <w:rPr>
          <w:rFonts w:ascii="Arial" w:hAnsi="Arial" w:cs="Arial"/>
          <w:kern w:val="0"/>
          <w:sz w:val="24"/>
          <w:szCs w:val="24"/>
        </w:rPr>
        <w:t>(</w:t>
      </w:r>
      <w:r w:rsidR="00797963">
        <w:rPr>
          <w:rFonts w:ascii="Arial" w:hAnsi="Arial" w:cs="Arial"/>
          <w:kern w:val="0"/>
          <w:sz w:val="24"/>
          <w:szCs w:val="24"/>
        </w:rPr>
        <w:t>18</w:t>
      </w:r>
      <w:r w:rsidRPr="00F17701">
        <w:rPr>
          <w:rFonts w:ascii="Arial" w:hAnsi="Arial" w:cs="Arial"/>
          <w:kern w:val="0"/>
          <w:sz w:val="24"/>
          <w:szCs w:val="24"/>
        </w:rPr>
        <w:t xml:space="preserve">%) represented OOP costs for food. </w:t>
      </w:r>
    </w:p>
    <w:p w14:paraId="115A6AF4" w14:textId="77777777" w:rsidR="00A90EEF" w:rsidRPr="00F17701" w:rsidRDefault="00A90EEF" w:rsidP="00F17701">
      <w:pPr>
        <w:wordWrap/>
        <w:adjustRightInd w:val="0"/>
        <w:snapToGrid w:val="0"/>
        <w:spacing w:after="0" w:line="480" w:lineRule="auto"/>
        <w:jc w:val="left"/>
        <w:rPr>
          <w:rFonts w:ascii="Arial" w:hAnsi="Arial" w:cs="Arial"/>
          <w:kern w:val="0"/>
          <w:sz w:val="24"/>
          <w:szCs w:val="24"/>
        </w:rPr>
      </w:pPr>
    </w:p>
    <w:p w14:paraId="54C5DF84" w14:textId="77777777" w:rsidR="00A90EEF" w:rsidRPr="00081F10" w:rsidRDefault="00A90EEF" w:rsidP="009C6DF8">
      <w:pPr>
        <w:wordWrap/>
        <w:adjustRightInd w:val="0"/>
        <w:snapToGrid w:val="0"/>
        <w:spacing w:after="0" w:line="480" w:lineRule="auto"/>
        <w:jc w:val="left"/>
        <w:rPr>
          <w:rFonts w:ascii="Arial" w:hAnsi="Arial" w:cs="Arial"/>
          <w:i/>
          <w:iCs/>
          <w:kern w:val="0"/>
          <w:sz w:val="24"/>
          <w:szCs w:val="24"/>
        </w:rPr>
      </w:pPr>
      <w:r w:rsidRPr="00081F10">
        <w:rPr>
          <w:rFonts w:ascii="Arial" w:hAnsi="Arial" w:cs="Arial"/>
          <w:i/>
          <w:iCs/>
          <w:kern w:val="0"/>
          <w:sz w:val="24"/>
          <w:szCs w:val="24"/>
        </w:rPr>
        <w:t xml:space="preserve">Concentration curves </w:t>
      </w:r>
    </w:p>
    <w:p w14:paraId="461CB2BB" w14:textId="5ABBF179" w:rsidR="00A90EEF" w:rsidRPr="00F17701" w:rsidRDefault="00A90EEF" w:rsidP="00F17701">
      <w:pPr>
        <w:wordWrap/>
        <w:adjustRightInd w:val="0"/>
        <w:snapToGrid w:val="0"/>
        <w:spacing w:after="0" w:line="480" w:lineRule="auto"/>
        <w:jc w:val="left"/>
        <w:rPr>
          <w:rFonts w:ascii="Arial" w:hAnsi="Arial" w:cs="Arial"/>
          <w:kern w:val="0"/>
          <w:sz w:val="24"/>
          <w:szCs w:val="24"/>
        </w:rPr>
      </w:pPr>
      <w:r w:rsidRPr="00F17701">
        <w:rPr>
          <w:rFonts w:ascii="Arial" w:hAnsi="Arial" w:cs="Arial"/>
          <w:kern w:val="0"/>
          <w:sz w:val="24"/>
          <w:szCs w:val="24"/>
        </w:rPr>
        <w:t xml:space="preserve">We next examined the relationship between inpatient TB treatment costs (as an absolute cost and as a proportion of annual household spending) and annual household expenditures. </w:t>
      </w:r>
      <w:r w:rsidR="00A70591">
        <w:rPr>
          <w:rFonts w:ascii="Arial" w:hAnsi="Arial" w:cs="Arial"/>
          <w:kern w:val="0"/>
          <w:sz w:val="24"/>
          <w:szCs w:val="24"/>
        </w:rPr>
        <w:t>A</w:t>
      </w:r>
      <w:r w:rsidRPr="00F17701">
        <w:rPr>
          <w:rFonts w:ascii="Arial" w:hAnsi="Arial" w:cs="Arial"/>
          <w:kern w:val="0"/>
          <w:sz w:val="24"/>
          <w:szCs w:val="24"/>
        </w:rPr>
        <w:t>s annual household expenditure increased, the OOP costs and total TB treatment costs also increased (Figure 2</w:t>
      </w:r>
      <w:r w:rsidR="00745A4C">
        <w:rPr>
          <w:rFonts w:ascii="Arial" w:hAnsi="Arial" w:cs="Arial"/>
          <w:kern w:val="0"/>
          <w:sz w:val="24"/>
          <w:szCs w:val="24"/>
        </w:rPr>
        <w:t>A</w:t>
      </w:r>
      <w:r w:rsidRPr="00F17701">
        <w:rPr>
          <w:rFonts w:ascii="Arial" w:hAnsi="Arial" w:cs="Arial"/>
          <w:kern w:val="0"/>
          <w:sz w:val="24"/>
          <w:szCs w:val="24"/>
        </w:rPr>
        <w:t>). The corresponding concentration indices</w:t>
      </w:r>
      <w:r w:rsidR="00A70591">
        <w:rPr>
          <w:rFonts w:ascii="Arial" w:hAnsi="Arial" w:cs="Arial"/>
          <w:kern w:val="0"/>
          <w:sz w:val="24"/>
          <w:szCs w:val="24"/>
        </w:rPr>
        <w:t xml:space="preserve"> ranged from 0.122 (OOP costs, recurrent TB) to 0.330 (total costs, initial TB episode) (Figure 3A and 3B).</w:t>
      </w:r>
      <w:r w:rsidRPr="00F17701">
        <w:rPr>
          <w:rFonts w:ascii="Arial" w:hAnsi="Arial" w:cs="Arial"/>
          <w:kern w:val="0"/>
          <w:sz w:val="24"/>
          <w:szCs w:val="24"/>
        </w:rPr>
        <w:t xml:space="preserve"> However, inpatient TB treatment cost</w:t>
      </w:r>
      <w:r w:rsidR="00B6696B">
        <w:rPr>
          <w:rFonts w:ascii="Arial" w:hAnsi="Arial" w:cs="Arial"/>
          <w:kern w:val="0"/>
          <w:sz w:val="24"/>
          <w:szCs w:val="24"/>
        </w:rPr>
        <w:t>s</w:t>
      </w:r>
      <w:r w:rsidRPr="00F17701">
        <w:rPr>
          <w:rFonts w:ascii="Arial" w:hAnsi="Arial" w:cs="Arial"/>
          <w:kern w:val="0"/>
          <w:sz w:val="24"/>
          <w:szCs w:val="24"/>
        </w:rPr>
        <w:t xml:space="preserve"> as a proportion of annual household spending w</w:t>
      </w:r>
      <w:r w:rsidR="00B6696B">
        <w:rPr>
          <w:rFonts w:ascii="Arial" w:hAnsi="Arial" w:cs="Arial"/>
          <w:kern w:val="0"/>
          <w:sz w:val="24"/>
          <w:szCs w:val="24"/>
        </w:rPr>
        <w:t xml:space="preserve">ere </w:t>
      </w:r>
      <w:r w:rsidR="00A70591">
        <w:rPr>
          <w:rFonts w:ascii="Arial" w:hAnsi="Arial" w:cs="Arial"/>
          <w:kern w:val="0"/>
          <w:sz w:val="24"/>
          <w:szCs w:val="24"/>
        </w:rPr>
        <w:t>four to thirteen</w:t>
      </w:r>
      <w:r w:rsidRPr="00F17701">
        <w:rPr>
          <w:rFonts w:ascii="Arial" w:hAnsi="Arial" w:cs="Arial"/>
          <w:kern w:val="0"/>
          <w:sz w:val="24"/>
          <w:szCs w:val="24"/>
        </w:rPr>
        <w:t xml:space="preserve"> times higher for the poorest quintile relative to the wealthiest quintile (Figure 2</w:t>
      </w:r>
      <w:r w:rsidR="00745A4C">
        <w:rPr>
          <w:rFonts w:ascii="Arial" w:hAnsi="Arial" w:cs="Arial"/>
          <w:kern w:val="0"/>
          <w:sz w:val="24"/>
          <w:szCs w:val="24"/>
        </w:rPr>
        <w:t>B</w:t>
      </w:r>
      <w:r w:rsidRPr="00F17701">
        <w:rPr>
          <w:rFonts w:ascii="Arial" w:hAnsi="Arial" w:cs="Arial"/>
          <w:kern w:val="0"/>
          <w:sz w:val="24"/>
          <w:szCs w:val="24"/>
        </w:rPr>
        <w:t xml:space="preserve">). When patient costs were scaled according to proportion of annual household expenditures, poorer patients were found to shoulder a much greater proportion of scaled costs than wealthier ones (concentration indices </w:t>
      </w:r>
      <w:r w:rsidR="00A70591">
        <w:rPr>
          <w:rFonts w:ascii="Arial" w:hAnsi="Arial" w:cs="Arial"/>
          <w:kern w:val="0"/>
          <w:sz w:val="24"/>
          <w:szCs w:val="24"/>
        </w:rPr>
        <w:t>for</w:t>
      </w:r>
      <w:r w:rsidR="00745A4C">
        <w:rPr>
          <w:rFonts w:ascii="Arial" w:hAnsi="Arial" w:cs="Arial"/>
          <w:kern w:val="0"/>
          <w:sz w:val="24"/>
          <w:szCs w:val="24"/>
        </w:rPr>
        <w:t xml:space="preserve"> </w:t>
      </w:r>
      <w:r w:rsidR="00745A4C" w:rsidRPr="00F17701">
        <w:rPr>
          <w:rFonts w:ascii="Arial" w:hAnsi="Arial" w:cs="Arial"/>
          <w:kern w:val="0"/>
          <w:sz w:val="24"/>
          <w:szCs w:val="24"/>
        </w:rPr>
        <w:t>OOP</w:t>
      </w:r>
      <w:r w:rsidR="00745A4C">
        <w:rPr>
          <w:rFonts w:ascii="Arial" w:hAnsi="Arial" w:cs="Arial"/>
          <w:kern w:val="0"/>
          <w:sz w:val="24"/>
          <w:szCs w:val="24"/>
        </w:rPr>
        <w:t xml:space="preserve"> costs</w:t>
      </w:r>
      <w:r w:rsidRPr="00F17701">
        <w:rPr>
          <w:rFonts w:ascii="Arial" w:hAnsi="Arial" w:cs="Arial"/>
          <w:kern w:val="0"/>
          <w:sz w:val="24"/>
          <w:szCs w:val="24"/>
        </w:rPr>
        <w:t xml:space="preserve"> </w:t>
      </w:r>
      <w:r w:rsidR="00A70591">
        <w:rPr>
          <w:rFonts w:ascii="Arial" w:hAnsi="Arial" w:cs="Arial"/>
          <w:kern w:val="0"/>
          <w:sz w:val="24"/>
          <w:szCs w:val="24"/>
        </w:rPr>
        <w:t>of</w:t>
      </w:r>
      <w:r w:rsidR="00745A4C">
        <w:rPr>
          <w:rFonts w:ascii="Arial" w:hAnsi="Arial" w:cs="Arial"/>
          <w:kern w:val="0"/>
          <w:sz w:val="24"/>
          <w:szCs w:val="24"/>
        </w:rPr>
        <w:t xml:space="preserve"> </w:t>
      </w:r>
      <w:r w:rsidRPr="00F17701">
        <w:rPr>
          <w:rFonts w:ascii="Arial" w:hAnsi="Arial" w:cs="Arial"/>
          <w:kern w:val="0"/>
          <w:sz w:val="24"/>
          <w:szCs w:val="24"/>
        </w:rPr>
        <w:t>-0.</w:t>
      </w:r>
      <w:r w:rsidR="00745A4C">
        <w:rPr>
          <w:rFonts w:ascii="Arial" w:hAnsi="Arial" w:cs="Arial"/>
          <w:kern w:val="0"/>
          <w:sz w:val="24"/>
          <w:szCs w:val="24"/>
        </w:rPr>
        <w:t>279</w:t>
      </w:r>
      <w:r w:rsidR="00B6696B" w:rsidRPr="00F17701">
        <w:rPr>
          <w:rFonts w:ascii="Arial" w:hAnsi="Arial" w:cs="Arial"/>
          <w:kern w:val="0"/>
          <w:sz w:val="24"/>
          <w:szCs w:val="24"/>
        </w:rPr>
        <w:t xml:space="preserve"> </w:t>
      </w:r>
      <w:r w:rsidR="00B6696B">
        <w:rPr>
          <w:rFonts w:ascii="Arial" w:hAnsi="Arial" w:cs="Arial"/>
          <w:kern w:val="0"/>
          <w:sz w:val="24"/>
          <w:szCs w:val="24"/>
        </w:rPr>
        <w:t xml:space="preserve">for </w:t>
      </w:r>
      <w:r w:rsidR="00B82806">
        <w:rPr>
          <w:rFonts w:ascii="Arial" w:hAnsi="Arial" w:cs="Arial"/>
          <w:kern w:val="0"/>
          <w:sz w:val="24"/>
          <w:szCs w:val="24"/>
        </w:rPr>
        <w:t>initial TB</w:t>
      </w:r>
      <w:r w:rsidR="00745A4C">
        <w:rPr>
          <w:rFonts w:ascii="Arial" w:hAnsi="Arial" w:cs="Arial"/>
          <w:kern w:val="0"/>
          <w:sz w:val="24"/>
          <w:szCs w:val="24"/>
        </w:rPr>
        <w:t xml:space="preserve"> </w:t>
      </w:r>
      <w:r w:rsidRPr="00F17701">
        <w:rPr>
          <w:rFonts w:ascii="Arial" w:hAnsi="Arial" w:cs="Arial"/>
          <w:kern w:val="0"/>
          <w:sz w:val="24"/>
          <w:szCs w:val="24"/>
        </w:rPr>
        <w:t>and -0.</w:t>
      </w:r>
      <w:r w:rsidR="00745A4C">
        <w:rPr>
          <w:rFonts w:ascii="Arial" w:hAnsi="Arial" w:cs="Arial"/>
          <w:kern w:val="0"/>
          <w:sz w:val="24"/>
          <w:szCs w:val="24"/>
        </w:rPr>
        <w:t>430 for</w:t>
      </w:r>
      <w:r w:rsidR="00B6696B">
        <w:rPr>
          <w:rFonts w:ascii="Arial" w:hAnsi="Arial" w:cs="Arial"/>
          <w:kern w:val="0"/>
          <w:sz w:val="24"/>
          <w:szCs w:val="24"/>
        </w:rPr>
        <w:t xml:space="preserve"> recurrent TB</w:t>
      </w:r>
      <w:r w:rsidRPr="00F17701">
        <w:rPr>
          <w:rFonts w:ascii="Arial" w:hAnsi="Arial" w:cs="Arial"/>
          <w:kern w:val="0"/>
          <w:sz w:val="24"/>
          <w:szCs w:val="24"/>
        </w:rPr>
        <w:t xml:space="preserve">) (Figure </w:t>
      </w:r>
      <w:r w:rsidR="00B6696B" w:rsidRPr="00F17701">
        <w:rPr>
          <w:rFonts w:ascii="Arial" w:hAnsi="Arial" w:cs="Arial"/>
          <w:kern w:val="0"/>
          <w:sz w:val="24"/>
          <w:szCs w:val="24"/>
        </w:rPr>
        <w:t>3</w:t>
      </w:r>
      <w:r w:rsidR="00745A4C">
        <w:rPr>
          <w:rFonts w:ascii="Arial" w:hAnsi="Arial" w:cs="Arial"/>
          <w:kern w:val="0"/>
          <w:sz w:val="24"/>
          <w:szCs w:val="24"/>
        </w:rPr>
        <w:t>C and 3</w:t>
      </w:r>
      <w:r w:rsidR="00B6696B">
        <w:rPr>
          <w:rFonts w:ascii="Arial" w:hAnsi="Arial" w:cs="Arial"/>
          <w:kern w:val="0"/>
          <w:sz w:val="24"/>
          <w:szCs w:val="24"/>
        </w:rPr>
        <w:t>D</w:t>
      </w:r>
      <w:r w:rsidRPr="00F17701">
        <w:rPr>
          <w:rFonts w:ascii="Arial" w:hAnsi="Arial" w:cs="Arial"/>
          <w:kern w:val="0"/>
          <w:sz w:val="24"/>
          <w:szCs w:val="24"/>
        </w:rPr>
        <w:t xml:space="preserve">). </w:t>
      </w:r>
    </w:p>
    <w:p w14:paraId="5601795D" w14:textId="77777777" w:rsidR="00A90EEF" w:rsidRPr="00F17701" w:rsidRDefault="00A90EEF" w:rsidP="00F17701">
      <w:pPr>
        <w:wordWrap/>
        <w:adjustRightInd w:val="0"/>
        <w:snapToGrid w:val="0"/>
        <w:spacing w:after="0" w:line="480" w:lineRule="auto"/>
        <w:jc w:val="left"/>
        <w:rPr>
          <w:rFonts w:ascii="Arial" w:hAnsi="Arial" w:cs="Arial"/>
          <w:kern w:val="0"/>
          <w:sz w:val="24"/>
          <w:szCs w:val="24"/>
        </w:rPr>
      </w:pPr>
      <w:r w:rsidRPr="00F17701">
        <w:rPr>
          <w:rFonts w:ascii="Arial" w:hAnsi="Arial" w:cs="Arial"/>
          <w:kern w:val="0"/>
          <w:sz w:val="24"/>
          <w:szCs w:val="24"/>
        </w:rPr>
        <w:t xml:space="preserve"> </w:t>
      </w:r>
    </w:p>
    <w:p w14:paraId="788021F5" w14:textId="29353D14" w:rsidR="00A90EEF" w:rsidRPr="00081F10" w:rsidRDefault="00081F10" w:rsidP="009C6DF8">
      <w:pPr>
        <w:wordWrap/>
        <w:adjustRightInd w:val="0"/>
        <w:snapToGrid w:val="0"/>
        <w:spacing w:after="0" w:line="480" w:lineRule="auto"/>
        <w:jc w:val="left"/>
        <w:rPr>
          <w:rFonts w:ascii="Arial" w:hAnsi="Arial" w:cs="Arial"/>
          <w:b/>
          <w:bCs/>
          <w:kern w:val="0"/>
          <w:sz w:val="24"/>
          <w:szCs w:val="24"/>
        </w:rPr>
      </w:pPr>
      <w:r w:rsidRPr="00745A4C">
        <w:rPr>
          <w:rFonts w:ascii="Arial" w:hAnsi="Arial" w:cs="Arial"/>
          <w:b/>
          <w:bCs/>
          <w:kern w:val="0"/>
          <w:sz w:val="24"/>
          <w:szCs w:val="24"/>
        </w:rPr>
        <w:t>DISCUSSION</w:t>
      </w:r>
      <w:r w:rsidRPr="00081F10">
        <w:rPr>
          <w:rFonts w:ascii="Arial" w:hAnsi="Arial" w:cs="Arial"/>
          <w:b/>
          <w:bCs/>
          <w:kern w:val="0"/>
          <w:sz w:val="24"/>
          <w:szCs w:val="24"/>
        </w:rPr>
        <w:t xml:space="preserve"> </w:t>
      </w:r>
    </w:p>
    <w:p w14:paraId="66A3B1CE" w14:textId="7D34F90D" w:rsidR="00A90EEF" w:rsidRPr="00F17701" w:rsidRDefault="00A90EEF" w:rsidP="009C6DF8">
      <w:pPr>
        <w:wordWrap/>
        <w:adjustRightInd w:val="0"/>
        <w:snapToGrid w:val="0"/>
        <w:spacing w:after="0" w:line="480" w:lineRule="auto"/>
        <w:jc w:val="left"/>
        <w:rPr>
          <w:rFonts w:ascii="Arial" w:hAnsi="Arial" w:cs="Arial"/>
          <w:kern w:val="0"/>
          <w:sz w:val="24"/>
          <w:szCs w:val="24"/>
        </w:rPr>
      </w:pPr>
      <w:r w:rsidRPr="00F17701">
        <w:rPr>
          <w:rFonts w:ascii="Arial" w:hAnsi="Arial" w:cs="Arial"/>
          <w:kern w:val="0"/>
          <w:sz w:val="24"/>
          <w:szCs w:val="24"/>
        </w:rPr>
        <w:t>This cross-sectional survey of 197 inpatients and 156 outpatients being treated for TB in an impoverished rural area of Malawi illustrates the high cost of TB treatment shouldered by patients, particularly those who present with severe symptoms</w:t>
      </w:r>
      <w:r w:rsidR="00ED0FDF">
        <w:rPr>
          <w:rFonts w:ascii="Arial" w:hAnsi="Arial" w:cs="Arial"/>
          <w:kern w:val="0"/>
          <w:sz w:val="24"/>
          <w:szCs w:val="24"/>
        </w:rPr>
        <w:t xml:space="preserve"> </w:t>
      </w:r>
      <w:r w:rsidRPr="00F17701">
        <w:rPr>
          <w:rFonts w:ascii="Arial" w:hAnsi="Arial" w:cs="Arial"/>
          <w:kern w:val="0"/>
          <w:sz w:val="24"/>
          <w:szCs w:val="24"/>
        </w:rPr>
        <w:t xml:space="preserve">requiring hospitalization. The average patient who was hospitalized for TB in this setting was </w:t>
      </w:r>
      <w:r w:rsidRPr="00F17701">
        <w:rPr>
          <w:rFonts w:ascii="Arial" w:hAnsi="Arial" w:cs="Arial"/>
          <w:kern w:val="0"/>
          <w:sz w:val="24"/>
          <w:szCs w:val="24"/>
        </w:rPr>
        <w:lastRenderedPageBreak/>
        <w:t xml:space="preserve">estimated to incur </w:t>
      </w:r>
      <w:r w:rsidR="0075208C">
        <w:rPr>
          <w:rFonts w:ascii="Arial" w:hAnsi="Arial" w:cs="Arial"/>
          <w:kern w:val="0"/>
          <w:sz w:val="24"/>
          <w:szCs w:val="24"/>
        </w:rPr>
        <w:t xml:space="preserve">at least </w:t>
      </w:r>
      <w:r w:rsidRPr="00F17701">
        <w:rPr>
          <w:rFonts w:ascii="Arial" w:hAnsi="Arial" w:cs="Arial"/>
          <w:kern w:val="0"/>
          <w:sz w:val="24"/>
          <w:szCs w:val="24"/>
        </w:rPr>
        <w:t>$</w:t>
      </w:r>
      <w:r w:rsidR="0075208C" w:rsidRPr="00F17701">
        <w:rPr>
          <w:rFonts w:ascii="Arial" w:hAnsi="Arial" w:cs="Arial"/>
          <w:kern w:val="0"/>
          <w:sz w:val="24"/>
          <w:szCs w:val="24"/>
        </w:rPr>
        <w:t>1</w:t>
      </w:r>
      <w:r w:rsidR="0075208C">
        <w:rPr>
          <w:rFonts w:ascii="Arial" w:hAnsi="Arial" w:cs="Arial"/>
          <w:kern w:val="0"/>
          <w:sz w:val="24"/>
          <w:szCs w:val="24"/>
        </w:rPr>
        <w:t xml:space="preserve">37 </w:t>
      </w:r>
      <w:r w:rsidR="00A70591">
        <w:rPr>
          <w:rFonts w:ascii="Arial" w:hAnsi="Arial" w:cs="Arial"/>
          <w:kern w:val="0"/>
          <w:sz w:val="24"/>
          <w:szCs w:val="24"/>
        </w:rPr>
        <w:t>(</w:t>
      </w:r>
      <w:r w:rsidR="0075208C">
        <w:rPr>
          <w:rFonts w:ascii="Arial" w:hAnsi="Arial" w:cs="Arial"/>
          <w:kern w:val="0"/>
          <w:sz w:val="24"/>
          <w:szCs w:val="24"/>
        </w:rPr>
        <w:t xml:space="preserve">up to $ 286 </w:t>
      </w:r>
      <w:r w:rsidR="00A70591">
        <w:rPr>
          <w:rFonts w:ascii="Arial" w:hAnsi="Arial" w:cs="Arial"/>
          <w:kern w:val="0"/>
          <w:sz w:val="24"/>
          <w:szCs w:val="24"/>
        </w:rPr>
        <w:t>for recurrent TB)</w:t>
      </w:r>
      <w:r w:rsidRPr="00F17701">
        <w:rPr>
          <w:rFonts w:ascii="Arial" w:hAnsi="Arial" w:cs="Arial"/>
          <w:kern w:val="0"/>
          <w:sz w:val="24"/>
          <w:szCs w:val="24"/>
        </w:rPr>
        <w:t xml:space="preserve">, which accounted for over </w:t>
      </w:r>
      <w:r w:rsidR="003220FD">
        <w:rPr>
          <w:rFonts w:ascii="Arial" w:hAnsi="Arial" w:cs="Arial"/>
          <w:kern w:val="0"/>
          <w:sz w:val="24"/>
          <w:szCs w:val="24"/>
        </w:rPr>
        <w:t xml:space="preserve">half </w:t>
      </w:r>
      <w:r w:rsidRPr="00F17701">
        <w:rPr>
          <w:rFonts w:ascii="Arial" w:hAnsi="Arial" w:cs="Arial"/>
          <w:kern w:val="0"/>
          <w:sz w:val="24"/>
          <w:szCs w:val="24"/>
        </w:rPr>
        <w:t xml:space="preserve">of annual household spending among patients in the poorest quintile. These estimates do not include pre-treatment costs of illness and care-seeking and assume very low mean wages of about $3 per day. Thus, among patients being hospitalized for TB in this setting, </w:t>
      </w:r>
      <w:r w:rsidR="0075208C">
        <w:rPr>
          <w:rFonts w:ascii="Arial" w:hAnsi="Arial" w:cs="Arial"/>
          <w:kern w:val="0"/>
          <w:sz w:val="24"/>
          <w:szCs w:val="24"/>
        </w:rPr>
        <w:t>e</w:t>
      </w:r>
      <w:r w:rsidR="003220FD">
        <w:rPr>
          <w:rFonts w:ascii="Arial" w:hAnsi="Arial" w:cs="Arial"/>
          <w:kern w:val="0"/>
          <w:sz w:val="24"/>
          <w:szCs w:val="24"/>
        </w:rPr>
        <w:t>ven</w:t>
      </w:r>
      <w:r w:rsidR="0075208C">
        <w:rPr>
          <w:rFonts w:ascii="Arial" w:hAnsi="Arial" w:cs="Arial"/>
          <w:kern w:val="0"/>
          <w:sz w:val="24"/>
          <w:szCs w:val="24"/>
        </w:rPr>
        <w:t xml:space="preserve"> for</w:t>
      </w:r>
      <w:r w:rsidR="003220FD">
        <w:rPr>
          <w:rFonts w:ascii="Arial" w:hAnsi="Arial" w:cs="Arial"/>
          <w:kern w:val="0"/>
          <w:sz w:val="24"/>
          <w:szCs w:val="24"/>
        </w:rPr>
        <w:t xml:space="preserve"> initial </w:t>
      </w:r>
      <w:r w:rsidR="0075208C">
        <w:rPr>
          <w:rFonts w:ascii="Arial" w:hAnsi="Arial" w:cs="Arial"/>
          <w:kern w:val="0"/>
          <w:sz w:val="24"/>
          <w:szCs w:val="24"/>
        </w:rPr>
        <w:t xml:space="preserve">TB </w:t>
      </w:r>
      <w:r w:rsidR="003220FD">
        <w:rPr>
          <w:rFonts w:ascii="Arial" w:hAnsi="Arial" w:cs="Arial"/>
          <w:kern w:val="0"/>
          <w:sz w:val="24"/>
          <w:szCs w:val="24"/>
        </w:rPr>
        <w:t>episode</w:t>
      </w:r>
      <w:r w:rsidR="00A70591">
        <w:rPr>
          <w:rFonts w:ascii="Arial" w:hAnsi="Arial" w:cs="Arial"/>
          <w:kern w:val="0"/>
          <w:sz w:val="24"/>
          <w:szCs w:val="24"/>
        </w:rPr>
        <w:t>s</w:t>
      </w:r>
      <w:r w:rsidR="0075208C">
        <w:rPr>
          <w:rFonts w:ascii="Arial" w:hAnsi="Arial" w:cs="Arial"/>
          <w:kern w:val="0"/>
          <w:sz w:val="24"/>
          <w:szCs w:val="24"/>
        </w:rPr>
        <w:t xml:space="preserve">, </w:t>
      </w:r>
      <w:r w:rsidRPr="00F17701">
        <w:rPr>
          <w:rFonts w:ascii="Arial" w:hAnsi="Arial" w:cs="Arial"/>
          <w:kern w:val="0"/>
          <w:sz w:val="24"/>
          <w:szCs w:val="24"/>
        </w:rPr>
        <w:t>the costs of TB illness are likely to be catastrophic. Interventions to facilitate earlier care-seeking and diagnosis of TB</w:t>
      </w:r>
      <w:r w:rsidR="005878AA">
        <w:rPr>
          <w:rFonts w:ascii="Arial" w:hAnsi="Arial" w:cs="Arial"/>
          <w:kern w:val="0"/>
          <w:sz w:val="24"/>
          <w:szCs w:val="24"/>
        </w:rPr>
        <w:t xml:space="preserve">, </w:t>
      </w:r>
      <w:r w:rsidRPr="00F17701">
        <w:rPr>
          <w:rFonts w:ascii="Arial" w:hAnsi="Arial" w:cs="Arial"/>
          <w:kern w:val="0"/>
          <w:sz w:val="24"/>
          <w:szCs w:val="24"/>
        </w:rPr>
        <w:t>such</w:t>
      </w:r>
      <w:r w:rsidR="005878AA">
        <w:rPr>
          <w:rFonts w:ascii="Arial" w:hAnsi="Arial" w:cs="Arial"/>
          <w:kern w:val="0"/>
          <w:sz w:val="24"/>
          <w:szCs w:val="24"/>
        </w:rPr>
        <w:t xml:space="preserve"> as community mobilization and active case finding, might enable </w:t>
      </w:r>
      <w:r w:rsidRPr="00F17701">
        <w:rPr>
          <w:rFonts w:ascii="Arial" w:hAnsi="Arial" w:cs="Arial"/>
          <w:kern w:val="0"/>
          <w:sz w:val="24"/>
          <w:szCs w:val="24"/>
        </w:rPr>
        <w:t xml:space="preserve">treatment </w:t>
      </w:r>
      <w:r w:rsidR="005878AA">
        <w:rPr>
          <w:rFonts w:ascii="Arial" w:hAnsi="Arial" w:cs="Arial"/>
          <w:kern w:val="0"/>
          <w:sz w:val="24"/>
          <w:szCs w:val="24"/>
        </w:rPr>
        <w:t>to</w:t>
      </w:r>
      <w:r w:rsidR="005878AA" w:rsidRPr="00F17701">
        <w:rPr>
          <w:rFonts w:ascii="Arial" w:hAnsi="Arial" w:cs="Arial"/>
          <w:kern w:val="0"/>
          <w:sz w:val="24"/>
          <w:szCs w:val="24"/>
        </w:rPr>
        <w:t xml:space="preserve"> </w:t>
      </w:r>
      <w:r w:rsidRPr="00F17701">
        <w:rPr>
          <w:rFonts w:ascii="Arial" w:hAnsi="Arial" w:cs="Arial"/>
          <w:kern w:val="0"/>
          <w:sz w:val="24"/>
          <w:szCs w:val="24"/>
        </w:rPr>
        <w:t>be initiated before hospitalization is required</w:t>
      </w:r>
      <w:r w:rsidR="005878AA">
        <w:rPr>
          <w:rFonts w:ascii="Arial" w:hAnsi="Arial" w:cs="Arial"/>
          <w:kern w:val="0"/>
          <w:sz w:val="24"/>
          <w:szCs w:val="24"/>
        </w:rPr>
        <w:t xml:space="preserve">. Such interventions </w:t>
      </w:r>
      <w:r w:rsidRPr="00F17701">
        <w:rPr>
          <w:rFonts w:ascii="Arial" w:hAnsi="Arial" w:cs="Arial"/>
          <w:kern w:val="0"/>
          <w:sz w:val="24"/>
          <w:szCs w:val="24"/>
        </w:rPr>
        <w:t>should therefore be urgently prioritized as a means to avert financial ruin among people living in poor rural sub-Saharan Africa.</w:t>
      </w:r>
    </w:p>
    <w:p w14:paraId="30E92B24" w14:textId="60A66554" w:rsidR="00A90EEF" w:rsidRPr="00F17701" w:rsidRDefault="00A90EEF" w:rsidP="009C6DF8">
      <w:pPr>
        <w:wordWrap/>
        <w:adjustRightInd w:val="0"/>
        <w:snapToGrid w:val="0"/>
        <w:spacing w:after="0" w:line="480" w:lineRule="auto"/>
        <w:jc w:val="left"/>
        <w:rPr>
          <w:rFonts w:ascii="Arial" w:hAnsi="Arial" w:cs="Arial"/>
          <w:kern w:val="0"/>
          <w:sz w:val="24"/>
          <w:szCs w:val="24"/>
        </w:rPr>
      </w:pPr>
      <w:r w:rsidRPr="00F17701">
        <w:rPr>
          <w:rFonts w:ascii="Arial" w:hAnsi="Arial" w:cs="Arial"/>
          <w:kern w:val="0"/>
          <w:sz w:val="24"/>
          <w:szCs w:val="24"/>
        </w:rPr>
        <w:t>While the costs of inpatient treatment in this setting were tremendous, the costs of outpatient TB treatment also should not be overlooked. Even though TB treatment is offered free of charge</w:t>
      </w:r>
      <w:r w:rsidR="0007530A">
        <w:rPr>
          <w:rFonts w:ascii="Arial" w:hAnsi="Arial" w:cs="Arial"/>
          <w:kern w:val="0"/>
          <w:sz w:val="24"/>
          <w:szCs w:val="24"/>
        </w:rPr>
        <w:t xml:space="preserve"> in Malawi</w:t>
      </w:r>
      <w:r w:rsidRPr="00F17701">
        <w:rPr>
          <w:rFonts w:ascii="Arial" w:hAnsi="Arial" w:cs="Arial"/>
          <w:kern w:val="0"/>
          <w:sz w:val="24"/>
          <w:szCs w:val="24"/>
        </w:rPr>
        <w:t xml:space="preserve"> and</w:t>
      </w:r>
      <w:r w:rsidR="0007530A">
        <w:rPr>
          <w:rFonts w:ascii="Arial" w:hAnsi="Arial" w:cs="Arial"/>
          <w:kern w:val="0"/>
          <w:sz w:val="24"/>
          <w:szCs w:val="24"/>
        </w:rPr>
        <w:t xml:space="preserve"> is often directly observed in the community (such that only monthly clinic visits are required)</w:t>
      </w:r>
      <w:r w:rsidRPr="00F17701">
        <w:rPr>
          <w:rFonts w:ascii="Arial" w:hAnsi="Arial" w:cs="Arial"/>
          <w:kern w:val="0"/>
          <w:sz w:val="24"/>
          <w:szCs w:val="24"/>
        </w:rPr>
        <w:t xml:space="preserve">, patients treated entirely as outpatients nonetheless incurred costs of $25 per treatment episode, of which one-third were transportation and food costs and half were lost wages. </w:t>
      </w:r>
      <w:r w:rsidR="00F42EE6">
        <w:rPr>
          <w:rFonts w:ascii="Arial" w:hAnsi="Arial" w:cs="Arial"/>
          <w:kern w:val="0"/>
          <w:sz w:val="24"/>
          <w:szCs w:val="24"/>
        </w:rPr>
        <w:t>For example, e</w:t>
      </w:r>
      <w:r w:rsidRPr="00F17701">
        <w:rPr>
          <w:rFonts w:ascii="Arial" w:hAnsi="Arial" w:cs="Arial"/>
          <w:kern w:val="0"/>
          <w:sz w:val="24"/>
          <w:szCs w:val="24"/>
        </w:rPr>
        <w:t xml:space="preserve">ach clinic </w:t>
      </w:r>
      <w:proofErr w:type="gramStart"/>
      <w:r w:rsidRPr="00F17701">
        <w:rPr>
          <w:rFonts w:ascii="Arial" w:hAnsi="Arial" w:cs="Arial"/>
          <w:kern w:val="0"/>
          <w:sz w:val="24"/>
          <w:szCs w:val="24"/>
        </w:rPr>
        <w:t>visit</w:t>
      </w:r>
      <w:proofErr w:type="gramEnd"/>
      <w:r w:rsidRPr="00F17701">
        <w:rPr>
          <w:rFonts w:ascii="Arial" w:hAnsi="Arial" w:cs="Arial"/>
          <w:kern w:val="0"/>
          <w:sz w:val="24"/>
          <w:szCs w:val="24"/>
        </w:rPr>
        <w:t xml:space="preserve"> in this rural setting resulted in costs to patients totaling more than the mean daily wage. These estimates of outpatient costs highlight the additional burden faced by patients in rural settings – who also often have the fewest available resources and highest barriers to seeking care. Innovative community-based approaches of case-finding, diagnosis, and treatment</w:t>
      </w:r>
      <w:r w:rsidR="005878AA">
        <w:rPr>
          <w:rFonts w:ascii="Arial" w:hAnsi="Arial" w:cs="Arial"/>
          <w:kern w:val="0"/>
          <w:sz w:val="24"/>
          <w:szCs w:val="24"/>
        </w:rPr>
        <w:t>, especially prioritizing underserved populations,</w:t>
      </w:r>
      <w:r w:rsidRPr="00F17701">
        <w:rPr>
          <w:rFonts w:ascii="Arial" w:hAnsi="Arial" w:cs="Arial"/>
          <w:kern w:val="0"/>
          <w:sz w:val="24"/>
          <w:szCs w:val="24"/>
        </w:rPr>
        <w:t xml:space="preserve"> may be necessary in these contexts to make TB services more accessible, thereby facilitating appropriate patient-centered care and reducing TB transmission.  </w:t>
      </w:r>
    </w:p>
    <w:p w14:paraId="7C28CEDA" w14:textId="18145D05" w:rsidR="00A90EEF" w:rsidRPr="00F17701" w:rsidRDefault="00A90EEF" w:rsidP="00F17701">
      <w:pPr>
        <w:wordWrap/>
        <w:adjustRightInd w:val="0"/>
        <w:snapToGrid w:val="0"/>
        <w:spacing w:after="0" w:line="480" w:lineRule="auto"/>
        <w:jc w:val="left"/>
        <w:rPr>
          <w:rFonts w:ascii="Arial" w:hAnsi="Arial" w:cs="Arial"/>
          <w:kern w:val="0"/>
          <w:sz w:val="24"/>
          <w:szCs w:val="24"/>
        </w:rPr>
      </w:pPr>
      <w:r w:rsidRPr="00F17701">
        <w:rPr>
          <w:rFonts w:ascii="Arial" w:hAnsi="Arial" w:cs="Arial" w:hint="eastAsia"/>
          <w:kern w:val="0"/>
          <w:sz w:val="24"/>
          <w:szCs w:val="24"/>
        </w:rPr>
        <w:lastRenderedPageBreak/>
        <w:t>I</w:t>
      </w:r>
      <w:r w:rsidRPr="00F17701">
        <w:rPr>
          <w:rFonts w:ascii="Arial" w:hAnsi="Arial" w:cs="Arial"/>
          <w:kern w:val="0"/>
          <w:sz w:val="24"/>
          <w:szCs w:val="24"/>
        </w:rPr>
        <w:t>n absolute terms, the cost of TB treatment in Thyolo District is lower than in other settings. For example, estimated patient costs of TB treatment have ranged in other studies from $121 in Nigeria to $708 in South Africa</w:t>
      </w:r>
      <w:r w:rsidR="000851F8">
        <w:rPr>
          <w:rFonts w:ascii="Arial" w:hAnsi="Arial" w:cs="Arial"/>
          <w:kern w:val="0"/>
          <w:sz w:val="24"/>
          <w:szCs w:val="24"/>
        </w:rPr>
        <w:t xml:space="preserve"> (10-14, 23)</w:t>
      </w:r>
      <w:r w:rsidRPr="00F17701">
        <w:rPr>
          <w:rFonts w:ascii="Arial" w:hAnsi="Arial" w:cs="Arial"/>
          <w:kern w:val="0"/>
          <w:sz w:val="24"/>
          <w:szCs w:val="24"/>
        </w:rPr>
        <w:t>. Patient costs of TB treatment associated with hospitalization ranged from $327 in Ethiopia to $840 in Nigeria</w:t>
      </w:r>
      <w:r w:rsidR="000851F8">
        <w:rPr>
          <w:rFonts w:ascii="Arial" w:hAnsi="Arial" w:cs="Arial"/>
          <w:kern w:val="0"/>
          <w:sz w:val="24"/>
          <w:szCs w:val="24"/>
        </w:rPr>
        <w:t xml:space="preserve"> (24-26)</w:t>
      </w:r>
      <w:r w:rsidRPr="00F17701">
        <w:rPr>
          <w:rFonts w:ascii="Arial" w:hAnsi="Arial" w:cs="Arial"/>
          <w:kern w:val="0"/>
          <w:sz w:val="24"/>
          <w:szCs w:val="24"/>
        </w:rPr>
        <w:t>, and patient costs of entirely outpatient-based TB treatment ranged from $11 in Ethiopia to $287 in Nigeria</w:t>
      </w:r>
      <w:r w:rsidR="000851F8">
        <w:rPr>
          <w:rFonts w:ascii="Arial" w:hAnsi="Arial" w:cs="Arial"/>
          <w:kern w:val="0"/>
          <w:sz w:val="24"/>
          <w:szCs w:val="24"/>
        </w:rPr>
        <w:t xml:space="preserve"> (24-27)</w:t>
      </w:r>
      <w:r w:rsidRPr="00F17701">
        <w:rPr>
          <w:rFonts w:ascii="Arial" w:hAnsi="Arial" w:cs="Arial"/>
          <w:kern w:val="0"/>
          <w:sz w:val="24"/>
          <w:szCs w:val="24"/>
        </w:rPr>
        <w:t xml:space="preserve">. The lower costs measured in our study primary reflect the low daily wages of our population (i.e., lower cost of lost wages), the lack of directly-observed therapy, and the low cost of other goods and services (e.g., food and transportation) in rural Malawi. However, despite these low absolute costs, patient costs as a proportion of annual household income were very high – particularly for inpatients and the poor. In the studies cited above, TB treatment costs ranged from 4% to 71% of annual household income; in our population, inpatient costs </w:t>
      </w:r>
      <w:r w:rsidR="004F29EC">
        <w:rPr>
          <w:rFonts w:ascii="Arial" w:hAnsi="Arial" w:cs="Arial"/>
          <w:kern w:val="0"/>
          <w:sz w:val="24"/>
          <w:szCs w:val="24"/>
        </w:rPr>
        <w:t xml:space="preserve">alone </w:t>
      </w:r>
      <w:r w:rsidR="00787FDE">
        <w:rPr>
          <w:rFonts w:ascii="Arial" w:hAnsi="Arial" w:cs="Arial"/>
          <w:kern w:val="0"/>
          <w:sz w:val="24"/>
          <w:szCs w:val="24"/>
        </w:rPr>
        <w:t>accounted for more than 50%</w:t>
      </w:r>
      <w:r w:rsidR="00C76643">
        <w:rPr>
          <w:rFonts w:ascii="Arial" w:hAnsi="Arial" w:cs="Arial"/>
          <w:kern w:val="0"/>
          <w:sz w:val="24"/>
          <w:szCs w:val="24"/>
        </w:rPr>
        <w:t xml:space="preserve"> </w:t>
      </w:r>
      <w:r w:rsidRPr="00F17701">
        <w:rPr>
          <w:rFonts w:ascii="Arial" w:hAnsi="Arial" w:cs="Arial"/>
          <w:kern w:val="0"/>
          <w:sz w:val="24"/>
          <w:szCs w:val="24"/>
        </w:rPr>
        <w:t>of annual household income</w:t>
      </w:r>
      <w:r w:rsidR="00C76643">
        <w:rPr>
          <w:rFonts w:ascii="Arial" w:hAnsi="Arial" w:cs="Arial"/>
          <w:kern w:val="0"/>
          <w:sz w:val="24"/>
          <w:szCs w:val="24"/>
        </w:rPr>
        <w:t xml:space="preserve"> </w:t>
      </w:r>
      <w:r w:rsidR="00787FDE">
        <w:rPr>
          <w:rFonts w:ascii="Arial" w:hAnsi="Arial" w:cs="Arial"/>
          <w:kern w:val="0"/>
          <w:sz w:val="24"/>
          <w:szCs w:val="24"/>
        </w:rPr>
        <w:t>for patients in the lowest quintile of household expenditure</w:t>
      </w:r>
      <w:r w:rsidRPr="00F17701">
        <w:rPr>
          <w:rFonts w:ascii="Arial" w:hAnsi="Arial" w:cs="Arial"/>
          <w:kern w:val="0"/>
          <w:sz w:val="24"/>
          <w:szCs w:val="24"/>
        </w:rPr>
        <w:t xml:space="preserve">.     </w:t>
      </w:r>
    </w:p>
    <w:p w14:paraId="44948C0A" w14:textId="6A8A3D9A" w:rsidR="00A90EEF" w:rsidRPr="00F17701" w:rsidRDefault="00A90EEF" w:rsidP="00F17701">
      <w:pPr>
        <w:wordWrap/>
        <w:adjustRightInd w:val="0"/>
        <w:snapToGrid w:val="0"/>
        <w:spacing w:after="0" w:line="480" w:lineRule="auto"/>
        <w:jc w:val="left"/>
        <w:rPr>
          <w:rFonts w:ascii="Arial" w:hAnsi="Arial" w:cs="Arial"/>
          <w:kern w:val="0"/>
          <w:sz w:val="24"/>
          <w:szCs w:val="24"/>
        </w:rPr>
      </w:pPr>
      <w:r w:rsidRPr="00F17701">
        <w:rPr>
          <w:rFonts w:ascii="Arial" w:hAnsi="Arial" w:cs="Arial"/>
          <w:kern w:val="0"/>
          <w:sz w:val="24"/>
          <w:szCs w:val="24"/>
        </w:rPr>
        <w:t xml:space="preserve">As with all research in resource-constrained settings, this study had a number of important limitations. First, our data relied on cross-sectional self-report; such data might be subject to recall bias (for example, recalling all costs since inpatient admission to the time of survey) and might not reflect full costs over the longitudinal course of treatment. Future studies using longitudinal data could further refine the estimates of patient costs presented here. Importantly, however, we did explicitly assess costs of inpatient and outpatient treatment, enabling us to highlight the disproportionate costs borne by individuals whose disease severity required hospitalization. Second, patients may have underestimated certain costs due to the format of the questionnaire. For </w:t>
      </w:r>
      <w:r w:rsidRPr="00F17701">
        <w:rPr>
          <w:rFonts w:ascii="Arial" w:hAnsi="Arial" w:cs="Arial"/>
          <w:kern w:val="0"/>
          <w:sz w:val="24"/>
          <w:szCs w:val="24"/>
        </w:rPr>
        <w:lastRenderedPageBreak/>
        <w:t xml:space="preserve">example, we </w:t>
      </w:r>
      <w:r w:rsidR="005878AA">
        <w:rPr>
          <w:rFonts w:ascii="Arial" w:hAnsi="Arial" w:cs="Arial"/>
          <w:kern w:val="0"/>
          <w:sz w:val="24"/>
          <w:szCs w:val="24"/>
        </w:rPr>
        <w:t xml:space="preserve">did not capture guardian costs for outpatient visits, we did not explicitly ask about </w:t>
      </w:r>
      <w:proofErr w:type="spellStart"/>
      <w:r w:rsidR="005878AA">
        <w:rPr>
          <w:rFonts w:ascii="Arial" w:hAnsi="Arial" w:cs="Arial"/>
          <w:kern w:val="0"/>
          <w:sz w:val="24"/>
          <w:szCs w:val="24"/>
        </w:rPr>
        <w:t>dissavings</w:t>
      </w:r>
      <w:proofErr w:type="spellEnd"/>
      <w:r w:rsidR="005878AA">
        <w:rPr>
          <w:rFonts w:ascii="Arial" w:hAnsi="Arial" w:cs="Arial"/>
          <w:kern w:val="0"/>
          <w:sz w:val="24"/>
          <w:szCs w:val="24"/>
        </w:rPr>
        <w:t xml:space="preserve"> and coping strategies, and we </w:t>
      </w:r>
      <w:r w:rsidRPr="00F17701">
        <w:rPr>
          <w:rFonts w:ascii="Arial" w:hAnsi="Arial" w:cs="Arial"/>
          <w:kern w:val="0"/>
          <w:sz w:val="24"/>
          <w:szCs w:val="24"/>
        </w:rPr>
        <w:t xml:space="preserve">asked about lost wages for guardians as a single item. </w:t>
      </w:r>
      <w:bookmarkStart w:id="3" w:name="_Hlk29875001"/>
      <w:r w:rsidR="00A20244">
        <w:rPr>
          <w:rFonts w:ascii="Arial" w:hAnsi="Arial" w:cs="Arial"/>
          <w:kern w:val="0"/>
          <w:sz w:val="24"/>
          <w:szCs w:val="24"/>
        </w:rPr>
        <w:t xml:space="preserve">For those who reported zero weekly income, zero opportunity cost was applied. </w:t>
      </w:r>
      <w:bookmarkEnd w:id="3"/>
      <w:r w:rsidRPr="00F17701">
        <w:rPr>
          <w:rFonts w:ascii="Arial" w:hAnsi="Arial" w:cs="Arial"/>
          <w:kern w:val="0"/>
          <w:sz w:val="24"/>
          <w:szCs w:val="24"/>
        </w:rPr>
        <w:t xml:space="preserve">Such biases in estimated costs are more likely to be under- rather than overestimates; thus, our estimated costs are more likely to be conservative. Third, due to lack of complete data on treatment costs among individuals being treated in the outpatient setting (because of low patient volumes and time constraints in assessing these costs among patients in 12 different clinics), we had to </w:t>
      </w:r>
      <w:r w:rsidR="005A1FB1">
        <w:rPr>
          <w:rFonts w:ascii="Arial" w:hAnsi="Arial" w:cs="Arial"/>
          <w:kern w:val="0"/>
          <w:sz w:val="24"/>
          <w:szCs w:val="24"/>
        </w:rPr>
        <w:t>extrapolate</w:t>
      </w:r>
      <w:r w:rsidR="005A1FB1" w:rsidRPr="00F17701">
        <w:rPr>
          <w:rFonts w:ascii="Arial" w:hAnsi="Arial" w:cs="Arial"/>
          <w:kern w:val="0"/>
          <w:sz w:val="24"/>
          <w:szCs w:val="24"/>
        </w:rPr>
        <w:t xml:space="preserve"> </w:t>
      </w:r>
      <w:r w:rsidRPr="00F17701">
        <w:rPr>
          <w:rFonts w:ascii="Arial" w:hAnsi="Arial" w:cs="Arial"/>
          <w:kern w:val="0"/>
          <w:sz w:val="24"/>
          <w:szCs w:val="24"/>
        </w:rPr>
        <w:t xml:space="preserve">costs using data from a similar outpatient population. There may be unmeasured factors that result in different clinic costs for patients receiving outpatient TB treatment and individuals receiving initial HIV diagnoses that could therefore bias our estimates of outpatient treatment. Our finding of similar estimated costs regardless of whether imputation was carried out on individual cost components or the total visit cost may be somewhat reassuring in this regard, but better estimates could be obtained by future studies directly assessing treatment costs among people receiving outpatient TB treatment in similar poor rural settings. Lastly, we aimed to collect costs in a very poor rural sub-Saharan African setting, and our results may therefore not generalize to other settings including urban areas, other world regions, and less resource-constrained contexts.  </w:t>
      </w:r>
    </w:p>
    <w:p w14:paraId="37C20F81" w14:textId="2AD996C4" w:rsidR="009C6DF8" w:rsidRPr="00F17701" w:rsidRDefault="009C6DF8" w:rsidP="00F17701">
      <w:pPr>
        <w:wordWrap/>
        <w:adjustRightInd w:val="0"/>
        <w:snapToGrid w:val="0"/>
        <w:spacing w:after="0" w:line="480" w:lineRule="auto"/>
        <w:jc w:val="left"/>
        <w:rPr>
          <w:rFonts w:ascii="Arial" w:hAnsi="Arial" w:cs="Arial"/>
          <w:kern w:val="0"/>
          <w:sz w:val="24"/>
          <w:szCs w:val="24"/>
        </w:rPr>
      </w:pPr>
    </w:p>
    <w:p w14:paraId="78799AF1" w14:textId="52E34702" w:rsidR="009C6DF8" w:rsidRPr="00081F10" w:rsidRDefault="00081F10" w:rsidP="009C6DF8">
      <w:pPr>
        <w:wordWrap/>
        <w:adjustRightInd w:val="0"/>
        <w:snapToGrid w:val="0"/>
        <w:spacing w:after="0" w:line="480" w:lineRule="auto"/>
        <w:jc w:val="left"/>
        <w:rPr>
          <w:rFonts w:ascii="Arial" w:hAnsi="Arial" w:cs="Arial"/>
          <w:b/>
          <w:bCs/>
          <w:kern w:val="0"/>
          <w:sz w:val="24"/>
          <w:szCs w:val="24"/>
        </w:rPr>
      </w:pPr>
      <w:r w:rsidRPr="00081F10">
        <w:rPr>
          <w:rFonts w:ascii="Arial" w:hAnsi="Arial" w:cs="Arial"/>
          <w:b/>
          <w:bCs/>
          <w:kern w:val="0"/>
          <w:sz w:val="24"/>
          <w:szCs w:val="24"/>
        </w:rPr>
        <w:t>CONCLUSION</w:t>
      </w:r>
    </w:p>
    <w:p w14:paraId="0400E739" w14:textId="7B3DC258" w:rsidR="00F00984" w:rsidRDefault="00A90EEF" w:rsidP="00BB1E9B">
      <w:pPr>
        <w:wordWrap/>
        <w:adjustRightInd w:val="0"/>
        <w:snapToGrid w:val="0"/>
        <w:spacing w:after="0" w:line="480" w:lineRule="auto"/>
        <w:jc w:val="left"/>
        <w:rPr>
          <w:rFonts w:ascii="Arial" w:hAnsi="Arial" w:cs="Arial"/>
          <w:kern w:val="0"/>
          <w:sz w:val="24"/>
          <w:szCs w:val="24"/>
        </w:rPr>
      </w:pPr>
      <w:r w:rsidRPr="00F17701">
        <w:rPr>
          <w:rFonts w:ascii="Arial" w:hAnsi="Arial" w:cs="Arial"/>
          <w:kern w:val="0"/>
          <w:sz w:val="24"/>
          <w:szCs w:val="24"/>
        </w:rPr>
        <w:t xml:space="preserve">In conclusion, </w:t>
      </w:r>
      <w:r w:rsidR="00ED0FDF">
        <w:rPr>
          <w:rFonts w:ascii="Arial" w:hAnsi="Arial" w:cs="Arial"/>
          <w:kern w:val="0"/>
          <w:sz w:val="24"/>
          <w:szCs w:val="24"/>
        </w:rPr>
        <w:t xml:space="preserve">our results show </w:t>
      </w:r>
      <w:r w:rsidRPr="00F17701">
        <w:rPr>
          <w:rFonts w:ascii="Arial" w:hAnsi="Arial" w:cs="Arial"/>
          <w:kern w:val="0"/>
          <w:sz w:val="24"/>
          <w:szCs w:val="24"/>
        </w:rPr>
        <w:t>that patients who are hospitalized for TB in resource-limited rural Malawi experience truly devastating costs of TB treatment</w:t>
      </w:r>
      <w:r w:rsidR="004F29EC">
        <w:rPr>
          <w:rFonts w:ascii="Arial" w:hAnsi="Arial" w:cs="Arial"/>
          <w:kern w:val="0"/>
          <w:sz w:val="24"/>
          <w:szCs w:val="24"/>
        </w:rPr>
        <w:t xml:space="preserve"> that account for at least half of annual household income among the poorest and </w:t>
      </w:r>
      <w:r w:rsidR="00536BC0">
        <w:rPr>
          <w:rFonts w:ascii="Arial" w:hAnsi="Arial" w:cs="Arial"/>
          <w:kern w:val="0"/>
          <w:sz w:val="24"/>
          <w:szCs w:val="24"/>
        </w:rPr>
        <w:t xml:space="preserve">are </w:t>
      </w:r>
      <w:r w:rsidR="004F29EC">
        <w:rPr>
          <w:rFonts w:ascii="Arial" w:hAnsi="Arial" w:cs="Arial"/>
          <w:kern w:val="0"/>
          <w:sz w:val="24"/>
          <w:szCs w:val="24"/>
        </w:rPr>
        <w:t xml:space="preserve">at least </w:t>
      </w:r>
      <w:r w:rsidR="00536BC0">
        <w:rPr>
          <w:rFonts w:ascii="Arial" w:hAnsi="Arial" w:cs="Arial"/>
          <w:kern w:val="0"/>
          <w:sz w:val="24"/>
          <w:szCs w:val="24"/>
        </w:rPr>
        <w:t>six</w:t>
      </w:r>
      <w:r w:rsidR="004F29EC">
        <w:rPr>
          <w:rFonts w:ascii="Arial" w:hAnsi="Arial" w:cs="Arial"/>
          <w:kern w:val="0"/>
          <w:sz w:val="24"/>
          <w:szCs w:val="24"/>
        </w:rPr>
        <w:t xml:space="preserve"> times </w:t>
      </w:r>
      <w:r w:rsidR="004F29EC">
        <w:rPr>
          <w:rFonts w:ascii="Arial" w:hAnsi="Arial" w:cs="Arial"/>
          <w:kern w:val="0"/>
          <w:sz w:val="24"/>
          <w:szCs w:val="24"/>
        </w:rPr>
        <w:lastRenderedPageBreak/>
        <w:t xml:space="preserve">higher than outpatient </w:t>
      </w:r>
      <w:r w:rsidR="00DA466A">
        <w:rPr>
          <w:rFonts w:ascii="Arial" w:hAnsi="Arial" w:cs="Arial"/>
          <w:kern w:val="0"/>
          <w:sz w:val="24"/>
          <w:szCs w:val="24"/>
        </w:rPr>
        <w:t>treatment costs</w:t>
      </w:r>
      <w:r w:rsidR="001006D6" w:rsidRPr="003220FD">
        <w:rPr>
          <w:rFonts w:ascii="Arial" w:hAnsi="Arial" w:cs="Arial"/>
          <w:kern w:val="0"/>
          <w:sz w:val="24"/>
          <w:szCs w:val="24"/>
        </w:rPr>
        <w:t>.</w:t>
      </w:r>
      <w:r w:rsidR="003220FD">
        <w:rPr>
          <w:rFonts w:ascii="Arial" w:hAnsi="Arial" w:cs="Arial"/>
          <w:kern w:val="0"/>
          <w:sz w:val="24"/>
          <w:szCs w:val="24"/>
        </w:rPr>
        <w:t xml:space="preserve"> </w:t>
      </w:r>
      <w:r w:rsidRPr="00F17701">
        <w:rPr>
          <w:rFonts w:ascii="Arial" w:hAnsi="Arial" w:cs="Arial"/>
          <w:kern w:val="0"/>
          <w:sz w:val="24"/>
          <w:szCs w:val="24"/>
        </w:rPr>
        <w:t>The need for inpatient hospitalization is likely driven by poor access to care resulting in late presentation. Therefore, earlier diagnosis and treatment must be prioritized if we are to meet goals of effective TB control, avoidance of catastrophic costs, and provision of appropriate patient-centered care in such settings. Social protection</w:t>
      </w:r>
      <w:r w:rsidR="007C420C" w:rsidRPr="007C420C">
        <w:rPr>
          <w:rFonts w:ascii="Arial" w:hAnsi="Arial" w:cs="Arial"/>
          <w:kern w:val="0"/>
          <w:sz w:val="24"/>
          <w:szCs w:val="24"/>
        </w:rPr>
        <w:t xml:space="preserve"> </w:t>
      </w:r>
      <w:r w:rsidRPr="00F17701">
        <w:rPr>
          <w:rFonts w:ascii="Arial" w:hAnsi="Arial" w:cs="Arial"/>
          <w:kern w:val="0"/>
          <w:sz w:val="24"/>
          <w:szCs w:val="24"/>
        </w:rPr>
        <w:t xml:space="preserve">and other schemes to mitigate the economic consequences of TB disease must also be implemented and evaluated. Only by enabling patients to receive diagnosis before they develop end-stage disease and by lowering of the financial burden of seeking care and receiving treatment can we achieve ambitious global targets to end TB in poor rural sub-Saharan Africa. </w:t>
      </w:r>
    </w:p>
    <w:p w14:paraId="3B4749B9" w14:textId="77777777" w:rsidR="00F00984" w:rsidRDefault="00F00984" w:rsidP="00BB1E9B">
      <w:pPr>
        <w:wordWrap/>
        <w:adjustRightInd w:val="0"/>
        <w:snapToGrid w:val="0"/>
        <w:spacing w:after="0" w:line="480" w:lineRule="auto"/>
        <w:jc w:val="left"/>
        <w:rPr>
          <w:rFonts w:ascii="Arial" w:hAnsi="Arial" w:cs="Arial"/>
          <w:kern w:val="0"/>
          <w:sz w:val="24"/>
          <w:szCs w:val="24"/>
        </w:rPr>
      </w:pPr>
    </w:p>
    <w:p w14:paraId="52A5431E" w14:textId="73D29DDF" w:rsidR="00F00984" w:rsidRPr="00AC5682" w:rsidRDefault="00F00984" w:rsidP="00F00984">
      <w:pPr>
        <w:wordWrap/>
        <w:adjustRightInd w:val="0"/>
        <w:snapToGrid w:val="0"/>
        <w:spacing w:after="0" w:line="480" w:lineRule="auto"/>
        <w:jc w:val="left"/>
        <w:rPr>
          <w:rFonts w:ascii="Arial" w:hAnsi="Arial" w:cs="Arial"/>
          <w:b/>
          <w:bCs/>
          <w:kern w:val="0"/>
          <w:sz w:val="24"/>
          <w:szCs w:val="24"/>
        </w:rPr>
      </w:pPr>
      <w:r w:rsidRPr="00AC5682">
        <w:rPr>
          <w:rFonts w:ascii="Arial" w:hAnsi="Arial" w:cs="Arial"/>
          <w:b/>
          <w:bCs/>
          <w:kern w:val="0"/>
          <w:sz w:val="24"/>
          <w:szCs w:val="24"/>
        </w:rPr>
        <w:t>ACKNOWLEDGEMENTS</w:t>
      </w:r>
    </w:p>
    <w:p w14:paraId="290CAD7E" w14:textId="5CF3A69E" w:rsidR="00F00984" w:rsidRDefault="00F00984" w:rsidP="00F00984">
      <w:pPr>
        <w:spacing w:after="0" w:line="480" w:lineRule="auto"/>
        <w:rPr>
          <w:rFonts w:ascii="Arial" w:hAnsi="Arial" w:cs="Arial"/>
          <w:kern w:val="0"/>
          <w:sz w:val="24"/>
          <w:szCs w:val="24"/>
        </w:rPr>
      </w:pPr>
      <w:r>
        <w:rPr>
          <w:rFonts w:ascii="Arial" w:hAnsi="Arial" w:cs="Arial" w:hint="eastAsia"/>
          <w:kern w:val="0"/>
          <w:sz w:val="24"/>
          <w:szCs w:val="24"/>
        </w:rPr>
        <w:t>W</w:t>
      </w:r>
      <w:r>
        <w:rPr>
          <w:rFonts w:ascii="Arial" w:hAnsi="Arial" w:cs="Arial"/>
          <w:kern w:val="0"/>
          <w:sz w:val="24"/>
          <w:szCs w:val="24"/>
        </w:rPr>
        <w:t>e thank to the study staff, clinical workers, public health officers, and patients in Thyolo District who mad</w:t>
      </w:r>
      <w:r w:rsidR="001A0AD7">
        <w:rPr>
          <w:rFonts w:ascii="Arial" w:hAnsi="Arial" w:cs="Arial"/>
          <w:kern w:val="0"/>
          <w:sz w:val="24"/>
          <w:szCs w:val="24"/>
        </w:rPr>
        <w:t>e</w:t>
      </w:r>
      <w:r>
        <w:rPr>
          <w:rFonts w:ascii="Arial" w:hAnsi="Arial" w:cs="Arial"/>
          <w:kern w:val="0"/>
          <w:sz w:val="24"/>
          <w:szCs w:val="24"/>
        </w:rPr>
        <w:t xml:space="preserve"> this work possible.</w:t>
      </w:r>
      <w:r w:rsidR="00ED0FDF">
        <w:rPr>
          <w:rFonts w:ascii="Arial" w:hAnsi="Arial" w:cs="Arial"/>
          <w:kern w:val="0"/>
          <w:sz w:val="24"/>
          <w:szCs w:val="24"/>
        </w:rPr>
        <w:t xml:space="preserve"> ELC was supported by a </w:t>
      </w:r>
      <w:proofErr w:type="spellStart"/>
      <w:r w:rsidR="00ED0FDF">
        <w:rPr>
          <w:rFonts w:ascii="Arial" w:hAnsi="Arial" w:cs="Arial"/>
          <w:kern w:val="0"/>
          <w:sz w:val="24"/>
          <w:szCs w:val="24"/>
        </w:rPr>
        <w:t>Wellcome</w:t>
      </w:r>
      <w:proofErr w:type="spellEnd"/>
      <w:r w:rsidR="00ED0FDF">
        <w:rPr>
          <w:rFonts w:ascii="Arial" w:hAnsi="Arial" w:cs="Arial"/>
          <w:kern w:val="0"/>
          <w:sz w:val="24"/>
          <w:szCs w:val="24"/>
        </w:rPr>
        <w:t xml:space="preserve"> Trust Senior Fellowship (</w:t>
      </w:r>
      <w:r w:rsidR="00ED0FDF">
        <w:rPr>
          <w:rFonts w:ascii="Arial" w:hAnsi="Arial" w:cs="Arial"/>
          <w:kern w:val="0"/>
          <w:sz w:val="24"/>
          <w:szCs w:val="24"/>
          <w:lang w:val="en-GB"/>
        </w:rPr>
        <w:t>WT200901).</w:t>
      </w:r>
    </w:p>
    <w:p w14:paraId="136226C9" w14:textId="77777777" w:rsidR="00F00984" w:rsidRDefault="00F00984" w:rsidP="00F00984">
      <w:pPr>
        <w:spacing w:after="0" w:line="480" w:lineRule="auto"/>
        <w:rPr>
          <w:rFonts w:ascii="Arial" w:hAnsi="Arial" w:cs="Arial"/>
          <w:kern w:val="0"/>
          <w:sz w:val="24"/>
          <w:szCs w:val="24"/>
        </w:rPr>
      </w:pPr>
    </w:p>
    <w:p w14:paraId="66687B36" w14:textId="2FD0F674" w:rsidR="00F00984" w:rsidRPr="00AC5682" w:rsidRDefault="00F00984" w:rsidP="00F00984">
      <w:pPr>
        <w:spacing w:after="0" w:line="480" w:lineRule="auto"/>
        <w:rPr>
          <w:rFonts w:ascii="Arial" w:hAnsi="Arial" w:cs="Arial"/>
          <w:b/>
          <w:bCs/>
          <w:kern w:val="0"/>
          <w:sz w:val="24"/>
          <w:szCs w:val="24"/>
        </w:rPr>
      </w:pPr>
      <w:r w:rsidRPr="00AC5682">
        <w:rPr>
          <w:rFonts w:ascii="Arial" w:hAnsi="Arial" w:cs="Arial"/>
          <w:b/>
          <w:bCs/>
          <w:kern w:val="0"/>
          <w:sz w:val="24"/>
          <w:szCs w:val="24"/>
        </w:rPr>
        <w:t>CONFLICT OF INTEREST</w:t>
      </w:r>
    </w:p>
    <w:p w14:paraId="1BA2E485" w14:textId="402056FB" w:rsidR="00F00984" w:rsidRDefault="00F00984" w:rsidP="00F00984">
      <w:pPr>
        <w:spacing w:after="0" w:line="480" w:lineRule="auto"/>
        <w:rPr>
          <w:rFonts w:ascii="Arial" w:hAnsi="Arial" w:cs="Arial"/>
          <w:kern w:val="0"/>
          <w:sz w:val="24"/>
          <w:szCs w:val="24"/>
        </w:rPr>
      </w:pPr>
      <w:r>
        <w:rPr>
          <w:rFonts w:ascii="Arial" w:hAnsi="Arial" w:cs="Arial"/>
          <w:kern w:val="0"/>
          <w:sz w:val="24"/>
          <w:szCs w:val="24"/>
        </w:rPr>
        <w:t xml:space="preserve">All authors have no potential conflicts of interest. </w:t>
      </w:r>
      <w:r w:rsidR="00EA7CD3">
        <w:rPr>
          <w:rFonts w:ascii="Arial" w:hAnsi="Arial" w:cs="Arial"/>
          <w:kern w:val="0"/>
          <w:sz w:val="24"/>
          <w:szCs w:val="24"/>
        </w:rPr>
        <w:t xml:space="preserve"> </w:t>
      </w:r>
    </w:p>
    <w:p w14:paraId="0DF17145" w14:textId="77777777" w:rsidR="00F00984" w:rsidRDefault="00F00984">
      <w:pPr>
        <w:widowControl/>
        <w:wordWrap/>
        <w:autoSpaceDE/>
        <w:autoSpaceDN/>
        <w:rPr>
          <w:rFonts w:ascii="Arial" w:hAnsi="Arial" w:cs="Arial"/>
          <w:kern w:val="0"/>
          <w:sz w:val="24"/>
          <w:szCs w:val="24"/>
        </w:rPr>
      </w:pPr>
      <w:r>
        <w:rPr>
          <w:rFonts w:ascii="Arial" w:hAnsi="Arial" w:cs="Arial"/>
          <w:kern w:val="0"/>
          <w:sz w:val="24"/>
          <w:szCs w:val="24"/>
        </w:rPr>
        <w:br w:type="page"/>
      </w:r>
    </w:p>
    <w:p w14:paraId="2266850E" w14:textId="77777777" w:rsidR="000851F8" w:rsidRPr="000851F8" w:rsidRDefault="000851F8" w:rsidP="000851F8">
      <w:pPr>
        <w:wordWrap/>
        <w:adjustRightInd w:val="0"/>
        <w:snapToGrid w:val="0"/>
        <w:spacing w:after="0" w:line="480" w:lineRule="auto"/>
        <w:jc w:val="left"/>
        <w:rPr>
          <w:rFonts w:ascii="Arial" w:hAnsi="Arial" w:cs="Arial"/>
          <w:b/>
          <w:bCs/>
          <w:kern w:val="0"/>
          <w:sz w:val="24"/>
          <w:szCs w:val="24"/>
        </w:rPr>
      </w:pPr>
      <w:r w:rsidRPr="000851F8">
        <w:rPr>
          <w:rFonts w:ascii="Arial" w:hAnsi="Arial" w:cs="Arial"/>
          <w:b/>
          <w:bCs/>
          <w:kern w:val="0"/>
          <w:sz w:val="24"/>
          <w:szCs w:val="24"/>
        </w:rPr>
        <w:lastRenderedPageBreak/>
        <w:t>REFERENCES</w:t>
      </w:r>
    </w:p>
    <w:p w14:paraId="520B201C"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1. </w:t>
      </w:r>
      <w:r w:rsidRPr="000851F8">
        <w:rPr>
          <w:rFonts w:ascii="Arial" w:hAnsi="Arial" w:cs="Arial"/>
          <w:noProof/>
          <w:kern w:val="0"/>
          <w:sz w:val="24"/>
          <w:szCs w:val="24"/>
        </w:rPr>
        <w:tab/>
        <w:t xml:space="preserve">World Health Organization. Global Tuberculosis Report 2018. Geneva; 2018. </w:t>
      </w:r>
    </w:p>
    <w:p w14:paraId="0FDBAA97"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2. </w:t>
      </w:r>
      <w:r w:rsidRPr="000851F8">
        <w:rPr>
          <w:rFonts w:ascii="Arial" w:hAnsi="Arial" w:cs="Arial"/>
          <w:noProof/>
          <w:kern w:val="0"/>
          <w:sz w:val="24"/>
          <w:szCs w:val="24"/>
        </w:rPr>
        <w:tab/>
        <w:t>World Health Organization. Addressing Poverty in TB Control - Options for National TB Control Programmes [Internet]. WHO. 2005. Available from: http://apps.who.int/iris/bitstream/10665/43256/1/WHO_HTM_TB_2005.352.pdf</w:t>
      </w:r>
    </w:p>
    <w:p w14:paraId="792C2337"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3. </w:t>
      </w:r>
      <w:r w:rsidRPr="000851F8">
        <w:rPr>
          <w:rFonts w:ascii="Arial" w:hAnsi="Arial" w:cs="Arial"/>
          <w:noProof/>
          <w:kern w:val="0"/>
          <w:sz w:val="24"/>
          <w:szCs w:val="24"/>
        </w:rPr>
        <w:tab/>
        <w:t xml:space="preserve">Sullivan BJ, Esmaili BE, Cunningham CK. Barriers to initiating tuberculosis treatment in sub-Saharan Africa: A systematic review focused on children and youth. Vol. 10, Global Health Action. Taylor and Francis Ltd.; 2017. </w:t>
      </w:r>
    </w:p>
    <w:p w14:paraId="2D4FF64F" w14:textId="1D8F100D"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4. </w:t>
      </w:r>
      <w:r w:rsidRPr="000851F8">
        <w:rPr>
          <w:rFonts w:ascii="Arial" w:hAnsi="Arial" w:cs="Arial"/>
          <w:noProof/>
          <w:kern w:val="0"/>
          <w:sz w:val="24"/>
          <w:szCs w:val="24"/>
        </w:rPr>
        <w:tab/>
        <w:t xml:space="preserve">Aspler A, Menzies D, Oxlade O, Banda J, Mwenge L, Ayles H. Cost of tuberculosis diagnosis and treatment from the patient perspective in Lusaka , Zambia. 2008;12(July 2007):928–35. </w:t>
      </w:r>
    </w:p>
    <w:p w14:paraId="6FA8FBF4"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5. </w:t>
      </w:r>
      <w:r w:rsidRPr="000851F8">
        <w:rPr>
          <w:rFonts w:ascii="Arial" w:hAnsi="Arial" w:cs="Arial"/>
          <w:noProof/>
          <w:kern w:val="0"/>
          <w:sz w:val="24"/>
          <w:szCs w:val="24"/>
        </w:rPr>
        <w:tab/>
        <w:t>World Health Organization. Tuberculosis patient cost surveys: a hand book [Internet]. Geneva: WHO; 2017. Available from: http://apps.who.int/bookorders.</w:t>
      </w:r>
    </w:p>
    <w:p w14:paraId="40D6B5E1"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6. </w:t>
      </w:r>
      <w:r w:rsidRPr="000851F8">
        <w:rPr>
          <w:rFonts w:ascii="Arial" w:hAnsi="Arial" w:cs="Arial"/>
          <w:noProof/>
          <w:kern w:val="0"/>
          <w:sz w:val="24"/>
          <w:szCs w:val="24"/>
        </w:rPr>
        <w:tab/>
        <w:t xml:space="preserve">Heemskerk D, Caws M, Marais B, Farrar J. Tuberculosis in Adults and Children. Vol. 193, The Lancet. London: Springer; 2015. </w:t>
      </w:r>
    </w:p>
    <w:p w14:paraId="080C447F"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7. </w:t>
      </w:r>
      <w:r w:rsidRPr="000851F8">
        <w:rPr>
          <w:rFonts w:ascii="Arial" w:hAnsi="Arial" w:cs="Arial"/>
          <w:noProof/>
          <w:kern w:val="0"/>
          <w:sz w:val="24"/>
          <w:szCs w:val="24"/>
        </w:rPr>
        <w:tab/>
        <w:t>World Health Organization and International Bank for Reconstruction and Development. Tracking Universal Health Coverage: 2017 Global Monitoring Report [Internet]. Geneva: WHO; 2017. Available from: http://apps.who.int/iris/bitstream/handle/10665/259817/9789241513555-eng.pdf;jsessionid=C29E21005A5692511BE2B70BD2D3C941?sequence=1</w:t>
      </w:r>
    </w:p>
    <w:p w14:paraId="59AC61C0"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8. </w:t>
      </w:r>
      <w:r w:rsidRPr="000851F8">
        <w:rPr>
          <w:rFonts w:ascii="Arial" w:hAnsi="Arial" w:cs="Arial"/>
          <w:noProof/>
          <w:kern w:val="0"/>
          <w:sz w:val="24"/>
          <w:szCs w:val="24"/>
        </w:rPr>
        <w:tab/>
        <w:t xml:space="preserve">Verguet S, Riumallo-Herl C, Gomez GB, Menzies NA, Houben RMGJ, Sumner T, et al. Catastrophic costs potentially averted by tuberculosis control in India and South Africa: a modelling study. Lancet Glob Heal. 2017 Nov 1;5(11):e1123–32. </w:t>
      </w:r>
    </w:p>
    <w:p w14:paraId="452EE3A2"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lastRenderedPageBreak/>
        <w:t xml:space="preserve">9. </w:t>
      </w:r>
      <w:r w:rsidRPr="000851F8">
        <w:rPr>
          <w:rFonts w:ascii="Arial" w:hAnsi="Arial" w:cs="Arial"/>
          <w:noProof/>
          <w:kern w:val="0"/>
          <w:sz w:val="24"/>
          <w:szCs w:val="24"/>
        </w:rPr>
        <w:tab/>
        <w:t xml:space="preserve">Stracker N, Hanrahan C, Mmolawa L, Nonyane B, Tampi R, Tucker A, et al. Risk factors for catastrophic costs associated with tuberculosis in rural South Africa. Int J Tuberc Lung Dis. 2019 Jul 18;23(6):756–63. </w:t>
      </w:r>
    </w:p>
    <w:p w14:paraId="32DF925F"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10. </w:t>
      </w:r>
      <w:r w:rsidRPr="000851F8">
        <w:rPr>
          <w:rFonts w:ascii="Arial" w:hAnsi="Arial" w:cs="Arial"/>
          <w:noProof/>
          <w:kern w:val="0"/>
          <w:sz w:val="24"/>
          <w:szCs w:val="24"/>
        </w:rPr>
        <w:tab/>
        <w:t xml:space="preserve">Mudzengi D, Sweeney S, Hippner P, Kufa T, Fielding K, Grant AD, et al. The patient costs of care for those with TB and HIV: A cross-sectional study from South Africa. Health Policy Plan. 2017 Nov 1;32:iv48–56. </w:t>
      </w:r>
    </w:p>
    <w:p w14:paraId="45FF1C28"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11. </w:t>
      </w:r>
      <w:r w:rsidRPr="000851F8">
        <w:rPr>
          <w:rFonts w:ascii="Arial" w:hAnsi="Arial" w:cs="Arial"/>
          <w:noProof/>
          <w:kern w:val="0"/>
          <w:sz w:val="24"/>
          <w:szCs w:val="24"/>
        </w:rPr>
        <w:tab/>
        <w:t xml:space="preserve">Chimbindi N, Bor J, Newell ML, Tanser F, Baltussen R, Hontelez J, et al. Time and money: The true costs of health care utilization for patients receiving “free” HIV/tuberculosis care and treatment in rural KwaZulu-natal. In: Journal of Acquired Immune Deficiency Syndromes. Lippincott Williams and Wilkins; 2015. p. e52–60. </w:t>
      </w:r>
    </w:p>
    <w:p w14:paraId="66E7F59B"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12. </w:t>
      </w:r>
      <w:r w:rsidRPr="000851F8">
        <w:rPr>
          <w:rFonts w:ascii="Arial" w:hAnsi="Arial" w:cs="Arial"/>
          <w:noProof/>
          <w:kern w:val="0"/>
          <w:sz w:val="24"/>
          <w:szCs w:val="24"/>
        </w:rPr>
        <w:tab/>
        <w:t xml:space="preserve">Gospodarevskaya E, Tulloch O, Bunga C, Ferdous S, Jonas A, Islam S, et al. Patient costs during tuberculosis treatment in Bangladesh and Tanzania: The potential of shorter regimens. Int J Tuberc Lung Dis. 2014 Jul 1;18(7). </w:t>
      </w:r>
    </w:p>
    <w:p w14:paraId="6BC63BA9"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13. </w:t>
      </w:r>
      <w:r w:rsidRPr="000851F8">
        <w:rPr>
          <w:rFonts w:ascii="Arial" w:hAnsi="Arial" w:cs="Arial"/>
          <w:noProof/>
          <w:kern w:val="0"/>
          <w:sz w:val="24"/>
          <w:szCs w:val="24"/>
        </w:rPr>
        <w:tab/>
        <w:t xml:space="preserve">Mauch V, Bonsu F, Gyapong M, Awini E, Suarez P, Marcelino B, et al. Free tuberculosis diagnosis and treatment are not enough : 2013;17(May 2012):381–7. </w:t>
      </w:r>
    </w:p>
    <w:p w14:paraId="2EEBA201"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14. </w:t>
      </w:r>
      <w:r w:rsidRPr="000851F8">
        <w:rPr>
          <w:rFonts w:ascii="Arial" w:hAnsi="Arial" w:cs="Arial"/>
          <w:noProof/>
          <w:kern w:val="0"/>
          <w:sz w:val="24"/>
          <w:szCs w:val="24"/>
        </w:rPr>
        <w:tab/>
        <w:t xml:space="preserve">Ukwaja KN, Alobu I, lgwenyi C, Hopewell PC. The High Cost of Free Tuberculosis Services: Patient and Household Costs Associated with Tuberculosis Care in Ebonyi State, Nigeria. PLoS One. 2013 Aug 27;8(8). </w:t>
      </w:r>
    </w:p>
    <w:p w14:paraId="20B2D183"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15. </w:t>
      </w:r>
      <w:r w:rsidRPr="000851F8">
        <w:rPr>
          <w:rFonts w:ascii="Arial" w:hAnsi="Arial" w:cs="Arial"/>
          <w:noProof/>
          <w:kern w:val="0"/>
          <w:sz w:val="24"/>
          <w:szCs w:val="24"/>
        </w:rPr>
        <w:tab/>
        <w:t xml:space="preserve">National Statistical Office of Malawi. MALAWI POPULATION AND HOUSING CENSUS REPORT-2018 2018 Malawi Population and Housing Main Report. 2019. </w:t>
      </w:r>
    </w:p>
    <w:p w14:paraId="071C5D91"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16. </w:t>
      </w:r>
      <w:r w:rsidRPr="000851F8">
        <w:rPr>
          <w:rFonts w:ascii="Arial" w:hAnsi="Arial" w:cs="Arial"/>
          <w:noProof/>
          <w:kern w:val="0"/>
          <w:sz w:val="24"/>
          <w:szCs w:val="24"/>
        </w:rPr>
        <w:tab/>
        <w:t xml:space="preserve">Zwerling AA, Sahu M, Ngwira LG, Khundi M, Harawa T, Corbett EL, et al. </w:t>
      </w:r>
      <w:r w:rsidRPr="000851F8">
        <w:rPr>
          <w:rFonts w:ascii="Arial" w:hAnsi="Arial" w:cs="Arial"/>
          <w:noProof/>
          <w:kern w:val="0"/>
          <w:sz w:val="24"/>
          <w:szCs w:val="24"/>
        </w:rPr>
        <w:lastRenderedPageBreak/>
        <w:t xml:space="preserve">Screening for tuberculosis among adults newly diagnosed with HIV in Sub-Saharan Africa: A cost-effectiveness analysis. In: Journal of Acquired Immune Deficiency Syndromes. Lippincott Williams and Wilkins; 2015. p. 83–90. </w:t>
      </w:r>
    </w:p>
    <w:p w14:paraId="663E4862"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17. </w:t>
      </w:r>
      <w:r w:rsidRPr="000851F8">
        <w:rPr>
          <w:rFonts w:ascii="Arial" w:hAnsi="Arial" w:cs="Arial"/>
          <w:noProof/>
          <w:kern w:val="0"/>
          <w:sz w:val="24"/>
          <w:szCs w:val="24"/>
        </w:rPr>
        <w:tab/>
        <w:t xml:space="preserve">Ngwira LG, Corbett EL, Khundi M, Barnes GL, Nkhoma A, Murowa M, et al. Screening for Tuberculosis With Xpert MTB/RIF Assay Versus Fluorescent Microscopy Among Adults Newly Diagnosed With Human Immunodeficiency Virus in Rural Malawi: A Cluster Randomized Trial (Chepetsa). Clin Infect Dis. 2019 Mar 19;68(7):1176–83. </w:t>
      </w:r>
    </w:p>
    <w:p w14:paraId="7E6BC717" w14:textId="6840345C"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18. </w:t>
      </w:r>
      <w:r w:rsidRPr="000851F8">
        <w:rPr>
          <w:rFonts w:ascii="Arial" w:hAnsi="Arial" w:cs="Arial"/>
          <w:noProof/>
          <w:kern w:val="0"/>
          <w:sz w:val="24"/>
          <w:szCs w:val="24"/>
        </w:rPr>
        <w:tab/>
        <w:t xml:space="preserve">TB|CTA &amp; USAID. The tool to estimate patients’ costs. 2008. </w:t>
      </w:r>
    </w:p>
    <w:p w14:paraId="07C1C85A"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19. </w:t>
      </w:r>
      <w:r w:rsidRPr="000851F8">
        <w:rPr>
          <w:rFonts w:ascii="Arial" w:hAnsi="Arial" w:cs="Arial"/>
          <w:noProof/>
          <w:kern w:val="0"/>
          <w:sz w:val="24"/>
          <w:szCs w:val="24"/>
        </w:rPr>
        <w:tab/>
        <w:t>World Bank. World Bank National Accounts data, and OECD National Accounts data files: GDP deflator (Malawi) [Internet]. [cited 2019 Jul 29]. Available from: https://data.worldbank.org/indicator/NY.GDP.DEFL.ZS?locations=MW</w:t>
      </w:r>
    </w:p>
    <w:p w14:paraId="302FD613"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20. </w:t>
      </w:r>
      <w:r w:rsidRPr="000851F8">
        <w:rPr>
          <w:rFonts w:ascii="Arial" w:hAnsi="Arial" w:cs="Arial"/>
          <w:noProof/>
          <w:kern w:val="0"/>
          <w:sz w:val="24"/>
          <w:szCs w:val="24"/>
        </w:rPr>
        <w:tab/>
        <w:t>Reserve bank of Malawi. Foreign Exchange Rates [Internet]. [cited 2019 Jul 29]. Available from: https://www.rbm.mw/Statistics/MajorRates/</w:t>
      </w:r>
    </w:p>
    <w:p w14:paraId="36346547"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21. </w:t>
      </w:r>
      <w:r w:rsidRPr="000851F8">
        <w:rPr>
          <w:rFonts w:ascii="Arial" w:hAnsi="Arial" w:cs="Arial"/>
          <w:noProof/>
          <w:kern w:val="0"/>
          <w:sz w:val="24"/>
          <w:szCs w:val="24"/>
        </w:rPr>
        <w:tab/>
        <w:t xml:space="preserve">Turner HC, Lauer JA, Tran BX, Teerawattananon Y, Jit M. Adjusting for Inflation and Currency Changes Within Health Economic Studies. Value Heal. 2019; </w:t>
      </w:r>
    </w:p>
    <w:p w14:paraId="131E2E7C"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22. </w:t>
      </w:r>
      <w:r w:rsidRPr="000851F8">
        <w:rPr>
          <w:rFonts w:ascii="Arial" w:hAnsi="Arial" w:cs="Arial"/>
          <w:noProof/>
          <w:kern w:val="0"/>
          <w:sz w:val="24"/>
          <w:szCs w:val="24"/>
        </w:rPr>
        <w:tab/>
        <w:t xml:space="preserve">Khaled MA, Makdissi P, Tabri R V., Yazbeck M. A framework for testing the equality between the health concentration curve and the 45-degree line. Heal Econ (United Kingdom). 2018;27(5):887–96. </w:t>
      </w:r>
    </w:p>
    <w:p w14:paraId="07EA0EC9"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23. </w:t>
      </w:r>
      <w:r w:rsidRPr="000851F8">
        <w:rPr>
          <w:rFonts w:ascii="Arial" w:hAnsi="Arial" w:cs="Arial"/>
          <w:noProof/>
          <w:kern w:val="0"/>
          <w:sz w:val="24"/>
          <w:szCs w:val="24"/>
        </w:rPr>
        <w:tab/>
        <w:t xml:space="preserve">Stracker N, Hanrahan C, Mmolawa L, Nonyane B, Tampi R, Tucker A, et al. Risk factors for catastrophic costs associated with tuberculosis in rural South Africa. 2019;23(November 2018):756–63. </w:t>
      </w:r>
    </w:p>
    <w:p w14:paraId="3945F04A"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24. </w:t>
      </w:r>
      <w:r w:rsidRPr="000851F8">
        <w:rPr>
          <w:rFonts w:ascii="Arial" w:hAnsi="Arial" w:cs="Arial"/>
          <w:noProof/>
          <w:kern w:val="0"/>
          <w:sz w:val="24"/>
          <w:szCs w:val="24"/>
        </w:rPr>
        <w:tab/>
        <w:t xml:space="preserve">Vassall A, Seme A, Compernolle P, Meheus F. Patient costs of accessing </w:t>
      </w:r>
      <w:r w:rsidRPr="000851F8">
        <w:rPr>
          <w:rFonts w:ascii="Arial" w:hAnsi="Arial" w:cs="Arial"/>
          <w:noProof/>
          <w:kern w:val="0"/>
          <w:sz w:val="24"/>
          <w:szCs w:val="24"/>
        </w:rPr>
        <w:lastRenderedPageBreak/>
        <w:t xml:space="preserve">collaborative tuberculosis and human immunodefi ciency virus interventions in Ethiopia. Int J Tuberc Lung Dis. 2010 May;14(5):604–10. </w:t>
      </w:r>
    </w:p>
    <w:p w14:paraId="4B20145C"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25. </w:t>
      </w:r>
      <w:r w:rsidRPr="000851F8">
        <w:rPr>
          <w:rFonts w:ascii="Arial" w:hAnsi="Arial" w:cs="Arial"/>
          <w:noProof/>
          <w:kern w:val="0"/>
          <w:sz w:val="24"/>
          <w:szCs w:val="24"/>
        </w:rPr>
        <w:tab/>
        <w:t xml:space="preserve">Umar NA, Abubakar I, Fordham R, Bachmann M. Direct costs of pulmonary tuberculosis among patients receiving treatment in Bauchi State , Nigeria. 2012;16(January):835–40. </w:t>
      </w:r>
    </w:p>
    <w:p w14:paraId="28B9E038"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26. </w:t>
      </w:r>
      <w:r w:rsidRPr="000851F8">
        <w:rPr>
          <w:rFonts w:ascii="Arial" w:hAnsi="Arial" w:cs="Arial"/>
          <w:noProof/>
          <w:kern w:val="0"/>
          <w:sz w:val="24"/>
          <w:szCs w:val="24"/>
        </w:rPr>
        <w:tab/>
        <w:t xml:space="preserve">Umar NA, Fordham R, Abubakar I, Bachmann M. The indirect cost due to pulmonary Tuberculosis in patients receiving treatment in Bauchi State — Nigeria. 2012;1–8. </w:t>
      </w:r>
    </w:p>
    <w:p w14:paraId="7DDB932A" w14:textId="77777777" w:rsidR="000851F8" w:rsidRPr="000851F8" w:rsidRDefault="000851F8" w:rsidP="000851F8">
      <w:pPr>
        <w:wordWrap/>
        <w:adjustRightInd w:val="0"/>
        <w:spacing w:after="0" w:line="480" w:lineRule="auto"/>
        <w:ind w:left="640" w:hanging="640"/>
        <w:jc w:val="left"/>
        <w:rPr>
          <w:rFonts w:ascii="Arial" w:hAnsi="Arial" w:cs="Arial"/>
          <w:noProof/>
          <w:kern w:val="0"/>
          <w:sz w:val="24"/>
          <w:szCs w:val="24"/>
        </w:rPr>
      </w:pPr>
      <w:r w:rsidRPr="000851F8">
        <w:rPr>
          <w:rFonts w:ascii="Arial" w:hAnsi="Arial" w:cs="Arial"/>
          <w:noProof/>
          <w:kern w:val="0"/>
          <w:sz w:val="24"/>
          <w:szCs w:val="24"/>
        </w:rPr>
        <w:t xml:space="preserve">27. </w:t>
      </w:r>
      <w:r w:rsidRPr="000851F8">
        <w:rPr>
          <w:rFonts w:ascii="Arial" w:hAnsi="Arial" w:cs="Arial"/>
          <w:noProof/>
          <w:kern w:val="0"/>
          <w:sz w:val="24"/>
          <w:szCs w:val="24"/>
        </w:rPr>
        <w:tab/>
        <w:t xml:space="preserve">Datiko DG, Lindtjørn B. Cost and cost-effectiveness of treating smear-positive tuberculosis by health extension workers in Ethiopia: An ancillary cost-effectiveness analysis of community randomized trial. PLoS One. 2010 Feb 17;5(2). </w:t>
      </w:r>
    </w:p>
    <w:p w14:paraId="0F571F07" w14:textId="77777777" w:rsidR="000851F8" w:rsidRDefault="000851F8">
      <w:pPr>
        <w:widowControl/>
        <w:wordWrap/>
        <w:autoSpaceDE/>
        <w:autoSpaceDN/>
        <w:rPr>
          <w:rFonts w:ascii="Arial" w:hAnsi="Arial" w:cs="Arial"/>
          <w:b/>
          <w:bCs/>
          <w:kern w:val="0"/>
          <w:sz w:val="24"/>
          <w:szCs w:val="24"/>
        </w:rPr>
      </w:pPr>
      <w:r>
        <w:rPr>
          <w:rFonts w:ascii="Arial" w:hAnsi="Arial" w:cs="Arial"/>
          <w:b/>
          <w:bCs/>
          <w:kern w:val="0"/>
          <w:sz w:val="24"/>
          <w:szCs w:val="24"/>
        </w:rPr>
        <w:br w:type="page"/>
      </w:r>
    </w:p>
    <w:p w14:paraId="57435072" w14:textId="6562CB10" w:rsidR="00A90EEF" w:rsidRDefault="00A90EEF" w:rsidP="00E4197B">
      <w:pPr>
        <w:wordWrap/>
        <w:adjustRightInd w:val="0"/>
        <w:snapToGrid w:val="0"/>
        <w:spacing w:after="0" w:line="240" w:lineRule="auto"/>
        <w:jc w:val="left"/>
        <w:rPr>
          <w:rFonts w:ascii="Arial" w:hAnsi="Arial" w:cs="Arial"/>
          <w:b/>
          <w:sz w:val="24"/>
          <w:szCs w:val="24"/>
        </w:rPr>
      </w:pPr>
      <w:r w:rsidRPr="00A92A49">
        <w:rPr>
          <w:rFonts w:ascii="Arial" w:hAnsi="Arial" w:cs="Arial"/>
          <w:b/>
          <w:sz w:val="24"/>
          <w:szCs w:val="24"/>
        </w:rPr>
        <w:lastRenderedPageBreak/>
        <w:t xml:space="preserve">Table 1. Population characteristics </w:t>
      </w:r>
    </w:p>
    <w:p w14:paraId="1A151EF3" w14:textId="77777777" w:rsidR="008F1400" w:rsidRDefault="008F1400" w:rsidP="00E4197B">
      <w:pPr>
        <w:wordWrap/>
        <w:adjustRightInd w:val="0"/>
        <w:snapToGrid w:val="0"/>
        <w:spacing w:after="0" w:line="240" w:lineRule="auto"/>
        <w:jc w:val="left"/>
        <w:rPr>
          <w:rFonts w:ascii="Arial" w:hAnsi="Arial" w:cs="Arial"/>
          <w:b/>
          <w:sz w:val="24"/>
          <w:szCs w:val="24"/>
        </w:rPr>
      </w:pPr>
    </w:p>
    <w:tbl>
      <w:tblPr>
        <w:tblStyle w:val="TableGrid"/>
        <w:tblW w:w="9376" w:type="dxa"/>
        <w:tblLayout w:type="fixed"/>
        <w:tblCellMar>
          <w:top w:w="28" w:type="dxa"/>
          <w:left w:w="28" w:type="dxa"/>
          <w:bottom w:w="28" w:type="dxa"/>
          <w:right w:w="28" w:type="dxa"/>
        </w:tblCellMar>
        <w:tblLook w:val="04A0" w:firstRow="1" w:lastRow="0" w:firstColumn="1" w:lastColumn="0" w:noHBand="0" w:noVBand="1"/>
      </w:tblPr>
      <w:tblGrid>
        <w:gridCol w:w="4540"/>
        <w:gridCol w:w="708"/>
        <w:gridCol w:w="995"/>
        <w:gridCol w:w="709"/>
        <w:gridCol w:w="854"/>
        <w:gridCol w:w="708"/>
        <w:gridCol w:w="851"/>
        <w:gridCol w:w="11"/>
      </w:tblGrid>
      <w:tr w:rsidR="008F1400" w:rsidRPr="00A92A49" w14:paraId="3FEEAC1D" w14:textId="77777777" w:rsidTr="00784F52">
        <w:trPr>
          <w:trHeight w:val="412"/>
        </w:trPr>
        <w:tc>
          <w:tcPr>
            <w:tcW w:w="4540" w:type="dxa"/>
            <w:vMerge w:val="restart"/>
            <w:vAlign w:val="center"/>
          </w:tcPr>
          <w:p w14:paraId="1D2B9A9E" w14:textId="77777777" w:rsidR="008F1400" w:rsidRPr="00A92A49" w:rsidRDefault="008F1400" w:rsidP="00784F52">
            <w:pPr>
              <w:wordWrap/>
              <w:adjustRightInd w:val="0"/>
              <w:snapToGrid w:val="0"/>
              <w:ind w:firstLineChars="73" w:firstLine="161"/>
              <w:jc w:val="center"/>
              <w:rPr>
                <w:rFonts w:ascii="Arial" w:hAnsi="Arial" w:cs="Arial"/>
                <w:sz w:val="22"/>
              </w:rPr>
            </w:pPr>
            <w:bookmarkStart w:id="4" w:name="_Hlk14547682"/>
            <w:r w:rsidRPr="00A92A49">
              <w:rPr>
                <w:rFonts w:ascii="Arial" w:hAnsi="Arial" w:cs="Arial"/>
                <w:sz w:val="22"/>
              </w:rPr>
              <w:t>Characteristics</w:t>
            </w:r>
          </w:p>
        </w:tc>
        <w:tc>
          <w:tcPr>
            <w:tcW w:w="1703" w:type="dxa"/>
            <w:gridSpan w:val="2"/>
            <w:tcBorders>
              <w:bottom w:val="single" w:sz="4" w:space="0" w:color="auto"/>
            </w:tcBorders>
            <w:vAlign w:val="center"/>
          </w:tcPr>
          <w:p w14:paraId="2CD758CC" w14:textId="77777777" w:rsidR="008F1400" w:rsidRPr="00A92A49" w:rsidRDefault="008F1400" w:rsidP="00784F52">
            <w:pPr>
              <w:wordWrap/>
              <w:adjustRightInd w:val="0"/>
              <w:snapToGrid w:val="0"/>
              <w:jc w:val="center"/>
              <w:rPr>
                <w:rFonts w:ascii="Arial" w:hAnsi="Arial" w:cs="Arial"/>
                <w:sz w:val="22"/>
              </w:rPr>
            </w:pPr>
            <w:r w:rsidRPr="00A92A49">
              <w:rPr>
                <w:rFonts w:ascii="Arial" w:hAnsi="Arial" w:cs="Arial"/>
                <w:sz w:val="22"/>
              </w:rPr>
              <w:t>Primary population</w:t>
            </w:r>
          </w:p>
        </w:tc>
        <w:tc>
          <w:tcPr>
            <w:tcW w:w="3133" w:type="dxa"/>
            <w:gridSpan w:val="5"/>
            <w:tcBorders>
              <w:bottom w:val="single" w:sz="4" w:space="0" w:color="auto"/>
            </w:tcBorders>
            <w:vAlign w:val="center"/>
          </w:tcPr>
          <w:p w14:paraId="5C7642D4" w14:textId="77777777" w:rsidR="008F1400" w:rsidRPr="00A92A49" w:rsidRDefault="008F1400" w:rsidP="00784F52">
            <w:pPr>
              <w:wordWrap/>
              <w:adjustRightInd w:val="0"/>
              <w:snapToGrid w:val="0"/>
              <w:jc w:val="center"/>
              <w:rPr>
                <w:rFonts w:ascii="Arial" w:hAnsi="Arial" w:cs="Arial"/>
                <w:sz w:val="22"/>
              </w:rPr>
            </w:pPr>
            <w:r w:rsidRPr="00A92A49">
              <w:rPr>
                <w:rFonts w:ascii="Arial" w:hAnsi="Arial" w:cs="Arial"/>
                <w:sz w:val="22"/>
              </w:rPr>
              <w:t>Comparison population</w:t>
            </w:r>
          </w:p>
        </w:tc>
      </w:tr>
      <w:tr w:rsidR="008F1400" w:rsidRPr="00A92A49" w14:paraId="43EDCD54" w14:textId="77777777" w:rsidTr="00784F52">
        <w:trPr>
          <w:trHeight w:val="1116"/>
        </w:trPr>
        <w:tc>
          <w:tcPr>
            <w:tcW w:w="4540" w:type="dxa"/>
            <w:vMerge/>
            <w:vAlign w:val="center"/>
          </w:tcPr>
          <w:p w14:paraId="424D99FE" w14:textId="77777777" w:rsidR="008F1400" w:rsidRPr="00A92A49" w:rsidRDefault="008F1400" w:rsidP="00784F52">
            <w:pPr>
              <w:wordWrap/>
              <w:adjustRightInd w:val="0"/>
              <w:snapToGrid w:val="0"/>
              <w:ind w:firstLineChars="73" w:firstLine="161"/>
              <w:jc w:val="center"/>
              <w:rPr>
                <w:rFonts w:ascii="Arial" w:hAnsi="Arial" w:cs="Arial"/>
                <w:sz w:val="22"/>
              </w:rPr>
            </w:pPr>
          </w:p>
        </w:tc>
        <w:tc>
          <w:tcPr>
            <w:tcW w:w="1703" w:type="dxa"/>
            <w:gridSpan w:val="2"/>
            <w:tcBorders>
              <w:top w:val="single" w:sz="4" w:space="0" w:color="auto"/>
              <w:bottom w:val="nil"/>
            </w:tcBorders>
            <w:vAlign w:val="center"/>
          </w:tcPr>
          <w:p w14:paraId="36198DB9" w14:textId="77777777" w:rsidR="008F1400" w:rsidRPr="00A92A49" w:rsidRDefault="008F1400" w:rsidP="00784F52">
            <w:pPr>
              <w:wordWrap/>
              <w:adjustRightInd w:val="0"/>
              <w:snapToGrid w:val="0"/>
              <w:jc w:val="center"/>
              <w:rPr>
                <w:rFonts w:ascii="Arial" w:hAnsi="Arial" w:cs="Arial"/>
                <w:sz w:val="22"/>
              </w:rPr>
            </w:pPr>
            <w:r w:rsidRPr="00A92A49">
              <w:rPr>
                <w:rFonts w:ascii="Arial" w:hAnsi="Arial" w:cs="Arial"/>
                <w:sz w:val="22"/>
              </w:rPr>
              <w:t>Inpatients being treated for TB</w:t>
            </w:r>
          </w:p>
        </w:tc>
        <w:tc>
          <w:tcPr>
            <w:tcW w:w="1563" w:type="dxa"/>
            <w:gridSpan w:val="2"/>
            <w:tcBorders>
              <w:top w:val="single" w:sz="4" w:space="0" w:color="auto"/>
              <w:bottom w:val="nil"/>
            </w:tcBorders>
            <w:vAlign w:val="center"/>
          </w:tcPr>
          <w:p w14:paraId="0D5ED3FE" w14:textId="77777777" w:rsidR="008F1400" w:rsidRPr="00A92A49" w:rsidRDefault="008F1400" w:rsidP="00784F52">
            <w:pPr>
              <w:wordWrap/>
              <w:adjustRightInd w:val="0"/>
              <w:snapToGrid w:val="0"/>
              <w:jc w:val="center"/>
              <w:rPr>
                <w:rFonts w:ascii="Arial" w:hAnsi="Arial" w:cs="Arial"/>
                <w:sz w:val="22"/>
              </w:rPr>
            </w:pPr>
            <w:r w:rsidRPr="00A92A49">
              <w:rPr>
                <w:rFonts w:ascii="Arial" w:hAnsi="Arial" w:cs="Arial"/>
                <w:sz w:val="22"/>
              </w:rPr>
              <w:t>Outpatients being treated for TB</w:t>
            </w:r>
          </w:p>
        </w:tc>
        <w:tc>
          <w:tcPr>
            <w:tcW w:w="1569" w:type="dxa"/>
            <w:gridSpan w:val="3"/>
            <w:tcBorders>
              <w:top w:val="single" w:sz="4" w:space="0" w:color="auto"/>
              <w:bottom w:val="nil"/>
            </w:tcBorders>
            <w:vAlign w:val="center"/>
          </w:tcPr>
          <w:p w14:paraId="09F76C54" w14:textId="77777777" w:rsidR="008F1400" w:rsidRPr="00A92A49" w:rsidRDefault="008F1400" w:rsidP="00784F52">
            <w:pPr>
              <w:wordWrap/>
              <w:adjustRightInd w:val="0"/>
              <w:snapToGrid w:val="0"/>
              <w:jc w:val="center"/>
              <w:rPr>
                <w:rFonts w:ascii="Arial" w:hAnsi="Arial" w:cs="Arial"/>
                <w:sz w:val="22"/>
              </w:rPr>
            </w:pPr>
            <w:r w:rsidRPr="00A92A49">
              <w:rPr>
                <w:rFonts w:ascii="Arial" w:hAnsi="Arial" w:cs="Arial"/>
                <w:sz w:val="22"/>
              </w:rPr>
              <w:t>Outpatients receiving new HIV</w:t>
            </w:r>
          </w:p>
          <w:p w14:paraId="740376B4" w14:textId="77777777" w:rsidR="008F1400" w:rsidRPr="00A92A49" w:rsidRDefault="008F1400" w:rsidP="00784F52">
            <w:pPr>
              <w:wordWrap/>
              <w:adjustRightInd w:val="0"/>
              <w:snapToGrid w:val="0"/>
              <w:jc w:val="center"/>
              <w:rPr>
                <w:rFonts w:ascii="Arial" w:hAnsi="Arial" w:cs="Arial"/>
                <w:sz w:val="22"/>
              </w:rPr>
            </w:pPr>
            <w:r w:rsidRPr="00A92A49">
              <w:rPr>
                <w:rFonts w:ascii="Arial" w:hAnsi="Arial" w:cs="Arial"/>
                <w:sz w:val="22"/>
              </w:rPr>
              <w:t>diagnoses</w:t>
            </w:r>
          </w:p>
        </w:tc>
      </w:tr>
      <w:tr w:rsidR="008F1400" w:rsidRPr="00A92A49" w14:paraId="5AB80D47" w14:textId="77777777" w:rsidTr="00784F52">
        <w:trPr>
          <w:trHeight w:val="42"/>
        </w:trPr>
        <w:tc>
          <w:tcPr>
            <w:tcW w:w="4540" w:type="dxa"/>
            <w:vMerge/>
          </w:tcPr>
          <w:p w14:paraId="14EAE5C3" w14:textId="77777777" w:rsidR="008F1400" w:rsidRPr="00A92A49" w:rsidRDefault="008F1400" w:rsidP="00784F52">
            <w:pPr>
              <w:wordWrap/>
              <w:adjustRightInd w:val="0"/>
              <w:snapToGrid w:val="0"/>
              <w:ind w:firstLineChars="73" w:firstLine="161"/>
              <w:jc w:val="left"/>
              <w:rPr>
                <w:rFonts w:ascii="Arial" w:hAnsi="Arial" w:cs="Arial"/>
                <w:sz w:val="22"/>
              </w:rPr>
            </w:pPr>
          </w:p>
        </w:tc>
        <w:tc>
          <w:tcPr>
            <w:tcW w:w="1703" w:type="dxa"/>
            <w:gridSpan w:val="2"/>
            <w:tcBorders>
              <w:top w:val="nil"/>
            </w:tcBorders>
            <w:vAlign w:val="center"/>
          </w:tcPr>
          <w:p w14:paraId="127D1FF1" w14:textId="77777777" w:rsidR="008F1400" w:rsidRPr="00A92A49" w:rsidRDefault="008F1400" w:rsidP="00784F52">
            <w:pPr>
              <w:wordWrap/>
              <w:adjustRightInd w:val="0"/>
              <w:snapToGrid w:val="0"/>
              <w:jc w:val="center"/>
              <w:rPr>
                <w:rFonts w:ascii="Arial" w:hAnsi="Arial" w:cs="Arial"/>
                <w:sz w:val="22"/>
              </w:rPr>
            </w:pPr>
            <w:r w:rsidRPr="00A92A49">
              <w:rPr>
                <w:rFonts w:ascii="Arial" w:hAnsi="Arial" w:cs="Arial"/>
                <w:sz w:val="22"/>
              </w:rPr>
              <w:t>(N=197)</w:t>
            </w:r>
          </w:p>
        </w:tc>
        <w:tc>
          <w:tcPr>
            <w:tcW w:w="1563" w:type="dxa"/>
            <w:gridSpan w:val="2"/>
            <w:tcBorders>
              <w:top w:val="nil"/>
            </w:tcBorders>
            <w:vAlign w:val="center"/>
          </w:tcPr>
          <w:p w14:paraId="653F1992" w14:textId="77777777" w:rsidR="008F1400" w:rsidRPr="00A92A49" w:rsidRDefault="008F1400" w:rsidP="00784F52">
            <w:pPr>
              <w:wordWrap/>
              <w:adjustRightInd w:val="0"/>
              <w:snapToGrid w:val="0"/>
              <w:jc w:val="center"/>
              <w:rPr>
                <w:rFonts w:ascii="Arial" w:hAnsi="Arial" w:cs="Arial"/>
                <w:sz w:val="22"/>
              </w:rPr>
            </w:pPr>
            <w:r w:rsidRPr="00A92A49">
              <w:rPr>
                <w:rFonts w:ascii="Arial" w:hAnsi="Arial" w:cs="Arial"/>
                <w:sz w:val="22"/>
              </w:rPr>
              <w:t>(N=156)</w:t>
            </w:r>
          </w:p>
        </w:tc>
        <w:tc>
          <w:tcPr>
            <w:tcW w:w="1569" w:type="dxa"/>
            <w:gridSpan w:val="3"/>
            <w:tcBorders>
              <w:top w:val="nil"/>
            </w:tcBorders>
            <w:vAlign w:val="center"/>
          </w:tcPr>
          <w:p w14:paraId="40C4D8A5" w14:textId="77777777" w:rsidR="008F1400" w:rsidRPr="00A92A49" w:rsidRDefault="008F1400" w:rsidP="00784F52">
            <w:pPr>
              <w:wordWrap/>
              <w:adjustRightInd w:val="0"/>
              <w:snapToGrid w:val="0"/>
              <w:jc w:val="center"/>
              <w:rPr>
                <w:rFonts w:ascii="Arial" w:hAnsi="Arial" w:cs="Arial"/>
                <w:sz w:val="22"/>
              </w:rPr>
            </w:pPr>
            <w:r w:rsidRPr="00A92A49">
              <w:rPr>
                <w:rFonts w:ascii="Arial" w:hAnsi="Arial" w:cs="Arial"/>
                <w:sz w:val="22"/>
              </w:rPr>
              <w:t>(N=1,530)</w:t>
            </w:r>
          </w:p>
        </w:tc>
      </w:tr>
      <w:tr w:rsidR="008F1400" w:rsidRPr="00A92A49" w14:paraId="5C0538BB" w14:textId="77777777" w:rsidTr="00784F52">
        <w:trPr>
          <w:gridAfter w:val="1"/>
          <w:wAfter w:w="11" w:type="dxa"/>
          <w:cantSplit/>
          <w:trHeight w:val="50"/>
        </w:trPr>
        <w:tc>
          <w:tcPr>
            <w:tcW w:w="4540" w:type="dxa"/>
            <w:tcBorders>
              <w:bottom w:val="single" w:sz="4" w:space="0" w:color="auto"/>
            </w:tcBorders>
          </w:tcPr>
          <w:p w14:paraId="61E246BD" w14:textId="77777777" w:rsidR="008F1400" w:rsidRDefault="008F1400" w:rsidP="00784F52">
            <w:pPr>
              <w:wordWrap/>
              <w:adjustRightInd w:val="0"/>
              <w:snapToGrid w:val="0"/>
              <w:jc w:val="left"/>
              <w:rPr>
                <w:rFonts w:ascii="Arial" w:hAnsi="Arial" w:cs="Arial"/>
                <w:sz w:val="22"/>
              </w:rPr>
            </w:pPr>
            <w:r w:rsidRPr="00A92A49">
              <w:rPr>
                <w:rFonts w:ascii="Arial" w:hAnsi="Arial" w:cs="Arial"/>
                <w:sz w:val="22"/>
              </w:rPr>
              <w:t>Sex</w:t>
            </w:r>
          </w:p>
          <w:p w14:paraId="40C0BAB8" w14:textId="77777777" w:rsidR="008F1400" w:rsidRPr="00A92A49" w:rsidRDefault="008F1400" w:rsidP="00784F52">
            <w:pPr>
              <w:wordWrap/>
              <w:adjustRightInd w:val="0"/>
              <w:snapToGrid w:val="0"/>
              <w:ind w:firstLineChars="100" w:firstLine="220"/>
              <w:jc w:val="left"/>
              <w:rPr>
                <w:rFonts w:ascii="Arial" w:hAnsi="Arial" w:cs="Arial"/>
                <w:sz w:val="22"/>
              </w:rPr>
            </w:pPr>
            <w:r w:rsidRPr="00A92A49">
              <w:rPr>
                <w:rFonts w:ascii="Arial" w:hAnsi="Arial" w:cs="Arial"/>
                <w:sz w:val="22"/>
              </w:rPr>
              <w:t>Male</w:t>
            </w:r>
          </w:p>
        </w:tc>
        <w:tc>
          <w:tcPr>
            <w:tcW w:w="708" w:type="dxa"/>
            <w:tcBorders>
              <w:bottom w:val="single" w:sz="4" w:space="0" w:color="auto"/>
              <w:right w:val="nil"/>
            </w:tcBorders>
            <w:vAlign w:val="bottom"/>
          </w:tcPr>
          <w:p w14:paraId="3CC7FA90"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93</w:t>
            </w:r>
          </w:p>
        </w:tc>
        <w:tc>
          <w:tcPr>
            <w:tcW w:w="995" w:type="dxa"/>
            <w:tcBorders>
              <w:left w:val="nil"/>
              <w:bottom w:val="single" w:sz="4" w:space="0" w:color="auto"/>
            </w:tcBorders>
            <w:vAlign w:val="bottom"/>
          </w:tcPr>
          <w:p w14:paraId="5EE4385B"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hAnsi="Arial" w:cs="Arial"/>
                <w:sz w:val="22"/>
              </w:rPr>
              <w:t>(47%)</w:t>
            </w:r>
          </w:p>
        </w:tc>
        <w:tc>
          <w:tcPr>
            <w:tcW w:w="709" w:type="dxa"/>
            <w:tcBorders>
              <w:bottom w:val="single" w:sz="4" w:space="0" w:color="auto"/>
              <w:right w:val="nil"/>
            </w:tcBorders>
            <w:vAlign w:val="bottom"/>
          </w:tcPr>
          <w:p w14:paraId="7452F749"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82</w:t>
            </w:r>
          </w:p>
        </w:tc>
        <w:tc>
          <w:tcPr>
            <w:tcW w:w="854" w:type="dxa"/>
            <w:tcBorders>
              <w:left w:val="nil"/>
              <w:bottom w:val="single" w:sz="4" w:space="0" w:color="auto"/>
            </w:tcBorders>
            <w:vAlign w:val="bottom"/>
          </w:tcPr>
          <w:p w14:paraId="2DE5B1DE"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hAnsi="Arial" w:cs="Arial"/>
                <w:sz w:val="22"/>
              </w:rPr>
              <w:t>(53%)</w:t>
            </w:r>
          </w:p>
        </w:tc>
        <w:tc>
          <w:tcPr>
            <w:tcW w:w="708" w:type="dxa"/>
            <w:tcBorders>
              <w:left w:val="nil"/>
              <w:bottom w:val="single" w:sz="4" w:space="0" w:color="auto"/>
              <w:right w:val="nil"/>
            </w:tcBorders>
            <w:vAlign w:val="bottom"/>
          </w:tcPr>
          <w:p w14:paraId="5FE55F59"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615</w:t>
            </w:r>
          </w:p>
        </w:tc>
        <w:tc>
          <w:tcPr>
            <w:tcW w:w="851" w:type="dxa"/>
            <w:tcBorders>
              <w:left w:val="nil"/>
              <w:bottom w:val="single" w:sz="4" w:space="0" w:color="auto"/>
            </w:tcBorders>
            <w:vAlign w:val="bottom"/>
          </w:tcPr>
          <w:p w14:paraId="7D87C108"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hAnsi="Arial" w:cs="Arial"/>
                <w:sz w:val="22"/>
              </w:rPr>
              <w:t>(40%)</w:t>
            </w:r>
          </w:p>
        </w:tc>
      </w:tr>
      <w:tr w:rsidR="008F1400" w:rsidRPr="00A92A49" w14:paraId="272E3968" w14:textId="77777777" w:rsidTr="00784F52">
        <w:trPr>
          <w:gridAfter w:val="1"/>
          <w:wAfter w:w="11" w:type="dxa"/>
          <w:trHeight w:val="277"/>
        </w:trPr>
        <w:tc>
          <w:tcPr>
            <w:tcW w:w="4540" w:type="dxa"/>
            <w:tcBorders>
              <w:bottom w:val="single" w:sz="4" w:space="0" w:color="auto"/>
            </w:tcBorders>
            <w:vAlign w:val="center"/>
          </w:tcPr>
          <w:p w14:paraId="4F5E3C45" w14:textId="77777777" w:rsidR="008F1400" w:rsidRPr="00A92A49" w:rsidRDefault="008F1400" w:rsidP="00784F52">
            <w:pPr>
              <w:wordWrap/>
              <w:adjustRightInd w:val="0"/>
              <w:snapToGrid w:val="0"/>
              <w:rPr>
                <w:rFonts w:ascii="Arial" w:hAnsi="Arial" w:cs="Arial"/>
                <w:sz w:val="22"/>
              </w:rPr>
            </w:pPr>
            <w:r w:rsidRPr="00A92A49">
              <w:rPr>
                <w:rFonts w:ascii="Arial" w:hAnsi="Arial" w:cs="Arial"/>
                <w:sz w:val="22"/>
              </w:rPr>
              <w:t>Age (years)</w:t>
            </w:r>
          </w:p>
        </w:tc>
        <w:tc>
          <w:tcPr>
            <w:tcW w:w="708" w:type="dxa"/>
            <w:tcBorders>
              <w:bottom w:val="single" w:sz="4" w:space="0" w:color="auto"/>
              <w:right w:val="nil"/>
            </w:tcBorders>
            <w:vAlign w:val="center"/>
          </w:tcPr>
          <w:p w14:paraId="6D3AF0D7"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38</w:t>
            </w:r>
          </w:p>
        </w:tc>
        <w:tc>
          <w:tcPr>
            <w:tcW w:w="995" w:type="dxa"/>
            <w:tcBorders>
              <w:left w:val="nil"/>
              <w:bottom w:val="single" w:sz="4" w:space="0" w:color="auto"/>
            </w:tcBorders>
            <w:vAlign w:val="center"/>
          </w:tcPr>
          <w:p w14:paraId="093656C7"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hAnsi="Arial" w:cs="Arial"/>
                <w:sz w:val="22"/>
              </w:rPr>
              <w:t>(12)</w:t>
            </w:r>
          </w:p>
        </w:tc>
        <w:tc>
          <w:tcPr>
            <w:tcW w:w="709" w:type="dxa"/>
            <w:tcBorders>
              <w:bottom w:val="single" w:sz="4" w:space="0" w:color="auto"/>
              <w:right w:val="nil"/>
            </w:tcBorders>
            <w:vAlign w:val="center"/>
          </w:tcPr>
          <w:p w14:paraId="04ABCEB6"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37</w:t>
            </w:r>
          </w:p>
        </w:tc>
        <w:tc>
          <w:tcPr>
            <w:tcW w:w="854" w:type="dxa"/>
            <w:tcBorders>
              <w:left w:val="nil"/>
              <w:bottom w:val="single" w:sz="4" w:space="0" w:color="auto"/>
            </w:tcBorders>
            <w:vAlign w:val="center"/>
          </w:tcPr>
          <w:p w14:paraId="4E25DB5B"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hAnsi="Arial" w:cs="Arial"/>
                <w:sz w:val="22"/>
              </w:rPr>
              <w:t>(12)</w:t>
            </w:r>
          </w:p>
        </w:tc>
        <w:tc>
          <w:tcPr>
            <w:tcW w:w="708" w:type="dxa"/>
            <w:tcBorders>
              <w:left w:val="nil"/>
              <w:bottom w:val="single" w:sz="4" w:space="0" w:color="auto"/>
              <w:right w:val="nil"/>
            </w:tcBorders>
            <w:vAlign w:val="center"/>
          </w:tcPr>
          <w:p w14:paraId="1D5D1797"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35</w:t>
            </w:r>
          </w:p>
        </w:tc>
        <w:tc>
          <w:tcPr>
            <w:tcW w:w="851" w:type="dxa"/>
            <w:tcBorders>
              <w:left w:val="nil"/>
              <w:bottom w:val="single" w:sz="4" w:space="0" w:color="auto"/>
            </w:tcBorders>
            <w:vAlign w:val="center"/>
          </w:tcPr>
          <w:p w14:paraId="175EB40E"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eastAsia="Malgun Gothic" w:hAnsi="Arial" w:cs="Arial"/>
                <w:sz w:val="22"/>
              </w:rPr>
              <w:t>(11)</w:t>
            </w:r>
          </w:p>
        </w:tc>
      </w:tr>
      <w:tr w:rsidR="008F1400" w:rsidRPr="00A92A49" w14:paraId="5CA2A274" w14:textId="77777777" w:rsidTr="00784F52">
        <w:trPr>
          <w:gridAfter w:val="1"/>
          <w:wAfter w:w="11" w:type="dxa"/>
          <w:trHeight w:val="408"/>
        </w:trPr>
        <w:tc>
          <w:tcPr>
            <w:tcW w:w="4540" w:type="dxa"/>
            <w:tcBorders>
              <w:top w:val="single" w:sz="4" w:space="0" w:color="auto"/>
            </w:tcBorders>
            <w:vAlign w:val="center"/>
          </w:tcPr>
          <w:p w14:paraId="335D06BA" w14:textId="77777777" w:rsidR="008F1400" w:rsidRDefault="008F1400" w:rsidP="00784F52">
            <w:pPr>
              <w:wordWrap/>
              <w:adjustRightInd w:val="0"/>
              <w:snapToGrid w:val="0"/>
              <w:jc w:val="left"/>
              <w:rPr>
                <w:rFonts w:ascii="Arial" w:hAnsi="Arial" w:cs="Arial"/>
                <w:sz w:val="22"/>
              </w:rPr>
            </w:pPr>
            <w:r w:rsidRPr="00A92A49">
              <w:rPr>
                <w:rFonts w:ascii="Arial" w:hAnsi="Arial" w:cs="Arial"/>
                <w:sz w:val="22"/>
              </w:rPr>
              <w:t>Literate</w:t>
            </w:r>
            <w:r>
              <w:rPr>
                <w:rFonts w:ascii="Arial" w:hAnsi="Arial" w:cs="Arial"/>
                <w:sz w:val="22"/>
              </w:rPr>
              <w:t xml:space="preserve"> </w:t>
            </w:r>
          </w:p>
          <w:p w14:paraId="12D7CD0A" w14:textId="77777777" w:rsidR="008F1400" w:rsidRPr="00A92A49" w:rsidRDefault="008F1400" w:rsidP="00784F52">
            <w:pPr>
              <w:wordWrap/>
              <w:adjustRightInd w:val="0"/>
              <w:snapToGrid w:val="0"/>
              <w:ind w:firstLineChars="100" w:firstLine="220"/>
              <w:jc w:val="left"/>
              <w:rPr>
                <w:rFonts w:ascii="Arial" w:hAnsi="Arial" w:cs="Arial"/>
                <w:sz w:val="22"/>
              </w:rPr>
            </w:pPr>
            <w:r>
              <w:rPr>
                <w:rFonts w:ascii="Arial" w:hAnsi="Arial" w:cs="Arial"/>
                <w:sz w:val="22"/>
              </w:rPr>
              <w:t>Yes</w:t>
            </w:r>
          </w:p>
        </w:tc>
        <w:tc>
          <w:tcPr>
            <w:tcW w:w="708" w:type="dxa"/>
            <w:tcBorders>
              <w:top w:val="single" w:sz="4" w:space="0" w:color="auto"/>
              <w:right w:val="nil"/>
            </w:tcBorders>
            <w:vAlign w:val="bottom"/>
          </w:tcPr>
          <w:p w14:paraId="7BE1A656" w14:textId="77777777" w:rsidR="008F1400" w:rsidRPr="00A92A49" w:rsidRDefault="008F1400" w:rsidP="00784F52">
            <w:pPr>
              <w:widowControl/>
              <w:wordWrap/>
              <w:autoSpaceDE/>
              <w:autoSpaceDN/>
              <w:adjustRightInd w:val="0"/>
              <w:snapToGrid w:val="0"/>
              <w:jc w:val="right"/>
              <w:rPr>
                <w:rFonts w:ascii="Arial" w:eastAsia="Malgun Gothic" w:hAnsi="Arial" w:cs="Arial"/>
                <w:sz w:val="22"/>
              </w:rPr>
            </w:pPr>
            <w:r w:rsidRPr="00A92A49">
              <w:rPr>
                <w:rFonts w:ascii="Arial" w:hAnsi="Arial" w:cs="Arial"/>
                <w:sz w:val="22"/>
              </w:rPr>
              <w:t>138</w:t>
            </w:r>
          </w:p>
        </w:tc>
        <w:tc>
          <w:tcPr>
            <w:tcW w:w="995" w:type="dxa"/>
            <w:tcBorders>
              <w:top w:val="single" w:sz="4" w:space="0" w:color="auto"/>
              <w:left w:val="nil"/>
            </w:tcBorders>
            <w:vAlign w:val="bottom"/>
          </w:tcPr>
          <w:p w14:paraId="1AB729CE" w14:textId="77777777" w:rsidR="008F1400" w:rsidRPr="00A92A49" w:rsidRDefault="008F1400" w:rsidP="00784F52">
            <w:pPr>
              <w:widowControl/>
              <w:wordWrap/>
              <w:autoSpaceDE/>
              <w:autoSpaceDN/>
              <w:adjustRightInd w:val="0"/>
              <w:snapToGrid w:val="0"/>
              <w:rPr>
                <w:rFonts w:ascii="Arial" w:eastAsia="Malgun Gothic" w:hAnsi="Arial" w:cs="Arial"/>
                <w:sz w:val="22"/>
              </w:rPr>
            </w:pPr>
            <w:r w:rsidRPr="00A92A49">
              <w:rPr>
                <w:rFonts w:ascii="Arial" w:hAnsi="Arial" w:cs="Arial"/>
                <w:sz w:val="22"/>
              </w:rPr>
              <w:t>(72%)</w:t>
            </w:r>
          </w:p>
        </w:tc>
        <w:tc>
          <w:tcPr>
            <w:tcW w:w="709" w:type="dxa"/>
            <w:tcBorders>
              <w:top w:val="single" w:sz="4" w:space="0" w:color="auto"/>
              <w:right w:val="nil"/>
            </w:tcBorders>
            <w:vAlign w:val="bottom"/>
          </w:tcPr>
          <w:p w14:paraId="7FCB8159"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97</w:t>
            </w:r>
          </w:p>
        </w:tc>
        <w:tc>
          <w:tcPr>
            <w:tcW w:w="854" w:type="dxa"/>
            <w:tcBorders>
              <w:top w:val="single" w:sz="4" w:space="0" w:color="auto"/>
              <w:left w:val="nil"/>
            </w:tcBorders>
            <w:vAlign w:val="bottom"/>
          </w:tcPr>
          <w:p w14:paraId="3D2E3868"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hAnsi="Arial" w:cs="Arial"/>
                <w:sz w:val="22"/>
              </w:rPr>
              <w:t>(64%)</w:t>
            </w:r>
          </w:p>
        </w:tc>
        <w:tc>
          <w:tcPr>
            <w:tcW w:w="708" w:type="dxa"/>
            <w:tcBorders>
              <w:top w:val="single" w:sz="4" w:space="0" w:color="auto"/>
              <w:left w:val="nil"/>
              <w:right w:val="nil"/>
            </w:tcBorders>
            <w:vAlign w:val="bottom"/>
          </w:tcPr>
          <w:p w14:paraId="3136B809"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eastAsia="Malgun Gothic" w:hAnsi="Arial" w:cs="Arial"/>
                <w:sz w:val="22"/>
              </w:rPr>
              <w:t>960</w:t>
            </w:r>
          </w:p>
        </w:tc>
        <w:tc>
          <w:tcPr>
            <w:tcW w:w="851" w:type="dxa"/>
            <w:tcBorders>
              <w:top w:val="single" w:sz="4" w:space="0" w:color="auto"/>
              <w:left w:val="nil"/>
            </w:tcBorders>
            <w:vAlign w:val="bottom"/>
          </w:tcPr>
          <w:p w14:paraId="1B3F0B56"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eastAsia="Malgun Gothic" w:hAnsi="Arial" w:cs="Arial"/>
                <w:sz w:val="22"/>
              </w:rPr>
              <w:t>(63</w:t>
            </w:r>
            <w:r w:rsidRPr="00A92A49">
              <w:rPr>
                <w:rFonts w:ascii="Arial" w:hAnsi="Arial" w:cs="Arial"/>
                <w:sz w:val="22"/>
              </w:rPr>
              <w:t>%</w:t>
            </w:r>
            <w:r w:rsidRPr="00A92A49">
              <w:rPr>
                <w:rFonts w:ascii="Arial" w:eastAsia="Malgun Gothic" w:hAnsi="Arial" w:cs="Arial"/>
                <w:sz w:val="22"/>
              </w:rPr>
              <w:t>)</w:t>
            </w:r>
          </w:p>
        </w:tc>
      </w:tr>
      <w:tr w:rsidR="008F1400" w:rsidRPr="00A92A49" w14:paraId="6146C6EC" w14:textId="77777777" w:rsidTr="00784F52">
        <w:trPr>
          <w:gridAfter w:val="1"/>
          <w:wAfter w:w="11" w:type="dxa"/>
          <w:trHeight w:val="61"/>
        </w:trPr>
        <w:tc>
          <w:tcPr>
            <w:tcW w:w="4540" w:type="dxa"/>
            <w:tcBorders>
              <w:bottom w:val="nil"/>
            </w:tcBorders>
          </w:tcPr>
          <w:p w14:paraId="663F2F87" w14:textId="77777777" w:rsidR="008F1400" w:rsidRPr="00A92A49" w:rsidRDefault="008F1400" w:rsidP="00784F52">
            <w:pPr>
              <w:wordWrap/>
              <w:adjustRightInd w:val="0"/>
              <w:snapToGrid w:val="0"/>
              <w:jc w:val="left"/>
              <w:rPr>
                <w:rFonts w:ascii="Arial" w:hAnsi="Arial" w:cs="Arial"/>
                <w:sz w:val="22"/>
              </w:rPr>
            </w:pPr>
            <w:r w:rsidRPr="00A92A49">
              <w:rPr>
                <w:rFonts w:ascii="Arial" w:hAnsi="Arial" w:cs="Arial"/>
                <w:sz w:val="22"/>
              </w:rPr>
              <w:t xml:space="preserve">Educational level, head of household </w:t>
            </w:r>
          </w:p>
        </w:tc>
        <w:tc>
          <w:tcPr>
            <w:tcW w:w="708" w:type="dxa"/>
            <w:tcBorders>
              <w:bottom w:val="nil"/>
              <w:right w:val="nil"/>
            </w:tcBorders>
            <w:vAlign w:val="center"/>
          </w:tcPr>
          <w:p w14:paraId="210F43C2" w14:textId="77777777" w:rsidR="008F1400" w:rsidRPr="00A92A49" w:rsidRDefault="008F1400" w:rsidP="00784F52">
            <w:pPr>
              <w:widowControl/>
              <w:wordWrap/>
              <w:autoSpaceDE/>
              <w:autoSpaceDN/>
              <w:adjustRightInd w:val="0"/>
              <w:snapToGrid w:val="0"/>
              <w:jc w:val="right"/>
              <w:rPr>
                <w:rFonts w:ascii="Arial" w:eastAsia="Malgun Gothic" w:hAnsi="Arial" w:cs="Arial"/>
                <w:sz w:val="22"/>
              </w:rPr>
            </w:pPr>
          </w:p>
        </w:tc>
        <w:tc>
          <w:tcPr>
            <w:tcW w:w="995" w:type="dxa"/>
            <w:tcBorders>
              <w:left w:val="nil"/>
              <w:bottom w:val="nil"/>
            </w:tcBorders>
            <w:vAlign w:val="center"/>
          </w:tcPr>
          <w:p w14:paraId="61A72AAA" w14:textId="77777777" w:rsidR="008F1400" w:rsidRPr="00A92A49" w:rsidRDefault="008F1400" w:rsidP="00784F52">
            <w:pPr>
              <w:widowControl/>
              <w:wordWrap/>
              <w:autoSpaceDE/>
              <w:autoSpaceDN/>
              <w:adjustRightInd w:val="0"/>
              <w:snapToGrid w:val="0"/>
              <w:rPr>
                <w:rFonts w:ascii="Arial" w:eastAsia="Malgun Gothic" w:hAnsi="Arial" w:cs="Arial"/>
                <w:sz w:val="22"/>
              </w:rPr>
            </w:pPr>
          </w:p>
        </w:tc>
        <w:tc>
          <w:tcPr>
            <w:tcW w:w="709" w:type="dxa"/>
            <w:tcBorders>
              <w:bottom w:val="nil"/>
              <w:right w:val="nil"/>
            </w:tcBorders>
            <w:vAlign w:val="center"/>
          </w:tcPr>
          <w:p w14:paraId="651C96A5" w14:textId="77777777" w:rsidR="008F1400" w:rsidRPr="00A92A49" w:rsidRDefault="008F1400" w:rsidP="00784F52">
            <w:pPr>
              <w:widowControl/>
              <w:wordWrap/>
              <w:autoSpaceDE/>
              <w:autoSpaceDN/>
              <w:adjustRightInd w:val="0"/>
              <w:snapToGrid w:val="0"/>
              <w:jc w:val="right"/>
              <w:rPr>
                <w:rFonts w:ascii="Arial" w:hAnsi="Arial" w:cs="Arial"/>
                <w:sz w:val="22"/>
              </w:rPr>
            </w:pPr>
          </w:p>
        </w:tc>
        <w:tc>
          <w:tcPr>
            <w:tcW w:w="854" w:type="dxa"/>
            <w:tcBorders>
              <w:left w:val="nil"/>
              <w:bottom w:val="nil"/>
            </w:tcBorders>
            <w:vAlign w:val="center"/>
          </w:tcPr>
          <w:p w14:paraId="14CC1E72" w14:textId="77777777" w:rsidR="008F1400" w:rsidRPr="00A92A49" w:rsidRDefault="008F1400" w:rsidP="00784F52">
            <w:pPr>
              <w:widowControl/>
              <w:wordWrap/>
              <w:autoSpaceDE/>
              <w:autoSpaceDN/>
              <w:adjustRightInd w:val="0"/>
              <w:snapToGrid w:val="0"/>
              <w:rPr>
                <w:rFonts w:ascii="Arial" w:hAnsi="Arial" w:cs="Arial"/>
                <w:sz w:val="22"/>
              </w:rPr>
            </w:pPr>
          </w:p>
        </w:tc>
        <w:tc>
          <w:tcPr>
            <w:tcW w:w="708" w:type="dxa"/>
            <w:tcBorders>
              <w:left w:val="nil"/>
              <w:bottom w:val="nil"/>
              <w:right w:val="nil"/>
            </w:tcBorders>
            <w:vAlign w:val="center"/>
          </w:tcPr>
          <w:p w14:paraId="75B8C178" w14:textId="77777777" w:rsidR="008F1400" w:rsidRPr="00A92A49" w:rsidRDefault="008F1400" w:rsidP="00784F52">
            <w:pPr>
              <w:widowControl/>
              <w:wordWrap/>
              <w:autoSpaceDE/>
              <w:autoSpaceDN/>
              <w:adjustRightInd w:val="0"/>
              <w:snapToGrid w:val="0"/>
              <w:jc w:val="right"/>
              <w:rPr>
                <w:rFonts w:ascii="Arial" w:hAnsi="Arial" w:cs="Arial"/>
                <w:sz w:val="22"/>
              </w:rPr>
            </w:pPr>
          </w:p>
        </w:tc>
        <w:tc>
          <w:tcPr>
            <w:tcW w:w="851" w:type="dxa"/>
            <w:tcBorders>
              <w:left w:val="nil"/>
              <w:bottom w:val="nil"/>
            </w:tcBorders>
            <w:vAlign w:val="center"/>
          </w:tcPr>
          <w:p w14:paraId="4BE3126D" w14:textId="77777777" w:rsidR="008F1400" w:rsidRPr="00A92A49" w:rsidRDefault="008F1400" w:rsidP="00784F52">
            <w:pPr>
              <w:widowControl/>
              <w:wordWrap/>
              <w:autoSpaceDE/>
              <w:autoSpaceDN/>
              <w:adjustRightInd w:val="0"/>
              <w:snapToGrid w:val="0"/>
              <w:rPr>
                <w:rFonts w:ascii="Arial" w:hAnsi="Arial" w:cs="Arial"/>
                <w:sz w:val="22"/>
              </w:rPr>
            </w:pPr>
          </w:p>
        </w:tc>
      </w:tr>
      <w:tr w:rsidR="008F1400" w:rsidRPr="00A92A49" w14:paraId="323FA967" w14:textId="77777777" w:rsidTr="00784F52">
        <w:trPr>
          <w:gridAfter w:val="1"/>
          <w:wAfter w:w="11" w:type="dxa"/>
          <w:trHeight w:val="202"/>
        </w:trPr>
        <w:tc>
          <w:tcPr>
            <w:tcW w:w="4540" w:type="dxa"/>
            <w:tcBorders>
              <w:top w:val="nil"/>
              <w:bottom w:val="nil"/>
            </w:tcBorders>
            <w:vAlign w:val="center"/>
          </w:tcPr>
          <w:p w14:paraId="734A3814" w14:textId="77777777" w:rsidR="008F1400" w:rsidRPr="00A92A49" w:rsidRDefault="008F1400" w:rsidP="00784F52">
            <w:pPr>
              <w:wordWrap/>
              <w:adjustRightInd w:val="0"/>
              <w:snapToGrid w:val="0"/>
              <w:ind w:rightChars="65" w:right="130" w:firstLineChars="100" w:firstLine="220"/>
              <w:jc w:val="left"/>
              <w:rPr>
                <w:rFonts w:ascii="Arial" w:hAnsi="Arial" w:cs="Arial"/>
                <w:sz w:val="22"/>
              </w:rPr>
            </w:pPr>
            <w:r w:rsidRPr="00A92A49">
              <w:rPr>
                <w:rFonts w:ascii="Arial" w:hAnsi="Arial" w:cs="Arial"/>
                <w:sz w:val="22"/>
              </w:rPr>
              <w:t>None</w:t>
            </w:r>
          </w:p>
        </w:tc>
        <w:tc>
          <w:tcPr>
            <w:tcW w:w="708" w:type="dxa"/>
            <w:tcBorders>
              <w:top w:val="nil"/>
              <w:bottom w:val="nil"/>
              <w:right w:val="nil"/>
            </w:tcBorders>
            <w:vAlign w:val="center"/>
          </w:tcPr>
          <w:p w14:paraId="01564A23" w14:textId="77777777" w:rsidR="008F1400" w:rsidRPr="00A92A49" w:rsidRDefault="008F1400" w:rsidP="00784F52">
            <w:pPr>
              <w:widowControl/>
              <w:wordWrap/>
              <w:autoSpaceDE/>
              <w:autoSpaceDN/>
              <w:adjustRightInd w:val="0"/>
              <w:snapToGrid w:val="0"/>
              <w:jc w:val="right"/>
              <w:rPr>
                <w:rFonts w:ascii="Arial" w:eastAsia="Malgun Gothic" w:hAnsi="Arial" w:cs="Arial"/>
                <w:sz w:val="22"/>
              </w:rPr>
            </w:pPr>
            <w:r w:rsidRPr="00A92A49">
              <w:rPr>
                <w:rFonts w:ascii="Arial" w:hAnsi="Arial" w:cs="Arial"/>
                <w:sz w:val="22"/>
              </w:rPr>
              <w:t>85</w:t>
            </w:r>
          </w:p>
        </w:tc>
        <w:tc>
          <w:tcPr>
            <w:tcW w:w="995" w:type="dxa"/>
            <w:tcBorders>
              <w:top w:val="nil"/>
              <w:left w:val="nil"/>
              <w:bottom w:val="nil"/>
            </w:tcBorders>
            <w:vAlign w:val="center"/>
          </w:tcPr>
          <w:p w14:paraId="6666BF5C" w14:textId="77777777" w:rsidR="008F1400" w:rsidRPr="00A92A49" w:rsidRDefault="008F1400" w:rsidP="00784F52">
            <w:pPr>
              <w:widowControl/>
              <w:wordWrap/>
              <w:autoSpaceDE/>
              <w:autoSpaceDN/>
              <w:adjustRightInd w:val="0"/>
              <w:snapToGrid w:val="0"/>
              <w:rPr>
                <w:rFonts w:ascii="Arial" w:eastAsia="Malgun Gothic" w:hAnsi="Arial" w:cs="Arial"/>
                <w:sz w:val="22"/>
              </w:rPr>
            </w:pPr>
            <w:r w:rsidRPr="00A92A49">
              <w:rPr>
                <w:rFonts w:ascii="Arial" w:hAnsi="Arial" w:cs="Arial"/>
                <w:sz w:val="22"/>
              </w:rPr>
              <w:t>(43%)</w:t>
            </w:r>
          </w:p>
        </w:tc>
        <w:tc>
          <w:tcPr>
            <w:tcW w:w="709" w:type="dxa"/>
            <w:tcBorders>
              <w:top w:val="nil"/>
              <w:bottom w:val="nil"/>
              <w:right w:val="nil"/>
            </w:tcBorders>
            <w:vAlign w:val="center"/>
          </w:tcPr>
          <w:p w14:paraId="0EC8116E"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61</w:t>
            </w:r>
          </w:p>
        </w:tc>
        <w:tc>
          <w:tcPr>
            <w:tcW w:w="854" w:type="dxa"/>
            <w:tcBorders>
              <w:top w:val="nil"/>
              <w:left w:val="nil"/>
              <w:bottom w:val="nil"/>
            </w:tcBorders>
            <w:vAlign w:val="center"/>
          </w:tcPr>
          <w:p w14:paraId="2C516235"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hAnsi="Arial" w:cs="Arial"/>
                <w:sz w:val="22"/>
              </w:rPr>
              <w:t>(39%)</w:t>
            </w:r>
          </w:p>
        </w:tc>
        <w:tc>
          <w:tcPr>
            <w:tcW w:w="708" w:type="dxa"/>
            <w:tcBorders>
              <w:top w:val="nil"/>
              <w:left w:val="nil"/>
              <w:bottom w:val="nil"/>
              <w:right w:val="nil"/>
            </w:tcBorders>
            <w:vAlign w:val="center"/>
          </w:tcPr>
          <w:p w14:paraId="49315C67"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eastAsia="Malgun Gothic" w:hAnsi="Arial" w:cs="Arial"/>
                <w:sz w:val="22"/>
              </w:rPr>
              <w:t>617</w:t>
            </w:r>
          </w:p>
        </w:tc>
        <w:tc>
          <w:tcPr>
            <w:tcW w:w="851" w:type="dxa"/>
            <w:tcBorders>
              <w:top w:val="nil"/>
              <w:left w:val="nil"/>
              <w:bottom w:val="nil"/>
            </w:tcBorders>
            <w:vAlign w:val="center"/>
          </w:tcPr>
          <w:p w14:paraId="05B2AA65"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eastAsia="Malgun Gothic" w:hAnsi="Arial" w:cs="Arial"/>
                <w:sz w:val="22"/>
              </w:rPr>
              <w:t>(41</w:t>
            </w:r>
            <w:r w:rsidRPr="00A92A49">
              <w:rPr>
                <w:rFonts w:ascii="Arial" w:hAnsi="Arial" w:cs="Arial"/>
                <w:sz w:val="22"/>
              </w:rPr>
              <w:t>%</w:t>
            </w:r>
            <w:r w:rsidRPr="00A92A49">
              <w:rPr>
                <w:rFonts w:ascii="Arial" w:eastAsia="Malgun Gothic" w:hAnsi="Arial" w:cs="Arial"/>
                <w:sz w:val="22"/>
              </w:rPr>
              <w:t>)</w:t>
            </w:r>
          </w:p>
        </w:tc>
      </w:tr>
      <w:tr w:rsidR="008F1400" w:rsidRPr="00A92A49" w14:paraId="2FDA14D7" w14:textId="77777777" w:rsidTr="00784F52">
        <w:trPr>
          <w:gridAfter w:val="1"/>
          <w:wAfter w:w="11" w:type="dxa"/>
          <w:trHeight w:val="202"/>
        </w:trPr>
        <w:tc>
          <w:tcPr>
            <w:tcW w:w="4540" w:type="dxa"/>
            <w:tcBorders>
              <w:top w:val="nil"/>
              <w:bottom w:val="nil"/>
            </w:tcBorders>
            <w:vAlign w:val="center"/>
          </w:tcPr>
          <w:p w14:paraId="4F529D8C" w14:textId="77777777" w:rsidR="008F1400" w:rsidRPr="00A92A49" w:rsidRDefault="008F1400" w:rsidP="00784F52">
            <w:pPr>
              <w:widowControl/>
              <w:wordWrap/>
              <w:autoSpaceDE/>
              <w:autoSpaceDN/>
              <w:adjustRightInd w:val="0"/>
              <w:snapToGrid w:val="0"/>
              <w:ind w:rightChars="65" w:right="130" w:firstLineChars="100" w:firstLine="220"/>
              <w:jc w:val="left"/>
              <w:rPr>
                <w:rFonts w:ascii="Arial" w:hAnsi="Arial" w:cs="Arial"/>
                <w:sz w:val="22"/>
              </w:rPr>
            </w:pPr>
            <w:r w:rsidRPr="00A92A49">
              <w:rPr>
                <w:rFonts w:ascii="Arial" w:hAnsi="Arial" w:cs="Arial"/>
                <w:sz w:val="22"/>
              </w:rPr>
              <w:t>Primary</w:t>
            </w:r>
          </w:p>
        </w:tc>
        <w:tc>
          <w:tcPr>
            <w:tcW w:w="708" w:type="dxa"/>
            <w:tcBorders>
              <w:top w:val="nil"/>
              <w:bottom w:val="nil"/>
              <w:right w:val="nil"/>
            </w:tcBorders>
            <w:vAlign w:val="center"/>
          </w:tcPr>
          <w:p w14:paraId="2F72E87D" w14:textId="77777777" w:rsidR="008F1400" w:rsidRPr="00A92A49" w:rsidRDefault="008F1400" w:rsidP="00784F52">
            <w:pPr>
              <w:widowControl/>
              <w:wordWrap/>
              <w:autoSpaceDE/>
              <w:autoSpaceDN/>
              <w:adjustRightInd w:val="0"/>
              <w:snapToGrid w:val="0"/>
              <w:jc w:val="right"/>
              <w:rPr>
                <w:rFonts w:ascii="Arial" w:eastAsia="Malgun Gothic" w:hAnsi="Arial" w:cs="Arial"/>
                <w:sz w:val="22"/>
              </w:rPr>
            </w:pPr>
            <w:r w:rsidRPr="00A92A49">
              <w:rPr>
                <w:rFonts w:ascii="Arial" w:hAnsi="Arial" w:cs="Arial"/>
                <w:sz w:val="22"/>
              </w:rPr>
              <w:t>82</w:t>
            </w:r>
          </w:p>
        </w:tc>
        <w:tc>
          <w:tcPr>
            <w:tcW w:w="995" w:type="dxa"/>
            <w:tcBorders>
              <w:top w:val="nil"/>
              <w:left w:val="nil"/>
              <w:bottom w:val="nil"/>
            </w:tcBorders>
            <w:vAlign w:val="center"/>
          </w:tcPr>
          <w:p w14:paraId="664DDB13" w14:textId="77777777" w:rsidR="008F1400" w:rsidRPr="00A92A49" w:rsidRDefault="008F1400" w:rsidP="00784F52">
            <w:pPr>
              <w:widowControl/>
              <w:wordWrap/>
              <w:autoSpaceDE/>
              <w:autoSpaceDN/>
              <w:adjustRightInd w:val="0"/>
              <w:snapToGrid w:val="0"/>
              <w:rPr>
                <w:rFonts w:ascii="Arial" w:eastAsia="Malgun Gothic" w:hAnsi="Arial" w:cs="Arial"/>
                <w:sz w:val="22"/>
              </w:rPr>
            </w:pPr>
            <w:r w:rsidRPr="00A92A49">
              <w:rPr>
                <w:rFonts w:ascii="Arial" w:hAnsi="Arial" w:cs="Arial"/>
                <w:sz w:val="22"/>
              </w:rPr>
              <w:t>(42%)</w:t>
            </w:r>
          </w:p>
        </w:tc>
        <w:tc>
          <w:tcPr>
            <w:tcW w:w="709" w:type="dxa"/>
            <w:tcBorders>
              <w:top w:val="nil"/>
              <w:bottom w:val="nil"/>
              <w:right w:val="nil"/>
            </w:tcBorders>
            <w:vAlign w:val="center"/>
          </w:tcPr>
          <w:p w14:paraId="53DA55AC"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79</w:t>
            </w:r>
          </w:p>
        </w:tc>
        <w:tc>
          <w:tcPr>
            <w:tcW w:w="854" w:type="dxa"/>
            <w:tcBorders>
              <w:top w:val="nil"/>
              <w:left w:val="nil"/>
              <w:bottom w:val="nil"/>
            </w:tcBorders>
            <w:vAlign w:val="center"/>
          </w:tcPr>
          <w:p w14:paraId="7A15854B"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hAnsi="Arial" w:cs="Arial"/>
                <w:sz w:val="22"/>
              </w:rPr>
              <w:t>(51%)</w:t>
            </w:r>
          </w:p>
        </w:tc>
        <w:tc>
          <w:tcPr>
            <w:tcW w:w="708" w:type="dxa"/>
            <w:tcBorders>
              <w:top w:val="nil"/>
              <w:left w:val="nil"/>
              <w:bottom w:val="nil"/>
              <w:right w:val="nil"/>
            </w:tcBorders>
            <w:vAlign w:val="center"/>
          </w:tcPr>
          <w:p w14:paraId="26A777F9"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eastAsia="Malgun Gothic" w:hAnsi="Arial" w:cs="Arial"/>
                <w:sz w:val="22"/>
              </w:rPr>
              <w:t>738</w:t>
            </w:r>
          </w:p>
        </w:tc>
        <w:tc>
          <w:tcPr>
            <w:tcW w:w="851" w:type="dxa"/>
            <w:tcBorders>
              <w:top w:val="nil"/>
              <w:left w:val="nil"/>
              <w:bottom w:val="nil"/>
            </w:tcBorders>
            <w:vAlign w:val="center"/>
          </w:tcPr>
          <w:p w14:paraId="01B24A53"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eastAsia="Malgun Gothic" w:hAnsi="Arial" w:cs="Arial"/>
                <w:sz w:val="22"/>
              </w:rPr>
              <w:t>(49</w:t>
            </w:r>
            <w:r w:rsidRPr="00A92A49">
              <w:rPr>
                <w:rFonts w:ascii="Arial" w:hAnsi="Arial" w:cs="Arial"/>
                <w:sz w:val="22"/>
              </w:rPr>
              <w:t>%</w:t>
            </w:r>
            <w:r w:rsidRPr="00A92A49">
              <w:rPr>
                <w:rFonts w:ascii="Arial" w:eastAsia="Malgun Gothic" w:hAnsi="Arial" w:cs="Arial"/>
                <w:sz w:val="22"/>
              </w:rPr>
              <w:t>)</w:t>
            </w:r>
          </w:p>
        </w:tc>
      </w:tr>
      <w:tr w:rsidR="008F1400" w:rsidRPr="00A92A49" w14:paraId="5A6DCF0E" w14:textId="77777777" w:rsidTr="00784F52">
        <w:trPr>
          <w:gridAfter w:val="1"/>
          <w:wAfter w:w="11" w:type="dxa"/>
          <w:trHeight w:val="202"/>
        </w:trPr>
        <w:tc>
          <w:tcPr>
            <w:tcW w:w="4540" w:type="dxa"/>
            <w:tcBorders>
              <w:top w:val="nil"/>
            </w:tcBorders>
            <w:vAlign w:val="center"/>
          </w:tcPr>
          <w:p w14:paraId="5C5E48E8" w14:textId="77777777" w:rsidR="008F1400" w:rsidRPr="00A92A49" w:rsidRDefault="008F1400" w:rsidP="00784F52">
            <w:pPr>
              <w:widowControl/>
              <w:wordWrap/>
              <w:autoSpaceDE/>
              <w:autoSpaceDN/>
              <w:adjustRightInd w:val="0"/>
              <w:snapToGrid w:val="0"/>
              <w:ind w:rightChars="65" w:right="130" w:firstLineChars="100" w:firstLine="220"/>
              <w:jc w:val="left"/>
              <w:rPr>
                <w:rFonts w:ascii="Arial" w:hAnsi="Arial" w:cs="Arial"/>
                <w:sz w:val="22"/>
              </w:rPr>
            </w:pPr>
            <w:r w:rsidRPr="00A92A49">
              <w:rPr>
                <w:rFonts w:ascii="Arial" w:hAnsi="Arial" w:cs="Arial"/>
                <w:sz w:val="22"/>
              </w:rPr>
              <w:t>Secondary+</w:t>
            </w:r>
          </w:p>
        </w:tc>
        <w:tc>
          <w:tcPr>
            <w:tcW w:w="708" w:type="dxa"/>
            <w:tcBorders>
              <w:top w:val="nil"/>
              <w:right w:val="nil"/>
            </w:tcBorders>
            <w:vAlign w:val="center"/>
          </w:tcPr>
          <w:p w14:paraId="281FE418" w14:textId="77777777" w:rsidR="008F1400" w:rsidRPr="00A92A49" w:rsidRDefault="008F1400" w:rsidP="00784F52">
            <w:pPr>
              <w:widowControl/>
              <w:wordWrap/>
              <w:autoSpaceDE/>
              <w:autoSpaceDN/>
              <w:adjustRightInd w:val="0"/>
              <w:snapToGrid w:val="0"/>
              <w:jc w:val="right"/>
              <w:rPr>
                <w:rFonts w:ascii="Arial" w:eastAsia="Malgun Gothic" w:hAnsi="Arial" w:cs="Arial"/>
                <w:sz w:val="22"/>
              </w:rPr>
            </w:pPr>
            <w:r w:rsidRPr="00A92A49">
              <w:rPr>
                <w:rFonts w:ascii="Arial" w:hAnsi="Arial" w:cs="Arial"/>
                <w:sz w:val="22"/>
              </w:rPr>
              <w:t>30</w:t>
            </w:r>
          </w:p>
        </w:tc>
        <w:tc>
          <w:tcPr>
            <w:tcW w:w="995" w:type="dxa"/>
            <w:tcBorders>
              <w:top w:val="nil"/>
              <w:left w:val="nil"/>
            </w:tcBorders>
            <w:vAlign w:val="center"/>
          </w:tcPr>
          <w:p w14:paraId="6A7E3133" w14:textId="77777777" w:rsidR="008F1400" w:rsidRPr="00A92A49" w:rsidRDefault="008F1400" w:rsidP="00784F52">
            <w:pPr>
              <w:widowControl/>
              <w:wordWrap/>
              <w:autoSpaceDE/>
              <w:autoSpaceDN/>
              <w:adjustRightInd w:val="0"/>
              <w:snapToGrid w:val="0"/>
              <w:rPr>
                <w:rFonts w:ascii="Arial" w:eastAsia="Malgun Gothic" w:hAnsi="Arial" w:cs="Arial"/>
                <w:sz w:val="22"/>
              </w:rPr>
            </w:pPr>
            <w:r w:rsidRPr="00A92A49">
              <w:rPr>
                <w:rFonts w:ascii="Arial" w:hAnsi="Arial" w:cs="Arial"/>
                <w:sz w:val="22"/>
              </w:rPr>
              <w:t>(15%)</w:t>
            </w:r>
          </w:p>
        </w:tc>
        <w:tc>
          <w:tcPr>
            <w:tcW w:w="709" w:type="dxa"/>
            <w:tcBorders>
              <w:top w:val="nil"/>
              <w:right w:val="nil"/>
            </w:tcBorders>
            <w:vAlign w:val="center"/>
          </w:tcPr>
          <w:p w14:paraId="0632727C"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16</w:t>
            </w:r>
          </w:p>
        </w:tc>
        <w:tc>
          <w:tcPr>
            <w:tcW w:w="854" w:type="dxa"/>
            <w:tcBorders>
              <w:top w:val="nil"/>
              <w:left w:val="nil"/>
            </w:tcBorders>
            <w:vAlign w:val="center"/>
          </w:tcPr>
          <w:p w14:paraId="585EA350"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hAnsi="Arial" w:cs="Arial"/>
                <w:sz w:val="22"/>
              </w:rPr>
              <w:t>(10%)</w:t>
            </w:r>
          </w:p>
        </w:tc>
        <w:tc>
          <w:tcPr>
            <w:tcW w:w="708" w:type="dxa"/>
            <w:tcBorders>
              <w:top w:val="nil"/>
              <w:left w:val="nil"/>
              <w:right w:val="nil"/>
            </w:tcBorders>
            <w:vAlign w:val="center"/>
          </w:tcPr>
          <w:p w14:paraId="41AC0A9B"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eastAsia="Malgun Gothic" w:hAnsi="Arial" w:cs="Arial"/>
                <w:sz w:val="22"/>
              </w:rPr>
              <w:t>148</w:t>
            </w:r>
          </w:p>
        </w:tc>
        <w:tc>
          <w:tcPr>
            <w:tcW w:w="851" w:type="dxa"/>
            <w:tcBorders>
              <w:top w:val="nil"/>
              <w:left w:val="nil"/>
            </w:tcBorders>
            <w:vAlign w:val="center"/>
          </w:tcPr>
          <w:p w14:paraId="001FAE49"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eastAsia="Malgun Gothic" w:hAnsi="Arial" w:cs="Arial"/>
                <w:sz w:val="22"/>
              </w:rPr>
              <w:t>(10</w:t>
            </w:r>
            <w:r w:rsidRPr="00A92A49">
              <w:rPr>
                <w:rFonts w:ascii="Arial" w:hAnsi="Arial" w:cs="Arial"/>
                <w:sz w:val="22"/>
              </w:rPr>
              <w:t>%</w:t>
            </w:r>
            <w:r w:rsidRPr="00A92A49">
              <w:rPr>
                <w:rFonts w:ascii="Arial" w:eastAsia="Malgun Gothic" w:hAnsi="Arial" w:cs="Arial"/>
                <w:sz w:val="22"/>
              </w:rPr>
              <w:t>)</w:t>
            </w:r>
          </w:p>
        </w:tc>
      </w:tr>
      <w:tr w:rsidR="008F1400" w:rsidRPr="00A92A49" w14:paraId="124C151F" w14:textId="77777777" w:rsidTr="00784F52">
        <w:trPr>
          <w:gridAfter w:val="1"/>
          <w:wAfter w:w="11" w:type="dxa"/>
          <w:trHeight w:val="61"/>
        </w:trPr>
        <w:tc>
          <w:tcPr>
            <w:tcW w:w="4540" w:type="dxa"/>
            <w:tcBorders>
              <w:bottom w:val="nil"/>
            </w:tcBorders>
          </w:tcPr>
          <w:p w14:paraId="41AD3031" w14:textId="77777777" w:rsidR="008F1400" w:rsidRPr="00A92A49" w:rsidRDefault="008F1400" w:rsidP="00784F52">
            <w:pPr>
              <w:wordWrap/>
              <w:adjustRightInd w:val="0"/>
              <w:snapToGrid w:val="0"/>
              <w:jc w:val="left"/>
              <w:rPr>
                <w:rFonts w:ascii="Arial" w:hAnsi="Arial" w:cs="Arial"/>
                <w:sz w:val="22"/>
              </w:rPr>
            </w:pPr>
            <w:r w:rsidRPr="00A92A49">
              <w:rPr>
                <w:rFonts w:ascii="Arial" w:hAnsi="Arial" w:cs="Arial"/>
                <w:sz w:val="22"/>
              </w:rPr>
              <w:t xml:space="preserve">Pre-illness occupation </w:t>
            </w:r>
          </w:p>
        </w:tc>
        <w:tc>
          <w:tcPr>
            <w:tcW w:w="708" w:type="dxa"/>
            <w:tcBorders>
              <w:bottom w:val="nil"/>
              <w:right w:val="nil"/>
            </w:tcBorders>
            <w:vAlign w:val="center"/>
          </w:tcPr>
          <w:p w14:paraId="2C1EA371" w14:textId="77777777" w:rsidR="008F1400" w:rsidRPr="00A92A49" w:rsidRDefault="008F1400" w:rsidP="00784F52">
            <w:pPr>
              <w:widowControl/>
              <w:wordWrap/>
              <w:autoSpaceDE/>
              <w:autoSpaceDN/>
              <w:adjustRightInd w:val="0"/>
              <w:snapToGrid w:val="0"/>
              <w:jc w:val="right"/>
              <w:rPr>
                <w:rFonts w:ascii="Arial" w:eastAsia="Malgun Gothic" w:hAnsi="Arial" w:cs="Arial"/>
                <w:sz w:val="22"/>
              </w:rPr>
            </w:pPr>
          </w:p>
        </w:tc>
        <w:tc>
          <w:tcPr>
            <w:tcW w:w="995" w:type="dxa"/>
            <w:tcBorders>
              <w:left w:val="nil"/>
              <w:bottom w:val="nil"/>
            </w:tcBorders>
            <w:vAlign w:val="center"/>
          </w:tcPr>
          <w:p w14:paraId="2E70DF26" w14:textId="77777777" w:rsidR="008F1400" w:rsidRPr="00A92A49" w:rsidRDefault="008F1400" w:rsidP="00784F52">
            <w:pPr>
              <w:widowControl/>
              <w:wordWrap/>
              <w:autoSpaceDE/>
              <w:autoSpaceDN/>
              <w:adjustRightInd w:val="0"/>
              <w:snapToGrid w:val="0"/>
              <w:rPr>
                <w:rFonts w:ascii="Arial" w:eastAsia="Malgun Gothic" w:hAnsi="Arial" w:cs="Arial"/>
                <w:sz w:val="22"/>
              </w:rPr>
            </w:pPr>
          </w:p>
        </w:tc>
        <w:tc>
          <w:tcPr>
            <w:tcW w:w="709" w:type="dxa"/>
            <w:tcBorders>
              <w:bottom w:val="nil"/>
              <w:right w:val="nil"/>
            </w:tcBorders>
            <w:vAlign w:val="center"/>
          </w:tcPr>
          <w:p w14:paraId="3B2D7804" w14:textId="77777777" w:rsidR="008F1400" w:rsidRPr="00A92A49" w:rsidRDefault="008F1400" w:rsidP="00784F52">
            <w:pPr>
              <w:widowControl/>
              <w:wordWrap/>
              <w:autoSpaceDE/>
              <w:autoSpaceDN/>
              <w:adjustRightInd w:val="0"/>
              <w:snapToGrid w:val="0"/>
              <w:ind w:rightChars="654" w:right="1308"/>
              <w:jc w:val="right"/>
              <w:rPr>
                <w:rFonts w:ascii="Arial" w:hAnsi="Arial" w:cs="Arial"/>
                <w:sz w:val="22"/>
              </w:rPr>
            </w:pPr>
          </w:p>
        </w:tc>
        <w:tc>
          <w:tcPr>
            <w:tcW w:w="854" w:type="dxa"/>
            <w:tcBorders>
              <w:left w:val="nil"/>
              <w:bottom w:val="nil"/>
            </w:tcBorders>
            <w:vAlign w:val="center"/>
          </w:tcPr>
          <w:p w14:paraId="5A6208AB" w14:textId="77777777" w:rsidR="008F1400" w:rsidRPr="00A92A49" w:rsidRDefault="008F1400" w:rsidP="00784F52">
            <w:pPr>
              <w:widowControl/>
              <w:wordWrap/>
              <w:autoSpaceDE/>
              <w:autoSpaceDN/>
              <w:adjustRightInd w:val="0"/>
              <w:snapToGrid w:val="0"/>
              <w:ind w:rightChars="654" w:right="1308"/>
              <w:rPr>
                <w:rFonts w:ascii="Arial" w:hAnsi="Arial" w:cs="Arial"/>
                <w:sz w:val="22"/>
              </w:rPr>
            </w:pPr>
          </w:p>
        </w:tc>
        <w:tc>
          <w:tcPr>
            <w:tcW w:w="708" w:type="dxa"/>
            <w:tcBorders>
              <w:left w:val="nil"/>
              <w:bottom w:val="nil"/>
              <w:right w:val="nil"/>
            </w:tcBorders>
            <w:vAlign w:val="center"/>
          </w:tcPr>
          <w:p w14:paraId="7DF37271" w14:textId="77777777" w:rsidR="008F1400" w:rsidRPr="00A92A49" w:rsidRDefault="008F1400" w:rsidP="00784F52">
            <w:pPr>
              <w:widowControl/>
              <w:wordWrap/>
              <w:autoSpaceDE/>
              <w:autoSpaceDN/>
              <w:adjustRightInd w:val="0"/>
              <w:snapToGrid w:val="0"/>
              <w:ind w:rightChars="654" w:right="1308"/>
              <w:jc w:val="right"/>
              <w:rPr>
                <w:rFonts w:ascii="Arial" w:hAnsi="Arial" w:cs="Arial"/>
                <w:sz w:val="22"/>
              </w:rPr>
            </w:pPr>
          </w:p>
        </w:tc>
        <w:tc>
          <w:tcPr>
            <w:tcW w:w="851" w:type="dxa"/>
            <w:tcBorders>
              <w:left w:val="nil"/>
              <w:bottom w:val="nil"/>
            </w:tcBorders>
            <w:vAlign w:val="center"/>
          </w:tcPr>
          <w:p w14:paraId="7F7A4F95" w14:textId="77777777" w:rsidR="008F1400" w:rsidRPr="00A92A49" w:rsidRDefault="008F1400" w:rsidP="00784F52">
            <w:pPr>
              <w:widowControl/>
              <w:wordWrap/>
              <w:autoSpaceDE/>
              <w:autoSpaceDN/>
              <w:adjustRightInd w:val="0"/>
              <w:snapToGrid w:val="0"/>
              <w:ind w:rightChars="654" w:right="1308"/>
              <w:rPr>
                <w:rFonts w:ascii="Arial" w:hAnsi="Arial" w:cs="Arial"/>
                <w:sz w:val="22"/>
              </w:rPr>
            </w:pPr>
          </w:p>
        </w:tc>
      </w:tr>
      <w:tr w:rsidR="008F1400" w:rsidRPr="00A92A49" w14:paraId="29B35A7F" w14:textId="77777777" w:rsidTr="00784F52">
        <w:trPr>
          <w:gridAfter w:val="1"/>
          <w:wAfter w:w="11" w:type="dxa"/>
          <w:trHeight w:val="226"/>
        </w:trPr>
        <w:tc>
          <w:tcPr>
            <w:tcW w:w="4540" w:type="dxa"/>
            <w:tcBorders>
              <w:top w:val="nil"/>
              <w:bottom w:val="nil"/>
            </w:tcBorders>
            <w:vAlign w:val="center"/>
          </w:tcPr>
          <w:p w14:paraId="0BD301D5" w14:textId="77777777" w:rsidR="008F1400" w:rsidRPr="00A92A49" w:rsidRDefault="008F1400" w:rsidP="00784F52">
            <w:pPr>
              <w:widowControl/>
              <w:wordWrap/>
              <w:autoSpaceDE/>
              <w:autoSpaceDN/>
              <w:adjustRightInd w:val="0"/>
              <w:snapToGrid w:val="0"/>
              <w:ind w:rightChars="65" w:right="130" w:firstLineChars="100" w:firstLine="220"/>
              <w:jc w:val="left"/>
              <w:rPr>
                <w:rFonts w:ascii="Arial" w:hAnsi="Arial" w:cs="Arial"/>
                <w:sz w:val="22"/>
              </w:rPr>
            </w:pPr>
            <w:r w:rsidRPr="00A92A49">
              <w:rPr>
                <w:rFonts w:ascii="Arial" w:hAnsi="Arial" w:cs="Arial"/>
                <w:sz w:val="22"/>
              </w:rPr>
              <w:t>Farmer</w:t>
            </w:r>
          </w:p>
        </w:tc>
        <w:tc>
          <w:tcPr>
            <w:tcW w:w="708" w:type="dxa"/>
            <w:tcBorders>
              <w:top w:val="nil"/>
              <w:bottom w:val="nil"/>
              <w:right w:val="nil"/>
            </w:tcBorders>
            <w:vAlign w:val="center"/>
          </w:tcPr>
          <w:p w14:paraId="38FA0B5E" w14:textId="77777777" w:rsidR="008F1400" w:rsidRPr="00A92A49" w:rsidRDefault="008F1400" w:rsidP="00784F52">
            <w:pPr>
              <w:widowControl/>
              <w:wordWrap/>
              <w:autoSpaceDE/>
              <w:autoSpaceDN/>
              <w:adjustRightInd w:val="0"/>
              <w:snapToGrid w:val="0"/>
              <w:jc w:val="right"/>
              <w:rPr>
                <w:rFonts w:ascii="Arial" w:eastAsia="Malgun Gothic" w:hAnsi="Arial" w:cs="Arial"/>
                <w:sz w:val="22"/>
              </w:rPr>
            </w:pPr>
            <w:r w:rsidRPr="00A92A49">
              <w:rPr>
                <w:rFonts w:ascii="Arial" w:hAnsi="Arial" w:cs="Arial"/>
                <w:sz w:val="22"/>
              </w:rPr>
              <w:t>53</w:t>
            </w:r>
          </w:p>
        </w:tc>
        <w:tc>
          <w:tcPr>
            <w:tcW w:w="995" w:type="dxa"/>
            <w:tcBorders>
              <w:top w:val="nil"/>
              <w:left w:val="nil"/>
              <w:bottom w:val="nil"/>
            </w:tcBorders>
            <w:vAlign w:val="center"/>
          </w:tcPr>
          <w:p w14:paraId="6B92D775" w14:textId="77777777" w:rsidR="008F1400" w:rsidRPr="00A92A49" w:rsidRDefault="008F1400" w:rsidP="00784F52">
            <w:pPr>
              <w:widowControl/>
              <w:wordWrap/>
              <w:autoSpaceDE/>
              <w:autoSpaceDN/>
              <w:adjustRightInd w:val="0"/>
              <w:snapToGrid w:val="0"/>
              <w:rPr>
                <w:rFonts w:ascii="Arial" w:eastAsia="Malgun Gothic" w:hAnsi="Arial" w:cs="Arial"/>
                <w:sz w:val="22"/>
              </w:rPr>
            </w:pPr>
            <w:r w:rsidRPr="00A92A49">
              <w:rPr>
                <w:rFonts w:ascii="Arial" w:hAnsi="Arial" w:cs="Arial"/>
                <w:sz w:val="22"/>
              </w:rPr>
              <w:t>(27%)</w:t>
            </w:r>
          </w:p>
        </w:tc>
        <w:tc>
          <w:tcPr>
            <w:tcW w:w="709" w:type="dxa"/>
            <w:tcBorders>
              <w:top w:val="nil"/>
              <w:bottom w:val="nil"/>
              <w:right w:val="nil"/>
            </w:tcBorders>
            <w:vAlign w:val="center"/>
          </w:tcPr>
          <w:p w14:paraId="7B609A30"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58</w:t>
            </w:r>
          </w:p>
        </w:tc>
        <w:tc>
          <w:tcPr>
            <w:tcW w:w="854" w:type="dxa"/>
            <w:tcBorders>
              <w:top w:val="nil"/>
              <w:left w:val="nil"/>
              <w:bottom w:val="nil"/>
            </w:tcBorders>
            <w:vAlign w:val="center"/>
          </w:tcPr>
          <w:p w14:paraId="440818DA"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hAnsi="Arial" w:cs="Arial"/>
                <w:sz w:val="22"/>
              </w:rPr>
              <w:t>(37%)</w:t>
            </w:r>
          </w:p>
        </w:tc>
        <w:tc>
          <w:tcPr>
            <w:tcW w:w="708" w:type="dxa"/>
            <w:tcBorders>
              <w:top w:val="nil"/>
              <w:left w:val="nil"/>
              <w:bottom w:val="nil"/>
              <w:right w:val="nil"/>
            </w:tcBorders>
            <w:vAlign w:val="center"/>
          </w:tcPr>
          <w:p w14:paraId="05AE2EF4"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eastAsia="Malgun Gothic" w:hAnsi="Arial" w:cs="Arial"/>
                <w:sz w:val="22"/>
              </w:rPr>
              <w:t>497</w:t>
            </w:r>
          </w:p>
        </w:tc>
        <w:tc>
          <w:tcPr>
            <w:tcW w:w="851" w:type="dxa"/>
            <w:tcBorders>
              <w:top w:val="nil"/>
              <w:left w:val="nil"/>
              <w:bottom w:val="nil"/>
            </w:tcBorders>
            <w:vAlign w:val="center"/>
          </w:tcPr>
          <w:p w14:paraId="064BEC42"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eastAsia="Malgun Gothic" w:hAnsi="Arial" w:cs="Arial"/>
                <w:sz w:val="22"/>
              </w:rPr>
              <w:t>(33</w:t>
            </w:r>
            <w:r w:rsidRPr="00A92A49">
              <w:rPr>
                <w:rFonts w:ascii="Arial" w:hAnsi="Arial" w:cs="Arial"/>
                <w:sz w:val="22"/>
              </w:rPr>
              <w:t>%</w:t>
            </w:r>
            <w:r w:rsidRPr="00A92A49">
              <w:rPr>
                <w:rFonts w:ascii="Arial" w:eastAsia="Malgun Gothic" w:hAnsi="Arial" w:cs="Arial"/>
                <w:sz w:val="22"/>
              </w:rPr>
              <w:t>)</w:t>
            </w:r>
          </w:p>
        </w:tc>
      </w:tr>
      <w:tr w:rsidR="008F1400" w:rsidRPr="00A92A49" w14:paraId="04F10FFC" w14:textId="77777777" w:rsidTr="00784F52">
        <w:trPr>
          <w:gridAfter w:val="1"/>
          <w:wAfter w:w="11" w:type="dxa"/>
          <w:trHeight w:val="226"/>
        </w:trPr>
        <w:tc>
          <w:tcPr>
            <w:tcW w:w="4540" w:type="dxa"/>
            <w:tcBorders>
              <w:top w:val="nil"/>
              <w:bottom w:val="nil"/>
            </w:tcBorders>
            <w:vAlign w:val="center"/>
          </w:tcPr>
          <w:p w14:paraId="60A38EA7" w14:textId="77777777" w:rsidR="008F1400" w:rsidRPr="00A92A49" w:rsidRDefault="008F1400" w:rsidP="00784F52">
            <w:pPr>
              <w:widowControl/>
              <w:wordWrap/>
              <w:autoSpaceDE/>
              <w:autoSpaceDN/>
              <w:adjustRightInd w:val="0"/>
              <w:snapToGrid w:val="0"/>
              <w:ind w:rightChars="65" w:right="130" w:firstLineChars="100" w:firstLine="220"/>
              <w:jc w:val="left"/>
              <w:rPr>
                <w:rFonts w:ascii="Arial" w:hAnsi="Arial" w:cs="Arial"/>
                <w:sz w:val="22"/>
              </w:rPr>
            </w:pPr>
            <w:r>
              <w:rPr>
                <w:rFonts w:ascii="Arial" w:hAnsi="Arial" w:cs="Arial"/>
                <w:sz w:val="22"/>
              </w:rPr>
              <w:t>E</w:t>
            </w:r>
            <w:r w:rsidRPr="00A92A49">
              <w:rPr>
                <w:rFonts w:ascii="Arial" w:hAnsi="Arial" w:cs="Arial"/>
                <w:sz w:val="22"/>
              </w:rPr>
              <w:t>mployed worker</w:t>
            </w:r>
          </w:p>
        </w:tc>
        <w:tc>
          <w:tcPr>
            <w:tcW w:w="708" w:type="dxa"/>
            <w:tcBorders>
              <w:top w:val="nil"/>
              <w:bottom w:val="nil"/>
              <w:right w:val="nil"/>
            </w:tcBorders>
            <w:vAlign w:val="center"/>
          </w:tcPr>
          <w:p w14:paraId="7DA498AC" w14:textId="77777777" w:rsidR="008F1400" w:rsidRPr="00A92A49" w:rsidRDefault="008F1400" w:rsidP="00784F52">
            <w:pPr>
              <w:widowControl/>
              <w:wordWrap/>
              <w:autoSpaceDE/>
              <w:autoSpaceDN/>
              <w:adjustRightInd w:val="0"/>
              <w:snapToGrid w:val="0"/>
              <w:jc w:val="right"/>
              <w:rPr>
                <w:rFonts w:ascii="Arial" w:eastAsia="Malgun Gothic" w:hAnsi="Arial" w:cs="Arial"/>
                <w:sz w:val="22"/>
              </w:rPr>
            </w:pPr>
            <w:r w:rsidRPr="00A92A49">
              <w:rPr>
                <w:rFonts w:ascii="Arial" w:hAnsi="Arial" w:cs="Arial"/>
                <w:sz w:val="22"/>
              </w:rPr>
              <w:t>56</w:t>
            </w:r>
          </w:p>
        </w:tc>
        <w:tc>
          <w:tcPr>
            <w:tcW w:w="995" w:type="dxa"/>
            <w:tcBorders>
              <w:top w:val="nil"/>
              <w:left w:val="nil"/>
              <w:bottom w:val="nil"/>
            </w:tcBorders>
            <w:vAlign w:val="center"/>
          </w:tcPr>
          <w:p w14:paraId="2E81EFED" w14:textId="77777777" w:rsidR="008F1400" w:rsidRPr="00A92A49" w:rsidRDefault="008F1400" w:rsidP="00784F52">
            <w:pPr>
              <w:widowControl/>
              <w:wordWrap/>
              <w:autoSpaceDE/>
              <w:autoSpaceDN/>
              <w:adjustRightInd w:val="0"/>
              <w:snapToGrid w:val="0"/>
              <w:rPr>
                <w:rFonts w:ascii="Arial" w:eastAsia="Malgun Gothic" w:hAnsi="Arial" w:cs="Arial"/>
                <w:sz w:val="22"/>
              </w:rPr>
            </w:pPr>
            <w:r w:rsidRPr="00A92A49">
              <w:rPr>
                <w:rFonts w:ascii="Arial" w:hAnsi="Arial" w:cs="Arial"/>
                <w:sz w:val="22"/>
              </w:rPr>
              <w:t>(29%)</w:t>
            </w:r>
          </w:p>
        </w:tc>
        <w:tc>
          <w:tcPr>
            <w:tcW w:w="709" w:type="dxa"/>
            <w:tcBorders>
              <w:top w:val="nil"/>
              <w:bottom w:val="nil"/>
              <w:right w:val="nil"/>
            </w:tcBorders>
            <w:vAlign w:val="center"/>
          </w:tcPr>
          <w:p w14:paraId="49DE313C"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37</w:t>
            </w:r>
          </w:p>
        </w:tc>
        <w:tc>
          <w:tcPr>
            <w:tcW w:w="854" w:type="dxa"/>
            <w:tcBorders>
              <w:top w:val="nil"/>
              <w:left w:val="nil"/>
              <w:bottom w:val="nil"/>
            </w:tcBorders>
            <w:vAlign w:val="center"/>
          </w:tcPr>
          <w:p w14:paraId="6C13B857"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hAnsi="Arial" w:cs="Arial"/>
                <w:sz w:val="22"/>
              </w:rPr>
              <w:t>(24%)</w:t>
            </w:r>
          </w:p>
        </w:tc>
        <w:tc>
          <w:tcPr>
            <w:tcW w:w="708" w:type="dxa"/>
            <w:tcBorders>
              <w:top w:val="nil"/>
              <w:left w:val="nil"/>
              <w:bottom w:val="nil"/>
              <w:right w:val="nil"/>
            </w:tcBorders>
            <w:vAlign w:val="center"/>
          </w:tcPr>
          <w:p w14:paraId="4B93D0E0"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eastAsia="Malgun Gothic" w:hAnsi="Arial" w:cs="Arial"/>
                <w:sz w:val="22"/>
              </w:rPr>
              <w:t>302</w:t>
            </w:r>
          </w:p>
        </w:tc>
        <w:tc>
          <w:tcPr>
            <w:tcW w:w="851" w:type="dxa"/>
            <w:tcBorders>
              <w:top w:val="nil"/>
              <w:left w:val="nil"/>
              <w:bottom w:val="nil"/>
            </w:tcBorders>
            <w:vAlign w:val="center"/>
          </w:tcPr>
          <w:p w14:paraId="00C0F12E"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eastAsia="Malgun Gothic" w:hAnsi="Arial" w:cs="Arial"/>
                <w:sz w:val="22"/>
              </w:rPr>
              <w:t>(20</w:t>
            </w:r>
            <w:r w:rsidRPr="00A92A49">
              <w:rPr>
                <w:rFonts w:ascii="Arial" w:hAnsi="Arial" w:cs="Arial"/>
                <w:sz w:val="22"/>
              </w:rPr>
              <w:t>%</w:t>
            </w:r>
            <w:r w:rsidRPr="00A92A49">
              <w:rPr>
                <w:rFonts w:ascii="Arial" w:eastAsia="Malgun Gothic" w:hAnsi="Arial" w:cs="Arial"/>
                <w:sz w:val="22"/>
              </w:rPr>
              <w:t>)</w:t>
            </w:r>
          </w:p>
        </w:tc>
      </w:tr>
      <w:tr w:rsidR="008F1400" w:rsidRPr="00A92A49" w14:paraId="77BE5DFA" w14:textId="77777777" w:rsidTr="00784F52">
        <w:trPr>
          <w:gridAfter w:val="1"/>
          <w:wAfter w:w="11" w:type="dxa"/>
          <w:trHeight w:val="226"/>
        </w:trPr>
        <w:tc>
          <w:tcPr>
            <w:tcW w:w="4540" w:type="dxa"/>
            <w:tcBorders>
              <w:top w:val="nil"/>
              <w:bottom w:val="nil"/>
            </w:tcBorders>
            <w:vAlign w:val="center"/>
          </w:tcPr>
          <w:p w14:paraId="2EFEF8B6" w14:textId="77777777" w:rsidR="008F1400" w:rsidRPr="00A92A49" w:rsidRDefault="008F1400" w:rsidP="00784F52">
            <w:pPr>
              <w:widowControl/>
              <w:wordWrap/>
              <w:autoSpaceDE/>
              <w:autoSpaceDN/>
              <w:adjustRightInd w:val="0"/>
              <w:snapToGrid w:val="0"/>
              <w:ind w:rightChars="65" w:right="130" w:firstLineChars="100" w:firstLine="220"/>
              <w:jc w:val="left"/>
              <w:rPr>
                <w:rFonts w:ascii="Arial" w:hAnsi="Arial" w:cs="Arial"/>
                <w:sz w:val="22"/>
              </w:rPr>
            </w:pPr>
            <w:r>
              <w:rPr>
                <w:rFonts w:ascii="Arial" w:hAnsi="Arial" w:cs="Arial"/>
                <w:sz w:val="22"/>
              </w:rPr>
              <w:t>S</w:t>
            </w:r>
            <w:r w:rsidRPr="00A92A49">
              <w:rPr>
                <w:rFonts w:ascii="Arial" w:hAnsi="Arial" w:cs="Arial"/>
                <w:sz w:val="22"/>
              </w:rPr>
              <w:t>elf-employed</w:t>
            </w:r>
          </w:p>
        </w:tc>
        <w:tc>
          <w:tcPr>
            <w:tcW w:w="708" w:type="dxa"/>
            <w:tcBorders>
              <w:top w:val="nil"/>
              <w:bottom w:val="nil"/>
              <w:right w:val="nil"/>
            </w:tcBorders>
            <w:vAlign w:val="center"/>
          </w:tcPr>
          <w:p w14:paraId="06982C01" w14:textId="77777777" w:rsidR="008F1400" w:rsidRPr="00A92A49" w:rsidRDefault="008F1400" w:rsidP="00784F52">
            <w:pPr>
              <w:widowControl/>
              <w:wordWrap/>
              <w:autoSpaceDE/>
              <w:autoSpaceDN/>
              <w:adjustRightInd w:val="0"/>
              <w:snapToGrid w:val="0"/>
              <w:jc w:val="right"/>
              <w:rPr>
                <w:rFonts w:ascii="Arial" w:eastAsia="Malgun Gothic" w:hAnsi="Arial" w:cs="Arial"/>
                <w:sz w:val="22"/>
              </w:rPr>
            </w:pPr>
            <w:r w:rsidRPr="00A92A49">
              <w:rPr>
                <w:rFonts w:ascii="Arial" w:hAnsi="Arial" w:cs="Arial"/>
                <w:sz w:val="22"/>
              </w:rPr>
              <w:t>58</w:t>
            </w:r>
          </w:p>
        </w:tc>
        <w:tc>
          <w:tcPr>
            <w:tcW w:w="995" w:type="dxa"/>
            <w:tcBorders>
              <w:top w:val="nil"/>
              <w:left w:val="nil"/>
              <w:bottom w:val="nil"/>
            </w:tcBorders>
            <w:vAlign w:val="center"/>
          </w:tcPr>
          <w:p w14:paraId="16DCDA4D" w14:textId="77777777" w:rsidR="008F1400" w:rsidRPr="00A92A49" w:rsidRDefault="008F1400" w:rsidP="00784F52">
            <w:pPr>
              <w:widowControl/>
              <w:wordWrap/>
              <w:autoSpaceDE/>
              <w:autoSpaceDN/>
              <w:adjustRightInd w:val="0"/>
              <w:snapToGrid w:val="0"/>
              <w:rPr>
                <w:rFonts w:ascii="Arial" w:eastAsia="Malgun Gothic" w:hAnsi="Arial" w:cs="Arial"/>
                <w:sz w:val="22"/>
              </w:rPr>
            </w:pPr>
            <w:r w:rsidRPr="00A92A49">
              <w:rPr>
                <w:rFonts w:ascii="Arial" w:hAnsi="Arial" w:cs="Arial"/>
                <w:sz w:val="22"/>
              </w:rPr>
              <w:t>(30%)</w:t>
            </w:r>
          </w:p>
        </w:tc>
        <w:tc>
          <w:tcPr>
            <w:tcW w:w="709" w:type="dxa"/>
            <w:tcBorders>
              <w:top w:val="nil"/>
              <w:bottom w:val="nil"/>
              <w:right w:val="nil"/>
            </w:tcBorders>
            <w:vAlign w:val="center"/>
          </w:tcPr>
          <w:p w14:paraId="31AF7315"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35</w:t>
            </w:r>
          </w:p>
        </w:tc>
        <w:tc>
          <w:tcPr>
            <w:tcW w:w="854" w:type="dxa"/>
            <w:tcBorders>
              <w:top w:val="nil"/>
              <w:left w:val="nil"/>
              <w:bottom w:val="nil"/>
            </w:tcBorders>
            <w:vAlign w:val="center"/>
          </w:tcPr>
          <w:p w14:paraId="32DECA2E"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hAnsi="Arial" w:cs="Arial"/>
                <w:sz w:val="22"/>
              </w:rPr>
              <w:t>(23%)</w:t>
            </w:r>
          </w:p>
        </w:tc>
        <w:tc>
          <w:tcPr>
            <w:tcW w:w="708" w:type="dxa"/>
            <w:tcBorders>
              <w:top w:val="nil"/>
              <w:left w:val="nil"/>
              <w:bottom w:val="nil"/>
              <w:right w:val="nil"/>
            </w:tcBorders>
            <w:vAlign w:val="center"/>
          </w:tcPr>
          <w:p w14:paraId="27FF04DE"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eastAsia="Malgun Gothic" w:hAnsi="Arial" w:cs="Arial"/>
                <w:sz w:val="22"/>
              </w:rPr>
              <w:t>320</w:t>
            </w:r>
          </w:p>
        </w:tc>
        <w:tc>
          <w:tcPr>
            <w:tcW w:w="851" w:type="dxa"/>
            <w:tcBorders>
              <w:top w:val="nil"/>
              <w:left w:val="nil"/>
              <w:bottom w:val="nil"/>
            </w:tcBorders>
            <w:vAlign w:val="center"/>
          </w:tcPr>
          <w:p w14:paraId="7D6A72AD"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eastAsia="Malgun Gothic" w:hAnsi="Arial" w:cs="Arial"/>
                <w:sz w:val="22"/>
              </w:rPr>
              <w:t>(21</w:t>
            </w:r>
            <w:r w:rsidRPr="00A92A49">
              <w:rPr>
                <w:rFonts w:ascii="Arial" w:hAnsi="Arial" w:cs="Arial"/>
                <w:sz w:val="22"/>
              </w:rPr>
              <w:t>%</w:t>
            </w:r>
            <w:r w:rsidRPr="00A92A49">
              <w:rPr>
                <w:rFonts w:ascii="Arial" w:eastAsia="Malgun Gothic" w:hAnsi="Arial" w:cs="Arial"/>
                <w:sz w:val="22"/>
              </w:rPr>
              <w:t>)</w:t>
            </w:r>
          </w:p>
        </w:tc>
      </w:tr>
      <w:tr w:rsidR="008F1400" w:rsidRPr="00A92A49" w14:paraId="5AE51A84" w14:textId="77777777" w:rsidTr="00784F52">
        <w:trPr>
          <w:gridAfter w:val="1"/>
          <w:wAfter w:w="11" w:type="dxa"/>
          <w:trHeight w:val="226"/>
        </w:trPr>
        <w:tc>
          <w:tcPr>
            <w:tcW w:w="4540" w:type="dxa"/>
            <w:tcBorders>
              <w:top w:val="nil"/>
            </w:tcBorders>
            <w:vAlign w:val="center"/>
          </w:tcPr>
          <w:p w14:paraId="5D284378" w14:textId="77777777" w:rsidR="008F1400" w:rsidRPr="00A92A49" w:rsidRDefault="008F1400" w:rsidP="00784F52">
            <w:pPr>
              <w:widowControl/>
              <w:wordWrap/>
              <w:autoSpaceDE/>
              <w:autoSpaceDN/>
              <w:adjustRightInd w:val="0"/>
              <w:snapToGrid w:val="0"/>
              <w:ind w:rightChars="65" w:right="130" w:firstLineChars="100" w:firstLine="220"/>
              <w:jc w:val="left"/>
              <w:rPr>
                <w:rFonts w:ascii="Arial" w:hAnsi="Arial" w:cs="Arial"/>
                <w:sz w:val="22"/>
              </w:rPr>
            </w:pPr>
            <w:r w:rsidRPr="00A92A49">
              <w:rPr>
                <w:rFonts w:ascii="Arial" w:hAnsi="Arial" w:cs="Arial"/>
                <w:sz w:val="22"/>
              </w:rPr>
              <w:t>Unemployed</w:t>
            </w:r>
          </w:p>
        </w:tc>
        <w:tc>
          <w:tcPr>
            <w:tcW w:w="708" w:type="dxa"/>
            <w:tcBorders>
              <w:top w:val="nil"/>
              <w:right w:val="nil"/>
            </w:tcBorders>
            <w:vAlign w:val="center"/>
          </w:tcPr>
          <w:p w14:paraId="6CB131FA" w14:textId="77777777" w:rsidR="008F1400" w:rsidRPr="00A92A49" w:rsidRDefault="008F1400" w:rsidP="00784F52">
            <w:pPr>
              <w:widowControl/>
              <w:wordWrap/>
              <w:autoSpaceDE/>
              <w:autoSpaceDN/>
              <w:adjustRightInd w:val="0"/>
              <w:snapToGrid w:val="0"/>
              <w:jc w:val="right"/>
              <w:rPr>
                <w:rFonts w:ascii="Arial" w:eastAsia="Malgun Gothic" w:hAnsi="Arial" w:cs="Arial"/>
                <w:sz w:val="22"/>
              </w:rPr>
            </w:pPr>
            <w:r w:rsidRPr="00A92A49">
              <w:rPr>
                <w:rFonts w:ascii="Arial" w:hAnsi="Arial" w:cs="Arial"/>
                <w:sz w:val="22"/>
              </w:rPr>
              <w:t>21</w:t>
            </w:r>
          </w:p>
        </w:tc>
        <w:tc>
          <w:tcPr>
            <w:tcW w:w="995" w:type="dxa"/>
            <w:tcBorders>
              <w:top w:val="nil"/>
              <w:left w:val="nil"/>
            </w:tcBorders>
            <w:vAlign w:val="center"/>
          </w:tcPr>
          <w:p w14:paraId="64D7266D" w14:textId="77777777" w:rsidR="008F1400" w:rsidRPr="00A92A49" w:rsidRDefault="008F1400" w:rsidP="00784F52">
            <w:pPr>
              <w:widowControl/>
              <w:wordWrap/>
              <w:autoSpaceDE/>
              <w:autoSpaceDN/>
              <w:adjustRightInd w:val="0"/>
              <w:snapToGrid w:val="0"/>
              <w:rPr>
                <w:rFonts w:ascii="Arial" w:eastAsia="Malgun Gothic" w:hAnsi="Arial" w:cs="Arial"/>
                <w:sz w:val="22"/>
              </w:rPr>
            </w:pPr>
            <w:r w:rsidRPr="00A92A49">
              <w:rPr>
                <w:rFonts w:ascii="Arial" w:hAnsi="Arial" w:cs="Arial"/>
                <w:sz w:val="22"/>
              </w:rPr>
              <w:t>(11%)</w:t>
            </w:r>
          </w:p>
        </w:tc>
        <w:tc>
          <w:tcPr>
            <w:tcW w:w="709" w:type="dxa"/>
            <w:tcBorders>
              <w:top w:val="nil"/>
              <w:bottom w:val="single" w:sz="4" w:space="0" w:color="auto"/>
              <w:right w:val="nil"/>
            </w:tcBorders>
            <w:vAlign w:val="center"/>
          </w:tcPr>
          <w:p w14:paraId="2CE9FEF0"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15</w:t>
            </w:r>
          </w:p>
        </w:tc>
        <w:tc>
          <w:tcPr>
            <w:tcW w:w="854" w:type="dxa"/>
            <w:tcBorders>
              <w:top w:val="nil"/>
              <w:left w:val="nil"/>
            </w:tcBorders>
            <w:vAlign w:val="center"/>
          </w:tcPr>
          <w:p w14:paraId="27E600C6"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hAnsi="Arial" w:cs="Arial"/>
                <w:sz w:val="22"/>
              </w:rPr>
              <w:t>(10%)</w:t>
            </w:r>
          </w:p>
        </w:tc>
        <w:tc>
          <w:tcPr>
            <w:tcW w:w="708" w:type="dxa"/>
            <w:tcBorders>
              <w:top w:val="nil"/>
              <w:left w:val="nil"/>
              <w:right w:val="nil"/>
            </w:tcBorders>
            <w:vAlign w:val="center"/>
          </w:tcPr>
          <w:p w14:paraId="3DB87FA0"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eastAsia="Malgun Gothic" w:hAnsi="Arial" w:cs="Arial"/>
                <w:sz w:val="22"/>
              </w:rPr>
              <w:t>188</w:t>
            </w:r>
          </w:p>
        </w:tc>
        <w:tc>
          <w:tcPr>
            <w:tcW w:w="851" w:type="dxa"/>
            <w:tcBorders>
              <w:top w:val="nil"/>
              <w:left w:val="nil"/>
            </w:tcBorders>
            <w:vAlign w:val="center"/>
          </w:tcPr>
          <w:p w14:paraId="6A04F2D7"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eastAsia="Malgun Gothic" w:hAnsi="Arial" w:cs="Arial"/>
                <w:sz w:val="22"/>
              </w:rPr>
              <w:t>(12</w:t>
            </w:r>
            <w:r w:rsidRPr="00A92A49">
              <w:rPr>
                <w:rFonts w:ascii="Arial" w:hAnsi="Arial" w:cs="Arial"/>
                <w:sz w:val="22"/>
              </w:rPr>
              <w:t>%</w:t>
            </w:r>
            <w:r w:rsidRPr="00A92A49">
              <w:rPr>
                <w:rFonts w:ascii="Arial" w:eastAsia="Malgun Gothic" w:hAnsi="Arial" w:cs="Arial"/>
                <w:sz w:val="22"/>
              </w:rPr>
              <w:t>)</w:t>
            </w:r>
          </w:p>
        </w:tc>
      </w:tr>
      <w:tr w:rsidR="008F1400" w:rsidRPr="00A92A49" w14:paraId="05D1A523" w14:textId="77777777" w:rsidTr="00784F52">
        <w:trPr>
          <w:gridAfter w:val="1"/>
          <w:wAfter w:w="11" w:type="dxa"/>
          <w:trHeight w:val="61"/>
        </w:trPr>
        <w:tc>
          <w:tcPr>
            <w:tcW w:w="4540" w:type="dxa"/>
            <w:tcBorders>
              <w:top w:val="nil"/>
            </w:tcBorders>
            <w:vAlign w:val="center"/>
          </w:tcPr>
          <w:p w14:paraId="22370FD3" w14:textId="77777777" w:rsidR="008F1400" w:rsidRPr="00A92A49" w:rsidRDefault="008F1400" w:rsidP="00784F52">
            <w:pPr>
              <w:wordWrap/>
              <w:adjustRightInd w:val="0"/>
              <w:snapToGrid w:val="0"/>
              <w:ind w:rightChars="17" w:right="34"/>
              <w:jc w:val="left"/>
              <w:rPr>
                <w:rFonts w:ascii="Arial" w:hAnsi="Arial" w:cs="Arial"/>
                <w:sz w:val="22"/>
              </w:rPr>
            </w:pPr>
            <w:r w:rsidRPr="00A92A49">
              <w:rPr>
                <w:rFonts w:ascii="Arial" w:hAnsi="Arial" w:cs="Arial"/>
                <w:sz w:val="22"/>
              </w:rPr>
              <w:t>Annual household expenditure (2017 US$)</w:t>
            </w:r>
          </w:p>
        </w:tc>
        <w:tc>
          <w:tcPr>
            <w:tcW w:w="708" w:type="dxa"/>
            <w:tcBorders>
              <w:right w:val="nil"/>
            </w:tcBorders>
            <w:vAlign w:val="center"/>
          </w:tcPr>
          <w:p w14:paraId="3566CB46"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595</w:t>
            </w:r>
          </w:p>
        </w:tc>
        <w:tc>
          <w:tcPr>
            <w:tcW w:w="995" w:type="dxa"/>
            <w:tcBorders>
              <w:left w:val="nil"/>
            </w:tcBorders>
            <w:vAlign w:val="center"/>
          </w:tcPr>
          <w:p w14:paraId="43910A0E"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hAnsi="Arial" w:cs="Arial"/>
                <w:sz w:val="22"/>
              </w:rPr>
              <w:t>(676)</w:t>
            </w:r>
          </w:p>
        </w:tc>
        <w:tc>
          <w:tcPr>
            <w:tcW w:w="709" w:type="dxa"/>
            <w:tcBorders>
              <w:top w:val="nil"/>
              <w:right w:val="nil"/>
            </w:tcBorders>
            <w:vAlign w:val="center"/>
          </w:tcPr>
          <w:p w14:paraId="2E3B9BD2" w14:textId="77777777" w:rsidR="008F1400" w:rsidRPr="00A92A49" w:rsidRDefault="008F1400" w:rsidP="00784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jc w:val="right"/>
              <w:rPr>
                <w:rFonts w:ascii="Arial" w:eastAsiaTheme="minorEastAsia" w:hAnsi="Arial" w:cs="Arial"/>
                <w:kern w:val="2"/>
                <w:sz w:val="22"/>
                <w:szCs w:val="22"/>
              </w:rPr>
            </w:pPr>
            <w:r w:rsidRPr="00A92A49">
              <w:rPr>
                <w:rFonts w:ascii="Arial" w:eastAsiaTheme="minorEastAsia" w:hAnsi="Arial" w:cs="Arial"/>
                <w:kern w:val="2"/>
                <w:sz w:val="22"/>
                <w:szCs w:val="22"/>
              </w:rPr>
              <w:t>573</w:t>
            </w:r>
          </w:p>
        </w:tc>
        <w:tc>
          <w:tcPr>
            <w:tcW w:w="854" w:type="dxa"/>
            <w:tcBorders>
              <w:top w:val="nil"/>
              <w:left w:val="nil"/>
            </w:tcBorders>
            <w:vAlign w:val="center"/>
          </w:tcPr>
          <w:p w14:paraId="3FD58DDF" w14:textId="77777777" w:rsidR="008F1400" w:rsidRPr="00A92A49" w:rsidRDefault="008F1400" w:rsidP="00784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jc w:val="both"/>
              <w:rPr>
                <w:rFonts w:ascii="Arial" w:eastAsiaTheme="minorEastAsia" w:hAnsi="Arial" w:cs="Arial"/>
                <w:kern w:val="2"/>
                <w:sz w:val="22"/>
                <w:szCs w:val="22"/>
              </w:rPr>
            </w:pPr>
            <w:r w:rsidRPr="00A92A49">
              <w:rPr>
                <w:rFonts w:ascii="Arial" w:eastAsiaTheme="minorEastAsia" w:hAnsi="Arial" w:cs="Arial"/>
                <w:kern w:val="2"/>
                <w:sz w:val="22"/>
                <w:szCs w:val="22"/>
              </w:rPr>
              <w:t>(442)</w:t>
            </w:r>
          </w:p>
        </w:tc>
        <w:tc>
          <w:tcPr>
            <w:tcW w:w="708" w:type="dxa"/>
            <w:tcBorders>
              <w:top w:val="nil"/>
              <w:left w:val="nil"/>
              <w:right w:val="nil"/>
            </w:tcBorders>
            <w:vAlign w:val="center"/>
          </w:tcPr>
          <w:p w14:paraId="7EB081E5" w14:textId="77777777" w:rsidR="008F1400" w:rsidRPr="00A92A49" w:rsidRDefault="008F1400" w:rsidP="00784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jc w:val="right"/>
              <w:rPr>
                <w:rFonts w:ascii="Arial" w:eastAsiaTheme="minorEastAsia" w:hAnsi="Arial" w:cs="Arial"/>
                <w:kern w:val="2"/>
                <w:sz w:val="22"/>
                <w:szCs w:val="22"/>
              </w:rPr>
            </w:pPr>
            <w:r w:rsidRPr="00A92A49">
              <w:rPr>
                <w:rFonts w:ascii="Arial" w:eastAsiaTheme="minorEastAsia" w:hAnsi="Arial" w:cs="Arial"/>
                <w:sz w:val="22"/>
                <w:szCs w:val="22"/>
              </w:rPr>
              <w:t>346</w:t>
            </w:r>
          </w:p>
        </w:tc>
        <w:tc>
          <w:tcPr>
            <w:tcW w:w="851" w:type="dxa"/>
            <w:tcBorders>
              <w:top w:val="nil"/>
              <w:left w:val="nil"/>
            </w:tcBorders>
            <w:vAlign w:val="center"/>
          </w:tcPr>
          <w:p w14:paraId="54741EE2" w14:textId="77777777" w:rsidR="008F1400" w:rsidRPr="00A92A49" w:rsidRDefault="008F1400" w:rsidP="00784F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jc w:val="both"/>
              <w:rPr>
                <w:rFonts w:ascii="Arial" w:eastAsiaTheme="minorEastAsia" w:hAnsi="Arial" w:cs="Arial"/>
                <w:kern w:val="2"/>
                <w:sz w:val="22"/>
                <w:szCs w:val="22"/>
              </w:rPr>
            </w:pPr>
            <w:r w:rsidRPr="00A92A49">
              <w:rPr>
                <w:rFonts w:ascii="Arial" w:eastAsiaTheme="minorEastAsia" w:hAnsi="Arial" w:cs="Arial"/>
                <w:kern w:val="2"/>
                <w:sz w:val="22"/>
                <w:szCs w:val="22"/>
              </w:rPr>
              <w:t>(395)</w:t>
            </w:r>
          </w:p>
        </w:tc>
      </w:tr>
      <w:tr w:rsidR="008F1400" w:rsidRPr="00A92A49" w14:paraId="19D90CCC" w14:textId="77777777" w:rsidTr="00784F52">
        <w:trPr>
          <w:gridAfter w:val="1"/>
          <w:wAfter w:w="11" w:type="dxa"/>
          <w:trHeight w:val="61"/>
        </w:trPr>
        <w:tc>
          <w:tcPr>
            <w:tcW w:w="4540" w:type="dxa"/>
            <w:vAlign w:val="center"/>
          </w:tcPr>
          <w:p w14:paraId="56B8EBCE" w14:textId="77777777" w:rsidR="008F1400" w:rsidRDefault="008F1400" w:rsidP="00784F52">
            <w:pPr>
              <w:widowControl/>
              <w:wordWrap/>
              <w:autoSpaceDE/>
              <w:autoSpaceDN/>
              <w:adjustRightInd w:val="0"/>
              <w:snapToGrid w:val="0"/>
              <w:ind w:rightChars="17" w:right="34"/>
              <w:jc w:val="left"/>
              <w:rPr>
                <w:rFonts w:ascii="Arial" w:hAnsi="Arial" w:cs="Arial"/>
                <w:sz w:val="22"/>
              </w:rPr>
            </w:pPr>
            <w:r w:rsidRPr="00A92A49">
              <w:rPr>
                <w:rFonts w:ascii="Arial" w:hAnsi="Arial" w:cs="Arial"/>
                <w:sz w:val="22"/>
              </w:rPr>
              <w:t>Under poverty line ($1.9/day)</w:t>
            </w:r>
          </w:p>
          <w:p w14:paraId="0F3B319A" w14:textId="77777777" w:rsidR="008F1400" w:rsidRPr="00A92A49" w:rsidRDefault="008F1400" w:rsidP="00784F52">
            <w:pPr>
              <w:widowControl/>
              <w:wordWrap/>
              <w:autoSpaceDE/>
              <w:autoSpaceDN/>
              <w:adjustRightInd w:val="0"/>
              <w:snapToGrid w:val="0"/>
              <w:ind w:rightChars="17" w:right="34"/>
              <w:jc w:val="left"/>
              <w:rPr>
                <w:rFonts w:ascii="Arial" w:hAnsi="Arial" w:cs="Arial"/>
                <w:sz w:val="22"/>
              </w:rPr>
            </w:pPr>
            <w:r>
              <w:rPr>
                <w:rFonts w:ascii="Arial" w:hAnsi="Arial" w:cs="Arial"/>
                <w:sz w:val="22"/>
              </w:rPr>
              <w:t xml:space="preserve">  Yes</w:t>
            </w:r>
            <w:r w:rsidRPr="00A92A49">
              <w:rPr>
                <w:rFonts w:ascii="Arial" w:hAnsi="Arial" w:cs="Arial"/>
                <w:sz w:val="22"/>
              </w:rPr>
              <w:t xml:space="preserve"> </w:t>
            </w:r>
          </w:p>
        </w:tc>
        <w:tc>
          <w:tcPr>
            <w:tcW w:w="708" w:type="dxa"/>
            <w:tcBorders>
              <w:right w:val="nil"/>
            </w:tcBorders>
            <w:vAlign w:val="bottom"/>
          </w:tcPr>
          <w:p w14:paraId="6CEAACC5"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136</w:t>
            </w:r>
          </w:p>
        </w:tc>
        <w:tc>
          <w:tcPr>
            <w:tcW w:w="995" w:type="dxa"/>
            <w:tcBorders>
              <w:left w:val="nil"/>
            </w:tcBorders>
            <w:vAlign w:val="bottom"/>
          </w:tcPr>
          <w:p w14:paraId="01F2FAE1"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hAnsi="Arial" w:cs="Arial"/>
                <w:sz w:val="22"/>
              </w:rPr>
              <w:t>(69%)</w:t>
            </w:r>
          </w:p>
        </w:tc>
        <w:tc>
          <w:tcPr>
            <w:tcW w:w="709" w:type="dxa"/>
            <w:tcBorders>
              <w:right w:val="nil"/>
            </w:tcBorders>
            <w:vAlign w:val="bottom"/>
          </w:tcPr>
          <w:p w14:paraId="618F4036"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111</w:t>
            </w:r>
          </w:p>
        </w:tc>
        <w:tc>
          <w:tcPr>
            <w:tcW w:w="854" w:type="dxa"/>
            <w:tcBorders>
              <w:left w:val="nil"/>
            </w:tcBorders>
            <w:vAlign w:val="bottom"/>
          </w:tcPr>
          <w:p w14:paraId="4F9F337B"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hAnsi="Arial" w:cs="Arial"/>
                <w:sz w:val="22"/>
              </w:rPr>
              <w:t>(71%)</w:t>
            </w:r>
          </w:p>
        </w:tc>
        <w:tc>
          <w:tcPr>
            <w:tcW w:w="708" w:type="dxa"/>
            <w:tcBorders>
              <w:left w:val="nil"/>
              <w:right w:val="nil"/>
            </w:tcBorders>
            <w:vAlign w:val="bottom"/>
          </w:tcPr>
          <w:p w14:paraId="2986DAB0"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1,357</w:t>
            </w:r>
          </w:p>
        </w:tc>
        <w:tc>
          <w:tcPr>
            <w:tcW w:w="851" w:type="dxa"/>
            <w:tcBorders>
              <w:left w:val="nil"/>
            </w:tcBorders>
            <w:vAlign w:val="bottom"/>
          </w:tcPr>
          <w:p w14:paraId="35806615"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hAnsi="Arial" w:cs="Arial"/>
                <w:sz w:val="22"/>
              </w:rPr>
              <w:t>(89%)</w:t>
            </w:r>
          </w:p>
        </w:tc>
      </w:tr>
      <w:tr w:rsidR="008F1400" w:rsidRPr="00A92A49" w14:paraId="1CA3D29B" w14:textId="77777777" w:rsidTr="00784F52">
        <w:trPr>
          <w:gridAfter w:val="1"/>
          <w:wAfter w:w="11" w:type="dxa"/>
          <w:trHeight w:val="50"/>
        </w:trPr>
        <w:tc>
          <w:tcPr>
            <w:tcW w:w="4540" w:type="dxa"/>
            <w:tcBorders>
              <w:bottom w:val="nil"/>
            </w:tcBorders>
          </w:tcPr>
          <w:p w14:paraId="36CCA76E" w14:textId="77777777" w:rsidR="008F1400" w:rsidRPr="00A92A49" w:rsidRDefault="008F1400" w:rsidP="00784F52">
            <w:pPr>
              <w:widowControl/>
              <w:wordWrap/>
              <w:autoSpaceDE/>
              <w:autoSpaceDN/>
              <w:adjustRightInd w:val="0"/>
              <w:snapToGrid w:val="0"/>
              <w:jc w:val="left"/>
              <w:rPr>
                <w:rFonts w:ascii="Arial" w:hAnsi="Arial" w:cs="Arial"/>
                <w:sz w:val="22"/>
              </w:rPr>
            </w:pPr>
            <w:r w:rsidRPr="00A92A49">
              <w:rPr>
                <w:rFonts w:ascii="Arial" w:hAnsi="Arial" w:cs="Arial"/>
                <w:sz w:val="22"/>
              </w:rPr>
              <w:t>First location to seek care</w:t>
            </w:r>
          </w:p>
        </w:tc>
        <w:tc>
          <w:tcPr>
            <w:tcW w:w="708" w:type="dxa"/>
            <w:tcBorders>
              <w:bottom w:val="nil"/>
              <w:right w:val="nil"/>
            </w:tcBorders>
            <w:vAlign w:val="center"/>
          </w:tcPr>
          <w:p w14:paraId="643FFF13" w14:textId="77777777" w:rsidR="008F1400" w:rsidRPr="00A92A49" w:rsidRDefault="008F1400" w:rsidP="00784F52">
            <w:pPr>
              <w:widowControl/>
              <w:wordWrap/>
              <w:autoSpaceDE/>
              <w:autoSpaceDN/>
              <w:adjustRightInd w:val="0"/>
              <w:snapToGrid w:val="0"/>
              <w:jc w:val="right"/>
              <w:rPr>
                <w:rFonts w:ascii="Arial" w:hAnsi="Arial" w:cs="Arial"/>
                <w:sz w:val="22"/>
              </w:rPr>
            </w:pPr>
          </w:p>
        </w:tc>
        <w:tc>
          <w:tcPr>
            <w:tcW w:w="995" w:type="dxa"/>
            <w:tcBorders>
              <w:left w:val="nil"/>
              <w:bottom w:val="nil"/>
            </w:tcBorders>
            <w:vAlign w:val="center"/>
          </w:tcPr>
          <w:p w14:paraId="06296D1F" w14:textId="77777777" w:rsidR="008F1400" w:rsidRPr="00A92A49" w:rsidRDefault="008F1400" w:rsidP="00784F52">
            <w:pPr>
              <w:widowControl/>
              <w:wordWrap/>
              <w:autoSpaceDE/>
              <w:autoSpaceDN/>
              <w:adjustRightInd w:val="0"/>
              <w:snapToGrid w:val="0"/>
              <w:rPr>
                <w:rFonts w:ascii="Arial" w:hAnsi="Arial" w:cs="Arial"/>
                <w:sz w:val="22"/>
              </w:rPr>
            </w:pPr>
          </w:p>
        </w:tc>
        <w:tc>
          <w:tcPr>
            <w:tcW w:w="709" w:type="dxa"/>
            <w:tcBorders>
              <w:bottom w:val="nil"/>
              <w:right w:val="nil"/>
            </w:tcBorders>
            <w:vAlign w:val="center"/>
          </w:tcPr>
          <w:p w14:paraId="7E4C0358" w14:textId="77777777" w:rsidR="008F1400" w:rsidRPr="00A92A49" w:rsidRDefault="008F1400" w:rsidP="00784F52">
            <w:pPr>
              <w:widowControl/>
              <w:wordWrap/>
              <w:autoSpaceDE/>
              <w:autoSpaceDN/>
              <w:adjustRightInd w:val="0"/>
              <w:snapToGrid w:val="0"/>
              <w:jc w:val="right"/>
              <w:rPr>
                <w:rFonts w:ascii="Arial" w:hAnsi="Arial" w:cs="Arial"/>
                <w:sz w:val="22"/>
              </w:rPr>
            </w:pPr>
          </w:p>
        </w:tc>
        <w:tc>
          <w:tcPr>
            <w:tcW w:w="854" w:type="dxa"/>
            <w:tcBorders>
              <w:left w:val="nil"/>
              <w:bottom w:val="nil"/>
            </w:tcBorders>
            <w:vAlign w:val="center"/>
          </w:tcPr>
          <w:p w14:paraId="452932F1" w14:textId="77777777" w:rsidR="008F1400" w:rsidRPr="00A92A49" w:rsidRDefault="008F1400" w:rsidP="00784F52">
            <w:pPr>
              <w:widowControl/>
              <w:wordWrap/>
              <w:autoSpaceDE/>
              <w:autoSpaceDN/>
              <w:adjustRightInd w:val="0"/>
              <w:snapToGrid w:val="0"/>
              <w:rPr>
                <w:rFonts w:ascii="Arial" w:hAnsi="Arial" w:cs="Arial"/>
                <w:sz w:val="22"/>
              </w:rPr>
            </w:pPr>
          </w:p>
        </w:tc>
        <w:tc>
          <w:tcPr>
            <w:tcW w:w="708" w:type="dxa"/>
            <w:tcBorders>
              <w:left w:val="nil"/>
              <w:bottom w:val="nil"/>
              <w:right w:val="nil"/>
            </w:tcBorders>
            <w:vAlign w:val="center"/>
          </w:tcPr>
          <w:p w14:paraId="589417A6" w14:textId="77777777" w:rsidR="008F1400" w:rsidRPr="00A92A49" w:rsidRDefault="008F1400" w:rsidP="00784F52">
            <w:pPr>
              <w:widowControl/>
              <w:wordWrap/>
              <w:autoSpaceDE/>
              <w:autoSpaceDN/>
              <w:adjustRightInd w:val="0"/>
              <w:snapToGrid w:val="0"/>
              <w:jc w:val="right"/>
              <w:rPr>
                <w:rFonts w:ascii="Arial" w:hAnsi="Arial" w:cs="Arial"/>
                <w:sz w:val="22"/>
              </w:rPr>
            </w:pPr>
          </w:p>
        </w:tc>
        <w:tc>
          <w:tcPr>
            <w:tcW w:w="851" w:type="dxa"/>
            <w:tcBorders>
              <w:left w:val="nil"/>
              <w:bottom w:val="nil"/>
            </w:tcBorders>
            <w:vAlign w:val="center"/>
          </w:tcPr>
          <w:p w14:paraId="445C1BD0" w14:textId="77777777" w:rsidR="008F1400" w:rsidRPr="00A92A49" w:rsidRDefault="008F1400" w:rsidP="00784F52">
            <w:pPr>
              <w:widowControl/>
              <w:wordWrap/>
              <w:autoSpaceDE/>
              <w:autoSpaceDN/>
              <w:adjustRightInd w:val="0"/>
              <w:snapToGrid w:val="0"/>
              <w:rPr>
                <w:rFonts w:ascii="Arial" w:hAnsi="Arial" w:cs="Arial"/>
                <w:sz w:val="22"/>
              </w:rPr>
            </w:pPr>
          </w:p>
        </w:tc>
      </w:tr>
      <w:tr w:rsidR="008F1400" w:rsidRPr="00A92A49" w14:paraId="37B5C613" w14:textId="77777777" w:rsidTr="00784F52">
        <w:trPr>
          <w:gridAfter w:val="1"/>
          <w:wAfter w:w="11" w:type="dxa"/>
          <w:trHeight w:val="225"/>
        </w:trPr>
        <w:tc>
          <w:tcPr>
            <w:tcW w:w="4540" w:type="dxa"/>
            <w:tcBorders>
              <w:top w:val="nil"/>
              <w:bottom w:val="nil"/>
            </w:tcBorders>
            <w:vAlign w:val="center"/>
          </w:tcPr>
          <w:p w14:paraId="53D34831" w14:textId="77777777" w:rsidR="008F1400" w:rsidRPr="00A92A49" w:rsidRDefault="008F1400" w:rsidP="00784F52">
            <w:pPr>
              <w:tabs>
                <w:tab w:val="left" w:pos="2552"/>
              </w:tabs>
              <w:wordWrap/>
              <w:adjustRightInd w:val="0"/>
              <w:snapToGrid w:val="0"/>
              <w:ind w:rightChars="65" w:right="130" w:firstLineChars="100" w:firstLine="220"/>
              <w:rPr>
                <w:rFonts w:ascii="Arial" w:hAnsi="Arial" w:cs="Arial"/>
                <w:sz w:val="22"/>
              </w:rPr>
            </w:pPr>
            <w:r w:rsidRPr="00A92A49">
              <w:rPr>
                <w:rFonts w:ascii="Arial" w:hAnsi="Arial" w:cs="Arial"/>
                <w:sz w:val="22"/>
              </w:rPr>
              <w:t>Health center</w:t>
            </w:r>
          </w:p>
        </w:tc>
        <w:tc>
          <w:tcPr>
            <w:tcW w:w="708" w:type="dxa"/>
            <w:tcBorders>
              <w:top w:val="nil"/>
              <w:bottom w:val="nil"/>
              <w:right w:val="nil"/>
            </w:tcBorders>
            <w:vAlign w:val="center"/>
          </w:tcPr>
          <w:p w14:paraId="6B856F5E" w14:textId="77777777" w:rsidR="008F1400" w:rsidRPr="00A92A49" w:rsidRDefault="008F1400" w:rsidP="00784F52">
            <w:pPr>
              <w:widowControl/>
              <w:wordWrap/>
              <w:autoSpaceDE/>
              <w:autoSpaceDN/>
              <w:adjustRightInd w:val="0"/>
              <w:snapToGrid w:val="0"/>
              <w:jc w:val="right"/>
              <w:rPr>
                <w:rFonts w:ascii="Arial" w:eastAsia="Malgun Gothic" w:hAnsi="Arial" w:cs="Arial"/>
                <w:sz w:val="22"/>
              </w:rPr>
            </w:pPr>
            <w:r w:rsidRPr="00A92A49">
              <w:rPr>
                <w:rFonts w:ascii="Arial" w:hAnsi="Arial" w:cs="Arial"/>
                <w:sz w:val="22"/>
              </w:rPr>
              <w:t>90</w:t>
            </w:r>
          </w:p>
        </w:tc>
        <w:tc>
          <w:tcPr>
            <w:tcW w:w="995" w:type="dxa"/>
            <w:tcBorders>
              <w:top w:val="nil"/>
              <w:left w:val="nil"/>
              <w:bottom w:val="nil"/>
            </w:tcBorders>
            <w:vAlign w:val="center"/>
          </w:tcPr>
          <w:p w14:paraId="790E54BE" w14:textId="77777777" w:rsidR="008F1400" w:rsidRPr="00A92A49" w:rsidRDefault="008F1400" w:rsidP="00784F52">
            <w:pPr>
              <w:widowControl/>
              <w:wordWrap/>
              <w:autoSpaceDE/>
              <w:autoSpaceDN/>
              <w:adjustRightInd w:val="0"/>
              <w:snapToGrid w:val="0"/>
              <w:rPr>
                <w:rFonts w:ascii="Arial" w:eastAsia="Malgun Gothic" w:hAnsi="Arial" w:cs="Arial"/>
                <w:sz w:val="22"/>
              </w:rPr>
            </w:pPr>
            <w:r w:rsidRPr="00A92A49">
              <w:rPr>
                <w:rFonts w:ascii="Arial" w:hAnsi="Arial" w:cs="Arial"/>
                <w:sz w:val="22"/>
              </w:rPr>
              <w:t>(46%)</w:t>
            </w:r>
          </w:p>
        </w:tc>
        <w:tc>
          <w:tcPr>
            <w:tcW w:w="709" w:type="dxa"/>
            <w:tcBorders>
              <w:top w:val="nil"/>
              <w:bottom w:val="nil"/>
              <w:right w:val="nil"/>
            </w:tcBorders>
            <w:vAlign w:val="center"/>
          </w:tcPr>
          <w:p w14:paraId="35D5F6EF" w14:textId="77777777" w:rsidR="008F1400" w:rsidRPr="00A92A49" w:rsidRDefault="008F1400" w:rsidP="00784F52">
            <w:pPr>
              <w:wordWrap/>
              <w:adjustRightInd w:val="0"/>
              <w:snapToGrid w:val="0"/>
              <w:jc w:val="right"/>
              <w:rPr>
                <w:rFonts w:ascii="Arial" w:hAnsi="Arial" w:cs="Arial"/>
                <w:sz w:val="22"/>
              </w:rPr>
            </w:pPr>
            <w:r w:rsidRPr="00A92A49">
              <w:rPr>
                <w:rFonts w:ascii="Arial" w:hAnsi="Arial" w:cs="Arial"/>
                <w:sz w:val="22"/>
              </w:rPr>
              <w:t>67</w:t>
            </w:r>
          </w:p>
        </w:tc>
        <w:tc>
          <w:tcPr>
            <w:tcW w:w="854" w:type="dxa"/>
            <w:tcBorders>
              <w:top w:val="nil"/>
              <w:left w:val="nil"/>
              <w:bottom w:val="nil"/>
            </w:tcBorders>
            <w:vAlign w:val="center"/>
          </w:tcPr>
          <w:p w14:paraId="6C6EF6AE" w14:textId="77777777" w:rsidR="008F1400" w:rsidRPr="00A92A49" w:rsidRDefault="008F1400" w:rsidP="00784F52">
            <w:pPr>
              <w:wordWrap/>
              <w:adjustRightInd w:val="0"/>
              <w:snapToGrid w:val="0"/>
              <w:rPr>
                <w:rFonts w:ascii="Arial" w:hAnsi="Arial" w:cs="Arial"/>
                <w:sz w:val="22"/>
              </w:rPr>
            </w:pPr>
            <w:r w:rsidRPr="00A92A49">
              <w:rPr>
                <w:rFonts w:ascii="Arial" w:hAnsi="Arial" w:cs="Arial"/>
                <w:sz w:val="22"/>
              </w:rPr>
              <w:t>(44%)</w:t>
            </w:r>
          </w:p>
        </w:tc>
        <w:tc>
          <w:tcPr>
            <w:tcW w:w="708" w:type="dxa"/>
            <w:tcBorders>
              <w:top w:val="nil"/>
              <w:left w:val="nil"/>
              <w:bottom w:val="nil"/>
              <w:right w:val="nil"/>
            </w:tcBorders>
            <w:vAlign w:val="center"/>
          </w:tcPr>
          <w:p w14:paraId="77FA5277" w14:textId="77777777" w:rsidR="008F1400" w:rsidRPr="00A92A49" w:rsidRDefault="008F1400" w:rsidP="00784F52">
            <w:pPr>
              <w:wordWrap/>
              <w:adjustRightInd w:val="0"/>
              <w:snapToGrid w:val="0"/>
              <w:jc w:val="right"/>
              <w:rPr>
                <w:rFonts w:ascii="Arial" w:hAnsi="Arial" w:cs="Arial"/>
                <w:sz w:val="22"/>
              </w:rPr>
            </w:pPr>
            <w:r w:rsidRPr="00A92A49">
              <w:rPr>
                <w:rFonts w:ascii="Arial" w:eastAsia="Malgun Gothic" w:hAnsi="Arial" w:cs="Arial"/>
                <w:sz w:val="22"/>
              </w:rPr>
              <w:t>486</w:t>
            </w:r>
          </w:p>
        </w:tc>
        <w:tc>
          <w:tcPr>
            <w:tcW w:w="851" w:type="dxa"/>
            <w:tcBorders>
              <w:top w:val="nil"/>
              <w:left w:val="nil"/>
              <w:bottom w:val="nil"/>
            </w:tcBorders>
            <w:vAlign w:val="center"/>
          </w:tcPr>
          <w:p w14:paraId="593A96BD" w14:textId="77777777" w:rsidR="008F1400" w:rsidRPr="00A92A49" w:rsidRDefault="008F1400" w:rsidP="00784F52">
            <w:pPr>
              <w:wordWrap/>
              <w:adjustRightInd w:val="0"/>
              <w:snapToGrid w:val="0"/>
              <w:rPr>
                <w:rFonts w:ascii="Arial" w:hAnsi="Arial" w:cs="Arial"/>
                <w:sz w:val="22"/>
              </w:rPr>
            </w:pPr>
            <w:r w:rsidRPr="00A92A49">
              <w:rPr>
                <w:rFonts w:ascii="Arial" w:eastAsia="Malgun Gothic" w:hAnsi="Arial" w:cs="Arial"/>
                <w:sz w:val="22"/>
              </w:rPr>
              <w:t>(66</w:t>
            </w:r>
            <w:r w:rsidRPr="00A92A49">
              <w:rPr>
                <w:rFonts w:ascii="Arial" w:hAnsi="Arial" w:cs="Arial"/>
                <w:sz w:val="22"/>
              </w:rPr>
              <w:t>%</w:t>
            </w:r>
            <w:r w:rsidRPr="00A92A49">
              <w:rPr>
                <w:rFonts w:ascii="Arial" w:eastAsia="Malgun Gothic" w:hAnsi="Arial" w:cs="Arial"/>
                <w:sz w:val="22"/>
              </w:rPr>
              <w:t>)</w:t>
            </w:r>
          </w:p>
        </w:tc>
      </w:tr>
      <w:tr w:rsidR="008F1400" w:rsidRPr="00A92A49" w14:paraId="0B315487" w14:textId="77777777" w:rsidTr="00784F52">
        <w:trPr>
          <w:gridAfter w:val="1"/>
          <w:wAfter w:w="11" w:type="dxa"/>
          <w:trHeight w:val="225"/>
        </w:trPr>
        <w:tc>
          <w:tcPr>
            <w:tcW w:w="4540" w:type="dxa"/>
            <w:tcBorders>
              <w:top w:val="nil"/>
              <w:bottom w:val="nil"/>
            </w:tcBorders>
            <w:vAlign w:val="center"/>
          </w:tcPr>
          <w:p w14:paraId="537C9294" w14:textId="77777777" w:rsidR="008F1400" w:rsidRPr="00A92A49" w:rsidRDefault="008F1400" w:rsidP="00784F52">
            <w:pPr>
              <w:tabs>
                <w:tab w:val="left" w:pos="2552"/>
              </w:tabs>
              <w:wordWrap/>
              <w:adjustRightInd w:val="0"/>
              <w:snapToGrid w:val="0"/>
              <w:ind w:rightChars="65" w:right="130" w:firstLineChars="100" w:firstLine="220"/>
              <w:rPr>
                <w:rFonts w:ascii="Arial" w:hAnsi="Arial" w:cs="Arial"/>
                <w:sz w:val="22"/>
              </w:rPr>
            </w:pPr>
            <w:r w:rsidRPr="00A92A49">
              <w:rPr>
                <w:rFonts w:ascii="Arial" w:hAnsi="Arial" w:cs="Arial"/>
                <w:sz w:val="22"/>
              </w:rPr>
              <w:t>Hospital</w:t>
            </w:r>
          </w:p>
        </w:tc>
        <w:tc>
          <w:tcPr>
            <w:tcW w:w="708" w:type="dxa"/>
            <w:tcBorders>
              <w:top w:val="nil"/>
              <w:bottom w:val="nil"/>
              <w:right w:val="nil"/>
            </w:tcBorders>
            <w:vAlign w:val="center"/>
          </w:tcPr>
          <w:p w14:paraId="6D102323" w14:textId="77777777" w:rsidR="008F1400" w:rsidRPr="00A92A49" w:rsidRDefault="008F1400" w:rsidP="00784F52">
            <w:pPr>
              <w:widowControl/>
              <w:wordWrap/>
              <w:autoSpaceDE/>
              <w:autoSpaceDN/>
              <w:adjustRightInd w:val="0"/>
              <w:snapToGrid w:val="0"/>
              <w:jc w:val="right"/>
              <w:rPr>
                <w:rFonts w:ascii="Arial" w:eastAsia="Malgun Gothic" w:hAnsi="Arial" w:cs="Arial"/>
                <w:sz w:val="22"/>
              </w:rPr>
            </w:pPr>
            <w:r w:rsidRPr="00A92A49">
              <w:rPr>
                <w:rFonts w:ascii="Arial" w:hAnsi="Arial" w:cs="Arial"/>
                <w:sz w:val="22"/>
              </w:rPr>
              <w:t>96</w:t>
            </w:r>
          </w:p>
        </w:tc>
        <w:tc>
          <w:tcPr>
            <w:tcW w:w="995" w:type="dxa"/>
            <w:tcBorders>
              <w:top w:val="nil"/>
              <w:left w:val="nil"/>
              <w:bottom w:val="nil"/>
            </w:tcBorders>
            <w:vAlign w:val="center"/>
          </w:tcPr>
          <w:p w14:paraId="1F20DAB8" w14:textId="77777777" w:rsidR="008F1400" w:rsidRPr="00A92A49" w:rsidRDefault="008F1400" w:rsidP="00784F52">
            <w:pPr>
              <w:widowControl/>
              <w:wordWrap/>
              <w:autoSpaceDE/>
              <w:autoSpaceDN/>
              <w:adjustRightInd w:val="0"/>
              <w:snapToGrid w:val="0"/>
              <w:rPr>
                <w:rFonts w:ascii="Arial" w:eastAsia="Malgun Gothic" w:hAnsi="Arial" w:cs="Arial"/>
                <w:sz w:val="22"/>
              </w:rPr>
            </w:pPr>
            <w:r w:rsidRPr="00A92A49">
              <w:rPr>
                <w:rFonts w:ascii="Arial" w:hAnsi="Arial" w:cs="Arial"/>
                <w:sz w:val="22"/>
              </w:rPr>
              <w:t>(49%)</w:t>
            </w:r>
          </w:p>
        </w:tc>
        <w:tc>
          <w:tcPr>
            <w:tcW w:w="709" w:type="dxa"/>
            <w:tcBorders>
              <w:top w:val="nil"/>
              <w:bottom w:val="nil"/>
              <w:right w:val="nil"/>
            </w:tcBorders>
            <w:vAlign w:val="center"/>
          </w:tcPr>
          <w:p w14:paraId="4A7398FD"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77</w:t>
            </w:r>
          </w:p>
        </w:tc>
        <w:tc>
          <w:tcPr>
            <w:tcW w:w="854" w:type="dxa"/>
            <w:tcBorders>
              <w:top w:val="nil"/>
              <w:left w:val="nil"/>
              <w:bottom w:val="nil"/>
            </w:tcBorders>
            <w:vAlign w:val="center"/>
          </w:tcPr>
          <w:p w14:paraId="4FC0FB13" w14:textId="77777777" w:rsidR="008F1400" w:rsidRPr="00A92A49" w:rsidRDefault="008F1400" w:rsidP="00784F52">
            <w:pPr>
              <w:wordWrap/>
              <w:adjustRightInd w:val="0"/>
              <w:snapToGrid w:val="0"/>
              <w:rPr>
                <w:rFonts w:ascii="Arial" w:hAnsi="Arial" w:cs="Arial"/>
                <w:sz w:val="22"/>
              </w:rPr>
            </w:pPr>
            <w:r w:rsidRPr="00A92A49">
              <w:rPr>
                <w:rFonts w:ascii="Arial" w:hAnsi="Arial" w:cs="Arial"/>
                <w:sz w:val="22"/>
              </w:rPr>
              <w:t>(51%)</w:t>
            </w:r>
          </w:p>
        </w:tc>
        <w:tc>
          <w:tcPr>
            <w:tcW w:w="708" w:type="dxa"/>
            <w:tcBorders>
              <w:top w:val="nil"/>
              <w:left w:val="nil"/>
              <w:bottom w:val="nil"/>
              <w:right w:val="nil"/>
            </w:tcBorders>
            <w:vAlign w:val="center"/>
          </w:tcPr>
          <w:p w14:paraId="396CE796" w14:textId="77777777" w:rsidR="008F1400" w:rsidRPr="00A92A49" w:rsidRDefault="008F1400" w:rsidP="00784F52">
            <w:pPr>
              <w:wordWrap/>
              <w:adjustRightInd w:val="0"/>
              <w:snapToGrid w:val="0"/>
              <w:jc w:val="right"/>
              <w:rPr>
                <w:rFonts w:ascii="Arial" w:hAnsi="Arial" w:cs="Arial"/>
                <w:sz w:val="22"/>
                <w:highlight w:val="yellow"/>
              </w:rPr>
            </w:pPr>
            <w:r w:rsidRPr="00A92A49">
              <w:rPr>
                <w:rFonts w:ascii="Arial" w:eastAsia="Malgun Gothic" w:hAnsi="Arial" w:cs="Arial"/>
                <w:sz w:val="22"/>
              </w:rPr>
              <w:t>214</w:t>
            </w:r>
          </w:p>
        </w:tc>
        <w:tc>
          <w:tcPr>
            <w:tcW w:w="851" w:type="dxa"/>
            <w:tcBorders>
              <w:top w:val="nil"/>
              <w:left w:val="nil"/>
              <w:bottom w:val="nil"/>
            </w:tcBorders>
            <w:vAlign w:val="center"/>
          </w:tcPr>
          <w:p w14:paraId="21FD3D9C" w14:textId="77777777" w:rsidR="008F1400" w:rsidRPr="00A92A49" w:rsidRDefault="008F1400" w:rsidP="00784F52">
            <w:pPr>
              <w:wordWrap/>
              <w:adjustRightInd w:val="0"/>
              <w:snapToGrid w:val="0"/>
              <w:rPr>
                <w:rFonts w:ascii="Arial" w:hAnsi="Arial" w:cs="Arial"/>
                <w:sz w:val="22"/>
                <w:highlight w:val="yellow"/>
              </w:rPr>
            </w:pPr>
            <w:r w:rsidRPr="00A92A49">
              <w:rPr>
                <w:rFonts w:ascii="Arial" w:eastAsia="Malgun Gothic" w:hAnsi="Arial" w:cs="Arial"/>
                <w:sz w:val="22"/>
              </w:rPr>
              <w:t>(29</w:t>
            </w:r>
            <w:r w:rsidRPr="00A92A49">
              <w:rPr>
                <w:rFonts w:ascii="Arial" w:hAnsi="Arial" w:cs="Arial"/>
                <w:sz w:val="22"/>
              </w:rPr>
              <w:t>%</w:t>
            </w:r>
            <w:r w:rsidRPr="00A92A49">
              <w:rPr>
                <w:rFonts w:ascii="Arial" w:eastAsia="Malgun Gothic" w:hAnsi="Arial" w:cs="Arial"/>
                <w:sz w:val="22"/>
              </w:rPr>
              <w:t>)</w:t>
            </w:r>
          </w:p>
        </w:tc>
      </w:tr>
      <w:tr w:rsidR="008F1400" w:rsidRPr="00A92A49" w14:paraId="47B5070B" w14:textId="77777777" w:rsidTr="00784F52">
        <w:trPr>
          <w:gridAfter w:val="1"/>
          <w:wAfter w:w="11" w:type="dxa"/>
          <w:trHeight w:val="225"/>
        </w:trPr>
        <w:tc>
          <w:tcPr>
            <w:tcW w:w="4540" w:type="dxa"/>
            <w:tcBorders>
              <w:top w:val="nil"/>
            </w:tcBorders>
            <w:vAlign w:val="center"/>
          </w:tcPr>
          <w:p w14:paraId="7E848420" w14:textId="77777777" w:rsidR="008F1400" w:rsidRPr="00A92A49" w:rsidRDefault="008F1400" w:rsidP="00784F52">
            <w:pPr>
              <w:tabs>
                <w:tab w:val="left" w:pos="2552"/>
              </w:tabs>
              <w:wordWrap/>
              <w:adjustRightInd w:val="0"/>
              <w:snapToGrid w:val="0"/>
              <w:ind w:rightChars="65" w:right="130" w:firstLineChars="100" w:firstLine="220"/>
              <w:rPr>
                <w:rFonts w:ascii="Arial" w:hAnsi="Arial" w:cs="Arial"/>
                <w:sz w:val="22"/>
              </w:rPr>
            </w:pPr>
            <w:r w:rsidRPr="00A92A49">
              <w:rPr>
                <w:rFonts w:ascii="Arial" w:hAnsi="Arial" w:cs="Arial"/>
                <w:sz w:val="22"/>
              </w:rPr>
              <w:t>Traditional healer/Pharmacist/Other</w:t>
            </w:r>
          </w:p>
        </w:tc>
        <w:tc>
          <w:tcPr>
            <w:tcW w:w="708" w:type="dxa"/>
            <w:tcBorders>
              <w:top w:val="nil"/>
              <w:right w:val="nil"/>
            </w:tcBorders>
            <w:vAlign w:val="center"/>
          </w:tcPr>
          <w:p w14:paraId="3CCDAB99" w14:textId="77777777" w:rsidR="008F1400" w:rsidRPr="00A92A49" w:rsidRDefault="008F1400" w:rsidP="00784F52">
            <w:pPr>
              <w:widowControl/>
              <w:wordWrap/>
              <w:autoSpaceDE/>
              <w:autoSpaceDN/>
              <w:adjustRightInd w:val="0"/>
              <w:snapToGrid w:val="0"/>
              <w:jc w:val="right"/>
              <w:rPr>
                <w:rFonts w:ascii="Arial" w:eastAsia="Malgun Gothic" w:hAnsi="Arial" w:cs="Arial"/>
                <w:sz w:val="22"/>
              </w:rPr>
            </w:pPr>
            <w:r w:rsidRPr="00A92A49">
              <w:rPr>
                <w:rFonts w:ascii="Arial" w:hAnsi="Arial" w:cs="Arial"/>
                <w:sz w:val="22"/>
              </w:rPr>
              <w:t>11</w:t>
            </w:r>
          </w:p>
        </w:tc>
        <w:tc>
          <w:tcPr>
            <w:tcW w:w="995" w:type="dxa"/>
            <w:tcBorders>
              <w:top w:val="nil"/>
              <w:left w:val="nil"/>
            </w:tcBorders>
            <w:vAlign w:val="center"/>
          </w:tcPr>
          <w:p w14:paraId="393CDCAE" w14:textId="77777777" w:rsidR="008F1400" w:rsidRPr="00A92A49" w:rsidRDefault="008F1400" w:rsidP="00784F52">
            <w:pPr>
              <w:widowControl/>
              <w:wordWrap/>
              <w:autoSpaceDE/>
              <w:autoSpaceDN/>
              <w:adjustRightInd w:val="0"/>
              <w:snapToGrid w:val="0"/>
              <w:rPr>
                <w:rFonts w:ascii="Arial" w:eastAsia="Malgun Gothic" w:hAnsi="Arial" w:cs="Arial"/>
                <w:sz w:val="22"/>
              </w:rPr>
            </w:pPr>
            <w:proofErr w:type="gramStart"/>
            <w:r w:rsidRPr="00A92A49">
              <w:rPr>
                <w:rFonts w:ascii="Arial" w:hAnsi="Arial" w:cs="Arial"/>
                <w:sz w:val="22"/>
              </w:rPr>
              <w:t>( 6</w:t>
            </w:r>
            <w:proofErr w:type="gramEnd"/>
            <w:r w:rsidRPr="00A92A49">
              <w:rPr>
                <w:rFonts w:ascii="Arial" w:hAnsi="Arial" w:cs="Arial"/>
                <w:sz w:val="22"/>
              </w:rPr>
              <w:t>%)</w:t>
            </w:r>
          </w:p>
        </w:tc>
        <w:tc>
          <w:tcPr>
            <w:tcW w:w="709" w:type="dxa"/>
            <w:tcBorders>
              <w:top w:val="nil"/>
              <w:right w:val="nil"/>
            </w:tcBorders>
            <w:vAlign w:val="center"/>
          </w:tcPr>
          <w:p w14:paraId="6EEADFB7" w14:textId="77777777" w:rsidR="008F1400" w:rsidRPr="00A92A49" w:rsidRDefault="008F1400" w:rsidP="00784F52">
            <w:pPr>
              <w:wordWrap/>
              <w:adjustRightInd w:val="0"/>
              <w:snapToGrid w:val="0"/>
              <w:jc w:val="right"/>
              <w:rPr>
                <w:rFonts w:ascii="Arial" w:hAnsi="Arial" w:cs="Arial"/>
                <w:sz w:val="22"/>
              </w:rPr>
            </w:pPr>
            <w:r w:rsidRPr="00A92A49">
              <w:rPr>
                <w:rFonts w:ascii="Arial" w:hAnsi="Arial" w:cs="Arial"/>
                <w:sz w:val="22"/>
              </w:rPr>
              <w:t>7</w:t>
            </w:r>
          </w:p>
        </w:tc>
        <w:tc>
          <w:tcPr>
            <w:tcW w:w="854" w:type="dxa"/>
            <w:tcBorders>
              <w:top w:val="nil"/>
              <w:left w:val="nil"/>
            </w:tcBorders>
            <w:vAlign w:val="center"/>
          </w:tcPr>
          <w:p w14:paraId="43956DE2" w14:textId="77777777" w:rsidR="008F1400" w:rsidRPr="00A92A49" w:rsidRDefault="008F1400" w:rsidP="00784F52">
            <w:pPr>
              <w:wordWrap/>
              <w:adjustRightInd w:val="0"/>
              <w:snapToGrid w:val="0"/>
              <w:rPr>
                <w:rFonts w:ascii="Arial" w:hAnsi="Arial" w:cs="Arial"/>
                <w:sz w:val="22"/>
              </w:rPr>
            </w:pPr>
            <w:proofErr w:type="gramStart"/>
            <w:r w:rsidRPr="00A92A49">
              <w:rPr>
                <w:rFonts w:ascii="Arial" w:hAnsi="Arial" w:cs="Arial"/>
                <w:sz w:val="22"/>
              </w:rPr>
              <w:t>( 5</w:t>
            </w:r>
            <w:proofErr w:type="gramEnd"/>
            <w:r w:rsidRPr="00A92A49">
              <w:rPr>
                <w:rFonts w:ascii="Arial" w:hAnsi="Arial" w:cs="Arial"/>
                <w:sz w:val="22"/>
              </w:rPr>
              <w:t>%)</w:t>
            </w:r>
          </w:p>
        </w:tc>
        <w:tc>
          <w:tcPr>
            <w:tcW w:w="708" w:type="dxa"/>
            <w:tcBorders>
              <w:top w:val="nil"/>
              <w:left w:val="nil"/>
              <w:right w:val="nil"/>
            </w:tcBorders>
            <w:vAlign w:val="center"/>
          </w:tcPr>
          <w:p w14:paraId="56A5616C" w14:textId="77777777" w:rsidR="008F1400" w:rsidRPr="00A92A49" w:rsidRDefault="008F1400" w:rsidP="00784F52">
            <w:pPr>
              <w:wordWrap/>
              <w:adjustRightInd w:val="0"/>
              <w:snapToGrid w:val="0"/>
              <w:jc w:val="right"/>
              <w:rPr>
                <w:rFonts w:ascii="Arial" w:hAnsi="Arial" w:cs="Arial"/>
                <w:sz w:val="22"/>
              </w:rPr>
            </w:pPr>
            <w:r w:rsidRPr="00A92A49">
              <w:rPr>
                <w:rFonts w:ascii="Arial" w:eastAsia="Malgun Gothic" w:hAnsi="Arial" w:cs="Arial"/>
                <w:sz w:val="22"/>
              </w:rPr>
              <w:t>37</w:t>
            </w:r>
          </w:p>
        </w:tc>
        <w:tc>
          <w:tcPr>
            <w:tcW w:w="851" w:type="dxa"/>
            <w:tcBorders>
              <w:top w:val="nil"/>
              <w:left w:val="nil"/>
            </w:tcBorders>
            <w:vAlign w:val="center"/>
          </w:tcPr>
          <w:p w14:paraId="219762C6" w14:textId="77777777" w:rsidR="008F1400" w:rsidRPr="00A92A49" w:rsidRDefault="008F1400" w:rsidP="00784F52">
            <w:pPr>
              <w:wordWrap/>
              <w:adjustRightInd w:val="0"/>
              <w:snapToGrid w:val="0"/>
              <w:rPr>
                <w:rFonts w:ascii="Arial" w:hAnsi="Arial" w:cs="Arial"/>
                <w:sz w:val="22"/>
              </w:rPr>
            </w:pPr>
            <w:proofErr w:type="gramStart"/>
            <w:r w:rsidRPr="00A92A49">
              <w:rPr>
                <w:rFonts w:ascii="Arial" w:eastAsia="Malgun Gothic" w:hAnsi="Arial" w:cs="Arial"/>
                <w:sz w:val="22"/>
              </w:rPr>
              <w:t>( 5</w:t>
            </w:r>
            <w:proofErr w:type="gramEnd"/>
            <w:r w:rsidRPr="00A92A49">
              <w:rPr>
                <w:rFonts w:ascii="Arial" w:hAnsi="Arial" w:cs="Arial"/>
                <w:sz w:val="22"/>
              </w:rPr>
              <w:t>%</w:t>
            </w:r>
            <w:r w:rsidRPr="00A92A49">
              <w:rPr>
                <w:rFonts w:ascii="Arial" w:eastAsia="Malgun Gothic" w:hAnsi="Arial" w:cs="Arial"/>
                <w:sz w:val="22"/>
              </w:rPr>
              <w:t>)</w:t>
            </w:r>
          </w:p>
        </w:tc>
      </w:tr>
      <w:tr w:rsidR="008F1400" w:rsidRPr="00A92A49" w14:paraId="587EBE09" w14:textId="77777777" w:rsidTr="00784F52">
        <w:trPr>
          <w:gridAfter w:val="1"/>
          <w:wAfter w:w="11" w:type="dxa"/>
          <w:trHeight w:val="187"/>
        </w:trPr>
        <w:tc>
          <w:tcPr>
            <w:tcW w:w="4540" w:type="dxa"/>
            <w:tcBorders>
              <w:bottom w:val="nil"/>
            </w:tcBorders>
            <w:vAlign w:val="center"/>
          </w:tcPr>
          <w:p w14:paraId="06DC04EB" w14:textId="77777777" w:rsidR="008F1400" w:rsidRPr="00A92A49" w:rsidRDefault="008F1400" w:rsidP="00784F52">
            <w:pPr>
              <w:widowControl/>
              <w:tabs>
                <w:tab w:val="left" w:pos="2552"/>
              </w:tabs>
              <w:wordWrap/>
              <w:autoSpaceDE/>
              <w:autoSpaceDN/>
              <w:adjustRightInd w:val="0"/>
              <w:snapToGrid w:val="0"/>
              <w:ind w:rightChars="65" w:right="130"/>
              <w:jc w:val="left"/>
              <w:rPr>
                <w:rFonts w:ascii="Arial" w:hAnsi="Arial" w:cs="Arial"/>
                <w:sz w:val="22"/>
              </w:rPr>
            </w:pPr>
            <w:r w:rsidRPr="00A92A49">
              <w:rPr>
                <w:rFonts w:ascii="Arial" w:hAnsi="Arial" w:cs="Arial"/>
                <w:sz w:val="22"/>
              </w:rPr>
              <w:t>Mode of transportation to the facility</w:t>
            </w:r>
          </w:p>
        </w:tc>
        <w:tc>
          <w:tcPr>
            <w:tcW w:w="708" w:type="dxa"/>
            <w:tcBorders>
              <w:bottom w:val="nil"/>
              <w:right w:val="nil"/>
            </w:tcBorders>
            <w:vAlign w:val="center"/>
          </w:tcPr>
          <w:p w14:paraId="41B56FA2" w14:textId="77777777" w:rsidR="008F1400" w:rsidRPr="00A92A49" w:rsidRDefault="008F1400" w:rsidP="00784F52">
            <w:pPr>
              <w:widowControl/>
              <w:wordWrap/>
              <w:autoSpaceDE/>
              <w:autoSpaceDN/>
              <w:adjustRightInd w:val="0"/>
              <w:snapToGrid w:val="0"/>
              <w:jc w:val="right"/>
              <w:rPr>
                <w:rFonts w:ascii="Arial" w:hAnsi="Arial" w:cs="Arial"/>
                <w:sz w:val="22"/>
              </w:rPr>
            </w:pPr>
          </w:p>
        </w:tc>
        <w:tc>
          <w:tcPr>
            <w:tcW w:w="995" w:type="dxa"/>
            <w:tcBorders>
              <w:left w:val="nil"/>
              <w:bottom w:val="nil"/>
            </w:tcBorders>
            <w:vAlign w:val="center"/>
          </w:tcPr>
          <w:p w14:paraId="68885F88" w14:textId="77777777" w:rsidR="008F1400" w:rsidRPr="00A92A49" w:rsidRDefault="008F1400" w:rsidP="00784F52">
            <w:pPr>
              <w:widowControl/>
              <w:wordWrap/>
              <w:autoSpaceDE/>
              <w:autoSpaceDN/>
              <w:adjustRightInd w:val="0"/>
              <w:snapToGrid w:val="0"/>
              <w:rPr>
                <w:rFonts w:ascii="Arial" w:hAnsi="Arial" w:cs="Arial"/>
                <w:sz w:val="22"/>
              </w:rPr>
            </w:pPr>
          </w:p>
        </w:tc>
        <w:tc>
          <w:tcPr>
            <w:tcW w:w="709" w:type="dxa"/>
            <w:tcBorders>
              <w:bottom w:val="nil"/>
              <w:right w:val="nil"/>
            </w:tcBorders>
            <w:vAlign w:val="center"/>
          </w:tcPr>
          <w:p w14:paraId="52C5E1C3" w14:textId="77777777" w:rsidR="008F1400" w:rsidRPr="00A92A49" w:rsidRDefault="008F1400" w:rsidP="00784F52">
            <w:pPr>
              <w:widowControl/>
              <w:wordWrap/>
              <w:autoSpaceDE/>
              <w:autoSpaceDN/>
              <w:adjustRightInd w:val="0"/>
              <w:snapToGrid w:val="0"/>
              <w:jc w:val="right"/>
              <w:rPr>
                <w:rFonts w:ascii="Arial" w:hAnsi="Arial" w:cs="Arial"/>
                <w:sz w:val="22"/>
              </w:rPr>
            </w:pPr>
          </w:p>
        </w:tc>
        <w:tc>
          <w:tcPr>
            <w:tcW w:w="854" w:type="dxa"/>
            <w:tcBorders>
              <w:left w:val="nil"/>
              <w:bottom w:val="nil"/>
            </w:tcBorders>
            <w:vAlign w:val="center"/>
          </w:tcPr>
          <w:p w14:paraId="0C72CB43" w14:textId="77777777" w:rsidR="008F1400" w:rsidRPr="00A92A49" w:rsidRDefault="008F1400" w:rsidP="00784F52">
            <w:pPr>
              <w:widowControl/>
              <w:wordWrap/>
              <w:autoSpaceDE/>
              <w:autoSpaceDN/>
              <w:adjustRightInd w:val="0"/>
              <w:snapToGrid w:val="0"/>
              <w:rPr>
                <w:rFonts w:ascii="Arial" w:hAnsi="Arial" w:cs="Arial"/>
                <w:sz w:val="22"/>
              </w:rPr>
            </w:pPr>
          </w:p>
        </w:tc>
        <w:tc>
          <w:tcPr>
            <w:tcW w:w="708" w:type="dxa"/>
            <w:tcBorders>
              <w:left w:val="nil"/>
              <w:bottom w:val="nil"/>
              <w:right w:val="nil"/>
            </w:tcBorders>
            <w:vAlign w:val="center"/>
          </w:tcPr>
          <w:p w14:paraId="2AEC7F84" w14:textId="77777777" w:rsidR="008F1400" w:rsidRPr="00A92A49" w:rsidRDefault="008F1400" w:rsidP="00784F52">
            <w:pPr>
              <w:widowControl/>
              <w:wordWrap/>
              <w:autoSpaceDE/>
              <w:autoSpaceDN/>
              <w:adjustRightInd w:val="0"/>
              <w:snapToGrid w:val="0"/>
              <w:jc w:val="right"/>
              <w:rPr>
                <w:rFonts w:ascii="Arial" w:hAnsi="Arial" w:cs="Arial"/>
                <w:sz w:val="22"/>
              </w:rPr>
            </w:pPr>
          </w:p>
        </w:tc>
        <w:tc>
          <w:tcPr>
            <w:tcW w:w="851" w:type="dxa"/>
            <w:tcBorders>
              <w:left w:val="nil"/>
              <w:bottom w:val="nil"/>
            </w:tcBorders>
            <w:vAlign w:val="center"/>
          </w:tcPr>
          <w:p w14:paraId="4DE4AAF1" w14:textId="77777777" w:rsidR="008F1400" w:rsidRPr="00A92A49" w:rsidRDefault="008F1400" w:rsidP="00784F52">
            <w:pPr>
              <w:widowControl/>
              <w:wordWrap/>
              <w:autoSpaceDE/>
              <w:autoSpaceDN/>
              <w:adjustRightInd w:val="0"/>
              <w:snapToGrid w:val="0"/>
              <w:rPr>
                <w:rFonts w:ascii="Arial" w:hAnsi="Arial" w:cs="Arial"/>
                <w:sz w:val="22"/>
              </w:rPr>
            </w:pPr>
          </w:p>
        </w:tc>
      </w:tr>
      <w:tr w:rsidR="008F1400" w:rsidRPr="00A92A49" w14:paraId="786D63C7" w14:textId="77777777" w:rsidTr="00784F52">
        <w:trPr>
          <w:gridAfter w:val="1"/>
          <w:wAfter w:w="11" w:type="dxa"/>
          <w:trHeight w:val="223"/>
        </w:trPr>
        <w:tc>
          <w:tcPr>
            <w:tcW w:w="4540" w:type="dxa"/>
            <w:tcBorders>
              <w:top w:val="nil"/>
              <w:bottom w:val="nil"/>
            </w:tcBorders>
            <w:vAlign w:val="center"/>
          </w:tcPr>
          <w:p w14:paraId="114D3AFC" w14:textId="77777777" w:rsidR="008F1400" w:rsidRPr="00A92A49" w:rsidRDefault="008F1400" w:rsidP="00784F52">
            <w:pPr>
              <w:widowControl/>
              <w:tabs>
                <w:tab w:val="left" w:pos="2552"/>
              </w:tabs>
              <w:wordWrap/>
              <w:autoSpaceDE/>
              <w:autoSpaceDN/>
              <w:adjustRightInd w:val="0"/>
              <w:snapToGrid w:val="0"/>
              <w:ind w:rightChars="65" w:right="130" w:firstLineChars="100" w:firstLine="220"/>
              <w:rPr>
                <w:rFonts w:ascii="Arial" w:hAnsi="Arial" w:cs="Arial"/>
                <w:sz w:val="22"/>
              </w:rPr>
            </w:pPr>
            <w:r w:rsidRPr="00A92A49">
              <w:rPr>
                <w:rFonts w:ascii="Arial" w:hAnsi="Arial" w:cs="Arial"/>
                <w:sz w:val="22"/>
              </w:rPr>
              <w:t>Walk</w:t>
            </w:r>
          </w:p>
        </w:tc>
        <w:tc>
          <w:tcPr>
            <w:tcW w:w="708" w:type="dxa"/>
            <w:tcBorders>
              <w:top w:val="nil"/>
              <w:bottom w:val="nil"/>
              <w:right w:val="nil"/>
            </w:tcBorders>
            <w:vAlign w:val="center"/>
          </w:tcPr>
          <w:p w14:paraId="5ADC959C" w14:textId="77777777" w:rsidR="008F1400" w:rsidRPr="00A92A49" w:rsidRDefault="008F1400" w:rsidP="00784F52">
            <w:pPr>
              <w:widowControl/>
              <w:wordWrap/>
              <w:autoSpaceDE/>
              <w:autoSpaceDN/>
              <w:adjustRightInd w:val="0"/>
              <w:snapToGrid w:val="0"/>
              <w:jc w:val="right"/>
              <w:rPr>
                <w:rFonts w:ascii="Arial" w:eastAsia="Malgun Gothic" w:hAnsi="Arial" w:cs="Arial"/>
                <w:sz w:val="22"/>
              </w:rPr>
            </w:pPr>
            <w:r w:rsidRPr="00A92A49">
              <w:rPr>
                <w:rFonts w:ascii="Arial" w:hAnsi="Arial" w:cs="Arial"/>
                <w:sz w:val="22"/>
              </w:rPr>
              <w:t>20</w:t>
            </w:r>
          </w:p>
        </w:tc>
        <w:tc>
          <w:tcPr>
            <w:tcW w:w="995" w:type="dxa"/>
            <w:tcBorders>
              <w:top w:val="nil"/>
              <w:left w:val="nil"/>
              <w:bottom w:val="nil"/>
            </w:tcBorders>
            <w:vAlign w:val="center"/>
          </w:tcPr>
          <w:p w14:paraId="5B646720" w14:textId="77777777" w:rsidR="008F1400" w:rsidRPr="00A92A49" w:rsidRDefault="008F1400" w:rsidP="00784F52">
            <w:pPr>
              <w:widowControl/>
              <w:wordWrap/>
              <w:autoSpaceDE/>
              <w:autoSpaceDN/>
              <w:adjustRightInd w:val="0"/>
              <w:snapToGrid w:val="0"/>
              <w:rPr>
                <w:rFonts w:ascii="Arial" w:eastAsia="Malgun Gothic" w:hAnsi="Arial" w:cs="Arial"/>
                <w:sz w:val="22"/>
              </w:rPr>
            </w:pPr>
            <w:r w:rsidRPr="00A92A49">
              <w:rPr>
                <w:rFonts w:ascii="Arial" w:hAnsi="Arial" w:cs="Arial"/>
                <w:sz w:val="22"/>
              </w:rPr>
              <w:t>(10%)</w:t>
            </w:r>
          </w:p>
        </w:tc>
        <w:tc>
          <w:tcPr>
            <w:tcW w:w="709" w:type="dxa"/>
            <w:tcBorders>
              <w:top w:val="nil"/>
              <w:bottom w:val="nil"/>
              <w:right w:val="nil"/>
            </w:tcBorders>
            <w:vAlign w:val="center"/>
          </w:tcPr>
          <w:p w14:paraId="35D50E38"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100</w:t>
            </w:r>
          </w:p>
        </w:tc>
        <w:tc>
          <w:tcPr>
            <w:tcW w:w="854" w:type="dxa"/>
            <w:tcBorders>
              <w:top w:val="nil"/>
              <w:left w:val="nil"/>
              <w:bottom w:val="nil"/>
            </w:tcBorders>
            <w:vAlign w:val="center"/>
          </w:tcPr>
          <w:p w14:paraId="498F3AC8"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hAnsi="Arial" w:cs="Arial"/>
                <w:sz w:val="22"/>
              </w:rPr>
              <w:t>(64%)</w:t>
            </w:r>
          </w:p>
        </w:tc>
        <w:tc>
          <w:tcPr>
            <w:tcW w:w="708" w:type="dxa"/>
            <w:tcBorders>
              <w:top w:val="nil"/>
              <w:left w:val="nil"/>
              <w:bottom w:val="nil"/>
              <w:right w:val="nil"/>
            </w:tcBorders>
            <w:vAlign w:val="center"/>
          </w:tcPr>
          <w:p w14:paraId="16CEEC97"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eastAsia="Malgun Gothic" w:hAnsi="Arial" w:cs="Arial"/>
                <w:sz w:val="22"/>
              </w:rPr>
              <w:t>1,116</w:t>
            </w:r>
          </w:p>
        </w:tc>
        <w:tc>
          <w:tcPr>
            <w:tcW w:w="851" w:type="dxa"/>
            <w:tcBorders>
              <w:top w:val="nil"/>
              <w:left w:val="nil"/>
              <w:bottom w:val="nil"/>
            </w:tcBorders>
            <w:vAlign w:val="center"/>
          </w:tcPr>
          <w:p w14:paraId="1B571FD8"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eastAsia="Malgun Gothic" w:hAnsi="Arial" w:cs="Arial"/>
                <w:sz w:val="22"/>
              </w:rPr>
              <w:t>(73</w:t>
            </w:r>
            <w:r w:rsidRPr="00A92A49">
              <w:rPr>
                <w:rFonts w:ascii="Arial" w:hAnsi="Arial" w:cs="Arial"/>
                <w:sz w:val="22"/>
              </w:rPr>
              <w:t>%</w:t>
            </w:r>
            <w:r w:rsidRPr="00A92A49">
              <w:rPr>
                <w:rFonts w:ascii="Arial" w:eastAsia="Malgun Gothic" w:hAnsi="Arial" w:cs="Arial"/>
                <w:sz w:val="22"/>
              </w:rPr>
              <w:t>)</w:t>
            </w:r>
          </w:p>
        </w:tc>
      </w:tr>
      <w:tr w:rsidR="008F1400" w:rsidRPr="00A92A49" w14:paraId="597C556D" w14:textId="77777777" w:rsidTr="00784F52">
        <w:trPr>
          <w:gridAfter w:val="1"/>
          <w:wAfter w:w="11" w:type="dxa"/>
          <w:trHeight w:val="223"/>
        </w:trPr>
        <w:tc>
          <w:tcPr>
            <w:tcW w:w="4540" w:type="dxa"/>
            <w:tcBorders>
              <w:top w:val="nil"/>
              <w:bottom w:val="nil"/>
            </w:tcBorders>
            <w:vAlign w:val="center"/>
          </w:tcPr>
          <w:p w14:paraId="1799BFFB" w14:textId="77777777" w:rsidR="008F1400" w:rsidRPr="00A92A49" w:rsidRDefault="008F1400" w:rsidP="00784F52">
            <w:pPr>
              <w:widowControl/>
              <w:tabs>
                <w:tab w:val="left" w:pos="2552"/>
              </w:tabs>
              <w:wordWrap/>
              <w:autoSpaceDE/>
              <w:autoSpaceDN/>
              <w:adjustRightInd w:val="0"/>
              <w:snapToGrid w:val="0"/>
              <w:ind w:rightChars="65" w:right="130" w:firstLineChars="100" w:firstLine="220"/>
              <w:rPr>
                <w:rFonts w:ascii="Arial" w:hAnsi="Arial" w:cs="Arial"/>
                <w:sz w:val="22"/>
              </w:rPr>
            </w:pPr>
            <w:r w:rsidRPr="00A92A49">
              <w:rPr>
                <w:rFonts w:ascii="Arial" w:hAnsi="Arial" w:cs="Arial"/>
                <w:sz w:val="22"/>
              </w:rPr>
              <w:t>Bike</w:t>
            </w:r>
          </w:p>
        </w:tc>
        <w:tc>
          <w:tcPr>
            <w:tcW w:w="708" w:type="dxa"/>
            <w:tcBorders>
              <w:top w:val="nil"/>
              <w:bottom w:val="nil"/>
              <w:right w:val="nil"/>
            </w:tcBorders>
            <w:vAlign w:val="center"/>
          </w:tcPr>
          <w:p w14:paraId="0066CF3D" w14:textId="77777777" w:rsidR="008F1400" w:rsidRPr="00A92A49" w:rsidRDefault="008F1400" w:rsidP="00784F52">
            <w:pPr>
              <w:widowControl/>
              <w:wordWrap/>
              <w:autoSpaceDE/>
              <w:autoSpaceDN/>
              <w:adjustRightInd w:val="0"/>
              <w:snapToGrid w:val="0"/>
              <w:jc w:val="right"/>
              <w:rPr>
                <w:rFonts w:ascii="Arial" w:eastAsia="Malgun Gothic" w:hAnsi="Arial" w:cs="Arial"/>
                <w:sz w:val="22"/>
              </w:rPr>
            </w:pPr>
            <w:r w:rsidRPr="00A92A49">
              <w:rPr>
                <w:rFonts w:ascii="Arial" w:hAnsi="Arial" w:cs="Arial"/>
                <w:sz w:val="22"/>
              </w:rPr>
              <w:t>28</w:t>
            </w:r>
          </w:p>
        </w:tc>
        <w:tc>
          <w:tcPr>
            <w:tcW w:w="995" w:type="dxa"/>
            <w:tcBorders>
              <w:top w:val="nil"/>
              <w:left w:val="nil"/>
              <w:bottom w:val="nil"/>
            </w:tcBorders>
            <w:vAlign w:val="center"/>
          </w:tcPr>
          <w:p w14:paraId="0328FC7A" w14:textId="77777777" w:rsidR="008F1400" w:rsidRPr="00A92A49" w:rsidRDefault="008F1400" w:rsidP="00784F52">
            <w:pPr>
              <w:widowControl/>
              <w:wordWrap/>
              <w:autoSpaceDE/>
              <w:autoSpaceDN/>
              <w:adjustRightInd w:val="0"/>
              <w:snapToGrid w:val="0"/>
              <w:rPr>
                <w:rFonts w:ascii="Arial" w:eastAsia="Malgun Gothic" w:hAnsi="Arial" w:cs="Arial"/>
                <w:sz w:val="22"/>
              </w:rPr>
            </w:pPr>
            <w:r w:rsidRPr="00A92A49">
              <w:rPr>
                <w:rFonts w:ascii="Arial" w:hAnsi="Arial" w:cs="Arial"/>
                <w:sz w:val="22"/>
              </w:rPr>
              <w:t>(14%)</w:t>
            </w:r>
          </w:p>
        </w:tc>
        <w:tc>
          <w:tcPr>
            <w:tcW w:w="709" w:type="dxa"/>
            <w:tcBorders>
              <w:top w:val="nil"/>
              <w:bottom w:val="nil"/>
              <w:right w:val="nil"/>
            </w:tcBorders>
            <w:vAlign w:val="center"/>
          </w:tcPr>
          <w:p w14:paraId="566A9954"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43</w:t>
            </w:r>
          </w:p>
        </w:tc>
        <w:tc>
          <w:tcPr>
            <w:tcW w:w="854" w:type="dxa"/>
            <w:tcBorders>
              <w:top w:val="nil"/>
              <w:left w:val="nil"/>
              <w:bottom w:val="nil"/>
            </w:tcBorders>
            <w:vAlign w:val="center"/>
          </w:tcPr>
          <w:p w14:paraId="52891EE5"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hAnsi="Arial" w:cs="Arial"/>
                <w:sz w:val="22"/>
              </w:rPr>
              <w:t>(28%)</w:t>
            </w:r>
          </w:p>
        </w:tc>
        <w:tc>
          <w:tcPr>
            <w:tcW w:w="708" w:type="dxa"/>
            <w:tcBorders>
              <w:top w:val="nil"/>
              <w:left w:val="nil"/>
              <w:bottom w:val="nil"/>
              <w:right w:val="nil"/>
            </w:tcBorders>
            <w:vAlign w:val="center"/>
          </w:tcPr>
          <w:p w14:paraId="7173069D"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eastAsia="Malgun Gothic" w:hAnsi="Arial" w:cs="Arial"/>
                <w:sz w:val="22"/>
              </w:rPr>
              <w:t>285</w:t>
            </w:r>
          </w:p>
        </w:tc>
        <w:tc>
          <w:tcPr>
            <w:tcW w:w="851" w:type="dxa"/>
            <w:tcBorders>
              <w:top w:val="nil"/>
              <w:left w:val="nil"/>
              <w:bottom w:val="nil"/>
            </w:tcBorders>
            <w:vAlign w:val="center"/>
          </w:tcPr>
          <w:p w14:paraId="64D1A38D" w14:textId="77777777" w:rsidR="008F1400" w:rsidRPr="00A92A49" w:rsidRDefault="008F1400" w:rsidP="00784F52">
            <w:pPr>
              <w:widowControl/>
              <w:wordWrap/>
              <w:autoSpaceDE/>
              <w:autoSpaceDN/>
              <w:adjustRightInd w:val="0"/>
              <w:snapToGrid w:val="0"/>
              <w:rPr>
                <w:rFonts w:ascii="Arial" w:hAnsi="Arial" w:cs="Arial"/>
                <w:sz w:val="22"/>
              </w:rPr>
            </w:pPr>
            <w:r w:rsidRPr="00A92A49">
              <w:rPr>
                <w:rFonts w:ascii="Arial" w:eastAsia="Malgun Gothic" w:hAnsi="Arial" w:cs="Arial"/>
                <w:sz w:val="22"/>
              </w:rPr>
              <w:t>(19</w:t>
            </w:r>
            <w:r w:rsidRPr="00A92A49">
              <w:rPr>
                <w:rFonts w:ascii="Arial" w:hAnsi="Arial" w:cs="Arial"/>
                <w:sz w:val="22"/>
              </w:rPr>
              <w:t>%</w:t>
            </w:r>
            <w:r w:rsidRPr="00A92A49">
              <w:rPr>
                <w:rFonts w:ascii="Arial" w:eastAsia="Malgun Gothic" w:hAnsi="Arial" w:cs="Arial"/>
                <w:sz w:val="22"/>
              </w:rPr>
              <w:t>)</w:t>
            </w:r>
          </w:p>
        </w:tc>
      </w:tr>
      <w:tr w:rsidR="008F1400" w:rsidRPr="00A92A49" w14:paraId="423E50EF" w14:textId="77777777" w:rsidTr="00784F52">
        <w:trPr>
          <w:gridAfter w:val="1"/>
          <w:wAfter w:w="11" w:type="dxa"/>
          <w:trHeight w:val="223"/>
        </w:trPr>
        <w:tc>
          <w:tcPr>
            <w:tcW w:w="4540" w:type="dxa"/>
            <w:tcBorders>
              <w:top w:val="nil"/>
            </w:tcBorders>
            <w:vAlign w:val="center"/>
          </w:tcPr>
          <w:p w14:paraId="11E62472" w14:textId="77777777" w:rsidR="008F1400" w:rsidRPr="00A92A49" w:rsidRDefault="008F1400" w:rsidP="00784F52">
            <w:pPr>
              <w:widowControl/>
              <w:tabs>
                <w:tab w:val="left" w:pos="2552"/>
              </w:tabs>
              <w:wordWrap/>
              <w:autoSpaceDE/>
              <w:autoSpaceDN/>
              <w:adjustRightInd w:val="0"/>
              <w:snapToGrid w:val="0"/>
              <w:ind w:rightChars="65" w:right="130" w:firstLineChars="100" w:firstLine="220"/>
              <w:rPr>
                <w:rFonts w:ascii="Arial" w:hAnsi="Arial" w:cs="Arial"/>
                <w:sz w:val="22"/>
              </w:rPr>
            </w:pPr>
            <w:r w:rsidRPr="00A92A49">
              <w:rPr>
                <w:rFonts w:ascii="Arial" w:hAnsi="Arial" w:cs="Arial"/>
                <w:sz w:val="22"/>
              </w:rPr>
              <w:t>Vehicle</w:t>
            </w:r>
          </w:p>
        </w:tc>
        <w:tc>
          <w:tcPr>
            <w:tcW w:w="708" w:type="dxa"/>
            <w:tcBorders>
              <w:top w:val="nil"/>
              <w:right w:val="nil"/>
            </w:tcBorders>
            <w:vAlign w:val="center"/>
          </w:tcPr>
          <w:p w14:paraId="4510E7D4" w14:textId="77777777" w:rsidR="008F1400" w:rsidRPr="00A92A49" w:rsidRDefault="008F1400" w:rsidP="00784F52">
            <w:pPr>
              <w:widowControl/>
              <w:wordWrap/>
              <w:autoSpaceDE/>
              <w:autoSpaceDN/>
              <w:adjustRightInd w:val="0"/>
              <w:snapToGrid w:val="0"/>
              <w:jc w:val="right"/>
              <w:rPr>
                <w:rFonts w:ascii="Arial" w:eastAsia="Malgun Gothic" w:hAnsi="Arial" w:cs="Arial"/>
                <w:sz w:val="22"/>
              </w:rPr>
            </w:pPr>
            <w:r w:rsidRPr="00A92A49">
              <w:rPr>
                <w:rFonts w:ascii="Arial" w:hAnsi="Arial" w:cs="Arial"/>
                <w:sz w:val="22"/>
              </w:rPr>
              <w:t>148</w:t>
            </w:r>
          </w:p>
        </w:tc>
        <w:tc>
          <w:tcPr>
            <w:tcW w:w="995" w:type="dxa"/>
            <w:tcBorders>
              <w:top w:val="nil"/>
              <w:left w:val="nil"/>
            </w:tcBorders>
            <w:vAlign w:val="center"/>
          </w:tcPr>
          <w:p w14:paraId="349A959F" w14:textId="77777777" w:rsidR="008F1400" w:rsidRPr="00A92A49" w:rsidRDefault="008F1400" w:rsidP="00784F52">
            <w:pPr>
              <w:widowControl/>
              <w:wordWrap/>
              <w:autoSpaceDE/>
              <w:autoSpaceDN/>
              <w:adjustRightInd w:val="0"/>
              <w:snapToGrid w:val="0"/>
              <w:rPr>
                <w:rFonts w:ascii="Arial" w:eastAsia="Malgun Gothic" w:hAnsi="Arial" w:cs="Arial"/>
                <w:sz w:val="22"/>
              </w:rPr>
            </w:pPr>
            <w:r w:rsidRPr="00A92A49">
              <w:rPr>
                <w:rFonts w:ascii="Arial" w:hAnsi="Arial" w:cs="Arial"/>
                <w:sz w:val="22"/>
              </w:rPr>
              <w:t>(75%)</w:t>
            </w:r>
          </w:p>
        </w:tc>
        <w:tc>
          <w:tcPr>
            <w:tcW w:w="709" w:type="dxa"/>
            <w:tcBorders>
              <w:top w:val="nil"/>
              <w:right w:val="nil"/>
            </w:tcBorders>
            <w:vAlign w:val="center"/>
          </w:tcPr>
          <w:p w14:paraId="296AB3EE"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13</w:t>
            </w:r>
          </w:p>
        </w:tc>
        <w:tc>
          <w:tcPr>
            <w:tcW w:w="854" w:type="dxa"/>
            <w:tcBorders>
              <w:top w:val="nil"/>
              <w:left w:val="nil"/>
            </w:tcBorders>
            <w:vAlign w:val="center"/>
          </w:tcPr>
          <w:p w14:paraId="7D8569A7" w14:textId="77777777" w:rsidR="008F1400" w:rsidRPr="00A92A49" w:rsidRDefault="008F1400" w:rsidP="00784F52">
            <w:pPr>
              <w:widowControl/>
              <w:wordWrap/>
              <w:autoSpaceDE/>
              <w:autoSpaceDN/>
              <w:adjustRightInd w:val="0"/>
              <w:snapToGrid w:val="0"/>
              <w:rPr>
                <w:rFonts w:ascii="Arial" w:hAnsi="Arial" w:cs="Arial"/>
                <w:sz w:val="22"/>
              </w:rPr>
            </w:pPr>
            <w:proofErr w:type="gramStart"/>
            <w:r w:rsidRPr="00A92A49">
              <w:rPr>
                <w:rFonts w:ascii="Arial" w:hAnsi="Arial" w:cs="Arial"/>
                <w:sz w:val="22"/>
              </w:rPr>
              <w:t>( 8</w:t>
            </w:r>
            <w:proofErr w:type="gramEnd"/>
            <w:r w:rsidRPr="00A92A49">
              <w:rPr>
                <w:rFonts w:ascii="Arial" w:hAnsi="Arial" w:cs="Arial"/>
                <w:sz w:val="22"/>
              </w:rPr>
              <w:t>%)</w:t>
            </w:r>
          </w:p>
        </w:tc>
        <w:tc>
          <w:tcPr>
            <w:tcW w:w="708" w:type="dxa"/>
            <w:tcBorders>
              <w:top w:val="nil"/>
              <w:left w:val="nil"/>
              <w:right w:val="nil"/>
            </w:tcBorders>
            <w:vAlign w:val="center"/>
          </w:tcPr>
          <w:p w14:paraId="023334B7"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eastAsia="Malgun Gothic" w:hAnsi="Arial" w:cs="Arial"/>
                <w:sz w:val="22"/>
              </w:rPr>
              <w:t>126</w:t>
            </w:r>
          </w:p>
        </w:tc>
        <w:tc>
          <w:tcPr>
            <w:tcW w:w="851" w:type="dxa"/>
            <w:tcBorders>
              <w:top w:val="nil"/>
              <w:left w:val="nil"/>
            </w:tcBorders>
            <w:vAlign w:val="center"/>
          </w:tcPr>
          <w:p w14:paraId="017A0C81" w14:textId="77777777" w:rsidR="008F1400" w:rsidRPr="00A92A49" w:rsidRDefault="008F1400" w:rsidP="00784F52">
            <w:pPr>
              <w:widowControl/>
              <w:wordWrap/>
              <w:autoSpaceDE/>
              <w:autoSpaceDN/>
              <w:adjustRightInd w:val="0"/>
              <w:snapToGrid w:val="0"/>
              <w:rPr>
                <w:rFonts w:ascii="Arial" w:hAnsi="Arial" w:cs="Arial"/>
                <w:sz w:val="22"/>
              </w:rPr>
            </w:pPr>
            <w:proofErr w:type="gramStart"/>
            <w:r w:rsidRPr="00A92A49">
              <w:rPr>
                <w:rFonts w:ascii="Arial" w:eastAsia="Malgun Gothic" w:hAnsi="Arial" w:cs="Arial"/>
                <w:sz w:val="22"/>
              </w:rPr>
              <w:t>( 8</w:t>
            </w:r>
            <w:proofErr w:type="gramEnd"/>
            <w:r w:rsidRPr="00A92A49">
              <w:rPr>
                <w:rFonts w:ascii="Arial" w:hAnsi="Arial" w:cs="Arial"/>
                <w:sz w:val="22"/>
              </w:rPr>
              <w:t>%</w:t>
            </w:r>
            <w:r w:rsidRPr="00A92A49">
              <w:rPr>
                <w:rFonts w:ascii="Arial" w:eastAsia="Malgun Gothic" w:hAnsi="Arial" w:cs="Arial"/>
                <w:sz w:val="22"/>
              </w:rPr>
              <w:t>)</w:t>
            </w:r>
          </w:p>
        </w:tc>
      </w:tr>
      <w:tr w:rsidR="008F1400" w:rsidRPr="00A92A49" w14:paraId="5944AF7A" w14:textId="77777777" w:rsidTr="00784F52">
        <w:trPr>
          <w:gridAfter w:val="1"/>
          <w:wAfter w:w="11" w:type="dxa"/>
          <w:trHeight w:val="187"/>
        </w:trPr>
        <w:tc>
          <w:tcPr>
            <w:tcW w:w="4540" w:type="dxa"/>
            <w:vAlign w:val="center"/>
          </w:tcPr>
          <w:p w14:paraId="6BB3C7C4" w14:textId="77777777" w:rsidR="008F1400" w:rsidRPr="00A92A49" w:rsidRDefault="008F1400" w:rsidP="00784F52">
            <w:pPr>
              <w:widowControl/>
              <w:tabs>
                <w:tab w:val="left" w:pos="2552"/>
              </w:tabs>
              <w:wordWrap/>
              <w:autoSpaceDE/>
              <w:autoSpaceDN/>
              <w:adjustRightInd w:val="0"/>
              <w:snapToGrid w:val="0"/>
              <w:ind w:rightChars="65" w:right="130"/>
              <w:jc w:val="left"/>
              <w:rPr>
                <w:rFonts w:ascii="Arial" w:hAnsi="Arial" w:cs="Arial"/>
                <w:sz w:val="22"/>
              </w:rPr>
            </w:pPr>
            <w:r w:rsidRPr="00A92A49">
              <w:rPr>
                <w:rFonts w:ascii="Arial" w:hAnsi="Arial" w:cs="Arial"/>
                <w:sz w:val="22"/>
              </w:rPr>
              <w:t xml:space="preserve">Transportation time to the facility (min) </w:t>
            </w:r>
          </w:p>
        </w:tc>
        <w:tc>
          <w:tcPr>
            <w:tcW w:w="708" w:type="dxa"/>
            <w:tcBorders>
              <w:right w:val="nil"/>
            </w:tcBorders>
            <w:vAlign w:val="center"/>
          </w:tcPr>
          <w:p w14:paraId="6B03AD53" w14:textId="77777777" w:rsidR="008F1400" w:rsidRPr="00A92A49" w:rsidRDefault="008F1400" w:rsidP="00784F52">
            <w:pPr>
              <w:widowControl/>
              <w:wordWrap/>
              <w:autoSpaceDE/>
              <w:autoSpaceDN/>
              <w:adjustRightInd w:val="0"/>
              <w:snapToGrid w:val="0"/>
              <w:jc w:val="right"/>
              <w:rPr>
                <w:rFonts w:ascii="Arial" w:eastAsia="Malgun Gothic" w:hAnsi="Arial" w:cs="Arial"/>
                <w:sz w:val="22"/>
              </w:rPr>
            </w:pPr>
            <w:r w:rsidRPr="00A92A49">
              <w:rPr>
                <w:rFonts w:ascii="Arial" w:eastAsia="Malgun Gothic" w:hAnsi="Arial" w:cs="Arial"/>
                <w:sz w:val="22"/>
              </w:rPr>
              <w:t>207</w:t>
            </w:r>
          </w:p>
        </w:tc>
        <w:tc>
          <w:tcPr>
            <w:tcW w:w="995" w:type="dxa"/>
            <w:tcBorders>
              <w:left w:val="nil"/>
            </w:tcBorders>
            <w:vAlign w:val="center"/>
          </w:tcPr>
          <w:p w14:paraId="071D4490" w14:textId="77777777" w:rsidR="008F1400" w:rsidRPr="00A92A49" w:rsidRDefault="008F1400" w:rsidP="00784F52">
            <w:pPr>
              <w:widowControl/>
              <w:wordWrap/>
              <w:autoSpaceDE/>
              <w:autoSpaceDN/>
              <w:adjustRightInd w:val="0"/>
              <w:snapToGrid w:val="0"/>
              <w:rPr>
                <w:rFonts w:ascii="Arial" w:eastAsia="Malgun Gothic" w:hAnsi="Arial" w:cs="Arial"/>
                <w:sz w:val="22"/>
              </w:rPr>
            </w:pPr>
            <w:r w:rsidRPr="00A92A49">
              <w:rPr>
                <w:rFonts w:ascii="Arial" w:eastAsia="Malgun Gothic" w:hAnsi="Arial" w:cs="Arial"/>
                <w:sz w:val="22"/>
              </w:rPr>
              <w:t>(364)</w:t>
            </w:r>
          </w:p>
        </w:tc>
        <w:tc>
          <w:tcPr>
            <w:tcW w:w="709" w:type="dxa"/>
            <w:tcBorders>
              <w:right w:val="nil"/>
            </w:tcBorders>
            <w:vAlign w:val="center"/>
          </w:tcPr>
          <w:p w14:paraId="08DC0216" w14:textId="77777777" w:rsidR="008F1400" w:rsidRPr="00A92A49" w:rsidRDefault="008F1400" w:rsidP="00784F52">
            <w:pPr>
              <w:widowControl/>
              <w:wordWrap/>
              <w:autoSpaceDE/>
              <w:autoSpaceDN/>
              <w:adjustRightInd w:val="0"/>
              <w:snapToGrid w:val="0"/>
              <w:jc w:val="right"/>
              <w:rPr>
                <w:rFonts w:ascii="Arial" w:hAnsi="Arial" w:cs="Arial"/>
                <w:color w:val="FF0000"/>
                <w:sz w:val="22"/>
              </w:rPr>
            </w:pPr>
            <w:r w:rsidRPr="00A92A49">
              <w:rPr>
                <w:rFonts w:ascii="Arial" w:eastAsia="Malgun Gothic" w:hAnsi="Arial" w:cs="Arial"/>
                <w:sz w:val="22"/>
              </w:rPr>
              <w:t>105</w:t>
            </w:r>
          </w:p>
        </w:tc>
        <w:tc>
          <w:tcPr>
            <w:tcW w:w="854" w:type="dxa"/>
            <w:tcBorders>
              <w:left w:val="nil"/>
            </w:tcBorders>
            <w:vAlign w:val="center"/>
          </w:tcPr>
          <w:p w14:paraId="7B48BB30" w14:textId="77777777" w:rsidR="008F1400" w:rsidRPr="00A92A49" w:rsidRDefault="008F1400" w:rsidP="00784F52">
            <w:pPr>
              <w:widowControl/>
              <w:wordWrap/>
              <w:autoSpaceDE/>
              <w:autoSpaceDN/>
              <w:adjustRightInd w:val="0"/>
              <w:snapToGrid w:val="0"/>
              <w:rPr>
                <w:rFonts w:ascii="Arial" w:hAnsi="Arial" w:cs="Arial"/>
                <w:color w:val="FF0000"/>
                <w:sz w:val="22"/>
              </w:rPr>
            </w:pPr>
            <w:r w:rsidRPr="00A92A49">
              <w:rPr>
                <w:rFonts w:ascii="Arial" w:eastAsia="Malgun Gothic" w:hAnsi="Arial" w:cs="Arial"/>
                <w:sz w:val="22"/>
              </w:rPr>
              <w:t>(94)</w:t>
            </w:r>
          </w:p>
        </w:tc>
        <w:tc>
          <w:tcPr>
            <w:tcW w:w="708" w:type="dxa"/>
            <w:tcBorders>
              <w:left w:val="nil"/>
              <w:right w:val="nil"/>
            </w:tcBorders>
            <w:vAlign w:val="center"/>
          </w:tcPr>
          <w:p w14:paraId="30421F4B" w14:textId="77777777" w:rsidR="008F1400" w:rsidRPr="00A92A49" w:rsidRDefault="008F1400" w:rsidP="00784F52">
            <w:pPr>
              <w:widowControl/>
              <w:wordWrap/>
              <w:autoSpaceDE/>
              <w:autoSpaceDN/>
              <w:adjustRightInd w:val="0"/>
              <w:snapToGrid w:val="0"/>
              <w:jc w:val="right"/>
              <w:rPr>
                <w:rFonts w:ascii="Arial" w:eastAsia="Malgun Gothic" w:hAnsi="Arial" w:cs="Arial"/>
                <w:sz w:val="22"/>
              </w:rPr>
            </w:pPr>
            <w:r w:rsidRPr="00A92A49">
              <w:rPr>
                <w:rFonts w:ascii="Arial" w:eastAsia="Malgun Gothic" w:hAnsi="Arial" w:cs="Arial"/>
                <w:sz w:val="22"/>
              </w:rPr>
              <w:t>91</w:t>
            </w:r>
          </w:p>
        </w:tc>
        <w:tc>
          <w:tcPr>
            <w:tcW w:w="851" w:type="dxa"/>
            <w:tcBorders>
              <w:left w:val="nil"/>
            </w:tcBorders>
            <w:vAlign w:val="center"/>
          </w:tcPr>
          <w:p w14:paraId="73B747A6" w14:textId="77777777" w:rsidR="008F1400" w:rsidRPr="00A92A49" w:rsidRDefault="008F1400" w:rsidP="00784F52">
            <w:pPr>
              <w:widowControl/>
              <w:wordWrap/>
              <w:autoSpaceDE/>
              <w:autoSpaceDN/>
              <w:adjustRightInd w:val="0"/>
              <w:snapToGrid w:val="0"/>
              <w:rPr>
                <w:rFonts w:ascii="Arial" w:eastAsia="Malgun Gothic" w:hAnsi="Arial" w:cs="Arial"/>
                <w:sz w:val="22"/>
              </w:rPr>
            </w:pPr>
            <w:r w:rsidRPr="00A92A49">
              <w:rPr>
                <w:rFonts w:ascii="Arial" w:eastAsia="Malgun Gothic" w:hAnsi="Arial" w:cs="Arial"/>
                <w:sz w:val="22"/>
              </w:rPr>
              <w:t>(80)</w:t>
            </w:r>
          </w:p>
        </w:tc>
      </w:tr>
      <w:tr w:rsidR="008F1400" w:rsidRPr="00A92A49" w14:paraId="72FEC74C" w14:textId="77777777" w:rsidTr="00784F52">
        <w:trPr>
          <w:gridAfter w:val="1"/>
          <w:wAfter w:w="11" w:type="dxa"/>
          <w:trHeight w:val="187"/>
        </w:trPr>
        <w:tc>
          <w:tcPr>
            <w:tcW w:w="4540" w:type="dxa"/>
            <w:vAlign w:val="center"/>
          </w:tcPr>
          <w:p w14:paraId="3B0CC50B" w14:textId="77777777" w:rsidR="008F1400" w:rsidRPr="00A92A49" w:rsidRDefault="008F1400" w:rsidP="00784F52">
            <w:pPr>
              <w:widowControl/>
              <w:tabs>
                <w:tab w:val="left" w:pos="2552"/>
              </w:tabs>
              <w:wordWrap/>
              <w:autoSpaceDE/>
              <w:autoSpaceDN/>
              <w:adjustRightInd w:val="0"/>
              <w:snapToGrid w:val="0"/>
              <w:jc w:val="left"/>
              <w:rPr>
                <w:rFonts w:ascii="Arial" w:hAnsi="Arial" w:cs="Arial"/>
                <w:sz w:val="22"/>
              </w:rPr>
            </w:pPr>
            <w:r w:rsidRPr="00A92A49">
              <w:rPr>
                <w:rFonts w:ascii="Arial" w:hAnsi="Arial" w:cs="Arial"/>
                <w:sz w:val="22"/>
              </w:rPr>
              <w:t>Estimated walking time to the facility (min)</w:t>
            </w:r>
          </w:p>
        </w:tc>
        <w:tc>
          <w:tcPr>
            <w:tcW w:w="708" w:type="dxa"/>
            <w:tcBorders>
              <w:right w:val="nil"/>
            </w:tcBorders>
            <w:vAlign w:val="center"/>
          </w:tcPr>
          <w:p w14:paraId="73F01C25" w14:textId="77777777" w:rsidR="008F1400" w:rsidRPr="00A92A49" w:rsidRDefault="008F1400" w:rsidP="00784F52">
            <w:pPr>
              <w:widowControl/>
              <w:wordWrap/>
              <w:autoSpaceDE/>
              <w:autoSpaceDN/>
              <w:adjustRightInd w:val="0"/>
              <w:snapToGrid w:val="0"/>
              <w:jc w:val="right"/>
              <w:rPr>
                <w:rFonts w:ascii="Arial" w:eastAsia="Malgun Gothic" w:hAnsi="Arial" w:cs="Arial"/>
                <w:sz w:val="22"/>
              </w:rPr>
            </w:pPr>
            <w:r w:rsidRPr="00A92A49">
              <w:rPr>
                <w:rFonts w:ascii="Arial" w:eastAsia="Malgun Gothic" w:hAnsi="Arial" w:cs="Arial"/>
                <w:sz w:val="22"/>
              </w:rPr>
              <w:t>715</w:t>
            </w:r>
          </w:p>
        </w:tc>
        <w:tc>
          <w:tcPr>
            <w:tcW w:w="995" w:type="dxa"/>
            <w:tcBorders>
              <w:left w:val="nil"/>
            </w:tcBorders>
            <w:vAlign w:val="center"/>
          </w:tcPr>
          <w:p w14:paraId="5D74BFE2" w14:textId="77777777" w:rsidR="008F1400" w:rsidRPr="00A92A49" w:rsidRDefault="008F1400" w:rsidP="00784F52">
            <w:pPr>
              <w:widowControl/>
              <w:wordWrap/>
              <w:autoSpaceDE/>
              <w:autoSpaceDN/>
              <w:adjustRightInd w:val="0"/>
              <w:snapToGrid w:val="0"/>
              <w:rPr>
                <w:rFonts w:ascii="Arial" w:eastAsia="Malgun Gothic" w:hAnsi="Arial" w:cs="Arial"/>
                <w:sz w:val="22"/>
              </w:rPr>
            </w:pPr>
            <w:r w:rsidRPr="00A92A49">
              <w:rPr>
                <w:rFonts w:ascii="Arial" w:eastAsia="Malgun Gothic" w:hAnsi="Arial" w:cs="Arial"/>
                <w:sz w:val="22"/>
              </w:rPr>
              <w:t>(1,187)</w:t>
            </w:r>
          </w:p>
        </w:tc>
        <w:tc>
          <w:tcPr>
            <w:tcW w:w="709" w:type="dxa"/>
            <w:tcBorders>
              <w:right w:val="nil"/>
            </w:tcBorders>
            <w:vAlign w:val="center"/>
          </w:tcPr>
          <w:p w14:paraId="62F23876" w14:textId="77777777" w:rsidR="008F1400" w:rsidRPr="00A92A49" w:rsidRDefault="008F1400" w:rsidP="00784F52">
            <w:pPr>
              <w:widowControl/>
              <w:wordWrap/>
              <w:autoSpaceDE/>
              <w:autoSpaceDN/>
              <w:adjustRightInd w:val="0"/>
              <w:snapToGrid w:val="0"/>
              <w:jc w:val="right"/>
              <w:rPr>
                <w:rFonts w:ascii="Arial" w:eastAsia="Malgun Gothic" w:hAnsi="Arial" w:cs="Arial"/>
                <w:sz w:val="22"/>
              </w:rPr>
            </w:pPr>
            <w:r w:rsidRPr="00A92A49">
              <w:rPr>
                <w:rFonts w:ascii="Arial" w:eastAsia="Malgun Gothic" w:hAnsi="Arial" w:cs="Arial"/>
                <w:sz w:val="22"/>
              </w:rPr>
              <w:t>199</w:t>
            </w:r>
          </w:p>
        </w:tc>
        <w:tc>
          <w:tcPr>
            <w:tcW w:w="854" w:type="dxa"/>
            <w:tcBorders>
              <w:left w:val="nil"/>
            </w:tcBorders>
            <w:vAlign w:val="center"/>
          </w:tcPr>
          <w:p w14:paraId="016CEE46" w14:textId="77777777" w:rsidR="008F1400" w:rsidRPr="00A92A49" w:rsidRDefault="008F1400" w:rsidP="00784F52">
            <w:pPr>
              <w:widowControl/>
              <w:wordWrap/>
              <w:autoSpaceDE/>
              <w:autoSpaceDN/>
              <w:adjustRightInd w:val="0"/>
              <w:snapToGrid w:val="0"/>
              <w:rPr>
                <w:rFonts w:ascii="Arial" w:eastAsia="Malgun Gothic" w:hAnsi="Arial" w:cs="Arial"/>
                <w:sz w:val="22"/>
              </w:rPr>
            </w:pPr>
            <w:r w:rsidRPr="00A92A49">
              <w:rPr>
                <w:rFonts w:ascii="Arial" w:eastAsia="Malgun Gothic" w:hAnsi="Arial" w:cs="Arial"/>
                <w:sz w:val="22"/>
              </w:rPr>
              <w:t>(501)</w:t>
            </w:r>
          </w:p>
        </w:tc>
        <w:tc>
          <w:tcPr>
            <w:tcW w:w="708" w:type="dxa"/>
            <w:tcBorders>
              <w:left w:val="nil"/>
              <w:right w:val="nil"/>
            </w:tcBorders>
            <w:vAlign w:val="center"/>
          </w:tcPr>
          <w:p w14:paraId="4AFD9A04" w14:textId="77777777" w:rsidR="008F1400" w:rsidRPr="00A92A49" w:rsidRDefault="008F1400" w:rsidP="00784F52">
            <w:pPr>
              <w:widowControl/>
              <w:wordWrap/>
              <w:autoSpaceDE/>
              <w:autoSpaceDN/>
              <w:adjustRightInd w:val="0"/>
              <w:snapToGrid w:val="0"/>
              <w:jc w:val="right"/>
              <w:rPr>
                <w:rFonts w:ascii="Arial" w:eastAsia="Malgun Gothic" w:hAnsi="Arial" w:cs="Arial"/>
                <w:sz w:val="22"/>
              </w:rPr>
            </w:pPr>
            <w:r w:rsidRPr="00A92A49">
              <w:rPr>
                <w:rFonts w:ascii="Arial" w:eastAsia="Malgun Gothic" w:hAnsi="Arial" w:cs="Arial"/>
                <w:sz w:val="22"/>
              </w:rPr>
              <w:t>110</w:t>
            </w:r>
          </w:p>
        </w:tc>
        <w:tc>
          <w:tcPr>
            <w:tcW w:w="851" w:type="dxa"/>
            <w:tcBorders>
              <w:left w:val="nil"/>
            </w:tcBorders>
            <w:vAlign w:val="center"/>
          </w:tcPr>
          <w:p w14:paraId="7E0A7A32" w14:textId="77777777" w:rsidR="008F1400" w:rsidRPr="00A92A49" w:rsidRDefault="008F1400" w:rsidP="00784F52">
            <w:pPr>
              <w:widowControl/>
              <w:wordWrap/>
              <w:autoSpaceDE/>
              <w:autoSpaceDN/>
              <w:adjustRightInd w:val="0"/>
              <w:snapToGrid w:val="0"/>
              <w:rPr>
                <w:rFonts w:ascii="Arial" w:eastAsia="Malgun Gothic" w:hAnsi="Arial" w:cs="Arial"/>
                <w:sz w:val="22"/>
              </w:rPr>
            </w:pPr>
            <w:r w:rsidRPr="00A92A49">
              <w:rPr>
                <w:rFonts w:ascii="Arial" w:eastAsia="Malgun Gothic" w:hAnsi="Arial" w:cs="Arial"/>
                <w:sz w:val="22"/>
              </w:rPr>
              <w:t>(105)</w:t>
            </w:r>
          </w:p>
        </w:tc>
      </w:tr>
      <w:tr w:rsidR="008F1400" w:rsidRPr="00A92A49" w14:paraId="627E3B74" w14:textId="77777777" w:rsidTr="00784F52">
        <w:tblPrEx>
          <w:tblCellMar>
            <w:left w:w="108" w:type="dxa"/>
            <w:right w:w="108" w:type="dxa"/>
          </w:tblCellMar>
        </w:tblPrEx>
        <w:trPr>
          <w:gridAfter w:val="1"/>
          <w:wAfter w:w="11" w:type="dxa"/>
          <w:trHeight w:val="61"/>
        </w:trPr>
        <w:tc>
          <w:tcPr>
            <w:tcW w:w="4540" w:type="dxa"/>
            <w:tcBorders>
              <w:top w:val="nil"/>
            </w:tcBorders>
          </w:tcPr>
          <w:p w14:paraId="3330A79F" w14:textId="77777777" w:rsidR="008F1400" w:rsidRDefault="008F1400" w:rsidP="00784F52">
            <w:pPr>
              <w:widowControl/>
              <w:tabs>
                <w:tab w:val="left" w:pos="2552"/>
              </w:tabs>
              <w:wordWrap/>
              <w:autoSpaceDE/>
              <w:autoSpaceDN/>
              <w:adjustRightInd w:val="0"/>
              <w:snapToGrid w:val="0"/>
              <w:ind w:leftChars="-32" w:left="15" w:hangingChars="36" w:hanging="79"/>
              <w:jc w:val="left"/>
              <w:rPr>
                <w:rFonts w:ascii="Arial" w:hAnsi="Arial" w:cs="Arial"/>
                <w:sz w:val="22"/>
              </w:rPr>
            </w:pPr>
            <w:r w:rsidRPr="00A92A49">
              <w:rPr>
                <w:rFonts w:ascii="Arial" w:hAnsi="Arial" w:cs="Arial"/>
                <w:sz w:val="22"/>
              </w:rPr>
              <w:t>Previously treated for TB</w:t>
            </w:r>
          </w:p>
          <w:p w14:paraId="6C9B3FB9" w14:textId="77777777" w:rsidR="008F1400" w:rsidRPr="00A92A49" w:rsidRDefault="008F1400" w:rsidP="00784F52">
            <w:pPr>
              <w:widowControl/>
              <w:tabs>
                <w:tab w:val="left" w:pos="2552"/>
              </w:tabs>
              <w:wordWrap/>
              <w:autoSpaceDE/>
              <w:autoSpaceDN/>
              <w:adjustRightInd w:val="0"/>
              <w:snapToGrid w:val="0"/>
              <w:ind w:leftChars="-32" w:left="15" w:hangingChars="36" w:hanging="79"/>
              <w:jc w:val="left"/>
              <w:rPr>
                <w:rFonts w:ascii="Arial" w:hAnsi="Arial" w:cs="Arial"/>
                <w:sz w:val="22"/>
              </w:rPr>
            </w:pPr>
            <w:r>
              <w:rPr>
                <w:rFonts w:ascii="Arial" w:hAnsi="Arial" w:cs="Arial"/>
                <w:sz w:val="22"/>
              </w:rPr>
              <w:t xml:space="preserve">  Yes</w:t>
            </w:r>
            <w:r w:rsidRPr="00A92A49">
              <w:rPr>
                <w:rFonts w:ascii="Arial" w:hAnsi="Arial" w:cs="Arial"/>
                <w:sz w:val="22"/>
              </w:rPr>
              <w:t xml:space="preserve">     </w:t>
            </w:r>
          </w:p>
        </w:tc>
        <w:tc>
          <w:tcPr>
            <w:tcW w:w="708" w:type="dxa"/>
            <w:tcBorders>
              <w:top w:val="nil"/>
              <w:right w:val="nil"/>
            </w:tcBorders>
            <w:vAlign w:val="bottom"/>
          </w:tcPr>
          <w:p w14:paraId="1AE8888E"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55</w:t>
            </w:r>
          </w:p>
        </w:tc>
        <w:tc>
          <w:tcPr>
            <w:tcW w:w="995" w:type="dxa"/>
            <w:tcBorders>
              <w:top w:val="nil"/>
              <w:left w:val="nil"/>
            </w:tcBorders>
            <w:vAlign w:val="bottom"/>
          </w:tcPr>
          <w:p w14:paraId="65CB7C3C" w14:textId="77777777" w:rsidR="008F1400" w:rsidRPr="00A92A49" w:rsidRDefault="008F1400" w:rsidP="00784F52">
            <w:pPr>
              <w:widowControl/>
              <w:wordWrap/>
              <w:autoSpaceDE/>
              <w:autoSpaceDN/>
              <w:adjustRightInd w:val="0"/>
              <w:snapToGrid w:val="0"/>
              <w:ind w:leftChars="-43" w:left="20" w:hangingChars="48" w:hanging="106"/>
              <w:rPr>
                <w:rFonts w:ascii="Arial" w:hAnsi="Arial" w:cs="Arial"/>
                <w:sz w:val="22"/>
              </w:rPr>
            </w:pPr>
            <w:r w:rsidRPr="00A92A49">
              <w:rPr>
                <w:rFonts w:ascii="Arial" w:hAnsi="Arial" w:cs="Arial"/>
                <w:sz w:val="22"/>
              </w:rPr>
              <w:t>(28%)</w:t>
            </w:r>
          </w:p>
        </w:tc>
        <w:tc>
          <w:tcPr>
            <w:tcW w:w="709" w:type="dxa"/>
            <w:tcBorders>
              <w:top w:val="nil"/>
              <w:right w:val="nil"/>
            </w:tcBorders>
            <w:vAlign w:val="bottom"/>
          </w:tcPr>
          <w:p w14:paraId="4A6A0308"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20</w:t>
            </w:r>
          </w:p>
        </w:tc>
        <w:tc>
          <w:tcPr>
            <w:tcW w:w="854" w:type="dxa"/>
            <w:tcBorders>
              <w:top w:val="nil"/>
              <w:left w:val="nil"/>
            </w:tcBorders>
            <w:vAlign w:val="bottom"/>
          </w:tcPr>
          <w:p w14:paraId="60031FB3" w14:textId="77777777" w:rsidR="008F1400" w:rsidRPr="00A92A49" w:rsidRDefault="008F1400" w:rsidP="00784F52">
            <w:pPr>
              <w:widowControl/>
              <w:wordWrap/>
              <w:autoSpaceDE/>
              <w:autoSpaceDN/>
              <w:adjustRightInd w:val="0"/>
              <w:snapToGrid w:val="0"/>
              <w:ind w:leftChars="-47" w:left="20" w:hangingChars="52" w:hanging="114"/>
              <w:rPr>
                <w:rFonts w:ascii="Arial" w:hAnsi="Arial" w:cs="Arial"/>
                <w:sz w:val="22"/>
              </w:rPr>
            </w:pPr>
            <w:r w:rsidRPr="00A92A49">
              <w:rPr>
                <w:rFonts w:ascii="Arial" w:hAnsi="Arial" w:cs="Arial"/>
                <w:sz w:val="22"/>
              </w:rPr>
              <w:t>(13%)</w:t>
            </w:r>
          </w:p>
        </w:tc>
        <w:tc>
          <w:tcPr>
            <w:tcW w:w="708" w:type="dxa"/>
            <w:tcBorders>
              <w:top w:val="nil"/>
              <w:right w:val="nil"/>
            </w:tcBorders>
            <w:vAlign w:val="bottom"/>
          </w:tcPr>
          <w:p w14:paraId="72E3EF0A"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34</w:t>
            </w:r>
          </w:p>
        </w:tc>
        <w:tc>
          <w:tcPr>
            <w:tcW w:w="851" w:type="dxa"/>
            <w:tcBorders>
              <w:top w:val="nil"/>
              <w:left w:val="nil"/>
            </w:tcBorders>
            <w:vAlign w:val="bottom"/>
          </w:tcPr>
          <w:p w14:paraId="2D564ABF" w14:textId="77777777" w:rsidR="008F1400" w:rsidRPr="00A92A49" w:rsidRDefault="008F1400" w:rsidP="00784F52">
            <w:pPr>
              <w:widowControl/>
              <w:wordWrap/>
              <w:autoSpaceDE/>
              <w:autoSpaceDN/>
              <w:adjustRightInd w:val="0"/>
              <w:snapToGrid w:val="0"/>
              <w:ind w:leftChars="-43" w:left="20" w:hangingChars="48" w:hanging="106"/>
              <w:rPr>
                <w:rFonts w:ascii="Arial" w:hAnsi="Arial" w:cs="Arial"/>
                <w:sz w:val="22"/>
              </w:rPr>
            </w:pPr>
            <w:proofErr w:type="gramStart"/>
            <w:r w:rsidRPr="00A92A49">
              <w:rPr>
                <w:rFonts w:ascii="Arial" w:hAnsi="Arial" w:cs="Arial"/>
                <w:sz w:val="22"/>
              </w:rPr>
              <w:t>( 2</w:t>
            </w:r>
            <w:proofErr w:type="gramEnd"/>
            <w:r w:rsidRPr="00A92A49">
              <w:rPr>
                <w:rFonts w:ascii="Arial" w:hAnsi="Arial" w:cs="Arial"/>
                <w:sz w:val="22"/>
              </w:rPr>
              <w:t>%)</w:t>
            </w:r>
          </w:p>
        </w:tc>
      </w:tr>
      <w:tr w:rsidR="008F1400" w:rsidRPr="00A92A49" w14:paraId="544CA7DF" w14:textId="77777777" w:rsidTr="00784F52">
        <w:tblPrEx>
          <w:tblCellMar>
            <w:left w:w="108" w:type="dxa"/>
            <w:right w:w="108" w:type="dxa"/>
          </w:tblCellMar>
        </w:tblPrEx>
        <w:trPr>
          <w:gridAfter w:val="1"/>
          <w:wAfter w:w="11" w:type="dxa"/>
          <w:trHeight w:val="61"/>
        </w:trPr>
        <w:tc>
          <w:tcPr>
            <w:tcW w:w="4540" w:type="dxa"/>
          </w:tcPr>
          <w:p w14:paraId="1FBBC894" w14:textId="77777777" w:rsidR="008F1400" w:rsidRPr="00A92A49" w:rsidRDefault="008F1400" w:rsidP="00784F52">
            <w:pPr>
              <w:widowControl/>
              <w:tabs>
                <w:tab w:val="left" w:pos="2552"/>
              </w:tabs>
              <w:wordWrap/>
              <w:autoSpaceDE/>
              <w:autoSpaceDN/>
              <w:adjustRightInd w:val="0"/>
              <w:snapToGrid w:val="0"/>
              <w:ind w:leftChars="-32" w:left="15" w:rightChars="65" w:right="130" w:hangingChars="36" w:hanging="79"/>
              <w:jc w:val="left"/>
              <w:rPr>
                <w:rFonts w:ascii="Arial" w:hAnsi="Arial" w:cs="Arial"/>
                <w:sz w:val="22"/>
              </w:rPr>
            </w:pPr>
            <w:r w:rsidRPr="00A92A49">
              <w:rPr>
                <w:rFonts w:ascii="Arial" w:hAnsi="Arial" w:cs="Arial"/>
                <w:sz w:val="22"/>
              </w:rPr>
              <w:t xml:space="preserve">Days since starting TB treatment </w:t>
            </w:r>
            <w:r>
              <w:rPr>
                <w:rFonts w:ascii="Arial" w:hAnsi="Arial" w:cs="Arial"/>
                <w:sz w:val="22"/>
              </w:rPr>
              <w:t>(days)</w:t>
            </w:r>
          </w:p>
        </w:tc>
        <w:tc>
          <w:tcPr>
            <w:tcW w:w="708" w:type="dxa"/>
            <w:tcBorders>
              <w:right w:val="nil"/>
            </w:tcBorders>
            <w:vAlign w:val="center"/>
          </w:tcPr>
          <w:p w14:paraId="020A9DC7"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13</w:t>
            </w:r>
          </w:p>
        </w:tc>
        <w:tc>
          <w:tcPr>
            <w:tcW w:w="995" w:type="dxa"/>
            <w:tcBorders>
              <w:left w:val="nil"/>
            </w:tcBorders>
            <w:vAlign w:val="center"/>
          </w:tcPr>
          <w:p w14:paraId="6C537DC2" w14:textId="77777777" w:rsidR="008F1400" w:rsidRPr="00A92A49" w:rsidRDefault="008F1400" w:rsidP="00784F52">
            <w:pPr>
              <w:widowControl/>
              <w:wordWrap/>
              <w:autoSpaceDE/>
              <w:autoSpaceDN/>
              <w:adjustRightInd w:val="0"/>
              <w:snapToGrid w:val="0"/>
              <w:ind w:leftChars="-43" w:left="20" w:hangingChars="48" w:hanging="106"/>
              <w:rPr>
                <w:rFonts w:ascii="Arial" w:hAnsi="Arial" w:cs="Arial"/>
                <w:sz w:val="22"/>
              </w:rPr>
            </w:pPr>
            <w:r w:rsidRPr="00A92A49">
              <w:rPr>
                <w:rFonts w:ascii="Arial" w:hAnsi="Arial" w:cs="Arial"/>
                <w:sz w:val="22"/>
              </w:rPr>
              <w:t>(14)</w:t>
            </w:r>
          </w:p>
        </w:tc>
        <w:tc>
          <w:tcPr>
            <w:tcW w:w="709" w:type="dxa"/>
            <w:tcBorders>
              <w:right w:val="nil"/>
            </w:tcBorders>
            <w:vAlign w:val="center"/>
          </w:tcPr>
          <w:p w14:paraId="5A0C6A99"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101</w:t>
            </w:r>
          </w:p>
        </w:tc>
        <w:tc>
          <w:tcPr>
            <w:tcW w:w="854" w:type="dxa"/>
            <w:tcBorders>
              <w:left w:val="nil"/>
            </w:tcBorders>
            <w:vAlign w:val="center"/>
          </w:tcPr>
          <w:p w14:paraId="29624860" w14:textId="77777777" w:rsidR="008F1400" w:rsidRPr="00A92A49" w:rsidRDefault="008F1400" w:rsidP="00784F52">
            <w:pPr>
              <w:widowControl/>
              <w:wordWrap/>
              <w:autoSpaceDE/>
              <w:autoSpaceDN/>
              <w:adjustRightInd w:val="0"/>
              <w:snapToGrid w:val="0"/>
              <w:ind w:leftChars="-47" w:left="20" w:hangingChars="52" w:hanging="114"/>
              <w:rPr>
                <w:rFonts w:ascii="Arial" w:hAnsi="Arial" w:cs="Arial"/>
                <w:sz w:val="22"/>
              </w:rPr>
            </w:pPr>
            <w:r w:rsidRPr="00A92A49">
              <w:rPr>
                <w:rFonts w:ascii="Arial" w:hAnsi="Arial" w:cs="Arial"/>
                <w:sz w:val="22"/>
              </w:rPr>
              <w:t>(58)</w:t>
            </w:r>
          </w:p>
        </w:tc>
        <w:tc>
          <w:tcPr>
            <w:tcW w:w="708" w:type="dxa"/>
            <w:tcBorders>
              <w:right w:val="nil"/>
            </w:tcBorders>
            <w:vAlign w:val="center"/>
          </w:tcPr>
          <w:p w14:paraId="3A7F47B8"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w:t>
            </w:r>
          </w:p>
        </w:tc>
        <w:tc>
          <w:tcPr>
            <w:tcW w:w="851" w:type="dxa"/>
            <w:tcBorders>
              <w:left w:val="nil"/>
            </w:tcBorders>
            <w:vAlign w:val="center"/>
          </w:tcPr>
          <w:p w14:paraId="3FEF2434" w14:textId="77777777" w:rsidR="008F1400" w:rsidRPr="00A92A49" w:rsidRDefault="008F1400" w:rsidP="00784F52">
            <w:pPr>
              <w:widowControl/>
              <w:wordWrap/>
              <w:autoSpaceDE/>
              <w:autoSpaceDN/>
              <w:adjustRightInd w:val="0"/>
              <w:snapToGrid w:val="0"/>
              <w:ind w:leftChars="-43" w:left="20" w:hangingChars="48" w:hanging="106"/>
              <w:rPr>
                <w:rFonts w:ascii="Arial" w:hAnsi="Arial" w:cs="Arial"/>
                <w:sz w:val="22"/>
              </w:rPr>
            </w:pPr>
          </w:p>
        </w:tc>
      </w:tr>
      <w:tr w:rsidR="008F1400" w:rsidRPr="00A92A49" w14:paraId="10CC2B6A" w14:textId="77777777" w:rsidTr="00784F52">
        <w:tblPrEx>
          <w:tblCellMar>
            <w:left w:w="108" w:type="dxa"/>
            <w:right w:w="108" w:type="dxa"/>
          </w:tblCellMar>
        </w:tblPrEx>
        <w:trPr>
          <w:gridAfter w:val="1"/>
          <w:wAfter w:w="11" w:type="dxa"/>
          <w:trHeight w:val="61"/>
        </w:trPr>
        <w:tc>
          <w:tcPr>
            <w:tcW w:w="4540" w:type="dxa"/>
          </w:tcPr>
          <w:p w14:paraId="1BD0ECB5" w14:textId="77777777" w:rsidR="008F1400" w:rsidRPr="00A92A49" w:rsidRDefault="008F1400" w:rsidP="00784F52">
            <w:pPr>
              <w:widowControl/>
              <w:tabs>
                <w:tab w:val="left" w:pos="2552"/>
              </w:tabs>
              <w:wordWrap/>
              <w:autoSpaceDE/>
              <w:autoSpaceDN/>
              <w:adjustRightInd w:val="0"/>
              <w:snapToGrid w:val="0"/>
              <w:ind w:leftChars="-32" w:left="15" w:rightChars="65" w:right="130" w:hangingChars="36" w:hanging="79"/>
              <w:jc w:val="left"/>
              <w:rPr>
                <w:rFonts w:ascii="Arial" w:hAnsi="Arial" w:cs="Arial"/>
                <w:sz w:val="22"/>
              </w:rPr>
            </w:pPr>
            <w:r w:rsidRPr="00A92A49">
              <w:rPr>
                <w:rFonts w:ascii="Arial" w:hAnsi="Arial" w:cs="Arial"/>
                <w:sz w:val="22"/>
              </w:rPr>
              <w:t>Days in hospital</w:t>
            </w:r>
            <w:r>
              <w:rPr>
                <w:rFonts w:ascii="Arial" w:hAnsi="Arial" w:cs="Arial"/>
                <w:sz w:val="22"/>
              </w:rPr>
              <w:t xml:space="preserve"> (days)</w:t>
            </w:r>
          </w:p>
        </w:tc>
        <w:tc>
          <w:tcPr>
            <w:tcW w:w="708" w:type="dxa"/>
            <w:tcBorders>
              <w:right w:val="nil"/>
            </w:tcBorders>
            <w:vAlign w:val="center"/>
          </w:tcPr>
          <w:p w14:paraId="3915954D"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15</w:t>
            </w:r>
          </w:p>
        </w:tc>
        <w:tc>
          <w:tcPr>
            <w:tcW w:w="995" w:type="dxa"/>
            <w:tcBorders>
              <w:left w:val="nil"/>
            </w:tcBorders>
            <w:vAlign w:val="center"/>
          </w:tcPr>
          <w:p w14:paraId="0C0D71A2" w14:textId="77777777" w:rsidR="008F1400" w:rsidRPr="00A92A49" w:rsidRDefault="008F1400" w:rsidP="00784F52">
            <w:pPr>
              <w:widowControl/>
              <w:wordWrap/>
              <w:autoSpaceDE/>
              <w:autoSpaceDN/>
              <w:adjustRightInd w:val="0"/>
              <w:snapToGrid w:val="0"/>
              <w:ind w:leftChars="-43" w:left="20" w:hangingChars="48" w:hanging="106"/>
              <w:rPr>
                <w:rFonts w:ascii="Arial" w:hAnsi="Arial" w:cs="Arial"/>
                <w:sz w:val="22"/>
              </w:rPr>
            </w:pPr>
            <w:r w:rsidRPr="00A92A49">
              <w:rPr>
                <w:rFonts w:ascii="Arial" w:hAnsi="Arial" w:cs="Arial"/>
                <w:sz w:val="22"/>
              </w:rPr>
              <w:t>(15)</w:t>
            </w:r>
          </w:p>
        </w:tc>
        <w:tc>
          <w:tcPr>
            <w:tcW w:w="709" w:type="dxa"/>
            <w:tcBorders>
              <w:right w:val="nil"/>
            </w:tcBorders>
            <w:vAlign w:val="center"/>
          </w:tcPr>
          <w:p w14:paraId="7ACD1257"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w:t>
            </w:r>
          </w:p>
        </w:tc>
        <w:tc>
          <w:tcPr>
            <w:tcW w:w="854" w:type="dxa"/>
            <w:tcBorders>
              <w:left w:val="nil"/>
            </w:tcBorders>
            <w:vAlign w:val="center"/>
          </w:tcPr>
          <w:p w14:paraId="2845802E" w14:textId="77777777" w:rsidR="008F1400" w:rsidRPr="00A92A49" w:rsidRDefault="008F1400" w:rsidP="00784F52">
            <w:pPr>
              <w:widowControl/>
              <w:wordWrap/>
              <w:autoSpaceDE/>
              <w:autoSpaceDN/>
              <w:adjustRightInd w:val="0"/>
              <w:snapToGrid w:val="0"/>
              <w:jc w:val="center"/>
              <w:rPr>
                <w:rFonts w:ascii="Arial" w:hAnsi="Arial" w:cs="Arial"/>
                <w:sz w:val="22"/>
              </w:rPr>
            </w:pPr>
          </w:p>
        </w:tc>
        <w:tc>
          <w:tcPr>
            <w:tcW w:w="708" w:type="dxa"/>
            <w:tcBorders>
              <w:right w:val="nil"/>
            </w:tcBorders>
            <w:vAlign w:val="center"/>
          </w:tcPr>
          <w:p w14:paraId="0D531FD5" w14:textId="77777777" w:rsidR="008F1400" w:rsidRPr="00A92A49" w:rsidRDefault="008F1400" w:rsidP="00784F52">
            <w:pPr>
              <w:widowControl/>
              <w:wordWrap/>
              <w:autoSpaceDE/>
              <w:autoSpaceDN/>
              <w:adjustRightInd w:val="0"/>
              <w:snapToGrid w:val="0"/>
              <w:jc w:val="right"/>
              <w:rPr>
                <w:rFonts w:ascii="Arial" w:hAnsi="Arial" w:cs="Arial"/>
                <w:sz w:val="22"/>
              </w:rPr>
            </w:pPr>
            <w:r w:rsidRPr="00A92A49">
              <w:rPr>
                <w:rFonts w:ascii="Arial" w:hAnsi="Arial" w:cs="Arial"/>
                <w:sz w:val="22"/>
              </w:rPr>
              <w:t>-</w:t>
            </w:r>
          </w:p>
        </w:tc>
        <w:tc>
          <w:tcPr>
            <w:tcW w:w="851" w:type="dxa"/>
            <w:tcBorders>
              <w:left w:val="nil"/>
            </w:tcBorders>
            <w:vAlign w:val="center"/>
          </w:tcPr>
          <w:p w14:paraId="48F8EDEB" w14:textId="77777777" w:rsidR="008F1400" w:rsidRPr="00A92A49" w:rsidRDefault="008F1400" w:rsidP="00784F52">
            <w:pPr>
              <w:widowControl/>
              <w:wordWrap/>
              <w:autoSpaceDE/>
              <w:autoSpaceDN/>
              <w:adjustRightInd w:val="0"/>
              <w:snapToGrid w:val="0"/>
              <w:ind w:leftChars="-43" w:left="20" w:hangingChars="48" w:hanging="106"/>
              <w:rPr>
                <w:rFonts w:ascii="Arial" w:hAnsi="Arial" w:cs="Arial"/>
                <w:sz w:val="22"/>
              </w:rPr>
            </w:pPr>
          </w:p>
        </w:tc>
      </w:tr>
    </w:tbl>
    <w:bookmarkEnd w:id="4"/>
    <w:p w14:paraId="180725B0" w14:textId="44A49CCB" w:rsidR="00A90EEF" w:rsidRDefault="00A90EEF" w:rsidP="00D4012B">
      <w:pPr>
        <w:wordWrap/>
        <w:adjustRightInd w:val="0"/>
        <w:snapToGrid w:val="0"/>
        <w:spacing w:after="0" w:line="240" w:lineRule="auto"/>
        <w:jc w:val="left"/>
        <w:rPr>
          <w:rFonts w:ascii="Arial" w:hAnsi="Arial" w:cs="Arial"/>
          <w:bCs/>
          <w:szCs w:val="20"/>
        </w:rPr>
      </w:pPr>
      <w:r w:rsidRPr="00D4012B">
        <w:rPr>
          <w:rFonts w:ascii="Arial" w:hAnsi="Arial" w:cs="Arial"/>
          <w:b/>
          <w:szCs w:val="20"/>
        </w:rPr>
        <w:t>*</w:t>
      </w:r>
      <w:r w:rsidRPr="00D4012B">
        <w:rPr>
          <w:rFonts w:ascii="Arial" w:hAnsi="Arial" w:cs="Arial"/>
          <w:bCs/>
          <w:szCs w:val="20"/>
        </w:rPr>
        <w:t>Each categorical value and parenthesis indicate n (%), and continuous value and parenthesis indicate mean (SD).</w:t>
      </w:r>
    </w:p>
    <w:p w14:paraId="04B180D0" w14:textId="0225A6E2" w:rsidR="00A90EEF" w:rsidRDefault="00A90EEF" w:rsidP="00E4197B">
      <w:pPr>
        <w:wordWrap/>
        <w:adjustRightInd w:val="0"/>
        <w:snapToGrid w:val="0"/>
        <w:spacing w:after="0" w:line="240" w:lineRule="auto"/>
        <w:jc w:val="left"/>
        <w:rPr>
          <w:rFonts w:ascii="Arial" w:hAnsi="Arial" w:cs="Arial"/>
          <w:b/>
          <w:sz w:val="24"/>
          <w:szCs w:val="24"/>
        </w:rPr>
      </w:pPr>
      <w:r w:rsidRPr="0000718A">
        <w:rPr>
          <w:rFonts w:ascii="Arial" w:hAnsi="Arial" w:cs="Arial"/>
          <w:b/>
          <w:sz w:val="24"/>
          <w:szCs w:val="24"/>
        </w:rPr>
        <w:lastRenderedPageBreak/>
        <w:t>Table 2. Reported</w:t>
      </w:r>
      <w:r w:rsidR="00A20244">
        <w:rPr>
          <w:rFonts w:ascii="Arial" w:hAnsi="Arial" w:cs="Arial"/>
          <w:b/>
          <w:sz w:val="24"/>
          <w:szCs w:val="24"/>
        </w:rPr>
        <w:t xml:space="preserve"> and estimated</w:t>
      </w:r>
      <w:r w:rsidRPr="0000718A">
        <w:rPr>
          <w:rFonts w:ascii="Arial" w:hAnsi="Arial" w:cs="Arial"/>
          <w:b/>
          <w:sz w:val="24"/>
          <w:szCs w:val="24"/>
        </w:rPr>
        <w:t xml:space="preserve"> out-of-pocket and opportunity costs </w:t>
      </w:r>
      <w:r w:rsidR="00A20244">
        <w:rPr>
          <w:rFonts w:ascii="Arial" w:hAnsi="Arial" w:cs="Arial"/>
          <w:b/>
          <w:sz w:val="24"/>
          <w:szCs w:val="24"/>
        </w:rPr>
        <w:t xml:space="preserve">per clinic visit </w:t>
      </w:r>
      <w:r w:rsidRPr="0000718A">
        <w:rPr>
          <w:rFonts w:ascii="Arial" w:hAnsi="Arial" w:cs="Arial"/>
          <w:b/>
          <w:sz w:val="24"/>
          <w:szCs w:val="24"/>
        </w:rPr>
        <w:t>in rural Thyolo, Malawi (in 2017 US dollars)</w:t>
      </w:r>
    </w:p>
    <w:p w14:paraId="2E1CEC72" w14:textId="37B7BFAB" w:rsidR="00E4197B" w:rsidRDefault="00E4197B" w:rsidP="00E4197B">
      <w:pPr>
        <w:wordWrap/>
        <w:adjustRightInd w:val="0"/>
        <w:snapToGrid w:val="0"/>
        <w:spacing w:after="0" w:line="240" w:lineRule="auto"/>
        <w:jc w:val="left"/>
        <w:rPr>
          <w:rFonts w:ascii="Arial" w:hAnsi="Arial" w:cs="Arial"/>
          <w:b/>
          <w:sz w:val="24"/>
          <w:szCs w:val="24"/>
        </w:rPr>
      </w:pPr>
    </w:p>
    <w:tbl>
      <w:tblPr>
        <w:tblW w:w="9342" w:type="dxa"/>
        <w:tblLayout w:type="fixed"/>
        <w:tblCellMar>
          <w:left w:w="0" w:type="dxa"/>
          <w:right w:w="0" w:type="dxa"/>
        </w:tblCellMar>
        <w:tblLook w:val="04A0" w:firstRow="1" w:lastRow="0" w:firstColumn="1" w:lastColumn="0" w:noHBand="0" w:noVBand="1"/>
      </w:tblPr>
      <w:tblGrid>
        <w:gridCol w:w="2542"/>
        <w:gridCol w:w="831"/>
        <w:gridCol w:w="843"/>
        <w:gridCol w:w="846"/>
        <w:gridCol w:w="980"/>
        <w:gridCol w:w="685"/>
        <w:gridCol w:w="924"/>
        <w:gridCol w:w="703"/>
        <w:gridCol w:w="988"/>
      </w:tblGrid>
      <w:tr w:rsidR="0041048E" w:rsidRPr="00386091" w14:paraId="095DEEB1" w14:textId="4E648E44" w:rsidTr="00373B25">
        <w:trPr>
          <w:trHeight w:val="1086"/>
        </w:trPr>
        <w:tc>
          <w:tcPr>
            <w:tcW w:w="25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086DB1" w14:textId="77777777" w:rsidR="0041048E" w:rsidRPr="00A20244" w:rsidRDefault="0041048E" w:rsidP="0041048E">
            <w:pPr>
              <w:widowControl/>
              <w:wordWrap/>
              <w:autoSpaceDE/>
              <w:autoSpaceDN/>
              <w:spacing w:after="0" w:line="240" w:lineRule="auto"/>
              <w:jc w:val="center"/>
              <w:rPr>
                <w:rFonts w:ascii="Arial" w:eastAsia="Malgun Gothic" w:hAnsi="Arial" w:cs="Arial"/>
                <w:color w:val="000000"/>
                <w:kern w:val="0"/>
                <w:szCs w:val="20"/>
              </w:rPr>
            </w:pPr>
            <w:r w:rsidRPr="00A20244">
              <w:rPr>
                <w:rFonts w:ascii="Arial" w:eastAsia="Malgun Gothic" w:hAnsi="Arial" w:cs="Arial"/>
                <w:color w:val="000000"/>
                <w:kern w:val="0"/>
                <w:szCs w:val="20"/>
              </w:rPr>
              <w:t>Cost component</w:t>
            </w:r>
          </w:p>
        </w:tc>
        <w:tc>
          <w:tcPr>
            <w:tcW w:w="3500" w:type="dxa"/>
            <w:gridSpan w:val="4"/>
            <w:tcBorders>
              <w:top w:val="single" w:sz="8" w:space="0" w:color="auto"/>
              <w:left w:val="single" w:sz="8" w:space="0" w:color="auto"/>
              <w:bottom w:val="single" w:sz="8" w:space="0" w:color="000000"/>
              <w:right w:val="single" w:sz="8" w:space="0" w:color="000000"/>
            </w:tcBorders>
            <w:shd w:val="clear" w:color="auto" w:fill="auto"/>
            <w:vAlign w:val="center"/>
            <w:hideMark/>
          </w:tcPr>
          <w:p w14:paraId="47650D25" w14:textId="797FF06F" w:rsidR="0041048E" w:rsidRPr="00A20244" w:rsidRDefault="0041048E" w:rsidP="0041048E">
            <w:pPr>
              <w:widowControl/>
              <w:wordWrap/>
              <w:autoSpaceDE/>
              <w:autoSpaceDN/>
              <w:spacing w:after="0" w:line="240" w:lineRule="auto"/>
              <w:jc w:val="center"/>
              <w:rPr>
                <w:rFonts w:ascii="Arial" w:eastAsia="Malgun Gothic" w:hAnsi="Arial" w:cs="Arial"/>
                <w:color w:val="000000"/>
                <w:kern w:val="0"/>
                <w:szCs w:val="20"/>
              </w:rPr>
            </w:pPr>
            <w:r>
              <w:rPr>
                <w:rFonts w:ascii="Arial" w:eastAsia="Malgun Gothic" w:hAnsi="Arial" w:cs="Arial"/>
                <w:color w:val="000000"/>
                <w:kern w:val="0"/>
                <w:szCs w:val="20"/>
              </w:rPr>
              <w:t>Reported c</w:t>
            </w:r>
            <w:r w:rsidRPr="00A20244">
              <w:rPr>
                <w:rFonts w:ascii="Arial" w:eastAsia="Malgun Gothic" w:hAnsi="Arial" w:cs="Arial"/>
                <w:color w:val="000000"/>
                <w:kern w:val="0"/>
                <w:szCs w:val="20"/>
              </w:rPr>
              <w:t>ost from admission to time of survey among inpatients being treated for TB</w:t>
            </w:r>
          </w:p>
        </w:tc>
        <w:tc>
          <w:tcPr>
            <w:tcW w:w="160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B62960" w14:textId="3C37C558" w:rsidR="0041048E" w:rsidRPr="00A20244" w:rsidRDefault="0041048E" w:rsidP="0041048E">
            <w:pPr>
              <w:widowControl/>
              <w:wordWrap/>
              <w:autoSpaceDE/>
              <w:autoSpaceDN/>
              <w:spacing w:after="0" w:line="240" w:lineRule="auto"/>
              <w:jc w:val="center"/>
              <w:rPr>
                <w:rFonts w:ascii="Arial" w:eastAsia="Malgun Gothic" w:hAnsi="Arial" w:cs="Arial"/>
                <w:color w:val="000000"/>
                <w:kern w:val="0"/>
                <w:szCs w:val="20"/>
              </w:rPr>
            </w:pPr>
            <w:r>
              <w:rPr>
                <w:rFonts w:ascii="Arial" w:eastAsia="Malgun Gothic" w:hAnsi="Arial" w:cs="Arial"/>
                <w:color w:val="000000"/>
                <w:kern w:val="0"/>
                <w:szCs w:val="20"/>
              </w:rPr>
              <w:t>Reported c</w:t>
            </w:r>
            <w:r w:rsidRPr="00A20244">
              <w:rPr>
                <w:rFonts w:ascii="Arial" w:eastAsia="Malgun Gothic" w:hAnsi="Arial" w:cs="Arial"/>
                <w:color w:val="000000"/>
                <w:kern w:val="0"/>
                <w:szCs w:val="20"/>
              </w:rPr>
              <w:t>ost per clinic visit among outpatients receiving new HIV diagnoses</w:t>
            </w:r>
          </w:p>
        </w:tc>
        <w:tc>
          <w:tcPr>
            <w:tcW w:w="1691" w:type="dxa"/>
            <w:gridSpan w:val="2"/>
            <w:vMerge w:val="restart"/>
            <w:tcBorders>
              <w:top w:val="single" w:sz="8" w:space="0" w:color="auto"/>
              <w:left w:val="single" w:sz="8" w:space="0" w:color="auto"/>
              <w:bottom w:val="nil"/>
              <w:right w:val="single" w:sz="8" w:space="0" w:color="000000"/>
            </w:tcBorders>
            <w:vAlign w:val="center"/>
          </w:tcPr>
          <w:p w14:paraId="7CA9BCCE" w14:textId="77777777" w:rsidR="00373B25" w:rsidRDefault="0041048E" w:rsidP="0041048E">
            <w:pPr>
              <w:widowControl/>
              <w:wordWrap/>
              <w:autoSpaceDE/>
              <w:autoSpaceDN/>
              <w:spacing w:after="0" w:line="240" w:lineRule="auto"/>
              <w:jc w:val="center"/>
              <w:rPr>
                <w:rFonts w:ascii="Arial" w:hAnsi="Arial" w:cs="Arial"/>
                <w:szCs w:val="20"/>
              </w:rPr>
            </w:pPr>
            <w:r w:rsidRPr="000051C8">
              <w:rPr>
                <w:rFonts w:ascii="Arial" w:hAnsi="Arial" w:cs="Arial"/>
                <w:szCs w:val="20"/>
              </w:rPr>
              <w:t xml:space="preserve">Estimated cost </w:t>
            </w:r>
          </w:p>
          <w:p w14:paraId="6AD76030" w14:textId="77777777" w:rsidR="00373B25" w:rsidRDefault="0041048E" w:rsidP="0041048E">
            <w:pPr>
              <w:widowControl/>
              <w:wordWrap/>
              <w:autoSpaceDE/>
              <w:autoSpaceDN/>
              <w:spacing w:after="0" w:line="240" w:lineRule="auto"/>
              <w:jc w:val="center"/>
              <w:rPr>
                <w:rFonts w:ascii="Arial" w:hAnsi="Arial" w:cs="Arial"/>
                <w:szCs w:val="20"/>
              </w:rPr>
            </w:pPr>
            <w:r w:rsidRPr="000051C8">
              <w:rPr>
                <w:rFonts w:ascii="Arial" w:hAnsi="Arial" w:cs="Arial"/>
                <w:szCs w:val="20"/>
              </w:rPr>
              <w:t xml:space="preserve">per clinic visit among outpatients being treated </w:t>
            </w:r>
          </w:p>
          <w:p w14:paraId="02B29681" w14:textId="120527DF" w:rsidR="0041048E" w:rsidRPr="00A20244" w:rsidRDefault="0041048E" w:rsidP="0041048E">
            <w:pPr>
              <w:widowControl/>
              <w:wordWrap/>
              <w:autoSpaceDE/>
              <w:autoSpaceDN/>
              <w:spacing w:after="0" w:line="240" w:lineRule="auto"/>
              <w:jc w:val="center"/>
              <w:rPr>
                <w:rFonts w:ascii="Arial" w:eastAsia="Malgun Gothic" w:hAnsi="Arial" w:cs="Arial"/>
                <w:color w:val="000000"/>
                <w:kern w:val="0"/>
                <w:szCs w:val="20"/>
              </w:rPr>
            </w:pPr>
            <w:r w:rsidRPr="000051C8">
              <w:rPr>
                <w:rFonts w:ascii="Arial" w:hAnsi="Arial" w:cs="Arial"/>
                <w:szCs w:val="20"/>
              </w:rPr>
              <w:t>for TB</w:t>
            </w:r>
          </w:p>
        </w:tc>
      </w:tr>
      <w:tr w:rsidR="0041048E" w:rsidRPr="00386091" w14:paraId="3C866326" w14:textId="0DB61227" w:rsidTr="00373B25">
        <w:trPr>
          <w:trHeight w:val="67"/>
        </w:trPr>
        <w:tc>
          <w:tcPr>
            <w:tcW w:w="2542" w:type="dxa"/>
            <w:vMerge/>
            <w:tcBorders>
              <w:top w:val="single" w:sz="8" w:space="0" w:color="auto"/>
              <w:left w:val="single" w:sz="8" w:space="0" w:color="auto"/>
              <w:bottom w:val="single" w:sz="8" w:space="0" w:color="000000"/>
              <w:right w:val="single" w:sz="8" w:space="0" w:color="auto"/>
            </w:tcBorders>
            <w:vAlign w:val="center"/>
            <w:hideMark/>
          </w:tcPr>
          <w:p w14:paraId="739D9422" w14:textId="77777777" w:rsidR="0041048E" w:rsidRPr="00A20244" w:rsidRDefault="0041048E" w:rsidP="0041048E">
            <w:pPr>
              <w:widowControl/>
              <w:wordWrap/>
              <w:autoSpaceDE/>
              <w:autoSpaceDN/>
              <w:spacing w:after="0" w:line="240" w:lineRule="auto"/>
              <w:jc w:val="left"/>
              <w:rPr>
                <w:rFonts w:ascii="Arial" w:eastAsia="Malgun Gothic" w:hAnsi="Arial" w:cs="Arial"/>
                <w:color w:val="000000"/>
                <w:kern w:val="0"/>
                <w:szCs w:val="20"/>
              </w:rPr>
            </w:pPr>
          </w:p>
        </w:tc>
        <w:tc>
          <w:tcPr>
            <w:tcW w:w="1674" w:type="dxa"/>
            <w:gridSpan w:val="2"/>
            <w:tcBorders>
              <w:top w:val="single" w:sz="8" w:space="0" w:color="auto"/>
              <w:left w:val="nil"/>
              <w:bottom w:val="single" w:sz="8" w:space="0" w:color="auto"/>
              <w:right w:val="single" w:sz="8" w:space="0" w:color="000000"/>
            </w:tcBorders>
            <w:shd w:val="clear" w:color="auto" w:fill="auto"/>
            <w:vAlign w:val="center"/>
            <w:hideMark/>
          </w:tcPr>
          <w:p w14:paraId="082BB386" w14:textId="04C72A65" w:rsidR="0041048E" w:rsidRPr="00A20244" w:rsidRDefault="0041048E" w:rsidP="0041048E">
            <w:pPr>
              <w:widowControl/>
              <w:wordWrap/>
              <w:autoSpaceDE/>
              <w:autoSpaceDN/>
              <w:spacing w:after="0" w:line="240" w:lineRule="auto"/>
              <w:jc w:val="center"/>
              <w:rPr>
                <w:rFonts w:ascii="Arial" w:eastAsia="Malgun Gothic" w:hAnsi="Arial" w:cs="Arial"/>
                <w:color w:val="000000"/>
                <w:kern w:val="0"/>
                <w:szCs w:val="20"/>
              </w:rPr>
            </w:pPr>
            <w:r w:rsidRPr="00A20244">
              <w:rPr>
                <w:rFonts w:ascii="Arial" w:eastAsia="Malgun Gothic" w:hAnsi="Arial" w:cs="Arial"/>
                <w:color w:val="000000"/>
                <w:kern w:val="0"/>
                <w:szCs w:val="20"/>
              </w:rPr>
              <w:t>Initial TB episode</w:t>
            </w:r>
          </w:p>
          <w:p w14:paraId="7F48D9EE" w14:textId="355346EF" w:rsidR="0041048E" w:rsidRPr="00A20244" w:rsidRDefault="0041048E" w:rsidP="0041048E">
            <w:pPr>
              <w:widowControl/>
              <w:wordWrap/>
              <w:autoSpaceDE/>
              <w:autoSpaceDN/>
              <w:spacing w:after="0" w:line="240" w:lineRule="auto"/>
              <w:jc w:val="center"/>
              <w:rPr>
                <w:rFonts w:ascii="Arial" w:eastAsia="Malgun Gothic" w:hAnsi="Arial" w:cs="Arial"/>
                <w:color w:val="000000"/>
                <w:kern w:val="0"/>
                <w:szCs w:val="20"/>
              </w:rPr>
            </w:pPr>
            <w:r w:rsidRPr="00A20244">
              <w:rPr>
                <w:rFonts w:ascii="Arial" w:eastAsia="Malgun Gothic" w:hAnsi="Arial" w:cs="Arial" w:hint="eastAsia"/>
                <w:color w:val="000000"/>
                <w:kern w:val="0"/>
                <w:szCs w:val="20"/>
              </w:rPr>
              <w:t>(</w:t>
            </w:r>
            <w:r w:rsidRPr="00A20244">
              <w:rPr>
                <w:rFonts w:ascii="Arial" w:eastAsia="Malgun Gothic" w:hAnsi="Arial" w:cs="Arial"/>
                <w:color w:val="000000"/>
                <w:kern w:val="0"/>
                <w:szCs w:val="20"/>
              </w:rPr>
              <w:t>mean</w:t>
            </w:r>
            <w:r w:rsidRPr="00A20244">
              <w:rPr>
                <w:rFonts w:ascii="Arial" w:eastAsia="Malgun Gothic" w:hAnsi="Arial" w:cs="Arial" w:hint="eastAsia"/>
                <w:color w:val="000000"/>
                <w:kern w:val="0"/>
                <w:szCs w:val="20"/>
              </w:rPr>
              <w:t xml:space="preserve"> 10 days) </w:t>
            </w:r>
          </w:p>
        </w:tc>
        <w:tc>
          <w:tcPr>
            <w:tcW w:w="1826" w:type="dxa"/>
            <w:gridSpan w:val="2"/>
            <w:tcBorders>
              <w:top w:val="single" w:sz="8" w:space="0" w:color="auto"/>
              <w:left w:val="nil"/>
              <w:bottom w:val="single" w:sz="8" w:space="0" w:color="auto"/>
              <w:right w:val="single" w:sz="8" w:space="0" w:color="000000"/>
            </w:tcBorders>
            <w:shd w:val="clear" w:color="auto" w:fill="auto"/>
            <w:vAlign w:val="center"/>
            <w:hideMark/>
          </w:tcPr>
          <w:p w14:paraId="558B7DA6" w14:textId="46261A31" w:rsidR="0041048E" w:rsidRPr="00A20244" w:rsidRDefault="0041048E" w:rsidP="0041048E">
            <w:pPr>
              <w:widowControl/>
              <w:wordWrap/>
              <w:autoSpaceDE/>
              <w:autoSpaceDN/>
              <w:spacing w:after="0" w:line="240" w:lineRule="auto"/>
              <w:jc w:val="center"/>
              <w:rPr>
                <w:rFonts w:ascii="Arial" w:eastAsia="Malgun Gothic" w:hAnsi="Arial" w:cs="Arial"/>
                <w:color w:val="000000"/>
                <w:kern w:val="0"/>
                <w:szCs w:val="20"/>
              </w:rPr>
            </w:pPr>
            <w:r w:rsidRPr="00A20244">
              <w:rPr>
                <w:rFonts w:ascii="Arial" w:eastAsia="Malgun Gothic" w:hAnsi="Arial" w:cs="Arial"/>
                <w:color w:val="000000"/>
                <w:kern w:val="0"/>
                <w:szCs w:val="20"/>
              </w:rPr>
              <w:t xml:space="preserve">Recurrent TB </w:t>
            </w:r>
          </w:p>
          <w:p w14:paraId="28DD69C9" w14:textId="3EC79F98" w:rsidR="0041048E" w:rsidRPr="00A20244" w:rsidRDefault="0041048E" w:rsidP="0041048E">
            <w:pPr>
              <w:widowControl/>
              <w:wordWrap/>
              <w:autoSpaceDE/>
              <w:autoSpaceDN/>
              <w:spacing w:after="0" w:line="240" w:lineRule="auto"/>
              <w:jc w:val="center"/>
              <w:rPr>
                <w:rFonts w:ascii="Arial" w:eastAsia="Malgun Gothic" w:hAnsi="Arial" w:cs="Arial"/>
                <w:color w:val="000000"/>
                <w:kern w:val="0"/>
                <w:szCs w:val="20"/>
              </w:rPr>
            </w:pPr>
            <w:r w:rsidRPr="00A20244">
              <w:rPr>
                <w:rFonts w:ascii="Arial" w:eastAsia="Malgun Gothic" w:hAnsi="Arial" w:cs="Arial"/>
                <w:color w:val="000000"/>
                <w:kern w:val="0"/>
                <w:szCs w:val="20"/>
              </w:rPr>
              <w:t>(mean 28 days)</w:t>
            </w:r>
          </w:p>
        </w:tc>
        <w:tc>
          <w:tcPr>
            <w:tcW w:w="1609" w:type="dxa"/>
            <w:gridSpan w:val="2"/>
            <w:vMerge/>
            <w:tcBorders>
              <w:top w:val="single" w:sz="8" w:space="0" w:color="auto"/>
              <w:left w:val="single" w:sz="8" w:space="0" w:color="auto"/>
              <w:bottom w:val="single" w:sz="8" w:space="0" w:color="000000"/>
              <w:right w:val="single" w:sz="8" w:space="0" w:color="000000"/>
            </w:tcBorders>
            <w:vAlign w:val="center"/>
            <w:hideMark/>
          </w:tcPr>
          <w:p w14:paraId="51301444" w14:textId="77777777" w:rsidR="0041048E" w:rsidRPr="00A20244" w:rsidRDefault="0041048E" w:rsidP="0041048E">
            <w:pPr>
              <w:widowControl/>
              <w:wordWrap/>
              <w:autoSpaceDE/>
              <w:autoSpaceDN/>
              <w:spacing w:after="0" w:line="240" w:lineRule="auto"/>
              <w:jc w:val="left"/>
              <w:rPr>
                <w:rFonts w:ascii="Arial" w:eastAsia="Malgun Gothic" w:hAnsi="Arial" w:cs="Arial"/>
                <w:color w:val="000000"/>
                <w:kern w:val="0"/>
                <w:szCs w:val="20"/>
              </w:rPr>
            </w:pPr>
          </w:p>
        </w:tc>
        <w:tc>
          <w:tcPr>
            <w:tcW w:w="1691" w:type="dxa"/>
            <w:gridSpan w:val="2"/>
            <w:vMerge/>
            <w:tcBorders>
              <w:left w:val="single" w:sz="8" w:space="0" w:color="auto"/>
              <w:bottom w:val="single" w:sz="8" w:space="0" w:color="auto"/>
              <w:right w:val="single" w:sz="8" w:space="0" w:color="000000"/>
            </w:tcBorders>
            <w:vAlign w:val="center"/>
          </w:tcPr>
          <w:p w14:paraId="1CE30A08" w14:textId="77777777" w:rsidR="0041048E" w:rsidRPr="00A20244" w:rsidRDefault="0041048E" w:rsidP="0041048E">
            <w:pPr>
              <w:widowControl/>
              <w:wordWrap/>
              <w:autoSpaceDE/>
              <w:autoSpaceDN/>
              <w:spacing w:after="0" w:line="240" w:lineRule="auto"/>
              <w:jc w:val="left"/>
              <w:rPr>
                <w:rFonts w:ascii="Arial" w:eastAsia="Malgun Gothic" w:hAnsi="Arial" w:cs="Arial"/>
                <w:color w:val="000000"/>
                <w:kern w:val="0"/>
                <w:szCs w:val="20"/>
              </w:rPr>
            </w:pPr>
          </w:p>
        </w:tc>
      </w:tr>
      <w:tr w:rsidR="0041048E" w:rsidRPr="00386091" w14:paraId="1FE54C53" w14:textId="4D04A0A9" w:rsidTr="00373B25">
        <w:trPr>
          <w:trHeight w:val="67"/>
        </w:trPr>
        <w:tc>
          <w:tcPr>
            <w:tcW w:w="2542" w:type="dxa"/>
            <w:vMerge/>
            <w:tcBorders>
              <w:top w:val="single" w:sz="8" w:space="0" w:color="auto"/>
              <w:left w:val="single" w:sz="8" w:space="0" w:color="auto"/>
              <w:bottom w:val="single" w:sz="8" w:space="0" w:color="000000"/>
              <w:right w:val="single" w:sz="8" w:space="0" w:color="auto"/>
            </w:tcBorders>
            <w:vAlign w:val="center"/>
            <w:hideMark/>
          </w:tcPr>
          <w:p w14:paraId="0A96789B" w14:textId="77777777" w:rsidR="0041048E" w:rsidRPr="00A20244" w:rsidRDefault="0041048E" w:rsidP="0041048E">
            <w:pPr>
              <w:widowControl/>
              <w:wordWrap/>
              <w:autoSpaceDE/>
              <w:autoSpaceDN/>
              <w:spacing w:after="0" w:line="240" w:lineRule="auto"/>
              <w:jc w:val="left"/>
              <w:rPr>
                <w:rFonts w:ascii="Arial" w:eastAsia="Malgun Gothic" w:hAnsi="Arial" w:cs="Arial"/>
                <w:color w:val="000000"/>
                <w:kern w:val="0"/>
                <w:szCs w:val="20"/>
              </w:rPr>
            </w:pPr>
          </w:p>
        </w:tc>
        <w:tc>
          <w:tcPr>
            <w:tcW w:w="831" w:type="dxa"/>
            <w:tcBorders>
              <w:top w:val="nil"/>
              <w:left w:val="nil"/>
              <w:bottom w:val="single" w:sz="8" w:space="0" w:color="auto"/>
              <w:right w:val="nil"/>
            </w:tcBorders>
            <w:shd w:val="clear" w:color="auto" w:fill="auto"/>
            <w:vAlign w:val="center"/>
            <w:hideMark/>
          </w:tcPr>
          <w:p w14:paraId="499D96F1" w14:textId="77777777" w:rsidR="0041048E" w:rsidRPr="00A20244" w:rsidRDefault="0041048E" w:rsidP="0041048E">
            <w:pPr>
              <w:widowControl/>
              <w:wordWrap/>
              <w:autoSpaceDE/>
              <w:autoSpaceDN/>
              <w:spacing w:after="0" w:line="240" w:lineRule="auto"/>
              <w:jc w:val="right"/>
              <w:rPr>
                <w:rFonts w:ascii="Arial" w:eastAsia="Malgun Gothic" w:hAnsi="Arial" w:cs="Arial"/>
                <w:color w:val="000000"/>
                <w:kern w:val="0"/>
                <w:szCs w:val="20"/>
              </w:rPr>
            </w:pPr>
            <w:r w:rsidRPr="00A20244">
              <w:rPr>
                <w:rFonts w:ascii="Arial" w:eastAsia="Malgun Gothic" w:hAnsi="Arial" w:cs="Arial"/>
                <w:color w:val="000000"/>
                <w:kern w:val="0"/>
                <w:szCs w:val="20"/>
              </w:rPr>
              <w:t>Mean</w:t>
            </w:r>
          </w:p>
        </w:tc>
        <w:tc>
          <w:tcPr>
            <w:tcW w:w="843" w:type="dxa"/>
            <w:tcBorders>
              <w:top w:val="nil"/>
              <w:left w:val="nil"/>
              <w:bottom w:val="single" w:sz="8" w:space="0" w:color="auto"/>
              <w:right w:val="single" w:sz="8" w:space="0" w:color="auto"/>
            </w:tcBorders>
            <w:shd w:val="clear" w:color="auto" w:fill="auto"/>
            <w:vAlign w:val="center"/>
            <w:hideMark/>
          </w:tcPr>
          <w:p w14:paraId="3DB48414" w14:textId="77777777" w:rsidR="0041048E" w:rsidRPr="00A20244" w:rsidRDefault="0041048E" w:rsidP="0041048E">
            <w:pPr>
              <w:widowControl/>
              <w:wordWrap/>
              <w:autoSpaceDE/>
              <w:autoSpaceDN/>
              <w:spacing w:after="0" w:line="240" w:lineRule="auto"/>
              <w:jc w:val="left"/>
              <w:rPr>
                <w:rFonts w:ascii="Arial" w:eastAsia="Malgun Gothic" w:hAnsi="Arial" w:cs="Arial"/>
                <w:color w:val="000000"/>
                <w:kern w:val="0"/>
                <w:szCs w:val="20"/>
              </w:rPr>
            </w:pPr>
            <w:r w:rsidRPr="00A20244">
              <w:rPr>
                <w:rFonts w:ascii="Arial" w:eastAsia="Malgun Gothic" w:hAnsi="Arial" w:cs="Arial"/>
                <w:color w:val="000000"/>
                <w:kern w:val="0"/>
                <w:szCs w:val="20"/>
              </w:rPr>
              <w:t>(SD)</w:t>
            </w:r>
          </w:p>
        </w:tc>
        <w:tc>
          <w:tcPr>
            <w:tcW w:w="846" w:type="dxa"/>
            <w:tcBorders>
              <w:top w:val="nil"/>
              <w:left w:val="nil"/>
              <w:bottom w:val="single" w:sz="8" w:space="0" w:color="auto"/>
              <w:right w:val="nil"/>
            </w:tcBorders>
            <w:shd w:val="clear" w:color="auto" w:fill="auto"/>
            <w:vAlign w:val="center"/>
            <w:hideMark/>
          </w:tcPr>
          <w:p w14:paraId="513BB5A7" w14:textId="77777777" w:rsidR="0041048E" w:rsidRPr="00A20244" w:rsidRDefault="0041048E" w:rsidP="0041048E">
            <w:pPr>
              <w:widowControl/>
              <w:wordWrap/>
              <w:autoSpaceDE/>
              <w:autoSpaceDN/>
              <w:spacing w:after="0" w:line="240" w:lineRule="auto"/>
              <w:jc w:val="right"/>
              <w:rPr>
                <w:rFonts w:ascii="Arial" w:eastAsia="Malgun Gothic" w:hAnsi="Arial" w:cs="Arial"/>
                <w:color w:val="000000"/>
                <w:kern w:val="0"/>
                <w:szCs w:val="20"/>
              </w:rPr>
            </w:pPr>
            <w:r w:rsidRPr="00A20244">
              <w:rPr>
                <w:rFonts w:ascii="Arial" w:eastAsia="Malgun Gothic" w:hAnsi="Arial" w:cs="Arial"/>
                <w:color w:val="000000"/>
                <w:kern w:val="0"/>
                <w:szCs w:val="20"/>
              </w:rPr>
              <w:t>Mean</w:t>
            </w:r>
          </w:p>
        </w:tc>
        <w:tc>
          <w:tcPr>
            <w:tcW w:w="980" w:type="dxa"/>
            <w:tcBorders>
              <w:top w:val="nil"/>
              <w:left w:val="nil"/>
              <w:bottom w:val="single" w:sz="8" w:space="0" w:color="auto"/>
              <w:right w:val="single" w:sz="8" w:space="0" w:color="auto"/>
            </w:tcBorders>
            <w:shd w:val="clear" w:color="auto" w:fill="auto"/>
            <w:vAlign w:val="center"/>
            <w:hideMark/>
          </w:tcPr>
          <w:p w14:paraId="7AB49EF5" w14:textId="77777777" w:rsidR="0041048E" w:rsidRPr="00A20244" w:rsidRDefault="0041048E" w:rsidP="0041048E">
            <w:pPr>
              <w:widowControl/>
              <w:wordWrap/>
              <w:autoSpaceDE/>
              <w:autoSpaceDN/>
              <w:spacing w:after="0" w:line="240" w:lineRule="auto"/>
              <w:jc w:val="left"/>
              <w:rPr>
                <w:rFonts w:ascii="Arial" w:eastAsia="Malgun Gothic" w:hAnsi="Arial" w:cs="Arial"/>
                <w:color w:val="000000"/>
                <w:kern w:val="0"/>
                <w:szCs w:val="20"/>
              </w:rPr>
            </w:pPr>
            <w:r w:rsidRPr="00A20244">
              <w:rPr>
                <w:rFonts w:ascii="Arial" w:eastAsia="Malgun Gothic" w:hAnsi="Arial" w:cs="Arial"/>
                <w:color w:val="000000"/>
                <w:kern w:val="0"/>
                <w:szCs w:val="20"/>
              </w:rPr>
              <w:t>(SD)</w:t>
            </w:r>
          </w:p>
        </w:tc>
        <w:tc>
          <w:tcPr>
            <w:tcW w:w="685" w:type="dxa"/>
            <w:tcBorders>
              <w:top w:val="nil"/>
              <w:left w:val="nil"/>
              <w:bottom w:val="single" w:sz="8" w:space="0" w:color="auto"/>
              <w:right w:val="nil"/>
            </w:tcBorders>
            <w:shd w:val="clear" w:color="auto" w:fill="auto"/>
            <w:vAlign w:val="center"/>
            <w:hideMark/>
          </w:tcPr>
          <w:p w14:paraId="7E430E4B" w14:textId="77777777" w:rsidR="0041048E" w:rsidRPr="00A20244" w:rsidRDefault="0041048E" w:rsidP="0041048E">
            <w:pPr>
              <w:widowControl/>
              <w:wordWrap/>
              <w:autoSpaceDE/>
              <w:autoSpaceDN/>
              <w:spacing w:after="0" w:line="240" w:lineRule="auto"/>
              <w:jc w:val="right"/>
              <w:rPr>
                <w:rFonts w:ascii="Arial" w:eastAsia="Malgun Gothic" w:hAnsi="Arial" w:cs="Arial"/>
                <w:color w:val="000000"/>
                <w:kern w:val="0"/>
                <w:szCs w:val="20"/>
              </w:rPr>
            </w:pPr>
            <w:r w:rsidRPr="00A20244">
              <w:rPr>
                <w:rFonts w:ascii="Arial" w:eastAsia="Malgun Gothic" w:hAnsi="Arial" w:cs="Arial"/>
                <w:color w:val="000000"/>
                <w:kern w:val="0"/>
                <w:szCs w:val="20"/>
              </w:rPr>
              <w:t>Mean</w:t>
            </w:r>
          </w:p>
        </w:tc>
        <w:tc>
          <w:tcPr>
            <w:tcW w:w="924" w:type="dxa"/>
            <w:tcBorders>
              <w:top w:val="nil"/>
              <w:left w:val="nil"/>
              <w:bottom w:val="single" w:sz="8" w:space="0" w:color="auto"/>
              <w:right w:val="single" w:sz="8" w:space="0" w:color="auto"/>
            </w:tcBorders>
            <w:shd w:val="clear" w:color="auto" w:fill="auto"/>
            <w:vAlign w:val="center"/>
            <w:hideMark/>
          </w:tcPr>
          <w:p w14:paraId="6D8845A9" w14:textId="77777777" w:rsidR="0041048E" w:rsidRPr="00A20244" w:rsidRDefault="0041048E" w:rsidP="0041048E">
            <w:pPr>
              <w:widowControl/>
              <w:wordWrap/>
              <w:autoSpaceDE/>
              <w:autoSpaceDN/>
              <w:spacing w:after="0" w:line="240" w:lineRule="auto"/>
              <w:jc w:val="left"/>
              <w:rPr>
                <w:rFonts w:ascii="Arial" w:eastAsia="Malgun Gothic" w:hAnsi="Arial" w:cs="Arial"/>
                <w:color w:val="000000"/>
                <w:kern w:val="0"/>
                <w:szCs w:val="20"/>
              </w:rPr>
            </w:pPr>
            <w:r w:rsidRPr="00A20244">
              <w:rPr>
                <w:rFonts w:ascii="Arial" w:eastAsia="Malgun Gothic" w:hAnsi="Arial" w:cs="Arial"/>
                <w:color w:val="000000"/>
                <w:kern w:val="0"/>
                <w:szCs w:val="20"/>
              </w:rPr>
              <w:t>(SD)</w:t>
            </w:r>
          </w:p>
        </w:tc>
        <w:tc>
          <w:tcPr>
            <w:tcW w:w="703" w:type="dxa"/>
            <w:tcBorders>
              <w:top w:val="single" w:sz="8" w:space="0" w:color="auto"/>
              <w:left w:val="nil"/>
              <w:bottom w:val="single" w:sz="8" w:space="0" w:color="auto"/>
            </w:tcBorders>
            <w:vAlign w:val="center"/>
          </w:tcPr>
          <w:p w14:paraId="29C0A14B" w14:textId="667195AE" w:rsidR="0041048E" w:rsidRPr="00A20244" w:rsidRDefault="0041048E" w:rsidP="00F42EE6">
            <w:pPr>
              <w:widowControl/>
              <w:wordWrap/>
              <w:autoSpaceDE/>
              <w:autoSpaceDN/>
              <w:spacing w:after="0" w:line="240" w:lineRule="auto"/>
              <w:jc w:val="right"/>
              <w:rPr>
                <w:rFonts w:ascii="Arial" w:eastAsia="Malgun Gothic" w:hAnsi="Arial" w:cs="Arial"/>
                <w:color w:val="000000"/>
                <w:kern w:val="0"/>
                <w:szCs w:val="20"/>
              </w:rPr>
            </w:pPr>
            <w:r w:rsidRPr="00A20244">
              <w:rPr>
                <w:rFonts w:ascii="Arial" w:eastAsia="Malgun Gothic" w:hAnsi="Arial" w:cs="Arial"/>
                <w:color w:val="000000"/>
                <w:kern w:val="0"/>
                <w:szCs w:val="20"/>
              </w:rPr>
              <w:t>Mean</w:t>
            </w:r>
          </w:p>
        </w:tc>
        <w:tc>
          <w:tcPr>
            <w:tcW w:w="988" w:type="dxa"/>
            <w:tcBorders>
              <w:top w:val="single" w:sz="8" w:space="0" w:color="auto"/>
              <w:left w:val="nil"/>
              <w:bottom w:val="single" w:sz="8" w:space="0" w:color="auto"/>
              <w:right w:val="single" w:sz="8" w:space="0" w:color="auto"/>
            </w:tcBorders>
            <w:vAlign w:val="center"/>
          </w:tcPr>
          <w:p w14:paraId="45943F5F" w14:textId="2E8821E8" w:rsidR="0041048E" w:rsidRPr="00A20244" w:rsidRDefault="0041048E" w:rsidP="0041048E">
            <w:pPr>
              <w:widowControl/>
              <w:wordWrap/>
              <w:autoSpaceDE/>
              <w:autoSpaceDN/>
              <w:spacing w:after="0" w:line="240" w:lineRule="auto"/>
              <w:jc w:val="left"/>
              <w:rPr>
                <w:rFonts w:ascii="Arial" w:eastAsia="Malgun Gothic" w:hAnsi="Arial" w:cs="Arial"/>
                <w:color w:val="000000"/>
                <w:kern w:val="0"/>
                <w:szCs w:val="20"/>
              </w:rPr>
            </w:pPr>
            <w:r w:rsidRPr="00A20244">
              <w:rPr>
                <w:rFonts w:ascii="Arial" w:eastAsia="Malgun Gothic" w:hAnsi="Arial" w:cs="Arial"/>
                <w:color w:val="000000"/>
                <w:kern w:val="0"/>
                <w:szCs w:val="20"/>
              </w:rPr>
              <w:t>(SD)</w:t>
            </w:r>
          </w:p>
        </w:tc>
      </w:tr>
      <w:tr w:rsidR="0041048E" w:rsidRPr="00386091" w14:paraId="7FE3B6D0" w14:textId="63500064" w:rsidTr="00373B25">
        <w:trPr>
          <w:trHeight w:val="67"/>
        </w:trPr>
        <w:tc>
          <w:tcPr>
            <w:tcW w:w="2542" w:type="dxa"/>
            <w:tcBorders>
              <w:top w:val="nil"/>
              <w:left w:val="single" w:sz="8" w:space="0" w:color="auto"/>
              <w:bottom w:val="nil"/>
              <w:right w:val="single" w:sz="8" w:space="0" w:color="auto"/>
            </w:tcBorders>
            <w:shd w:val="clear" w:color="auto" w:fill="auto"/>
            <w:vAlign w:val="center"/>
            <w:hideMark/>
          </w:tcPr>
          <w:p w14:paraId="3AADBD3B" w14:textId="77777777" w:rsidR="0041048E" w:rsidRPr="00A20244" w:rsidRDefault="0041048E" w:rsidP="00386091">
            <w:pPr>
              <w:widowControl/>
              <w:wordWrap/>
              <w:autoSpaceDE/>
              <w:autoSpaceDN/>
              <w:spacing w:after="0" w:line="240" w:lineRule="auto"/>
              <w:jc w:val="left"/>
              <w:rPr>
                <w:rFonts w:ascii="Arial" w:eastAsia="Malgun Gothic" w:hAnsi="Arial" w:cs="Arial"/>
                <w:color w:val="000000"/>
                <w:kern w:val="0"/>
                <w:szCs w:val="20"/>
              </w:rPr>
            </w:pPr>
            <w:r w:rsidRPr="00A20244">
              <w:rPr>
                <w:rFonts w:ascii="Arial" w:eastAsia="Malgun Gothic" w:hAnsi="Arial" w:cs="Arial"/>
                <w:color w:val="000000"/>
                <w:kern w:val="0"/>
                <w:szCs w:val="20"/>
              </w:rPr>
              <w:t>Medical cost</w:t>
            </w:r>
          </w:p>
        </w:tc>
        <w:tc>
          <w:tcPr>
            <w:tcW w:w="831" w:type="dxa"/>
            <w:tcBorders>
              <w:top w:val="nil"/>
              <w:left w:val="nil"/>
              <w:bottom w:val="nil"/>
              <w:right w:val="nil"/>
            </w:tcBorders>
            <w:shd w:val="clear" w:color="auto" w:fill="auto"/>
            <w:vAlign w:val="center"/>
            <w:hideMark/>
          </w:tcPr>
          <w:p w14:paraId="3641594D" w14:textId="77777777" w:rsidR="0041048E" w:rsidRPr="00A20244" w:rsidRDefault="0041048E" w:rsidP="003C7EB9">
            <w:pPr>
              <w:widowControl/>
              <w:wordWrap/>
              <w:autoSpaceDE/>
              <w:autoSpaceDN/>
              <w:spacing w:after="0" w:line="240" w:lineRule="auto"/>
              <w:jc w:val="right"/>
              <w:rPr>
                <w:rFonts w:ascii="Arial" w:eastAsia="Malgun Gothic" w:hAnsi="Arial" w:cs="Arial"/>
                <w:color w:val="000000"/>
                <w:kern w:val="0"/>
                <w:szCs w:val="20"/>
              </w:rPr>
            </w:pPr>
          </w:p>
        </w:tc>
        <w:tc>
          <w:tcPr>
            <w:tcW w:w="843" w:type="dxa"/>
            <w:tcBorders>
              <w:top w:val="nil"/>
              <w:left w:val="nil"/>
              <w:bottom w:val="nil"/>
              <w:right w:val="single" w:sz="8" w:space="0" w:color="auto"/>
            </w:tcBorders>
            <w:shd w:val="clear" w:color="auto" w:fill="auto"/>
            <w:vAlign w:val="center"/>
            <w:hideMark/>
          </w:tcPr>
          <w:p w14:paraId="040BA2C9" w14:textId="77777777" w:rsidR="0041048E" w:rsidRPr="00A20244" w:rsidRDefault="0041048E" w:rsidP="003C7EB9">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 xml:space="preserve">　</w:t>
            </w:r>
          </w:p>
        </w:tc>
        <w:tc>
          <w:tcPr>
            <w:tcW w:w="846" w:type="dxa"/>
            <w:tcBorders>
              <w:top w:val="nil"/>
              <w:left w:val="nil"/>
              <w:bottom w:val="nil"/>
              <w:right w:val="nil"/>
            </w:tcBorders>
            <w:shd w:val="clear" w:color="auto" w:fill="auto"/>
            <w:vAlign w:val="center"/>
            <w:hideMark/>
          </w:tcPr>
          <w:p w14:paraId="4D70BB41" w14:textId="77777777" w:rsidR="0041048E" w:rsidRPr="00A20244" w:rsidRDefault="0041048E" w:rsidP="003C7EB9">
            <w:pPr>
              <w:widowControl/>
              <w:wordWrap/>
              <w:autoSpaceDE/>
              <w:autoSpaceDN/>
              <w:spacing w:after="0" w:line="240" w:lineRule="auto"/>
              <w:jc w:val="right"/>
              <w:rPr>
                <w:rFonts w:ascii="Arial" w:eastAsia="Malgun Gothic" w:hAnsi="Arial" w:cs="Arial"/>
                <w:kern w:val="0"/>
                <w:szCs w:val="20"/>
              </w:rPr>
            </w:pPr>
          </w:p>
        </w:tc>
        <w:tc>
          <w:tcPr>
            <w:tcW w:w="980" w:type="dxa"/>
            <w:tcBorders>
              <w:top w:val="single" w:sz="4" w:space="0" w:color="auto"/>
              <w:left w:val="nil"/>
              <w:bottom w:val="nil"/>
              <w:right w:val="single" w:sz="8" w:space="0" w:color="auto"/>
            </w:tcBorders>
            <w:shd w:val="clear" w:color="auto" w:fill="auto"/>
            <w:vAlign w:val="center"/>
            <w:hideMark/>
          </w:tcPr>
          <w:p w14:paraId="78CC9C54" w14:textId="77777777" w:rsidR="0041048E" w:rsidRPr="00A20244" w:rsidRDefault="0041048E" w:rsidP="003C7EB9">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 xml:space="preserve">　</w:t>
            </w:r>
          </w:p>
        </w:tc>
        <w:tc>
          <w:tcPr>
            <w:tcW w:w="685" w:type="dxa"/>
            <w:tcBorders>
              <w:top w:val="single" w:sz="4" w:space="0" w:color="auto"/>
              <w:left w:val="nil"/>
              <w:bottom w:val="nil"/>
              <w:right w:val="nil"/>
            </w:tcBorders>
            <w:shd w:val="clear" w:color="auto" w:fill="auto"/>
            <w:vAlign w:val="center"/>
            <w:hideMark/>
          </w:tcPr>
          <w:p w14:paraId="5C963C0C" w14:textId="77777777" w:rsidR="0041048E" w:rsidRPr="00A20244" w:rsidRDefault="0041048E" w:rsidP="00386091">
            <w:pPr>
              <w:widowControl/>
              <w:wordWrap/>
              <w:autoSpaceDE/>
              <w:autoSpaceDN/>
              <w:spacing w:after="0" w:line="240" w:lineRule="auto"/>
              <w:jc w:val="left"/>
              <w:rPr>
                <w:rFonts w:ascii="Arial" w:eastAsia="Malgun Gothic" w:hAnsi="Arial" w:cs="Arial"/>
                <w:kern w:val="0"/>
                <w:szCs w:val="20"/>
              </w:rPr>
            </w:pPr>
          </w:p>
        </w:tc>
        <w:tc>
          <w:tcPr>
            <w:tcW w:w="924" w:type="dxa"/>
            <w:tcBorders>
              <w:top w:val="single" w:sz="4" w:space="0" w:color="auto"/>
              <w:left w:val="nil"/>
              <w:bottom w:val="nil"/>
              <w:right w:val="single" w:sz="8" w:space="0" w:color="auto"/>
            </w:tcBorders>
            <w:shd w:val="clear" w:color="auto" w:fill="auto"/>
            <w:vAlign w:val="center"/>
            <w:hideMark/>
          </w:tcPr>
          <w:p w14:paraId="0A8A8A2E" w14:textId="77777777" w:rsidR="0041048E" w:rsidRPr="00A20244" w:rsidRDefault="0041048E" w:rsidP="00386091">
            <w:pPr>
              <w:widowControl/>
              <w:wordWrap/>
              <w:autoSpaceDE/>
              <w:autoSpaceDN/>
              <w:spacing w:after="0" w:line="240" w:lineRule="auto"/>
              <w:jc w:val="left"/>
              <w:rPr>
                <w:rFonts w:ascii="Malgun Gothic" w:eastAsia="Malgun Gothic" w:hAnsi="Malgun Gothic" w:cs="Gulim"/>
                <w:kern w:val="0"/>
                <w:szCs w:val="20"/>
              </w:rPr>
            </w:pPr>
            <w:r w:rsidRPr="00A20244">
              <w:rPr>
                <w:rFonts w:ascii="Malgun Gothic" w:eastAsia="Malgun Gothic" w:hAnsi="Malgun Gothic" w:cs="Gulim" w:hint="eastAsia"/>
                <w:kern w:val="0"/>
                <w:szCs w:val="20"/>
              </w:rPr>
              <w:t xml:space="preserve">　</w:t>
            </w:r>
          </w:p>
        </w:tc>
        <w:tc>
          <w:tcPr>
            <w:tcW w:w="703" w:type="dxa"/>
            <w:tcBorders>
              <w:top w:val="single" w:sz="8" w:space="0" w:color="auto"/>
              <w:left w:val="nil"/>
            </w:tcBorders>
            <w:vAlign w:val="center"/>
          </w:tcPr>
          <w:p w14:paraId="482A9E7D" w14:textId="77777777" w:rsidR="0041048E" w:rsidRPr="00A20244" w:rsidRDefault="0041048E" w:rsidP="00F42EE6">
            <w:pPr>
              <w:widowControl/>
              <w:wordWrap/>
              <w:autoSpaceDE/>
              <w:autoSpaceDN/>
              <w:spacing w:after="0" w:line="240" w:lineRule="auto"/>
              <w:jc w:val="right"/>
              <w:rPr>
                <w:rFonts w:ascii="Malgun Gothic" w:eastAsia="Malgun Gothic" w:hAnsi="Malgun Gothic" w:cs="Gulim"/>
                <w:kern w:val="0"/>
                <w:szCs w:val="20"/>
              </w:rPr>
            </w:pPr>
          </w:p>
        </w:tc>
        <w:tc>
          <w:tcPr>
            <w:tcW w:w="988" w:type="dxa"/>
            <w:tcBorders>
              <w:top w:val="single" w:sz="8" w:space="0" w:color="auto"/>
              <w:left w:val="nil"/>
              <w:right w:val="single" w:sz="8" w:space="0" w:color="auto"/>
            </w:tcBorders>
          </w:tcPr>
          <w:p w14:paraId="0F2BF737" w14:textId="0AADC9FD" w:rsidR="0041048E" w:rsidRPr="00A20244" w:rsidRDefault="0041048E" w:rsidP="00386091">
            <w:pPr>
              <w:widowControl/>
              <w:wordWrap/>
              <w:autoSpaceDE/>
              <w:autoSpaceDN/>
              <w:spacing w:after="0" w:line="240" w:lineRule="auto"/>
              <w:jc w:val="left"/>
              <w:rPr>
                <w:rFonts w:ascii="Malgun Gothic" w:eastAsia="Malgun Gothic" w:hAnsi="Malgun Gothic" w:cs="Gulim"/>
                <w:kern w:val="0"/>
                <w:szCs w:val="20"/>
              </w:rPr>
            </w:pPr>
          </w:p>
        </w:tc>
      </w:tr>
      <w:tr w:rsidR="0041048E" w:rsidRPr="00386091" w14:paraId="3ECBB7DD" w14:textId="24B7A843" w:rsidTr="00373B25">
        <w:trPr>
          <w:trHeight w:val="340"/>
        </w:trPr>
        <w:tc>
          <w:tcPr>
            <w:tcW w:w="2542" w:type="dxa"/>
            <w:tcBorders>
              <w:top w:val="nil"/>
              <w:left w:val="single" w:sz="8" w:space="0" w:color="auto"/>
              <w:bottom w:val="nil"/>
              <w:right w:val="single" w:sz="8" w:space="0" w:color="auto"/>
            </w:tcBorders>
            <w:shd w:val="clear" w:color="auto" w:fill="auto"/>
            <w:vAlign w:val="center"/>
            <w:hideMark/>
          </w:tcPr>
          <w:p w14:paraId="5DE93AED" w14:textId="043276B7" w:rsidR="0041048E" w:rsidRPr="00A20244" w:rsidRDefault="0041048E" w:rsidP="0041048E">
            <w:pPr>
              <w:widowControl/>
              <w:wordWrap/>
              <w:autoSpaceDE/>
              <w:autoSpaceDN/>
              <w:spacing w:after="0" w:line="240" w:lineRule="auto"/>
              <w:ind w:firstLineChars="100" w:firstLine="200"/>
              <w:jc w:val="left"/>
              <w:rPr>
                <w:rFonts w:ascii="Arial" w:eastAsia="Malgun Gothic" w:hAnsi="Arial" w:cs="Arial"/>
                <w:color w:val="000000"/>
                <w:kern w:val="0"/>
                <w:szCs w:val="20"/>
              </w:rPr>
            </w:pPr>
            <w:r w:rsidRPr="00A20244">
              <w:rPr>
                <w:rFonts w:ascii="Arial" w:eastAsia="Malgun Gothic" w:hAnsi="Arial" w:cs="Arial"/>
                <w:color w:val="000000"/>
                <w:kern w:val="0"/>
                <w:szCs w:val="20"/>
              </w:rPr>
              <w:t xml:space="preserve">Consult &amp; diagnosis </w:t>
            </w:r>
          </w:p>
        </w:tc>
        <w:tc>
          <w:tcPr>
            <w:tcW w:w="831" w:type="dxa"/>
            <w:tcBorders>
              <w:top w:val="nil"/>
              <w:left w:val="nil"/>
              <w:bottom w:val="nil"/>
              <w:right w:val="nil"/>
            </w:tcBorders>
            <w:shd w:val="clear" w:color="auto" w:fill="auto"/>
            <w:vAlign w:val="center"/>
            <w:hideMark/>
          </w:tcPr>
          <w:p w14:paraId="57868F8E" w14:textId="77777777" w:rsidR="0041048E" w:rsidRPr="00A20244" w:rsidRDefault="0041048E" w:rsidP="0041048E">
            <w:pPr>
              <w:widowControl/>
              <w:wordWrap/>
              <w:autoSpaceDE/>
              <w:autoSpaceDN/>
              <w:spacing w:after="0" w:line="240" w:lineRule="auto"/>
              <w:jc w:val="right"/>
              <w:rPr>
                <w:rFonts w:ascii="Arial" w:eastAsia="Malgun Gothic" w:hAnsi="Arial" w:cs="Arial"/>
                <w:color w:val="000000"/>
                <w:kern w:val="0"/>
                <w:szCs w:val="20"/>
              </w:rPr>
            </w:pPr>
            <w:r w:rsidRPr="00A20244">
              <w:rPr>
                <w:rFonts w:ascii="Arial" w:eastAsia="Malgun Gothic" w:hAnsi="Arial" w:cs="Arial"/>
                <w:color w:val="000000"/>
                <w:kern w:val="0"/>
                <w:szCs w:val="20"/>
              </w:rPr>
              <w:t xml:space="preserve">$0.09 </w:t>
            </w:r>
          </w:p>
        </w:tc>
        <w:tc>
          <w:tcPr>
            <w:tcW w:w="843" w:type="dxa"/>
            <w:tcBorders>
              <w:top w:val="nil"/>
              <w:left w:val="nil"/>
              <w:bottom w:val="nil"/>
              <w:right w:val="single" w:sz="8" w:space="0" w:color="auto"/>
            </w:tcBorders>
            <w:shd w:val="clear" w:color="auto" w:fill="auto"/>
            <w:vAlign w:val="center"/>
            <w:hideMark/>
          </w:tcPr>
          <w:p w14:paraId="603E2548"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($0.76)</w:t>
            </w:r>
          </w:p>
        </w:tc>
        <w:tc>
          <w:tcPr>
            <w:tcW w:w="846" w:type="dxa"/>
            <w:tcBorders>
              <w:top w:val="nil"/>
              <w:left w:val="nil"/>
              <w:bottom w:val="nil"/>
              <w:right w:val="nil"/>
            </w:tcBorders>
            <w:shd w:val="clear" w:color="auto" w:fill="auto"/>
            <w:vAlign w:val="center"/>
            <w:hideMark/>
          </w:tcPr>
          <w:p w14:paraId="4B292E2C"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$0.34 </w:t>
            </w:r>
          </w:p>
        </w:tc>
        <w:tc>
          <w:tcPr>
            <w:tcW w:w="980" w:type="dxa"/>
            <w:tcBorders>
              <w:top w:val="nil"/>
              <w:left w:val="nil"/>
              <w:bottom w:val="nil"/>
              <w:right w:val="single" w:sz="8" w:space="0" w:color="auto"/>
            </w:tcBorders>
            <w:shd w:val="clear" w:color="auto" w:fill="auto"/>
            <w:vAlign w:val="center"/>
            <w:hideMark/>
          </w:tcPr>
          <w:p w14:paraId="05DD20DC"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($2.48)</w:t>
            </w:r>
          </w:p>
        </w:tc>
        <w:tc>
          <w:tcPr>
            <w:tcW w:w="685" w:type="dxa"/>
            <w:tcBorders>
              <w:top w:val="nil"/>
              <w:left w:val="nil"/>
              <w:bottom w:val="nil"/>
              <w:right w:val="nil"/>
            </w:tcBorders>
            <w:shd w:val="clear" w:color="auto" w:fill="auto"/>
            <w:vAlign w:val="center"/>
            <w:hideMark/>
          </w:tcPr>
          <w:p w14:paraId="0F42475B"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$1.12 </w:t>
            </w:r>
          </w:p>
        </w:tc>
        <w:tc>
          <w:tcPr>
            <w:tcW w:w="924" w:type="dxa"/>
            <w:tcBorders>
              <w:top w:val="nil"/>
              <w:left w:val="nil"/>
              <w:bottom w:val="nil"/>
              <w:right w:val="single" w:sz="8" w:space="0" w:color="auto"/>
            </w:tcBorders>
            <w:shd w:val="clear" w:color="auto" w:fill="auto"/>
            <w:vAlign w:val="center"/>
            <w:hideMark/>
          </w:tcPr>
          <w:p w14:paraId="7CB820B5"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($2.61)</w:t>
            </w:r>
          </w:p>
        </w:tc>
        <w:tc>
          <w:tcPr>
            <w:tcW w:w="703" w:type="dxa"/>
            <w:tcBorders>
              <w:left w:val="nil"/>
            </w:tcBorders>
            <w:vAlign w:val="center"/>
          </w:tcPr>
          <w:p w14:paraId="2831699F" w14:textId="6D8271A9" w:rsidR="0041048E" w:rsidRPr="00A20244" w:rsidRDefault="0041048E" w:rsidP="00F42EE6">
            <w:pPr>
              <w:widowControl/>
              <w:wordWrap/>
              <w:autoSpaceDE/>
              <w:autoSpaceDN/>
              <w:spacing w:after="0" w:line="240" w:lineRule="auto"/>
              <w:jc w:val="right"/>
              <w:rPr>
                <w:rFonts w:ascii="Arial" w:eastAsia="Malgun Gothic" w:hAnsi="Arial" w:cs="Arial"/>
                <w:kern w:val="0"/>
                <w:szCs w:val="20"/>
              </w:rPr>
            </w:pPr>
            <w:r w:rsidRPr="000051C8">
              <w:rPr>
                <w:rFonts w:ascii="Arial" w:hAnsi="Arial" w:cs="Arial"/>
                <w:szCs w:val="20"/>
              </w:rPr>
              <w:t>-</w:t>
            </w:r>
          </w:p>
        </w:tc>
        <w:tc>
          <w:tcPr>
            <w:tcW w:w="988" w:type="dxa"/>
            <w:tcBorders>
              <w:left w:val="nil"/>
              <w:right w:val="single" w:sz="8" w:space="0" w:color="auto"/>
            </w:tcBorders>
          </w:tcPr>
          <w:p w14:paraId="34BEDD6B" w14:textId="07E99CCF"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p>
        </w:tc>
      </w:tr>
      <w:tr w:rsidR="0041048E" w:rsidRPr="00386091" w14:paraId="4130F044" w14:textId="19412BDD" w:rsidTr="00373B25">
        <w:trPr>
          <w:trHeight w:val="350"/>
        </w:trPr>
        <w:tc>
          <w:tcPr>
            <w:tcW w:w="2542" w:type="dxa"/>
            <w:tcBorders>
              <w:top w:val="nil"/>
              <w:left w:val="single" w:sz="8" w:space="0" w:color="auto"/>
              <w:bottom w:val="nil"/>
              <w:right w:val="single" w:sz="8" w:space="0" w:color="auto"/>
            </w:tcBorders>
            <w:shd w:val="clear" w:color="auto" w:fill="auto"/>
            <w:vAlign w:val="center"/>
            <w:hideMark/>
          </w:tcPr>
          <w:p w14:paraId="285979B8" w14:textId="77777777" w:rsidR="0041048E" w:rsidRPr="00A20244" w:rsidRDefault="0041048E" w:rsidP="0041048E">
            <w:pPr>
              <w:widowControl/>
              <w:wordWrap/>
              <w:autoSpaceDE/>
              <w:autoSpaceDN/>
              <w:spacing w:after="0" w:line="240" w:lineRule="auto"/>
              <w:ind w:firstLineChars="100" w:firstLine="200"/>
              <w:jc w:val="left"/>
              <w:rPr>
                <w:rFonts w:ascii="Arial" w:eastAsia="Malgun Gothic" w:hAnsi="Arial" w:cs="Arial"/>
                <w:color w:val="000000"/>
                <w:kern w:val="0"/>
                <w:szCs w:val="20"/>
              </w:rPr>
            </w:pPr>
            <w:r w:rsidRPr="00A20244">
              <w:rPr>
                <w:rFonts w:ascii="Arial" w:eastAsia="Malgun Gothic" w:hAnsi="Arial" w:cs="Arial"/>
                <w:color w:val="000000"/>
                <w:kern w:val="0"/>
                <w:szCs w:val="20"/>
              </w:rPr>
              <w:t>Medicines</w:t>
            </w:r>
          </w:p>
        </w:tc>
        <w:tc>
          <w:tcPr>
            <w:tcW w:w="831" w:type="dxa"/>
            <w:tcBorders>
              <w:top w:val="nil"/>
              <w:left w:val="nil"/>
              <w:bottom w:val="nil"/>
              <w:right w:val="nil"/>
            </w:tcBorders>
            <w:shd w:val="clear" w:color="auto" w:fill="auto"/>
            <w:vAlign w:val="center"/>
            <w:hideMark/>
          </w:tcPr>
          <w:p w14:paraId="0B9F58EB" w14:textId="77777777" w:rsidR="0041048E" w:rsidRPr="00A20244" w:rsidRDefault="0041048E" w:rsidP="0041048E">
            <w:pPr>
              <w:widowControl/>
              <w:wordWrap/>
              <w:autoSpaceDE/>
              <w:autoSpaceDN/>
              <w:spacing w:after="0" w:line="240" w:lineRule="auto"/>
              <w:jc w:val="right"/>
              <w:rPr>
                <w:rFonts w:ascii="Arial" w:eastAsia="Malgun Gothic" w:hAnsi="Arial" w:cs="Arial"/>
                <w:color w:val="000000"/>
                <w:kern w:val="0"/>
                <w:szCs w:val="20"/>
              </w:rPr>
            </w:pPr>
            <w:r w:rsidRPr="00A20244">
              <w:rPr>
                <w:rFonts w:ascii="Arial" w:eastAsia="Malgun Gothic" w:hAnsi="Arial" w:cs="Arial"/>
                <w:color w:val="000000"/>
                <w:kern w:val="0"/>
                <w:szCs w:val="20"/>
              </w:rPr>
              <w:t xml:space="preserve">$0.004 </w:t>
            </w:r>
          </w:p>
        </w:tc>
        <w:tc>
          <w:tcPr>
            <w:tcW w:w="843" w:type="dxa"/>
            <w:tcBorders>
              <w:top w:val="nil"/>
              <w:left w:val="nil"/>
              <w:bottom w:val="nil"/>
              <w:right w:val="single" w:sz="8" w:space="0" w:color="auto"/>
            </w:tcBorders>
            <w:shd w:val="clear" w:color="auto" w:fill="auto"/>
            <w:vAlign w:val="center"/>
            <w:hideMark/>
          </w:tcPr>
          <w:p w14:paraId="7B22F760"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($0.03)</w:t>
            </w:r>
          </w:p>
        </w:tc>
        <w:tc>
          <w:tcPr>
            <w:tcW w:w="846" w:type="dxa"/>
            <w:tcBorders>
              <w:top w:val="nil"/>
              <w:left w:val="nil"/>
              <w:bottom w:val="nil"/>
              <w:right w:val="nil"/>
            </w:tcBorders>
            <w:shd w:val="clear" w:color="auto" w:fill="auto"/>
            <w:vAlign w:val="center"/>
            <w:hideMark/>
          </w:tcPr>
          <w:p w14:paraId="07790D13"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$0.39 </w:t>
            </w:r>
          </w:p>
        </w:tc>
        <w:tc>
          <w:tcPr>
            <w:tcW w:w="980" w:type="dxa"/>
            <w:tcBorders>
              <w:top w:val="nil"/>
              <w:left w:val="nil"/>
              <w:bottom w:val="nil"/>
              <w:right w:val="single" w:sz="8" w:space="0" w:color="auto"/>
            </w:tcBorders>
            <w:shd w:val="clear" w:color="auto" w:fill="auto"/>
            <w:vAlign w:val="center"/>
            <w:hideMark/>
          </w:tcPr>
          <w:p w14:paraId="49F7344B"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($2.49)</w:t>
            </w:r>
          </w:p>
        </w:tc>
        <w:tc>
          <w:tcPr>
            <w:tcW w:w="685" w:type="dxa"/>
            <w:tcBorders>
              <w:top w:val="nil"/>
              <w:left w:val="nil"/>
              <w:bottom w:val="single" w:sz="8" w:space="0" w:color="auto"/>
              <w:right w:val="nil"/>
            </w:tcBorders>
            <w:shd w:val="clear" w:color="auto" w:fill="auto"/>
            <w:vAlign w:val="center"/>
            <w:hideMark/>
          </w:tcPr>
          <w:p w14:paraId="2B9E0966"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$0.18 </w:t>
            </w:r>
          </w:p>
        </w:tc>
        <w:tc>
          <w:tcPr>
            <w:tcW w:w="924" w:type="dxa"/>
            <w:tcBorders>
              <w:top w:val="nil"/>
              <w:left w:val="nil"/>
              <w:bottom w:val="single" w:sz="8" w:space="0" w:color="auto"/>
              <w:right w:val="single" w:sz="8" w:space="0" w:color="auto"/>
            </w:tcBorders>
            <w:shd w:val="clear" w:color="auto" w:fill="auto"/>
            <w:vAlign w:val="center"/>
            <w:hideMark/>
          </w:tcPr>
          <w:p w14:paraId="68DB53F6"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($0.75)</w:t>
            </w:r>
          </w:p>
        </w:tc>
        <w:tc>
          <w:tcPr>
            <w:tcW w:w="703" w:type="dxa"/>
            <w:tcBorders>
              <w:left w:val="nil"/>
              <w:bottom w:val="single" w:sz="8" w:space="0" w:color="auto"/>
            </w:tcBorders>
            <w:vAlign w:val="center"/>
          </w:tcPr>
          <w:p w14:paraId="72F3A40E" w14:textId="404F6099" w:rsidR="0041048E" w:rsidRPr="00A20244" w:rsidRDefault="0041048E" w:rsidP="00F42EE6">
            <w:pPr>
              <w:widowControl/>
              <w:wordWrap/>
              <w:autoSpaceDE/>
              <w:autoSpaceDN/>
              <w:spacing w:after="0" w:line="240" w:lineRule="auto"/>
              <w:jc w:val="right"/>
              <w:rPr>
                <w:rFonts w:ascii="Arial" w:eastAsia="Malgun Gothic" w:hAnsi="Arial" w:cs="Arial"/>
                <w:kern w:val="0"/>
                <w:szCs w:val="20"/>
              </w:rPr>
            </w:pPr>
            <w:r w:rsidRPr="000051C8">
              <w:rPr>
                <w:rFonts w:ascii="Arial" w:hAnsi="Arial" w:cs="Arial"/>
                <w:szCs w:val="20"/>
              </w:rPr>
              <w:t>-</w:t>
            </w:r>
          </w:p>
        </w:tc>
        <w:tc>
          <w:tcPr>
            <w:tcW w:w="988" w:type="dxa"/>
            <w:tcBorders>
              <w:left w:val="nil"/>
              <w:bottom w:val="single" w:sz="8" w:space="0" w:color="auto"/>
              <w:right w:val="single" w:sz="8" w:space="0" w:color="auto"/>
            </w:tcBorders>
          </w:tcPr>
          <w:p w14:paraId="743C7687" w14:textId="007A67FA"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p>
        </w:tc>
      </w:tr>
      <w:tr w:rsidR="0041048E" w:rsidRPr="00386091" w14:paraId="44249108" w14:textId="4E9C108E" w:rsidTr="00373B25">
        <w:trPr>
          <w:trHeight w:val="340"/>
        </w:trPr>
        <w:tc>
          <w:tcPr>
            <w:tcW w:w="2542" w:type="dxa"/>
            <w:tcBorders>
              <w:top w:val="single" w:sz="8" w:space="0" w:color="000000"/>
              <w:left w:val="single" w:sz="8" w:space="0" w:color="auto"/>
              <w:bottom w:val="nil"/>
              <w:right w:val="single" w:sz="8" w:space="0" w:color="auto"/>
            </w:tcBorders>
            <w:shd w:val="clear" w:color="auto" w:fill="auto"/>
            <w:vAlign w:val="center"/>
            <w:hideMark/>
          </w:tcPr>
          <w:p w14:paraId="0D7E29C3" w14:textId="77777777" w:rsidR="0041048E" w:rsidRPr="00A20244" w:rsidRDefault="0041048E" w:rsidP="00386091">
            <w:pPr>
              <w:widowControl/>
              <w:wordWrap/>
              <w:autoSpaceDE/>
              <w:autoSpaceDN/>
              <w:spacing w:after="0" w:line="240" w:lineRule="auto"/>
              <w:jc w:val="left"/>
              <w:rPr>
                <w:rFonts w:ascii="Arial" w:eastAsia="Malgun Gothic" w:hAnsi="Arial" w:cs="Arial"/>
                <w:color w:val="000000"/>
                <w:kern w:val="0"/>
                <w:szCs w:val="20"/>
              </w:rPr>
            </w:pPr>
            <w:r w:rsidRPr="00A20244">
              <w:rPr>
                <w:rFonts w:ascii="Arial" w:eastAsia="Malgun Gothic" w:hAnsi="Arial" w:cs="Arial"/>
                <w:color w:val="000000"/>
                <w:kern w:val="0"/>
                <w:szCs w:val="20"/>
              </w:rPr>
              <w:t>Non-medical cost</w:t>
            </w:r>
          </w:p>
        </w:tc>
        <w:tc>
          <w:tcPr>
            <w:tcW w:w="831" w:type="dxa"/>
            <w:tcBorders>
              <w:top w:val="single" w:sz="8" w:space="0" w:color="auto"/>
              <w:left w:val="nil"/>
              <w:bottom w:val="nil"/>
              <w:right w:val="nil"/>
            </w:tcBorders>
            <w:shd w:val="clear" w:color="auto" w:fill="auto"/>
            <w:vAlign w:val="center"/>
            <w:hideMark/>
          </w:tcPr>
          <w:p w14:paraId="3C14D523" w14:textId="77777777" w:rsidR="0041048E" w:rsidRPr="00A20244" w:rsidRDefault="0041048E" w:rsidP="003C7EB9">
            <w:pPr>
              <w:widowControl/>
              <w:wordWrap/>
              <w:autoSpaceDE/>
              <w:autoSpaceDN/>
              <w:spacing w:after="0" w:line="240" w:lineRule="auto"/>
              <w:jc w:val="right"/>
              <w:rPr>
                <w:rFonts w:ascii="Arial" w:eastAsia="Malgun Gothic" w:hAnsi="Arial" w:cs="Arial"/>
                <w:color w:val="000000"/>
                <w:kern w:val="0"/>
                <w:szCs w:val="20"/>
              </w:rPr>
            </w:pPr>
            <w:r w:rsidRPr="00A20244">
              <w:rPr>
                <w:rFonts w:ascii="Arial" w:eastAsia="Malgun Gothic" w:hAnsi="Arial" w:cs="Arial"/>
                <w:color w:val="000000"/>
                <w:kern w:val="0"/>
                <w:szCs w:val="20"/>
              </w:rPr>
              <w:t xml:space="preserve">　</w:t>
            </w:r>
          </w:p>
        </w:tc>
        <w:tc>
          <w:tcPr>
            <w:tcW w:w="843" w:type="dxa"/>
            <w:tcBorders>
              <w:top w:val="single" w:sz="8" w:space="0" w:color="auto"/>
              <w:left w:val="nil"/>
              <w:bottom w:val="nil"/>
              <w:right w:val="single" w:sz="8" w:space="0" w:color="auto"/>
            </w:tcBorders>
            <w:shd w:val="clear" w:color="auto" w:fill="auto"/>
            <w:vAlign w:val="center"/>
            <w:hideMark/>
          </w:tcPr>
          <w:p w14:paraId="06417B81" w14:textId="77777777" w:rsidR="0041048E" w:rsidRPr="00A20244" w:rsidRDefault="0041048E" w:rsidP="003C7EB9">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 xml:space="preserve">　</w:t>
            </w:r>
          </w:p>
        </w:tc>
        <w:tc>
          <w:tcPr>
            <w:tcW w:w="846" w:type="dxa"/>
            <w:tcBorders>
              <w:top w:val="single" w:sz="8" w:space="0" w:color="auto"/>
              <w:left w:val="nil"/>
              <w:bottom w:val="nil"/>
              <w:right w:val="nil"/>
            </w:tcBorders>
            <w:shd w:val="clear" w:color="auto" w:fill="auto"/>
            <w:vAlign w:val="center"/>
            <w:hideMark/>
          </w:tcPr>
          <w:p w14:paraId="192BCAE6" w14:textId="77777777" w:rsidR="0041048E" w:rsidRPr="00A20244" w:rsidRDefault="0041048E" w:rsidP="003C7EB9">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　</w:t>
            </w:r>
          </w:p>
        </w:tc>
        <w:tc>
          <w:tcPr>
            <w:tcW w:w="980" w:type="dxa"/>
            <w:tcBorders>
              <w:top w:val="single" w:sz="8" w:space="0" w:color="auto"/>
              <w:left w:val="nil"/>
              <w:bottom w:val="nil"/>
              <w:right w:val="single" w:sz="8" w:space="0" w:color="auto"/>
            </w:tcBorders>
            <w:shd w:val="clear" w:color="auto" w:fill="auto"/>
            <w:vAlign w:val="center"/>
            <w:hideMark/>
          </w:tcPr>
          <w:p w14:paraId="40139486" w14:textId="77777777" w:rsidR="0041048E" w:rsidRPr="00A20244" w:rsidRDefault="0041048E" w:rsidP="003C7EB9">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 xml:space="preserve">　</w:t>
            </w:r>
          </w:p>
        </w:tc>
        <w:tc>
          <w:tcPr>
            <w:tcW w:w="685" w:type="dxa"/>
            <w:tcBorders>
              <w:top w:val="nil"/>
              <w:left w:val="nil"/>
              <w:bottom w:val="nil"/>
              <w:right w:val="nil"/>
            </w:tcBorders>
            <w:shd w:val="clear" w:color="auto" w:fill="auto"/>
            <w:vAlign w:val="center"/>
            <w:hideMark/>
          </w:tcPr>
          <w:p w14:paraId="4A35B0A5" w14:textId="77777777" w:rsidR="0041048E" w:rsidRPr="00A20244" w:rsidRDefault="0041048E" w:rsidP="00386091">
            <w:pPr>
              <w:widowControl/>
              <w:wordWrap/>
              <w:autoSpaceDE/>
              <w:autoSpaceDN/>
              <w:spacing w:after="0" w:line="240" w:lineRule="auto"/>
              <w:jc w:val="left"/>
              <w:rPr>
                <w:rFonts w:ascii="Arial" w:eastAsia="Malgun Gothic" w:hAnsi="Arial" w:cs="Arial"/>
                <w:kern w:val="0"/>
                <w:szCs w:val="20"/>
              </w:rPr>
            </w:pPr>
          </w:p>
        </w:tc>
        <w:tc>
          <w:tcPr>
            <w:tcW w:w="924" w:type="dxa"/>
            <w:tcBorders>
              <w:top w:val="nil"/>
              <w:left w:val="nil"/>
              <w:bottom w:val="nil"/>
              <w:right w:val="single" w:sz="8" w:space="0" w:color="auto"/>
            </w:tcBorders>
            <w:shd w:val="clear" w:color="auto" w:fill="auto"/>
            <w:vAlign w:val="center"/>
            <w:hideMark/>
          </w:tcPr>
          <w:p w14:paraId="08C68D3A" w14:textId="77777777" w:rsidR="0041048E" w:rsidRPr="00A20244" w:rsidRDefault="0041048E" w:rsidP="00386091">
            <w:pPr>
              <w:widowControl/>
              <w:wordWrap/>
              <w:autoSpaceDE/>
              <w:autoSpaceDN/>
              <w:spacing w:after="0" w:line="240" w:lineRule="auto"/>
              <w:jc w:val="left"/>
              <w:rPr>
                <w:rFonts w:ascii="Malgun Gothic" w:eastAsia="Malgun Gothic" w:hAnsi="Malgun Gothic" w:cs="Gulim"/>
                <w:kern w:val="0"/>
                <w:szCs w:val="20"/>
              </w:rPr>
            </w:pPr>
            <w:r w:rsidRPr="00A20244">
              <w:rPr>
                <w:rFonts w:ascii="Malgun Gothic" w:eastAsia="Malgun Gothic" w:hAnsi="Malgun Gothic" w:cs="Gulim" w:hint="eastAsia"/>
                <w:kern w:val="0"/>
                <w:szCs w:val="20"/>
              </w:rPr>
              <w:t xml:space="preserve">　</w:t>
            </w:r>
          </w:p>
        </w:tc>
        <w:tc>
          <w:tcPr>
            <w:tcW w:w="703" w:type="dxa"/>
            <w:tcBorders>
              <w:top w:val="single" w:sz="8" w:space="0" w:color="auto"/>
              <w:left w:val="nil"/>
            </w:tcBorders>
            <w:vAlign w:val="center"/>
          </w:tcPr>
          <w:p w14:paraId="1F905E32" w14:textId="77777777" w:rsidR="0041048E" w:rsidRPr="00A20244" w:rsidRDefault="0041048E" w:rsidP="00F42EE6">
            <w:pPr>
              <w:widowControl/>
              <w:wordWrap/>
              <w:autoSpaceDE/>
              <w:autoSpaceDN/>
              <w:spacing w:after="0" w:line="240" w:lineRule="auto"/>
              <w:jc w:val="right"/>
              <w:rPr>
                <w:rFonts w:ascii="Malgun Gothic" w:eastAsia="Malgun Gothic" w:hAnsi="Malgun Gothic" w:cs="Gulim"/>
                <w:kern w:val="0"/>
                <w:szCs w:val="20"/>
              </w:rPr>
            </w:pPr>
          </w:p>
        </w:tc>
        <w:tc>
          <w:tcPr>
            <w:tcW w:w="988" w:type="dxa"/>
            <w:tcBorders>
              <w:top w:val="single" w:sz="8" w:space="0" w:color="auto"/>
              <w:left w:val="nil"/>
              <w:right w:val="single" w:sz="8" w:space="0" w:color="auto"/>
            </w:tcBorders>
          </w:tcPr>
          <w:p w14:paraId="5433E6A2" w14:textId="46CC1D64" w:rsidR="0041048E" w:rsidRPr="00A20244" w:rsidRDefault="0041048E" w:rsidP="00386091">
            <w:pPr>
              <w:widowControl/>
              <w:wordWrap/>
              <w:autoSpaceDE/>
              <w:autoSpaceDN/>
              <w:spacing w:after="0" w:line="240" w:lineRule="auto"/>
              <w:jc w:val="left"/>
              <w:rPr>
                <w:rFonts w:ascii="Malgun Gothic" w:eastAsia="Malgun Gothic" w:hAnsi="Malgun Gothic" w:cs="Gulim"/>
                <w:kern w:val="0"/>
                <w:szCs w:val="20"/>
              </w:rPr>
            </w:pPr>
          </w:p>
        </w:tc>
      </w:tr>
      <w:tr w:rsidR="0041048E" w:rsidRPr="00386091" w14:paraId="0312113D" w14:textId="6623C6E4" w:rsidTr="00373B25">
        <w:trPr>
          <w:trHeight w:val="340"/>
        </w:trPr>
        <w:tc>
          <w:tcPr>
            <w:tcW w:w="2542" w:type="dxa"/>
            <w:tcBorders>
              <w:top w:val="nil"/>
              <w:left w:val="single" w:sz="8" w:space="0" w:color="auto"/>
              <w:bottom w:val="nil"/>
              <w:right w:val="single" w:sz="8" w:space="0" w:color="auto"/>
            </w:tcBorders>
            <w:shd w:val="clear" w:color="auto" w:fill="auto"/>
            <w:vAlign w:val="center"/>
            <w:hideMark/>
          </w:tcPr>
          <w:p w14:paraId="49DCCB21" w14:textId="77777777" w:rsidR="0041048E" w:rsidRPr="00A20244" w:rsidRDefault="0041048E" w:rsidP="0041048E">
            <w:pPr>
              <w:widowControl/>
              <w:wordWrap/>
              <w:autoSpaceDE/>
              <w:autoSpaceDN/>
              <w:spacing w:after="0" w:line="240" w:lineRule="auto"/>
              <w:ind w:firstLineChars="100" w:firstLine="200"/>
              <w:jc w:val="left"/>
              <w:rPr>
                <w:rFonts w:ascii="Arial" w:eastAsia="Malgun Gothic" w:hAnsi="Arial" w:cs="Arial"/>
                <w:color w:val="000000"/>
                <w:kern w:val="0"/>
                <w:szCs w:val="20"/>
              </w:rPr>
            </w:pPr>
            <w:r w:rsidRPr="00A20244">
              <w:rPr>
                <w:rFonts w:ascii="Arial" w:eastAsia="Malgun Gothic" w:hAnsi="Arial" w:cs="Arial"/>
                <w:color w:val="000000"/>
                <w:kern w:val="0"/>
                <w:szCs w:val="20"/>
              </w:rPr>
              <w:t>Transportation*</w:t>
            </w:r>
          </w:p>
        </w:tc>
        <w:tc>
          <w:tcPr>
            <w:tcW w:w="831" w:type="dxa"/>
            <w:tcBorders>
              <w:top w:val="nil"/>
              <w:left w:val="nil"/>
              <w:bottom w:val="nil"/>
              <w:right w:val="nil"/>
            </w:tcBorders>
            <w:shd w:val="clear" w:color="auto" w:fill="auto"/>
            <w:vAlign w:val="center"/>
            <w:hideMark/>
          </w:tcPr>
          <w:p w14:paraId="3669880E" w14:textId="77777777" w:rsidR="0041048E" w:rsidRPr="00A20244" w:rsidRDefault="0041048E" w:rsidP="0041048E">
            <w:pPr>
              <w:widowControl/>
              <w:wordWrap/>
              <w:autoSpaceDE/>
              <w:autoSpaceDN/>
              <w:spacing w:after="0" w:line="240" w:lineRule="auto"/>
              <w:jc w:val="right"/>
              <w:rPr>
                <w:rFonts w:ascii="Arial" w:eastAsia="Malgun Gothic" w:hAnsi="Arial" w:cs="Arial"/>
                <w:color w:val="000000"/>
                <w:kern w:val="0"/>
                <w:szCs w:val="20"/>
              </w:rPr>
            </w:pPr>
            <w:r w:rsidRPr="00A20244">
              <w:rPr>
                <w:rFonts w:ascii="Arial" w:eastAsia="Malgun Gothic" w:hAnsi="Arial" w:cs="Arial"/>
                <w:color w:val="000000"/>
                <w:kern w:val="0"/>
                <w:szCs w:val="20"/>
              </w:rPr>
              <w:t xml:space="preserve">$3.98 </w:t>
            </w:r>
          </w:p>
        </w:tc>
        <w:tc>
          <w:tcPr>
            <w:tcW w:w="843" w:type="dxa"/>
            <w:tcBorders>
              <w:top w:val="nil"/>
              <w:left w:val="nil"/>
              <w:bottom w:val="nil"/>
              <w:right w:val="single" w:sz="8" w:space="0" w:color="auto"/>
            </w:tcBorders>
            <w:shd w:val="clear" w:color="auto" w:fill="auto"/>
            <w:vAlign w:val="center"/>
            <w:hideMark/>
          </w:tcPr>
          <w:p w14:paraId="09955D7A"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($12.74)</w:t>
            </w:r>
          </w:p>
        </w:tc>
        <w:tc>
          <w:tcPr>
            <w:tcW w:w="846" w:type="dxa"/>
            <w:tcBorders>
              <w:top w:val="nil"/>
              <w:left w:val="nil"/>
              <w:bottom w:val="nil"/>
              <w:right w:val="nil"/>
            </w:tcBorders>
            <w:shd w:val="clear" w:color="auto" w:fill="auto"/>
            <w:vAlign w:val="center"/>
            <w:hideMark/>
          </w:tcPr>
          <w:p w14:paraId="422FC35F"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$2.57 </w:t>
            </w:r>
          </w:p>
        </w:tc>
        <w:tc>
          <w:tcPr>
            <w:tcW w:w="980" w:type="dxa"/>
            <w:tcBorders>
              <w:top w:val="nil"/>
              <w:left w:val="nil"/>
              <w:bottom w:val="nil"/>
              <w:right w:val="single" w:sz="8" w:space="0" w:color="auto"/>
            </w:tcBorders>
            <w:shd w:val="clear" w:color="auto" w:fill="auto"/>
            <w:vAlign w:val="center"/>
            <w:hideMark/>
          </w:tcPr>
          <w:p w14:paraId="3D66FA3D"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($3.24)</w:t>
            </w:r>
          </w:p>
        </w:tc>
        <w:tc>
          <w:tcPr>
            <w:tcW w:w="685" w:type="dxa"/>
            <w:tcBorders>
              <w:top w:val="nil"/>
              <w:left w:val="nil"/>
              <w:bottom w:val="nil"/>
              <w:right w:val="nil"/>
            </w:tcBorders>
            <w:shd w:val="clear" w:color="auto" w:fill="auto"/>
            <w:vAlign w:val="center"/>
            <w:hideMark/>
          </w:tcPr>
          <w:p w14:paraId="329AD120"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$0.31 </w:t>
            </w:r>
          </w:p>
        </w:tc>
        <w:tc>
          <w:tcPr>
            <w:tcW w:w="924" w:type="dxa"/>
            <w:tcBorders>
              <w:top w:val="nil"/>
              <w:left w:val="nil"/>
              <w:bottom w:val="nil"/>
              <w:right w:val="single" w:sz="8" w:space="0" w:color="auto"/>
            </w:tcBorders>
            <w:shd w:val="clear" w:color="auto" w:fill="auto"/>
            <w:vAlign w:val="center"/>
            <w:hideMark/>
          </w:tcPr>
          <w:p w14:paraId="78557FBB"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($0.52)</w:t>
            </w:r>
          </w:p>
        </w:tc>
        <w:tc>
          <w:tcPr>
            <w:tcW w:w="703" w:type="dxa"/>
            <w:tcBorders>
              <w:left w:val="nil"/>
            </w:tcBorders>
            <w:vAlign w:val="center"/>
          </w:tcPr>
          <w:p w14:paraId="4103B88F" w14:textId="29D5B059" w:rsidR="0041048E" w:rsidRPr="00A20244" w:rsidRDefault="0041048E" w:rsidP="00F42EE6">
            <w:pPr>
              <w:widowControl/>
              <w:wordWrap/>
              <w:autoSpaceDE/>
              <w:autoSpaceDN/>
              <w:spacing w:after="0" w:line="240" w:lineRule="auto"/>
              <w:jc w:val="right"/>
              <w:rPr>
                <w:rFonts w:ascii="Arial" w:eastAsia="Malgun Gothic" w:hAnsi="Arial" w:cs="Arial"/>
                <w:kern w:val="0"/>
                <w:szCs w:val="20"/>
              </w:rPr>
            </w:pPr>
            <w:r w:rsidRPr="000051C8">
              <w:rPr>
                <w:rFonts w:ascii="Arial" w:eastAsia="Malgun Gothic" w:hAnsi="Arial" w:cs="Arial"/>
                <w:szCs w:val="20"/>
              </w:rPr>
              <w:t>$0.32</w:t>
            </w:r>
          </w:p>
        </w:tc>
        <w:tc>
          <w:tcPr>
            <w:tcW w:w="988" w:type="dxa"/>
            <w:tcBorders>
              <w:left w:val="nil"/>
              <w:right w:val="single" w:sz="8" w:space="0" w:color="auto"/>
            </w:tcBorders>
            <w:vAlign w:val="center"/>
          </w:tcPr>
          <w:p w14:paraId="05920434" w14:textId="05DB030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0051C8">
              <w:rPr>
                <w:rFonts w:ascii="Arial" w:eastAsia="Malgun Gothic" w:hAnsi="Arial" w:cs="Arial"/>
                <w:szCs w:val="20"/>
              </w:rPr>
              <w:t>(</w:t>
            </w:r>
            <w:r w:rsidRPr="000051C8">
              <w:rPr>
                <w:rFonts w:ascii="Arial" w:hAnsi="Arial" w:cs="Arial"/>
                <w:szCs w:val="20"/>
              </w:rPr>
              <w:t>$</w:t>
            </w:r>
            <w:r w:rsidRPr="000051C8">
              <w:rPr>
                <w:rFonts w:ascii="Arial" w:eastAsia="Malgun Gothic" w:hAnsi="Arial" w:cs="Arial"/>
                <w:szCs w:val="20"/>
              </w:rPr>
              <w:t>0.30)</w:t>
            </w:r>
          </w:p>
        </w:tc>
      </w:tr>
      <w:tr w:rsidR="0041048E" w:rsidRPr="00386091" w14:paraId="3039EE14" w14:textId="4DB7FD88" w:rsidTr="00373B25">
        <w:trPr>
          <w:trHeight w:val="340"/>
        </w:trPr>
        <w:tc>
          <w:tcPr>
            <w:tcW w:w="2542" w:type="dxa"/>
            <w:tcBorders>
              <w:top w:val="nil"/>
              <w:left w:val="single" w:sz="8" w:space="0" w:color="auto"/>
              <w:bottom w:val="nil"/>
              <w:right w:val="single" w:sz="8" w:space="0" w:color="auto"/>
            </w:tcBorders>
            <w:shd w:val="clear" w:color="auto" w:fill="auto"/>
            <w:vAlign w:val="center"/>
            <w:hideMark/>
          </w:tcPr>
          <w:p w14:paraId="672BFEA4" w14:textId="77777777" w:rsidR="0041048E" w:rsidRPr="00A20244" w:rsidRDefault="0041048E" w:rsidP="0041048E">
            <w:pPr>
              <w:widowControl/>
              <w:wordWrap/>
              <w:autoSpaceDE/>
              <w:autoSpaceDN/>
              <w:spacing w:after="0" w:line="240" w:lineRule="auto"/>
              <w:ind w:firstLineChars="100" w:firstLine="200"/>
              <w:jc w:val="left"/>
              <w:rPr>
                <w:rFonts w:ascii="Arial" w:eastAsia="Malgun Gothic" w:hAnsi="Arial" w:cs="Arial"/>
                <w:color w:val="000000"/>
                <w:kern w:val="0"/>
                <w:szCs w:val="20"/>
              </w:rPr>
            </w:pPr>
            <w:r w:rsidRPr="00A20244">
              <w:rPr>
                <w:rFonts w:ascii="Arial" w:eastAsia="Malgun Gothic" w:hAnsi="Arial" w:cs="Arial"/>
                <w:color w:val="000000"/>
                <w:kern w:val="0"/>
                <w:szCs w:val="20"/>
              </w:rPr>
              <w:t>Childcare</w:t>
            </w:r>
          </w:p>
        </w:tc>
        <w:tc>
          <w:tcPr>
            <w:tcW w:w="831" w:type="dxa"/>
            <w:tcBorders>
              <w:top w:val="nil"/>
              <w:left w:val="nil"/>
              <w:bottom w:val="nil"/>
              <w:right w:val="nil"/>
            </w:tcBorders>
            <w:shd w:val="clear" w:color="auto" w:fill="auto"/>
            <w:vAlign w:val="center"/>
            <w:hideMark/>
          </w:tcPr>
          <w:p w14:paraId="1DD4BD3D" w14:textId="77777777" w:rsidR="0041048E" w:rsidRPr="00A20244" w:rsidRDefault="0041048E" w:rsidP="0041048E">
            <w:pPr>
              <w:widowControl/>
              <w:wordWrap/>
              <w:autoSpaceDE/>
              <w:autoSpaceDN/>
              <w:spacing w:after="0" w:line="240" w:lineRule="auto"/>
              <w:jc w:val="right"/>
              <w:rPr>
                <w:rFonts w:ascii="Arial" w:eastAsia="Malgun Gothic" w:hAnsi="Arial" w:cs="Arial"/>
                <w:color w:val="000000"/>
                <w:kern w:val="0"/>
                <w:szCs w:val="20"/>
              </w:rPr>
            </w:pPr>
            <w:r w:rsidRPr="00A20244">
              <w:rPr>
                <w:rFonts w:ascii="Arial" w:eastAsia="Malgun Gothic" w:hAnsi="Arial" w:cs="Arial"/>
                <w:color w:val="000000"/>
                <w:kern w:val="0"/>
                <w:szCs w:val="20"/>
              </w:rPr>
              <w:t xml:space="preserve">$2.53 </w:t>
            </w:r>
          </w:p>
        </w:tc>
        <w:tc>
          <w:tcPr>
            <w:tcW w:w="843" w:type="dxa"/>
            <w:tcBorders>
              <w:top w:val="nil"/>
              <w:left w:val="nil"/>
              <w:bottom w:val="nil"/>
              <w:right w:val="single" w:sz="8" w:space="0" w:color="auto"/>
            </w:tcBorders>
            <w:shd w:val="clear" w:color="auto" w:fill="auto"/>
            <w:vAlign w:val="center"/>
            <w:hideMark/>
          </w:tcPr>
          <w:p w14:paraId="056C879C"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($5.52)</w:t>
            </w:r>
          </w:p>
        </w:tc>
        <w:tc>
          <w:tcPr>
            <w:tcW w:w="846" w:type="dxa"/>
            <w:tcBorders>
              <w:top w:val="nil"/>
              <w:left w:val="nil"/>
              <w:bottom w:val="nil"/>
              <w:right w:val="nil"/>
            </w:tcBorders>
            <w:shd w:val="clear" w:color="auto" w:fill="auto"/>
            <w:vAlign w:val="center"/>
            <w:hideMark/>
          </w:tcPr>
          <w:p w14:paraId="2F9B12DC"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$4.60 </w:t>
            </w:r>
          </w:p>
        </w:tc>
        <w:tc>
          <w:tcPr>
            <w:tcW w:w="980" w:type="dxa"/>
            <w:tcBorders>
              <w:top w:val="nil"/>
              <w:left w:val="nil"/>
              <w:bottom w:val="nil"/>
              <w:right w:val="single" w:sz="8" w:space="0" w:color="auto"/>
            </w:tcBorders>
            <w:shd w:val="clear" w:color="auto" w:fill="auto"/>
            <w:vAlign w:val="center"/>
            <w:hideMark/>
          </w:tcPr>
          <w:p w14:paraId="6B2F5BAF"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($9.29)</w:t>
            </w:r>
          </w:p>
        </w:tc>
        <w:tc>
          <w:tcPr>
            <w:tcW w:w="685" w:type="dxa"/>
            <w:tcBorders>
              <w:top w:val="nil"/>
              <w:left w:val="nil"/>
              <w:bottom w:val="nil"/>
              <w:right w:val="nil"/>
            </w:tcBorders>
            <w:shd w:val="clear" w:color="auto" w:fill="auto"/>
            <w:vAlign w:val="center"/>
            <w:hideMark/>
          </w:tcPr>
          <w:p w14:paraId="12DD39A5"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$0.36 </w:t>
            </w:r>
          </w:p>
        </w:tc>
        <w:tc>
          <w:tcPr>
            <w:tcW w:w="924" w:type="dxa"/>
            <w:tcBorders>
              <w:top w:val="nil"/>
              <w:left w:val="nil"/>
              <w:bottom w:val="nil"/>
              <w:right w:val="single" w:sz="8" w:space="0" w:color="auto"/>
            </w:tcBorders>
            <w:shd w:val="clear" w:color="auto" w:fill="auto"/>
            <w:vAlign w:val="center"/>
            <w:hideMark/>
          </w:tcPr>
          <w:p w14:paraId="4BF9262A"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($0.85)</w:t>
            </w:r>
          </w:p>
        </w:tc>
        <w:tc>
          <w:tcPr>
            <w:tcW w:w="703" w:type="dxa"/>
            <w:tcBorders>
              <w:left w:val="nil"/>
            </w:tcBorders>
            <w:vAlign w:val="center"/>
          </w:tcPr>
          <w:p w14:paraId="562BF186" w14:textId="3E0FDBF7" w:rsidR="0041048E" w:rsidRPr="00A20244" w:rsidRDefault="0041048E" w:rsidP="00F42EE6">
            <w:pPr>
              <w:widowControl/>
              <w:wordWrap/>
              <w:autoSpaceDE/>
              <w:autoSpaceDN/>
              <w:spacing w:after="0" w:line="240" w:lineRule="auto"/>
              <w:jc w:val="right"/>
              <w:rPr>
                <w:rFonts w:ascii="Arial" w:eastAsia="Malgun Gothic" w:hAnsi="Arial" w:cs="Arial"/>
                <w:kern w:val="0"/>
                <w:szCs w:val="20"/>
              </w:rPr>
            </w:pPr>
            <w:r w:rsidRPr="000051C8">
              <w:rPr>
                <w:rFonts w:ascii="Arial" w:eastAsia="Malgun Gothic" w:hAnsi="Arial" w:cs="Arial"/>
                <w:szCs w:val="20"/>
              </w:rPr>
              <w:t>$0.23</w:t>
            </w:r>
          </w:p>
        </w:tc>
        <w:tc>
          <w:tcPr>
            <w:tcW w:w="988" w:type="dxa"/>
            <w:tcBorders>
              <w:left w:val="nil"/>
              <w:right w:val="single" w:sz="8" w:space="0" w:color="auto"/>
            </w:tcBorders>
            <w:vAlign w:val="center"/>
          </w:tcPr>
          <w:p w14:paraId="26861E8D" w14:textId="017663F5"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0051C8">
              <w:rPr>
                <w:rFonts w:ascii="Arial" w:eastAsia="Malgun Gothic" w:hAnsi="Arial" w:cs="Arial"/>
                <w:szCs w:val="20"/>
              </w:rPr>
              <w:t>(</w:t>
            </w:r>
            <w:r w:rsidRPr="000051C8">
              <w:rPr>
                <w:rFonts w:ascii="Arial" w:hAnsi="Arial" w:cs="Arial"/>
                <w:szCs w:val="20"/>
              </w:rPr>
              <w:t>$</w:t>
            </w:r>
            <w:r w:rsidRPr="000051C8">
              <w:rPr>
                <w:rFonts w:ascii="Arial" w:eastAsia="Malgun Gothic" w:hAnsi="Arial" w:cs="Arial"/>
                <w:szCs w:val="20"/>
              </w:rPr>
              <w:t>0.19)</w:t>
            </w:r>
          </w:p>
        </w:tc>
      </w:tr>
      <w:tr w:rsidR="0041048E" w:rsidRPr="00386091" w14:paraId="589B720F" w14:textId="024EE064" w:rsidTr="00373B25">
        <w:trPr>
          <w:trHeight w:val="340"/>
        </w:trPr>
        <w:tc>
          <w:tcPr>
            <w:tcW w:w="2542" w:type="dxa"/>
            <w:tcBorders>
              <w:top w:val="nil"/>
              <w:left w:val="single" w:sz="8" w:space="0" w:color="auto"/>
              <w:bottom w:val="nil"/>
              <w:right w:val="single" w:sz="8" w:space="0" w:color="auto"/>
            </w:tcBorders>
            <w:shd w:val="clear" w:color="auto" w:fill="auto"/>
            <w:vAlign w:val="center"/>
            <w:hideMark/>
          </w:tcPr>
          <w:p w14:paraId="396F406B" w14:textId="77777777" w:rsidR="0041048E" w:rsidRPr="00A20244" w:rsidRDefault="0041048E" w:rsidP="0041048E">
            <w:pPr>
              <w:widowControl/>
              <w:wordWrap/>
              <w:autoSpaceDE/>
              <w:autoSpaceDN/>
              <w:spacing w:after="0" w:line="240" w:lineRule="auto"/>
              <w:ind w:firstLineChars="100" w:firstLine="200"/>
              <w:jc w:val="left"/>
              <w:rPr>
                <w:rFonts w:ascii="Arial" w:eastAsia="Malgun Gothic" w:hAnsi="Arial" w:cs="Arial"/>
                <w:color w:val="000000"/>
                <w:kern w:val="0"/>
                <w:szCs w:val="20"/>
              </w:rPr>
            </w:pPr>
            <w:r w:rsidRPr="00A20244">
              <w:rPr>
                <w:rFonts w:ascii="Arial" w:eastAsia="Malgun Gothic" w:hAnsi="Arial" w:cs="Arial"/>
                <w:color w:val="000000"/>
                <w:kern w:val="0"/>
                <w:szCs w:val="20"/>
              </w:rPr>
              <w:t>Food</w:t>
            </w:r>
          </w:p>
        </w:tc>
        <w:tc>
          <w:tcPr>
            <w:tcW w:w="831" w:type="dxa"/>
            <w:tcBorders>
              <w:top w:val="nil"/>
              <w:left w:val="nil"/>
              <w:bottom w:val="nil"/>
              <w:right w:val="nil"/>
            </w:tcBorders>
            <w:shd w:val="clear" w:color="auto" w:fill="auto"/>
            <w:vAlign w:val="center"/>
            <w:hideMark/>
          </w:tcPr>
          <w:p w14:paraId="7C0729D3" w14:textId="77777777" w:rsidR="0041048E" w:rsidRPr="00A20244" w:rsidRDefault="0041048E" w:rsidP="0041048E">
            <w:pPr>
              <w:widowControl/>
              <w:wordWrap/>
              <w:autoSpaceDE/>
              <w:autoSpaceDN/>
              <w:spacing w:after="0" w:line="240" w:lineRule="auto"/>
              <w:jc w:val="right"/>
              <w:rPr>
                <w:rFonts w:ascii="Arial" w:eastAsia="Malgun Gothic" w:hAnsi="Arial" w:cs="Arial"/>
                <w:color w:val="000000"/>
                <w:kern w:val="0"/>
                <w:szCs w:val="20"/>
              </w:rPr>
            </w:pPr>
            <w:r w:rsidRPr="00A20244">
              <w:rPr>
                <w:rFonts w:ascii="Arial" w:eastAsia="Malgun Gothic" w:hAnsi="Arial" w:cs="Arial"/>
                <w:color w:val="000000"/>
                <w:kern w:val="0"/>
                <w:szCs w:val="20"/>
              </w:rPr>
              <w:t xml:space="preserve">$8.18 </w:t>
            </w:r>
          </w:p>
        </w:tc>
        <w:tc>
          <w:tcPr>
            <w:tcW w:w="843" w:type="dxa"/>
            <w:tcBorders>
              <w:top w:val="nil"/>
              <w:left w:val="nil"/>
              <w:bottom w:val="nil"/>
              <w:right w:val="single" w:sz="8" w:space="0" w:color="auto"/>
            </w:tcBorders>
            <w:shd w:val="clear" w:color="auto" w:fill="auto"/>
            <w:vAlign w:val="center"/>
            <w:hideMark/>
          </w:tcPr>
          <w:p w14:paraId="39DC8581"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($11.85)</w:t>
            </w:r>
          </w:p>
        </w:tc>
        <w:tc>
          <w:tcPr>
            <w:tcW w:w="846" w:type="dxa"/>
            <w:tcBorders>
              <w:top w:val="nil"/>
              <w:left w:val="nil"/>
              <w:bottom w:val="nil"/>
              <w:right w:val="nil"/>
            </w:tcBorders>
            <w:shd w:val="clear" w:color="auto" w:fill="auto"/>
            <w:vAlign w:val="center"/>
            <w:hideMark/>
          </w:tcPr>
          <w:p w14:paraId="5BFA7775"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$12.72 </w:t>
            </w:r>
          </w:p>
        </w:tc>
        <w:tc>
          <w:tcPr>
            <w:tcW w:w="980" w:type="dxa"/>
            <w:tcBorders>
              <w:top w:val="nil"/>
              <w:left w:val="nil"/>
              <w:bottom w:val="nil"/>
              <w:right w:val="single" w:sz="8" w:space="0" w:color="auto"/>
            </w:tcBorders>
            <w:shd w:val="clear" w:color="auto" w:fill="auto"/>
            <w:vAlign w:val="center"/>
            <w:hideMark/>
          </w:tcPr>
          <w:p w14:paraId="32C5BC4A"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($12.78)</w:t>
            </w:r>
          </w:p>
        </w:tc>
        <w:tc>
          <w:tcPr>
            <w:tcW w:w="685" w:type="dxa"/>
            <w:tcBorders>
              <w:top w:val="nil"/>
              <w:left w:val="nil"/>
              <w:bottom w:val="nil"/>
              <w:right w:val="nil"/>
            </w:tcBorders>
            <w:shd w:val="clear" w:color="auto" w:fill="auto"/>
            <w:vAlign w:val="center"/>
            <w:hideMark/>
          </w:tcPr>
          <w:p w14:paraId="66D5353A"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$0.50 </w:t>
            </w:r>
          </w:p>
        </w:tc>
        <w:tc>
          <w:tcPr>
            <w:tcW w:w="924" w:type="dxa"/>
            <w:tcBorders>
              <w:top w:val="nil"/>
              <w:left w:val="nil"/>
              <w:bottom w:val="nil"/>
              <w:right w:val="single" w:sz="8" w:space="0" w:color="auto"/>
            </w:tcBorders>
            <w:shd w:val="clear" w:color="auto" w:fill="auto"/>
            <w:vAlign w:val="center"/>
            <w:hideMark/>
          </w:tcPr>
          <w:p w14:paraId="1C67E3D0"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($1.01)</w:t>
            </w:r>
          </w:p>
        </w:tc>
        <w:tc>
          <w:tcPr>
            <w:tcW w:w="703" w:type="dxa"/>
            <w:tcBorders>
              <w:left w:val="nil"/>
            </w:tcBorders>
            <w:vAlign w:val="center"/>
          </w:tcPr>
          <w:p w14:paraId="34735CDF" w14:textId="35E55D96" w:rsidR="0041048E" w:rsidRPr="00A20244" w:rsidRDefault="0041048E" w:rsidP="00F42EE6">
            <w:pPr>
              <w:widowControl/>
              <w:wordWrap/>
              <w:autoSpaceDE/>
              <w:autoSpaceDN/>
              <w:spacing w:after="0" w:line="240" w:lineRule="auto"/>
              <w:jc w:val="right"/>
              <w:rPr>
                <w:rFonts w:ascii="Arial" w:eastAsia="Malgun Gothic" w:hAnsi="Arial" w:cs="Arial"/>
                <w:kern w:val="0"/>
                <w:szCs w:val="20"/>
              </w:rPr>
            </w:pPr>
            <w:r w:rsidRPr="000051C8">
              <w:rPr>
                <w:rFonts w:ascii="Arial" w:eastAsia="Malgun Gothic" w:hAnsi="Arial" w:cs="Arial"/>
                <w:szCs w:val="20"/>
              </w:rPr>
              <w:t>$0.64</w:t>
            </w:r>
          </w:p>
        </w:tc>
        <w:tc>
          <w:tcPr>
            <w:tcW w:w="988" w:type="dxa"/>
            <w:tcBorders>
              <w:left w:val="nil"/>
              <w:right w:val="single" w:sz="8" w:space="0" w:color="auto"/>
            </w:tcBorders>
            <w:vAlign w:val="center"/>
          </w:tcPr>
          <w:p w14:paraId="270315A6" w14:textId="3B440415"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0051C8">
              <w:rPr>
                <w:rFonts w:ascii="Arial" w:eastAsia="Malgun Gothic" w:hAnsi="Arial" w:cs="Arial"/>
                <w:szCs w:val="20"/>
              </w:rPr>
              <w:t>(</w:t>
            </w:r>
            <w:r w:rsidRPr="000051C8">
              <w:rPr>
                <w:rFonts w:ascii="Arial" w:hAnsi="Arial" w:cs="Arial"/>
                <w:szCs w:val="20"/>
              </w:rPr>
              <w:t>$</w:t>
            </w:r>
            <w:r w:rsidRPr="000051C8">
              <w:rPr>
                <w:rFonts w:ascii="Arial" w:eastAsia="Malgun Gothic" w:hAnsi="Arial" w:cs="Arial"/>
                <w:szCs w:val="20"/>
              </w:rPr>
              <w:t>0.61)</w:t>
            </w:r>
          </w:p>
        </w:tc>
      </w:tr>
      <w:tr w:rsidR="0041048E" w:rsidRPr="00386091" w14:paraId="6F860919" w14:textId="3C62596C" w:rsidTr="00373B25">
        <w:trPr>
          <w:trHeight w:val="340"/>
        </w:trPr>
        <w:tc>
          <w:tcPr>
            <w:tcW w:w="2542" w:type="dxa"/>
            <w:tcBorders>
              <w:top w:val="nil"/>
              <w:left w:val="single" w:sz="8" w:space="0" w:color="auto"/>
              <w:bottom w:val="nil"/>
              <w:right w:val="single" w:sz="8" w:space="0" w:color="auto"/>
            </w:tcBorders>
            <w:shd w:val="clear" w:color="auto" w:fill="auto"/>
            <w:vAlign w:val="center"/>
            <w:hideMark/>
          </w:tcPr>
          <w:p w14:paraId="5E739EEF" w14:textId="77777777" w:rsidR="0041048E" w:rsidRPr="00A20244" w:rsidRDefault="0041048E" w:rsidP="0041048E">
            <w:pPr>
              <w:widowControl/>
              <w:wordWrap/>
              <w:autoSpaceDE/>
              <w:autoSpaceDN/>
              <w:spacing w:after="0" w:line="240" w:lineRule="auto"/>
              <w:ind w:firstLineChars="100" w:firstLine="200"/>
              <w:jc w:val="left"/>
              <w:rPr>
                <w:rFonts w:ascii="Arial" w:eastAsia="Malgun Gothic" w:hAnsi="Arial" w:cs="Arial"/>
                <w:color w:val="000000"/>
                <w:kern w:val="0"/>
                <w:szCs w:val="20"/>
              </w:rPr>
            </w:pPr>
            <w:r w:rsidRPr="00A20244">
              <w:rPr>
                <w:rFonts w:ascii="Arial" w:eastAsia="Malgun Gothic" w:hAnsi="Arial" w:cs="Arial"/>
                <w:color w:val="000000"/>
                <w:kern w:val="0"/>
                <w:szCs w:val="20"/>
              </w:rPr>
              <w:t>Accommodation</w:t>
            </w:r>
          </w:p>
        </w:tc>
        <w:tc>
          <w:tcPr>
            <w:tcW w:w="831" w:type="dxa"/>
            <w:tcBorders>
              <w:top w:val="nil"/>
              <w:left w:val="nil"/>
              <w:bottom w:val="nil"/>
              <w:right w:val="nil"/>
            </w:tcBorders>
            <w:shd w:val="clear" w:color="auto" w:fill="auto"/>
            <w:vAlign w:val="center"/>
            <w:hideMark/>
          </w:tcPr>
          <w:p w14:paraId="14A52FD6" w14:textId="77777777" w:rsidR="0041048E" w:rsidRPr="00A20244" w:rsidRDefault="0041048E" w:rsidP="0041048E">
            <w:pPr>
              <w:widowControl/>
              <w:wordWrap/>
              <w:autoSpaceDE/>
              <w:autoSpaceDN/>
              <w:spacing w:after="0" w:line="240" w:lineRule="auto"/>
              <w:jc w:val="right"/>
              <w:rPr>
                <w:rFonts w:ascii="Arial" w:eastAsia="Malgun Gothic" w:hAnsi="Arial" w:cs="Arial"/>
                <w:color w:val="000000"/>
                <w:kern w:val="0"/>
                <w:szCs w:val="20"/>
              </w:rPr>
            </w:pPr>
            <w:r w:rsidRPr="00A20244">
              <w:rPr>
                <w:rFonts w:ascii="Arial" w:eastAsia="Malgun Gothic" w:hAnsi="Arial" w:cs="Arial"/>
                <w:color w:val="000000"/>
                <w:kern w:val="0"/>
                <w:szCs w:val="20"/>
              </w:rPr>
              <w:t>-</w:t>
            </w:r>
          </w:p>
        </w:tc>
        <w:tc>
          <w:tcPr>
            <w:tcW w:w="843" w:type="dxa"/>
            <w:tcBorders>
              <w:top w:val="nil"/>
              <w:left w:val="nil"/>
              <w:bottom w:val="nil"/>
              <w:right w:val="single" w:sz="8" w:space="0" w:color="auto"/>
            </w:tcBorders>
            <w:shd w:val="clear" w:color="auto" w:fill="auto"/>
            <w:vAlign w:val="center"/>
            <w:hideMark/>
          </w:tcPr>
          <w:p w14:paraId="2028E5A2"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 xml:space="preserve">　</w:t>
            </w:r>
          </w:p>
        </w:tc>
        <w:tc>
          <w:tcPr>
            <w:tcW w:w="846" w:type="dxa"/>
            <w:tcBorders>
              <w:top w:val="nil"/>
              <w:left w:val="nil"/>
              <w:bottom w:val="nil"/>
              <w:right w:val="nil"/>
            </w:tcBorders>
            <w:shd w:val="clear" w:color="auto" w:fill="auto"/>
            <w:vAlign w:val="center"/>
            <w:hideMark/>
          </w:tcPr>
          <w:p w14:paraId="5BFE36DD"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w:t>
            </w:r>
          </w:p>
        </w:tc>
        <w:tc>
          <w:tcPr>
            <w:tcW w:w="980" w:type="dxa"/>
            <w:tcBorders>
              <w:top w:val="nil"/>
              <w:left w:val="nil"/>
              <w:bottom w:val="nil"/>
              <w:right w:val="single" w:sz="8" w:space="0" w:color="auto"/>
            </w:tcBorders>
            <w:shd w:val="clear" w:color="auto" w:fill="auto"/>
            <w:vAlign w:val="center"/>
            <w:hideMark/>
          </w:tcPr>
          <w:p w14:paraId="428BB345"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 xml:space="preserve">　</w:t>
            </w:r>
          </w:p>
        </w:tc>
        <w:tc>
          <w:tcPr>
            <w:tcW w:w="685" w:type="dxa"/>
            <w:tcBorders>
              <w:top w:val="nil"/>
              <w:left w:val="nil"/>
              <w:bottom w:val="nil"/>
              <w:right w:val="nil"/>
            </w:tcBorders>
            <w:shd w:val="clear" w:color="auto" w:fill="auto"/>
            <w:vAlign w:val="center"/>
            <w:hideMark/>
          </w:tcPr>
          <w:p w14:paraId="046948FE"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$0.76 </w:t>
            </w:r>
          </w:p>
        </w:tc>
        <w:tc>
          <w:tcPr>
            <w:tcW w:w="924" w:type="dxa"/>
            <w:tcBorders>
              <w:top w:val="nil"/>
              <w:left w:val="nil"/>
              <w:bottom w:val="nil"/>
              <w:right w:val="single" w:sz="8" w:space="0" w:color="auto"/>
            </w:tcBorders>
            <w:shd w:val="clear" w:color="auto" w:fill="auto"/>
            <w:vAlign w:val="center"/>
            <w:hideMark/>
          </w:tcPr>
          <w:p w14:paraId="5621F377"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($1.72)</w:t>
            </w:r>
          </w:p>
        </w:tc>
        <w:tc>
          <w:tcPr>
            <w:tcW w:w="703" w:type="dxa"/>
            <w:tcBorders>
              <w:left w:val="nil"/>
            </w:tcBorders>
            <w:vAlign w:val="center"/>
          </w:tcPr>
          <w:p w14:paraId="37989807" w14:textId="3B5D6E99" w:rsidR="0041048E" w:rsidRPr="00A20244" w:rsidRDefault="0041048E" w:rsidP="00F42EE6">
            <w:pPr>
              <w:widowControl/>
              <w:wordWrap/>
              <w:autoSpaceDE/>
              <w:autoSpaceDN/>
              <w:spacing w:after="0" w:line="240" w:lineRule="auto"/>
              <w:jc w:val="right"/>
              <w:rPr>
                <w:rFonts w:ascii="Arial" w:eastAsia="Malgun Gothic" w:hAnsi="Arial" w:cs="Arial"/>
                <w:kern w:val="0"/>
                <w:szCs w:val="20"/>
              </w:rPr>
            </w:pPr>
            <w:r w:rsidRPr="000051C8">
              <w:rPr>
                <w:rFonts w:ascii="Arial" w:eastAsia="Malgun Gothic" w:hAnsi="Arial" w:cs="Arial"/>
                <w:szCs w:val="20"/>
              </w:rPr>
              <w:t>$0.49</w:t>
            </w:r>
          </w:p>
        </w:tc>
        <w:tc>
          <w:tcPr>
            <w:tcW w:w="988" w:type="dxa"/>
            <w:tcBorders>
              <w:left w:val="nil"/>
              <w:right w:val="single" w:sz="8" w:space="0" w:color="auto"/>
            </w:tcBorders>
            <w:vAlign w:val="center"/>
          </w:tcPr>
          <w:p w14:paraId="240D6618" w14:textId="0A68BCAD"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0051C8">
              <w:rPr>
                <w:rFonts w:ascii="Arial" w:eastAsia="Malgun Gothic" w:hAnsi="Arial" w:cs="Arial"/>
                <w:szCs w:val="20"/>
              </w:rPr>
              <w:t>(</w:t>
            </w:r>
            <w:r w:rsidRPr="000051C8">
              <w:rPr>
                <w:rFonts w:ascii="Arial" w:hAnsi="Arial" w:cs="Arial"/>
                <w:szCs w:val="20"/>
              </w:rPr>
              <w:t>$</w:t>
            </w:r>
            <w:r w:rsidRPr="000051C8">
              <w:rPr>
                <w:rFonts w:ascii="Arial" w:eastAsia="Malgun Gothic" w:hAnsi="Arial" w:cs="Arial"/>
                <w:szCs w:val="20"/>
              </w:rPr>
              <w:t>0.54)</w:t>
            </w:r>
          </w:p>
        </w:tc>
      </w:tr>
      <w:tr w:rsidR="0041048E" w:rsidRPr="00386091" w14:paraId="7F57B664" w14:textId="311262BD" w:rsidTr="00373B25">
        <w:trPr>
          <w:trHeight w:val="35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418015E" w14:textId="77777777" w:rsidR="0041048E" w:rsidRPr="00A20244" w:rsidRDefault="0041048E" w:rsidP="0041048E">
            <w:pPr>
              <w:widowControl/>
              <w:wordWrap/>
              <w:autoSpaceDE/>
              <w:autoSpaceDN/>
              <w:spacing w:after="0" w:line="240" w:lineRule="auto"/>
              <w:ind w:firstLineChars="100" w:firstLine="200"/>
              <w:jc w:val="left"/>
              <w:rPr>
                <w:rFonts w:ascii="Arial" w:eastAsia="Malgun Gothic" w:hAnsi="Arial" w:cs="Arial"/>
                <w:color w:val="000000"/>
                <w:kern w:val="0"/>
                <w:szCs w:val="20"/>
              </w:rPr>
            </w:pPr>
            <w:r w:rsidRPr="00A20244">
              <w:rPr>
                <w:rFonts w:ascii="Arial" w:eastAsia="Malgun Gothic" w:hAnsi="Arial" w:cs="Arial"/>
                <w:color w:val="000000"/>
                <w:kern w:val="0"/>
                <w:szCs w:val="20"/>
              </w:rPr>
              <w:t>Clothing</w:t>
            </w:r>
          </w:p>
        </w:tc>
        <w:tc>
          <w:tcPr>
            <w:tcW w:w="831" w:type="dxa"/>
            <w:tcBorders>
              <w:top w:val="nil"/>
              <w:left w:val="nil"/>
              <w:bottom w:val="single" w:sz="8" w:space="0" w:color="auto"/>
              <w:right w:val="nil"/>
            </w:tcBorders>
            <w:shd w:val="clear" w:color="auto" w:fill="auto"/>
            <w:vAlign w:val="center"/>
            <w:hideMark/>
          </w:tcPr>
          <w:p w14:paraId="27F91B3D" w14:textId="77777777" w:rsidR="0041048E" w:rsidRPr="00A20244" w:rsidRDefault="0041048E" w:rsidP="0041048E">
            <w:pPr>
              <w:widowControl/>
              <w:wordWrap/>
              <w:autoSpaceDE/>
              <w:autoSpaceDN/>
              <w:spacing w:after="0" w:line="240" w:lineRule="auto"/>
              <w:jc w:val="right"/>
              <w:rPr>
                <w:rFonts w:ascii="Arial" w:eastAsia="Malgun Gothic" w:hAnsi="Arial" w:cs="Arial"/>
                <w:color w:val="000000"/>
                <w:kern w:val="0"/>
                <w:szCs w:val="20"/>
              </w:rPr>
            </w:pPr>
            <w:r w:rsidRPr="00A20244">
              <w:rPr>
                <w:rFonts w:ascii="Arial" w:eastAsia="Malgun Gothic" w:hAnsi="Arial" w:cs="Arial"/>
                <w:color w:val="000000"/>
                <w:kern w:val="0"/>
                <w:szCs w:val="20"/>
              </w:rPr>
              <w:t xml:space="preserve">$0.18 </w:t>
            </w:r>
          </w:p>
        </w:tc>
        <w:tc>
          <w:tcPr>
            <w:tcW w:w="843" w:type="dxa"/>
            <w:tcBorders>
              <w:top w:val="nil"/>
              <w:left w:val="nil"/>
              <w:bottom w:val="single" w:sz="8" w:space="0" w:color="auto"/>
              <w:right w:val="single" w:sz="8" w:space="0" w:color="auto"/>
            </w:tcBorders>
            <w:shd w:val="clear" w:color="auto" w:fill="auto"/>
            <w:vAlign w:val="center"/>
            <w:hideMark/>
          </w:tcPr>
          <w:p w14:paraId="1A96AD75"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($0.64)</w:t>
            </w:r>
          </w:p>
        </w:tc>
        <w:tc>
          <w:tcPr>
            <w:tcW w:w="846" w:type="dxa"/>
            <w:tcBorders>
              <w:top w:val="nil"/>
              <w:left w:val="nil"/>
              <w:bottom w:val="single" w:sz="8" w:space="0" w:color="auto"/>
              <w:right w:val="nil"/>
            </w:tcBorders>
            <w:shd w:val="clear" w:color="auto" w:fill="auto"/>
            <w:vAlign w:val="center"/>
            <w:hideMark/>
          </w:tcPr>
          <w:p w14:paraId="2189211F"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$2.26 </w:t>
            </w:r>
          </w:p>
        </w:tc>
        <w:tc>
          <w:tcPr>
            <w:tcW w:w="980" w:type="dxa"/>
            <w:tcBorders>
              <w:top w:val="nil"/>
              <w:left w:val="nil"/>
              <w:bottom w:val="single" w:sz="8" w:space="0" w:color="auto"/>
              <w:right w:val="single" w:sz="8" w:space="0" w:color="auto"/>
            </w:tcBorders>
            <w:shd w:val="clear" w:color="auto" w:fill="auto"/>
            <w:vAlign w:val="center"/>
            <w:hideMark/>
          </w:tcPr>
          <w:p w14:paraId="24C85DE8"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($13.87)</w:t>
            </w:r>
          </w:p>
        </w:tc>
        <w:tc>
          <w:tcPr>
            <w:tcW w:w="685" w:type="dxa"/>
            <w:tcBorders>
              <w:top w:val="nil"/>
              <w:left w:val="nil"/>
              <w:bottom w:val="single" w:sz="8" w:space="0" w:color="auto"/>
              <w:right w:val="nil"/>
            </w:tcBorders>
            <w:shd w:val="clear" w:color="auto" w:fill="auto"/>
            <w:vAlign w:val="center"/>
            <w:hideMark/>
          </w:tcPr>
          <w:p w14:paraId="35C7573D"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w:t>
            </w:r>
          </w:p>
        </w:tc>
        <w:tc>
          <w:tcPr>
            <w:tcW w:w="924" w:type="dxa"/>
            <w:tcBorders>
              <w:top w:val="nil"/>
              <w:left w:val="nil"/>
              <w:bottom w:val="single" w:sz="8" w:space="0" w:color="auto"/>
              <w:right w:val="single" w:sz="8" w:space="0" w:color="auto"/>
            </w:tcBorders>
            <w:shd w:val="clear" w:color="auto" w:fill="auto"/>
            <w:vAlign w:val="center"/>
            <w:hideMark/>
          </w:tcPr>
          <w:p w14:paraId="3B6A7D5A"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 xml:space="preserve">　</w:t>
            </w:r>
          </w:p>
        </w:tc>
        <w:tc>
          <w:tcPr>
            <w:tcW w:w="703" w:type="dxa"/>
            <w:tcBorders>
              <w:left w:val="nil"/>
              <w:bottom w:val="single" w:sz="8" w:space="0" w:color="auto"/>
            </w:tcBorders>
            <w:vAlign w:val="center"/>
          </w:tcPr>
          <w:p w14:paraId="3E3C97E4" w14:textId="6F1AEB32" w:rsidR="0041048E" w:rsidRPr="00A20244" w:rsidRDefault="0041048E" w:rsidP="00F42EE6">
            <w:pPr>
              <w:widowControl/>
              <w:wordWrap/>
              <w:autoSpaceDE/>
              <w:autoSpaceDN/>
              <w:spacing w:after="0" w:line="240" w:lineRule="auto"/>
              <w:jc w:val="right"/>
              <w:rPr>
                <w:rFonts w:ascii="Arial" w:eastAsia="Malgun Gothic" w:hAnsi="Arial" w:cs="Arial"/>
                <w:kern w:val="0"/>
                <w:szCs w:val="20"/>
              </w:rPr>
            </w:pPr>
            <w:r>
              <w:rPr>
                <w:rFonts w:ascii="Arial" w:eastAsia="Malgun Gothic" w:hAnsi="Arial" w:cs="Arial" w:hint="eastAsia"/>
                <w:kern w:val="0"/>
                <w:szCs w:val="20"/>
              </w:rPr>
              <w:t>-</w:t>
            </w:r>
          </w:p>
        </w:tc>
        <w:tc>
          <w:tcPr>
            <w:tcW w:w="988" w:type="dxa"/>
            <w:tcBorders>
              <w:left w:val="nil"/>
              <w:bottom w:val="single" w:sz="8" w:space="0" w:color="auto"/>
              <w:right w:val="single" w:sz="8" w:space="0" w:color="auto"/>
            </w:tcBorders>
            <w:vAlign w:val="center"/>
          </w:tcPr>
          <w:p w14:paraId="2962B318" w14:textId="2DF229DC"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p>
        </w:tc>
      </w:tr>
      <w:tr w:rsidR="0041048E" w:rsidRPr="00386091" w14:paraId="1F314E67" w14:textId="4A7D6FAB" w:rsidTr="00373B25">
        <w:trPr>
          <w:trHeight w:val="340"/>
        </w:trPr>
        <w:tc>
          <w:tcPr>
            <w:tcW w:w="2542" w:type="dxa"/>
            <w:tcBorders>
              <w:top w:val="nil"/>
              <w:left w:val="single" w:sz="8" w:space="0" w:color="auto"/>
              <w:bottom w:val="nil"/>
              <w:right w:val="single" w:sz="8" w:space="0" w:color="auto"/>
            </w:tcBorders>
            <w:shd w:val="clear" w:color="auto" w:fill="auto"/>
            <w:vAlign w:val="center"/>
            <w:hideMark/>
          </w:tcPr>
          <w:p w14:paraId="62FD0C38" w14:textId="77777777" w:rsidR="0041048E" w:rsidRPr="00A20244" w:rsidRDefault="0041048E" w:rsidP="0041048E">
            <w:pPr>
              <w:widowControl/>
              <w:wordWrap/>
              <w:autoSpaceDE/>
              <w:autoSpaceDN/>
              <w:spacing w:after="0" w:line="240" w:lineRule="auto"/>
              <w:jc w:val="left"/>
              <w:rPr>
                <w:rFonts w:ascii="Arial" w:eastAsia="Malgun Gothic" w:hAnsi="Arial" w:cs="Arial"/>
                <w:color w:val="000000"/>
                <w:kern w:val="0"/>
                <w:szCs w:val="20"/>
              </w:rPr>
            </w:pPr>
            <w:r w:rsidRPr="00A20244">
              <w:rPr>
                <w:rFonts w:ascii="Arial" w:eastAsia="Malgun Gothic" w:hAnsi="Arial" w:cs="Arial"/>
                <w:color w:val="000000"/>
                <w:kern w:val="0"/>
                <w:szCs w:val="20"/>
              </w:rPr>
              <w:t xml:space="preserve">Patient total OOP cost </w:t>
            </w:r>
          </w:p>
        </w:tc>
        <w:tc>
          <w:tcPr>
            <w:tcW w:w="831" w:type="dxa"/>
            <w:vMerge w:val="restart"/>
            <w:tcBorders>
              <w:top w:val="nil"/>
              <w:left w:val="single" w:sz="8" w:space="0" w:color="auto"/>
              <w:bottom w:val="single" w:sz="8" w:space="0" w:color="000000"/>
              <w:right w:val="nil"/>
            </w:tcBorders>
            <w:shd w:val="clear" w:color="auto" w:fill="auto"/>
            <w:vAlign w:val="center"/>
            <w:hideMark/>
          </w:tcPr>
          <w:p w14:paraId="20CA9DC8" w14:textId="77777777" w:rsidR="0041048E" w:rsidRPr="00A20244" w:rsidRDefault="0041048E" w:rsidP="0041048E">
            <w:pPr>
              <w:widowControl/>
              <w:wordWrap/>
              <w:autoSpaceDE/>
              <w:autoSpaceDN/>
              <w:spacing w:after="0" w:line="240" w:lineRule="auto"/>
              <w:jc w:val="right"/>
              <w:rPr>
                <w:rFonts w:ascii="Arial" w:eastAsia="Malgun Gothic" w:hAnsi="Arial" w:cs="Arial"/>
                <w:color w:val="000000"/>
                <w:kern w:val="0"/>
                <w:szCs w:val="20"/>
              </w:rPr>
            </w:pPr>
            <w:r w:rsidRPr="00A20244">
              <w:rPr>
                <w:rFonts w:ascii="Arial" w:eastAsia="Malgun Gothic" w:hAnsi="Arial" w:cs="Arial"/>
                <w:color w:val="000000"/>
                <w:kern w:val="0"/>
                <w:szCs w:val="20"/>
              </w:rPr>
              <w:t xml:space="preserve">$14.96 </w:t>
            </w:r>
          </w:p>
        </w:tc>
        <w:tc>
          <w:tcPr>
            <w:tcW w:w="843" w:type="dxa"/>
            <w:vMerge w:val="restart"/>
            <w:tcBorders>
              <w:top w:val="nil"/>
              <w:left w:val="nil"/>
              <w:bottom w:val="single" w:sz="8" w:space="0" w:color="000000"/>
              <w:right w:val="single" w:sz="8" w:space="0" w:color="auto"/>
            </w:tcBorders>
            <w:shd w:val="clear" w:color="auto" w:fill="auto"/>
            <w:vAlign w:val="center"/>
            <w:hideMark/>
          </w:tcPr>
          <w:p w14:paraId="1813C88B"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($19.52)</w:t>
            </w:r>
          </w:p>
        </w:tc>
        <w:tc>
          <w:tcPr>
            <w:tcW w:w="846" w:type="dxa"/>
            <w:vMerge w:val="restart"/>
            <w:tcBorders>
              <w:top w:val="nil"/>
              <w:left w:val="single" w:sz="8" w:space="0" w:color="auto"/>
              <w:bottom w:val="single" w:sz="8" w:space="0" w:color="000000"/>
              <w:right w:val="nil"/>
            </w:tcBorders>
            <w:shd w:val="clear" w:color="auto" w:fill="auto"/>
            <w:vAlign w:val="center"/>
            <w:hideMark/>
          </w:tcPr>
          <w:p w14:paraId="4A012987"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$22.86 </w:t>
            </w:r>
          </w:p>
        </w:tc>
        <w:tc>
          <w:tcPr>
            <w:tcW w:w="980" w:type="dxa"/>
            <w:vMerge w:val="restart"/>
            <w:tcBorders>
              <w:top w:val="nil"/>
              <w:left w:val="nil"/>
              <w:bottom w:val="single" w:sz="8" w:space="0" w:color="000000"/>
              <w:right w:val="single" w:sz="8" w:space="0" w:color="auto"/>
            </w:tcBorders>
            <w:shd w:val="clear" w:color="auto" w:fill="auto"/>
            <w:vAlign w:val="center"/>
            <w:hideMark/>
          </w:tcPr>
          <w:p w14:paraId="29A30041"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($27.46)</w:t>
            </w:r>
          </w:p>
        </w:tc>
        <w:tc>
          <w:tcPr>
            <w:tcW w:w="685" w:type="dxa"/>
            <w:vMerge w:val="restart"/>
            <w:tcBorders>
              <w:top w:val="nil"/>
              <w:left w:val="single" w:sz="8" w:space="0" w:color="auto"/>
              <w:bottom w:val="single" w:sz="8" w:space="0" w:color="000000"/>
              <w:right w:val="nil"/>
            </w:tcBorders>
            <w:shd w:val="clear" w:color="auto" w:fill="auto"/>
            <w:vAlign w:val="center"/>
            <w:hideMark/>
          </w:tcPr>
          <w:p w14:paraId="6D4D79C7"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$3.25 </w:t>
            </w:r>
          </w:p>
        </w:tc>
        <w:tc>
          <w:tcPr>
            <w:tcW w:w="924" w:type="dxa"/>
            <w:vMerge w:val="restart"/>
            <w:tcBorders>
              <w:top w:val="nil"/>
              <w:left w:val="nil"/>
              <w:bottom w:val="single" w:sz="8" w:space="0" w:color="000000"/>
              <w:right w:val="single" w:sz="8" w:space="0" w:color="auto"/>
            </w:tcBorders>
            <w:shd w:val="clear" w:color="auto" w:fill="auto"/>
            <w:vAlign w:val="center"/>
            <w:hideMark/>
          </w:tcPr>
          <w:p w14:paraId="5045C206"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($5.06)</w:t>
            </w:r>
          </w:p>
        </w:tc>
        <w:tc>
          <w:tcPr>
            <w:tcW w:w="703" w:type="dxa"/>
            <w:vMerge w:val="restart"/>
            <w:tcBorders>
              <w:top w:val="single" w:sz="8" w:space="0" w:color="auto"/>
              <w:left w:val="nil"/>
            </w:tcBorders>
            <w:vAlign w:val="center"/>
          </w:tcPr>
          <w:p w14:paraId="604ABAEE" w14:textId="24266CB8" w:rsidR="0041048E" w:rsidRPr="00A20244" w:rsidRDefault="0041048E" w:rsidP="00F42EE6">
            <w:pPr>
              <w:widowControl/>
              <w:wordWrap/>
              <w:autoSpaceDE/>
              <w:autoSpaceDN/>
              <w:spacing w:after="0" w:line="240" w:lineRule="auto"/>
              <w:jc w:val="right"/>
              <w:rPr>
                <w:rFonts w:ascii="Arial" w:eastAsia="Malgun Gothic" w:hAnsi="Arial" w:cs="Arial"/>
                <w:kern w:val="0"/>
                <w:szCs w:val="20"/>
              </w:rPr>
            </w:pPr>
            <w:r w:rsidRPr="000051C8">
              <w:rPr>
                <w:rFonts w:ascii="Arial" w:eastAsia="Malgun Gothic" w:hAnsi="Arial" w:cs="Arial"/>
                <w:szCs w:val="20"/>
              </w:rPr>
              <w:t>$1.69</w:t>
            </w:r>
          </w:p>
        </w:tc>
        <w:tc>
          <w:tcPr>
            <w:tcW w:w="988" w:type="dxa"/>
            <w:vMerge w:val="restart"/>
            <w:tcBorders>
              <w:top w:val="single" w:sz="8" w:space="0" w:color="auto"/>
              <w:left w:val="nil"/>
              <w:right w:val="single" w:sz="8" w:space="0" w:color="auto"/>
            </w:tcBorders>
            <w:vAlign w:val="center"/>
          </w:tcPr>
          <w:p w14:paraId="4931C5B1" w14:textId="7125999C"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0051C8">
              <w:rPr>
                <w:rFonts w:ascii="Arial" w:eastAsia="Malgun Gothic" w:hAnsi="Arial" w:cs="Arial"/>
                <w:szCs w:val="20"/>
              </w:rPr>
              <w:t>(</w:t>
            </w:r>
            <w:r w:rsidRPr="000051C8">
              <w:rPr>
                <w:rFonts w:ascii="Arial" w:hAnsi="Arial" w:cs="Arial"/>
                <w:szCs w:val="20"/>
              </w:rPr>
              <w:t>$</w:t>
            </w:r>
            <w:r w:rsidRPr="000051C8">
              <w:rPr>
                <w:rFonts w:ascii="Arial" w:eastAsia="Malgun Gothic" w:hAnsi="Arial" w:cs="Arial"/>
                <w:szCs w:val="20"/>
              </w:rPr>
              <w:t>1.41)</w:t>
            </w:r>
          </w:p>
        </w:tc>
      </w:tr>
      <w:tr w:rsidR="0041048E" w:rsidRPr="00386091" w14:paraId="41B1F2C8" w14:textId="1579F796" w:rsidTr="00373B25">
        <w:trPr>
          <w:trHeight w:val="350"/>
        </w:trPr>
        <w:tc>
          <w:tcPr>
            <w:tcW w:w="2542" w:type="dxa"/>
            <w:tcBorders>
              <w:top w:val="nil"/>
              <w:left w:val="single" w:sz="8" w:space="0" w:color="auto"/>
              <w:bottom w:val="nil"/>
              <w:right w:val="single" w:sz="8" w:space="0" w:color="auto"/>
            </w:tcBorders>
            <w:shd w:val="clear" w:color="auto" w:fill="auto"/>
            <w:vAlign w:val="center"/>
            <w:hideMark/>
          </w:tcPr>
          <w:p w14:paraId="41998050" w14:textId="77777777" w:rsidR="0041048E" w:rsidRPr="00A20244" w:rsidRDefault="0041048E" w:rsidP="0041048E">
            <w:pPr>
              <w:widowControl/>
              <w:wordWrap/>
              <w:autoSpaceDE/>
              <w:autoSpaceDN/>
              <w:spacing w:after="0" w:line="240" w:lineRule="auto"/>
              <w:jc w:val="left"/>
              <w:rPr>
                <w:rFonts w:ascii="Arial" w:eastAsia="Malgun Gothic" w:hAnsi="Arial" w:cs="Arial"/>
                <w:color w:val="000000"/>
                <w:kern w:val="0"/>
                <w:szCs w:val="20"/>
              </w:rPr>
            </w:pPr>
            <w:r w:rsidRPr="00A20244">
              <w:rPr>
                <w:rFonts w:ascii="Arial" w:eastAsia="Malgun Gothic" w:hAnsi="Arial" w:cs="Arial"/>
                <w:color w:val="000000"/>
                <w:kern w:val="0"/>
                <w:szCs w:val="20"/>
              </w:rPr>
              <w:t>(sum of itemized costs)</w:t>
            </w:r>
          </w:p>
        </w:tc>
        <w:tc>
          <w:tcPr>
            <w:tcW w:w="831" w:type="dxa"/>
            <w:vMerge/>
            <w:tcBorders>
              <w:top w:val="nil"/>
              <w:left w:val="single" w:sz="8" w:space="0" w:color="auto"/>
              <w:bottom w:val="single" w:sz="8" w:space="0" w:color="000000"/>
              <w:right w:val="nil"/>
            </w:tcBorders>
            <w:vAlign w:val="center"/>
            <w:hideMark/>
          </w:tcPr>
          <w:p w14:paraId="38DC4E10" w14:textId="77777777" w:rsidR="0041048E" w:rsidRPr="00A20244" w:rsidRDefault="0041048E" w:rsidP="0041048E">
            <w:pPr>
              <w:widowControl/>
              <w:wordWrap/>
              <w:autoSpaceDE/>
              <w:autoSpaceDN/>
              <w:spacing w:after="0" w:line="240" w:lineRule="auto"/>
              <w:jc w:val="right"/>
              <w:rPr>
                <w:rFonts w:ascii="Arial" w:eastAsia="Malgun Gothic" w:hAnsi="Arial" w:cs="Arial"/>
                <w:color w:val="000000"/>
                <w:kern w:val="0"/>
                <w:szCs w:val="20"/>
              </w:rPr>
            </w:pPr>
          </w:p>
        </w:tc>
        <w:tc>
          <w:tcPr>
            <w:tcW w:w="843" w:type="dxa"/>
            <w:vMerge/>
            <w:tcBorders>
              <w:top w:val="nil"/>
              <w:left w:val="nil"/>
              <w:bottom w:val="single" w:sz="8" w:space="0" w:color="000000"/>
              <w:right w:val="single" w:sz="8" w:space="0" w:color="auto"/>
            </w:tcBorders>
            <w:vAlign w:val="center"/>
            <w:hideMark/>
          </w:tcPr>
          <w:p w14:paraId="76AB7CD9"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p>
        </w:tc>
        <w:tc>
          <w:tcPr>
            <w:tcW w:w="846" w:type="dxa"/>
            <w:vMerge/>
            <w:tcBorders>
              <w:top w:val="nil"/>
              <w:left w:val="single" w:sz="8" w:space="0" w:color="auto"/>
              <w:bottom w:val="single" w:sz="8" w:space="0" w:color="000000"/>
              <w:right w:val="nil"/>
            </w:tcBorders>
            <w:vAlign w:val="center"/>
            <w:hideMark/>
          </w:tcPr>
          <w:p w14:paraId="2BE18426"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p>
        </w:tc>
        <w:tc>
          <w:tcPr>
            <w:tcW w:w="980" w:type="dxa"/>
            <w:vMerge/>
            <w:tcBorders>
              <w:top w:val="nil"/>
              <w:left w:val="nil"/>
              <w:bottom w:val="single" w:sz="8" w:space="0" w:color="000000"/>
              <w:right w:val="single" w:sz="8" w:space="0" w:color="auto"/>
            </w:tcBorders>
            <w:vAlign w:val="center"/>
            <w:hideMark/>
          </w:tcPr>
          <w:p w14:paraId="05976E44"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p>
        </w:tc>
        <w:tc>
          <w:tcPr>
            <w:tcW w:w="685" w:type="dxa"/>
            <w:vMerge/>
            <w:tcBorders>
              <w:top w:val="nil"/>
              <w:left w:val="single" w:sz="8" w:space="0" w:color="auto"/>
              <w:bottom w:val="single" w:sz="8" w:space="0" w:color="000000"/>
              <w:right w:val="nil"/>
            </w:tcBorders>
            <w:vAlign w:val="center"/>
            <w:hideMark/>
          </w:tcPr>
          <w:p w14:paraId="1D6DCC9F"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p>
        </w:tc>
        <w:tc>
          <w:tcPr>
            <w:tcW w:w="924" w:type="dxa"/>
            <w:vMerge/>
            <w:tcBorders>
              <w:top w:val="nil"/>
              <w:left w:val="nil"/>
              <w:bottom w:val="single" w:sz="8" w:space="0" w:color="000000"/>
              <w:right w:val="single" w:sz="8" w:space="0" w:color="auto"/>
            </w:tcBorders>
            <w:vAlign w:val="center"/>
            <w:hideMark/>
          </w:tcPr>
          <w:p w14:paraId="184F9FCB"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p>
        </w:tc>
        <w:tc>
          <w:tcPr>
            <w:tcW w:w="703" w:type="dxa"/>
            <w:vMerge/>
            <w:tcBorders>
              <w:left w:val="nil"/>
              <w:bottom w:val="single" w:sz="8" w:space="0" w:color="auto"/>
            </w:tcBorders>
            <w:vAlign w:val="center"/>
          </w:tcPr>
          <w:p w14:paraId="15828CC1" w14:textId="77777777" w:rsidR="0041048E" w:rsidRPr="00A20244" w:rsidRDefault="0041048E" w:rsidP="00373B25">
            <w:pPr>
              <w:widowControl/>
              <w:wordWrap/>
              <w:autoSpaceDE/>
              <w:autoSpaceDN/>
              <w:spacing w:after="0" w:line="240" w:lineRule="auto"/>
              <w:jc w:val="right"/>
              <w:rPr>
                <w:rFonts w:ascii="Arial" w:eastAsia="Malgun Gothic" w:hAnsi="Arial" w:cs="Arial"/>
                <w:kern w:val="0"/>
                <w:szCs w:val="20"/>
              </w:rPr>
            </w:pPr>
          </w:p>
        </w:tc>
        <w:tc>
          <w:tcPr>
            <w:tcW w:w="988" w:type="dxa"/>
            <w:vMerge/>
            <w:tcBorders>
              <w:left w:val="nil"/>
              <w:bottom w:val="single" w:sz="8" w:space="0" w:color="auto"/>
              <w:right w:val="single" w:sz="8" w:space="0" w:color="auto"/>
            </w:tcBorders>
            <w:vAlign w:val="center"/>
          </w:tcPr>
          <w:p w14:paraId="031BF8A2" w14:textId="1216F35A"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p>
        </w:tc>
      </w:tr>
      <w:tr w:rsidR="0041048E" w:rsidRPr="00386091" w14:paraId="6ACD8397" w14:textId="631E08BC" w:rsidTr="00373B25">
        <w:trPr>
          <w:trHeight w:val="340"/>
        </w:trPr>
        <w:tc>
          <w:tcPr>
            <w:tcW w:w="2542" w:type="dxa"/>
            <w:tcBorders>
              <w:top w:val="single" w:sz="8" w:space="0" w:color="auto"/>
              <w:left w:val="single" w:sz="8" w:space="0" w:color="auto"/>
              <w:bottom w:val="nil"/>
              <w:right w:val="single" w:sz="8" w:space="0" w:color="auto"/>
            </w:tcBorders>
            <w:shd w:val="clear" w:color="auto" w:fill="auto"/>
            <w:vAlign w:val="center"/>
            <w:hideMark/>
          </w:tcPr>
          <w:p w14:paraId="62BBB9CC" w14:textId="77777777" w:rsidR="0041048E" w:rsidRPr="00A20244" w:rsidRDefault="0041048E" w:rsidP="0041048E">
            <w:pPr>
              <w:widowControl/>
              <w:wordWrap/>
              <w:autoSpaceDE/>
              <w:autoSpaceDN/>
              <w:spacing w:after="0" w:line="240" w:lineRule="auto"/>
              <w:jc w:val="left"/>
              <w:rPr>
                <w:rFonts w:ascii="Arial" w:eastAsia="Malgun Gothic" w:hAnsi="Arial" w:cs="Arial"/>
                <w:color w:val="000000"/>
                <w:kern w:val="0"/>
                <w:szCs w:val="20"/>
              </w:rPr>
            </w:pPr>
            <w:r w:rsidRPr="00A20244">
              <w:rPr>
                <w:rFonts w:ascii="Arial" w:eastAsia="Malgun Gothic" w:hAnsi="Arial" w:cs="Arial"/>
                <w:color w:val="000000"/>
                <w:kern w:val="0"/>
                <w:szCs w:val="20"/>
              </w:rPr>
              <w:t xml:space="preserve">Self-reported total OOP cost </w:t>
            </w:r>
          </w:p>
        </w:tc>
        <w:tc>
          <w:tcPr>
            <w:tcW w:w="831" w:type="dxa"/>
            <w:vMerge w:val="restart"/>
            <w:tcBorders>
              <w:top w:val="nil"/>
              <w:left w:val="single" w:sz="8" w:space="0" w:color="auto"/>
              <w:bottom w:val="single" w:sz="8" w:space="0" w:color="000000"/>
              <w:right w:val="nil"/>
            </w:tcBorders>
            <w:shd w:val="clear" w:color="auto" w:fill="auto"/>
            <w:vAlign w:val="center"/>
            <w:hideMark/>
          </w:tcPr>
          <w:p w14:paraId="56D3AA77" w14:textId="77777777" w:rsidR="0041048E" w:rsidRPr="00A20244" w:rsidRDefault="0041048E" w:rsidP="0041048E">
            <w:pPr>
              <w:widowControl/>
              <w:wordWrap/>
              <w:autoSpaceDE/>
              <w:autoSpaceDN/>
              <w:spacing w:after="0" w:line="240" w:lineRule="auto"/>
              <w:jc w:val="right"/>
              <w:rPr>
                <w:rFonts w:ascii="Arial" w:eastAsia="Malgun Gothic" w:hAnsi="Arial" w:cs="Arial"/>
                <w:color w:val="000000"/>
                <w:kern w:val="0"/>
                <w:szCs w:val="20"/>
              </w:rPr>
            </w:pPr>
            <w:r w:rsidRPr="00A20244">
              <w:rPr>
                <w:rFonts w:ascii="Arial" w:eastAsia="Malgun Gothic" w:hAnsi="Arial" w:cs="Arial"/>
                <w:color w:val="000000"/>
                <w:kern w:val="0"/>
                <w:szCs w:val="20"/>
              </w:rPr>
              <w:t xml:space="preserve">$5.72 </w:t>
            </w:r>
          </w:p>
        </w:tc>
        <w:tc>
          <w:tcPr>
            <w:tcW w:w="843" w:type="dxa"/>
            <w:vMerge w:val="restart"/>
            <w:tcBorders>
              <w:top w:val="nil"/>
              <w:left w:val="nil"/>
              <w:bottom w:val="single" w:sz="8" w:space="0" w:color="000000"/>
              <w:right w:val="single" w:sz="8" w:space="0" w:color="auto"/>
            </w:tcBorders>
            <w:shd w:val="clear" w:color="auto" w:fill="auto"/>
            <w:vAlign w:val="center"/>
            <w:hideMark/>
          </w:tcPr>
          <w:p w14:paraId="113F6B87"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($13.04)</w:t>
            </w:r>
          </w:p>
        </w:tc>
        <w:tc>
          <w:tcPr>
            <w:tcW w:w="846" w:type="dxa"/>
            <w:vMerge w:val="restart"/>
            <w:tcBorders>
              <w:top w:val="nil"/>
              <w:left w:val="single" w:sz="8" w:space="0" w:color="auto"/>
              <w:bottom w:val="single" w:sz="8" w:space="0" w:color="000000"/>
              <w:right w:val="nil"/>
            </w:tcBorders>
            <w:shd w:val="clear" w:color="auto" w:fill="auto"/>
            <w:vAlign w:val="center"/>
            <w:hideMark/>
          </w:tcPr>
          <w:p w14:paraId="490CDAC8"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$10.81 </w:t>
            </w:r>
          </w:p>
        </w:tc>
        <w:tc>
          <w:tcPr>
            <w:tcW w:w="980" w:type="dxa"/>
            <w:vMerge w:val="restart"/>
            <w:tcBorders>
              <w:top w:val="nil"/>
              <w:left w:val="nil"/>
              <w:bottom w:val="single" w:sz="8" w:space="0" w:color="000000"/>
              <w:right w:val="single" w:sz="8" w:space="0" w:color="auto"/>
            </w:tcBorders>
            <w:shd w:val="clear" w:color="auto" w:fill="auto"/>
            <w:vAlign w:val="center"/>
            <w:hideMark/>
          </w:tcPr>
          <w:p w14:paraId="0D32021A"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($27.61)</w:t>
            </w:r>
          </w:p>
        </w:tc>
        <w:tc>
          <w:tcPr>
            <w:tcW w:w="685" w:type="dxa"/>
            <w:vMerge w:val="restart"/>
            <w:tcBorders>
              <w:top w:val="nil"/>
              <w:left w:val="single" w:sz="8" w:space="0" w:color="auto"/>
              <w:bottom w:val="single" w:sz="8" w:space="0" w:color="000000"/>
              <w:right w:val="nil"/>
            </w:tcBorders>
            <w:shd w:val="clear" w:color="auto" w:fill="auto"/>
            <w:vAlign w:val="center"/>
            <w:hideMark/>
          </w:tcPr>
          <w:p w14:paraId="528751F2"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$0.84 </w:t>
            </w:r>
          </w:p>
        </w:tc>
        <w:tc>
          <w:tcPr>
            <w:tcW w:w="924" w:type="dxa"/>
            <w:vMerge w:val="restart"/>
            <w:tcBorders>
              <w:top w:val="nil"/>
              <w:left w:val="nil"/>
              <w:bottom w:val="single" w:sz="8" w:space="0" w:color="000000"/>
              <w:right w:val="single" w:sz="8" w:space="0" w:color="auto"/>
            </w:tcBorders>
            <w:shd w:val="clear" w:color="auto" w:fill="auto"/>
            <w:vAlign w:val="center"/>
            <w:hideMark/>
          </w:tcPr>
          <w:p w14:paraId="2C5F9B17"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($1.93)</w:t>
            </w:r>
          </w:p>
        </w:tc>
        <w:tc>
          <w:tcPr>
            <w:tcW w:w="703" w:type="dxa"/>
            <w:vMerge w:val="restart"/>
            <w:tcBorders>
              <w:top w:val="single" w:sz="8" w:space="0" w:color="auto"/>
              <w:left w:val="nil"/>
            </w:tcBorders>
            <w:vAlign w:val="center"/>
          </w:tcPr>
          <w:p w14:paraId="3DFC4605" w14:textId="4A82F144" w:rsidR="0041048E" w:rsidRPr="00A20244" w:rsidRDefault="0041048E" w:rsidP="00F42EE6">
            <w:pPr>
              <w:widowControl/>
              <w:wordWrap/>
              <w:autoSpaceDE/>
              <w:autoSpaceDN/>
              <w:spacing w:after="0" w:line="240" w:lineRule="auto"/>
              <w:jc w:val="right"/>
              <w:rPr>
                <w:rFonts w:ascii="Arial" w:eastAsia="Malgun Gothic" w:hAnsi="Arial" w:cs="Arial"/>
                <w:kern w:val="0"/>
                <w:szCs w:val="20"/>
              </w:rPr>
            </w:pPr>
            <w:r>
              <w:rPr>
                <w:rFonts w:ascii="Arial" w:eastAsia="Malgun Gothic" w:hAnsi="Arial" w:cs="Arial" w:hint="eastAsia"/>
                <w:kern w:val="0"/>
                <w:szCs w:val="20"/>
              </w:rPr>
              <w:t>-</w:t>
            </w:r>
          </w:p>
        </w:tc>
        <w:tc>
          <w:tcPr>
            <w:tcW w:w="988" w:type="dxa"/>
            <w:vMerge w:val="restart"/>
            <w:tcBorders>
              <w:top w:val="single" w:sz="8" w:space="0" w:color="auto"/>
              <w:left w:val="nil"/>
              <w:right w:val="single" w:sz="8" w:space="0" w:color="auto"/>
            </w:tcBorders>
            <w:vAlign w:val="center"/>
          </w:tcPr>
          <w:p w14:paraId="124202BF" w14:textId="5D69C6CB"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p>
        </w:tc>
      </w:tr>
      <w:tr w:rsidR="0041048E" w:rsidRPr="00386091" w14:paraId="192B58ED" w14:textId="097019D4" w:rsidTr="00373B25">
        <w:trPr>
          <w:trHeight w:val="350"/>
        </w:trPr>
        <w:tc>
          <w:tcPr>
            <w:tcW w:w="2542" w:type="dxa"/>
            <w:tcBorders>
              <w:top w:val="nil"/>
              <w:left w:val="single" w:sz="8" w:space="0" w:color="auto"/>
              <w:bottom w:val="nil"/>
              <w:right w:val="single" w:sz="8" w:space="0" w:color="auto"/>
            </w:tcBorders>
            <w:shd w:val="clear" w:color="auto" w:fill="auto"/>
            <w:vAlign w:val="center"/>
            <w:hideMark/>
          </w:tcPr>
          <w:p w14:paraId="693E2792" w14:textId="77777777" w:rsidR="0041048E" w:rsidRPr="00A20244" w:rsidRDefault="0041048E" w:rsidP="0041048E">
            <w:pPr>
              <w:widowControl/>
              <w:wordWrap/>
              <w:autoSpaceDE/>
              <w:autoSpaceDN/>
              <w:spacing w:after="0" w:line="240" w:lineRule="auto"/>
              <w:jc w:val="left"/>
              <w:rPr>
                <w:rFonts w:ascii="Arial" w:eastAsia="Malgun Gothic" w:hAnsi="Arial" w:cs="Arial"/>
                <w:color w:val="000000"/>
                <w:kern w:val="0"/>
                <w:szCs w:val="20"/>
              </w:rPr>
            </w:pPr>
            <w:r w:rsidRPr="00A20244">
              <w:rPr>
                <w:rFonts w:ascii="Arial" w:eastAsia="Malgun Gothic" w:hAnsi="Arial" w:cs="Arial"/>
                <w:color w:val="000000"/>
                <w:kern w:val="0"/>
                <w:szCs w:val="20"/>
              </w:rPr>
              <w:t>(reported as a single item)</w:t>
            </w:r>
          </w:p>
        </w:tc>
        <w:tc>
          <w:tcPr>
            <w:tcW w:w="831" w:type="dxa"/>
            <w:vMerge/>
            <w:tcBorders>
              <w:top w:val="nil"/>
              <w:left w:val="single" w:sz="8" w:space="0" w:color="auto"/>
              <w:bottom w:val="single" w:sz="8" w:space="0" w:color="000000"/>
              <w:right w:val="nil"/>
            </w:tcBorders>
            <w:vAlign w:val="center"/>
            <w:hideMark/>
          </w:tcPr>
          <w:p w14:paraId="108105A7" w14:textId="77777777" w:rsidR="0041048E" w:rsidRPr="00A20244" w:rsidRDefault="0041048E" w:rsidP="0041048E">
            <w:pPr>
              <w:widowControl/>
              <w:wordWrap/>
              <w:autoSpaceDE/>
              <w:autoSpaceDN/>
              <w:spacing w:after="0" w:line="240" w:lineRule="auto"/>
              <w:jc w:val="right"/>
              <w:rPr>
                <w:rFonts w:ascii="Arial" w:eastAsia="Malgun Gothic" w:hAnsi="Arial" w:cs="Arial"/>
                <w:color w:val="000000"/>
                <w:kern w:val="0"/>
                <w:szCs w:val="20"/>
              </w:rPr>
            </w:pPr>
          </w:p>
        </w:tc>
        <w:tc>
          <w:tcPr>
            <w:tcW w:w="843" w:type="dxa"/>
            <w:vMerge/>
            <w:tcBorders>
              <w:top w:val="nil"/>
              <w:left w:val="nil"/>
              <w:bottom w:val="single" w:sz="8" w:space="0" w:color="000000"/>
              <w:right w:val="single" w:sz="8" w:space="0" w:color="auto"/>
            </w:tcBorders>
            <w:vAlign w:val="center"/>
            <w:hideMark/>
          </w:tcPr>
          <w:p w14:paraId="40C28394"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p>
        </w:tc>
        <w:tc>
          <w:tcPr>
            <w:tcW w:w="846" w:type="dxa"/>
            <w:vMerge/>
            <w:tcBorders>
              <w:top w:val="nil"/>
              <w:left w:val="single" w:sz="8" w:space="0" w:color="auto"/>
              <w:bottom w:val="single" w:sz="8" w:space="0" w:color="000000"/>
              <w:right w:val="nil"/>
            </w:tcBorders>
            <w:vAlign w:val="center"/>
            <w:hideMark/>
          </w:tcPr>
          <w:p w14:paraId="013E892E"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p>
        </w:tc>
        <w:tc>
          <w:tcPr>
            <w:tcW w:w="980" w:type="dxa"/>
            <w:vMerge/>
            <w:tcBorders>
              <w:top w:val="nil"/>
              <w:left w:val="nil"/>
              <w:bottom w:val="single" w:sz="8" w:space="0" w:color="000000"/>
              <w:right w:val="single" w:sz="8" w:space="0" w:color="auto"/>
            </w:tcBorders>
            <w:vAlign w:val="center"/>
            <w:hideMark/>
          </w:tcPr>
          <w:p w14:paraId="572156F7"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p>
        </w:tc>
        <w:tc>
          <w:tcPr>
            <w:tcW w:w="685" w:type="dxa"/>
            <w:vMerge/>
            <w:tcBorders>
              <w:top w:val="nil"/>
              <w:left w:val="single" w:sz="8" w:space="0" w:color="auto"/>
              <w:bottom w:val="single" w:sz="8" w:space="0" w:color="000000"/>
              <w:right w:val="nil"/>
            </w:tcBorders>
            <w:vAlign w:val="center"/>
            <w:hideMark/>
          </w:tcPr>
          <w:p w14:paraId="351236D8"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p>
        </w:tc>
        <w:tc>
          <w:tcPr>
            <w:tcW w:w="924" w:type="dxa"/>
            <w:vMerge/>
            <w:tcBorders>
              <w:top w:val="nil"/>
              <w:left w:val="nil"/>
              <w:bottom w:val="single" w:sz="8" w:space="0" w:color="000000"/>
              <w:right w:val="single" w:sz="8" w:space="0" w:color="auto"/>
            </w:tcBorders>
            <w:vAlign w:val="center"/>
            <w:hideMark/>
          </w:tcPr>
          <w:p w14:paraId="16CEDE1A"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p>
        </w:tc>
        <w:tc>
          <w:tcPr>
            <w:tcW w:w="703" w:type="dxa"/>
            <w:vMerge/>
            <w:tcBorders>
              <w:left w:val="nil"/>
              <w:bottom w:val="single" w:sz="8" w:space="0" w:color="auto"/>
            </w:tcBorders>
            <w:vAlign w:val="center"/>
          </w:tcPr>
          <w:p w14:paraId="5D1A84E9" w14:textId="77777777" w:rsidR="0041048E" w:rsidRPr="00A20244" w:rsidRDefault="0041048E" w:rsidP="00373B25">
            <w:pPr>
              <w:widowControl/>
              <w:wordWrap/>
              <w:autoSpaceDE/>
              <w:autoSpaceDN/>
              <w:spacing w:after="0" w:line="240" w:lineRule="auto"/>
              <w:jc w:val="right"/>
              <w:rPr>
                <w:rFonts w:ascii="Arial" w:eastAsia="Malgun Gothic" w:hAnsi="Arial" w:cs="Arial"/>
                <w:kern w:val="0"/>
                <w:szCs w:val="20"/>
              </w:rPr>
            </w:pPr>
          </w:p>
        </w:tc>
        <w:tc>
          <w:tcPr>
            <w:tcW w:w="988" w:type="dxa"/>
            <w:vMerge/>
            <w:tcBorders>
              <w:left w:val="nil"/>
              <w:bottom w:val="single" w:sz="8" w:space="0" w:color="auto"/>
              <w:right w:val="single" w:sz="8" w:space="0" w:color="auto"/>
            </w:tcBorders>
            <w:vAlign w:val="center"/>
          </w:tcPr>
          <w:p w14:paraId="2C9B9596" w14:textId="69BB9A4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p>
        </w:tc>
      </w:tr>
      <w:tr w:rsidR="0041048E" w:rsidRPr="00386091" w14:paraId="70D7FE88" w14:textId="67C65E7A" w:rsidTr="00373B25">
        <w:trPr>
          <w:trHeight w:val="350"/>
        </w:trPr>
        <w:tc>
          <w:tcPr>
            <w:tcW w:w="2542" w:type="dxa"/>
            <w:tcBorders>
              <w:top w:val="single" w:sz="8" w:space="0" w:color="auto"/>
              <w:left w:val="single" w:sz="8" w:space="0" w:color="auto"/>
              <w:bottom w:val="nil"/>
              <w:right w:val="single" w:sz="8" w:space="0" w:color="auto"/>
            </w:tcBorders>
            <w:shd w:val="clear" w:color="auto" w:fill="auto"/>
            <w:vAlign w:val="center"/>
            <w:hideMark/>
          </w:tcPr>
          <w:p w14:paraId="2EFF2888" w14:textId="77777777" w:rsidR="0041048E" w:rsidRPr="00A20244" w:rsidRDefault="0041048E" w:rsidP="0041048E">
            <w:pPr>
              <w:widowControl/>
              <w:wordWrap/>
              <w:autoSpaceDE/>
              <w:autoSpaceDN/>
              <w:spacing w:after="0" w:line="240" w:lineRule="auto"/>
              <w:jc w:val="left"/>
              <w:rPr>
                <w:rFonts w:ascii="Arial" w:eastAsia="Malgun Gothic" w:hAnsi="Arial" w:cs="Arial"/>
                <w:color w:val="000000"/>
                <w:kern w:val="0"/>
                <w:szCs w:val="20"/>
              </w:rPr>
            </w:pPr>
            <w:r w:rsidRPr="00A20244">
              <w:rPr>
                <w:rFonts w:ascii="Arial" w:eastAsia="Malgun Gothic" w:hAnsi="Arial" w:cs="Arial"/>
                <w:color w:val="000000"/>
                <w:kern w:val="0"/>
                <w:szCs w:val="20"/>
              </w:rPr>
              <w:t>Guardian total OOP cost*</w:t>
            </w:r>
          </w:p>
        </w:tc>
        <w:tc>
          <w:tcPr>
            <w:tcW w:w="831" w:type="dxa"/>
            <w:tcBorders>
              <w:top w:val="nil"/>
              <w:left w:val="nil"/>
              <w:bottom w:val="nil"/>
              <w:right w:val="nil"/>
            </w:tcBorders>
            <w:shd w:val="clear" w:color="auto" w:fill="auto"/>
            <w:vAlign w:val="center"/>
            <w:hideMark/>
          </w:tcPr>
          <w:p w14:paraId="0DC2B83C" w14:textId="77777777" w:rsidR="0041048E" w:rsidRPr="00A20244" w:rsidRDefault="0041048E" w:rsidP="0041048E">
            <w:pPr>
              <w:widowControl/>
              <w:wordWrap/>
              <w:autoSpaceDE/>
              <w:autoSpaceDN/>
              <w:spacing w:after="0" w:line="240" w:lineRule="auto"/>
              <w:jc w:val="right"/>
              <w:rPr>
                <w:rFonts w:ascii="Arial" w:eastAsia="Malgun Gothic" w:hAnsi="Arial" w:cs="Arial"/>
                <w:color w:val="000000"/>
                <w:kern w:val="0"/>
                <w:szCs w:val="20"/>
              </w:rPr>
            </w:pPr>
            <w:r w:rsidRPr="00A20244">
              <w:rPr>
                <w:rFonts w:ascii="Arial" w:eastAsia="Malgun Gothic" w:hAnsi="Arial" w:cs="Arial"/>
                <w:color w:val="000000"/>
                <w:kern w:val="0"/>
                <w:szCs w:val="20"/>
              </w:rPr>
              <w:t xml:space="preserve">$13.70 </w:t>
            </w:r>
          </w:p>
        </w:tc>
        <w:tc>
          <w:tcPr>
            <w:tcW w:w="843" w:type="dxa"/>
            <w:tcBorders>
              <w:top w:val="nil"/>
              <w:left w:val="nil"/>
              <w:bottom w:val="nil"/>
              <w:right w:val="single" w:sz="8" w:space="0" w:color="auto"/>
            </w:tcBorders>
            <w:shd w:val="clear" w:color="auto" w:fill="auto"/>
            <w:vAlign w:val="center"/>
            <w:hideMark/>
          </w:tcPr>
          <w:p w14:paraId="02228C93"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($16.62)</w:t>
            </w:r>
          </w:p>
        </w:tc>
        <w:tc>
          <w:tcPr>
            <w:tcW w:w="846" w:type="dxa"/>
            <w:tcBorders>
              <w:top w:val="nil"/>
              <w:left w:val="nil"/>
              <w:bottom w:val="nil"/>
              <w:right w:val="nil"/>
            </w:tcBorders>
            <w:shd w:val="clear" w:color="auto" w:fill="auto"/>
            <w:vAlign w:val="center"/>
            <w:hideMark/>
          </w:tcPr>
          <w:p w14:paraId="02778E6A"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$16.82 </w:t>
            </w:r>
          </w:p>
        </w:tc>
        <w:tc>
          <w:tcPr>
            <w:tcW w:w="980" w:type="dxa"/>
            <w:tcBorders>
              <w:top w:val="nil"/>
              <w:left w:val="nil"/>
              <w:bottom w:val="nil"/>
              <w:right w:val="single" w:sz="8" w:space="0" w:color="auto"/>
            </w:tcBorders>
            <w:shd w:val="clear" w:color="auto" w:fill="auto"/>
            <w:vAlign w:val="center"/>
            <w:hideMark/>
          </w:tcPr>
          <w:p w14:paraId="3F9F3607"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($27.00)</w:t>
            </w:r>
          </w:p>
        </w:tc>
        <w:tc>
          <w:tcPr>
            <w:tcW w:w="685" w:type="dxa"/>
            <w:tcBorders>
              <w:top w:val="nil"/>
              <w:left w:val="nil"/>
              <w:bottom w:val="single" w:sz="8" w:space="0" w:color="auto"/>
              <w:right w:val="nil"/>
            </w:tcBorders>
            <w:shd w:val="clear" w:color="auto" w:fill="auto"/>
            <w:vAlign w:val="center"/>
            <w:hideMark/>
          </w:tcPr>
          <w:p w14:paraId="59E879E3"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w:t>
            </w:r>
          </w:p>
        </w:tc>
        <w:tc>
          <w:tcPr>
            <w:tcW w:w="924" w:type="dxa"/>
            <w:tcBorders>
              <w:top w:val="nil"/>
              <w:left w:val="nil"/>
              <w:bottom w:val="single" w:sz="8" w:space="0" w:color="auto"/>
              <w:right w:val="single" w:sz="8" w:space="0" w:color="auto"/>
            </w:tcBorders>
            <w:shd w:val="clear" w:color="auto" w:fill="auto"/>
            <w:vAlign w:val="center"/>
            <w:hideMark/>
          </w:tcPr>
          <w:p w14:paraId="4698D95F"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 xml:space="preserve">　</w:t>
            </w:r>
          </w:p>
        </w:tc>
        <w:tc>
          <w:tcPr>
            <w:tcW w:w="703" w:type="dxa"/>
            <w:tcBorders>
              <w:top w:val="single" w:sz="8" w:space="0" w:color="auto"/>
              <w:left w:val="nil"/>
              <w:bottom w:val="single" w:sz="8" w:space="0" w:color="auto"/>
            </w:tcBorders>
            <w:vAlign w:val="center"/>
          </w:tcPr>
          <w:p w14:paraId="7407C91F" w14:textId="1C6E9C0A" w:rsidR="0041048E" w:rsidRPr="00A20244" w:rsidRDefault="0041048E" w:rsidP="00F42EE6">
            <w:pPr>
              <w:widowControl/>
              <w:wordWrap/>
              <w:autoSpaceDE/>
              <w:autoSpaceDN/>
              <w:spacing w:after="0" w:line="240" w:lineRule="auto"/>
              <w:jc w:val="right"/>
              <w:rPr>
                <w:rFonts w:ascii="Arial" w:eastAsia="Malgun Gothic" w:hAnsi="Arial" w:cs="Arial"/>
                <w:kern w:val="0"/>
                <w:szCs w:val="20"/>
              </w:rPr>
            </w:pPr>
            <w:r>
              <w:rPr>
                <w:rFonts w:ascii="Arial" w:eastAsia="Malgun Gothic" w:hAnsi="Arial" w:cs="Arial" w:hint="eastAsia"/>
                <w:kern w:val="0"/>
                <w:szCs w:val="20"/>
              </w:rPr>
              <w:t>-</w:t>
            </w:r>
          </w:p>
        </w:tc>
        <w:tc>
          <w:tcPr>
            <w:tcW w:w="988" w:type="dxa"/>
            <w:tcBorders>
              <w:top w:val="single" w:sz="8" w:space="0" w:color="auto"/>
              <w:left w:val="nil"/>
              <w:bottom w:val="single" w:sz="8" w:space="0" w:color="auto"/>
              <w:right w:val="single" w:sz="8" w:space="0" w:color="auto"/>
            </w:tcBorders>
            <w:vAlign w:val="center"/>
          </w:tcPr>
          <w:p w14:paraId="402356FF" w14:textId="6D30610B"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p>
        </w:tc>
      </w:tr>
      <w:tr w:rsidR="00373B25" w:rsidRPr="00386091" w14:paraId="2D04B352" w14:textId="26CD44F6" w:rsidTr="00373B25">
        <w:trPr>
          <w:trHeight w:val="350"/>
        </w:trPr>
        <w:tc>
          <w:tcPr>
            <w:tcW w:w="2542" w:type="dxa"/>
            <w:tcBorders>
              <w:top w:val="single" w:sz="8" w:space="0" w:color="auto"/>
              <w:left w:val="single" w:sz="8" w:space="0" w:color="auto"/>
              <w:bottom w:val="nil"/>
              <w:right w:val="single" w:sz="8" w:space="0" w:color="auto"/>
            </w:tcBorders>
            <w:shd w:val="clear" w:color="000000" w:fill="D9D9D9"/>
            <w:vAlign w:val="center"/>
            <w:hideMark/>
          </w:tcPr>
          <w:p w14:paraId="294C8C43" w14:textId="0D3D3AC7" w:rsidR="0041048E" w:rsidRPr="00A20244" w:rsidRDefault="0041048E" w:rsidP="0041048E">
            <w:pPr>
              <w:widowControl/>
              <w:wordWrap/>
              <w:autoSpaceDE/>
              <w:autoSpaceDN/>
              <w:spacing w:after="0" w:line="240" w:lineRule="auto"/>
              <w:jc w:val="left"/>
              <w:rPr>
                <w:rFonts w:ascii="Arial" w:eastAsia="Malgun Gothic" w:hAnsi="Arial" w:cs="Arial"/>
                <w:color w:val="000000"/>
                <w:kern w:val="0"/>
                <w:szCs w:val="20"/>
              </w:rPr>
            </w:pPr>
            <w:r w:rsidRPr="00A20244">
              <w:rPr>
                <w:rFonts w:ascii="Arial" w:eastAsia="Malgun Gothic" w:hAnsi="Arial" w:cs="Arial"/>
                <w:color w:val="000000"/>
                <w:kern w:val="0"/>
                <w:szCs w:val="20"/>
              </w:rPr>
              <w:t xml:space="preserve">Total OOP cost </w:t>
            </w:r>
          </w:p>
        </w:tc>
        <w:tc>
          <w:tcPr>
            <w:tcW w:w="831" w:type="dxa"/>
            <w:tcBorders>
              <w:top w:val="single" w:sz="8" w:space="0" w:color="auto"/>
              <w:left w:val="nil"/>
              <w:bottom w:val="nil"/>
              <w:right w:val="nil"/>
            </w:tcBorders>
            <w:shd w:val="clear" w:color="000000" w:fill="D9D9D9"/>
            <w:vAlign w:val="center"/>
            <w:hideMark/>
          </w:tcPr>
          <w:p w14:paraId="78ADACB2" w14:textId="77777777" w:rsidR="0041048E" w:rsidRPr="00A20244" w:rsidRDefault="0041048E" w:rsidP="0041048E">
            <w:pPr>
              <w:widowControl/>
              <w:wordWrap/>
              <w:autoSpaceDE/>
              <w:autoSpaceDN/>
              <w:spacing w:after="0" w:line="240" w:lineRule="auto"/>
              <w:jc w:val="right"/>
              <w:rPr>
                <w:rFonts w:ascii="Arial" w:eastAsia="Malgun Gothic" w:hAnsi="Arial" w:cs="Arial"/>
                <w:color w:val="000000"/>
                <w:kern w:val="0"/>
                <w:szCs w:val="20"/>
              </w:rPr>
            </w:pPr>
            <w:r w:rsidRPr="00A20244">
              <w:rPr>
                <w:rFonts w:ascii="Arial" w:eastAsia="Malgun Gothic" w:hAnsi="Arial" w:cs="Arial"/>
                <w:color w:val="000000"/>
                <w:kern w:val="0"/>
                <w:szCs w:val="20"/>
              </w:rPr>
              <w:t xml:space="preserve">$28.66 </w:t>
            </w:r>
          </w:p>
        </w:tc>
        <w:tc>
          <w:tcPr>
            <w:tcW w:w="843" w:type="dxa"/>
            <w:tcBorders>
              <w:top w:val="single" w:sz="8" w:space="0" w:color="auto"/>
              <w:left w:val="nil"/>
              <w:bottom w:val="nil"/>
              <w:right w:val="single" w:sz="8" w:space="0" w:color="auto"/>
            </w:tcBorders>
            <w:shd w:val="clear" w:color="000000" w:fill="D9D9D9"/>
            <w:vAlign w:val="center"/>
            <w:hideMark/>
          </w:tcPr>
          <w:p w14:paraId="39C71802"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($29.09)</w:t>
            </w:r>
          </w:p>
        </w:tc>
        <w:tc>
          <w:tcPr>
            <w:tcW w:w="846" w:type="dxa"/>
            <w:tcBorders>
              <w:top w:val="single" w:sz="8" w:space="0" w:color="auto"/>
              <w:left w:val="nil"/>
              <w:bottom w:val="nil"/>
              <w:right w:val="nil"/>
            </w:tcBorders>
            <w:shd w:val="clear" w:color="000000" w:fill="D9D9D9"/>
            <w:vAlign w:val="center"/>
            <w:hideMark/>
          </w:tcPr>
          <w:p w14:paraId="25F0DB92"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$39.68 </w:t>
            </w:r>
          </w:p>
        </w:tc>
        <w:tc>
          <w:tcPr>
            <w:tcW w:w="980" w:type="dxa"/>
            <w:tcBorders>
              <w:top w:val="single" w:sz="8" w:space="0" w:color="auto"/>
              <w:left w:val="nil"/>
              <w:bottom w:val="nil"/>
              <w:right w:val="single" w:sz="8" w:space="0" w:color="auto"/>
            </w:tcBorders>
            <w:shd w:val="clear" w:color="000000" w:fill="D9D9D9"/>
            <w:vAlign w:val="center"/>
            <w:hideMark/>
          </w:tcPr>
          <w:p w14:paraId="24243786"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($46.04)</w:t>
            </w:r>
          </w:p>
        </w:tc>
        <w:tc>
          <w:tcPr>
            <w:tcW w:w="685" w:type="dxa"/>
            <w:tcBorders>
              <w:top w:val="nil"/>
              <w:left w:val="nil"/>
              <w:bottom w:val="single" w:sz="8" w:space="0" w:color="auto"/>
              <w:right w:val="nil"/>
            </w:tcBorders>
            <w:shd w:val="clear" w:color="000000" w:fill="D9D9D9"/>
            <w:vAlign w:val="center"/>
            <w:hideMark/>
          </w:tcPr>
          <w:p w14:paraId="1C72CE19"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$3.25 </w:t>
            </w:r>
          </w:p>
        </w:tc>
        <w:tc>
          <w:tcPr>
            <w:tcW w:w="924" w:type="dxa"/>
            <w:tcBorders>
              <w:top w:val="nil"/>
              <w:left w:val="nil"/>
              <w:bottom w:val="single" w:sz="8" w:space="0" w:color="auto"/>
              <w:right w:val="single" w:sz="8" w:space="0" w:color="auto"/>
            </w:tcBorders>
            <w:shd w:val="clear" w:color="000000" w:fill="D9D9D9"/>
            <w:vAlign w:val="center"/>
            <w:hideMark/>
          </w:tcPr>
          <w:p w14:paraId="7B595451"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($5.06)</w:t>
            </w:r>
          </w:p>
        </w:tc>
        <w:tc>
          <w:tcPr>
            <w:tcW w:w="703" w:type="dxa"/>
            <w:tcBorders>
              <w:top w:val="single" w:sz="8" w:space="0" w:color="auto"/>
              <w:left w:val="nil"/>
              <w:bottom w:val="single" w:sz="8" w:space="0" w:color="auto"/>
            </w:tcBorders>
            <w:shd w:val="clear" w:color="auto" w:fill="D9D9D9" w:themeFill="background1" w:themeFillShade="D9"/>
            <w:vAlign w:val="center"/>
          </w:tcPr>
          <w:p w14:paraId="7826379C" w14:textId="3037DC0B" w:rsidR="0041048E" w:rsidRPr="00A20244" w:rsidRDefault="0041048E" w:rsidP="00F42EE6">
            <w:pPr>
              <w:widowControl/>
              <w:wordWrap/>
              <w:autoSpaceDE/>
              <w:autoSpaceDN/>
              <w:spacing w:after="0" w:line="240" w:lineRule="auto"/>
              <w:jc w:val="right"/>
              <w:rPr>
                <w:rFonts w:ascii="Arial" w:eastAsia="Malgun Gothic" w:hAnsi="Arial" w:cs="Arial"/>
                <w:kern w:val="0"/>
                <w:szCs w:val="20"/>
              </w:rPr>
            </w:pPr>
            <w:r w:rsidRPr="00143653">
              <w:rPr>
                <w:rFonts w:ascii="Arial" w:eastAsia="Malgun Gothic" w:hAnsi="Arial" w:cs="Arial"/>
                <w:szCs w:val="20"/>
              </w:rPr>
              <w:t>$1.69</w:t>
            </w:r>
          </w:p>
        </w:tc>
        <w:tc>
          <w:tcPr>
            <w:tcW w:w="988"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BDB606B" w14:textId="6A014EE9"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143653">
              <w:rPr>
                <w:rFonts w:ascii="Arial" w:eastAsia="Malgun Gothic" w:hAnsi="Arial" w:cs="Arial"/>
                <w:szCs w:val="20"/>
              </w:rPr>
              <w:t>(</w:t>
            </w:r>
            <w:r w:rsidRPr="00143653">
              <w:rPr>
                <w:rFonts w:ascii="Arial" w:hAnsi="Arial" w:cs="Arial"/>
                <w:szCs w:val="20"/>
              </w:rPr>
              <w:t>$</w:t>
            </w:r>
            <w:r w:rsidRPr="00143653">
              <w:rPr>
                <w:rFonts w:ascii="Arial" w:eastAsia="Malgun Gothic" w:hAnsi="Arial" w:cs="Arial"/>
                <w:szCs w:val="20"/>
              </w:rPr>
              <w:t>1.41)</w:t>
            </w:r>
          </w:p>
        </w:tc>
      </w:tr>
      <w:tr w:rsidR="0041048E" w:rsidRPr="00386091" w14:paraId="3446AC37" w14:textId="1A0EB48D" w:rsidTr="00373B25">
        <w:trPr>
          <w:trHeight w:val="340"/>
        </w:trPr>
        <w:tc>
          <w:tcPr>
            <w:tcW w:w="2542" w:type="dxa"/>
            <w:tcBorders>
              <w:top w:val="single" w:sz="8" w:space="0" w:color="000000"/>
              <w:left w:val="single" w:sz="8" w:space="0" w:color="auto"/>
              <w:bottom w:val="nil"/>
              <w:right w:val="single" w:sz="8" w:space="0" w:color="auto"/>
            </w:tcBorders>
            <w:shd w:val="clear" w:color="auto" w:fill="auto"/>
            <w:vAlign w:val="center"/>
            <w:hideMark/>
          </w:tcPr>
          <w:p w14:paraId="28600910" w14:textId="77777777" w:rsidR="0041048E" w:rsidRPr="00A20244" w:rsidRDefault="0041048E" w:rsidP="0041048E">
            <w:pPr>
              <w:widowControl/>
              <w:wordWrap/>
              <w:autoSpaceDE/>
              <w:autoSpaceDN/>
              <w:spacing w:after="0" w:line="240" w:lineRule="auto"/>
              <w:jc w:val="left"/>
              <w:rPr>
                <w:rFonts w:ascii="Arial" w:eastAsia="Malgun Gothic" w:hAnsi="Arial" w:cs="Arial"/>
                <w:color w:val="000000"/>
                <w:kern w:val="0"/>
                <w:szCs w:val="20"/>
              </w:rPr>
            </w:pPr>
            <w:r w:rsidRPr="00A20244">
              <w:rPr>
                <w:rFonts w:ascii="Arial" w:eastAsia="Malgun Gothic" w:hAnsi="Arial" w:cs="Arial"/>
                <w:color w:val="000000"/>
                <w:kern w:val="0"/>
                <w:szCs w:val="20"/>
              </w:rPr>
              <w:t>Patient Opportunity cost</w:t>
            </w:r>
          </w:p>
        </w:tc>
        <w:tc>
          <w:tcPr>
            <w:tcW w:w="831" w:type="dxa"/>
            <w:tcBorders>
              <w:top w:val="single" w:sz="8" w:space="0" w:color="000000"/>
              <w:left w:val="nil"/>
              <w:bottom w:val="nil"/>
              <w:right w:val="nil"/>
            </w:tcBorders>
            <w:shd w:val="clear" w:color="auto" w:fill="auto"/>
            <w:vAlign w:val="center"/>
            <w:hideMark/>
          </w:tcPr>
          <w:p w14:paraId="07486E1A" w14:textId="77777777" w:rsidR="0041048E" w:rsidRPr="00A20244" w:rsidRDefault="0041048E" w:rsidP="0041048E">
            <w:pPr>
              <w:widowControl/>
              <w:wordWrap/>
              <w:autoSpaceDE/>
              <w:autoSpaceDN/>
              <w:spacing w:after="0" w:line="240" w:lineRule="auto"/>
              <w:jc w:val="right"/>
              <w:rPr>
                <w:rFonts w:ascii="Arial" w:eastAsia="Malgun Gothic" w:hAnsi="Arial" w:cs="Arial"/>
                <w:color w:val="000000"/>
                <w:kern w:val="0"/>
                <w:szCs w:val="20"/>
              </w:rPr>
            </w:pPr>
            <w:r w:rsidRPr="00A20244">
              <w:rPr>
                <w:rFonts w:ascii="Arial" w:eastAsia="Malgun Gothic" w:hAnsi="Arial" w:cs="Arial"/>
                <w:color w:val="000000"/>
                <w:kern w:val="0"/>
                <w:szCs w:val="20"/>
              </w:rPr>
              <w:t xml:space="preserve">$18.06 </w:t>
            </w:r>
          </w:p>
        </w:tc>
        <w:tc>
          <w:tcPr>
            <w:tcW w:w="843" w:type="dxa"/>
            <w:tcBorders>
              <w:top w:val="single" w:sz="8" w:space="0" w:color="000000"/>
              <w:left w:val="nil"/>
              <w:bottom w:val="nil"/>
              <w:right w:val="single" w:sz="8" w:space="0" w:color="auto"/>
            </w:tcBorders>
            <w:shd w:val="clear" w:color="auto" w:fill="auto"/>
            <w:vAlign w:val="center"/>
            <w:hideMark/>
          </w:tcPr>
          <w:p w14:paraId="00B49345"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($35.14)</w:t>
            </w:r>
          </w:p>
        </w:tc>
        <w:tc>
          <w:tcPr>
            <w:tcW w:w="846" w:type="dxa"/>
            <w:tcBorders>
              <w:top w:val="single" w:sz="8" w:space="0" w:color="000000"/>
              <w:left w:val="nil"/>
              <w:bottom w:val="nil"/>
              <w:right w:val="nil"/>
            </w:tcBorders>
            <w:shd w:val="clear" w:color="auto" w:fill="auto"/>
            <w:vAlign w:val="center"/>
            <w:hideMark/>
          </w:tcPr>
          <w:p w14:paraId="2A827DE8"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$70.81 </w:t>
            </w:r>
          </w:p>
        </w:tc>
        <w:tc>
          <w:tcPr>
            <w:tcW w:w="980" w:type="dxa"/>
            <w:tcBorders>
              <w:top w:val="single" w:sz="8" w:space="0" w:color="000000"/>
              <w:left w:val="nil"/>
              <w:bottom w:val="nil"/>
              <w:right w:val="single" w:sz="8" w:space="0" w:color="auto"/>
            </w:tcBorders>
            <w:shd w:val="clear" w:color="auto" w:fill="auto"/>
            <w:vAlign w:val="center"/>
            <w:hideMark/>
          </w:tcPr>
          <w:p w14:paraId="6B24FDD4"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($129.63)</w:t>
            </w:r>
          </w:p>
        </w:tc>
        <w:tc>
          <w:tcPr>
            <w:tcW w:w="685" w:type="dxa"/>
            <w:tcBorders>
              <w:top w:val="nil"/>
              <w:left w:val="nil"/>
              <w:bottom w:val="nil"/>
              <w:right w:val="nil"/>
            </w:tcBorders>
            <w:shd w:val="clear" w:color="auto" w:fill="auto"/>
            <w:vAlign w:val="center"/>
            <w:hideMark/>
          </w:tcPr>
          <w:p w14:paraId="052A9D7A"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$1.57 </w:t>
            </w:r>
          </w:p>
        </w:tc>
        <w:tc>
          <w:tcPr>
            <w:tcW w:w="924" w:type="dxa"/>
            <w:tcBorders>
              <w:top w:val="nil"/>
              <w:left w:val="nil"/>
              <w:bottom w:val="nil"/>
              <w:right w:val="single" w:sz="8" w:space="0" w:color="auto"/>
            </w:tcBorders>
            <w:shd w:val="clear" w:color="auto" w:fill="auto"/>
            <w:vAlign w:val="center"/>
            <w:hideMark/>
          </w:tcPr>
          <w:p w14:paraId="4EE7F8F5"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($5.89)</w:t>
            </w:r>
          </w:p>
        </w:tc>
        <w:tc>
          <w:tcPr>
            <w:tcW w:w="703" w:type="dxa"/>
            <w:tcBorders>
              <w:top w:val="single" w:sz="8" w:space="0" w:color="auto"/>
              <w:left w:val="nil"/>
            </w:tcBorders>
            <w:vAlign w:val="center"/>
          </w:tcPr>
          <w:p w14:paraId="7823C5DA" w14:textId="4F3D3455" w:rsidR="0041048E" w:rsidRPr="00A20244" w:rsidRDefault="0041048E" w:rsidP="00F42EE6">
            <w:pPr>
              <w:widowControl/>
              <w:wordWrap/>
              <w:autoSpaceDE/>
              <w:autoSpaceDN/>
              <w:spacing w:after="0" w:line="240" w:lineRule="auto"/>
              <w:jc w:val="right"/>
              <w:rPr>
                <w:rFonts w:ascii="Arial" w:eastAsia="Malgun Gothic" w:hAnsi="Arial" w:cs="Arial"/>
                <w:kern w:val="0"/>
                <w:szCs w:val="20"/>
              </w:rPr>
            </w:pPr>
            <w:r w:rsidRPr="000051C8">
              <w:rPr>
                <w:rFonts w:ascii="Arial" w:eastAsia="Malgun Gothic" w:hAnsi="Arial" w:cs="Arial"/>
                <w:szCs w:val="20"/>
              </w:rPr>
              <w:t>$1.79</w:t>
            </w:r>
          </w:p>
        </w:tc>
        <w:tc>
          <w:tcPr>
            <w:tcW w:w="988" w:type="dxa"/>
            <w:tcBorders>
              <w:top w:val="single" w:sz="8" w:space="0" w:color="auto"/>
              <w:left w:val="nil"/>
              <w:right w:val="single" w:sz="8" w:space="0" w:color="auto"/>
            </w:tcBorders>
            <w:vAlign w:val="center"/>
          </w:tcPr>
          <w:p w14:paraId="41314A3B" w14:textId="7A0D8C19"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0051C8">
              <w:rPr>
                <w:rFonts w:ascii="Arial" w:eastAsia="Malgun Gothic" w:hAnsi="Arial" w:cs="Arial"/>
                <w:szCs w:val="20"/>
              </w:rPr>
              <w:t>(</w:t>
            </w:r>
            <w:r w:rsidRPr="000051C8">
              <w:rPr>
                <w:rFonts w:ascii="Arial" w:hAnsi="Arial" w:cs="Arial"/>
                <w:szCs w:val="20"/>
              </w:rPr>
              <w:t>$</w:t>
            </w:r>
            <w:r w:rsidRPr="000051C8">
              <w:rPr>
                <w:rFonts w:ascii="Arial" w:eastAsia="Malgun Gothic" w:hAnsi="Arial" w:cs="Arial"/>
                <w:szCs w:val="20"/>
              </w:rPr>
              <w:t>1.40)</w:t>
            </w:r>
          </w:p>
        </w:tc>
      </w:tr>
      <w:tr w:rsidR="0041048E" w:rsidRPr="00386091" w14:paraId="106358EA" w14:textId="1AF99E71" w:rsidTr="00373B25">
        <w:trPr>
          <w:trHeight w:val="340"/>
        </w:trPr>
        <w:tc>
          <w:tcPr>
            <w:tcW w:w="2542" w:type="dxa"/>
            <w:tcBorders>
              <w:top w:val="nil"/>
              <w:left w:val="single" w:sz="8" w:space="0" w:color="auto"/>
              <w:bottom w:val="nil"/>
              <w:right w:val="single" w:sz="8" w:space="0" w:color="auto"/>
            </w:tcBorders>
            <w:shd w:val="clear" w:color="auto" w:fill="auto"/>
            <w:vAlign w:val="center"/>
            <w:hideMark/>
          </w:tcPr>
          <w:p w14:paraId="16499253" w14:textId="293BC330" w:rsidR="0041048E" w:rsidRPr="00A20244" w:rsidRDefault="0041048E" w:rsidP="0041048E">
            <w:pPr>
              <w:widowControl/>
              <w:wordWrap/>
              <w:autoSpaceDE/>
              <w:autoSpaceDN/>
              <w:spacing w:after="0" w:line="240" w:lineRule="auto"/>
              <w:ind w:firstLineChars="100" w:firstLine="200"/>
              <w:jc w:val="left"/>
              <w:rPr>
                <w:rFonts w:ascii="Arial" w:eastAsia="Malgun Gothic" w:hAnsi="Arial" w:cs="Arial"/>
                <w:color w:val="000000"/>
                <w:kern w:val="0"/>
                <w:szCs w:val="20"/>
              </w:rPr>
            </w:pPr>
            <w:r w:rsidRPr="00A20244">
              <w:rPr>
                <w:rFonts w:ascii="Arial" w:eastAsia="Malgun Gothic" w:hAnsi="Arial" w:cs="Arial"/>
                <w:color w:val="000000"/>
                <w:kern w:val="0"/>
                <w:szCs w:val="20"/>
              </w:rPr>
              <w:t>Time spent at facility (</w:t>
            </w:r>
            <w:proofErr w:type="spellStart"/>
            <w:r w:rsidRPr="00A20244">
              <w:rPr>
                <w:rFonts w:ascii="Arial" w:eastAsia="Malgun Gothic" w:hAnsi="Arial" w:cs="Arial"/>
                <w:color w:val="000000"/>
                <w:kern w:val="0"/>
                <w:szCs w:val="20"/>
              </w:rPr>
              <w:t>hrs</w:t>
            </w:r>
            <w:proofErr w:type="spellEnd"/>
            <w:r w:rsidRPr="00A20244">
              <w:rPr>
                <w:rFonts w:ascii="Arial" w:eastAsia="Malgun Gothic" w:hAnsi="Arial" w:cs="Arial"/>
                <w:color w:val="000000"/>
                <w:kern w:val="0"/>
                <w:szCs w:val="20"/>
              </w:rPr>
              <w:t>)</w:t>
            </w:r>
          </w:p>
        </w:tc>
        <w:tc>
          <w:tcPr>
            <w:tcW w:w="831" w:type="dxa"/>
            <w:tcBorders>
              <w:top w:val="nil"/>
              <w:left w:val="nil"/>
              <w:bottom w:val="nil"/>
              <w:right w:val="nil"/>
            </w:tcBorders>
            <w:shd w:val="clear" w:color="auto" w:fill="auto"/>
            <w:vAlign w:val="center"/>
            <w:hideMark/>
          </w:tcPr>
          <w:p w14:paraId="1F7F338D" w14:textId="77777777" w:rsidR="0041048E" w:rsidRPr="00A20244" w:rsidRDefault="0041048E" w:rsidP="0041048E">
            <w:pPr>
              <w:widowControl/>
              <w:wordWrap/>
              <w:autoSpaceDE/>
              <w:autoSpaceDN/>
              <w:spacing w:after="0" w:line="240" w:lineRule="auto"/>
              <w:jc w:val="right"/>
              <w:rPr>
                <w:rFonts w:ascii="Arial" w:eastAsia="Malgun Gothic" w:hAnsi="Arial" w:cs="Arial"/>
                <w:i/>
                <w:iCs/>
                <w:color w:val="000000"/>
                <w:kern w:val="0"/>
                <w:szCs w:val="20"/>
              </w:rPr>
            </w:pPr>
            <w:r w:rsidRPr="00A20244">
              <w:rPr>
                <w:rFonts w:ascii="Arial" w:eastAsia="Malgun Gothic" w:hAnsi="Arial" w:cs="Arial"/>
                <w:i/>
                <w:iCs/>
                <w:color w:val="000000"/>
                <w:kern w:val="0"/>
                <w:szCs w:val="20"/>
              </w:rPr>
              <w:t>240.68**</w:t>
            </w:r>
          </w:p>
        </w:tc>
        <w:tc>
          <w:tcPr>
            <w:tcW w:w="843" w:type="dxa"/>
            <w:tcBorders>
              <w:top w:val="nil"/>
              <w:left w:val="nil"/>
              <w:bottom w:val="nil"/>
              <w:right w:val="single" w:sz="8" w:space="0" w:color="auto"/>
            </w:tcBorders>
            <w:shd w:val="clear" w:color="auto" w:fill="auto"/>
            <w:vAlign w:val="center"/>
            <w:hideMark/>
          </w:tcPr>
          <w:p w14:paraId="6DE960F1" w14:textId="1FE392BB" w:rsidR="0041048E" w:rsidRPr="00A20244" w:rsidRDefault="0041048E" w:rsidP="0041048E">
            <w:pPr>
              <w:widowControl/>
              <w:wordWrap/>
              <w:autoSpaceDE/>
              <w:autoSpaceDN/>
              <w:spacing w:after="0" w:line="240" w:lineRule="auto"/>
              <w:jc w:val="left"/>
              <w:rPr>
                <w:rFonts w:ascii="Arial" w:eastAsia="Malgun Gothic" w:hAnsi="Arial" w:cs="Arial"/>
                <w:i/>
                <w:iCs/>
                <w:kern w:val="0"/>
                <w:szCs w:val="20"/>
              </w:rPr>
            </w:pPr>
            <w:r w:rsidRPr="00A20244">
              <w:rPr>
                <w:rFonts w:ascii="Arial" w:eastAsia="Malgun Gothic" w:hAnsi="Arial" w:cs="Arial"/>
                <w:i/>
                <w:iCs/>
                <w:kern w:val="0"/>
                <w:szCs w:val="20"/>
              </w:rPr>
              <w:t>(215.5)</w:t>
            </w:r>
          </w:p>
        </w:tc>
        <w:tc>
          <w:tcPr>
            <w:tcW w:w="846" w:type="dxa"/>
            <w:tcBorders>
              <w:top w:val="nil"/>
              <w:left w:val="nil"/>
              <w:bottom w:val="nil"/>
              <w:right w:val="nil"/>
            </w:tcBorders>
            <w:shd w:val="clear" w:color="auto" w:fill="auto"/>
            <w:vAlign w:val="center"/>
            <w:hideMark/>
          </w:tcPr>
          <w:p w14:paraId="2D38EAA6" w14:textId="77777777" w:rsidR="0041048E" w:rsidRPr="00A20244" w:rsidRDefault="0041048E" w:rsidP="0041048E">
            <w:pPr>
              <w:widowControl/>
              <w:wordWrap/>
              <w:autoSpaceDE/>
              <w:autoSpaceDN/>
              <w:spacing w:after="0" w:line="240" w:lineRule="auto"/>
              <w:jc w:val="right"/>
              <w:rPr>
                <w:rFonts w:ascii="Arial" w:eastAsia="Malgun Gothic" w:hAnsi="Arial" w:cs="Arial"/>
                <w:i/>
                <w:iCs/>
                <w:kern w:val="0"/>
                <w:szCs w:val="20"/>
              </w:rPr>
            </w:pPr>
            <w:r w:rsidRPr="00A20244">
              <w:rPr>
                <w:rFonts w:ascii="Arial" w:eastAsia="Malgun Gothic" w:hAnsi="Arial" w:cs="Arial"/>
                <w:i/>
                <w:iCs/>
                <w:kern w:val="0"/>
                <w:szCs w:val="20"/>
              </w:rPr>
              <w:t>674.62**</w:t>
            </w:r>
          </w:p>
        </w:tc>
        <w:tc>
          <w:tcPr>
            <w:tcW w:w="980" w:type="dxa"/>
            <w:tcBorders>
              <w:top w:val="nil"/>
              <w:left w:val="nil"/>
              <w:bottom w:val="nil"/>
              <w:right w:val="single" w:sz="8" w:space="0" w:color="auto"/>
            </w:tcBorders>
            <w:shd w:val="clear" w:color="auto" w:fill="auto"/>
            <w:vAlign w:val="center"/>
            <w:hideMark/>
          </w:tcPr>
          <w:p w14:paraId="7B8EA7C3" w14:textId="4EE903DD" w:rsidR="0041048E" w:rsidRPr="00A20244" w:rsidRDefault="0041048E" w:rsidP="0041048E">
            <w:pPr>
              <w:widowControl/>
              <w:wordWrap/>
              <w:autoSpaceDE/>
              <w:autoSpaceDN/>
              <w:spacing w:after="0" w:line="240" w:lineRule="auto"/>
              <w:jc w:val="left"/>
              <w:rPr>
                <w:rFonts w:ascii="Arial" w:eastAsia="Malgun Gothic" w:hAnsi="Arial" w:cs="Arial"/>
                <w:i/>
                <w:iCs/>
                <w:kern w:val="0"/>
                <w:szCs w:val="20"/>
              </w:rPr>
            </w:pPr>
            <w:r w:rsidRPr="00A20244">
              <w:rPr>
                <w:rFonts w:ascii="Arial" w:eastAsia="Malgun Gothic" w:hAnsi="Arial" w:cs="Arial"/>
                <w:i/>
                <w:iCs/>
                <w:kern w:val="0"/>
                <w:szCs w:val="20"/>
              </w:rPr>
              <w:t>(457.07)</w:t>
            </w:r>
          </w:p>
        </w:tc>
        <w:tc>
          <w:tcPr>
            <w:tcW w:w="685" w:type="dxa"/>
            <w:tcBorders>
              <w:top w:val="nil"/>
              <w:left w:val="nil"/>
              <w:bottom w:val="nil"/>
              <w:right w:val="nil"/>
            </w:tcBorders>
            <w:shd w:val="clear" w:color="auto" w:fill="auto"/>
            <w:vAlign w:val="center"/>
            <w:hideMark/>
          </w:tcPr>
          <w:p w14:paraId="2AC6CC4B" w14:textId="77777777" w:rsidR="0041048E" w:rsidRPr="00A20244" w:rsidRDefault="0041048E" w:rsidP="0041048E">
            <w:pPr>
              <w:widowControl/>
              <w:wordWrap/>
              <w:autoSpaceDE/>
              <w:autoSpaceDN/>
              <w:spacing w:after="0" w:line="240" w:lineRule="auto"/>
              <w:jc w:val="right"/>
              <w:rPr>
                <w:rFonts w:ascii="Arial" w:eastAsia="Malgun Gothic" w:hAnsi="Arial" w:cs="Arial"/>
                <w:i/>
                <w:iCs/>
                <w:kern w:val="0"/>
                <w:szCs w:val="20"/>
              </w:rPr>
            </w:pPr>
            <w:r w:rsidRPr="00A20244">
              <w:rPr>
                <w:rFonts w:ascii="Arial" w:eastAsia="Malgun Gothic" w:hAnsi="Arial" w:cs="Arial"/>
                <w:i/>
                <w:iCs/>
                <w:kern w:val="0"/>
                <w:szCs w:val="20"/>
              </w:rPr>
              <w:t>3.92</w:t>
            </w:r>
          </w:p>
        </w:tc>
        <w:tc>
          <w:tcPr>
            <w:tcW w:w="924" w:type="dxa"/>
            <w:tcBorders>
              <w:top w:val="nil"/>
              <w:left w:val="nil"/>
              <w:bottom w:val="nil"/>
              <w:right w:val="single" w:sz="8" w:space="0" w:color="auto"/>
            </w:tcBorders>
            <w:shd w:val="clear" w:color="auto" w:fill="auto"/>
            <w:vAlign w:val="center"/>
            <w:hideMark/>
          </w:tcPr>
          <w:p w14:paraId="279814D1" w14:textId="33CD669C" w:rsidR="0041048E" w:rsidRPr="00A20244" w:rsidRDefault="0041048E" w:rsidP="0041048E">
            <w:pPr>
              <w:widowControl/>
              <w:wordWrap/>
              <w:autoSpaceDE/>
              <w:autoSpaceDN/>
              <w:spacing w:after="0" w:line="240" w:lineRule="auto"/>
              <w:jc w:val="left"/>
              <w:rPr>
                <w:rFonts w:ascii="Arial" w:eastAsia="Malgun Gothic" w:hAnsi="Arial" w:cs="Arial"/>
                <w:i/>
                <w:iCs/>
                <w:kern w:val="0"/>
                <w:szCs w:val="20"/>
              </w:rPr>
            </w:pPr>
            <w:r w:rsidRPr="00A20244">
              <w:rPr>
                <w:rFonts w:ascii="Arial" w:eastAsia="Malgun Gothic" w:hAnsi="Arial" w:cs="Arial"/>
                <w:i/>
                <w:iCs/>
                <w:kern w:val="0"/>
                <w:szCs w:val="20"/>
              </w:rPr>
              <w:t>(2.34)</w:t>
            </w:r>
          </w:p>
        </w:tc>
        <w:tc>
          <w:tcPr>
            <w:tcW w:w="703" w:type="dxa"/>
            <w:tcBorders>
              <w:left w:val="nil"/>
            </w:tcBorders>
            <w:vAlign w:val="center"/>
          </w:tcPr>
          <w:p w14:paraId="08302330" w14:textId="74C49882" w:rsidR="0041048E" w:rsidRPr="00A20244" w:rsidRDefault="0041048E" w:rsidP="00F42EE6">
            <w:pPr>
              <w:widowControl/>
              <w:wordWrap/>
              <w:autoSpaceDE/>
              <w:autoSpaceDN/>
              <w:spacing w:after="0" w:line="240" w:lineRule="auto"/>
              <w:jc w:val="right"/>
              <w:rPr>
                <w:rFonts w:ascii="Arial" w:eastAsia="Malgun Gothic" w:hAnsi="Arial" w:cs="Arial"/>
                <w:i/>
                <w:iCs/>
                <w:kern w:val="0"/>
                <w:szCs w:val="20"/>
              </w:rPr>
            </w:pPr>
            <w:r w:rsidRPr="000051C8">
              <w:rPr>
                <w:rFonts w:ascii="Arial" w:eastAsia="Malgun Gothic" w:hAnsi="Arial" w:cs="Arial"/>
                <w:szCs w:val="20"/>
              </w:rPr>
              <w:t>4.96</w:t>
            </w:r>
          </w:p>
        </w:tc>
        <w:tc>
          <w:tcPr>
            <w:tcW w:w="988" w:type="dxa"/>
            <w:tcBorders>
              <w:left w:val="nil"/>
              <w:right w:val="single" w:sz="8" w:space="0" w:color="auto"/>
            </w:tcBorders>
            <w:vAlign w:val="center"/>
          </w:tcPr>
          <w:p w14:paraId="754002D4" w14:textId="351BB621" w:rsidR="0041048E" w:rsidRPr="00A20244" w:rsidRDefault="0041048E" w:rsidP="0041048E">
            <w:pPr>
              <w:widowControl/>
              <w:wordWrap/>
              <w:autoSpaceDE/>
              <w:autoSpaceDN/>
              <w:spacing w:after="0" w:line="240" w:lineRule="auto"/>
              <w:jc w:val="left"/>
              <w:rPr>
                <w:rFonts w:ascii="Arial" w:eastAsia="Malgun Gothic" w:hAnsi="Arial" w:cs="Arial"/>
                <w:i/>
                <w:iCs/>
                <w:kern w:val="0"/>
                <w:szCs w:val="20"/>
              </w:rPr>
            </w:pPr>
            <w:r w:rsidRPr="000051C8">
              <w:rPr>
                <w:rFonts w:ascii="Arial" w:eastAsia="Malgun Gothic" w:hAnsi="Arial" w:cs="Arial"/>
                <w:szCs w:val="20"/>
              </w:rPr>
              <w:t>(2.63)</w:t>
            </w:r>
          </w:p>
        </w:tc>
      </w:tr>
      <w:tr w:rsidR="0041048E" w:rsidRPr="00386091" w14:paraId="39F87DB9" w14:textId="33B97E8B" w:rsidTr="00373B25">
        <w:trPr>
          <w:trHeight w:val="350"/>
        </w:trPr>
        <w:tc>
          <w:tcPr>
            <w:tcW w:w="2542" w:type="dxa"/>
            <w:tcBorders>
              <w:top w:val="nil"/>
              <w:left w:val="single" w:sz="8" w:space="0" w:color="auto"/>
              <w:bottom w:val="nil"/>
              <w:right w:val="single" w:sz="8" w:space="0" w:color="auto"/>
            </w:tcBorders>
            <w:shd w:val="clear" w:color="auto" w:fill="auto"/>
            <w:vAlign w:val="center"/>
            <w:hideMark/>
          </w:tcPr>
          <w:p w14:paraId="4E56CB52" w14:textId="77777777" w:rsidR="0041048E" w:rsidRPr="00A20244" w:rsidRDefault="0041048E" w:rsidP="0041048E">
            <w:pPr>
              <w:widowControl/>
              <w:wordWrap/>
              <w:autoSpaceDE/>
              <w:autoSpaceDN/>
              <w:spacing w:after="0" w:line="240" w:lineRule="auto"/>
              <w:ind w:firstLineChars="100" w:firstLine="200"/>
              <w:jc w:val="left"/>
              <w:rPr>
                <w:rFonts w:ascii="Arial" w:eastAsia="Malgun Gothic" w:hAnsi="Arial" w:cs="Arial"/>
                <w:color w:val="000000"/>
                <w:kern w:val="0"/>
                <w:szCs w:val="20"/>
              </w:rPr>
            </w:pPr>
            <w:r w:rsidRPr="00A20244">
              <w:rPr>
                <w:rFonts w:ascii="Arial" w:eastAsia="Malgun Gothic" w:hAnsi="Arial" w:cs="Arial"/>
                <w:color w:val="000000"/>
                <w:kern w:val="0"/>
                <w:szCs w:val="20"/>
              </w:rPr>
              <w:t>Patient’s Wage (per day)</w:t>
            </w:r>
          </w:p>
        </w:tc>
        <w:tc>
          <w:tcPr>
            <w:tcW w:w="831" w:type="dxa"/>
            <w:tcBorders>
              <w:top w:val="nil"/>
              <w:left w:val="nil"/>
              <w:bottom w:val="single" w:sz="8" w:space="0" w:color="000000"/>
              <w:right w:val="nil"/>
            </w:tcBorders>
            <w:shd w:val="clear" w:color="auto" w:fill="auto"/>
            <w:vAlign w:val="center"/>
            <w:hideMark/>
          </w:tcPr>
          <w:p w14:paraId="72C2D91C" w14:textId="77777777" w:rsidR="0041048E" w:rsidRPr="00A20244" w:rsidRDefault="0041048E" w:rsidP="0041048E">
            <w:pPr>
              <w:widowControl/>
              <w:wordWrap/>
              <w:autoSpaceDE/>
              <w:autoSpaceDN/>
              <w:spacing w:after="0" w:line="240" w:lineRule="auto"/>
              <w:jc w:val="right"/>
              <w:rPr>
                <w:rFonts w:ascii="Arial" w:eastAsia="Malgun Gothic" w:hAnsi="Arial" w:cs="Arial"/>
                <w:i/>
                <w:iCs/>
                <w:color w:val="000000"/>
                <w:kern w:val="0"/>
                <w:szCs w:val="20"/>
              </w:rPr>
            </w:pPr>
            <w:r w:rsidRPr="00A20244">
              <w:rPr>
                <w:rFonts w:ascii="Arial" w:eastAsia="Malgun Gothic" w:hAnsi="Arial" w:cs="Arial"/>
                <w:i/>
                <w:iCs/>
                <w:color w:val="000000"/>
                <w:kern w:val="0"/>
                <w:szCs w:val="20"/>
              </w:rPr>
              <w:t xml:space="preserve">$2.84 </w:t>
            </w:r>
          </w:p>
        </w:tc>
        <w:tc>
          <w:tcPr>
            <w:tcW w:w="843" w:type="dxa"/>
            <w:tcBorders>
              <w:top w:val="nil"/>
              <w:left w:val="nil"/>
              <w:bottom w:val="single" w:sz="8" w:space="0" w:color="000000"/>
              <w:right w:val="single" w:sz="8" w:space="0" w:color="auto"/>
            </w:tcBorders>
            <w:shd w:val="clear" w:color="auto" w:fill="auto"/>
            <w:vAlign w:val="center"/>
            <w:hideMark/>
          </w:tcPr>
          <w:p w14:paraId="380FFC96" w14:textId="77777777" w:rsidR="0041048E" w:rsidRPr="00A20244" w:rsidRDefault="0041048E" w:rsidP="0041048E">
            <w:pPr>
              <w:widowControl/>
              <w:wordWrap/>
              <w:autoSpaceDE/>
              <w:autoSpaceDN/>
              <w:spacing w:after="0" w:line="240" w:lineRule="auto"/>
              <w:jc w:val="left"/>
              <w:rPr>
                <w:rFonts w:ascii="Arial" w:eastAsia="Malgun Gothic" w:hAnsi="Arial" w:cs="Arial"/>
                <w:i/>
                <w:iCs/>
                <w:kern w:val="0"/>
                <w:szCs w:val="20"/>
              </w:rPr>
            </w:pPr>
            <w:r w:rsidRPr="00A20244">
              <w:rPr>
                <w:rFonts w:ascii="Arial" w:eastAsia="Malgun Gothic" w:hAnsi="Arial" w:cs="Arial"/>
                <w:i/>
                <w:iCs/>
                <w:kern w:val="0"/>
                <w:szCs w:val="20"/>
              </w:rPr>
              <w:t>($5.65)</w:t>
            </w:r>
          </w:p>
        </w:tc>
        <w:tc>
          <w:tcPr>
            <w:tcW w:w="846" w:type="dxa"/>
            <w:tcBorders>
              <w:top w:val="nil"/>
              <w:left w:val="nil"/>
              <w:bottom w:val="single" w:sz="8" w:space="0" w:color="000000"/>
              <w:right w:val="nil"/>
            </w:tcBorders>
            <w:shd w:val="clear" w:color="auto" w:fill="auto"/>
            <w:vAlign w:val="center"/>
            <w:hideMark/>
          </w:tcPr>
          <w:p w14:paraId="5859D23E" w14:textId="77777777" w:rsidR="0041048E" w:rsidRPr="00A20244" w:rsidRDefault="0041048E" w:rsidP="0041048E">
            <w:pPr>
              <w:widowControl/>
              <w:wordWrap/>
              <w:autoSpaceDE/>
              <w:autoSpaceDN/>
              <w:spacing w:after="0" w:line="240" w:lineRule="auto"/>
              <w:jc w:val="right"/>
              <w:rPr>
                <w:rFonts w:ascii="Arial" w:eastAsia="Malgun Gothic" w:hAnsi="Arial" w:cs="Arial"/>
                <w:i/>
                <w:iCs/>
                <w:kern w:val="0"/>
                <w:szCs w:val="20"/>
              </w:rPr>
            </w:pPr>
            <w:r w:rsidRPr="00A20244">
              <w:rPr>
                <w:rFonts w:ascii="Arial" w:eastAsia="Malgun Gothic" w:hAnsi="Arial" w:cs="Arial"/>
                <w:i/>
                <w:iCs/>
                <w:kern w:val="0"/>
                <w:szCs w:val="20"/>
              </w:rPr>
              <w:t xml:space="preserve">$3.84 </w:t>
            </w:r>
          </w:p>
        </w:tc>
        <w:tc>
          <w:tcPr>
            <w:tcW w:w="980" w:type="dxa"/>
            <w:tcBorders>
              <w:top w:val="nil"/>
              <w:left w:val="nil"/>
              <w:bottom w:val="single" w:sz="8" w:space="0" w:color="000000"/>
              <w:right w:val="single" w:sz="8" w:space="0" w:color="auto"/>
            </w:tcBorders>
            <w:shd w:val="clear" w:color="auto" w:fill="auto"/>
            <w:vAlign w:val="center"/>
            <w:hideMark/>
          </w:tcPr>
          <w:p w14:paraId="08E386DE" w14:textId="77777777" w:rsidR="0041048E" w:rsidRPr="00A20244" w:rsidRDefault="0041048E" w:rsidP="0041048E">
            <w:pPr>
              <w:widowControl/>
              <w:wordWrap/>
              <w:autoSpaceDE/>
              <w:autoSpaceDN/>
              <w:spacing w:after="0" w:line="240" w:lineRule="auto"/>
              <w:jc w:val="left"/>
              <w:rPr>
                <w:rFonts w:ascii="Arial" w:eastAsia="Malgun Gothic" w:hAnsi="Arial" w:cs="Arial"/>
                <w:i/>
                <w:iCs/>
                <w:kern w:val="0"/>
                <w:szCs w:val="20"/>
              </w:rPr>
            </w:pPr>
            <w:r w:rsidRPr="00A20244">
              <w:rPr>
                <w:rFonts w:ascii="Arial" w:eastAsia="Malgun Gothic" w:hAnsi="Arial" w:cs="Arial"/>
                <w:i/>
                <w:iCs/>
                <w:kern w:val="0"/>
                <w:szCs w:val="20"/>
              </w:rPr>
              <w:t>($6.21)</w:t>
            </w:r>
          </w:p>
        </w:tc>
        <w:tc>
          <w:tcPr>
            <w:tcW w:w="685" w:type="dxa"/>
            <w:tcBorders>
              <w:top w:val="nil"/>
              <w:left w:val="nil"/>
              <w:bottom w:val="single" w:sz="8" w:space="0" w:color="auto"/>
              <w:right w:val="nil"/>
            </w:tcBorders>
            <w:shd w:val="clear" w:color="auto" w:fill="auto"/>
            <w:vAlign w:val="center"/>
            <w:hideMark/>
          </w:tcPr>
          <w:p w14:paraId="1BB9AD2C" w14:textId="77777777" w:rsidR="0041048E" w:rsidRPr="00A20244" w:rsidRDefault="0041048E" w:rsidP="0041048E">
            <w:pPr>
              <w:widowControl/>
              <w:wordWrap/>
              <w:autoSpaceDE/>
              <w:autoSpaceDN/>
              <w:spacing w:after="0" w:line="240" w:lineRule="auto"/>
              <w:jc w:val="right"/>
              <w:rPr>
                <w:rFonts w:ascii="Arial" w:eastAsia="Malgun Gothic" w:hAnsi="Arial" w:cs="Arial"/>
                <w:i/>
                <w:iCs/>
                <w:kern w:val="0"/>
                <w:szCs w:val="20"/>
              </w:rPr>
            </w:pPr>
            <w:r w:rsidRPr="00A20244">
              <w:rPr>
                <w:rFonts w:ascii="Arial" w:eastAsia="Malgun Gothic" w:hAnsi="Arial" w:cs="Arial"/>
                <w:i/>
                <w:iCs/>
                <w:kern w:val="0"/>
                <w:szCs w:val="20"/>
              </w:rPr>
              <w:t xml:space="preserve">$3.23 </w:t>
            </w:r>
          </w:p>
        </w:tc>
        <w:tc>
          <w:tcPr>
            <w:tcW w:w="924" w:type="dxa"/>
            <w:tcBorders>
              <w:top w:val="nil"/>
              <w:left w:val="nil"/>
              <w:bottom w:val="single" w:sz="8" w:space="0" w:color="auto"/>
              <w:right w:val="single" w:sz="8" w:space="0" w:color="auto"/>
            </w:tcBorders>
            <w:shd w:val="clear" w:color="auto" w:fill="auto"/>
            <w:vAlign w:val="center"/>
            <w:hideMark/>
          </w:tcPr>
          <w:p w14:paraId="3D351F24" w14:textId="77777777" w:rsidR="0041048E" w:rsidRPr="00A20244" w:rsidRDefault="0041048E" w:rsidP="0041048E">
            <w:pPr>
              <w:widowControl/>
              <w:wordWrap/>
              <w:autoSpaceDE/>
              <w:autoSpaceDN/>
              <w:spacing w:after="0" w:line="240" w:lineRule="auto"/>
              <w:jc w:val="left"/>
              <w:rPr>
                <w:rFonts w:ascii="Arial" w:eastAsia="Malgun Gothic" w:hAnsi="Arial" w:cs="Arial"/>
                <w:i/>
                <w:iCs/>
                <w:kern w:val="0"/>
                <w:szCs w:val="20"/>
              </w:rPr>
            </w:pPr>
            <w:r w:rsidRPr="00A20244">
              <w:rPr>
                <w:rFonts w:ascii="Arial" w:eastAsia="Malgun Gothic" w:hAnsi="Arial" w:cs="Arial"/>
                <w:i/>
                <w:iCs/>
                <w:kern w:val="0"/>
                <w:szCs w:val="20"/>
              </w:rPr>
              <w:t>($8.97)</w:t>
            </w:r>
          </w:p>
        </w:tc>
        <w:tc>
          <w:tcPr>
            <w:tcW w:w="703" w:type="dxa"/>
            <w:tcBorders>
              <w:left w:val="nil"/>
              <w:bottom w:val="single" w:sz="8" w:space="0" w:color="auto"/>
            </w:tcBorders>
            <w:vAlign w:val="center"/>
          </w:tcPr>
          <w:p w14:paraId="507D51E0" w14:textId="0326D00E" w:rsidR="0041048E" w:rsidRPr="00A20244" w:rsidRDefault="0041048E" w:rsidP="00F42EE6">
            <w:pPr>
              <w:widowControl/>
              <w:wordWrap/>
              <w:autoSpaceDE/>
              <w:autoSpaceDN/>
              <w:spacing w:after="0" w:line="240" w:lineRule="auto"/>
              <w:jc w:val="right"/>
              <w:rPr>
                <w:rFonts w:ascii="Arial" w:eastAsia="Malgun Gothic" w:hAnsi="Arial" w:cs="Arial"/>
                <w:i/>
                <w:iCs/>
                <w:kern w:val="0"/>
                <w:szCs w:val="20"/>
              </w:rPr>
            </w:pPr>
            <w:r w:rsidRPr="000051C8">
              <w:rPr>
                <w:rFonts w:ascii="Arial" w:eastAsia="Malgun Gothic" w:hAnsi="Arial" w:cs="Arial"/>
                <w:szCs w:val="20"/>
              </w:rPr>
              <w:t>$2.99</w:t>
            </w:r>
          </w:p>
        </w:tc>
        <w:tc>
          <w:tcPr>
            <w:tcW w:w="988" w:type="dxa"/>
            <w:tcBorders>
              <w:left w:val="nil"/>
              <w:bottom w:val="single" w:sz="8" w:space="0" w:color="auto"/>
              <w:right w:val="single" w:sz="8" w:space="0" w:color="auto"/>
            </w:tcBorders>
            <w:vAlign w:val="center"/>
          </w:tcPr>
          <w:p w14:paraId="6E387A54" w14:textId="0308682E" w:rsidR="0041048E" w:rsidRPr="00A20244" w:rsidRDefault="0041048E" w:rsidP="0041048E">
            <w:pPr>
              <w:widowControl/>
              <w:wordWrap/>
              <w:autoSpaceDE/>
              <w:autoSpaceDN/>
              <w:spacing w:after="0" w:line="240" w:lineRule="auto"/>
              <w:jc w:val="left"/>
              <w:rPr>
                <w:rFonts w:ascii="Arial" w:eastAsia="Malgun Gothic" w:hAnsi="Arial" w:cs="Arial"/>
                <w:i/>
                <w:iCs/>
                <w:kern w:val="0"/>
                <w:szCs w:val="20"/>
              </w:rPr>
            </w:pPr>
            <w:r w:rsidRPr="000051C8">
              <w:rPr>
                <w:rFonts w:ascii="Arial" w:eastAsia="Malgun Gothic" w:hAnsi="Arial" w:cs="Arial"/>
                <w:szCs w:val="20"/>
              </w:rPr>
              <w:t>(</w:t>
            </w:r>
            <w:r w:rsidRPr="000051C8">
              <w:rPr>
                <w:rFonts w:ascii="Arial" w:hAnsi="Arial" w:cs="Arial"/>
                <w:szCs w:val="20"/>
              </w:rPr>
              <w:t>$</w:t>
            </w:r>
            <w:r w:rsidRPr="000051C8">
              <w:rPr>
                <w:rFonts w:ascii="Arial" w:eastAsia="Malgun Gothic" w:hAnsi="Arial" w:cs="Arial"/>
                <w:szCs w:val="20"/>
              </w:rPr>
              <w:t>1.76)</w:t>
            </w:r>
          </w:p>
        </w:tc>
      </w:tr>
      <w:tr w:rsidR="0041048E" w:rsidRPr="00386091" w14:paraId="5F9FCCBD" w14:textId="07B9CE92" w:rsidTr="00373B25">
        <w:trPr>
          <w:trHeight w:val="350"/>
        </w:trPr>
        <w:tc>
          <w:tcPr>
            <w:tcW w:w="25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FBED4A" w14:textId="77777777" w:rsidR="0041048E" w:rsidRPr="00A20244" w:rsidRDefault="0041048E" w:rsidP="00386091">
            <w:pPr>
              <w:widowControl/>
              <w:wordWrap/>
              <w:autoSpaceDE/>
              <w:autoSpaceDN/>
              <w:spacing w:after="0" w:line="240" w:lineRule="auto"/>
              <w:jc w:val="left"/>
              <w:rPr>
                <w:rFonts w:ascii="Arial" w:eastAsia="Malgun Gothic" w:hAnsi="Arial" w:cs="Arial"/>
                <w:color w:val="000000"/>
                <w:kern w:val="0"/>
                <w:szCs w:val="20"/>
              </w:rPr>
            </w:pPr>
            <w:r w:rsidRPr="00A20244">
              <w:rPr>
                <w:rFonts w:ascii="Arial" w:eastAsia="Malgun Gothic" w:hAnsi="Arial" w:cs="Arial"/>
                <w:color w:val="000000"/>
                <w:kern w:val="0"/>
                <w:szCs w:val="20"/>
              </w:rPr>
              <w:t>Guardian opportunity cost</w:t>
            </w:r>
          </w:p>
        </w:tc>
        <w:tc>
          <w:tcPr>
            <w:tcW w:w="831" w:type="dxa"/>
            <w:tcBorders>
              <w:top w:val="single" w:sz="8" w:space="0" w:color="000000"/>
              <w:left w:val="nil"/>
              <w:bottom w:val="single" w:sz="4" w:space="0" w:color="auto"/>
              <w:right w:val="nil"/>
            </w:tcBorders>
            <w:shd w:val="clear" w:color="auto" w:fill="auto"/>
            <w:vAlign w:val="center"/>
            <w:hideMark/>
          </w:tcPr>
          <w:p w14:paraId="37CAE382" w14:textId="77777777" w:rsidR="0041048E" w:rsidRPr="00A20244" w:rsidRDefault="0041048E" w:rsidP="003C7EB9">
            <w:pPr>
              <w:widowControl/>
              <w:wordWrap/>
              <w:autoSpaceDE/>
              <w:autoSpaceDN/>
              <w:spacing w:after="0" w:line="240" w:lineRule="auto"/>
              <w:jc w:val="right"/>
              <w:rPr>
                <w:rFonts w:ascii="Arial" w:eastAsia="Malgun Gothic" w:hAnsi="Arial" w:cs="Arial"/>
                <w:color w:val="000000"/>
                <w:kern w:val="0"/>
                <w:szCs w:val="20"/>
              </w:rPr>
            </w:pPr>
            <w:r w:rsidRPr="00A20244">
              <w:rPr>
                <w:rFonts w:ascii="Arial" w:eastAsia="Malgun Gothic" w:hAnsi="Arial" w:cs="Arial"/>
                <w:color w:val="000000"/>
                <w:kern w:val="0"/>
                <w:szCs w:val="20"/>
              </w:rPr>
              <w:t xml:space="preserve">$8.65 </w:t>
            </w:r>
          </w:p>
        </w:tc>
        <w:tc>
          <w:tcPr>
            <w:tcW w:w="843" w:type="dxa"/>
            <w:tcBorders>
              <w:top w:val="single" w:sz="8" w:space="0" w:color="000000"/>
              <w:left w:val="nil"/>
              <w:bottom w:val="single" w:sz="4" w:space="0" w:color="auto"/>
              <w:right w:val="single" w:sz="8" w:space="0" w:color="auto"/>
            </w:tcBorders>
            <w:shd w:val="clear" w:color="auto" w:fill="auto"/>
            <w:vAlign w:val="center"/>
            <w:hideMark/>
          </w:tcPr>
          <w:p w14:paraId="7D86D1D5" w14:textId="77777777" w:rsidR="0041048E" w:rsidRPr="00A20244" w:rsidRDefault="0041048E" w:rsidP="003C7EB9">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($12.69)</w:t>
            </w:r>
          </w:p>
        </w:tc>
        <w:tc>
          <w:tcPr>
            <w:tcW w:w="846" w:type="dxa"/>
            <w:tcBorders>
              <w:top w:val="single" w:sz="8" w:space="0" w:color="000000"/>
              <w:left w:val="nil"/>
              <w:bottom w:val="single" w:sz="4" w:space="0" w:color="auto"/>
              <w:right w:val="nil"/>
            </w:tcBorders>
            <w:shd w:val="clear" w:color="auto" w:fill="auto"/>
            <w:vAlign w:val="center"/>
            <w:hideMark/>
          </w:tcPr>
          <w:p w14:paraId="382CCFE4" w14:textId="77777777" w:rsidR="0041048E" w:rsidRPr="00A20244" w:rsidRDefault="0041048E" w:rsidP="003C7EB9">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$12.73 </w:t>
            </w:r>
          </w:p>
        </w:tc>
        <w:tc>
          <w:tcPr>
            <w:tcW w:w="980" w:type="dxa"/>
            <w:tcBorders>
              <w:top w:val="single" w:sz="8" w:space="0" w:color="000000"/>
              <w:left w:val="nil"/>
              <w:bottom w:val="single" w:sz="4" w:space="0" w:color="auto"/>
              <w:right w:val="single" w:sz="8" w:space="0" w:color="auto"/>
            </w:tcBorders>
            <w:shd w:val="clear" w:color="auto" w:fill="auto"/>
            <w:vAlign w:val="center"/>
            <w:hideMark/>
          </w:tcPr>
          <w:p w14:paraId="2A302CE1" w14:textId="77777777" w:rsidR="0041048E" w:rsidRPr="00A20244" w:rsidRDefault="0041048E" w:rsidP="003C7EB9">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($26.55)</w:t>
            </w:r>
          </w:p>
        </w:tc>
        <w:tc>
          <w:tcPr>
            <w:tcW w:w="685" w:type="dxa"/>
            <w:tcBorders>
              <w:top w:val="nil"/>
              <w:left w:val="nil"/>
              <w:bottom w:val="single" w:sz="8" w:space="0" w:color="auto"/>
              <w:right w:val="nil"/>
            </w:tcBorders>
            <w:shd w:val="clear" w:color="auto" w:fill="auto"/>
            <w:vAlign w:val="center"/>
            <w:hideMark/>
          </w:tcPr>
          <w:p w14:paraId="15367F6B" w14:textId="77777777" w:rsidR="0041048E" w:rsidRPr="00A20244" w:rsidRDefault="0041048E" w:rsidP="00386091">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w:t>
            </w:r>
          </w:p>
        </w:tc>
        <w:tc>
          <w:tcPr>
            <w:tcW w:w="924" w:type="dxa"/>
            <w:tcBorders>
              <w:top w:val="nil"/>
              <w:left w:val="nil"/>
              <w:bottom w:val="single" w:sz="8" w:space="0" w:color="auto"/>
              <w:right w:val="single" w:sz="8" w:space="0" w:color="auto"/>
            </w:tcBorders>
            <w:shd w:val="clear" w:color="auto" w:fill="auto"/>
            <w:vAlign w:val="center"/>
            <w:hideMark/>
          </w:tcPr>
          <w:p w14:paraId="66C2F0E1" w14:textId="77777777" w:rsidR="0041048E" w:rsidRPr="00A20244" w:rsidRDefault="0041048E" w:rsidP="00386091">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 xml:space="preserve">　</w:t>
            </w:r>
          </w:p>
        </w:tc>
        <w:tc>
          <w:tcPr>
            <w:tcW w:w="703" w:type="dxa"/>
            <w:tcBorders>
              <w:top w:val="single" w:sz="8" w:space="0" w:color="auto"/>
              <w:left w:val="nil"/>
              <w:bottom w:val="single" w:sz="8" w:space="0" w:color="auto"/>
            </w:tcBorders>
            <w:vAlign w:val="center"/>
          </w:tcPr>
          <w:p w14:paraId="335197D5" w14:textId="77777777" w:rsidR="0041048E" w:rsidRPr="00A20244" w:rsidRDefault="0041048E" w:rsidP="00F42EE6">
            <w:pPr>
              <w:widowControl/>
              <w:wordWrap/>
              <w:autoSpaceDE/>
              <w:autoSpaceDN/>
              <w:spacing w:after="0" w:line="240" w:lineRule="auto"/>
              <w:jc w:val="right"/>
              <w:rPr>
                <w:rFonts w:ascii="Arial" w:eastAsia="Malgun Gothic" w:hAnsi="Arial" w:cs="Arial"/>
                <w:kern w:val="0"/>
                <w:szCs w:val="20"/>
              </w:rPr>
            </w:pPr>
          </w:p>
        </w:tc>
        <w:tc>
          <w:tcPr>
            <w:tcW w:w="988" w:type="dxa"/>
            <w:tcBorders>
              <w:top w:val="single" w:sz="8" w:space="0" w:color="auto"/>
              <w:left w:val="nil"/>
              <w:bottom w:val="single" w:sz="8" w:space="0" w:color="auto"/>
              <w:right w:val="single" w:sz="8" w:space="0" w:color="auto"/>
            </w:tcBorders>
          </w:tcPr>
          <w:p w14:paraId="7E3679CC" w14:textId="465483D0" w:rsidR="0041048E" w:rsidRPr="00A20244" w:rsidRDefault="0041048E" w:rsidP="00386091">
            <w:pPr>
              <w:widowControl/>
              <w:wordWrap/>
              <w:autoSpaceDE/>
              <w:autoSpaceDN/>
              <w:spacing w:after="0" w:line="240" w:lineRule="auto"/>
              <w:jc w:val="left"/>
              <w:rPr>
                <w:rFonts w:ascii="Arial" w:eastAsia="Malgun Gothic" w:hAnsi="Arial" w:cs="Arial"/>
                <w:kern w:val="0"/>
                <w:szCs w:val="20"/>
              </w:rPr>
            </w:pPr>
          </w:p>
        </w:tc>
      </w:tr>
      <w:tr w:rsidR="00373B25" w:rsidRPr="00386091" w14:paraId="435E2DFE" w14:textId="0AEB813F" w:rsidTr="00373B25">
        <w:trPr>
          <w:trHeight w:val="350"/>
        </w:trPr>
        <w:tc>
          <w:tcPr>
            <w:tcW w:w="2542" w:type="dxa"/>
            <w:tcBorders>
              <w:top w:val="nil"/>
              <w:left w:val="single" w:sz="8" w:space="0" w:color="auto"/>
              <w:bottom w:val="single" w:sz="8" w:space="0" w:color="auto"/>
              <w:right w:val="single" w:sz="8" w:space="0" w:color="auto"/>
            </w:tcBorders>
            <w:shd w:val="clear" w:color="000000" w:fill="D9D9D9"/>
            <w:vAlign w:val="center"/>
            <w:hideMark/>
          </w:tcPr>
          <w:p w14:paraId="107E692C" w14:textId="76198E99" w:rsidR="0041048E" w:rsidRPr="00A20244" w:rsidRDefault="0041048E" w:rsidP="0041048E">
            <w:pPr>
              <w:widowControl/>
              <w:wordWrap/>
              <w:autoSpaceDE/>
              <w:autoSpaceDN/>
              <w:spacing w:after="0" w:line="240" w:lineRule="auto"/>
              <w:jc w:val="left"/>
              <w:rPr>
                <w:rFonts w:ascii="Arial" w:eastAsia="Malgun Gothic" w:hAnsi="Arial" w:cs="Arial"/>
                <w:color w:val="000000"/>
                <w:kern w:val="0"/>
                <w:szCs w:val="20"/>
              </w:rPr>
            </w:pPr>
            <w:r w:rsidRPr="00A20244">
              <w:rPr>
                <w:rFonts w:ascii="Arial" w:eastAsia="Malgun Gothic" w:hAnsi="Arial" w:cs="Arial"/>
                <w:color w:val="000000"/>
                <w:kern w:val="0"/>
                <w:szCs w:val="20"/>
              </w:rPr>
              <w:t>Total Opportunity cost</w:t>
            </w:r>
          </w:p>
        </w:tc>
        <w:tc>
          <w:tcPr>
            <w:tcW w:w="831" w:type="dxa"/>
            <w:tcBorders>
              <w:top w:val="single" w:sz="4" w:space="0" w:color="auto"/>
              <w:left w:val="nil"/>
              <w:bottom w:val="single" w:sz="8" w:space="0" w:color="auto"/>
              <w:right w:val="nil"/>
            </w:tcBorders>
            <w:shd w:val="clear" w:color="000000" w:fill="D9D9D9"/>
            <w:vAlign w:val="center"/>
            <w:hideMark/>
          </w:tcPr>
          <w:p w14:paraId="5C956FC9" w14:textId="77777777" w:rsidR="0041048E" w:rsidRPr="00A20244" w:rsidRDefault="0041048E" w:rsidP="0041048E">
            <w:pPr>
              <w:widowControl/>
              <w:wordWrap/>
              <w:autoSpaceDE/>
              <w:autoSpaceDN/>
              <w:spacing w:after="0" w:line="240" w:lineRule="auto"/>
              <w:jc w:val="right"/>
              <w:rPr>
                <w:rFonts w:ascii="Arial" w:eastAsia="Malgun Gothic" w:hAnsi="Arial" w:cs="Arial"/>
                <w:color w:val="000000"/>
                <w:kern w:val="0"/>
                <w:szCs w:val="20"/>
              </w:rPr>
            </w:pPr>
            <w:r w:rsidRPr="00A20244">
              <w:rPr>
                <w:rFonts w:ascii="Arial" w:eastAsia="Malgun Gothic" w:hAnsi="Arial" w:cs="Arial"/>
                <w:color w:val="000000"/>
                <w:kern w:val="0"/>
                <w:szCs w:val="20"/>
              </w:rPr>
              <w:t xml:space="preserve">$26.65 </w:t>
            </w:r>
          </w:p>
        </w:tc>
        <w:tc>
          <w:tcPr>
            <w:tcW w:w="843" w:type="dxa"/>
            <w:tcBorders>
              <w:top w:val="single" w:sz="4" w:space="0" w:color="auto"/>
              <w:left w:val="nil"/>
              <w:bottom w:val="single" w:sz="8" w:space="0" w:color="auto"/>
              <w:right w:val="single" w:sz="8" w:space="0" w:color="auto"/>
            </w:tcBorders>
            <w:shd w:val="clear" w:color="000000" w:fill="D9D9D9"/>
            <w:vAlign w:val="center"/>
            <w:hideMark/>
          </w:tcPr>
          <w:p w14:paraId="6BEE51B3"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($39.75)</w:t>
            </w:r>
          </w:p>
        </w:tc>
        <w:tc>
          <w:tcPr>
            <w:tcW w:w="846" w:type="dxa"/>
            <w:tcBorders>
              <w:top w:val="single" w:sz="4" w:space="0" w:color="auto"/>
              <w:left w:val="nil"/>
              <w:bottom w:val="single" w:sz="8" w:space="0" w:color="auto"/>
              <w:right w:val="nil"/>
            </w:tcBorders>
            <w:shd w:val="clear" w:color="000000" w:fill="D9D9D9"/>
            <w:vAlign w:val="center"/>
            <w:hideMark/>
          </w:tcPr>
          <w:p w14:paraId="30C13E82"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$83.32 </w:t>
            </w:r>
          </w:p>
        </w:tc>
        <w:tc>
          <w:tcPr>
            <w:tcW w:w="980" w:type="dxa"/>
            <w:tcBorders>
              <w:top w:val="single" w:sz="4" w:space="0" w:color="auto"/>
              <w:left w:val="nil"/>
              <w:bottom w:val="single" w:sz="8" w:space="0" w:color="auto"/>
              <w:right w:val="single" w:sz="8" w:space="0" w:color="auto"/>
            </w:tcBorders>
            <w:shd w:val="clear" w:color="000000" w:fill="D9D9D9"/>
            <w:vAlign w:val="center"/>
            <w:hideMark/>
          </w:tcPr>
          <w:p w14:paraId="0087CC16"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($132.40)</w:t>
            </w:r>
          </w:p>
        </w:tc>
        <w:tc>
          <w:tcPr>
            <w:tcW w:w="685" w:type="dxa"/>
            <w:tcBorders>
              <w:top w:val="nil"/>
              <w:left w:val="nil"/>
              <w:bottom w:val="single" w:sz="8" w:space="0" w:color="auto"/>
              <w:right w:val="nil"/>
            </w:tcBorders>
            <w:shd w:val="clear" w:color="000000" w:fill="D9D9D9"/>
            <w:vAlign w:val="center"/>
            <w:hideMark/>
          </w:tcPr>
          <w:p w14:paraId="74AD06B6"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$1.57 </w:t>
            </w:r>
          </w:p>
        </w:tc>
        <w:tc>
          <w:tcPr>
            <w:tcW w:w="924" w:type="dxa"/>
            <w:tcBorders>
              <w:top w:val="nil"/>
              <w:left w:val="nil"/>
              <w:bottom w:val="single" w:sz="8" w:space="0" w:color="auto"/>
              <w:right w:val="single" w:sz="8" w:space="0" w:color="auto"/>
            </w:tcBorders>
            <w:shd w:val="clear" w:color="000000" w:fill="D9D9D9"/>
            <w:vAlign w:val="center"/>
            <w:hideMark/>
          </w:tcPr>
          <w:p w14:paraId="2CE76017"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($5.89)</w:t>
            </w:r>
          </w:p>
        </w:tc>
        <w:tc>
          <w:tcPr>
            <w:tcW w:w="703" w:type="dxa"/>
            <w:tcBorders>
              <w:top w:val="single" w:sz="8" w:space="0" w:color="auto"/>
              <w:left w:val="nil"/>
              <w:bottom w:val="single" w:sz="8" w:space="0" w:color="auto"/>
            </w:tcBorders>
            <w:shd w:val="clear" w:color="auto" w:fill="D9D9D9" w:themeFill="background1" w:themeFillShade="D9"/>
            <w:vAlign w:val="center"/>
          </w:tcPr>
          <w:p w14:paraId="0007CD1D" w14:textId="03CAF02C" w:rsidR="0041048E" w:rsidRPr="00A20244" w:rsidRDefault="0041048E" w:rsidP="00F42EE6">
            <w:pPr>
              <w:widowControl/>
              <w:wordWrap/>
              <w:autoSpaceDE/>
              <w:autoSpaceDN/>
              <w:spacing w:after="0" w:line="240" w:lineRule="auto"/>
              <w:jc w:val="right"/>
              <w:rPr>
                <w:rFonts w:ascii="Arial" w:eastAsia="Malgun Gothic" w:hAnsi="Arial" w:cs="Arial"/>
                <w:kern w:val="0"/>
                <w:szCs w:val="20"/>
              </w:rPr>
            </w:pPr>
            <w:r w:rsidRPr="00143653">
              <w:rPr>
                <w:rFonts w:ascii="Arial" w:eastAsia="Malgun Gothic" w:hAnsi="Arial" w:cs="Arial"/>
                <w:szCs w:val="20"/>
              </w:rPr>
              <w:t>$1.79</w:t>
            </w:r>
          </w:p>
        </w:tc>
        <w:tc>
          <w:tcPr>
            <w:tcW w:w="988"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7CA045D" w14:textId="1B6C71DF"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143653">
              <w:rPr>
                <w:rFonts w:ascii="Arial" w:eastAsia="Malgun Gothic" w:hAnsi="Arial" w:cs="Arial"/>
                <w:szCs w:val="20"/>
              </w:rPr>
              <w:t>(</w:t>
            </w:r>
            <w:r w:rsidRPr="00143653">
              <w:rPr>
                <w:rFonts w:ascii="Arial" w:hAnsi="Arial" w:cs="Arial"/>
                <w:szCs w:val="20"/>
              </w:rPr>
              <w:t>$</w:t>
            </w:r>
            <w:r w:rsidRPr="00143653">
              <w:rPr>
                <w:rFonts w:ascii="Arial" w:eastAsia="Malgun Gothic" w:hAnsi="Arial" w:cs="Arial"/>
                <w:szCs w:val="20"/>
              </w:rPr>
              <w:t>1.40)</w:t>
            </w:r>
          </w:p>
        </w:tc>
      </w:tr>
      <w:tr w:rsidR="0041048E" w:rsidRPr="00386091" w14:paraId="52331ECC" w14:textId="6C161948" w:rsidTr="00373B25">
        <w:trPr>
          <w:trHeight w:val="350"/>
        </w:trPr>
        <w:tc>
          <w:tcPr>
            <w:tcW w:w="2542" w:type="dxa"/>
            <w:tcBorders>
              <w:top w:val="nil"/>
              <w:left w:val="single" w:sz="8" w:space="0" w:color="auto"/>
              <w:bottom w:val="single" w:sz="8" w:space="0" w:color="auto"/>
              <w:right w:val="single" w:sz="8" w:space="0" w:color="auto"/>
            </w:tcBorders>
            <w:shd w:val="clear" w:color="000000" w:fill="D9D9D9"/>
            <w:vAlign w:val="center"/>
            <w:hideMark/>
          </w:tcPr>
          <w:p w14:paraId="0F1748BC" w14:textId="55247503" w:rsidR="0041048E" w:rsidRPr="00A20244" w:rsidRDefault="0041048E" w:rsidP="0041048E">
            <w:pPr>
              <w:widowControl/>
              <w:wordWrap/>
              <w:autoSpaceDE/>
              <w:autoSpaceDN/>
              <w:spacing w:after="0" w:line="240" w:lineRule="auto"/>
              <w:jc w:val="left"/>
              <w:rPr>
                <w:rFonts w:ascii="Arial" w:eastAsia="Malgun Gothic" w:hAnsi="Arial" w:cs="Arial"/>
                <w:color w:val="000000"/>
                <w:kern w:val="0"/>
                <w:szCs w:val="20"/>
              </w:rPr>
            </w:pPr>
            <w:r w:rsidRPr="00A20244">
              <w:rPr>
                <w:rFonts w:ascii="Arial" w:eastAsia="Malgun Gothic" w:hAnsi="Arial" w:cs="Arial"/>
                <w:color w:val="000000"/>
                <w:kern w:val="0"/>
                <w:szCs w:val="20"/>
              </w:rPr>
              <w:t>Total Cost per episode</w:t>
            </w:r>
          </w:p>
        </w:tc>
        <w:tc>
          <w:tcPr>
            <w:tcW w:w="831" w:type="dxa"/>
            <w:tcBorders>
              <w:top w:val="nil"/>
              <w:left w:val="nil"/>
              <w:bottom w:val="single" w:sz="8" w:space="0" w:color="auto"/>
              <w:right w:val="nil"/>
            </w:tcBorders>
            <w:shd w:val="clear" w:color="000000" w:fill="D9D9D9"/>
            <w:vAlign w:val="center"/>
            <w:hideMark/>
          </w:tcPr>
          <w:p w14:paraId="0B4E1783" w14:textId="77777777" w:rsidR="0041048E" w:rsidRPr="00A20244" w:rsidRDefault="0041048E" w:rsidP="0041048E">
            <w:pPr>
              <w:widowControl/>
              <w:wordWrap/>
              <w:autoSpaceDE/>
              <w:autoSpaceDN/>
              <w:spacing w:after="0" w:line="240" w:lineRule="auto"/>
              <w:jc w:val="right"/>
              <w:rPr>
                <w:rFonts w:ascii="Arial" w:eastAsia="Malgun Gothic" w:hAnsi="Arial" w:cs="Arial"/>
                <w:color w:val="000000"/>
                <w:kern w:val="0"/>
                <w:szCs w:val="20"/>
              </w:rPr>
            </w:pPr>
            <w:r w:rsidRPr="00A20244">
              <w:rPr>
                <w:rFonts w:ascii="Arial" w:eastAsia="Malgun Gothic" w:hAnsi="Arial" w:cs="Arial"/>
                <w:color w:val="000000"/>
                <w:kern w:val="0"/>
                <w:szCs w:val="20"/>
              </w:rPr>
              <w:t xml:space="preserve">$55.31 </w:t>
            </w:r>
          </w:p>
        </w:tc>
        <w:tc>
          <w:tcPr>
            <w:tcW w:w="843" w:type="dxa"/>
            <w:tcBorders>
              <w:top w:val="nil"/>
              <w:left w:val="nil"/>
              <w:bottom w:val="single" w:sz="8" w:space="0" w:color="auto"/>
              <w:right w:val="single" w:sz="8" w:space="0" w:color="auto"/>
            </w:tcBorders>
            <w:shd w:val="clear" w:color="000000" w:fill="D9D9D9"/>
            <w:vAlign w:val="center"/>
            <w:hideMark/>
          </w:tcPr>
          <w:p w14:paraId="4DE8AD71"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($58.50)</w:t>
            </w:r>
          </w:p>
        </w:tc>
        <w:tc>
          <w:tcPr>
            <w:tcW w:w="846" w:type="dxa"/>
            <w:tcBorders>
              <w:top w:val="nil"/>
              <w:left w:val="nil"/>
              <w:bottom w:val="single" w:sz="8" w:space="0" w:color="auto"/>
              <w:right w:val="nil"/>
            </w:tcBorders>
            <w:shd w:val="clear" w:color="000000" w:fill="D9D9D9"/>
            <w:vAlign w:val="center"/>
            <w:hideMark/>
          </w:tcPr>
          <w:p w14:paraId="7252B25F"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$123.00 </w:t>
            </w:r>
          </w:p>
        </w:tc>
        <w:tc>
          <w:tcPr>
            <w:tcW w:w="980" w:type="dxa"/>
            <w:tcBorders>
              <w:top w:val="nil"/>
              <w:left w:val="nil"/>
              <w:bottom w:val="single" w:sz="8" w:space="0" w:color="auto"/>
              <w:right w:val="single" w:sz="8" w:space="0" w:color="auto"/>
            </w:tcBorders>
            <w:shd w:val="clear" w:color="000000" w:fill="D9D9D9"/>
            <w:vAlign w:val="center"/>
            <w:hideMark/>
          </w:tcPr>
          <w:p w14:paraId="6991DD0C"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($153.79)</w:t>
            </w:r>
          </w:p>
        </w:tc>
        <w:tc>
          <w:tcPr>
            <w:tcW w:w="685" w:type="dxa"/>
            <w:tcBorders>
              <w:top w:val="nil"/>
              <w:left w:val="nil"/>
              <w:bottom w:val="single" w:sz="8" w:space="0" w:color="auto"/>
              <w:right w:val="nil"/>
            </w:tcBorders>
            <w:shd w:val="clear" w:color="000000" w:fill="D9D9D9"/>
            <w:vAlign w:val="center"/>
            <w:hideMark/>
          </w:tcPr>
          <w:p w14:paraId="1BD9FCFD" w14:textId="77777777" w:rsidR="0041048E" w:rsidRPr="00A20244" w:rsidRDefault="0041048E" w:rsidP="0041048E">
            <w:pPr>
              <w:widowControl/>
              <w:wordWrap/>
              <w:autoSpaceDE/>
              <w:autoSpaceDN/>
              <w:spacing w:after="0" w:line="240" w:lineRule="auto"/>
              <w:jc w:val="right"/>
              <w:rPr>
                <w:rFonts w:ascii="Arial" w:eastAsia="Malgun Gothic" w:hAnsi="Arial" w:cs="Arial"/>
                <w:kern w:val="0"/>
                <w:szCs w:val="20"/>
              </w:rPr>
            </w:pPr>
            <w:r w:rsidRPr="00A20244">
              <w:rPr>
                <w:rFonts w:ascii="Arial" w:eastAsia="Malgun Gothic" w:hAnsi="Arial" w:cs="Arial"/>
                <w:kern w:val="0"/>
                <w:szCs w:val="20"/>
              </w:rPr>
              <w:t xml:space="preserve">$4.89 </w:t>
            </w:r>
          </w:p>
        </w:tc>
        <w:tc>
          <w:tcPr>
            <w:tcW w:w="924" w:type="dxa"/>
            <w:tcBorders>
              <w:top w:val="nil"/>
              <w:left w:val="nil"/>
              <w:bottom w:val="single" w:sz="8" w:space="0" w:color="auto"/>
              <w:right w:val="single" w:sz="8" w:space="0" w:color="auto"/>
            </w:tcBorders>
            <w:shd w:val="clear" w:color="000000" w:fill="D9D9D9"/>
            <w:vAlign w:val="center"/>
            <w:hideMark/>
          </w:tcPr>
          <w:p w14:paraId="14CB3168" w14:textId="77777777"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A20244">
              <w:rPr>
                <w:rFonts w:ascii="Arial" w:eastAsia="Malgun Gothic" w:hAnsi="Arial" w:cs="Arial"/>
                <w:kern w:val="0"/>
                <w:szCs w:val="20"/>
              </w:rPr>
              <w:t>($8.</w:t>
            </w:r>
            <w:proofErr w:type="gramStart"/>
            <w:r w:rsidRPr="00A20244">
              <w:rPr>
                <w:rFonts w:ascii="Arial" w:eastAsia="Malgun Gothic" w:hAnsi="Arial" w:cs="Arial"/>
                <w:kern w:val="0"/>
                <w:szCs w:val="20"/>
              </w:rPr>
              <w:t>60)*</w:t>
            </w:r>
            <w:proofErr w:type="gramEnd"/>
            <w:r w:rsidRPr="00A20244">
              <w:rPr>
                <w:rFonts w:ascii="Arial" w:eastAsia="Malgun Gothic" w:hAnsi="Arial" w:cs="Arial"/>
                <w:kern w:val="0"/>
                <w:szCs w:val="20"/>
              </w:rPr>
              <w:t>**</w:t>
            </w:r>
          </w:p>
        </w:tc>
        <w:tc>
          <w:tcPr>
            <w:tcW w:w="703" w:type="dxa"/>
            <w:tcBorders>
              <w:top w:val="single" w:sz="8" w:space="0" w:color="auto"/>
              <w:left w:val="nil"/>
              <w:bottom w:val="single" w:sz="8" w:space="0" w:color="auto"/>
            </w:tcBorders>
            <w:shd w:val="clear" w:color="auto" w:fill="D9D9D9" w:themeFill="background1" w:themeFillShade="D9"/>
            <w:vAlign w:val="center"/>
          </w:tcPr>
          <w:p w14:paraId="19967B8F" w14:textId="1BCEFF46" w:rsidR="0041048E" w:rsidRPr="00A20244" w:rsidRDefault="0041048E" w:rsidP="00F42EE6">
            <w:pPr>
              <w:widowControl/>
              <w:wordWrap/>
              <w:autoSpaceDE/>
              <w:autoSpaceDN/>
              <w:spacing w:after="0" w:line="240" w:lineRule="auto"/>
              <w:jc w:val="right"/>
              <w:rPr>
                <w:rFonts w:ascii="Arial" w:eastAsia="Malgun Gothic" w:hAnsi="Arial" w:cs="Arial"/>
                <w:kern w:val="0"/>
                <w:szCs w:val="20"/>
              </w:rPr>
            </w:pPr>
            <w:r w:rsidRPr="000051C8">
              <w:rPr>
                <w:rFonts w:ascii="Arial" w:hAnsi="Arial" w:cs="Arial"/>
                <w:szCs w:val="20"/>
              </w:rPr>
              <w:t>$3.52</w:t>
            </w:r>
          </w:p>
        </w:tc>
        <w:tc>
          <w:tcPr>
            <w:tcW w:w="988"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6D4D386" w14:textId="1EF5886F" w:rsidR="0041048E" w:rsidRPr="00A20244" w:rsidRDefault="0041048E" w:rsidP="0041048E">
            <w:pPr>
              <w:widowControl/>
              <w:wordWrap/>
              <w:autoSpaceDE/>
              <w:autoSpaceDN/>
              <w:spacing w:after="0" w:line="240" w:lineRule="auto"/>
              <w:jc w:val="left"/>
              <w:rPr>
                <w:rFonts w:ascii="Arial" w:eastAsia="Malgun Gothic" w:hAnsi="Arial" w:cs="Arial"/>
                <w:kern w:val="0"/>
                <w:szCs w:val="20"/>
              </w:rPr>
            </w:pPr>
            <w:r w:rsidRPr="000051C8">
              <w:rPr>
                <w:rFonts w:ascii="Arial" w:hAnsi="Arial" w:cs="Arial"/>
                <w:szCs w:val="20"/>
              </w:rPr>
              <w:t>($2.</w:t>
            </w:r>
            <w:proofErr w:type="gramStart"/>
            <w:r w:rsidRPr="000051C8">
              <w:rPr>
                <w:rFonts w:ascii="Arial" w:hAnsi="Arial" w:cs="Arial"/>
                <w:szCs w:val="20"/>
              </w:rPr>
              <w:t>11)</w:t>
            </w:r>
            <w:r>
              <w:rPr>
                <w:rFonts w:ascii="Arial" w:eastAsia="Malgun Gothic" w:hAnsi="Arial" w:cs="Arial" w:hint="eastAsia"/>
                <w:kern w:val="0"/>
                <w:szCs w:val="20"/>
              </w:rPr>
              <w:t>*</w:t>
            </w:r>
            <w:proofErr w:type="gramEnd"/>
            <w:r>
              <w:rPr>
                <w:rFonts w:ascii="Arial" w:eastAsia="Malgun Gothic" w:hAnsi="Arial" w:cs="Arial"/>
                <w:kern w:val="0"/>
                <w:szCs w:val="20"/>
              </w:rPr>
              <w:t>***</w:t>
            </w:r>
          </w:p>
        </w:tc>
      </w:tr>
    </w:tbl>
    <w:p w14:paraId="4A35BF69" w14:textId="77777777" w:rsidR="00A90EEF" w:rsidRPr="0000718A" w:rsidRDefault="00A90EEF" w:rsidP="0000718A">
      <w:pPr>
        <w:wordWrap/>
        <w:adjustRightInd w:val="0"/>
        <w:snapToGrid w:val="0"/>
        <w:spacing w:after="0" w:line="240" w:lineRule="auto"/>
        <w:jc w:val="left"/>
        <w:rPr>
          <w:rFonts w:ascii="Arial" w:hAnsi="Arial" w:cs="Arial"/>
          <w:szCs w:val="20"/>
        </w:rPr>
      </w:pPr>
      <w:r w:rsidRPr="0000718A">
        <w:rPr>
          <w:rFonts w:ascii="Arial" w:hAnsi="Arial" w:cs="Arial"/>
          <w:szCs w:val="20"/>
        </w:rPr>
        <w:t>SD, standard deviation; OOP, out-of-pocket</w:t>
      </w:r>
    </w:p>
    <w:p w14:paraId="0AFD0EDE" w14:textId="731848D6" w:rsidR="00A90EEF" w:rsidRPr="0000718A" w:rsidRDefault="00A90EEF" w:rsidP="0000718A">
      <w:pPr>
        <w:wordWrap/>
        <w:adjustRightInd w:val="0"/>
        <w:snapToGrid w:val="0"/>
        <w:spacing w:after="0" w:line="240" w:lineRule="auto"/>
        <w:jc w:val="left"/>
        <w:rPr>
          <w:rFonts w:ascii="Arial" w:hAnsi="Arial" w:cs="Arial"/>
          <w:szCs w:val="20"/>
        </w:rPr>
      </w:pPr>
      <w:r w:rsidRPr="0000718A">
        <w:rPr>
          <w:rFonts w:ascii="Arial" w:hAnsi="Arial" w:cs="Arial"/>
          <w:szCs w:val="20"/>
        </w:rPr>
        <w:t>* Guardian expenses included</w:t>
      </w:r>
      <w:r w:rsidR="003C7EB9">
        <w:rPr>
          <w:rFonts w:ascii="Arial" w:hAnsi="Arial" w:cs="Arial"/>
          <w:szCs w:val="20"/>
        </w:rPr>
        <w:t xml:space="preserve"> the same cost components with patient expenses.</w:t>
      </w:r>
      <w:r w:rsidRPr="0000718A">
        <w:rPr>
          <w:rFonts w:ascii="Arial" w:hAnsi="Arial" w:cs="Arial"/>
          <w:szCs w:val="20"/>
        </w:rPr>
        <w:t xml:space="preserve"> </w:t>
      </w:r>
    </w:p>
    <w:p w14:paraId="29300775" w14:textId="77777777" w:rsidR="00A90EEF" w:rsidRPr="0000718A" w:rsidRDefault="00A90EEF" w:rsidP="0000718A">
      <w:pPr>
        <w:wordWrap/>
        <w:adjustRightInd w:val="0"/>
        <w:snapToGrid w:val="0"/>
        <w:spacing w:after="0" w:line="240" w:lineRule="auto"/>
        <w:jc w:val="left"/>
        <w:rPr>
          <w:rFonts w:ascii="Arial" w:hAnsi="Arial" w:cs="Arial"/>
          <w:szCs w:val="20"/>
        </w:rPr>
      </w:pPr>
      <w:r w:rsidRPr="0000718A">
        <w:rPr>
          <w:rFonts w:ascii="Arial" w:hAnsi="Arial" w:cs="Arial"/>
          <w:szCs w:val="20"/>
        </w:rPr>
        <w:t xml:space="preserve">** This is the number of hospital days (converted to hours) until the time of survey administration. Lost wages for hospitalization were calculated as the weekly wage (5days per </w:t>
      </w:r>
      <w:proofErr w:type="gramStart"/>
      <w:r w:rsidRPr="0000718A">
        <w:rPr>
          <w:rFonts w:ascii="Arial" w:hAnsi="Arial" w:cs="Arial"/>
          <w:szCs w:val="20"/>
        </w:rPr>
        <w:t>week)*</w:t>
      </w:r>
      <w:proofErr w:type="gramEnd"/>
      <w:r w:rsidRPr="0000718A">
        <w:rPr>
          <w:rFonts w:ascii="Arial" w:hAnsi="Arial" w:cs="Arial"/>
          <w:szCs w:val="20"/>
        </w:rPr>
        <w:t xml:space="preserve"> number of weeks hospitalized; for clinic visits, these were calculated as the hourly wage (daily wage / 8 </w:t>
      </w:r>
      <w:proofErr w:type="spellStart"/>
      <w:r w:rsidRPr="0000718A">
        <w:rPr>
          <w:rFonts w:ascii="Arial" w:hAnsi="Arial" w:cs="Arial"/>
          <w:szCs w:val="20"/>
        </w:rPr>
        <w:t>hrs</w:t>
      </w:r>
      <w:proofErr w:type="spellEnd"/>
      <w:r w:rsidRPr="0000718A">
        <w:rPr>
          <w:rFonts w:ascii="Arial" w:hAnsi="Arial" w:cs="Arial"/>
          <w:szCs w:val="20"/>
        </w:rPr>
        <w:t xml:space="preserve"> per work day) * number of hours spent on the visit.</w:t>
      </w:r>
    </w:p>
    <w:p w14:paraId="2DFEA02E" w14:textId="429A847B" w:rsidR="00A90EEF" w:rsidRDefault="00A90EEF" w:rsidP="00E4197B">
      <w:pPr>
        <w:wordWrap/>
        <w:adjustRightInd w:val="0"/>
        <w:snapToGrid w:val="0"/>
        <w:spacing w:after="0" w:line="240" w:lineRule="auto"/>
        <w:jc w:val="left"/>
        <w:rPr>
          <w:rFonts w:ascii="Arial" w:hAnsi="Arial" w:cs="Arial"/>
          <w:szCs w:val="20"/>
        </w:rPr>
      </w:pPr>
      <w:r w:rsidRPr="0000718A">
        <w:rPr>
          <w:rFonts w:ascii="Arial" w:hAnsi="Arial" w:cs="Arial"/>
          <w:szCs w:val="20"/>
        </w:rPr>
        <w:t>*** Total patient incurred cost does not necessarily match the sum of ‘</w:t>
      </w:r>
      <w:r w:rsidR="003C7EB9">
        <w:rPr>
          <w:rFonts w:ascii="Arial" w:hAnsi="Arial" w:cs="Arial"/>
          <w:szCs w:val="20"/>
        </w:rPr>
        <w:t>T</w:t>
      </w:r>
      <w:r w:rsidRPr="0000718A">
        <w:rPr>
          <w:rFonts w:ascii="Arial" w:hAnsi="Arial" w:cs="Arial"/>
          <w:szCs w:val="20"/>
        </w:rPr>
        <w:t>otal OOP cost’ and ‘</w:t>
      </w:r>
      <w:r w:rsidR="003C7EB9">
        <w:rPr>
          <w:rFonts w:ascii="Arial" w:hAnsi="Arial" w:cs="Arial"/>
          <w:szCs w:val="20"/>
        </w:rPr>
        <w:t>Total</w:t>
      </w:r>
      <w:r w:rsidRPr="0000718A">
        <w:rPr>
          <w:rFonts w:ascii="Arial" w:hAnsi="Arial" w:cs="Arial"/>
          <w:szCs w:val="20"/>
        </w:rPr>
        <w:t xml:space="preserve"> </w:t>
      </w:r>
      <w:r w:rsidR="003C7EB9">
        <w:rPr>
          <w:rFonts w:ascii="Arial" w:hAnsi="Arial" w:cs="Arial"/>
          <w:szCs w:val="20"/>
        </w:rPr>
        <w:t>O</w:t>
      </w:r>
      <w:r w:rsidRPr="0000718A">
        <w:rPr>
          <w:rFonts w:ascii="Arial" w:hAnsi="Arial" w:cs="Arial"/>
          <w:szCs w:val="20"/>
        </w:rPr>
        <w:t xml:space="preserve">pportunity cost’ due to missing values for opportunity costs. (There were fifty missing values). </w:t>
      </w:r>
    </w:p>
    <w:p w14:paraId="6999247D" w14:textId="64890616" w:rsidR="00A90EEF" w:rsidRPr="00E4197B" w:rsidRDefault="0041048E" w:rsidP="00373B25">
      <w:pPr>
        <w:wordWrap/>
        <w:adjustRightInd w:val="0"/>
        <w:snapToGrid w:val="0"/>
        <w:spacing w:after="0" w:line="240" w:lineRule="auto"/>
        <w:jc w:val="left"/>
        <w:rPr>
          <w:rFonts w:ascii="Arial" w:hAnsi="Arial" w:cs="Arial"/>
          <w:bCs/>
          <w:color w:val="FF0000"/>
          <w:szCs w:val="20"/>
        </w:rPr>
      </w:pPr>
      <w:r>
        <w:rPr>
          <w:rFonts w:ascii="Arial" w:hAnsi="Arial" w:cs="Arial" w:hint="eastAsia"/>
          <w:szCs w:val="20"/>
        </w:rPr>
        <w:t>*</w:t>
      </w:r>
      <w:r>
        <w:rPr>
          <w:rFonts w:ascii="Arial" w:hAnsi="Arial" w:cs="Arial"/>
          <w:szCs w:val="20"/>
        </w:rPr>
        <w:t xml:space="preserve">*** Total cost per episode as a single item, which was extrapolated </w:t>
      </w:r>
      <w:bookmarkStart w:id="5" w:name="_GoBack"/>
      <w:bookmarkEnd w:id="5"/>
      <w:r>
        <w:rPr>
          <w:rFonts w:ascii="Arial" w:hAnsi="Arial" w:cs="Arial"/>
          <w:szCs w:val="20"/>
        </w:rPr>
        <w:t>from patients newly diagnosed with HIV, was $3.29 ($4.86) (see methods for description of imputation procedures).</w:t>
      </w:r>
      <w:r w:rsidR="00A90EEF" w:rsidRPr="00E4197B">
        <w:rPr>
          <w:rFonts w:ascii="Arial" w:hAnsi="Arial" w:cs="Arial"/>
          <w:bCs/>
          <w:color w:val="FF0000"/>
          <w:szCs w:val="20"/>
        </w:rPr>
        <w:br w:type="page"/>
      </w:r>
    </w:p>
    <w:p w14:paraId="3319B6F6" w14:textId="42352171" w:rsidR="00A90EEF" w:rsidRDefault="00A90EEF" w:rsidP="0003036D">
      <w:pPr>
        <w:widowControl/>
        <w:wordWrap/>
        <w:autoSpaceDE/>
        <w:autoSpaceDN/>
        <w:adjustRightInd w:val="0"/>
        <w:snapToGrid w:val="0"/>
        <w:spacing w:after="0" w:line="240" w:lineRule="auto"/>
        <w:jc w:val="left"/>
        <w:rPr>
          <w:rFonts w:ascii="Arial" w:hAnsi="Arial" w:cs="Arial"/>
          <w:b/>
          <w:sz w:val="24"/>
          <w:szCs w:val="24"/>
        </w:rPr>
      </w:pPr>
      <w:r w:rsidRPr="0003036D">
        <w:rPr>
          <w:rFonts w:ascii="Arial" w:hAnsi="Arial" w:cs="Arial"/>
          <w:b/>
          <w:sz w:val="24"/>
          <w:szCs w:val="24"/>
        </w:rPr>
        <w:lastRenderedPageBreak/>
        <w:t xml:space="preserve">Figure 1. Patient incurred costs for TB treatment associated with and without hospitalization </w:t>
      </w:r>
    </w:p>
    <w:p w14:paraId="524648BF" w14:textId="77777777" w:rsidR="00311C96" w:rsidRPr="0003036D" w:rsidRDefault="00311C96" w:rsidP="0003036D">
      <w:pPr>
        <w:widowControl/>
        <w:wordWrap/>
        <w:autoSpaceDE/>
        <w:autoSpaceDN/>
        <w:adjustRightInd w:val="0"/>
        <w:snapToGrid w:val="0"/>
        <w:spacing w:after="0" w:line="240" w:lineRule="auto"/>
        <w:jc w:val="left"/>
        <w:rPr>
          <w:rFonts w:ascii="Arial" w:hAnsi="Arial" w:cs="Arial"/>
          <w:b/>
          <w:sz w:val="24"/>
          <w:szCs w:val="24"/>
        </w:rPr>
      </w:pPr>
    </w:p>
    <w:p w14:paraId="1316B5D0" w14:textId="12EC115F" w:rsidR="001A684A" w:rsidRPr="001A684A" w:rsidRDefault="00A90EEF" w:rsidP="00311C96">
      <w:pPr>
        <w:widowControl/>
        <w:wordWrap/>
        <w:autoSpaceDE/>
        <w:autoSpaceDN/>
        <w:adjustRightInd w:val="0"/>
        <w:snapToGrid w:val="0"/>
        <w:spacing w:after="0" w:line="240" w:lineRule="auto"/>
        <w:jc w:val="left"/>
        <w:rPr>
          <w:b/>
          <w:color w:val="70AD47" w:themeColor="accent6"/>
          <w:sz w:val="24"/>
          <w:szCs w:val="24"/>
        </w:rPr>
      </w:pPr>
      <w:r w:rsidRPr="0003036D">
        <w:rPr>
          <w:rFonts w:ascii="Arial" w:hAnsi="Arial" w:cs="Arial"/>
          <w:bCs/>
          <w:sz w:val="24"/>
          <w:szCs w:val="24"/>
        </w:rPr>
        <w:t xml:space="preserve">Based on the assumption of a six-month duration of TB treatment with monthly outpatient visits, we estimated the </w:t>
      </w:r>
      <w:r w:rsidR="00E735A7">
        <w:rPr>
          <w:rFonts w:ascii="Arial" w:hAnsi="Arial" w:cs="Arial"/>
          <w:bCs/>
          <w:sz w:val="24"/>
          <w:szCs w:val="24"/>
        </w:rPr>
        <w:t xml:space="preserve">mean </w:t>
      </w:r>
      <w:r w:rsidRPr="0003036D">
        <w:rPr>
          <w:rFonts w:ascii="Arial" w:hAnsi="Arial" w:cs="Arial"/>
          <w:bCs/>
          <w:sz w:val="24"/>
          <w:szCs w:val="24"/>
        </w:rPr>
        <w:t xml:space="preserve">total patient cost per TB treatment episode, separately for </w:t>
      </w:r>
      <w:r w:rsidR="001A684A" w:rsidRPr="0003036D">
        <w:rPr>
          <w:rFonts w:ascii="Arial" w:hAnsi="Arial" w:cs="Arial"/>
          <w:bCs/>
          <w:sz w:val="24"/>
          <w:szCs w:val="24"/>
        </w:rPr>
        <w:t>in</w:t>
      </w:r>
      <w:r w:rsidR="001A684A">
        <w:rPr>
          <w:rFonts w:ascii="Arial" w:hAnsi="Arial" w:cs="Arial"/>
          <w:bCs/>
          <w:sz w:val="24"/>
          <w:szCs w:val="24"/>
        </w:rPr>
        <w:t>patients being treated TB for the first time</w:t>
      </w:r>
      <w:r w:rsidRPr="0003036D">
        <w:rPr>
          <w:rFonts w:ascii="Arial" w:hAnsi="Arial" w:cs="Arial"/>
          <w:bCs/>
          <w:sz w:val="24"/>
          <w:szCs w:val="24"/>
        </w:rPr>
        <w:t xml:space="preserve"> (</w:t>
      </w:r>
      <w:r w:rsidR="00787FDE">
        <w:rPr>
          <w:rFonts w:ascii="Arial" w:hAnsi="Arial" w:cs="Arial"/>
          <w:bCs/>
          <w:sz w:val="24"/>
          <w:szCs w:val="24"/>
        </w:rPr>
        <w:t>left</w:t>
      </w:r>
      <w:r w:rsidR="001A684A">
        <w:rPr>
          <w:rFonts w:ascii="Arial" w:hAnsi="Arial" w:cs="Arial"/>
          <w:bCs/>
          <w:sz w:val="24"/>
          <w:szCs w:val="24"/>
        </w:rPr>
        <w:t xml:space="preserve"> </w:t>
      </w:r>
      <w:r w:rsidRPr="0003036D">
        <w:rPr>
          <w:rFonts w:ascii="Arial" w:hAnsi="Arial" w:cs="Arial"/>
          <w:bCs/>
          <w:sz w:val="24"/>
          <w:szCs w:val="24"/>
        </w:rPr>
        <w:t>column)</w:t>
      </w:r>
      <w:r w:rsidR="003220FD">
        <w:rPr>
          <w:rFonts w:ascii="Arial" w:hAnsi="Arial" w:cs="Arial"/>
          <w:bCs/>
          <w:sz w:val="24"/>
          <w:szCs w:val="24"/>
        </w:rPr>
        <w:t>, in</w:t>
      </w:r>
      <w:r w:rsidR="001A684A">
        <w:rPr>
          <w:rFonts w:ascii="Arial" w:hAnsi="Arial" w:cs="Arial"/>
          <w:bCs/>
          <w:sz w:val="24"/>
          <w:szCs w:val="24"/>
        </w:rPr>
        <w:t xml:space="preserve">patients being treated </w:t>
      </w:r>
      <w:r w:rsidR="00787FDE">
        <w:rPr>
          <w:rFonts w:ascii="Arial" w:hAnsi="Arial" w:cs="Arial"/>
          <w:bCs/>
          <w:sz w:val="24"/>
          <w:szCs w:val="24"/>
        </w:rPr>
        <w:t xml:space="preserve">for </w:t>
      </w:r>
      <w:r w:rsidR="001A684A">
        <w:rPr>
          <w:rFonts w:ascii="Arial" w:hAnsi="Arial" w:cs="Arial"/>
          <w:bCs/>
          <w:sz w:val="24"/>
          <w:szCs w:val="24"/>
        </w:rPr>
        <w:t xml:space="preserve">recurrent TB </w:t>
      </w:r>
      <w:r w:rsidR="003220FD">
        <w:rPr>
          <w:rFonts w:ascii="Arial" w:hAnsi="Arial" w:cs="Arial"/>
          <w:bCs/>
          <w:sz w:val="24"/>
          <w:szCs w:val="24"/>
        </w:rPr>
        <w:t>(</w:t>
      </w:r>
      <w:r w:rsidR="00787FDE">
        <w:rPr>
          <w:rFonts w:ascii="Arial" w:hAnsi="Arial" w:cs="Arial"/>
          <w:bCs/>
          <w:sz w:val="24"/>
          <w:szCs w:val="24"/>
        </w:rPr>
        <w:t>middle</w:t>
      </w:r>
      <w:r w:rsidR="001A684A">
        <w:rPr>
          <w:rFonts w:ascii="Arial" w:hAnsi="Arial" w:cs="Arial"/>
          <w:bCs/>
          <w:sz w:val="24"/>
          <w:szCs w:val="24"/>
        </w:rPr>
        <w:t xml:space="preserve"> </w:t>
      </w:r>
      <w:r w:rsidR="003220FD">
        <w:rPr>
          <w:rFonts w:ascii="Arial" w:hAnsi="Arial" w:cs="Arial"/>
          <w:bCs/>
          <w:sz w:val="24"/>
          <w:szCs w:val="24"/>
        </w:rPr>
        <w:t>column),</w:t>
      </w:r>
      <w:r w:rsidRPr="0003036D">
        <w:rPr>
          <w:rFonts w:ascii="Arial" w:hAnsi="Arial" w:cs="Arial"/>
          <w:bCs/>
          <w:sz w:val="24"/>
          <w:szCs w:val="24"/>
        </w:rPr>
        <w:t xml:space="preserve"> and individuals treated entirely as outpatients (</w:t>
      </w:r>
      <w:r w:rsidR="00787FDE">
        <w:rPr>
          <w:rFonts w:ascii="Arial" w:hAnsi="Arial" w:cs="Arial"/>
          <w:bCs/>
          <w:sz w:val="24"/>
          <w:szCs w:val="24"/>
        </w:rPr>
        <w:t>right</w:t>
      </w:r>
      <w:r w:rsidR="001A684A">
        <w:rPr>
          <w:rFonts w:ascii="Arial" w:hAnsi="Arial" w:cs="Arial"/>
          <w:bCs/>
          <w:sz w:val="24"/>
          <w:szCs w:val="24"/>
        </w:rPr>
        <w:t xml:space="preserve"> </w:t>
      </w:r>
      <w:r w:rsidRPr="0003036D">
        <w:rPr>
          <w:rFonts w:ascii="Arial" w:hAnsi="Arial" w:cs="Arial"/>
          <w:bCs/>
          <w:sz w:val="24"/>
          <w:szCs w:val="24"/>
        </w:rPr>
        <w:t>column). Further assumptions used to estimate per-treatment-episode costs on the basis of a single cross-sectional assessment are described in the text.</w:t>
      </w:r>
      <w:r w:rsidRPr="009C6DF8">
        <w:rPr>
          <w:bCs/>
          <w:sz w:val="24"/>
          <w:szCs w:val="24"/>
        </w:rPr>
        <w:t xml:space="preserve"> </w:t>
      </w:r>
    </w:p>
    <w:p w14:paraId="0F027923" w14:textId="50DFDFC2" w:rsidR="00A90EEF" w:rsidRPr="00311C96" w:rsidRDefault="001A684A" w:rsidP="005D533B">
      <w:pPr>
        <w:widowControl/>
        <w:wordWrap/>
        <w:autoSpaceDE/>
        <w:autoSpaceDN/>
        <w:adjustRightInd w:val="0"/>
        <w:snapToGrid w:val="0"/>
        <w:spacing w:after="0" w:line="480" w:lineRule="auto"/>
        <w:jc w:val="center"/>
        <w:rPr>
          <w:b/>
          <w:color w:val="70AD47" w:themeColor="accent6"/>
          <w:sz w:val="24"/>
          <w:szCs w:val="24"/>
        </w:rPr>
      </w:pPr>
      <w:r w:rsidRPr="001A684A">
        <w:rPr>
          <w:noProof/>
        </w:rPr>
        <w:drawing>
          <wp:inline distT="0" distB="0" distL="0" distR="0" wp14:anchorId="09B7CB1F" wp14:editId="0086DD41">
            <wp:extent cx="4621936" cy="581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4603" cy="5813603"/>
                    </a:xfrm>
                    <a:prstGeom prst="rect">
                      <a:avLst/>
                    </a:prstGeom>
                    <a:noFill/>
                    <a:ln>
                      <a:noFill/>
                    </a:ln>
                  </pic:spPr>
                </pic:pic>
              </a:graphicData>
            </a:graphic>
          </wp:inline>
        </w:drawing>
      </w:r>
      <w:r w:rsidRPr="001A684A">
        <w:t xml:space="preserve"> </w:t>
      </w:r>
      <w:r w:rsidR="00A90EEF" w:rsidRPr="009C6DF8">
        <w:rPr>
          <w:b/>
          <w:sz w:val="24"/>
          <w:szCs w:val="24"/>
        </w:rPr>
        <w:br w:type="page"/>
      </w:r>
    </w:p>
    <w:p w14:paraId="6CEDEBC2" w14:textId="7589C291" w:rsidR="00A90EEF" w:rsidRDefault="00A90EEF" w:rsidP="00311C96">
      <w:pPr>
        <w:widowControl/>
        <w:wordWrap/>
        <w:autoSpaceDE/>
        <w:autoSpaceDN/>
        <w:adjustRightInd w:val="0"/>
        <w:snapToGrid w:val="0"/>
        <w:spacing w:after="0" w:line="240" w:lineRule="auto"/>
        <w:jc w:val="left"/>
        <w:rPr>
          <w:rFonts w:ascii="Arial" w:hAnsi="Arial" w:cs="Arial"/>
          <w:b/>
          <w:sz w:val="24"/>
          <w:szCs w:val="24"/>
        </w:rPr>
      </w:pPr>
      <w:r w:rsidRPr="00311C96">
        <w:rPr>
          <w:rFonts w:ascii="Arial" w:hAnsi="Arial" w:cs="Arial"/>
          <w:b/>
          <w:sz w:val="24"/>
          <w:szCs w:val="24"/>
        </w:rPr>
        <w:lastRenderedPageBreak/>
        <w:t xml:space="preserve">Figure 2. </w:t>
      </w:r>
      <w:bookmarkStart w:id="6" w:name="_Hlk15279755"/>
      <w:r w:rsidRPr="00311C96">
        <w:rPr>
          <w:rFonts w:ascii="Arial" w:hAnsi="Arial" w:cs="Arial"/>
          <w:b/>
          <w:sz w:val="24"/>
          <w:szCs w:val="24"/>
        </w:rPr>
        <w:t>Inpatient TB treatment Costs by household spending quintile</w:t>
      </w:r>
      <w:bookmarkEnd w:id="6"/>
    </w:p>
    <w:p w14:paraId="40FA3614" w14:textId="77777777" w:rsidR="00311C96" w:rsidRPr="00311C96" w:rsidRDefault="00311C96" w:rsidP="00311C96">
      <w:pPr>
        <w:widowControl/>
        <w:wordWrap/>
        <w:autoSpaceDE/>
        <w:autoSpaceDN/>
        <w:adjustRightInd w:val="0"/>
        <w:snapToGrid w:val="0"/>
        <w:spacing w:after="0" w:line="240" w:lineRule="auto"/>
        <w:jc w:val="left"/>
        <w:rPr>
          <w:rFonts w:ascii="Arial" w:hAnsi="Arial" w:cs="Arial"/>
          <w:b/>
          <w:sz w:val="24"/>
          <w:szCs w:val="24"/>
        </w:rPr>
      </w:pPr>
    </w:p>
    <w:p w14:paraId="7FA29C75" w14:textId="3F49225E" w:rsidR="00E83F5F" w:rsidRDefault="00E83F5F" w:rsidP="00E83F5F">
      <w:pPr>
        <w:widowControl/>
        <w:wordWrap/>
        <w:autoSpaceDE/>
        <w:autoSpaceDN/>
        <w:adjustRightInd w:val="0"/>
        <w:snapToGrid w:val="0"/>
        <w:spacing w:after="0" w:line="240" w:lineRule="auto"/>
        <w:jc w:val="left"/>
        <w:rPr>
          <w:rFonts w:ascii="Arial" w:hAnsi="Arial" w:cs="Arial"/>
          <w:bCs/>
          <w:sz w:val="24"/>
          <w:szCs w:val="24"/>
        </w:rPr>
      </w:pPr>
      <w:r w:rsidRPr="00311C96">
        <w:rPr>
          <w:rFonts w:ascii="Arial" w:hAnsi="Arial" w:cs="Arial"/>
          <w:bCs/>
          <w:sz w:val="24"/>
          <w:szCs w:val="24"/>
        </w:rPr>
        <w:t xml:space="preserve">Figure 2A represents the estimated </w:t>
      </w:r>
      <w:r>
        <w:rPr>
          <w:rFonts w:ascii="Arial" w:hAnsi="Arial" w:cs="Arial"/>
          <w:bCs/>
          <w:sz w:val="24"/>
          <w:szCs w:val="24"/>
        </w:rPr>
        <w:t xml:space="preserve">mean </w:t>
      </w:r>
      <w:r w:rsidRPr="00311C96">
        <w:rPr>
          <w:rFonts w:ascii="Arial" w:hAnsi="Arial" w:cs="Arial"/>
          <w:bCs/>
          <w:sz w:val="24"/>
          <w:szCs w:val="24"/>
        </w:rPr>
        <w:t xml:space="preserve">out-of-pocket (OOP) costs and </w:t>
      </w:r>
      <w:r>
        <w:rPr>
          <w:rFonts w:ascii="Arial" w:hAnsi="Arial" w:cs="Arial"/>
          <w:bCs/>
          <w:sz w:val="24"/>
          <w:szCs w:val="24"/>
        </w:rPr>
        <w:t xml:space="preserve">mean </w:t>
      </w:r>
      <w:r w:rsidRPr="00311C96">
        <w:rPr>
          <w:rFonts w:ascii="Arial" w:hAnsi="Arial" w:cs="Arial"/>
          <w:bCs/>
          <w:sz w:val="24"/>
          <w:szCs w:val="24"/>
        </w:rPr>
        <w:t xml:space="preserve">total patient-incurred costs for inpatient TB treatment, according to quintile of household expenditure, illustrating that absolute patient costs of treatment increased with increasing wealth. </w:t>
      </w:r>
      <w:r>
        <w:rPr>
          <w:rFonts w:ascii="Arial" w:hAnsi="Arial" w:cs="Arial"/>
          <w:bCs/>
          <w:sz w:val="24"/>
          <w:szCs w:val="24"/>
        </w:rPr>
        <w:t>Blue bar</w:t>
      </w:r>
      <w:r w:rsidR="00787FDE">
        <w:rPr>
          <w:rFonts w:ascii="Arial" w:hAnsi="Arial" w:cs="Arial"/>
          <w:bCs/>
          <w:sz w:val="24"/>
          <w:szCs w:val="24"/>
        </w:rPr>
        <w:t>s</w:t>
      </w:r>
      <w:r>
        <w:rPr>
          <w:rFonts w:ascii="Arial" w:hAnsi="Arial" w:cs="Arial"/>
          <w:bCs/>
          <w:sz w:val="24"/>
          <w:szCs w:val="24"/>
        </w:rPr>
        <w:t xml:space="preserve"> represent patients being treated </w:t>
      </w:r>
      <w:r w:rsidR="00787FDE">
        <w:rPr>
          <w:rFonts w:ascii="Arial" w:hAnsi="Arial" w:cs="Arial"/>
          <w:bCs/>
          <w:sz w:val="24"/>
          <w:szCs w:val="24"/>
        </w:rPr>
        <w:t xml:space="preserve">for initial </w:t>
      </w:r>
      <w:r>
        <w:rPr>
          <w:rFonts w:ascii="Arial" w:hAnsi="Arial" w:cs="Arial"/>
          <w:bCs/>
          <w:sz w:val="24"/>
          <w:szCs w:val="24"/>
        </w:rPr>
        <w:t xml:space="preserve">TB </w:t>
      </w:r>
      <w:r w:rsidR="00787FDE">
        <w:rPr>
          <w:rFonts w:ascii="Arial" w:hAnsi="Arial" w:cs="Arial"/>
          <w:bCs/>
          <w:sz w:val="24"/>
          <w:szCs w:val="24"/>
        </w:rPr>
        <w:t>episodes</w:t>
      </w:r>
      <w:r>
        <w:rPr>
          <w:rFonts w:ascii="Arial" w:hAnsi="Arial" w:cs="Arial"/>
          <w:bCs/>
          <w:sz w:val="24"/>
          <w:szCs w:val="24"/>
        </w:rPr>
        <w:t>; grey bar</w:t>
      </w:r>
      <w:r w:rsidR="00787FDE">
        <w:rPr>
          <w:rFonts w:ascii="Arial" w:hAnsi="Arial" w:cs="Arial"/>
          <w:bCs/>
          <w:sz w:val="24"/>
          <w:szCs w:val="24"/>
        </w:rPr>
        <w:t>s</w:t>
      </w:r>
      <w:r>
        <w:rPr>
          <w:rFonts w:ascii="Arial" w:hAnsi="Arial" w:cs="Arial"/>
          <w:bCs/>
          <w:sz w:val="24"/>
          <w:szCs w:val="24"/>
        </w:rPr>
        <w:t xml:space="preserve"> represent patient</w:t>
      </w:r>
      <w:r w:rsidR="00787FDE">
        <w:rPr>
          <w:rFonts w:ascii="Arial" w:hAnsi="Arial" w:cs="Arial"/>
          <w:bCs/>
          <w:sz w:val="24"/>
          <w:szCs w:val="24"/>
        </w:rPr>
        <w:t>s</w:t>
      </w:r>
      <w:r>
        <w:rPr>
          <w:rFonts w:ascii="Arial" w:hAnsi="Arial" w:cs="Arial"/>
          <w:bCs/>
          <w:sz w:val="24"/>
          <w:szCs w:val="24"/>
        </w:rPr>
        <w:t xml:space="preserve"> being treated </w:t>
      </w:r>
      <w:r w:rsidR="00787FDE">
        <w:rPr>
          <w:rFonts w:ascii="Arial" w:hAnsi="Arial" w:cs="Arial"/>
          <w:bCs/>
          <w:sz w:val="24"/>
          <w:szCs w:val="24"/>
        </w:rPr>
        <w:t xml:space="preserve">for </w:t>
      </w:r>
      <w:r>
        <w:rPr>
          <w:rFonts w:ascii="Arial" w:hAnsi="Arial" w:cs="Arial"/>
          <w:bCs/>
          <w:sz w:val="24"/>
          <w:szCs w:val="24"/>
        </w:rPr>
        <w:t>recurrent TB.</w:t>
      </w:r>
    </w:p>
    <w:p w14:paraId="7E7A6C95" w14:textId="7C3493C0" w:rsidR="00A90EEF" w:rsidRDefault="00E83F5F" w:rsidP="009A5B69">
      <w:pPr>
        <w:widowControl/>
        <w:wordWrap/>
        <w:autoSpaceDE/>
        <w:autoSpaceDN/>
        <w:adjustRightInd w:val="0"/>
        <w:snapToGrid w:val="0"/>
        <w:spacing w:after="0" w:line="240" w:lineRule="auto"/>
        <w:jc w:val="left"/>
        <w:rPr>
          <w:rFonts w:ascii="Arial" w:hAnsi="Arial" w:cs="Arial"/>
          <w:bCs/>
          <w:sz w:val="24"/>
          <w:szCs w:val="24"/>
        </w:rPr>
      </w:pPr>
      <w:r w:rsidRPr="00311C96">
        <w:rPr>
          <w:rFonts w:ascii="Arial" w:hAnsi="Arial" w:cs="Arial"/>
          <w:bCs/>
          <w:sz w:val="24"/>
          <w:szCs w:val="24"/>
        </w:rPr>
        <w:t xml:space="preserve">Figure 2B depicts the estimated </w:t>
      </w:r>
      <w:r>
        <w:rPr>
          <w:rFonts w:ascii="Arial" w:hAnsi="Arial" w:cs="Arial"/>
          <w:bCs/>
          <w:sz w:val="24"/>
          <w:szCs w:val="24"/>
        </w:rPr>
        <w:t xml:space="preserve">mean </w:t>
      </w:r>
      <w:r w:rsidRPr="00311C96">
        <w:rPr>
          <w:rFonts w:ascii="Arial" w:hAnsi="Arial" w:cs="Arial"/>
          <w:bCs/>
          <w:sz w:val="24"/>
          <w:szCs w:val="24"/>
        </w:rPr>
        <w:t xml:space="preserve">OOP cost and </w:t>
      </w:r>
      <w:r>
        <w:rPr>
          <w:rFonts w:ascii="Arial" w:hAnsi="Arial" w:cs="Arial"/>
          <w:bCs/>
          <w:sz w:val="24"/>
          <w:szCs w:val="24"/>
        </w:rPr>
        <w:t xml:space="preserve">mean </w:t>
      </w:r>
      <w:r w:rsidRPr="00311C96">
        <w:rPr>
          <w:rFonts w:ascii="Arial" w:hAnsi="Arial" w:cs="Arial"/>
          <w:bCs/>
          <w:sz w:val="24"/>
          <w:szCs w:val="24"/>
        </w:rPr>
        <w:t xml:space="preserve">total cost of inpatient TB treatment, as a proportion of annual household spending. </w:t>
      </w:r>
      <w:r>
        <w:rPr>
          <w:rFonts w:ascii="Arial" w:hAnsi="Arial" w:cs="Arial"/>
          <w:bCs/>
          <w:sz w:val="24"/>
          <w:szCs w:val="24"/>
        </w:rPr>
        <w:t xml:space="preserve">Dark and light blue lines indicate patients being treated </w:t>
      </w:r>
      <w:r w:rsidR="00787FDE">
        <w:rPr>
          <w:rFonts w:ascii="Arial" w:hAnsi="Arial" w:cs="Arial"/>
          <w:bCs/>
          <w:sz w:val="24"/>
          <w:szCs w:val="24"/>
        </w:rPr>
        <w:t xml:space="preserve">for initial </w:t>
      </w:r>
      <w:r>
        <w:rPr>
          <w:rFonts w:ascii="Arial" w:hAnsi="Arial" w:cs="Arial"/>
          <w:bCs/>
          <w:sz w:val="24"/>
          <w:szCs w:val="24"/>
        </w:rPr>
        <w:t xml:space="preserve">TB </w:t>
      </w:r>
      <w:r w:rsidR="00787FDE">
        <w:rPr>
          <w:rFonts w:ascii="Arial" w:hAnsi="Arial" w:cs="Arial"/>
          <w:bCs/>
          <w:sz w:val="24"/>
          <w:szCs w:val="24"/>
        </w:rPr>
        <w:t>episodes</w:t>
      </w:r>
      <w:r>
        <w:rPr>
          <w:rFonts w:ascii="Arial" w:hAnsi="Arial" w:cs="Arial"/>
          <w:bCs/>
          <w:sz w:val="24"/>
          <w:szCs w:val="24"/>
        </w:rPr>
        <w:t>; dark and light grey lines indicate patient</w:t>
      </w:r>
      <w:r w:rsidR="00787FDE">
        <w:rPr>
          <w:rFonts w:ascii="Arial" w:hAnsi="Arial" w:cs="Arial"/>
          <w:bCs/>
          <w:sz w:val="24"/>
          <w:szCs w:val="24"/>
        </w:rPr>
        <w:t>s</w:t>
      </w:r>
      <w:r>
        <w:rPr>
          <w:rFonts w:ascii="Arial" w:hAnsi="Arial" w:cs="Arial"/>
          <w:bCs/>
          <w:sz w:val="24"/>
          <w:szCs w:val="24"/>
        </w:rPr>
        <w:t xml:space="preserve"> being treated </w:t>
      </w:r>
      <w:r w:rsidR="00787FDE">
        <w:rPr>
          <w:rFonts w:ascii="Arial" w:hAnsi="Arial" w:cs="Arial"/>
          <w:bCs/>
          <w:sz w:val="24"/>
          <w:szCs w:val="24"/>
        </w:rPr>
        <w:t xml:space="preserve">for </w:t>
      </w:r>
      <w:r>
        <w:rPr>
          <w:rFonts w:ascii="Arial" w:hAnsi="Arial" w:cs="Arial"/>
          <w:bCs/>
          <w:sz w:val="24"/>
          <w:szCs w:val="24"/>
        </w:rPr>
        <w:t xml:space="preserve">recurrent TB. </w:t>
      </w:r>
      <w:r w:rsidRPr="00311C96">
        <w:rPr>
          <w:rFonts w:ascii="Arial" w:hAnsi="Arial" w:cs="Arial"/>
          <w:bCs/>
          <w:sz w:val="24"/>
          <w:szCs w:val="24"/>
        </w:rPr>
        <w:t xml:space="preserve">This panel illustrates that, as a proportion of total household expenditure, the patient-incurred cost of TB treatment declines with increasing wealth and is particularly catastrophic for those in the lowest income </w:t>
      </w:r>
      <w:r>
        <w:rPr>
          <w:rFonts w:ascii="Arial" w:hAnsi="Arial" w:cs="Arial"/>
          <w:bCs/>
          <w:sz w:val="24"/>
          <w:szCs w:val="24"/>
        </w:rPr>
        <w:t>quintile.</w:t>
      </w:r>
    </w:p>
    <w:p w14:paraId="191CF9CF" w14:textId="035E29F5" w:rsidR="00311C96" w:rsidRDefault="0041048E" w:rsidP="00311C96">
      <w:pPr>
        <w:widowControl/>
        <w:wordWrap/>
        <w:autoSpaceDE/>
        <w:autoSpaceDN/>
        <w:adjustRightInd w:val="0"/>
        <w:snapToGrid w:val="0"/>
        <w:spacing w:after="0" w:line="240" w:lineRule="auto"/>
        <w:jc w:val="left"/>
        <w:rPr>
          <w:rFonts w:ascii="Arial" w:hAnsi="Arial" w:cs="Arial"/>
          <w:bCs/>
          <w:sz w:val="24"/>
          <w:szCs w:val="24"/>
        </w:rPr>
      </w:pPr>
      <w:r>
        <w:rPr>
          <w:rFonts w:ascii="Arial" w:hAnsi="Arial" w:cs="Arial" w:hint="eastAsia"/>
          <w:bCs/>
          <w:sz w:val="24"/>
          <w:szCs w:val="24"/>
        </w:rPr>
        <w:t>F</w:t>
      </w:r>
      <w:r>
        <w:rPr>
          <w:rFonts w:ascii="Arial" w:hAnsi="Arial" w:cs="Arial"/>
          <w:bCs/>
          <w:sz w:val="24"/>
          <w:szCs w:val="24"/>
        </w:rPr>
        <w:t xml:space="preserve">igure 2C </w:t>
      </w:r>
      <w:r w:rsidR="000A1713">
        <w:rPr>
          <w:rFonts w:ascii="Arial" w:hAnsi="Arial" w:cs="Arial"/>
          <w:bCs/>
          <w:sz w:val="24"/>
          <w:szCs w:val="24"/>
        </w:rPr>
        <w:t>and 2D show similar numbers but for outpatient-only TB treatment.</w:t>
      </w:r>
    </w:p>
    <w:p w14:paraId="372839DA" w14:textId="77777777" w:rsidR="000A1713" w:rsidRPr="00311C96" w:rsidRDefault="000A1713" w:rsidP="00311C96">
      <w:pPr>
        <w:widowControl/>
        <w:wordWrap/>
        <w:autoSpaceDE/>
        <w:autoSpaceDN/>
        <w:adjustRightInd w:val="0"/>
        <w:snapToGrid w:val="0"/>
        <w:spacing w:after="0" w:line="240" w:lineRule="auto"/>
        <w:jc w:val="left"/>
        <w:rPr>
          <w:rFonts w:ascii="Arial" w:hAnsi="Arial" w:cs="Arial"/>
          <w:bCs/>
          <w:sz w:val="24"/>
          <w:szCs w:val="24"/>
        </w:rPr>
      </w:pPr>
    </w:p>
    <w:p w14:paraId="760603DE" w14:textId="0F9FEBF7" w:rsidR="00A90EEF" w:rsidRDefault="00A90EEF" w:rsidP="005577AE">
      <w:pPr>
        <w:widowControl/>
        <w:wordWrap/>
        <w:autoSpaceDE/>
        <w:autoSpaceDN/>
        <w:adjustRightInd w:val="0"/>
        <w:snapToGrid w:val="0"/>
        <w:spacing w:after="0" w:line="240" w:lineRule="auto"/>
        <w:jc w:val="left"/>
        <w:rPr>
          <w:rFonts w:ascii="Arial" w:hAnsi="Arial" w:cs="Arial"/>
          <w:b/>
          <w:sz w:val="24"/>
          <w:szCs w:val="24"/>
        </w:rPr>
      </w:pPr>
      <w:r w:rsidRPr="00311C96">
        <w:rPr>
          <w:rFonts w:ascii="Arial" w:hAnsi="Arial" w:cs="Arial"/>
          <w:b/>
          <w:sz w:val="24"/>
          <w:szCs w:val="24"/>
        </w:rPr>
        <w:t>A.</w:t>
      </w:r>
      <w:r w:rsidR="00EC3765">
        <w:rPr>
          <w:rFonts w:ascii="Arial" w:hAnsi="Arial" w:cs="Arial"/>
          <w:b/>
          <w:sz w:val="24"/>
          <w:szCs w:val="24"/>
        </w:rPr>
        <w:t xml:space="preserve">                                             </w:t>
      </w:r>
      <w:r w:rsidR="009C5268">
        <w:rPr>
          <w:rFonts w:ascii="Arial" w:hAnsi="Arial" w:cs="Arial"/>
          <w:b/>
          <w:sz w:val="24"/>
          <w:szCs w:val="24"/>
        </w:rPr>
        <w:t xml:space="preserve"> </w:t>
      </w:r>
      <w:r w:rsidR="00EC3765">
        <w:rPr>
          <w:rFonts w:ascii="Arial" w:hAnsi="Arial" w:cs="Arial"/>
          <w:b/>
          <w:sz w:val="24"/>
          <w:szCs w:val="24"/>
        </w:rPr>
        <w:t>C.</w:t>
      </w:r>
    </w:p>
    <w:p w14:paraId="788D9C96" w14:textId="6293D262" w:rsidR="00EC3765" w:rsidRDefault="001D76A5" w:rsidP="005577AE">
      <w:pPr>
        <w:widowControl/>
        <w:wordWrap/>
        <w:autoSpaceDE/>
        <w:autoSpaceDN/>
        <w:adjustRightInd w:val="0"/>
        <w:snapToGrid w:val="0"/>
        <w:spacing w:after="0" w:line="240" w:lineRule="auto"/>
        <w:jc w:val="left"/>
        <w:rPr>
          <w:rFonts w:ascii="Arial" w:hAnsi="Arial" w:cs="Arial"/>
          <w:b/>
          <w:sz w:val="24"/>
          <w:szCs w:val="24"/>
        </w:rPr>
      </w:pPr>
      <w:r w:rsidRPr="001D76A5">
        <w:rPr>
          <w:noProof/>
        </w:rPr>
        <w:drawing>
          <wp:inline distT="0" distB="0" distL="0" distR="0" wp14:anchorId="7E1B5ADB" wp14:editId="1E6E6652">
            <wp:extent cx="5944870" cy="2016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870" cy="2016125"/>
                    </a:xfrm>
                    <a:prstGeom prst="rect">
                      <a:avLst/>
                    </a:prstGeom>
                    <a:noFill/>
                    <a:ln>
                      <a:noFill/>
                    </a:ln>
                  </pic:spPr>
                </pic:pic>
              </a:graphicData>
            </a:graphic>
          </wp:inline>
        </w:drawing>
      </w:r>
    </w:p>
    <w:p w14:paraId="747A0BF5" w14:textId="77777777" w:rsidR="00EC3765" w:rsidRPr="005577AE" w:rsidRDefault="00EC3765" w:rsidP="005577AE">
      <w:pPr>
        <w:widowControl/>
        <w:wordWrap/>
        <w:autoSpaceDE/>
        <w:autoSpaceDN/>
        <w:adjustRightInd w:val="0"/>
        <w:snapToGrid w:val="0"/>
        <w:spacing w:after="0" w:line="240" w:lineRule="auto"/>
        <w:jc w:val="left"/>
        <w:rPr>
          <w:rFonts w:ascii="Arial" w:hAnsi="Arial" w:cs="Arial"/>
          <w:b/>
          <w:sz w:val="24"/>
          <w:szCs w:val="24"/>
        </w:rPr>
      </w:pPr>
    </w:p>
    <w:p w14:paraId="31A1A4E8" w14:textId="72A03CAA" w:rsidR="00A90EEF" w:rsidRDefault="00A90EEF" w:rsidP="00311C96">
      <w:pPr>
        <w:widowControl/>
        <w:wordWrap/>
        <w:autoSpaceDE/>
        <w:autoSpaceDN/>
        <w:adjustRightInd w:val="0"/>
        <w:snapToGrid w:val="0"/>
        <w:spacing w:after="0" w:line="240" w:lineRule="auto"/>
        <w:jc w:val="left"/>
        <w:rPr>
          <w:rFonts w:ascii="Arial" w:hAnsi="Arial" w:cs="Arial"/>
          <w:b/>
          <w:sz w:val="24"/>
          <w:szCs w:val="24"/>
        </w:rPr>
      </w:pPr>
      <w:r w:rsidRPr="00311C96">
        <w:rPr>
          <w:rFonts w:ascii="Arial" w:hAnsi="Arial" w:cs="Arial"/>
          <w:b/>
          <w:sz w:val="24"/>
          <w:szCs w:val="24"/>
        </w:rPr>
        <w:t>B.</w:t>
      </w:r>
      <w:r w:rsidR="001D76A5">
        <w:rPr>
          <w:rFonts w:ascii="Arial" w:hAnsi="Arial" w:cs="Arial"/>
          <w:b/>
          <w:sz w:val="24"/>
          <w:szCs w:val="24"/>
        </w:rPr>
        <w:tab/>
      </w:r>
      <w:r w:rsidR="001D76A5">
        <w:rPr>
          <w:rFonts w:ascii="Arial" w:hAnsi="Arial" w:cs="Arial"/>
          <w:b/>
          <w:sz w:val="24"/>
          <w:szCs w:val="24"/>
        </w:rPr>
        <w:tab/>
      </w:r>
      <w:r w:rsidR="001D76A5">
        <w:rPr>
          <w:rFonts w:ascii="Arial" w:hAnsi="Arial" w:cs="Arial"/>
          <w:b/>
          <w:sz w:val="24"/>
          <w:szCs w:val="24"/>
        </w:rPr>
        <w:tab/>
      </w:r>
      <w:r w:rsidR="001D76A5">
        <w:rPr>
          <w:rFonts w:ascii="Arial" w:hAnsi="Arial" w:cs="Arial"/>
          <w:b/>
          <w:sz w:val="24"/>
          <w:szCs w:val="24"/>
        </w:rPr>
        <w:tab/>
      </w:r>
      <w:r w:rsidR="001D76A5">
        <w:rPr>
          <w:rFonts w:ascii="Arial" w:hAnsi="Arial" w:cs="Arial"/>
          <w:b/>
          <w:sz w:val="24"/>
          <w:szCs w:val="24"/>
        </w:rPr>
        <w:tab/>
      </w:r>
      <w:r w:rsidR="001D76A5">
        <w:rPr>
          <w:rFonts w:ascii="Arial" w:hAnsi="Arial" w:cs="Arial"/>
          <w:b/>
          <w:sz w:val="24"/>
          <w:szCs w:val="24"/>
        </w:rPr>
        <w:tab/>
      </w:r>
      <w:r w:rsidR="001D76A5">
        <w:rPr>
          <w:rFonts w:ascii="Arial" w:hAnsi="Arial" w:cs="Arial"/>
          <w:b/>
          <w:sz w:val="24"/>
          <w:szCs w:val="24"/>
        </w:rPr>
        <w:tab/>
      </w:r>
      <w:r w:rsidR="001D76A5">
        <w:rPr>
          <w:rFonts w:ascii="Arial" w:hAnsi="Arial" w:cs="Arial" w:hint="eastAsia"/>
          <w:b/>
          <w:sz w:val="24"/>
          <w:szCs w:val="24"/>
        </w:rPr>
        <w:t>D</w:t>
      </w:r>
      <w:r w:rsidR="001D76A5">
        <w:rPr>
          <w:rFonts w:ascii="Arial" w:hAnsi="Arial" w:cs="Arial"/>
          <w:b/>
          <w:sz w:val="24"/>
          <w:szCs w:val="24"/>
        </w:rPr>
        <w:t>.</w:t>
      </w:r>
    </w:p>
    <w:p w14:paraId="3B9B16D2" w14:textId="0C41B526" w:rsidR="009C5268" w:rsidRPr="00B56A22" w:rsidRDefault="001D76A5" w:rsidP="00311C96">
      <w:pPr>
        <w:widowControl/>
        <w:wordWrap/>
        <w:autoSpaceDE/>
        <w:autoSpaceDN/>
        <w:adjustRightInd w:val="0"/>
        <w:snapToGrid w:val="0"/>
        <w:spacing w:after="0" w:line="240" w:lineRule="auto"/>
        <w:jc w:val="left"/>
        <w:rPr>
          <w:rFonts w:ascii="Arial" w:hAnsi="Arial" w:cs="Arial"/>
          <w:b/>
          <w:sz w:val="24"/>
          <w:szCs w:val="24"/>
        </w:rPr>
      </w:pPr>
      <w:r w:rsidRPr="001D76A5">
        <w:rPr>
          <w:noProof/>
        </w:rPr>
        <w:drawing>
          <wp:inline distT="0" distB="0" distL="0" distR="0" wp14:anchorId="328AAD74" wp14:editId="27A66FA7">
            <wp:extent cx="5944870" cy="2009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870" cy="2009140"/>
                    </a:xfrm>
                    <a:prstGeom prst="rect">
                      <a:avLst/>
                    </a:prstGeom>
                    <a:noFill/>
                    <a:ln>
                      <a:noFill/>
                    </a:ln>
                  </pic:spPr>
                </pic:pic>
              </a:graphicData>
            </a:graphic>
          </wp:inline>
        </w:drawing>
      </w:r>
    </w:p>
    <w:p w14:paraId="4DD22754" w14:textId="4E548B10" w:rsidR="00B56A22" w:rsidRDefault="00B56A22" w:rsidP="00B56A22">
      <w:pPr>
        <w:widowControl/>
        <w:wordWrap/>
        <w:autoSpaceDE/>
        <w:autoSpaceDN/>
        <w:adjustRightInd w:val="0"/>
        <w:snapToGrid w:val="0"/>
        <w:spacing w:after="0" w:line="480" w:lineRule="auto"/>
        <w:jc w:val="center"/>
        <w:rPr>
          <w:b/>
          <w:sz w:val="24"/>
          <w:szCs w:val="24"/>
        </w:rPr>
      </w:pPr>
      <w:r>
        <w:rPr>
          <w:b/>
          <w:sz w:val="24"/>
          <w:szCs w:val="24"/>
        </w:rPr>
        <w:br w:type="page"/>
      </w:r>
    </w:p>
    <w:p w14:paraId="339C65CB" w14:textId="33059F67" w:rsidR="00A90EEF" w:rsidRDefault="00A90EEF" w:rsidP="00311C96">
      <w:pPr>
        <w:widowControl/>
        <w:wordWrap/>
        <w:autoSpaceDE/>
        <w:autoSpaceDN/>
        <w:adjustRightInd w:val="0"/>
        <w:snapToGrid w:val="0"/>
        <w:spacing w:after="0" w:line="240" w:lineRule="auto"/>
        <w:jc w:val="left"/>
        <w:rPr>
          <w:rFonts w:ascii="Arial" w:hAnsi="Arial" w:cs="Arial"/>
          <w:b/>
          <w:sz w:val="24"/>
          <w:szCs w:val="24"/>
        </w:rPr>
      </w:pPr>
      <w:r w:rsidRPr="00311C96">
        <w:rPr>
          <w:rFonts w:ascii="Arial" w:hAnsi="Arial" w:cs="Arial"/>
          <w:b/>
          <w:sz w:val="24"/>
          <w:szCs w:val="24"/>
        </w:rPr>
        <w:lastRenderedPageBreak/>
        <w:t xml:space="preserve">Figure 3. Concentration curves describing inpatient TB treatment costs </w:t>
      </w:r>
    </w:p>
    <w:p w14:paraId="3A6DE9C3" w14:textId="77777777" w:rsidR="00311C96" w:rsidRPr="00311C96" w:rsidRDefault="00311C96" w:rsidP="00311C96">
      <w:pPr>
        <w:widowControl/>
        <w:wordWrap/>
        <w:autoSpaceDE/>
        <w:autoSpaceDN/>
        <w:adjustRightInd w:val="0"/>
        <w:snapToGrid w:val="0"/>
        <w:spacing w:after="0" w:line="240" w:lineRule="auto"/>
        <w:jc w:val="left"/>
        <w:rPr>
          <w:rFonts w:ascii="Arial" w:hAnsi="Arial" w:cs="Arial"/>
          <w:b/>
          <w:sz w:val="24"/>
          <w:szCs w:val="24"/>
        </w:rPr>
      </w:pPr>
    </w:p>
    <w:p w14:paraId="11F9E761" w14:textId="6C915C36" w:rsidR="00A90EEF" w:rsidRDefault="00A90EEF" w:rsidP="009A5B69">
      <w:pPr>
        <w:widowControl/>
        <w:wordWrap/>
        <w:autoSpaceDE/>
        <w:autoSpaceDN/>
        <w:adjustRightInd w:val="0"/>
        <w:snapToGrid w:val="0"/>
        <w:spacing w:after="0" w:line="240" w:lineRule="auto"/>
        <w:jc w:val="left"/>
        <w:rPr>
          <w:rFonts w:ascii="Arial" w:hAnsi="Arial" w:cs="Arial"/>
          <w:bCs/>
          <w:sz w:val="24"/>
          <w:szCs w:val="24"/>
        </w:rPr>
      </w:pPr>
      <w:r w:rsidRPr="00311C96">
        <w:rPr>
          <w:rFonts w:ascii="Arial" w:hAnsi="Arial" w:cs="Arial"/>
          <w:bCs/>
          <w:sz w:val="24"/>
          <w:szCs w:val="24"/>
        </w:rPr>
        <w:t xml:space="preserve">These </w:t>
      </w:r>
      <w:r w:rsidR="00775E45">
        <w:rPr>
          <w:rFonts w:ascii="Arial" w:hAnsi="Arial" w:cs="Arial"/>
          <w:bCs/>
          <w:sz w:val="24"/>
          <w:szCs w:val="24"/>
        </w:rPr>
        <w:t>four</w:t>
      </w:r>
      <w:r w:rsidR="00775E45" w:rsidRPr="00311C96">
        <w:rPr>
          <w:rFonts w:ascii="Arial" w:hAnsi="Arial" w:cs="Arial"/>
          <w:bCs/>
          <w:sz w:val="24"/>
          <w:szCs w:val="24"/>
        </w:rPr>
        <w:t xml:space="preserve"> </w:t>
      </w:r>
      <w:r w:rsidRPr="00311C96">
        <w:rPr>
          <w:rFonts w:ascii="Arial" w:hAnsi="Arial" w:cs="Arial"/>
          <w:bCs/>
          <w:sz w:val="24"/>
          <w:szCs w:val="24"/>
        </w:rPr>
        <w:t xml:space="preserve">sets of concentration curves display the cumulative percentages of TB treatment costs against the cumulative percentage of the population ranked by household spending level from the poorest to the richest (x-axis). The </w:t>
      </w:r>
      <w:r w:rsidR="00BC556F">
        <w:rPr>
          <w:rFonts w:ascii="Arial" w:hAnsi="Arial" w:cs="Arial"/>
          <w:bCs/>
          <w:sz w:val="24"/>
          <w:szCs w:val="24"/>
        </w:rPr>
        <w:t xml:space="preserve">two </w:t>
      </w:r>
      <w:r w:rsidR="00787FDE">
        <w:rPr>
          <w:rFonts w:ascii="Arial" w:hAnsi="Arial" w:cs="Arial"/>
          <w:bCs/>
          <w:sz w:val="24"/>
          <w:szCs w:val="24"/>
        </w:rPr>
        <w:t xml:space="preserve">upper </w:t>
      </w:r>
      <w:r w:rsidRPr="00311C96">
        <w:rPr>
          <w:rFonts w:ascii="Arial" w:hAnsi="Arial" w:cs="Arial"/>
          <w:bCs/>
          <w:sz w:val="24"/>
          <w:szCs w:val="24"/>
        </w:rPr>
        <w:t>curve</w:t>
      </w:r>
      <w:r w:rsidR="00BC556F">
        <w:rPr>
          <w:rFonts w:ascii="Arial" w:hAnsi="Arial" w:cs="Arial"/>
          <w:bCs/>
          <w:sz w:val="24"/>
          <w:szCs w:val="24"/>
        </w:rPr>
        <w:t xml:space="preserve">s </w:t>
      </w:r>
      <w:r w:rsidRPr="00311C96">
        <w:rPr>
          <w:rFonts w:ascii="Arial" w:hAnsi="Arial" w:cs="Arial"/>
          <w:bCs/>
          <w:sz w:val="24"/>
          <w:szCs w:val="24"/>
        </w:rPr>
        <w:t xml:space="preserve">show the unequal distribution of out-of-pocket (OOP) costs (blue line) and total patient costs (grey line) for inpatient </w:t>
      </w:r>
      <w:r w:rsidR="00BC556F">
        <w:rPr>
          <w:rFonts w:ascii="Arial" w:hAnsi="Arial" w:cs="Arial"/>
          <w:bCs/>
          <w:sz w:val="24"/>
          <w:szCs w:val="24"/>
        </w:rPr>
        <w:t xml:space="preserve">treatment of initial </w:t>
      </w:r>
      <w:r w:rsidRPr="00311C96">
        <w:rPr>
          <w:rFonts w:ascii="Arial" w:hAnsi="Arial" w:cs="Arial"/>
          <w:bCs/>
          <w:sz w:val="24"/>
          <w:szCs w:val="24"/>
        </w:rPr>
        <w:t xml:space="preserve">TB </w:t>
      </w:r>
      <w:r w:rsidR="00BC556F">
        <w:rPr>
          <w:rFonts w:ascii="Arial" w:hAnsi="Arial" w:cs="Arial"/>
          <w:bCs/>
          <w:sz w:val="24"/>
          <w:szCs w:val="24"/>
        </w:rPr>
        <w:t>episode</w:t>
      </w:r>
      <w:r w:rsidR="00787FDE">
        <w:rPr>
          <w:rFonts w:ascii="Arial" w:hAnsi="Arial" w:cs="Arial"/>
          <w:bCs/>
          <w:sz w:val="24"/>
          <w:szCs w:val="24"/>
        </w:rPr>
        <w:t>s</w:t>
      </w:r>
      <w:r w:rsidR="00BC556F">
        <w:rPr>
          <w:rFonts w:ascii="Arial" w:hAnsi="Arial" w:cs="Arial"/>
          <w:bCs/>
          <w:sz w:val="24"/>
          <w:szCs w:val="24"/>
        </w:rPr>
        <w:t xml:space="preserve"> (</w:t>
      </w:r>
      <w:r w:rsidR="00787FDE">
        <w:rPr>
          <w:rFonts w:ascii="Arial" w:hAnsi="Arial" w:cs="Arial"/>
          <w:bCs/>
          <w:sz w:val="24"/>
          <w:szCs w:val="24"/>
        </w:rPr>
        <w:t xml:space="preserve">Panel </w:t>
      </w:r>
      <w:r w:rsidR="00BC556F" w:rsidRPr="00311C96">
        <w:rPr>
          <w:rFonts w:ascii="Arial" w:hAnsi="Arial" w:cs="Arial"/>
          <w:bCs/>
          <w:sz w:val="24"/>
          <w:szCs w:val="24"/>
        </w:rPr>
        <w:t xml:space="preserve">A) </w:t>
      </w:r>
      <w:r w:rsidR="00BC556F">
        <w:rPr>
          <w:rFonts w:ascii="Arial" w:hAnsi="Arial" w:cs="Arial"/>
          <w:bCs/>
          <w:sz w:val="24"/>
          <w:szCs w:val="24"/>
        </w:rPr>
        <w:t>and recurrent TB episode</w:t>
      </w:r>
      <w:r w:rsidR="00787FDE">
        <w:rPr>
          <w:rFonts w:ascii="Arial" w:hAnsi="Arial" w:cs="Arial"/>
          <w:bCs/>
          <w:sz w:val="24"/>
          <w:szCs w:val="24"/>
        </w:rPr>
        <w:t>s</w:t>
      </w:r>
      <w:r w:rsidR="00BC556F">
        <w:rPr>
          <w:rFonts w:ascii="Arial" w:hAnsi="Arial" w:cs="Arial"/>
          <w:bCs/>
          <w:sz w:val="24"/>
          <w:szCs w:val="24"/>
        </w:rPr>
        <w:t xml:space="preserve"> (</w:t>
      </w:r>
      <w:r w:rsidR="00787FDE">
        <w:rPr>
          <w:rFonts w:ascii="Arial" w:hAnsi="Arial" w:cs="Arial"/>
          <w:bCs/>
          <w:sz w:val="24"/>
          <w:szCs w:val="24"/>
        </w:rPr>
        <w:t>Panel B</w:t>
      </w:r>
      <w:r w:rsidR="00BC556F">
        <w:rPr>
          <w:rFonts w:ascii="Arial" w:hAnsi="Arial" w:cs="Arial"/>
          <w:bCs/>
          <w:sz w:val="24"/>
          <w:szCs w:val="24"/>
        </w:rPr>
        <w:t>)</w:t>
      </w:r>
      <w:r w:rsidRPr="00311C96">
        <w:rPr>
          <w:rFonts w:ascii="Arial" w:hAnsi="Arial" w:cs="Arial"/>
          <w:bCs/>
          <w:sz w:val="24"/>
          <w:szCs w:val="24"/>
        </w:rPr>
        <w:t xml:space="preserve">, in which patients with higher self-reported household expenditures also have higher costs of TB treatment. The </w:t>
      </w:r>
      <w:r w:rsidR="00BC556F">
        <w:rPr>
          <w:rFonts w:ascii="Arial" w:hAnsi="Arial" w:cs="Arial"/>
          <w:bCs/>
          <w:sz w:val="24"/>
          <w:szCs w:val="24"/>
        </w:rPr>
        <w:t>two</w:t>
      </w:r>
      <w:r w:rsidR="00787FDE">
        <w:rPr>
          <w:rFonts w:ascii="Arial" w:hAnsi="Arial" w:cs="Arial"/>
          <w:bCs/>
          <w:sz w:val="24"/>
          <w:szCs w:val="24"/>
        </w:rPr>
        <w:t xml:space="preserve"> lower</w:t>
      </w:r>
      <w:r w:rsidR="00BC556F">
        <w:rPr>
          <w:rFonts w:ascii="Arial" w:hAnsi="Arial" w:cs="Arial"/>
          <w:bCs/>
          <w:sz w:val="24"/>
          <w:szCs w:val="24"/>
        </w:rPr>
        <w:t xml:space="preserve"> </w:t>
      </w:r>
      <w:r w:rsidRPr="00311C96">
        <w:rPr>
          <w:rFonts w:ascii="Arial" w:hAnsi="Arial" w:cs="Arial"/>
          <w:bCs/>
          <w:sz w:val="24"/>
          <w:szCs w:val="24"/>
        </w:rPr>
        <w:t>curve</w:t>
      </w:r>
      <w:r w:rsidR="00BC556F">
        <w:rPr>
          <w:rFonts w:ascii="Arial" w:hAnsi="Arial" w:cs="Arial"/>
          <w:bCs/>
          <w:sz w:val="24"/>
          <w:szCs w:val="24"/>
        </w:rPr>
        <w:t>s</w:t>
      </w:r>
      <w:r w:rsidRPr="00311C96">
        <w:rPr>
          <w:rFonts w:ascii="Arial" w:hAnsi="Arial" w:cs="Arial"/>
          <w:bCs/>
          <w:sz w:val="24"/>
          <w:szCs w:val="24"/>
        </w:rPr>
        <w:t xml:space="preserve"> show TB treatment costs scaled as a fraction of household expenditure, revealing that – as a proportion of total household expenditure – the poorest individuals experienced the greatest scaled costs of TB treatment</w:t>
      </w:r>
      <w:r w:rsidR="00BC556F">
        <w:rPr>
          <w:rFonts w:ascii="Arial" w:hAnsi="Arial" w:cs="Arial"/>
          <w:bCs/>
          <w:sz w:val="24"/>
          <w:szCs w:val="24"/>
        </w:rPr>
        <w:t xml:space="preserve"> for both initial TB episode</w:t>
      </w:r>
      <w:r w:rsidR="00787FDE">
        <w:rPr>
          <w:rFonts w:ascii="Arial" w:hAnsi="Arial" w:cs="Arial"/>
          <w:bCs/>
          <w:sz w:val="24"/>
          <w:szCs w:val="24"/>
        </w:rPr>
        <w:t>s</w:t>
      </w:r>
      <w:r w:rsidR="00BC556F">
        <w:rPr>
          <w:rFonts w:ascii="Arial" w:hAnsi="Arial" w:cs="Arial"/>
          <w:bCs/>
          <w:sz w:val="24"/>
          <w:szCs w:val="24"/>
        </w:rPr>
        <w:t xml:space="preserve"> (</w:t>
      </w:r>
      <w:r w:rsidR="00787FDE">
        <w:rPr>
          <w:rFonts w:ascii="Arial" w:hAnsi="Arial" w:cs="Arial"/>
          <w:bCs/>
          <w:sz w:val="24"/>
          <w:szCs w:val="24"/>
        </w:rPr>
        <w:t xml:space="preserve">Panel </w:t>
      </w:r>
      <w:r w:rsidR="00BC556F">
        <w:rPr>
          <w:rFonts w:ascii="Arial" w:hAnsi="Arial" w:cs="Arial"/>
          <w:bCs/>
          <w:sz w:val="24"/>
          <w:szCs w:val="24"/>
        </w:rPr>
        <w:t>C) and recurrent TB (</w:t>
      </w:r>
      <w:r w:rsidR="00787FDE">
        <w:rPr>
          <w:rFonts w:ascii="Arial" w:hAnsi="Arial" w:cs="Arial"/>
          <w:bCs/>
          <w:sz w:val="24"/>
          <w:szCs w:val="24"/>
        </w:rPr>
        <w:t xml:space="preserve">Panel </w:t>
      </w:r>
      <w:r w:rsidR="00BC556F">
        <w:rPr>
          <w:rFonts w:ascii="Arial" w:hAnsi="Arial" w:cs="Arial"/>
          <w:bCs/>
          <w:sz w:val="24"/>
          <w:szCs w:val="24"/>
        </w:rPr>
        <w:t>D)</w:t>
      </w:r>
      <w:r w:rsidRPr="00311C96">
        <w:rPr>
          <w:rFonts w:ascii="Arial" w:hAnsi="Arial" w:cs="Arial"/>
          <w:bCs/>
          <w:sz w:val="24"/>
          <w:szCs w:val="24"/>
        </w:rPr>
        <w:t xml:space="preserve">. </w:t>
      </w:r>
    </w:p>
    <w:p w14:paraId="0F663A17" w14:textId="77777777" w:rsidR="00311C96" w:rsidRPr="00311C96" w:rsidRDefault="00311C96" w:rsidP="00311C96">
      <w:pPr>
        <w:widowControl/>
        <w:wordWrap/>
        <w:autoSpaceDE/>
        <w:autoSpaceDN/>
        <w:adjustRightInd w:val="0"/>
        <w:snapToGrid w:val="0"/>
        <w:spacing w:after="0" w:line="240" w:lineRule="auto"/>
        <w:jc w:val="left"/>
        <w:rPr>
          <w:rFonts w:ascii="Arial" w:hAnsi="Arial" w:cs="Arial"/>
          <w:bCs/>
          <w:sz w:val="24"/>
          <w:szCs w:val="24"/>
        </w:rPr>
      </w:pPr>
    </w:p>
    <w:p w14:paraId="3B2E246B" w14:textId="1C3AC16D" w:rsidR="00A90EEF" w:rsidRPr="00311C96" w:rsidRDefault="00A90EEF" w:rsidP="00311C96">
      <w:pPr>
        <w:widowControl/>
        <w:wordWrap/>
        <w:autoSpaceDE/>
        <w:autoSpaceDN/>
        <w:adjustRightInd w:val="0"/>
        <w:snapToGrid w:val="0"/>
        <w:spacing w:after="0" w:line="240" w:lineRule="auto"/>
        <w:ind w:firstLineChars="50" w:firstLine="118"/>
        <w:jc w:val="left"/>
        <w:rPr>
          <w:rFonts w:ascii="Arial" w:hAnsi="Arial" w:cs="Arial"/>
          <w:b/>
          <w:sz w:val="24"/>
          <w:szCs w:val="24"/>
        </w:rPr>
      </w:pPr>
      <w:r w:rsidRPr="00311C96">
        <w:rPr>
          <w:rFonts w:ascii="Arial" w:hAnsi="Arial" w:cs="Arial"/>
          <w:b/>
          <w:sz w:val="24"/>
          <w:szCs w:val="24"/>
        </w:rPr>
        <w:t>A.                                    B.</w:t>
      </w:r>
    </w:p>
    <w:tbl>
      <w:tblPr>
        <w:tblW w:w="13640" w:type="dxa"/>
        <w:tblCellSpacing w:w="0" w:type="dxa"/>
        <w:shd w:val="clear" w:color="auto" w:fill="FFFFFF"/>
        <w:tblCellMar>
          <w:left w:w="90" w:type="dxa"/>
          <w:bottom w:w="120" w:type="dxa"/>
          <w:right w:w="0" w:type="dxa"/>
        </w:tblCellMar>
        <w:tblLook w:val="04A0" w:firstRow="1" w:lastRow="0" w:firstColumn="1" w:lastColumn="0" w:noHBand="0" w:noVBand="1"/>
      </w:tblPr>
      <w:tblGrid>
        <w:gridCol w:w="13640"/>
      </w:tblGrid>
      <w:tr w:rsidR="00A90EEF" w:rsidRPr="00311C96" w14:paraId="20D2A35F" w14:textId="77777777" w:rsidTr="009C6DF8">
        <w:trPr>
          <w:tblCellSpacing w:w="0" w:type="dxa"/>
        </w:trPr>
        <w:tc>
          <w:tcPr>
            <w:tcW w:w="0" w:type="auto"/>
            <w:shd w:val="clear" w:color="auto" w:fill="FFFFFF"/>
            <w:hideMark/>
          </w:tcPr>
          <w:p w14:paraId="7437EED7" w14:textId="77777777" w:rsidR="00A90EEF" w:rsidRPr="00311C96" w:rsidRDefault="00A90EEF" w:rsidP="00311C96">
            <w:pPr>
              <w:widowControl/>
              <w:wordWrap/>
              <w:autoSpaceDE/>
              <w:autoSpaceDN/>
              <w:adjustRightInd w:val="0"/>
              <w:snapToGrid w:val="0"/>
              <w:spacing w:after="0" w:line="240" w:lineRule="auto"/>
              <w:jc w:val="left"/>
              <w:rPr>
                <w:rFonts w:ascii="Arial" w:hAnsi="Arial" w:cs="Arial"/>
                <w:kern w:val="0"/>
                <w:sz w:val="24"/>
                <w:szCs w:val="24"/>
              </w:rPr>
            </w:pPr>
          </w:p>
        </w:tc>
      </w:tr>
    </w:tbl>
    <w:p w14:paraId="47B23D02" w14:textId="62FBEA31" w:rsidR="00971D24" w:rsidRDefault="00E83F5F" w:rsidP="009C6DF8">
      <w:pPr>
        <w:wordWrap/>
        <w:adjustRightInd w:val="0"/>
        <w:snapToGrid w:val="0"/>
        <w:spacing w:after="0" w:line="480" w:lineRule="auto"/>
        <w:jc w:val="left"/>
        <w:rPr>
          <w:sz w:val="24"/>
          <w:szCs w:val="24"/>
        </w:rPr>
      </w:pPr>
      <w:r w:rsidRPr="00E83F5F">
        <w:rPr>
          <w:noProof/>
        </w:rPr>
        <w:drawing>
          <wp:inline distT="0" distB="0" distL="0" distR="0" wp14:anchorId="3D916E42" wp14:editId="0ACF1547">
            <wp:extent cx="5944870" cy="2371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b="5562"/>
                    <a:stretch/>
                  </pic:blipFill>
                  <pic:spPr bwMode="auto">
                    <a:xfrm>
                      <a:off x="0" y="0"/>
                      <a:ext cx="5944870" cy="2371725"/>
                    </a:xfrm>
                    <a:prstGeom prst="rect">
                      <a:avLst/>
                    </a:prstGeom>
                    <a:noFill/>
                    <a:ln>
                      <a:noFill/>
                    </a:ln>
                    <a:extLst>
                      <a:ext uri="{53640926-AAD7-44D8-BBD7-CCE9431645EC}">
                        <a14:shadowObscured xmlns:a14="http://schemas.microsoft.com/office/drawing/2010/main"/>
                      </a:ext>
                    </a:extLst>
                  </pic:spPr>
                </pic:pic>
              </a:graphicData>
            </a:graphic>
          </wp:inline>
        </w:drawing>
      </w:r>
    </w:p>
    <w:p w14:paraId="463DA7BD" w14:textId="51045190" w:rsidR="00DD5BEF" w:rsidRPr="00311C96" w:rsidRDefault="00DD5BEF" w:rsidP="00DD5BEF">
      <w:pPr>
        <w:widowControl/>
        <w:wordWrap/>
        <w:autoSpaceDE/>
        <w:autoSpaceDN/>
        <w:adjustRightInd w:val="0"/>
        <w:snapToGrid w:val="0"/>
        <w:spacing w:after="0" w:line="240" w:lineRule="auto"/>
        <w:jc w:val="left"/>
        <w:rPr>
          <w:rFonts w:ascii="Arial" w:hAnsi="Arial" w:cs="Arial"/>
          <w:b/>
          <w:sz w:val="24"/>
          <w:szCs w:val="24"/>
        </w:rPr>
      </w:pPr>
      <w:r>
        <w:rPr>
          <w:rFonts w:ascii="Arial" w:hAnsi="Arial" w:cs="Arial"/>
          <w:b/>
          <w:sz w:val="24"/>
          <w:szCs w:val="24"/>
        </w:rPr>
        <w:t>C</w:t>
      </w:r>
      <w:r w:rsidRPr="00311C96">
        <w:rPr>
          <w:rFonts w:ascii="Arial" w:hAnsi="Arial" w:cs="Arial"/>
          <w:b/>
          <w:sz w:val="24"/>
          <w:szCs w:val="24"/>
        </w:rPr>
        <w:t xml:space="preserve">.                                    </w:t>
      </w:r>
      <w:r>
        <w:rPr>
          <w:rFonts w:ascii="Arial" w:hAnsi="Arial" w:cs="Arial"/>
          <w:b/>
          <w:sz w:val="24"/>
          <w:szCs w:val="24"/>
        </w:rPr>
        <w:t>D</w:t>
      </w:r>
      <w:r w:rsidRPr="00311C96">
        <w:rPr>
          <w:rFonts w:ascii="Arial" w:hAnsi="Arial" w:cs="Arial"/>
          <w:b/>
          <w:sz w:val="24"/>
          <w:szCs w:val="24"/>
        </w:rPr>
        <w:t>.</w:t>
      </w:r>
    </w:p>
    <w:p w14:paraId="1201542F" w14:textId="16F3DACE" w:rsidR="005577AE" w:rsidRPr="009C6DF8" w:rsidRDefault="00E83F5F" w:rsidP="009C6DF8">
      <w:pPr>
        <w:wordWrap/>
        <w:adjustRightInd w:val="0"/>
        <w:snapToGrid w:val="0"/>
        <w:spacing w:after="0" w:line="480" w:lineRule="auto"/>
        <w:jc w:val="left"/>
        <w:rPr>
          <w:sz w:val="24"/>
          <w:szCs w:val="24"/>
        </w:rPr>
      </w:pPr>
      <w:r w:rsidRPr="00E83F5F">
        <w:rPr>
          <w:noProof/>
        </w:rPr>
        <w:drawing>
          <wp:inline distT="0" distB="0" distL="0" distR="0" wp14:anchorId="5710F3E0" wp14:editId="14D60573">
            <wp:extent cx="5944870" cy="2503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870" cy="2503170"/>
                    </a:xfrm>
                    <a:prstGeom prst="rect">
                      <a:avLst/>
                    </a:prstGeom>
                    <a:noFill/>
                    <a:ln>
                      <a:noFill/>
                    </a:ln>
                  </pic:spPr>
                </pic:pic>
              </a:graphicData>
            </a:graphic>
          </wp:inline>
        </w:drawing>
      </w:r>
    </w:p>
    <w:sectPr w:rsidR="005577AE" w:rsidRPr="009C6DF8" w:rsidSect="00BA4636">
      <w:pgSz w:w="12242" w:h="15842" w:code="1"/>
      <w:pgMar w:top="1440" w:right="1440" w:bottom="1440" w:left="1440" w:header="540" w:footer="0" w:gutter="0"/>
      <w:lnNumType w:countBy="1" w:restart="continuou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7DAA2" w14:textId="77777777" w:rsidR="005829E3" w:rsidRDefault="005829E3" w:rsidP="00311C96">
      <w:pPr>
        <w:spacing w:after="0" w:line="240" w:lineRule="auto"/>
      </w:pPr>
      <w:r>
        <w:separator/>
      </w:r>
    </w:p>
  </w:endnote>
  <w:endnote w:type="continuationSeparator" w:id="0">
    <w:p w14:paraId="6EFCB0EA" w14:textId="77777777" w:rsidR="005829E3" w:rsidRDefault="005829E3" w:rsidP="0031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00007843" w:usb2="00000001"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028059"/>
      <w:docPartObj>
        <w:docPartGallery w:val="Page Numbers (Bottom of Page)"/>
        <w:docPartUnique/>
      </w:docPartObj>
    </w:sdtPr>
    <w:sdtEndPr>
      <w:rPr>
        <w:noProof/>
      </w:rPr>
    </w:sdtEndPr>
    <w:sdtContent>
      <w:p w14:paraId="3AA01516" w14:textId="34EDEB41" w:rsidR="00EC3765" w:rsidRDefault="00EC37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CAC0AF" w14:textId="77777777" w:rsidR="00EC3765" w:rsidRDefault="00EC3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74085" w14:textId="77777777" w:rsidR="005829E3" w:rsidRDefault="005829E3" w:rsidP="00311C96">
      <w:pPr>
        <w:spacing w:after="0" w:line="240" w:lineRule="auto"/>
      </w:pPr>
      <w:r>
        <w:separator/>
      </w:r>
    </w:p>
  </w:footnote>
  <w:footnote w:type="continuationSeparator" w:id="0">
    <w:p w14:paraId="4C4FA8A1" w14:textId="77777777" w:rsidR="005829E3" w:rsidRDefault="005829E3" w:rsidP="00311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5216" w14:textId="77777777" w:rsidR="007273B3" w:rsidRDefault="007273B3">
    <w:pPr>
      <w:pStyle w:val="Header"/>
    </w:pPr>
    <w:r w:rsidRPr="007273B3">
      <w:t xml:space="preserve">Patient-incurred cost of inpatient treatment for tuberculosis in rural Malawi  </w:t>
    </w:r>
  </w:p>
  <w:p w14:paraId="2CA32CDD" w14:textId="4882E9B0" w:rsidR="007273B3" w:rsidRDefault="007273B3">
    <w:pPr>
      <w:pStyle w:val="Header"/>
    </w:pPr>
    <w:r w:rsidRPr="007273B3">
      <w:t xml:space="preserve">Trop Med Int Health. 2020 Feb 8. </w:t>
    </w:r>
    <w:proofErr w:type="spellStart"/>
    <w:r w:rsidRPr="007273B3">
      <w:t>doi</w:t>
    </w:r>
    <w:proofErr w:type="spellEnd"/>
    <w:r w:rsidRPr="007273B3">
      <w:t>: 10.1111/tmi.13381.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EF"/>
    <w:rsid w:val="0000718A"/>
    <w:rsid w:val="0003036D"/>
    <w:rsid w:val="00037AAD"/>
    <w:rsid w:val="00060468"/>
    <w:rsid w:val="00061474"/>
    <w:rsid w:val="0007530A"/>
    <w:rsid w:val="00081F10"/>
    <w:rsid w:val="000851F8"/>
    <w:rsid w:val="0008682C"/>
    <w:rsid w:val="00087672"/>
    <w:rsid w:val="000A1713"/>
    <w:rsid w:val="000C0D7D"/>
    <w:rsid w:val="000C244F"/>
    <w:rsid w:val="000E7C52"/>
    <w:rsid w:val="000F59BE"/>
    <w:rsid w:val="001006D6"/>
    <w:rsid w:val="00112DD6"/>
    <w:rsid w:val="00115490"/>
    <w:rsid w:val="00116871"/>
    <w:rsid w:val="001612B3"/>
    <w:rsid w:val="001A0AD7"/>
    <w:rsid w:val="001A684A"/>
    <w:rsid w:val="001B388D"/>
    <w:rsid w:val="001C1496"/>
    <w:rsid w:val="001D76A5"/>
    <w:rsid w:val="002165E1"/>
    <w:rsid w:val="00283ED1"/>
    <w:rsid w:val="002B69A9"/>
    <w:rsid w:val="002D5D7F"/>
    <w:rsid w:val="002E025D"/>
    <w:rsid w:val="00304549"/>
    <w:rsid w:val="003047B7"/>
    <w:rsid w:val="0031189C"/>
    <w:rsid w:val="00311C96"/>
    <w:rsid w:val="003220FD"/>
    <w:rsid w:val="00326EA9"/>
    <w:rsid w:val="00334611"/>
    <w:rsid w:val="00355C77"/>
    <w:rsid w:val="0035602D"/>
    <w:rsid w:val="0036218C"/>
    <w:rsid w:val="00373B25"/>
    <w:rsid w:val="00377FD6"/>
    <w:rsid w:val="00386091"/>
    <w:rsid w:val="003A1F4E"/>
    <w:rsid w:val="003A2793"/>
    <w:rsid w:val="003C5C1B"/>
    <w:rsid w:val="003C7EB9"/>
    <w:rsid w:val="003D39DE"/>
    <w:rsid w:val="003E23A6"/>
    <w:rsid w:val="003E7471"/>
    <w:rsid w:val="00407D40"/>
    <w:rsid w:val="0041048E"/>
    <w:rsid w:val="004332F7"/>
    <w:rsid w:val="004439AC"/>
    <w:rsid w:val="0045156B"/>
    <w:rsid w:val="00456A26"/>
    <w:rsid w:val="0045726C"/>
    <w:rsid w:val="00492D59"/>
    <w:rsid w:val="004A14BF"/>
    <w:rsid w:val="004B5599"/>
    <w:rsid w:val="004C19D8"/>
    <w:rsid w:val="004E18B3"/>
    <w:rsid w:val="004F29EC"/>
    <w:rsid w:val="0050651D"/>
    <w:rsid w:val="005068B0"/>
    <w:rsid w:val="0052290E"/>
    <w:rsid w:val="005264B4"/>
    <w:rsid w:val="005330D7"/>
    <w:rsid w:val="00536BC0"/>
    <w:rsid w:val="00546874"/>
    <w:rsid w:val="0055082A"/>
    <w:rsid w:val="00555C42"/>
    <w:rsid w:val="0055668A"/>
    <w:rsid w:val="005577AE"/>
    <w:rsid w:val="005829E3"/>
    <w:rsid w:val="0058497F"/>
    <w:rsid w:val="005878AA"/>
    <w:rsid w:val="0059234C"/>
    <w:rsid w:val="005A07BA"/>
    <w:rsid w:val="005A1FB1"/>
    <w:rsid w:val="005A2D78"/>
    <w:rsid w:val="005C4659"/>
    <w:rsid w:val="005D533B"/>
    <w:rsid w:val="0061594E"/>
    <w:rsid w:val="00695A23"/>
    <w:rsid w:val="00696441"/>
    <w:rsid w:val="006A7DD1"/>
    <w:rsid w:val="006B749E"/>
    <w:rsid w:val="006C3595"/>
    <w:rsid w:val="006D3E18"/>
    <w:rsid w:val="006F107F"/>
    <w:rsid w:val="006F2FC5"/>
    <w:rsid w:val="006F5F32"/>
    <w:rsid w:val="0070340D"/>
    <w:rsid w:val="007273B3"/>
    <w:rsid w:val="007400B3"/>
    <w:rsid w:val="00745A4C"/>
    <w:rsid w:val="0075208C"/>
    <w:rsid w:val="0075422C"/>
    <w:rsid w:val="00760A02"/>
    <w:rsid w:val="00772DB7"/>
    <w:rsid w:val="00775E45"/>
    <w:rsid w:val="00784F52"/>
    <w:rsid w:val="00787FDE"/>
    <w:rsid w:val="0079467B"/>
    <w:rsid w:val="00797963"/>
    <w:rsid w:val="007B6387"/>
    <w:rsid w:val="007C420C"/>
    <w:rsid w:val="007F335A"/>
    <w:rsid w:val="00836449"/>
    <w:rsid w:val="0084666D"/>
    <w:rsid w:val="008C446D"/>
    <w:rsid w:val="008F1400"/>
    <w:rsid w:val="00917052"/>
    <w:rsid w:val="00932C2A"/>
    <w:rsid w:val="00971D24"/>
    <w:rsid w:val="00986AFC"/>
    <w:rsid w:val="009A5B69"/>
    <w:rsid w:val="009C5268"/>
    <w:rsid w:val="009C6DF8"/>
    <w:rsid w:val="009C75D3"/>
    <w:rsid w:val="009D05EC"/>
    <w:rsid w:val="009D1E0B"/>
    <w:rsid w:val="009E59D5"/>
    <w:rsid w:val="009E627D"/>
    <w:rsid w:val="00A046AC"/>
    <w:rsid w:val="00A161B1"/>
    <w:rsid w:val="00A20244"/>
    <w:rsid w:val="00A61530"/>
    <w:rsid w:val="00A647B5"/>
    <w:rsid w:val="00A70591"/>
    <w:rsid w:val="00A90EEF"/>
    <w:rsid w:val="00A92A49"/>
    <w:rsid w:val="00AA19F4"/>
    <w:rsid w:val="00AA600D"/>
    <w:rsid w:val="00AB462E"/>
    <w:rsid w:val="00AC55A7"/>
    <w:rsid w:val="00AC5682"/>
    <w:rsid w:val="00B5203E"/>
    <w:rsid w:val="00B56A22"/>
    <w:rsid w:val="00B62FFC"/>
    <w:rsid w:val="00B6696B"/>
    <w:rsid w:val="00B70515"/>
    <w:rsid w:val="00B82806"/>
    <w:rsid w:val="00BA4636"/>
    <w:rsid w:val="00BB1E9B"/>
    <w:rsid w:val="00BC556F"/>
    <w:rsid w:val="00BD1208"/>
    <w:rsid w:val="00BE34CB"/>
    <w:rsid w:val="00C00D26"/>
    <w:rsid w:val="00C0674E"/>
    <w:rsid w:val="00C0733A"/>
    <w:rsid w:val="00C07C1B"/>
    <w:rsid w:val="00C107E1"/>
    <w:rsid w:val="00C25E76"/>
    <w:rsid w:val="00C750DD"/>
    <w:rsid w:val="00C765B5"/>
    <w:rsid w:val="00C76643"/>
    <w:rsid w:val="00C80F56"/>
    <w:rsid w:val="00C90AAC"/>
    <w:rsid w:val="00C92753"/>
    <w:rsid w:val="00CA4ADB"/>
    <w:rsid w:val="00CC2779"/>
    <w:rsid w:val="00CE3073"/>
    <w:rsid w:val="00CF685D"/>
    <w:rsid w:val="00CF73AE"/>
    <w:rsid w:val="00D4012B"/>
    <w:rsid w:val="00D52B4A"/>
    <w:rsid w:val="00D65A43"/>
    <w:rsid w:val="00DA23B7"/>
    <w:rsid w:val="00DA466A"/>
    <w:rsid w:val="00DB06B1"/>
    <w:rsid w:val="00DB223C"/>
    <w:rsid w:val="00DB3ED8"/>
    <w:rsid w:val="00DD5BEF"/>
    <w:rsid w:val="00DF0D03"/>
    <w:rsid w:val="00E3401E"/>
    <w:rsid w:val="00E4197B"/>
    <w:rsid w:val="00E63860"/>
    <w:rsid w:val="00E735A7"/>
    <w:rsid w:val="00E83F5F"/>
    <w:rsid w:val="00EA7CD3"/>
    <w:rsid w:val="00EB5439"/>
    <w:rsid w:val="00EB7F42"/>
    <w:rsid w:val="00EC3765"/>
    <w:rsid w:val="00ED0FDF"/>
    <w:rsid w:val="00ED6358"/>
    <w:rsid w:val="00F00984"/>
    <w:rsid w:val="00F01BF0"/>
    <w:rsid w:val="00F17701"/>
    <w:rsid w:val="00F265C0"/>
    <w:rsid w:val="00F37C7F"/>
    <w:rsid w:val="00F42EE6"/>
    <w:rsid w:val="00F66EFB"/>
    <w:rsid w:val="00FD1C60"/>
    <w:rsid w:val="00FE3DD0"/>
    <w:rsid w:val="00FE46FC"/>
    <w:rsid w:val="00FF21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12855"/>
  <w15:chartTrackingRefBased/>
  <w15:docId w15:val="{59A9C674-7166-4075-ADB6-3FAD67D2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EEF"/>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90EEF"/>
    <w:pPr>
      <w:spacing w:line="240" w:lineRule="auto"/>
    </w:pPr>
    <w:rPr>
      <w:szCs w:val="20"/>
    </w:rPr>
  </w:style>
  <w:style w:type="character" w:customStyle="1" w:styleId="CommentTextChar">
    <w:name w:val="Comment Text Char"/>
    <w:basedOn w:val="DefaultParagraphFont"/>
    <w:link w:val="CommentText"/>
    <w:uiPriority w:val="99"/>
    <w:rsid w:val="00A90EEF"/>
    <w:rPr>
      <w:szCs w:val="20"/>
    </w:rPr>
  </w:style>
  <w:style w:type="character" w:styleId="CommentReference">
    <w:name w:val="annotation reference"/>
    <w:basedOn w:val="DefaultParagraphFont"/>
    <w:uiPriority w:val="99"/>
    <w:semiHidden/>
    <w:unhideWhenUsed/>
    <w:rsid w:val="00A90EEF"/>
    <w:rPr>
      <w:sz w:val="16"/>
      <w:szCs w:val="16"/>
    </w:rPr>
  </w:style>
  <w:style w:type="paragraph" w:styleId="BalloonText">
    <w:name w:val="Balloon Text"/>
    <w:basedOn w:val="Normal"/>
    <w:link w:val="BalloonTextChar"/>
    <w:uiPriority w:val="99"/>
    <w:semiHidden/>
    <w:unhideWhenUsed/>
    <w:rsid w:val="00A90EE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90EEF"/>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A90EEF"/>
    <w:pPr>
      <w:tabs>
        <w:tab w:val="center" w:pos="4513"/>
        <w:tab w:val="right" w:pos="9026"/>
      </w:tabs>
      <w:snapToGrid w:val="0"/>
    </w:pPr>
  </w:style>
  <w:style w:type="character" w:customStyle="1" w:styleId="HeaderChar">
    <w:name w:val="Header Char"/>
    <w:basedOn w:val="DefaultParagraphFont"/>
    <w:link w:val="Header"/>
    <w:uiPriority w:val="99"/>
    <w:rsid w:val="00A90EEF"/>
  </w:style>
  <w:style w:type="paragraph" w:styleId="Footer">
    <w:name w:val="footer"/>
    <w:basedOn w:val="Normal"/>
    <w:link w:val="FooterChar"/>
    <w:uiPriority w:val="99"/>
    <w:unhideWhenUsed/>
    <w:rsid w:val="00A90EEF"/>
    <w:pPr>
      <w:tabs>
        <w:tab w:val="center" w:pos="4513"/>
        <w:tab w:val="right" w:pos="9026"/>
      </w:tabs>
      <w:snapToGrid w:val="0"/>
    </w:pPr>
  </w:style>
  <w:style w:type="character" w:customStyle="1" w:styleId="FooterChar">
    <w:name w:val="Footer Char"/>
    <w:basedOn w:val="DefaultParagraphFont"/>
    <w:link w:val="Footer"/>
    <w:uiPriority w:val="99"/>
    <w:rsid w:val="00A90EEF"/>
  </w:style>
  <w:style w:type="table" w:styleId="TableGrid">
    <w:name w:val="Table Grid"/>
    <w:basedOn w:val="TableNormal"/>
    <w:uiPriority w:val="39"/>
    <w:rsid w:val="00A90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0EEF"/>
    <w:rPr>
      <w:color w:val="0000FF"/>
      <w:u w:val="single"/>
    </w:rPr>
  </w:style>
  <w:style w:type="paragraph" w:styleId="HTMLPreformatted">
    <w:name w:val="HTML Preformatted"/>
    <w:basedOn w:val="Normal"/>
    <w:link w:val="HTMLPreformattedChar"/>
    <w:uiPriority w:val="99"/>
    <w:unhideWhenUsed/>
    <w:rsid w:val="00A90E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HTMLPreformattedChar">
    <w:name w:val="HTML Preformatted Char"/>
    <w:basedOn w:val="DefaultParagraphFont"/>
    <w:link w:val="HTMLPreformatted"/>
    <w:uiPriority w:val="99"/>
    <w:rsid w:val="00A90EEF"/>
    <w:rPr>
      <w:rFonts w:ascii="GulimChe" w:eastAsia="GulimChe" w:hAnsi="GulimChe" w:cs="GulimChe"/>
      <w:kern w:val="0"/>
      <w:sz w:val="24"/>
      <w:szCs w:val="24"/>
    </w:rPr>
  </w:style>
  <w:style w:type="character" w:styleId="FollowedHyperlink">
    <w:name w:val="FollowedHyperlink"/>
    <w:basedOn w:val="DefaultParagraphFont"/>
    <w:uiPriority w:val="99"/>
    <w:semiHidden/>
    <w:unhideWhenUsed/>
    <w:rsid w:val="00A90EEF"/>
    <w:rPr>
      <w:color w:val="954F72" w:themeColor="followedHyperlink"/>
      <w:u w:val="single"/>
    </w:rPr>
  </w:style>
  <w:style w:type="paragraph" w:styleId="FootnoteText">
    <w:name w:val="footnote text"/>
    <w:basedOn w:val="Normal"/>
    <w:link w:val="FootnoteTextChar"/>
    <w:uiPriority w:val="99"/>
    <w:semiHidden/>
    <w:unhideWhenUsed/>
    <w:rsid w:val="00A90EEF"/>
    <w:pPr>
      <w:snapToGrid w:val="0"/>
      <w:jc w:val="left"/>
    </w:pPr>
  </w:style>
  <w:style w:type="character" w:customStyle="1" w:styleId="FootnoteTextChar">
    <w:name w:val="Footnote Text Char"/>
    <w:basedOn w:val="DefaultParagraphFont"/>
    <w:link w:val="FootnoteText"/>
    <w:uiPriority w:val="99"/>
    <w:semiHidden/>
    <w:rsid w:val="00A90EEF"/>
  </w:style>
  <w:style w:type="character" w:styleId="FootnoteReference">
    <w:name w:val="footnote reference"/>
    <w:basedOn w:val="DefaultParagraphFont"/>
    <w:uiPriority w:val="99"/>
    <w:semiHidden/>
    <w:unhideWhenUsed/>
    <w:rsid w:val="00A90EEF"/>
    <w:rPr>
      <w:vertAlign w:val="superscript"/>
    </w:rPr>
  </w:style>
  <w:style w:type="paragraph" w:styleId="EndnoteText">
    <w:name w:val="endnote text"/>
    <w:basedOn w:val="Normal"/>
    <w:link w:val="EndnoteTextChar"/>
    <w:uiPriority w:val="99"/>
    <w:unhideWhenUsed/>
    <w:rsid w:val="00A90EEF"/>
    <w:pPr>
      <w:snapToGrid w:val="0"/>
      <w:jc w:val="left"/>
    </w:pPr>
  </w:style>
  <w:style w:type="character" w:customStyle="1" w:styleId="EndnoteTextChar">
    <w:name w:val="Endnote Text Char"/>
    <w:basedOn w:val="DefaultParagraphFont"/>
    <w:link w:val="EndnoteText"/>
    <w:uiPriority w:val="99"/>
    <w:rsid w:val="00A90EEF"/>
  </w:style>
  <w:style w:type="character" w:styleId="EndnoteReference">
    <w:name w:val="endnote reference"/>
    <w:basedOn w:val="DefaultParagraphFont"/>
    <w:uiPriority w:val="99"/>
    <w:semiHidden/>
    <w:unhideWhenUsed/>
    <w:rsid w:val="00A90EEF"/>
    <w:rPr>
      <w:vertAlign w:val="superscript"/>
    </w:rPr>
  </w:style>
  <w:style w:type="character" w:styleId="Emphasis">
    <w:name w:val="Emphasis"/>
    <w:basedOn w:val="DefaultParagraphFont"/>
    <w:uiPriority w:val="20"/>
    <w:qFormat/>
    <w:rsid w:val="00A90EEF"/>
    <w:rPr>
      <w:i/>
      <w:iCs/>
    </w:rPr>
  </w:style>
  <w:style w:type="character" w:customStyle="1" w:styleId="caps">
    <w:name w:val="caps"/>
    <w:basedOn w:val="DefaultParagraphFont"/>
    <w:rsid w:val="00A90EEF"/>
  </w:style>
  <w:style w:type="character" w:styleId="PlaceholderText">
    <w:name w:val="Placeholder Text"/>
    <w:basedOn w:val="DefaultParagraphFont"/>
    <w:uiPriority w:val="99"/>
    <w:semiHidden/>
    <w:rsid w:val="00A90EEF"/>
    <w:rPr>
      <w:color w:val="808080"/>
    </w:rPr>
  </w:style>
  <w:style w:type="character" w:customStyle="1" w:styleId="gd15mcfceub">
    <w:name w:val="gd15mcfceub"/>
    <w:basedOn w:val="DefaultParagraphFont"/>
    <w:rsid w:val="00A90EEF"/>
  </w:style>
  <w:style w:type="character" w:styleId="Strong">
    <w:name w:val="Strong"/>
    <w:basedOn w:val="DefaultParagraphFont"/>
    <w:uiPriority w:val="22"/>
    <w:qFormat/>
    <w:rsid w:val="00A90EEF"/>
    <w:rPr>
      <w:b/>
      <w:bCs/>
    </w:rPr>
  </w:style>
  <w:style w:type="character" w:styleId="UnresolvedMention">
    <w:name w:val="Unresolved Mention"/>
    <w:basedOn w:val="DefaultParagraphFont"/>
    <w:uiPriority w:val="99"/>
    <w:semiHidden/>
    <w:unhideWhenUsed/>
    <w:rsid w:val="00A90EEF"/>
    <w:rPr>
      <w:color w:val="605E5C"/>
      <w:shd w:val="clear" w:color="auto" w:fill="E1DFDD"/>
    </w:rPr>
  </w:style>
  <w:style w:type="character" w:styleId="SubtleEmphasis">
    <w:name w:val="Subtle Emphasis"/>
    <w:basedOn w:val="DefaultParagraphFont"/>
    <w:uiPriority w:val="19"/>
    <w:qFormat/>
    <w:rsid w:val="00A90EEF"/>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A90EEF"/>
    <w:rPr>
      <w:b/>
      <w:bCs/>
    </w:rPr>
  </w:style>
  <w:style w:type="character" w:customStyle="1" w:styleId="CommentSubjectChar">
    <w:name w:val="Comment Subject Char"/>
    <w:basedOn w:val="CommentTextChar"/>
    <w:link w:val="CommentSubject"/>
    <w:uiPriority w:val="99"/>
    <w:semiHidden/>
    <w:rsid w:val="00A90EEF"/>
    <w:rPr>
      <w:b/>
      <w:bCs/>
      <w:szCs w:val="20"/>
    </w:rPr>
  </w:style>
  <w:style w:type="paragraph" w:styleId="Revision">
    <w:name w:val="Revision"/>
    <w:hidden/>
    <w:uiPriority w:val="99"/>
    <w:semiHidden/>
    <w:rsid w:val="00A90EEF"/>
    <w:pPr>
      <w:spacing w:after="0" w:line="240" w:lineRule="auto"/>
      <w:jc w:val="left"/>
    </w:pPr>
  </w:style>
  <w:style w:type="paragraph" w:styleId="ListParagraph">
    <w:name w:val="List Paragraph"/>
    <w:basedOn w:val="Normal"/>
    <w:uiPriority w:val="34"/>
    <w:qFormat/>
    <w:rsid w:val="00A90EEF"/>
    <w:pPr>
      <w:ind w:left="720"/>
      <w:contextualSpacing/>
    </w:pPr>
  </w:style>
  <w:style w:type="character" w:styleId="LineNumber">
    <w:name w:val="line number"/>
    <w:basedOn w:val="DefaultParagraphFont"/>
    <w:uiPriority w:val="99"/>
    <w:semiHidden/>
    <w:unhideWhenUsed/>
    <w:rsid w:val="008C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9376">
      <w:bodyDiv w:val="1"/>
      <w:marLeft w:val="0"/>
      <w:marRight w:val="0"/>
      <w:marTop w:val="0"/>
      <w:marBottom w:val="0"/>
      <w:divBdr>
        <w:top w:val="none" w:sz="0" w:space="0" w:color="auto"/>
        <w:left w:val="none" w:sz="0" w:space="0" w:color="auto"/>
        <w:bottom w:val="none" w:sz="0" w:space="0" w:color="auto"/>
        <w:right w:val="none" w:sz="0" w:space="0" w:color="auto"/>
      </w:divBdr>
    </w:div>
    <w:div w:id="6504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CECAE90-0B3E-4506-A582-85B46B2C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5775</Words>
  <Characters>32918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혜정 신</dc:creator>
  <cp:keywords/>
  <dc:description/>
  <cp:lastModifiedBy>Lucky G. Ngwira</cp:lastModifiedBy>
  <cp:revision>4</cp:revision>
  <dcterms:created xsi:type="dcterms:W3CDTF">2020-01-26T02:41:00Z</dcterms:created>
  <dcterms:modified xsi:type="dcterms:W3CDTF">2020-03-16T13:28:00Z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e04d33e3-8695-3879-b072-7a0e46670ade</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https://csl.mendeley.com/styles/561097271/vancouver</vt:lpwstr>
  </property>
  <property fmtid="{D5CDD505-2E9C-101B-9397-08002B2CF9AE}" pid="22" name="Mendeley Recent Style Name 8_1">
    <vt:lpwstr>Vancouver - HYEJEONG SHIN</vt:lpwstr>
  </property>
  <property fmtid="{D5CDD505-2E9C-101B-9397-08002B2CF9AE}" pid="23" name="Mendeley Recent Style Id 9_1">
    <vt:lpwstr>http://csl.mendeley.com/styles/561097271/vancouver</vt:lpwstr>
  </property>
  <property fmtid="{D5CDD505-2E9C-101B-9397-08002B2CF9AE}" pid="24" name="Mendeley Recent Style Name 9_1">
    <vt:lpwstr>Vancouver - HYEJEONG SHIN</vt:lpwstr>
  </property>
</Properties>
</file>