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6C277" w14:textId="4ECAF85E" w:rsidR="00224AA7" w:rsidRPr="00C70D1D" w:rsidRDefault="00371289" w:rsidP="00224AA7">
      <w:pPr>
        <w:rPr>
          <w:b/>
          <w:bCs/>
          <w:sz w:val="28"/>
          <w:szCs w:val="28"/>
        </w:rPr>
      </w:pPr>
      <w:bookmarkStart w:id="0" w:name="_Hlk536346516"/>
      <w:r w:rsidRPr="00A71E7D">
        <w:rPr>
          <w:b/>
          <w:bCs/>
          <w:sz w:val="28"/>
          <w:szCs w:val="28"/>
        </w:rPr>
        <w:t xml:space="preserve">The </w:t>
      </w:r>
      <w:r w:rsidRPr="00C70D1D">
        <w:rPr>
          <w:b/>
          <w:bCs/>
          <w:sz w:val="28"/>
          <w:szCs w:val="28"/>
        </w:rPr>
        <w:t>s</w:t>
      </w:r>
      <w:r w:rsidR="00224AA7" w:rsidRPr="00C70D1D">
        <w:rPr>
          <w:b/>
          <w:bCs/>
          <w:sz w:val="28"/>
          <w:szCs w:val="28"/>
        </w:rPr>
        <w:t>ignificant gap between international standards and stroke management practices at Queen Elizabeth Central Hospital (Malawi): an audit report</w:t>
      </w:r>
    </w:p>
    <w:p w14:paraId="445F4818" w14:textId="5F3157BE" w:rsidR="00224AA7" w:rsidRPr="00C70D1D" w:rsidRDefault="00224AA7" w:rsidP="00224AA7">
      <w:pPr>
        <w:rPr>
          <w:bCs/>
          <w:sz w:val="24"/>
          <w:szCs w:val="24"/>
          <w:vertAlign w:val="superscript"/>
        </w:rPr>
      </w:pPr>
      <w:r w:rsidRPr="00C70D1D">
        <w:rPr>
          <w:bCs/>
          <w:sz w:val="24"/>
          <w:szCs w:val="24"/>
        </w:rPr>
        <w:t xml:space="preserve">Yohane </w:t>
      </w:r>
      <w:r w:rsidR="006E5A69" w:rsidRPr="00C70D1D">
        <w:rPr>
          <w:bCs/>
          <w:sz w:val="24"/>
          <w:szCs w:val="24"/>
        </w:rPr>
        <w:t>Gadama</w:t>
      </w:r>
      <w:r w:rsidR="006E5A69" w:rsidRPr="00C70D1D">
        <w:rPr>
          <w:bCs/>
          <w:sz w:val="24"/>
          <w:szCs w:val="24"/>
          <w:vertAlign w:val="superscript"/>
        </w:rPr>
        <w:t>1</w:t>
      </w:r>
      <w:r w:rsidRPr="00C70D1D">
        <w:rPr>
          <w:bCs/>
          <w:sz w:val="24"/>
          <w:szCs w:val="24"/>
          <w:vertAlign w:val="superscript"/>
        </w:rPr>
        <w:t>,</w:t>
      </w:r>
      <w:proofErr w:type="gramStart"/>
      <w:r w:rsidRPr="00C70D1D">
        <w:rPr>
          <w:bCs/>
          <w:sz w:val="24"/>
          <w:szCs w:val="24"/>
          <w:vertAlign w:val="superscript"/>
        </w:rPr>
        <w:t>2</w:t>
      </w:r>
      <w:r w:rsidR="00A42EF0" w:rsidRPr="00C70D1D">
        <w:rPr>
          <w:bCs/>
          <w:sz w:val="24"/>
          <w:szCs w:val="24"/>
          <w:vertAlign w:val="superscript"/>
        </w:rPr>
        <w:t>,</w:t>
      </w:r>
      <w:r w:rsidR="00231514" w:rsidRPr="00B17041">
        <w:rPr>
          <w:rFonts w:cstheme="minorHAnsi"/>
          <w:bCs/>
          <w:sz w:val="24"/>
          <w:szCs w:val="24"/>
        </w:rPr>
        <w:t>†</w:t>
      </w:r>
      <w:proofErr w:type="gramEnd"/>
      <w:r w:rsidRPr="00C70D1D">
        <w:rPr>
          <w:bCs/>
          <w:sz w:val="24"/>
          <w:szCs w:val="24"/>
        </w:rPr>
        <w:t xml:space="preserve">, Joseph </w:t>
      </w:r>
      <w:r w:rsidR="006E5A69" w:rsidRPr="00C70D1D">
        <w:rPr>
          <w:bCs/>
          <w:sz w:val="24"/>
          <w:szCs w:val="24"/>
        </w:rPr>
        <w:t>Kamtchum</w:t>
      </w:r>
      <w:r w:rsidRPr="00C70D1D">
        <w:rPr>
          <w:bCs/>
          <w:sz w:val="24"/>
          <w:szCs w:val="24"/>
        </w:rPr>
        <w:t>-</w:t>
      </w:r>
      <w:r w:rsidR="006E5A69" w:rsidRPr="00C70D1D">
        <w:rPr>
          <w:bCs/>
          <w:sz w:val="24"/>
          <w:szCs w:val="24"/>
        </w:rPr>
        <w:t>Tatuene</w:t>
      </w:r>
      <w:r w:rsidR="006E5A69" w:rsidRPr="00C70D1D">
        <w:rPr>
          <w:bCs/>
          <w:sz w:val="24"/>
          <w:szCs w:val="24"/>
          <w:vertAlign w:val="superscript"/>
        </w:rPr>
        <w:t>1</w:t>
      </w:r>
      <w:r w:rsidRPr="00C70D1D">
        <w:rPr>
          <w:bCs/>
          <w:sz w:val="24"/>
          <w:szCs w:val="24"/>
          <w:vertAlign w:val="superscript"/>
        </w:rPr>
        <w:t>,3</w:t>
      </w:r>
      <w:r w:rsidR="00A42EF0" w:rsidRPr="00C70D1D">
        <w:rPr>
          <w:bCs/>
          <w:sz w:val="24"/>
          <w:szCs w:val="24"/>
          <w:vertAlign w:val="superscript"/>
        </w:rPr>
        <w:t>,</w:t>
      </w:r>
      <w:r w:rsidR="00231514" w:rsidRPr="00C70D1D">
        <w:rPr>
          <w:rFonts w:cstheme="minorHAnsi"/>
          <w:bCs/>
          <w:sz w:val="24"/>
          <w:szCs w:val="24"/>
        </w:rPr>
        <w:t>†</w:t>
      </w:r>
      <w:r w:rsidRPr="00C70D1D">
        <w:rPr>
          <w:bCs/>
          <w:sz w:val="24"/>
          <w:szCs w:val="24"/>
        </w:rPr>
        <w:t xml:space="preserve">, Laura </w:t>
      </w:r>
      <w:r w:rsidR="006E5A69" w:rsidRPr="00C70D1D">
        <w:rPr>
          <w:bCs/>
          <w:sz w:val="24"/>
          <w:szCs w:val="24"/>
        </w:rPr>
        <w:t>Benjamin</w:t>
      </w:r>
      <w:r w:rsidR="006E5A69" w:rsidRPr="00C70D1D">
        <w:rPr>
          <w:bCs/>
          <w:sz w:val="24"/>
          <w:szCs w:val="24"/>
          <w:vertAlign w:val="superscript"/>
        </w:rPr>
        <w:t>1</w:t>
      </w:r>
      <w:r w:rsidRPr="00C70D1D">
        <w:rPr>
          <w:bCs/>
          <w:sz w:val="24"/>
          <w:szCs w:val="24"/>
          <w:vertAlign w:val="superscript"/>
        </w:rPr>
        <w:t>,2,4</w:t>
      </w:r>
      <w:r w:rsidRPr="00C70D1D">
        <w:rPr>
          <w:bCs/>
          <w:sz w:val="24"/>
          <w:szCs w:val="24"/>
        </w:rPr>
        <w:t xml:space="preserve">, Tamara </w:t>
      </w:r>
      <w:r w:rsidR="006E5A69" w:rsidRPr="00C70D1D">
        <w:rPr>
          <w:bCs/>
          <w:sz w:val="24"/>
          <w:szCs w:val="24"/>
        </w:rPr>
        <w:t>Phiri</w:t>
      </w:r>
      <w:r w:rsidR="006E5A69" w:rsidRPr="00C70D1D">
        <w:rPr>
          <w:bCs/>
          <w:sz w:val="24"/>
          <w:szCs w:val="24"/>
          <w:vertAlign w:val="superscript"/>
        </w:rPr>
        <w:t>5</w:t>
      </w:r>
      <w:r w:rsidRPr="00C70D1D">
        <w:rPr>
          <w:bCs/>
          <w:sz w:val="24"/>
          <w:szCs w:val="24"/>
        </w:rPr>
        <w:t xml:space="preserve">, Henry C </w:t>
      </w:r>
      <w:r w:rsidR="006E5A69" w:rsidRPr="00C70D1D">
        <w:rPr>
          <w:bCs/>
          <w:sz w:val="24"/>
          <w:szCs w:val="24"/>
        </w:rPr>
        <w:t>Mwandumba</w:t>
      </w:r>
      <w:r w:rsidR="006E5A69" w:rsidRPr="00C70D1D">
        <w:rPr>
          <w:bCs/>
          <w:sz w:val="24"/>
          <w:szCs w:val="24"/>
          <w:vertAlign w:val="superscript"/>
        </w:rPr>
        <w:t>1</w:t>
      </w:r>
      <w:r w:rsidRPr="00C70D1D">
        <w:rPr>
          <w:bCs/>
          <w:sz w:val="24"/>
          <w:szCs w:val="24"/>
          <w:vertAlign w:val="superscript"/>
        </w:rPr>
        <w:t>,6</w:t>
      </w:r>
    </w:p>
    <w:p w14:paraId="165D8AAD" w14:textId="32ECDF93" w:rsidR="00224AA7" w:rsidRPr="00C70D1D" w:rsidRDefault="00224AA7" w:rsidP="00224AA7">
      <w:pPr>
        <w:rPr>
          <w:bCs/>
          <w:sz w:val="24"/>
          <w:szCs w:val="24"/>
        </w:rPr>
      </w:pPr>
    </w:p>
    <w:p w14:paraId="1D9DCD0A" w14:textId="77777777" w:rsidR="00224AA7" w:rsidRPr="00C70D1D" w:rsidRDefault="00224AA7" w:rsidP="00224AA7">
      <w:pPr>
        <w:pStyle w:val="ListParagraph"/>
        <w:numPr>
          <w:ilvl w:val="0"/>
          <w:numId w:val="4"/>
        </w:numPr>
        <w:rPr>
          <w:bCs/>
          <w:sz w:val="24"/>
          <w:szCs w:val="24"/>
        </w:rPr>
      </w:pPr>
      <w:r w:rsidRPr="00C70D1D">
        <w:rPr>
          <w:bCs/>
          <w:sz w:val="24"/>
          <w:szCs w:val="24"/>
        </w:rPr>
        <w:t>Malawi-Liverpool-Wellcome Trust Clinical Research Programme, College of Medicine, P.O. Box 30096, Chichiri, Blantyre 3, Malawi</w:t>
      </w:r>
    </w:p>
    <w:p w14:paraId="49CFC955" w14:textId="5F8CE0CE" w:rsidR="00224AA7" w:rsidRPr="00C70D1D" w:rsidRDefault="00224AA7" w:rsidP="00224AA7">
      <w:pPr>
        <w:pStyle w:val="ListParagraph"/>
        <w:numPr>
          <w:ilvl w:val="0"/>
          <w:numId w:val="4"/>
        </w:numPr>
        <w:rPr>
          <w:bCs/>
          <w:sz w:val="24"/>
          <w:szCs w:val="24"/>
        </w:rPr>
      </w:pPr>
      <w:r w:rsidRPr="00C70D1D">
        <w:rPr>
          <w:bCs/>
          <w:sz w:val="24"/>
          <w:szCs w:val="24"/>
        </w:rPr>
        <w:t>Institute of Neurology, University College London, London, UK</w:t>
      </w:r>
    </w:p>
    <w:p w14:paraId="436B8D68" w14:textId="77777777" w:rsidR="00224AA7" w:rsidRPr="00C70D1D" w:rsidRDefault="00224AA7" w:rsidP="00224AA7">
      <w:pPr>
        <w:pStyle w:val="ListParagraph"/>
        <w:numPr>
          <w:ilvl w:val="0"/>
          <w:numId w:val="4"/>
        </w:numPr>
        <w:rPr>
          <w:bCs/>
          <w:sz w:val="24"/>
          <w:szCs w:val="24"/>
        </w:rPr>
      </w:pPr>
      <w:r w:rsidRPr="00C70D1D">
        <w:rPr>
          <w:bCs/>
          <w:sz w:val="24"/>
          <w:szCs w:val="24"/>
        </w:rPr>
        <w:t>Neuroscience and Mental Health Institute, Faculty of Medicine and Dentistry, University of Alberta, Edmonton, Canada</w:t>
      </w:r>
    </w:p>
    <w:p w14:paraId="101CAC38" w14:textId="1E741519" w:rsidR="00224AA7" w:rsidRPr="00C70D1D" w:rsidRDefault="00224AA7" w:rsidP="00224AA7">
      <w:pPr>
        <w:pStyle w:val="ListParagraph"/>
        <w:numPr>
          <w:ilvl w:val="0"/>
          <w:numId w:val="4"/>
        </w:numPr>
        <w:jc w:val="both"/>
        <w:rPr>
          <w:sz w:val="24"/>
          <w:szCs w:val="24"/>
        </w:rPr>
      </w:pPr>
      <w:r w:rsidRPr="00C70D1D">
        <w:rPr>
          <w:sz w:val="24"/>
          <w:szCs w:val="24"/>
        </w:rPr>
        <w:t>Institute of Infection and Global Health, University of Liverpool, U</w:t>
      </w:r>
      <w:r w:rsidR="00A42EF0" w:rsidRPr="00C70D1D">
        <w:rPr>
          <w:sz w:val="24"/>
          <w:szCs w:val="24"/>
        </w:rPr>
        <w:t>K</w:t>
      </w:r>
    </w:p>
    <w:p w14:paraId="3707A73A" w14:textId="0737E683" w:rsidR="00224AA7" w:rsidRPr="00C70D1D" w:rsidRDefault="00224AA7" w:rsidP="00224AA7">
      <w:pPr>
        <w:pStyle w:val="ListParagraph"/>
        <w:numPr>
          <w:ilvl w:val="0"/>
          <w:numId w:val="4"/>
        </w:numPr>
        <w:rPr>
          <w:bCs/>
          <w:sz w:val="24"/>
          <w:szCs w:val="24"/>
        </w:rPr>
      </w:pPr>
      <w:r w:rsidRPr="00C70D1D">
        <w:rPr>
          <w:bCs/>
          <w:sz w:val="24"/>
          <w:szCs w:val="24"/>
        </w:rPr>
        <w:t>Department of Medicine, Queen Elizabeth Central Hospital, P.O</w:t>
      </w:r>
      <w:r w:rsidR="00C2181F" w:rsidRPr="00C70D1D">
        <w:rPr>
          <w:bCs/>
          <w:sz w:val="24"/>
          <w:szCs w:val="24"/>
        </w:rPr>
        <w:t>.</w:t>
      </w:r>
      <w:r w:rsidRPr="00C70D1D">
        <w:rPr>
          <w:bCs/>
          <w:sz w:val="24"/>
          <w:szCs w:val="24"/>
        </w:rPr>
        <w:t xml:space="preserve"> Box 95, Blantyre, Malawi</w:t>
      </w:r>
    </w:p>
    <w:p w14:paraId="3BA72F77" w14:textId="665A3280" w:rsidR="00224AA7" w:rsidRPr="00C70D1D" w:rsidRDefault="00224AA7" w:rsidP="00224AA7">
      <w:pPr>
        <w:pStyle w:val="ListParagraph"/>
        <w:numPr>
          <w:ilvl w:val="0"/>
          <w:numId w:val="4"/>
        </w:numPr>
        <w:rPr>
          <w:bCs/>
          <w:sz w:val="24"/>
          <w:szCs w:val="24"/>
        </w:rPr>
      </w:pPr>
      <w:r w:rsidRPr="00C70D1D">
        <w:rPr>
          <w:bCs/>
          <w:sz w:val="24"/>
          <w:szCs w:val="24"/>
        </w:rPr>
        <w:t>Department of Clinical Sciences, Liverpool School of Tropical Medicine, Liverpool, U</w:t>
      </w:r>
      <w:r w:rsidR="00A42EF0" w:rsidRPr="00C70D1D">
        <w:rPr>
          <w:bCs/>
          <w:sz w:val="24"/>
          <w:szCs w:val="24"/>
        </w:rPr>
        <w:t>K</w:t>
      </w:r>
    </w:p>
    <w:p w14:paraId="17D4C871" w14:textId="7D484FFE" w:rsidR="00224AA7" w:rsidRPr="00C70D1D" w:rsidRDefault="00231514" w:rsidP="00224AA7">
      <w:pPr>
        <w:rPr>
          <w:bCs/>
          <w:sz w:val="24"/>
          <w:szCs w:val="24"/>
        </w:rPr>
      </w:pPr>
      <w:r w:rsidRPr="00C70D1D">
        <w:rPr>
          <w:rFonts w:cstheme="minorHAnsi"/>
          <w:bCs/>
          <w:sz w:val="24"/>
          <w:szCs w:val="24"/>
        </w:rPr>
        <w:t>†</w:t>
      </w:r>
      <w:r w:rsidR="00224AA7" w:rsidRPr="00C70D1D">
        <w:rPr>
          <w:bCs/>
          <w:sz w:val="24"/>
          <w:szCs w:val="24"/>
        </w:rPr>
        <w:t>Equal contributions</w:t>
      </w:r>
      <w:r w:rsidR="00A42EF0" w:rsidRPr="00C70D1D">
        <w:rPr>
          <w:bCs/>
          <w:sz w:val="24"/>
          <w:szCs w:val="24"/>
        </w:rPr>
        <w:t>.</w:t>
      </w:r>
    </w:p>
    <w:p w14:paraId="591A5338" w14:textId="77777777" w:rsidR="00224AA7" w:rsidRPr="00C70D1D" w:rsidRDefault="00224AA7" w:rsidP="00224AA7">
      <w:pPr>
        <w:rPr>
          <w:bCs/>
          <w:sz w:val="24"/>
          <w:szCs w:val="24"/>
        </w:rPr>
      </w:pPr>
    </w:p>
    <w:p w14:paraId="61F75FB6" w14:textId="409842EA" w:rsidR="00224AA7" w:rsidRPr="00C70D1D" w:rsidRDefault="00224AA7" w:rsidP="00224AA7">
      <w:pPr>
        <w:rPr>
          <w:bCs/>
          <w:sz w:val="24"/>
          <w:szCs w:val="24"/>
        </w:rPr>
      </w:pPr>
      <w:r w:rsidRPr="00C70D1D">
        <w:rPr>
          <w:b/>
          <w:bCs/>
          <w:sz w:val="24"/>
          <w:szCs w:val="24"/>
        </w:rPr>
        <w:t>Correspond</w:t>
      </w:r>
      <w:r w:rsidR="00A42EF0" w:rsidRPr="00C70D1D">
        <w:rPr>
          <w:b/>
          <w:bCs/>
          <w:sz w:val="24"/>
          <w:szCs w:val="24"/>
        </w:rPr>
        <w:t>ence:</w:t>
      </w:r>
      <w:r w:rsidRPr="00C70D1D">
        <w:rPr>
          <w:bCs/>
          <w:sz w:val="24"/>
          <w:szCs w:val="24"/>
        </w:rPr>
        <w:t xml:space="preserve"> Yohane Gadama </w:t>
      </w:r>
      <w:r w:rsidR="00A42EF0" w:rsidRPr="00C70D1D">
        <w:rPr>
          <w:bCs/>
          <w:sz w:val="24"/>
          <w:szCs w:val="24"/>
        </w:rPr>
        <w:t>(</w:t>
      </w:r>
      <w:hyperlink r:id="rId8" w:history="1">
        <w:r w:rsidRPr="00C70D1D">
          <w:rPr>
            <w:rStyle w:val="Hyperlink"/>
            <w:bCs/>
            <w:color w:val="auto"/>
            <w:sz w:val="24"/>
            <w:szCs w:val="24"/>
          </w:rPr>
          <w:t>yggadama@medcol.mw</w:t>
        </w:r>
      </w:hyperlink>
      <w:r w:rsidR="00A42EF0" w:rsidRPr="00C70D1D">
        <w:rPr>
          <w:rStyle w:val="Hyperlink"/>
          <w:bCs/>
          <w:color w:val="auto"/>
          <w:sz w:val="24"/>
          <w:szCs w:val="24"/>
        </w:rPr>
        <w:t>)</w:t>
      </w:r>
    </w:p>
    <w:p w14:paraId="66866921" w14:textId="77777777" w:rsidR="00224AA7" w:rsidRPr="00C70D1D" w:rsidRDefault="00224AA7" w:rsidP="00F61943">
      <w:pPr>
        <w:rPr>
          <w:b/>
          <w:bCs/>
        </w:rPr>
      </w:pPr>
    </w:p>
    <w:p w14:paraId="0B65D6E2" w14:textId="58B36B3F" w:rsidR="00F61943" w:rsidRPr="00C70D1D" w:rsidRDefault="00A42EF0" w:rsidP="00F61943">
      <w:pPr>
        <w:rPr>
          <w:b/>
          <w:bCs/>
        </w:rPr>
      </w:pPr>
      <w:r w:rsidRPr="00C70D1D">
        <w:rPr>
          <w:b/>
          <w:bCs/>
        </w:rPr>
        <w:t>Abstract</w:t>
      </w:r>
    </w:p>
    <w:p w14:paraId="762635A3" w14:textId="77777777" w:rsidR="00A42EF0" w:rsidRPr="00C70D1D" w:rsidRDefault="00F61943" w:rsidP="00F61943">
      <w:pPr>
        <w:jc w:val="both"/>
        <w:rPr>
          <w:b/>
          <w:bCs/>
        </w:rPr>
      </w:pPr>
      <w:r w:rsidRPr="00C70D1D">
        <w:rPr>
          <w:b/>
          <w:bCs/>
        </w:rPr>
        <w:t>Background</w:t>
      </w:r>
    </w:p>
    <w:p w14:paraId="5CF15B6A" w14:textId="2C4BE4A0" w:rsidR="00F61943" w:rsidRPr="00C70D1D" w:rsidRDefault="00F61943" w:rsidP="00F61943">
      <w:pPr>
        <w:jc w:val="both"/>
      </w:pPr>
      <w:r w:rsidRPr="00C70D1D">
        <w:rPr>
          <w:rFonts w:cstheme="minorHAnsi"/>
        </w:rPr>
        <w:t>The Queen Elizabeth Central Hospital (QECH) is preparing to set up the first stroke unit in Blantyre, Malawi. We conducted this audit to assess current stroke management practices and outcomes at QECH and identify priority areas for intervention.</w:t>
      </w:r>
    </w:p>
    <w:p w14:paraId="00B2631D" w14:textId="77777777" w:rsidR="00A42EF0" w:rsidRPr="00C70D1D" w:rsidRDefault="00F61943" w:rsidP="00F61943">
      <w:pPr>
        <w:jc w:val="both"/>
        <w:rPr>
          <w:b/>
          <w:bCs/>
        </w:rPr>
      </w:pPr>
      <w:r w:rsidRPr="00C70D1D">
        <w:rPr>
          <w:b/>
          <w:bCs/>
        </w:rPr>
        <w:t>Methods</w:t>
      </w:r>
    </w:p>
    <w:p w14:paraId="324CDE01" w14:textId="3F684B61" w:rsidR="00F61943" w:rsidRPr="00C70D1D" w:rsidRDefault="00F61943" w:rsidP="00F61943">
      <w:pPr>
        <w:jc w:val="both"/>
        <w:rPr>
          <w:highlight w:val="yellow"/>
        </w:rPr>
      </w:pPr>
      <w:r w:rsidRPr="00C70D1D">
        <w:rPr>
          <w:rFonts w:cstheme="minorHAnsi"/>
          <w:bCs/>
        </w:rPr>
        <w:t xml:space="preserve">From April to June 2018, we prospectively enrolled </w:t>
      </w:r>
      <w:r w:rsidR="00D36696" w:rsidRPr="00C70D1D">
        <w:rPr>
          <w:rFonts w:cstheme="minorHAnsi"/>
          <w:bCs/>
        </w:rPr>
        <w:t xml:space="preserve">patients with </w:t>
      </w:r>
      <w:r w:rsidR="00E8670C" w:rsidRPr="00C70D1D">
        <w:rPr>
          <w:rFonts w:cstheme="minorHAnsi"/>
          <w:bCs/>
        </w:rPr>
        <w:t xml:space="preserve">acute </w:t>
      </w:r>
      <w:r w:rsidR="00D36696" w:rsidRPr="00C70D1D">
        <w:rPr>
          <w:rFonts w:cstheme="minorHAnsi"/>
          <w:bCs/>
        </w:rPr>
        <w:t>stroke</w:t>
      </w:r>
      <w:r w:rsidRPr="00C70D1D">
        <w:rPr>
          <w:rFonts w:cstheme="minorHAnsi"/>
          <w:bCs/>
        </w:rPr>
        <w:t xml:space="preserve"> and collected data on clinical presentation, cardiovascular risk factors, investigations and interventions, in-hospital outcome</w:t>
      </w:r>
      <w:r w:rsidR="004F143B" w:rsidRPr="00C70D1D">
        <w:rPr>
          <w:rFonts w:cstheme="minorHAnsi"/>
          <w:bCs/>
        </w:rPr>
        <w:t>s,</w:t>
      </w:r>
      <w:r w:rsidRPr="00C70D1D">
        <w:rPr>
          <w:rFonts w:cstheme="minorHAnsi"/>
          <w:bCs/>
        </w:rPr>
        <w:t xml:space="preserve"> and follow-up plan</w:t>
      </w:r>
      <w:r w:rsidR="004F143B" w:rsidRPr="00C70D1D">
        <w:rPr>
          <w:rFonts w:cstheme="minorHAnsi"/>
          <w:bCs/>
        </w:rPr>
        <w:t>s</w:t>
      </w:r>
      <w:r w:rsidRPr="00C70D1D">
        <w:rPr>
          <w:rFonts w:cstheme="minorHAnsi"/>
          <w:bCs/>
        </w:rPr>
        <w:t xml:space="preserve"> after discharge. The American Heart Association/American Stroke Association (AHA/ASA) guidelines were used as the standard of care for comparison.</w:t>
      </w:r>
    </w:p>
    <w:p w14:paraId="156938A0" w14:textId="77777777" w:rsidR="00A42EF0" w:rsidRPr="00C70D1D" w:rsidRDefault="00F61943" w:rsidP="00F61943">
      <w:pPr>
        <w:jc w:val="both"/>
        <w:rPr>
          <w:b/>
          <w:bCs/>
        </w:rPr>
      </w:pPr>
      <w:r w:rsidRPr="00C70D1D">
        <w:rPr>
          <w:b/>
          <w:bCs/>
        </w:rPr>
        <w:t>Results</w:t>
      </w:r>
    </w:p>
    <w:p w14:paraId="49EDA6CD" w14:textId="21B24347" w:rsidR="00F61943" w:rsidRPr="00B17041" w:rsidRDefault="00F61943" w:rsidP="00F61943">
      <w:pPr>
        <w:jc w:val="both"/>
      </w:pPr>
      <w:r w:rsidRPr="00C70D1D">
        <w:rPr>
          <w:rFonts w:cstheme="minorHAnsi"/>
          <w:bCs/>
        </w:rPr>
        <w:t xml:space="preserve">Fifty </w:t>
      </w:r>
      <w:r w:rsidR="00D36696" w:rsidRPr="00C70D1D">
        <w:rPr>
          <w:rFonts w:cstheme="minorHAnsi"/>
          <w:bCs/>
        </w:rPr>
        <w:t xml:space="preserve">patients with </w:t>
      </w:r>
      <w:r w:rsidR="00E8670C" w:rsidRPr="00C70D1D">
        <w:rPr>
          <w:rFonts w:cstheme="minorHAnsi"/>
          <w:bCs/>
        </w:rPr>
        <w:t xml:space="preserve">acute </w:t>
      </w:r>
      <w:r w:rsidR="00D36696" w:rsidRPr="00C70D1D">
        <w:rPr>
          <w:rFonts w:cstheme="minorHAnsi"/>
          <w:bCs/>
        </w:rPr>
        <w:t>stroke</w:t>
      </w:r>
      <w:r w:rsidRPr="00C70D1D">
        <w:rPr>
          <w:rFonts w:cstheme="minorHAnsi"/>
          <w:bCs/>
        </w:rPr>
        <w:t xml:space="preserve"> were enrolled (46% women</w:t>
      </w:r>
      <w:r w:rsidR="00CD4B3B" w:rsidRPr="00C70D1D">
        <w:rPr>
          <w:rFonts w:cstheme="minorHAnsi"/>
          <w:bCs/>
        </w:rPr>
        <w:t>,</w:t>
      </w:r>
      <w:r w:rsidR="00F72AAA" w:rsidRPr="00C70D1D">
        <w:rPr>
          <w:rFonts w:cstheme="minorHAnsi"/>
          <w:bCs/>
        </w:rPr>
        <w:t xml:space="preserve"> 54% </w:t>
      </w:r>
      <w:r w:rsidR="004F143B" w:rsidRPr="00C70D1D">
        <w:rPr>
          <w:rFonts w:cstheme="minorHAnsi"/>
          <w:bCs/>
        </w:rPr>
        <w:t>men</w:t>
      </w:r>
      <w:r w:rsidRPr="00C70D1D">
        <w:rPr>
          <w:rFonts w:cstheme="minorHAnsi"/>
          <w:bCs/>
        </w:rPr>
        <w:t xml:space="preserve">). The mean age was 63.1 </w:t>
      </w:r>
      <w:r w:rsidR="00CD4B3B" w:rsidRPr="00C70D1D">
        <w:rPr>
          <w:rFonts w:cstheme="minorHAnsi"/>
          <w:bCs/>
        </w:rPr>
        <w:t xml:space="preserve">years </w:t>
      </w:r>
      <w:r w:rsidRPr="00C70D1D">
        <w:rPr>
          <w:rFonts w:cstheme="minorHAnsi"/>
          <w:bCs/>
        </w:rPr>
        <w:t>(95% CI: 59.7–66.6). The diagnosis of stroke was based on the W</w:t>
      </w:r>
      <w:r w:rsidR="004F143B" w:rsidRPr="00C70D1D">
        <w:rPr>
          <w:rFonts w:cstheme="minorHAnsi"/>
          <w:bCs/>
        </w:rPr>
        <w:t xml:space="preserve">orld </w:t>
      </w:r>
      <w:r w:rsidRPr="00C70D1D">
        <w:rPr>
          <w:rFonts w:cstheme="minorHAnsi"/>
          <w:bCs/>
        </w:rPr>
        <w:t>H</w:t>
      </w:r>
      <w:r w:rsidR="004F143B" w:rsidRPr="00C70D1D">
        <w:rPr>
          <w:rFonts w:cstheme="minorHAnsi"/>
          <w:bCs/>
        </w:rPr>
        <w:t xml:space="preserve">ealth </w:t>
      </w:r>
      <w:r w:rsidRPr="00C70D1D">
        <w:rPr>
          <w:rFonts w:cstheme="minorHAnsi"/>
          <w:bCs/>
        </w:rPr>
        <w:t>O</w:t>
      </w:r>
      <w:r w:rsidR="004F143B" w:rsidRPr="00C70D1D">
        <w:rPr>
          <w:rFonts w:cstheme="minorHAnsi"/>
          <w:bCs/>
        </w:rPr>
        <w:t>rganization</w:t>
      </w:r>
      <w:r w:rsidRPr="00C70D1D">
        <w:rPr>
          <w:rFonts w:cstheme="minorHAnsi"/>
          <w:bCs/>
        </w:rPr>
        <w:t xml:space="preserve"> criteria. </w:t>
      </w:r>
      <w:r w:rsidR="00C61A36" w:rsidRPr="00C70D1D">
        <w:rPr>
          <w:rFonts w:cstheme="minorHAnsi"/>
          <w:bCs/>
        </w:rPr>
        <w:t xml:space="preserve">The diagnosis </w:t>
      </w:r>
      <w:r w:rsidRPr="00C70D1D">
        <w:rPr>
          <w:rFonts w:cstheme="minorHAnsi"/>
          <w:bCs/>
        </w:rPr>
        <w:t>was made within 24 hours of admission in 19 patients (38%). Acute revasculari</w:t>
      </w:r>
      <w:r w:rsidR="00D056BB" w:rsidRPr="00C70D1D">
        <w:rPr>
          <w:rFonts w:cstheme="minorHAnsi"/>
          <w:bCs/>
        </w:rPr>
        <w:t>s</w:t>
      </w:r>
      <w:r w:rsidRPr="00C70D1D">
        <w:rPr>
          <w:rFonts w:cstheme="minorHAnsi"/>
          <w:bCs/>
        </w:rPr>
        <w:t xml:space="preserve">ation therapy was not available. </w:t>
      </w:r>
      <w:r w:rsidR="007D10C7" w:rsidRPr="00C70D1D">
        <w:rPr>
          <w:rFonts w:cstheme="minorHAnsi"/>
          <w:bCs/>
        </w:rPr>
        <w:t>Forty</w:t>
      </w:r>
      <w:r w:rsidRPr="00C70D1D">
        <w:rPr>
          <w:rFonts w:cstheme="minorHAnsi"/>
          <w:bCs/>
        </w:rPr>
        <w:t>-eight patients</w:t>
      </w:r>
      <w:r w:rsidR="000128EE" w:rsidRPr="00C70D1D">
        <w:rPr>
          <w:rFonts w:cstheme="minorHAnsi"/>
          <w:bCs/>
        </w:rPr>
        <w:t xml:space="preserve"> (96%) </w:t>
      </w:r>
      <w:r w:rsidRPr="00C70D1D">
        <w:rPr>
          <w:rFonts w:cstheme="minorHAnsi"/>
          <w:bCs/>
        </w:rPr>
        <w:t xml:space="preserve">had </w:t>
      </w:r>
      <w:r w:rsidR="00C61A36" w:rsidRPr="00C70D1D">
        <w:rPr>
          <w:rFonts w:cstheme="minorHAnsi"/>
          <w:bCs/>
        </w:rPr>
        <w:t xml:space="preserve">their </w:t>
      </w:r>
      <w:r w:rsidRPr="00C70D1D">
        <w:rPr>
          <w:rFonts w:cstheme="minorHAnsi"/>
          <w:bCs/>
        </w:rPr>
        <w:t xml:space="preserve">vital signs checked at baseline and &lt;10% had </w:t>
      </w:r>
      <w:r w:rsidR="00C61A36" w:rsidRPr="00C70D1D">
        <w:rPr>
          <w:rFonts w:cstheme="minorHAnsi"/>
          <w:bCs/>
        </w:rPr>
        <w:t>their vital signs checked more than three</w:t>
      </w:r>
      <w:r w:rsidRPr="00C70D1D">
        <w:rPr>
          <w:rFonts w:cstheme="minorHAnsi"/>
          <w:bCs/>
        </w:rPr>
        <w:t xml:space="preserve"> </w:t>
      </w:r>
      <w:r w:rsidR="00C61A36" w:rsidRPr="00C70D1D">
        <w:rPr>
          <w:rFonts w:cstheme="minorHAnsi"/>
          <w:bCs/>
        </w:rPr>
        <w:t xml:space="preserve">times </w:t>
      </w:r>
      <w:r w:rsidRPr="00C70D1D">
        <w:rPr>
          <w:rFonts w:cstheme="minorHAnsi"/>
          <w:bCs/>
        </w:rPr>
        <w:t>within the first 24 hours. Essential blood tests including random blood sugar (RBS), full blood count (FBC), urea/creatinine</w:t>
      </w:r>
      <w:r w:rsidR="00667BB3" w:rsidRPr="00C70D1D">
        <w:rPr>
          <w:rFonts w:cstheme="minorHAnsi"/>
          <w:bCs/>
        </w:rPr>
        <w:t>,</w:t>
      </w:r>
      <w:r w:rsidRPr="00C70D1D">
        <w:rPr>
          <w:rFonts w:cstheme="minorHAnsi"/>
          <w:bCs/>
        </w:rPr>
        <w:t xml:space="preserve"> and lipid profile</w:t>
      </w:r>
      <w:r w:rsidR="00667BB3" w:rsidRPr="00C70D1D">
        <w:rPr>
          <w:rFonts w:cstheme="minorHAnsi"/>
          <w:bCs/>
        </w:rPr>
        <w:t>s</w:t>
      </w:r>
      <w:r w:rsidRPr="00C70D1D">
        <w:rPr>
          <w:rFonts w:cstheme="minorHAnsi"/>
          <w:bCs/>
        </w:rPr>
        <w:t xml:space="preserve"> were performed in </w:t>
      </w:r>
      <w:r w:rsidRPr="00B17041">
        <w:rPr>
          <w:rFonts w:cstheme="minorHAnsi"/>
          <w:bCs/>
        </w:rPr>
        <w:t>72%,</w:t>
      </w:r>
      <w:r w:rsidRPr="00C70D1D">
        <w:rPr>
          <w:rFonts w:cstheme="minorHAnsi"/>
          <w:bCs/>
        </w:rPr>
        <w:t xml:space="preserve"> </w:t>
      </w:r>
      <w:r w:rsidRPr="00B17041">
        <w:rPr>
          <w:rFonts w:cstheme="minorHAnsi"/>
          <w:bCs/>
        </w:rPr>
        <w:t>68%, 48%</w:t>
      </w:r>
      <w:r w:rsidR="00667BB3" w:rsidRPr="00C70D1D">
        <w:rPr>
          <w:rFonts w:cstheme="minorHAnsi"/>
          <w:bCs/>
        </w:rPr>
        <w:t>,</w:t>
      </w:r>
      <w:r w:rsidRPr="00B17041">
        <w:rPr>
          <w:rFonts w:cstheme="minorHAnsi"/>
          <w:bCs/>
        </w:rPr>
        <w:t xml:space="preserve"> and 4%</w:t>
      </w:r>
      <w:r w:rsidR="00667BB3" w:rsidRPr="00C70D1D">
        <w:rPr>
          <w:rFonts w:cstheme="minorHAnsi"/>
          <w:bCs/>
        </w:rPr>
        <w:t>,</w:t>
      </w:r>
      <w:r w:rsidRPr="00B17041">
        <w:rPr>
          <w:rFonts w:cstheme="minorHAnsi"/>
          <w:bCs/>
        </w:rPr>
        <w:t xml:space="preserve"> respectively. </w:t>
      </w:r>
      <w:r w:rsidRPr="00C70D1D">
        <w:rPr>
          <w:rFonts w:cstheme="minorHAnsi"/>
          <w:bCs/>
        </w:rPr>
        <w:t>An electrocardiogram</w:t>
      </w:r>
      <w:r w:rsidRPr="00B17041">
        <w:rPr>
          <w:rFonts w:cstheme="minorHAnsi"/>
          <w:bCs/>
        </w:rPr>
        <w:t xml:space="preserve"> was performed </w:t>
      </w:r>
      <w:r w:rsidR="00667BB3" w:rsidRPr="00C70D1D">
        <w:rPr>
          <w:rFonts w:cstheme="minorHAnsi"/>
          <w:bCs/>
        </w:rPr>
        <w:t>o</w:t>
      </w:r>
      <w:r w:rsidR="00667BB3" w:rsidRPr="00B17041">
        <w:rPr>
          <w:rFonts w:cstheme="minorHAnsi"/>
          <w:bCs/>
        </w:rPr>
        <w:t xml:space="preserve">n </w:t>
      </w:r>
      <w:r w:rsidRPr="00B17041">
        <w:rPr>
          <w:rFonts w:cstheme="minorHAnsi"/>
          <w:bCs/>
        </w:rPr>
        <w:t>34 patients</w:t>
      </w:r>
      <w:r w:rsidR="000128EE" w:rsidRPr="00B17041">
        <w:rPr>
          <w:rFonts w:cstheme="minorHAnsi"/>
          <w:bCs/>
        </w:rPr>
        <w:t xml:space="preserve"> (68%)</w:t>
      </w:r>
      <w:r w:rsidRPr="00B17041">
        <w:rPr>
          <w:rFonts w:cstheme="minorHAnsi"/>
          <w:bCs/>
        </w:rPr>
        <w:t xml:space="preserve">. </w:t>
      </w:r>
      <w:r w:rsidR="00667BB3" w:rsidRPr="00C70D1D">
        <w:rPr>
          <w:rFonts w:cstheme="minorHAnsi"/>
          <w:bCs/>
        </w:rPr>
        <w:t>B</w:t>
      </w:r>
      <w:r w:rsidRPr="00B17041">
        <w:rPr>
          <w:rFonts w:cstheme="minorHAnsi"/>
          <w:bCs/>
        </w:rPr>
        <w:t>lood pressure on admission was &gt;140/90 mmHg in 34 patients</w:t>
      </w:r>
      <w:r w:rsidR="000128EE" w:rsidRPr="00B17041">
        <w:rPr>
          <w:rFonts w:cstheme="minorHAnsi"/>
          <w:bCs/>
        </w:rPr>
        <w:t xml:space="preserve"> (68%)</w:t>
      </w:r>
      <w:r w:rsidRPr="00B17041">
        <w:rPr>
          <w:rFonts w:cstheme="minorHAnsi"/>
          <w:bCs/>
        </w:rPr>
        <w:t>, including 4 with values &gt;220/120 mmHg. Nine patients had an RBS &gt;10 mmol/</w:t>
      </w:r>
      <w:r w:rsidR="006F636E" w:rsidRPr="00C70D1D">
        <w:rPr>
          <w:rFonts w:cstheme="minorHAnsi"/>
          <w:bCs/>
        </w:rPr>
        <w:t>L</w:t>
      </w:r>
      <w:r w:rsidRPr="00B17041">
        <w:rPr>
          <w:rFonts w:cstheme="minorHAnsi"/>
          <w:bCs/>
        </w:rPr>
        <w:t xml:space="preserve"> and </w:t>
      </w:r>
      <w:r w:rsidR="00D056BB" w:rsidRPr="00C70D1D">
        <w:rPr>
          <w:rFonts w:cstheme="minorHAnsi"/>
          <w:bCs/>
        </w:rPr>
        <w:t>four</w:t>
      </w:r>
      <w:r w:rsidRPr="00B17041">
        <w:rPr>
          <w:rFonts w:cstheme="minorHAnsi"/>
          <w:bCs/>
        </w:rPr>
        <w:t xml:space="preserve"> </w:t>
      </w:r>
      <w:r w:rsidRPr="00C70D1D">
        <w:rPr>
          <w:rFonts w:cstheme="minorHAnsi"/>
          <w:bCs/>
        </w:rPr>
        <w:t>received insulin.</w:t>
      </w:r>
      <w:r w:rsidRPr="00C70D1D">
        <w:rPr>
          <w:rFonts w:cstheme="minorHAnsi"/>
          <w:b/>
          <w:bCs/>
        </w:rPr>
        <w:t xml:space="preserve"> </w:t>
      </w:r>
      <w:r w:rsidRPr="00C70D1D">
        <w:rPr>
          <w:rFonts w:cstheme="minorHAnsi"/>
          <w:bCs/>
        </w:rPr>
        <w:t>Prophylaxis for deep venous thrombosis was offered to 12 patients</w:t>
      </w:r>
      <w:r w:rsidR="000128EE" w:rsidRPr="00C70D1D">
        <w:rPr>
          <w:rFonts w:cstheme="minorHAnsi"/>
          <w:bCs/>
        </w:rPr>
        <w:t xml:space="preserve"> (24%)</w:t>
      </w:r>
      <w:r w:rsidRPr="00C70D1D">
        <w:rPr>
          <w:rFonts w:cstheme="minorHAnsi"/>
          <w:bCs/>
        </w:rPr>
        <w:t xml:space="preserve">. Aspiration pneumonia was reported in 16 </w:t>
      </w:r>
      <w:r w:rsidR="00D36696" w:rsidRPr="00C70D1D">
        <w:rPr>
          <w:rFonts w:cstheme="minorHAnsi"/>
          <w:bCs/>
        </w:rPr>
        <w:t>patients</w:t>
      </w:r>
      <w:r w:rsidR="000128EE" w:rsidRPr="00C70D1D">
        <w:rPr>
          <w:rFonts w:cstheme="minorHAnsi"/>
          <w:bCs/>
        </w:rPr>
        <w:t xml:space="preserve"> (32%) </w:t>
      </w:r>
      <w:r w:rsidRPr="00C70D1D">
        <w:rPr>
          <w:rFonts w:cstheme="minorHAnsi"/>
          <w:bCs/>
        </w:rPr>
        <w:t xml:space="preserve">and was the </w:t>
      </w:r>
      <w:r w:rsidR="008A5729" w:rsidRPr="00C70D1D">
        <w:rPr>
          <w:rFonts w:cstheme="minorHAnsi"/>
          <w:bCs/>
        </w:rPr>
        <w:t xml:space="preserve">most </w:t>
      </w:r>
      <w:r w:rsidRPr="00C70D1D">
        <w:rPr>
          <w:rFonts w:cstheme="minorHAnsi"/>
          <w:bCs/>
        </w:rPr>
        <w:t xml:space="preserve">common hospital complication. </w:t>
      </w:r>
      <w:r w:rsidRPr="00C70D1D">
        <w:rPr>
          <w:rFonts w:cstheme="minorHAnsi"/>
          <w:bCs/>
        </w:rPr>
        <w:lastRenderedPageBreak/>
        <w:t>The mean duration of hospitali</w:t>
      </w:r>
      <w:r w:rsidR="00851B39" w:rsidRPr="00C70D1D">
        <w:rPr>
          <w:rFonts w:cstheme="minorHAnsi"/>
          <w:bCs/>
        </w:rPr>
        <w:t>s</w:t>
      </w:r>
      <w:r w:rsidRPr="00C70D1D">
        <w:rPr>
          <w:rFonts w:cstheme="minorHAnsi"/>
          <w:bCs/>
        </w:rPr>
        <w:t>ation was 10.4 days (95% CI: 5.6–15.2)</w:t>
      </w:r>
      <w:r w:rsidR="00BA6478" w:rsidRPr="00C70D1D">
        <w:rPr>
          <w:rFonts w:cstheme="minorHAnsi"/>
          <w:bCs/>
        </w:rPr>
        <w:t>,</w:t>
      </w:r>
      <w:r w:rsidRPr="00C70D1D">
        <w:rPr>
          <w:rFonts w:cstheme="minorHAnsi"/>
          <w:bCs/>
        </w:rPr>
        <w:t xml:space="preserve"> and case fatality was 18%. The modified Rankin scale at discharge was ≤2 in 32%</w:t>
      </w:r>
      <w:r w:rsidR="008A5729" w:rsidRPr="00C70D1D">
        <w:rPr>
          <w:rFonts w:cstheme="minorHAnsi"/>
          <w:bCs/>
        </w:rPr>
        <w:t xml:space="preserve"> of patients</w:t>
      </w:r>
      <w:r w:rsidRPr="00C70D1D">
        <w:rPr>
          <w:rFonts w:cstheme="minorHAnsi"/>
          <w:bCs/>
        </w:rPr>
        <w:t xml:space="preserve">. Only </w:t>
      </w:r>
      <w:r w:rsidR="00D056BB" w:rsidRPr="00C70D1D">
        <w:rPr>
          <w:rFonts w:cstheme="minorHAnsi"/>
          <w:bCs/>
        </w:rPr>
        <w:t>four</w:t>
      </w:r>
      <w:r w:rsidRPr="00C70D1D">
        <w:rPr>
          <w:rFonts w:cstheme="minorHAnsi"/>
          <w:bCs/>
        </w:rPr>
        <w:t xml:space="preserve"> patients</w:t>
      </w:r>
      <w:r w:rsidR="000128EE" w:rsidRPr="00C70D1D">
        <w:rPr>
          <w:rFonts w:cstheme="minorHAnsi"/>
          <w:bCs/>
        </w:rPr>
        <w:t xml:space="preserve"> (8</w:t>
      </w:r>
      <w:r w:rsidR="00143E34" w:rsidRPr="00C70D1D">
        <w:rPr>
          <w:rFonts w:cstheme="minorHAnsi"/>
          <w:bCs/>
        </w:rPr>
        <w:t>%) were</w:t>
      </w:r>
      <w:r w:rsidRPr="00C70D1D">
        <w:rPr>
          <w:rFonts w:cstheme="minorHAnsi"/>
          <w:bCs/>
        </w:rPr>
        <w:t xml:space="preserve"> transferred to a rehabilitation centre. At the time of discharge, only 32% of patients received education on stroke.</w:t>
      </w:r>
    </w:p>
    <w:p w14:paraId="32282B13" w14:textId="77777777" w:rsidR="00A42EF0" w:rsidRPr="00C70D1D" w:rsidRDefault="00F61943" w:rsidP="00F61943">
      <w:pPr>
        <w:jc w:val="both"/>
        <w:rPr>
          <w:b/>
          <w:bCs/>
        </w:rPr>
      </w:pPr>
      <w:r w:rsidRPr="00C70D1D">
        <w:rPr>
          <w:b/>
          <w:bCs/>
        </w:rPr>
        <w:t>Conclusion</w:t>
      </w:r>
    </w:p>
    <w:p w14:paraId="3D24E987" w14:textId="4B701873" w:rsidR="00F61943" w:rsidRPr="00C70D1D" w:rsidRDefault="00F61943" w:rsidP="00F61943">
      <w:pPr>
        <w:jc w:val="both"/>
        <w:rPr>
          <w:b/>
          <w:bCs/>
        </w:rPr>
      </w:pPr>
      <w:r w:rsidRPr="00C70D1D">
        <w:rPr>
          <w:bCs/>
        </w:rPr>
        <w:t xml:space="preserve">Acute stroke care is less than optimal in this setting. Simple interventions such as reducing the delay in making </w:t>
      </w:r>
      <w:r w:rsidR="002E770F" w:rsidRPr="00C70D1D">
        <w:rPr>
          <w:bCs/>
        </w:rPr>
        <w:t xml:space="preserve">a </w:t>
      </w:r>
      <w:r w:rsidRPr="00C70D1D">
        <w:rPr>
          <w:bCs/>
        </w:rPr>
        <w:t xml:space="preserve">stroke diagnosis, early swallow assessments, </w:t>
      </w:r>
      <w:r w:rsidR="002E770F" w:rsidRPr="00C70D1D">
        <w:rPr>
          <w:bCs/>
        </w:rPr>
        <w:t xml:space="preserve">and </w:t>
      </w:r>
      <w:r w:rsidRPr="00C70D1D">
        <w:rPr>
          <w:bCs/>
        </w:rPr>
        <w:t>closer monitoring of vital signs could make a significant difference in stroke outcome</w:t>
      </w:r>
      <w:r w:rsidRPr="00C70D1D">
        <w:rPr>
          <w:rFonts w:cstheme="minorHAnsi"/>
          <w:bCs/>
        </w:rPr>
        <w:t>. Furthermore, treating cardiovascular risk factors</w:t>
      </w:r>
      <w:r w:rsidR="002E770F" w:rsidRPr="00C70D1D">
        <w:rPr>
          <w:rFonts w:cstheme="minorHAnsi"/>
          <w:bCs/>
        </w:rPr>
        <w:t xml:space="preserve"> and </w:t>
      </w:r>
      <w:r w:rsidRPr="00C70D1D">
        <w:rPr>
          <w:rFonts w:cstheme="minorHAnsi"/>
          <w:bCs/>
        </w:rPr>
        <w:t>setting up health education programmes to improve secondary prevention represent key priorities.</w:t>
      </w:r>
    </w:p>
    <w:p w14:paraId="4C1FBED4" w14:textId="77777777" w:rsidR="00F61943" w:rsidRPr="00C70D1D" w:rsidRDefault="00F61943" w:rsidP="00F61943">
      <w:pPr>
        <w:rPr>
          <w:b/>
          <w:bCs/>
        </w:rPr>
      </w:pPr>
    </w:p>
    <w:p w14:paraId="7989844C" w14:textId="2666E18D" w:rsidR="00A42EF0" w:rsidRPr="00C70D1D" w:rsidRDefault="00F61943" w:rsidP="00F61943">
      <w:pPr>
        <w:rPr>
          <w:b/>
          <w:bCs/>
        </w:rPr>
      </w:pPr>
      <w:r w:rsidRPr="00C70D1D">
        <w:rPr>
          <w:b/>
          <w:bCs/>
        </w:rPr>
        <w:t xml:space="preserve">Key </w:t>
      </w:r>
      <w:r w:rsidR="00A42EF0" w:rsidRPr="00C70D1D">
        <w:rPr>
          <w:b/>
          <w:bCs/>
        </w:rPr>
        <w:t>W</w:t>
      </w:r>
      <w:r w:rsidRPr="00C70D1D">
        <w:rPr>
          <w:b/>
          <w:bCs/>
        </w:rPr>
        <w:t>ords</w:t>
      </w:r>
    </w:p>
    <w:p w14:paraId="78E89C3C" w14:textId="03339D23" w:rsidR="00F61943" w:rsidRPr="00C70D1D" w:rsidRDefault="00A42EF0" w:rsidP="00F61943">
      <w:pPr>
        <w:rPr>
          <w:bCs/>
        </w:rPr>
      </w:pPr>
      <w:r w:rsidRPr="00C70D1D">
        <w:rPr>
          <w:bCs/>
        </w:rPr>
        <w:t>S</w:t>
      </w:r>
      <w:r w:rsidR="00F61943" w:rsidRPr="00C70D1D">
        <w:rPr>
          <w:bCs/>
        </w:rPr>
        <w:t>troke, diagnosis, management,</w:t>
      </w:r>
      <w:r w:rsidR="00F61943" w:rsidRPr="00C70D1D" w:rsidDel="00280066">
        <w:rPr>
          <w:bCs/>
        </w:rPr>
        <w:t xml:space="preserve"> </w:t>
      </w:r>
      <w:r w:rsidR="00F61943" w:rsidRPr="00C70D1D">
        <w:rPr>
          <w:bCs/>
        </w:rPr>
        <w:t>outcome, low</w:t>
      </w:r>
      <w:r w:rsidR="004036FB" w:rsidRPr="00C70D1D">
        <w:rPr>
          <w:bCs/>
        </w:rPr>
        <w:t xml:space="preserve">- </w:t>
      </w:r>
      <w:r w:rsidR="00F61943" w:rsidRPr="00C70D1D">
        <w:rPr>
          <w:bCs/>
        </w:rPr>
        <w:t>to</w:t>
      </w:r>
      <w:r w:rsidR="004036FB" w:rsidRPr="00C70D1D">
        <w:rPr>
          <w:bCs/>
        </w:rPr>
        <w:t xml:space="preserve"> </w:t>
      </w:r>
      <w:r w:rsidR="00F61943" w:rsidRPr="00C70D1D">
        <w:rPr>
          <w:bCs/>
        </w:rPr>
        <w:t>middle</w:t>
      </w:r>
      <w:r w:rsidR="004036FB" w:rsidRPr="00C70D1D">
        <w:rPr>
          <w:bCs/>
        </w:rPr>
        <w:t>-income</w:t>
      </w:r>
      <w:r w:rsidR="00F61943" w:rsidRPr="00C70D1D">
        <w:rPr>
          <w:bCs/>
        </w:rPr>
        <w:t>, Africa</w:t>
      </w:r>
    </w:p>
    <w:p w14:paraId="074B4D2E" w14:textId="77777777" w:rsidR="000E116B" w:rsidRPr="00C70D1D" w:rsidRDefault="000E116B" w:rsidP="004E379E">
      <w:pPr>
        <w:jc w:val="both"/>
        <w:rPr>
          <w:rFonts w:cstheme="minorHAnsi"/>
          <w:b/>
          <w:bCs/>
        </w:rPr>
      </w:pPr>
    </w:p>
    <w:p w14:paraId="47EA594B" w14:textId="6E1FF98A" w:rsidR="00A043F1" w:rsidRPr="00C70D1D" w:rsidRDefault="00A42EF0" w:rsidP="004E379E">
      <w:pPr>
        <w:jc w:val="both"/>
        <w:rPr>
          <w:rFonts w:cstheme="minorHAnsi"/>
          <w:b/>
          <w:bCs/>
        </w:rPr>
      </w:pPr>
      <w:r w:rsidRPr="00C70D1D">
        <w:rPr>
          <w:rFonts w:cstheme="minorHAnsi"/>
          <w:b/>
          <w:bCs/>
        </w:rPr>
        <w:t>Introduction</w:t>
      </w:r>
    </w:p>
    <w:p w14:paraId="7D85DA1A" w14:textId="13C57336" w:rsidR="00C64B45" w:rsidRPr="00C70D1D" w:rsidRDefault="004A04A5" w:rsidP="004E379E">
      <w:pPr>
        <w:jc w:val="both"/>
        <w:rPr>
          <w:rFonts w:cstheme="minorHAnsi"/>
          <w:bCs/>
        </w:rPr>
      </w:pPr>
      <w:r w:rsidRPr="00C70D1D">
        <w:rPr>
          <w:rFonts w:cstheme="minorHAnsi"/>
        </w:rPr>
        <w:t xml:space="preserve">Stroke </w:t>
      </w:r>
      <w:r w:rsidR="009F09A2" w:rsidRPr="00C70D1D">
        <w:rPr>
          <w:rFonts w:cstheme="minorHAnsi"/>
        </w:rPr>
        <w:t xml:space="preserve">is </w:t>
      </w:r>
      <w:r w:rsidRPr="00C70D1D">
        <w:rPr>
          <w:rFonts w:cstheme="minorHAnsi"/>
        </w:rPr>
        <w:t xml:space="preserve">one of </w:t>
      </w:r>
      <w:r w:rsidR="00B971AE" w:rsidRPr="00C70D1D">
        <w:rPr>
          <w:rFonts w:cstheme="minorHAnsi"/>
        </w:rPr>
        <w:t>the</w:t>
      </w:r>
      <w:r w:rsidR="00F222E2" w:rsidRPr="00C70D1D">
        <w:rPr>
          <w:rFonts w:cstheme="minorHAnsi"/>
        </w:rPr>
        <w:t xml:space="preserve"> </w:t>
      </w:r>
      <w:r w:rsidRPr="00C70D1D">
        <w:rPr>
          <w:rFonts w:cstheme="minorHAnsi"/>
        </w:rPr>
        <w:t>major</w:t>
      </w:r>
      <w:r w:rsidR="00B971AE" w:rsidRPr="00C70D1D">
        <w:rPr>
          <w:rFonts w:cstheme="minorHAnsi"/>
        </w:rPr>
        <w:t xml:space="preserve"> </w:t>
      </w:r>
      <w:r w:rsidRPr="00C70D1D">
        <w:rPr>
          <w:rFonts w:cstheme="minorHAnsi"/>
        </w:rPr>
        <w:t>public health concern</w:t>
      </w:r>
      <w:r w:rsidR="003E2339" w:rsidRPr="00C70D1D">
        <w:rPr>
          <w:rFonts w:cstheme="minorHAnsi"/>
        </w:rPr>
        <w:t xml:space="preserve">s and </w:t>
      </w:r>
      <w:r w:rsidR="00F222E2" w:rsidRPr="00C70D1D">
        <w:rPr>
          <w:rFonts w:cstheme="minorHAnsi"/>
        </w:rPr>
        <w:t xml:space="preserve">the </w:t>
      </w:r>
      <w:r w:rsidR="003E2339" w:rsidRPr="00C70D1D">
        <w:rPr>
          <w:rFonts w:cstheme="minorHAnsi"/>
        </w:rPr>
        <w:t xml:space="preserve">second leading cause of death </w:t>
      </w:r>
      <w:r w:rsidRPr="00C70D1D">
        <w:rPr>
          <w:rFonts w:cstheme="minorHAnsi"/>
        </w:rPr>
        <w:t>globally</w:t>
      </w:r>
      <w:r w:rsidR="00503368" w:rsidRPr="00B17041">
        <w:rPr>
          <w:rFonts w:cstheme="minorHAnsi"/>
          <w:vertAlign w:val="superscript"/>
        </w:rPr>
        <w:t>1</w:t>
      </w:r>
      <w:r w:rsidR="003E2339" w:rsidRPr="00C70D1D">
        <w:rPr>
          <w:rFonts w:cstheme="minorHAnsi"/>
        </w:rPr>
        <w:t xml:space="preserve">. </w:t>
      </w:r>
      <w:r w:rsidR="009F09A2" w:rsidRPr="00C70D1D">
        <w:rPr>
          <w:rFonts w:cstheme="minorHAnsi"/>
          <w:bCs/>
        </w:rPr>
        <w:t>Based on current trends, the burden of stroke is expected to</w:t>
      </w:r>
      <w:r w:rsidR="003E2339" w:rsidRPr="00C70D1D">
        <w:rPr>
          <w:rFonts w:cstheme="minorHAnsi"/>
          <w:bCs/>
        </w:rPr>
        <w:t xml:space="preserve"> double by </w:t>
      </w:r>
      <w:r w:rsidR="003D18F1">
        <w:rPr>
          <w:rFonts w:cstheme="minorHAnsi"/>
          <w:bCs/>
        </w:rPr>
        <w:t>2030</w:t>
      </w:r>
      <w:r w:rsidR="003D18F1">
        <w:rPr>
          <w:rFonts w:cstheme="minorHAnsi"/>
          <w:bCs/>
          <w:vertAlign w:val="superscript"/>
        </w:rPr>
        <w:t>2</w:t>
      </w:r>
      <w:r w:rsidR="003E2339" w:rsidRPr="00C70D1D">
        <w:rPr>
          <w:rFonts w:cstheme="minorHAnsi"/>
          <w:bCs/>
        </w:rPr>
        <w:t xml:space="preserve">. At a time when the incidence of stroke is declining in high-income countries, </w:t>
      </w:r>
      <w:r w:rsidR="00A4338B" w:rsidRPr="00C70D1D">
        <w:rPr>
          <w:rFonts w:cstheme="minorHAnsi"/>
          <w:bCs/>
        </w:rPr>
        <w:t xml:space="preserve">it is increasing </w:t>
      </w:r>
      <w:r w:rsidR="00804167" w:rsidRPr="00C70D1D">
        <w:rPr>
          <w:rFonts w:cstheme="minorHAnsi"/>
          <w:bCs/>
        </w:rPr>
        <w:t>in</w:t>
      </w:r>
      <w:r w:rsidR="00D026FE" w:rsidRPr="00C70D1D">
        <w:rPr>
          <w:rFonts w:cstheme="minorHAnsi"/>
          <w:bCs/>
        </w:rPr>
        <w:t xml:space="preserve"> low</w:t>
      </w:r>
      <w:r w:rsidR="00B54CF9" w:rsidRPr="00C70D1D">
        <w:rPr>
          <w:rFonts w:cstheme="minorHAnsi"/>
          <w:bCs/>
        </w:rPr>
        <w:t>-</w:t>
      </w:r>
      <w:r w:rsidR="005D693D" w:rsidRPr="00C70D1D">
        <w:rPr>
          <w:rFonts w:cstheme="minorHAnsi"/>
          <w:bCs/>
        </w:rPr>
        <w:t xml:space="preserve"> and </w:t>
      </w:r>
      <w:r w:rsidR="00B54CF9" w:rsidRPr="00C70D1D">
        <w:rPr>
          <w:rFonts w:cstheme="minorHAnsi"/>
          <w:bCs/>
        </w:rPr>
        <w:t>middle-</w:t>
      </w:r>
      <w:r w:rsidR="003E2339" w:rsidRPr="00C70D1D">
        <w:rPr>
          <w:rFonts w:cstheme="minorHAnsi"/>
          <w:bCs/>
        </w:rPr>
        <w:t>income countries, especially in Africa</w:t>
      </w:r>
      <w:r w:rsidR="00503368" w:rsidRPr="00B17041">
        <w:rPr>
          <w:rFonts w:cstheme="minorHAnsi"/>
          <w:bCs/>
          <w:vertAlign w:val="superscript"/>
        </w:rPr>
        <w:t>2</w:t>
      </w:r>
      <w:r w:rsidR="003E2339" w:rsidRPr="00C70D1D">
        <w:rPr>
          <w:rFonts w:cstheme="minorHAnsi"/>
          <w:bCs/>
        </w:rPr>
        <w:t>. This increase is not surprising given that Africa is undergoing an epidemiological transition driven by socio-demographic and lifestyle changes</w:t>
      </w:r>
      <w:r w:rsidR="00503368" w:rsidRPr="00B17041">
        <w:rPr>
          <w:rFonts w:cstheme="minorHAnsi"/>
          <w:bCs/>
          <w:vertAlign w:val="superscript"/>
        </w:rPr>
        <w:t>3</w:t>
      </w:r>
      <w:r w:rsidR="00024700" w:rsidRPr="00B17041">
        <w:rPr>
          <w:rFonts w:cstheme="minorHAnsi"/>
          <w:bCs/>
          <w:vertAlign w:val="superscript"/>
        </w:rPr>
        <w:t>,</w:t>
      </w:r>
      <w:r w:rsidR="00503368" w:rsidRPr="00B17041">
        <w:rPr>
          <w:rFonts w:cstheme="minorHAnsi"/>
          <w:bCs/>
          <w:vertAlign w:val="superscript"/>
        </w:rPr>
        <w:t>4</w:t>
      </w:r>
      <w:r w:rsidR="003E2339" w:rsidRPr="00C70D1D">
        <w:rPr>
          <w:rFonts w:cstheme="minorHAnsi"/>
          <w:bCs/>
        </w:rPr>
        <w:t xml:space="preserve">. </w:t>
      </w:r>
      <w:r w:rsidR="00C5092C" w:rsidRPr="00C70D1D">
        <w:rPr>
          <w:rFonts w:cstheme="minorHAnsi"/>
          <w:bCs/>
        </w:rPr>
        <w:t xml:space="preserve">The </w:t>
      </w:r>
      <w:r w:rsidR="005C5BC8" w:rsidRPr="00C70D1D">
        <w:rPr>
          <w:rFonts w:cstheme="minorHAnsi"/>
          <w:bCs/>
        </w:rPr>
        <w:t>latter</w:t>
      </w:r>
      <w:r w:rsidR="00C5092C" w:rsidRPr="00C70D1D">
        <w:rPr>
          <w:rFonts w:cstheme="minorHAnsi"/>
          <w:bCs/>
        </w:rPr>
        <w:t xml:space="preserve"> include increas</w:t>
      </w:r>
      <w:r w:rsidR="000C2C3A" w:rsidRPr="00C70D1D">
        <w:rPr>
          <w:rFonts w:cstheme="minorHAnsi"/>
          <w:bCs/>
        </w:rPr>
        <w:t>ed</w:t>
      </w:r>
      <w:r w:rsidR="00C5092C" w:rsidRPr="00C70D1D">
        <w:rPr>
          <w:rFonts w:cstheme="minorHAnsi"/>
          <w:bCs/>
        </w:rPr>
        <w:t xml:space="preserve"> consumption of </w:t>
      </w:r>
      <w:r w:rsidR="000C2C3A" w:rsidRPr="00C70D1D">
        <w:rPr>
          <w:rFonts w:cstheme="minorHAnsi"/>
          <w:bCs/>
        </w:rPr>
        <w:t xml:space="preserve">unhealthy diets, </w:t>
      </w:r>
      <w:r w:rsidR="00C5092C" w:rsidRPr="00C70D1D">
        <w:rPr>
          <w:rFonts w:cstheme="minorHAnsi"/>
          <w:bCs/>
        </w:rPr>
        <w:t>sedentary lifestyle</w:t>
      </w:r>
      <w:r w:rsidR="003261FC" w:rsidRPr="00C70D1D">
        <w:rPr>
          <w:rFonts w:cstheme="minorHAnsi"/>
          <w:bCs/>
        </w:rPr>
        <w:t>,</w:t>
      </w:r>
      <w:r w:rsidR="000C2C3A" w:rsidRPr="00C70D1D">
        <w:rPr>
          <w:rFonts w:cstheme="minorHAnsi"/>
          <w:bCs/>
        </w:rPr>
        <w:t xml:space="preserve"> and excessive alcohol intake and smoking. </w:t>
      </w:r>
      <w:r w:rsidR="003E2339" w:rsidRPr="00C70D1D">
        <w:rPr>
          <w:rFonts w:cstheme="minorHAnsi"/>
          <w:bCs/>
        </w:rPr>
        <w:t xml:space="preserve">Furthermore, the high prevalence of HIV infection </w:t>
      </w:r>
      <w:r w:rsidR="00B70B72" w:rsidRPr="00C70D1D">
        <w:rPr>
          <w:rFonts w:cstheme="minorHAnsi"/>
          <w:bCs/>
        </w:rPr>
        <w:t xml:space="preserve">in sub-Saharan Africa </w:t>
      </w:r>
      <w:r w:rsidR="003E2339" w:rsidRPr="00C70D1D">
        <w:rPr>
          <w:rFonts w:cstheme="minorHAnsi"/>
          <w:bCs/>
        </w:rPr>
        <w:t xml:space="preserve">is also a driver of stroke incidence, especially </w:t>
      </w:r>
      <w:r w:rsidR="00833A58" w:rsidRPr="00C70D1D">
        <w:rPr>
          <w:rFonts w:cstheme="minorHAnsi"/>
          <w:bCs/>
        </w:rPr>
        <w:t>in</w:t>
      </w:r>
      <w:r w:rsidR="0023534B" w:rsidRPr="00C70D1D">
        <w:rPr>
          <w:rFonts w:cstheme="minorHAnsi"/>
          <w:bCs/>
        </w:rPr>
        <w:t xml:space="preserve"> young adults</w:t>
      </w:r>
      <w:r w:rsidR="00503368" w:rsidRPr="00B17041">
        <w:rPr>
          <w:rFonts w:cstheme="minorHAnsi"/>
          <w:bCs/>
          <w:vertAlign w:val="superscript"/>
        </w:rPr>
        <w:t>5</w:t>
      </w:r>
      <w:r w:rsidR="00024700" w:rsidRPr="00B17041">
        <w:rPr>
          <w:rFonts w:cstheme="minorHAnsi"/>
          <w:bCs/>
          <w:vertAlign w:val="superscript"/>
        </w:rPr>
        <w:t>,</w:t>
      </w:r>
      <w:r w:rsidR="00503368" w:rsidRPr="00B17041">
        <w:rPr>
          <w:rFonts w:cstheme="minorHAnsi"/>
          <w:bCs/>
          <w:vertAlign w:val="superscript"/>
        </w:rPr>
        <w:t>6</w:t>
      </w:r>
      <w:r w:rsidR="003E2339" w:rsidRPr="00C70D1D">
        <w:rPr>
          <w:rFonts w:cstheme="minorHAnsi"/>
          <w:bCs/>
        </w:rPr>
        <w:t xml:space="preserve">. </w:t>
      </w:r>
      <w:r w:rsidR="003E2339" w:rsidRPr="00C70D1D">
        <w:rPr>
          <w:rFonts w:cstheme="minorHAnsi"/>
        </w:rPr>
        <w:t xml:space="preserve">The burden of stroke is </w:t>
      </w:r>
      <w:r w:rsidR="003200C3" w:rsidRPr="00C70D1D">
        <w:rPr>
          <w:rFonts w:cstheme="minorHAnsi"/>
        </w:rPr>
        <w:t>compounded by</w:t>
      </w:r>
      <w:r w:rsidR="003E2339" w:rsidRPr="00C70D1D">
        <w:rPr>
          <w:rFonts w:cstheme="minorHAnsi"/>
        </w:rPr>
        <w:t xml:space="preserve"> the scarcity of resources </w:t>
      </w:r>
      <w:r w:rsidR="00867AB9" w:rsidRPr="00C70D1D">
        <w:rPr>
          <w:rFonts w:cstheme="minorHAnsi"/>
        </w:rPr>
        <w:t xml:space="preserve">and the absence </w:t>
      </w:r>
      <w:proofErr w:type="spellStart"/>
      <w:r w:rsidR="003200C3" w:rsidRPr="00C70D1D">
        <w:rPr>
          <w:rFonts w:cstheme="minorHAnsi"/>
        </w:rPr>
        <w:t>or</w:t>
      </w:r>
      <w:proofErr w:type="spellEnd"/>
      <w:r w:rsidR="003200C3" w:rsidRPr="00C70D1D">
        <w:rPr>
          <w:rFonts w:cstheme="minorHAnsi"/>
        </w:rPr>
        <w:t xml:space="preserve"> inadequacy of treatment and prevention guidelines</w:t>
      </w:r>
      <w:r w:rsidR="00503368" w:rsidRPr="00B17041">
        <w:rPr>
          <w:rFonts w:cstheme="minorHAnsi"/>
          <w:vertAlign w:val="superscript"/>
        </w:rPr>
        <w:t>4</w:t>
      </w:r>
      <w:r w:rsidR="00C927B6" w:rsidRPr="00B17041">
        <w:rPr>
          <w:rFonts w:cstheme="minorHAnsi"/>
          <w:vertAlign w:val="superscript"/>
        </w:rPr>
        <w:t>,</w:t>
      </w:r>
      <w:r w:rsidR="00503368" w:rsidRPr="00B17041">
        <w:rPr>
          <w:rFonts w:cstheme="minorHAnsi"/>
          <w:vertAlign w:val="superscript"/>
        </w:rPr>
        <w:t>7</w:t>
      </w:r>
      <w:r w:rsidR="003E2339" w:rsidRPr="00C70D1D">
        <w:rPr>
          <w:rFonts w:cstheme="minorHAnsi"/>
        </w:rPr>
        <w:t>.</w:t>
      </w:r>
    </w:p>
    <w:p w14:paraId="3902B176" w14:textId="009907EA" w:rsidR="00A44216" w:rsidRPr="00C70D1D" w:rsidRDefault="003E2339" w:rsidP="00C64B45">
      <w:pPr>
        <w:jc w:val="both"/>
        <w:rPr>
          <w:rFonts w:cstheme="minorHAnsi"/>
        </w:rPr>
      </w:pPr>
      <w:r w:rsidRPr="00C70D1D">
        <w:rPr>
          <w:rFonts w:cstheme="minorHAnsi"/>
        </w:rPr>
        <w:t xml:space="preserve">Malawi is not exempt </w:t>
      </w:r>
      <w:r w:rsidR="007B0BEF" w:rsidRPr="00C70D1D">
        <w:rPr>
          <w:rFonts w:cstheme="minorHAnsi"/>
        </w:rPr>
        <w:t>from</w:t>
      </w:r>
      <w:r w:rsidRPr="00C70D1D">
        <w:rPr>
          <w:rFonts w:cstheme="minorHAnsi"/>
        </w:rPr>
        <w:t xml:space="preserve"> the challenges experienced by other African countries in the</w:t>
      </w:r>
      <w:r w:rsidR="00BD41B3" w:rsidRPr="00C70D1D">
        <w:rPr>
          <w:rFonts w:cstheme="minorHAnsi"/>
        </w:rPr>
        <w:t xml:space="preserve"> optimal</w:t>
      </w:r>
      <w:r w:rsidRPr="00C70D1D">
        <w:rPr>
          <w:rFonts w:cstheme="minorHAnsi"/>
        </w:rPr>
        <w:t xml:space="preserve"> management of </w:t>
      </w:r>
      <w:r w:rsidR="00E8670C" w:rsidRPr="00C70D1D">
        <w:rPr>
          <w:rFonts w:cstheme="minorHAnsi"/>
        </w:rPr>
        <w:t xml:space="preserve">patients with </w:t>
      </w:r>
      <w:r w:rsidRPr="00C70D1D">
        <w:rPr>
          <w:rFonts w:cstheme="minorHAnsi"/>
        </w:rPr>
        <w:t xml:space="preserve">stroke. </w:t>
      </w:r>
      <w:r w:rsidR="001F18CB" w:rsidRPr="00C70D1D">
        <w:rPr>
          <w:rFonts w:cstheme="minorHAnsi"/>
        </w:rPr>
        <w:t>Queen Elizabeth Central Hospital (QECH),</w:t>
      </w:r>
      <w:r w:rsidR="00213744" w:rsidRPr="00C70D1D">
        <w:rPr>
          <w:rFonts w:cstheme="minorHAnsi"/>
        </w:rPr>
        <w:t xml:space="preserve"> the </w:t>
      </w:r>
      <w:r w:rsidR="007B0BEF" w:rsidRPr="00C70D1D">
        <w:rPr>
          <w:rFonts w:cstheme="minorHAnsi"/>
        </w:rPr>
        <w:t>country’s</w:t>
      </w:r>
      <w:r w:rsidR="00D22F01" w:rsidRPr="00C70D1D">
        <w:rPr>
          <w:rFonts w:cstheme="minorHAnsi"/>
        </w:rPr>
        <w:t xml:space="preserve"> largest tertiary health facility,</w:t>
      </w:r>
      <w:r w:rsidRPr="00C70D1D">
        <w:rPr>
          <w:rFonts w:cstheme="minorHAnsi"/>
        </w:rPr>
        <w:t xml:space="preserve"> does not have </w:t>
      </w:r>
      <w:r w:rsidR="0020374B" w:rsidRPr="00C70D1D">
        <w:rPr>
          <w:rFonts w:cstheme="minorHAnsi"/>
        </w:rPr>
        <w:t>specialist neurology or</w:t>
      </w:r>
      <w:r w:rsidRPr="00C70D1D">
        <w:rPr>
          <w:rFonts w:cstheme="minorHAnsi"/>
        </w:rPr>
        <w:t xml:space="preserve"> stroke </w:t>
      </w:r>
      <w:r w:rsidR="0020374B" w:rsidRPr="00C70D1D">
        <w:rPr>
          <w:rFonts w:cstheme="minorHAnsi"/>
        </w:rPr>
        <w:t>services and</w:t>
      </w:r>
      <w:r w:rsidRPr="00C70D1D">
        <w:rPr>
          <w:rFonts w:cstheme="minorHAnsi"/>
        </w:rPr>
        <w:t xml:space="preserve"> has limited </w:t>
      </w:r>
      <w:r w:rsidR="00A12C17" w:rsidRPr="00C70D1D">
        <w:rPr>
          <w:rFonts w:cstheme="minorHAnsi"/>
        </w:rPr>
        <w:t xml:space="preserve">capacity for </w:t>
      </w:r>
      <w:r w:rsidR="00BD41B3" w:rsidRPr="00C70D1D">
        <w:rPr>
          <w:rFonts w:cstheme="minorHAnsi"/>
        </w:rPr>
        <w:t>radiolog</w:t>
      </w:r>
      <w:r w:rsidR="00A12C17" w:rsidRPr="00C70D1D">
        <w:rPr>
          <w:rFonts w:cstheme="minorHAnsi"/>
        </w:rPr>
        <w:t>ical</w:t>
      </w:r>
      <w:r w:rsidR="00BD41B3" w:rsidRPr="00C70D1D">
        <w:rPr>
          <w:rFonts w:cstheme="minorHAnsi"/>
        </w:rPr>
        <w:t xml:space="preserve"> </w:t>
      </w:r>
      <w:r w:rsidRPr="00C70D1D">
        <w:rPr>
          <w:rFonts w:cstheme="minorHAnsi"/>
        </w:rPr>
        <w:t>imaging</w:t>
      </w:r>
      <w:r w:rsidR="00503368" w:rsidRPr="00B17041">
        <w:rPr>
          <w:rFonts w:cstheme="minorHAnsi"/>
          <w:vertAlign w:val="superscript"/>
        </w:rPr>
        <w:t>8</w:t>
      </w:r>
      <w:r w:rsidRPr="00C70D1D">
        <w:rPr>
          <w:rFonts w:cstheme="minorHAnsi"/>
        </w:rPr>
        <w:t xml:space="preserve">. </w:t>
      </w:r>
      <w:r w:rsidR="007B0BEF" w:rsidRPr="00C70D1D">
        <w:rPr>
          <w:rFonts w:cstheme="minorHAnsi"/>
        </w:rPr>
        <w:t xml:space="preserve">Patients with </w:t>
      </w:r>
      <w:r w:rsidR="0020374B" w:rsidRPr="00C70D1D">
        <w:rPr>
          <w:rFonts w:cstheme="minorHAnsi"/>
        </w:rPr>
        <w:t>stroke</w:t>
      </w:r>
      <w:r w:rsidRPr="00C70D1D">
        <w:rPr>
          <w:rFonts w:cstheme="minorHAnsi"/>
        </w:rPr>
        <w:t xml:space="preserve"> </w:t>
      </w:r>
      <w:r w:rsidR="007B0BEF" w:rsidRPr="00C70D1D">
        <w:rPr>
          <w:rFonts w:cstheme="minorHAnsi"/>
        </w:rPr>
        <w:t>are managed on the</w:t>
      </w:r>
      <w:r w:rsidRPr="00C70D1D">
        <w:rPr>
          <w:rFonts w:cstheme="minorHAnsi"/>
        </w:rPr>
        <w:t xml:space="preserve"> general medical wards</w:t>
      </w:r>
      <w:r w:rsidR="00D22F01" w:rsidRPr="00C70D1D">
        <w:rPr>
          <w:rFonts w:cstheme="minorHAnsi"/>
        </w:rPr>
        <w:t xml:space="preserve"> by internal medicine physicians</w:t>
      </w:r>
      <w:r w:rsidR="00833A58" w:rsidRPr="00C70D1D">
        <w:rPr>
          <w:rFonts w:cstheme="minorHAnsi"/>
        </w:rPr>
        <w:t>.</w:t>
      </w:r>
      <w:bookmarkStart w:id="1" w:name="_Hlk504378539"/>
      <w:r w:rsidR="00C64B45" w:rsidRPr="00C70D1D">
        <w:rPr>
          <w:rFonts w:cstheme="minorHAnsi"/>
        </w:rPr>
        <w:t xml:space="preserve"> </w:t>
      </w:r>
      <w:r w:rsidR="00A12C17" w:rsidRPr="00C70D1D">
        <w:rPr>
          <w:rFonts w:cstheme="minorHAnsi"/>
        </w:rPr>
        <w:t xml:space="preserve">Through a recent </w:t>
      </w:r>
      <w:r w:rsidR="006645CE" w:rsidRPr="00C70D1D">
        <w:rPr>
          <w:rFonts w:cstheme="minorHAnsi"/>
        </w:rPr>
        <w:t>collaboration with University College London</w:t>
      </w:r>
      <w:r w:rsidR="00A12C17" w:rsidRPr="00C70D1D">
        <w:rPr>
          <w:rFonts w:cstheme="minorHAnsi"/>
        </w:rPr>
        <w:t xml:space="preserve"> (UCL)</w:t>
      </w:r>
      <w:r w:rsidR="006645CE" w:rsidRPr="00C70D1D">
        <w:rPr>
          <w:rFonts w:cstheme="minorHAnsi"/>
        </w:rPr>
        <w:t xml:space="preserve">, </w:t>
      </w:r>
      <w:r w:rsidRPr="00C70D1D">
        <w:rPr>
          <w:rFonts w:cstheme="minorHAnsi"/>
        </w:rPr>
        <w:t xml:space="preserve">QECH </w:t>
      </w:r>
      <w:r w:rsidR="006645CE" w:rsidRPr="00C70D1D">
        <w:rPr>
          <w:rFonts w:cstheme="minorHAnsi"/>
        </w:rPr>
        <w:t xml:space="preserve">is preparing to </w:t>
      </w:r>
      <w:r w:rsidR="00A12C17" w:rsidRPr="00C70D1D">
        <w:rPr>
          <w:rFonts w:cstheme="minorHAnsi"/>
        </w:rPr>
        <w:t>open</w:t>
      </w:r>
      <w:r w:rsidR="007A1C80" w:rsidRPr="00C70D1D">
        <w:rPr>
          <w:rFonts w:cstheme="minorHAnsi"/>
        </w:rPr>
        <w:t xml:space="preserve"> </w:t>
      </w:r>
      <w:r w:rsidR="006645CE" w:rsidRPr="00C70D1D">
        <w:rPr>
          <w:rFonts w:cstheme="minorHAnsi"/>
        </w:rPr>
        <w:t xml:space="preserve">a </w:t>
      </w:r>
      <w:r w:rsidR="000402EF" w:rsidRPr="00C70D1D">
        <w:rPr>
          <w:rFonts w:cstheme="minorHAnsi"/>
        </w:rPr>
        <w:t>stroke unit</w:t>
      </w:r>
      <w:r w:rsidR="00F766EB" w:rsidRPr="00C70D1D">
        <w:rPr>
          <w:rFonts w:cstheme="minorHAnsi"/>
        </w:rPr>
        <w:t xml:space="preserve"> </w:t>
      </w:r>
      <w:r w:rsidR="00F766EB" w:rsidRPr="009D0421">
        <w:rPr>
          <w:rFonts w:cstheme="minorHAnsi"/>
        </w:rPr>
        <w:t>(https://malawistrokeunit.org/)</w:t>
      </w:r>
      <w:r w:rsidRPr="00C70D1D">
        <w:rPr>
          <w:rFonts w:cstheme="minorHAnsi"/>
        </w:rPr>
        <w:t xml:space="preserve"> where </w:t>
      </w:r>
      <w:r w:rsidR="00E8670C" w:rsidRPr="00C70D1D">
        <w:rPr>
          <w:rFonts w:cstheme="minorHAnsi"/>
        </w:rPr>
        <w:t xml:space="preserve">patients with </w:t>
      </w:r>
      <w:r w:rsidR="006645CE" w:rsidRPr="00C70D1D">
        <w:rPr>
          <w:rFonts w:cstheme="minorHAnsi"/>
        </w:rPr>
        <w:t>stroke</w:t>
      </w:r>
      <w:r w:rsidR="00134D2A" w:rsidRPr="00C70D1D">
        <w:rPr>
          <w:rFonts w:cstheme="minorHAnsi"/>
        </w:rPr>
        <w:t xml:space="preserve"> </w:t>
      </w:r>
      <w:r w:rsidRPr="00C70D1D">
        <w:rPr>
          <w:rFonts w:cstheme="minorHAnsi"/>
        </w:rPr>
        <w:t>will be managed by a</w:t>
      </w:r>
      <w:r w:rsidR="00A12C17" w:rsidRPr="00C70D1D">
        <w:rPr>
          <w:rFonts w:cstheme="minorHAnsi"/>
        </w:rPr>
        <w:t xml:space="preserve"> specialist</w:t>
      </w:r>
      <w:r w:rsidRPr="00C70D1D">
        <w:rPr>
          <w:rFonts w:cstheme="minorHAnsi"/>
        </w:rPr>
        <w:t xml:space="preserve"> team</w:t>
      </w:r>
      <w:r w:rsidR="00F137B8" w:rsidRPr="00C70D1D">
        <w:rPr>
          <w:rFonts w:cstheme="minorHAnsi"/>
          <w:vertAlign w:val="superscript"/>
        </w:rPr>
        <w:t>9</w:t>
      </w:r>
      <w:r w:rsidRPr="00C70D1D">
        <w:rPr>
          <w:rFonts w:cstheme="minorHAnsi"/>
        </w:rPr>
        <w:t xml:space="preserve">. </w:t>
      </w:r>
      <w:r w:rsidR="00D0217B" w:rsidRPr="00C70D1D">
        <w:rPr>
          <w:rFonts w:cstheme="minorHAnsi"/>
        </w:rPr>
        <w:t>Successful</w:t>
      </w:r>
      <w:r w:rsidRPr="00C70D1D">
        <w:rPr>
          <w:rFonts w:cstheme="minorHAnsi"/>
        </w:rPr>
        <w:t xml:space="preserve"> implementation of</w:t>
      </w:r>
      <w:r w:rsidR="00D0217B" w:rsidRPr="00C70D1D">
        <w:rPr>
          <w:rFonts w:cstheme="minorHAnsi"/>
        </w:rPr>
        <w:t xml:space="preserve"> this initiative</w:t>
      </w:r>
      <w:r w:rsidRPr="00C70D1D">
        <w:rPr>
          <w:rFonts w:cstheme="minorHAnsi"/>
        </w:rPr>
        <w:t xml:space="preserve"> requires identification of key priority areas</w:t>
      </w:r>
      <w:r w:rsidR="00D22F01" w:rsidRPr="00C70D1D">
        <w:rPr>
          <w:rFonts w:cstheme="minorHAnsi"/>
        </w:rPr>
        <w:t xml:space="preserve"> for intervention</w:t>
      </w:r>
      <w:r w:rsidR="00555605" w:rsidRPr="00C70D1D">
        <w:rPr>
          <w:rFonts w:cstheme="minorHAnsi"/>
        </w:rPr>
        <w:t>, which will</w:t>
      </w:r>
      <w:r w:rsidR="006E0B7F" w:rsidRPr="00C70D1D">
        <w:rPr>
          <w:rFonts w:cstheme="minorHAnsi"/>
        </w:rPr>
        <w:t xml:space="preserve"> facilitate</w:t>
      </w:r>
      <w:r w:rsidRPr="00C70D1D">
        <w:rPr>
          <w:rFonts w:cstheme="minorHAnsi"/>
        </w:rPr>
        <w:t xml:space="preserve"> </w:t>
      </w:r>
      <w:r w:rsidR="006E0B7F" w:rsidRPr="00C70D1D">
        <w:rPr>
          <w:rFonts w:cstheme="minorHAnsi"/>
        </w:rPr>
        <w:t xml:space="preserve">the </w:t>
      </w:r>
      <w:r w:rsidRPr="00C70D1D">
        <w:rPr>
          <w:rFonts w:cstheme="minorHAnsi"/>
        </w:rPr>
        <w:t xml:space="preserve">efficient deployment </w:t>
      </w:r>
      <w:r w:rsidR="006E0B7F" w:rsidRPr="00C70D1D">
        <w:rPr>
          <w:rFonts w:cstheme="minorHAnsi"/>
        </w:rPr>
        <w:t xml:space="preserve">of </w:t>
      </w:r>
      <w:r w:rsidRPr="00C70D1D">
        <w:rPr>
          <w:rFonts w:cstheme="minorHAnsi"/>
        </w:rPr>
        <w:t>plan</w:t>
      </w:r>
      <w:r w:rsidR="006E0B7F" w:rsidRPr="00C70D1D">
        <w:rPr>
          <w:rFonts w:cstheme="minorHAnsi"/>
        </w:rPr>
        <w:t>s</w:t>
      </w:r>
      <w:r w:rsidRPr="00C70D1D">
        <w:rPr>
          <w:rFonts w:cstheme="minorHAnsi"/>
        </w:rPr>
        <w:t xml:space="preserve"> tailored to </w:t>
      </w:r>
      <w:r w:rsidR="005241E0" w:rsidRPr="00C70D1D">
        <w:rPr>
          <w:rFonts w:cstheme="minorHAnsi"/>
        </w:rPr>
        <w:t xml:space="preserve">the </w:t>
      </w:r>
      <w:r w:rsidRPr="00C70D1D">
        <w:rPr>
          <w:rFonts w:cstheme="minorHAnsi"/>
        </w:rPr>
        <w:t>patients’ needs. However, current stroke management practices and outcomes at the QECH are poorly documented</w:t>
      </w:r>
      <w:r w:rsidR="00833A58" w:rsidRPr="00C70D1D">
        <w:rPr>
          <w:rFonts w:cstheme="minorHAnsi"/>
        </w:rPr>
        <w:t>.</w:t>
      </w:r>
      <w:r w:rsidRPr="00C70D1D">
        <w:rPr>
          <w:rFonts w:cstheme="minorHAnsi"/>
        </w:rPr>
        <w:t xml:space="preserve"> We aim to</w:t>
      </w:r>
      <w:r w:rsidR="00B43AC6" w:rsidRPr="00C70D1D">
        <w:rPr>
          <w:rFonts w:cstheme="minorHAnsi"/>
        </w:rPr>
        <w:t xml:space="preserve"> address</w:t>
      </w:r>
      <w:r w:rsidRPr="00C70D1D">
        <w:rPr>
          <w:rFonts w:cstheme="minorHAnsi"/>
        </w:rPr>
        <w:t xml:space="preserve"> thi</w:t>
      </w:r>
      <w:r w:rsidR="00536936" w:rsidRPr="00C70D1D">
        <w:rPr>
          <w:rFonts w:cstheme="minorHAnsi"/>
        </w:rPr>
        <w:t xml:space="preserve">s knowledge gap by conducting </w:t>
      </w:r>
      <w:r w:rsidR="006645CE" w:rsidRPr="00C70D1D">
        <w:rPr>
          <w:rFonts w:cstheme="minorHAnsi"/>
        </w:rPr>
        <w:t xml:space="preserve">an </w:t>
      </w:r>
      <w:r w:rsidR="00536936" w:rsidRPr="00C70D1D">
        <w:rPr>
          <w:rFonts w:cstheme="minorHAnsi"/>
        </w:rPr>
        <w:t xml:space="preserve">audit </w:t>
      </w:r>
      <w:r w:rsidR="00567DE7" w:rsidRPr="00C70D1D">
        <w:rPr>
          <w:rFonts w:cstheme="minorHAnsi"/>
        </w:rPr>
        <w:t xml:space="preserve">to </w:t>
      </w:r>
      <w:r w:rsidR="002E13C5" w:rsidRPr="00C70D1D">
        <w:rPr>
          <w:rFonts w:cstheme="minorHAnsi"/>
        </w:rPr>
        <w:t>collect</w:t>
      </w:r>
      <w:r w:rsidR="00567DE7" w:rsidRPr="00C70D1D">
        <w:rPr>
          <w:rFonts w:cstheme="minorHAnsi"/>
        </w:rPr>
        <w:t xml:space="preserve"> data </w:t>
      </w:r>
      <w:r w:rsidR="002E13C5" w:rsidRPr="00C70D1D">
        <w:rPr>
          <w:rFonts w:cstheme="minorHAnsi"/>
        </w:rPr>
        <w:t>on</w:t>
      </w:r>
      <w:r w:rsidR="00D22F01" w:rsidRPr="00C70D1D">
        <w:rPr>
          <w:rFonts w:cstheme="minorHAnsi"/>
        </w:rPr>
        <w:t xml:space="preserve"> stroke management and outcomes</w:t>
      </w:r>
      <w:r w:rsidR="002E13C5" w:rsidRPr="00C70D1D">
        <w:rPr>
          <w:rFonts w:cstheme="minorHAnsi"/>
        </w:rPr>
        <w:t xml:space="preserve"> at QECH and</w:t>
      </w:r>
      <w:r w:rsidRPr="00C70D1D">
        <w:rPr>
          <w:rFonts w:cstheme="minorHAnsi"/>
        </w:rPr>
        <w:t xml:space="preserve"> </w:t>
      </w:r>
      <w:r w:rsidR="00B43AC6" w:rsidRPr="00C70D1D">
        <w:rPr>
          <w:rFonts w:cstheme="minorHAnsi"/>
        </w:rPr>
        <w:t>identify</w:t>
      </w:r>
      <w:bookmarkEnd w:id="1"/>
      <w:r w:rsidR="00B43AC6" w:rsidRPr="00C70D1D">
        <w:rPr>
          <w:rFonts w:cstheme="minorHAnsi"/>
        </w:rPr>
        <w:t xml:space="preserve"> key</w:t>
      </w:r>
      <w:r w:rsidR="00D22F01" w:rsidRPr="00C70D1D">
        <w:rPr>
          <w:rFonts w:cstheme="minorHAnsi"/>
        </w:rPr>
        <w:t xml:space="preserve"> areas for </w:t>
      </w:r>
      <w:r w:rsidR="002E13C5" w:rsidRPr="00C70D1D">
        <w:rPr>
          <w:rFonts w:cstheme="minorHAnsi"/>
        </w:rPr>
        <w:t>improvement</w:t>
      </w:r>
      <w:r w:rsidR="00536936" w:rsidRPr="00C70D1D">
        <w:rPr>
          <w:rFonts w:cstheme="minorHAnsi"/>
        </w:rPr>
        <w:t xml:space="preserve">. </w:t>
      </w:r>
      <w:r w:rsidR="00363270" w:rsidRPr="00C70D1D">
        <w:rPr>
          <w:rFonts w:cstheme="minorHAnsi"/>
        </w:rPr>
        <w:t>Being the first audit conducted at QECH, the</w:t>
      </w:r>
      <w:r w:rsidR="004C26F2" w:rsidRPr="00C70D1D">
        <w:rPr>
          <w:rFonts w:cstheme="minorHAnsi"/>
        </w:rPr>
        <w:t xml:space="preserve"> findings will form the basis</w:t>
      </w:r>
      <w:r w:rsidR="00536936" w:rsidRPr="00C70D1D">
        <w:rPr>
          <w:rFonts w:cstheme="minorHAnsi"/>
        </w:rPr>
        <w:t xml:space="preserve"> </w:t>
      </w:r>
      <w:r w:rsidR="00FC6ABA" w:rsidRPr="00C70D1D">
        <w:rPr>
          <w:rFonts w:cstheme="minorHAnsi"/>
        </w:rPr>
        <w:t>of</w:t>
      </w:r>
      <w:r w:rsidR="00536936" w:rsidRPr="00C70D1D">
        <w:rPr>
          <w:rFonts w:cstheme="minorHAnsi"/>
        </w:rPr>
        <w:t xml:space="preserve"> future studies </w:t>
      </w:r>
      <w:r w:rsidR="00FC6ABA" w:rsidRPr="00C70D1D">
        <w:rPr>
          <w:rFonts w:cstheme="minorHAnsi"/>
        </w:rPr>
        <w:t>to assess the impact</w:t>
      </w:r>
      <w:r w:rsidR="00536936" w:rsidRPr="00C70D1D">
        <w:rPr>
          <w:rFonts w:cstheme="minorHAnsi"/>
        </w:rPr>
        <w:t xml:space="preserve"> of the </w:t>
      </w:r>
      <w:r w:rsidR="00241D97" w:rsidRPr="00C70D1D">
        <w:rPr>
          <w:rFonts w:cstheme="minorHAnsi"/>
        </w:rPr>
        <w:t>stroke unit</w:t>
      </w:r>
      <w:r w:rsidR="00536936" w:rsidRPr="00C70D1D">
        <w:rPr>
          <w:rFonts w:cstheme="minorHAnsi"/>
        </w:rPr>
        <w:t xml:space="preserve"> on patient care and outcomes and decision</w:t>
      </w:r>
      <w:r w:rsidR="00867AB9" w:rsidRPr="00C70D1D">
        <w:rPr>
          <w:rFonts w:cstheme="minorHAnsi"/>
        </w:rPr>
        <w:t>s on future resource allocation</w:t>
      </w:r>
      <w:r w:rsidR="00536936" w:rsidRPr="00C70D1D">
        <w:rPr>
          <w:rFonts w:cstheme="minorHAnsi"/>
        </w:rPr>
        <w:t>.</w:t>
      </w:r>
    </w:p>
    <w:p w14:paraId="375EC599" w14:textId="53F87226" w:rsidR="00A043F1" w:rsidRPr="00C70D1D" w:rsidRDefault="00A42EF0" w:rsidP="004E379E">
      <w:pPr>
        <w:jc w:val="both"/>
        <w:rPr>
          <w:rFonts w:cstheme="minorHAnsi"/>
          <w:b/>
          <w:bCs/>
        </w:rPr>
      </w:pPr>
      <w:r w:rsidRPr="00C70D1D">
        <w:rPr>
          <w:rFonts w:cstheme="minorHAnsi"/>
          <w:b/>
          <w:bCs/>
        </w:rPr>
        <w:t>Methods</w:t>
      </w:r>
    </w:p>
    <w:p w14:paraId="1A17F21A" w14:textId="79F86FED" w:rsidR="004746F4" w:rsidRPr="00B17041" w:rsidRDefault="004746F4" w:rsidP="004E379E">
      <w:pPr>
        <w:jc w:val="both"/>
        <w:rPr>
          <w:rFonts w:cstheme="minorHAnsi"/>
          <w:b/>
          <w:bCs/>
          <w:i/>
        </w:rPr>
      </w:pPr>
      <w:r w:rsidRPr="00B17041">
        <w:rPr>
          <w:rFonts w:cstheme="minorHAnsi"/>
          <w:b/>
          <w:bCs/>
          <w:i/>
        </w:rPr>
        <w:t>Selection of patients and data collection</w:t>
      </w:r>
    </w:p>
    <w:p w14:paraId="046496AA" w14:textId="7E4E4EDF" w:rsidR="004746F4" w:rsidRPr="00C70D1D" w:rsidRDefault="004746F4" w:rsidP="004746F4">
      <w:pPr>
        <w:jc w:val="both"/>
        <w:rPr>
          <w:rFonts w:cstheme="minorHAnsi"/>
          <w:bCs/>
        </w:rPr>
      </w:pPr>
      <w:r w:rsidRPr="00C70D1D">
        <w:rPr>
          <w:rFonts w:cstheme="minorHAnsi"/>
          <w:bCs/>
        </w:rPr>
        <w:t xml:space="preserve">From </w:t>
      </w:r>
      <w:r w:rsidR="00035A54" w:rsidRPr="00C70D1D">
        <w:rPr>
          <w:rFonts w:cstheme="minorHAnsi"/>
          <w:bCs/>
        </w:rPr>
        <w:t>1 April to 30 June 2018</w:t>
      </w:r>
      <w:r w:rsidRPr="00C70D1D">
        <w:rPr>
          <w:rFonts w:cstheme="minorHAnsi"/>
          <w:bCs/>
        </w:rPr>
        <w:t xml:space="preserve">, we </w:t>
      </w:r>
      <w:r w:rsidR="00035A54" w:rsidRPr="00C70D1D">
        <w:rPr>
          <w:rFonts w:cstheme="minorHAnsi"/>
          <w:bCs/>
        </w:rPr>
        <w:t xml:space="preserve">prospectively </w:t>
      </w:r>
      <w:r w:rsidRPr="00C70D1D">
        <w:rPr>
          <w:rFonts w:cstheme="minorHAnsi"/>
          <w:bCs/>
        </w:rPr>
        <w:t xml:space="preserve">enrolled </w:t>
      </w:r>
      <w:r w:rsidR="00833A58" w:rsidRPr="00C70D1D">
        <w:rPr>
          <w:rFonts w:cstheme="minorHAnsi"/>
          <w:bCs/>
        </w:rPr>
        <w:t>all</w:t>
      </w:r>
      <w:r w:rsidR="00B971AE" w:rsidRPr="00C70D1D">
        <w:rPr>
          <w:rFonts w:cstheme="minorHAnsi"/>
          <w:bCs/>
        </w:rPr>
        <w:t xml:space="preserve"> </w:t>
      </w:r>
      <w:r w:rsidRPr="00C70D1D">
        <w:rPr>
          <w:rFonts w:cstheme="minorHAnsi"/>
          <w:bCs/>
        </w:rPr>
        <w:t>patients aged 18 years and above diagnosed with an acute stroke</w:t>
      </w:r>
      <w:r w:rsidR="002E13C5" w:rsidRPr="00C70D1D">
        <w:rPr>
          <w:rFonts w:cstheme="minorHAnsi"/>
          <w:bCs/>
        </w:rPr>
        <w:t xml:space="preserve"> who </w:t>
      </w:r>
      <w:r w:rsidRPr="00C70D1D">
        <w:rPr>
          <w:rFonts w:cstheme="minorHAnsi"/>
          <w:bCs/>
        </w:rPr>
        <w:t>present</w:t>
      </w:r>
      <w:r w:rsidR="002E13C5" w:rsidRPr="00C70D1D">
        <w:rPr>
          <w:rFonts w:cstheme="minorHAnsi"/>
          <w:bCs/>
        </w:rPr>
        <w:t>ed</w:t>
      </w:r>
      <w:r w:rsidRPr="00C70D1D">
        <w:rPr>
          <w:rFonts w:cstheme="minorHAnsi"/>
          <w:bCs/>
        </w:rPr>
        <w:t xml:space="preserve"> at QECH</w:t>
      </w:r>
      <w:r w:rsidR="009F34C8" w:rsidRPr="00C70D1D">
        <w:rPr>
          <w:rFonts w:cstheme="minorHAnsi"/>
          <w:bCs/>
        </w:rPr>
        <w:t xml:space="preserve"> in Blantyre </w:t>
      </w:r>
      <w:r w:rsidRPr="00C70D1D">
        <w:rPr>
          <w:rFonts w:cstheme="minorHAnsi"/>
          <w:bCs/>
        </w:rPr>
        <w:t xml:space="preserve">within 14 days of </w:t>
      </w:r>
      <w:r w:rsidR="002E13C5" w:rsidRPr="00C70D1D">
        <w:rPr>
          <w:rFonts w:cstheme="minorHAnsi"/>
          <w:bCs/>
        </w:rPr>
        <w:t xml:space="preserve">onset of </w:t>
      </w:r>
      <w:r w:rsidRPr="00C70D1D">
        <w:rPr>
          <w:rFonts w:cstheme="minorHAnsi"/>
          <w:bCs/>
        </w:rPr>
        <w:t>symptom</w:t>
      </w:r>
      <w:r w:rsidR="002E13C5" w:rsidRPr="00C70D1D">
        <w:rPr>
          <w:rFonts w:cstheme="minorHAnsi"/>
          <w:bCs/>
        </w:rPr>
        <w:t>s</w:t>
      </w:r>
      <w:r w:rsidRPr="00C70D1D">
        <w:rPr>
          <w:rFonts w:cstheme="minorHAnsi"/>
          <w:bCs/>
        </w:rPr>
        <w:t xml:space="preserve">. </w:t>
      </w:r>
      <w:r w:rsidR="009F34C8" w:rsidRPr="00C70D1D">
        <w:rPr>
          <w:rFonts w:cstheme="minorHAnsi"/>
          <w:bCs/>
        </w:rPr>
        <w:t>QECH is Malawi’s largest referral and teaching hospital</w:t>
      </w:r>
      <w:r w:rsidR="007300B9" w:rsidRPr="00C70D1D">
        <w:rPr>
          <w:rFonts w:cstheme="minorHAnsi"/>
          <w:bCs/>
        </w:rPr>
        <w:t xml:space="preserve"> which receives patients from surrounding district hospitals, health centres</w:t>
      </w:r>
      <w:r w:rsidR="00642E86" w:rsidRPr="00C70D1D">
        <w:rPr>
          <w:rFonts w:cstheme="minorHAnsi"/>
          <w:bCs/>
        </w:rPr>
        <w:t>,</w:t>
      </w:r>
      <w:r w:rsidR="007300B9" w:rsidRPr="00C70D1D">
        <w:rPr>
          <w:rFonts w:cstheme="minorHAnsi"/>
          <w:bCs/>
        </w:rPr>
        <w:t xml:space="preserve"> and private healthcare facilities.</w:t>
      </w:r>
      <w:r w:rsidR="009F34C8" w:rsidRPr="00C70D1D">
        <w:rPr>
          <w:rFonts w:cstheme="minorHAnsi"/>
          <w:bCs/>
        </w:rPr>
        <w:t xml:space="preserve"> </w:t>
      </w:r>
      <w:r w:rsidR="00E47589" w:rsidRPr="00C70D1D">
        <w:rPr>
          <w:rFonts w:cstheme="minorHAnsi"/>
          <w:bCs/>
        </w:rPr>
        <w:t xml:space="preserve">The hospital has an official bed capacity of 1350 but usually </w:t>
      </w:r>
      <w:r w:rsidR="00642E86" w:rsidRPr="00C70D1D">
        <w:rPr>
          <w:rFonts w:cstheme="minorHAnsi"/>
          <w:bCs/>
        </w:rPr>
        <w:t xml:space="preserve">the number of </w:t>
      </w:r>
      <w:r w:rsidR="00E47589" w:rsidRPr="00C70D1D">
        <w:rPr>
          <w:rFonts w:cstheme="minorHAnsi"/>
          <w:bCs/>
        </w:rPr>
        <w:t>patients admitted exceed</w:t>
      </w:r>
      <w:r w:rsidR="00642E86" w:rsidRPr="00C70D1D">
        <w:rPr>
          <w:rFonts w:cstheme="minorHAnsi"/>
          <w:bCs/>
        </w:rPr>
        <w:t>s</w:t>
      </w:r>
      <w:r w:rsidR="00E47589" w:rsidRPr="00C70D1D">
        <w:rPr>
          <w:rFonts w:cstheme="minorHAnsi"/>
          <w:bCs/>
        </w:rPr>
        <w:t xml:space="preserve"> this </w:t>
      </w:r>
      <w:r w:rsidR="00642E86" w:rsidRPr="00C70D1D">
        <w:rPr>
          <w:rFonts w:cstheme="minorHAnsi"/>
          <w:bCs/>
        </w:rPr>
        <w:t xml:space="preserve">capacity </w:t>
      </w:r>
      <w:r w:rsidR="00E47589" w:rsidRPr="00C70D1D">
        <w:rPr>
          <w:rFonts w:cstheme="minorHAnsi"/>
          <w:bCs/>
        </w:rPr>
        <w:t xml:space="preserve">(personal communication from Mr </w:t>
      </w:r>
      <w:proofErr w:type="spellStart"/>
      <w:r w:rsidR="00E47589" w:rsidRPr="00C70D1D">
        <w:rPr>
          <w:rFonts w:cstheme="minorHAnsi"/>
          <w:bCs/>
        </w:rPr>
        <w:t>Chisi</w:t>
      </w:r>
      <w:proofErr w:type="spellEnd"/>
      <w:r w:rsidR="00E47589" w:rsidRPr="00C70D1D">
        <w:rPr>
          <w:rFonts w:cstheme="minorHAnsi"/>
          <w:bCs/>
        </w:rPr>
        <w:t xml:space="preserve">, QECH hospital </w:t>
      </w:r>
      <w:r w:rsidR="00E47589" w:rsidRPr="00C70D1D">
        <w:rPr>
          <w:rFonts w:cstheme="minorHAnsi"/>
          <w:bCs/>
        </w:rPr>
        <w:lastRenderedPageBreak/>
        <w:t xml:space="preserve">administrator). </w:t>
      </w:r>
      <w:r w:rsidRPr="00C70D1D">
        <w:rPr>
          <w:rFonts w:cstheme="minorHAnsi"/>
          <w:bCs/>
        </w:rPr>
        <w:t>The diagnosis of stroke was made on admission by the attending clinician</w:t>
      </w:r>
      <w:r w:rsidR="00833A58" w:rsidRPr="00C70D1D">
        <w:rPr>
          <w:rFonts w:cstheme="minorHAnsi"/>
          <w:bCs/>
        </w:rPr>
        <w:t>.</w:t>
      </w:r>
      <w:r w:rsidRPr="00C70D1D">
        <w:rPr>
          <w:rFonts w:cstheme="minorHAnsi"/>
          <w:bCs/>
        </w:rPr>
        <w:t xml:space="preserve"> Patients were excluded if </w:t>
      </w:r>
      <w:r w:rsidR="00867AB9" w:rsidRPr="00C70D1D">
        <w:rPr>
          <w:rFonts w:cstheme="minorHAnsi"/>
          <w:bCs/>
        </w:rPr>
        <w:t xml:space="preserve">they were </w:t>
      </w:r>
      <w:r w:rsidRPr="00C70D1D">
        <w:rPr>
          <w:rFonts w:cstheme="minorHAnsi"/>
          <w:bCs/>
        </w:rPr>
        <w:t xml:space="preserve">subsequently diagnosed with a non-vascular cause </w:t>
      </w:r>
      <w:r w:rsidR="00706BED" w:rsidRPr="00C70D1D">
        <w:rPr>
          <w:rFonts w:cstheme="minorHAnsi"/>
          <w:bCs/>
        </w:rPr>
        <w:t xml:space="preserve">for </w:t>
      </w:r>
      <w:r w:rsidRPr="00C70D1D">
        <w:rPr>
          <w:rFonts w:cstheme="minorHAnsi"/>
          <w:bCs/>
        </w:rPr>
        <w:t xml:space="preserve">their neurological </w:t>
      </w:r>
      <w:r w:rsidR="00833A58" w:rsidRPr="00C70D1D">
        <w:rPr>
          <w:rFonts w:cstheme="minorHAnsi"/>
          <w:bCs/>
        </w:rPr>
        <w:t>deficit.</w:t>
      </w:r>
    </w:p>
    <w:p w14:paraId="4932AC54" w14:textId="715A04E5" w:rsidR="00833A58" w:rsidRPr="00B17041" w:rsidRDefault="00833A58" w:rsidP="00833A58">
      <w:pPr>
        <w:jc w:val="both"/>
        <w:rPr>
          <w:rFonts w:cstheme="minorHAnsi"/>
          <w:b/>
          <w:bCs/>
        </w:rPr>
      </w:pPr>
      <w:r w:rsidRPr="00C70D1D">
        <w:rPr>
          <w:rFonts w:cstheme="minorHAnsi"/>
          <w:bCs/>
        </w:rPr>
        <w:t>A pre-designed case report form was used to collect</w:t>
      </w:r>
      <w:r w:rsidR="008D63FD" w:rsidRPr="00C70D1D">
        <w:rPr>
          <w:rFonts w:cstheme="minorHAnsi"/>
          <w:bCs/>
        </w:rPr>
        <w:t xml:space="preserve"> data on </w:t>
      </w:r>
      <w:r w:rsidRPr="00C70D1D">
        <w:rPr>
          <w:rFonts w:cstheme="minorHAnsi"/>
          <w:bCs/>
        </w:rPr>
        <w:t>patients’ demographic</w:t>
      </w:r>
      <w:r w:rsidR="008D63FD" w:rsidRPr="00C70D1D">
        <w:rPr>
          <w:rFonts w:cstheme="minorHAnsi"/>
          <w:bCs/>
        </w:rPr>
        <w:t>s,</w:t>
      </w:r>
      <w:r w:rsidRPr="00C70D1D">
        <w:rPr>
          <w:rFonts w:cstheme="minorHAnsi"/>
          <w:bCs/>
        </w:rPr>
        <w:t xml:space="preserve"> clinical presentation, cardiovascular risk factors, investigations performed and their results, </w:t>
      </w:r>
      <w:r w:rsidR="008D63FD" w:rsidRPr="00C70D1D">
        <w:rPr>
          <w:rFonts w:cstheme="minorHAnsi"/>
          <w:bCs/>
        </w:rPr>
        <w:t>in</w:t>
      </w:r>
      <w:r w:rsidR="00851B39" w:rsidRPr="00C70D1D">
        <w:rPr>
          <w:rFonts w:cstheme="minorHAnsi"/>
          <w:bCs/>
        </w:rPr>
        <w:t>patient</w:t>
      </w:r>
      <w:r w:rsidR="008D63FD" w:rsidRPr="00C70D1D">
        <w:rPr>
          <w:rFonts w:cstheme="minorHAnsi"/>
          <w:bCs/>
        </w:rPr>
        <w:t xml:space="preserve"> </w:t>
      </w:r>
      <w:r w:rsidRPr="00C70D1D">
        <w:rPr>
          <w:rFonts w:cstheme="minorHAnsi"/>
          <w:bCs/>
        </w:rPr>
        <w:t>care plan, in-hospital outcome</w:t>
      </w:r>
      <w:r w:rsidR="008D63FD" w:rsidRPr="00C70D1D">
        <w:rPr>
          <w:rFonts w:cstheme="minorHAnsi"/>
          <w:bCs/>
        </w:rPr>
        <w:t>s</w:t>
      </w:r>
      <w:r w:rsidR="00706BED" w:rsidRPr="00C70D1D">
        <w:rPr>
          <w:rFonts w:cstheme="minorHAnsi"/>
          <w:bCs/>
        </w:rPr>
        <w:t>,</w:t>
      </w:r>
      <w:r w:rsidRPr="00C70D1D">
        <w:rPr>
          <w:rFonts w:cstheme="minorHAnsi"/>
          <w:bCs/>
        </w:rPr>
        <w:t xml:space="preserve"> and follow-up plan</w:t>
      </w:r>
      <w:r w:rsidR="00706BED" w:rsidRPr="00C70D1D">
        <w:rPr>
          <w:rFonts w:cstheme="minorHAnsi"/>
          <w:bCs/>
        </w:rPr>
        <w:t>s</w:t>
      </w:r>
      <w:r w:rsidRPr="00C70D1D">
        <w:rPr>
          <w:rFonts w:cstheme="minorHAnsi"/>
          <w:bCs/>
        </w:rPr>
        <w:t xml:space="preserve"> after discharge. Data were </w:t>
      </w:r>
      <w:r w:rsidR="0025308A" w:rsidRPr="00C70D1D">
        <w:rPr>
          <w:rFonts w:cstheme="minorHAnsi"/>
          <w:bCs/>
        </w:rPr>
        <w:t xml:space="preserve">exclusively </w:t>
      </w:r>
      <w:r w:rsidRPr="00C70D1D">
        <w:rPr>
          <w:rFonts w:cstheme="minorHAnsi"/>
          <w:bCs/>
        </w:rPr>
        <w:t xml:space="preserve">obtained through </w:t>
      </w:r>
      <w:r w:rsidR="00706BED" w:rsidRPr="00C70D1D">
        <w:rPr>
          <w:rFonts w:cstheme="minorHAnsi"/>
          <w:bCs/>
        </w:rPr>
        <w:t xml:space="preserve">a </w:t>
      </w:r>
      <w:r w:rsidRPr="00C70D1D">
        <w:rPr>
          <w:rFonts w:cstheme="minorHAnsi"/>
          <w:bCs/>
        </w:rPr>
        <w:t>review of medical records</w:t>
      </w:r>
      <w:r w:rsidR="008976F3" w:rsidRPr="00C70D1D">
        <w:rPr>
          <w:rFonts w:cstheme="minorHAnsi"/>
          <w:bCs/>
        </w:rPr>
        <w:t>, except when assessing the overall satisfaction with care before discharge</w:t>
      </w:r>
      <w:r w:rsidRPr="00C70D1D">
        <w:rPr>
          <w:rFonts w:cstheme="minorHAnsi"/>
          <w:bCs/>
        </w:rPr>
        <w:t>.</w:t>
      </w:r>
      <w:r w:rsidR="00FA5DBC" w:rsidRPr="00C70D1D">
        <w:rPr>
          <w:rFonts w:cstheme="minorHAnsi"/>
          <w:bCs/>
        </w:rPr>
        <w:t xml:space="preserve"> This was done to minimi</w:t>
      </w:r>
      <w:r w:rsidR="00851B39" w:rsidRPr="00C70D1D">
        <w:rPr>
          <w:rFonts w:cstheme="minorHAnsi"/>
          <w:bCs/>
        </w:rPr>
        <w:t>s</w:t>
      </w:r>
      <w:r w:rsidR="00FA5DBC" w:rsidRPr="00C70D1D">
        <w:rPr>
          <w:rFonts w:cstheme="minorHAnsi"/>
          <w:bCs/>
        </w:rPr>
        <w:t xml:space="preserve">e the interactions between the auditors, patients and health </w:t>
      </w:r>
      <w:r w:rsidR="005E0781" w:rsidRPr="00C70D1D">
        <w:rPr>
          <w:rFonts w:cstheme="minorHAnsi"/>
          <w:bCs/>
        </w:rPr>
        <w:t>personnel</w:t>
      </w:r>
      <w:r w:rsidR="00FA5DBC" w:rsidRPr="00C70D1D">
        <w:rPr>
          <w:rFonts w:cstheme="minorHAnsi"/>
          <w:bCs/>
        </w:rPr>
        <w:t>.</w:t>
      </w:r>
      <w:r w:rsidR="005E0781" w:rsidRPr="00C70D1D">
        <w:rPr>
          <w:rFonts w:cstheme="minorHAnsi"/>
          <w:bCs/>
        </w:rPr>
        <w:t xml:space="preserve"> The auditors were formally instructed </w:t>
      </w:r>
      <w:r w:rsidR="00BE78BA" w:rsidRPr="00C70D1D">
        <w:rPr>
          <w:rFonts w:cstheme="minorHAnsi"/>
          <w:bCs/>
        </w:rPr>
        <w:t xml:space="preserve">to avoid </w:t>
      </w:r>
      <w:r w:rsidR="00924400" w:rsidRPr="00C70D1D">
        <w:rPr>
          <w:rFonts w:cstheme="minorHAnsi"/>
          <w:bCs/>
        </w:rPr>
        <w:t>interfering</w:t>
      </w:r>
      <w:r w:rsidR="005E0781" w:rsidRPr="00C70D1D">
        <w:rPr>
          <w:rFonts w:cstheme="minorHAnsi"/>
          <w:bCs/>
        </w:rPr>
        <w:t xml:space="preserve"> with management.</w:t>
      </w:r>
    </w:p>
    <w:p w14:paraId="4AA2ADAB" w14:textId="77777777" w:rsidR="00B971AE" w:rsidRPr="00B17041" w:rsidRDefault="00E34EE7" w:rsidP="004E379E">
      <w:pPr>
        <w:jc w:val="both"/>
        <w:rPr>
          <w:rFonts w:cstheme="minorHAnsi"/>
          <w:b/>
          <w:bCs/>
          <w:i/>
        </w:rPr>
      </w:pPr>
      <w:r w:rsidRPr="00B17041">
        <w:rPr>
          <w:b/>
          <w:i/>
        </w:rPr>
        <w:t>Data</w:t>
      </w:r>
      <w:r w:rsidRPr="00B17041">
        <w:rPr>
          <w:i/>
        </w:rPr>
        <w:t xml:space="preserve"> </w:t>
      </w:r>
      <w:r w:rsidRPr="00B17041">
        <w:rPr>
          <w:rFonts w:cstheme="minorHAnsi"/>
          <w:b/>
          <w:bCs/>
          <w:i/>
        </w:rPr>
        <w:t>management and analysis</w:t>
      </w:r>
    </w:p>
    <w:p w14:paraId="25167E48" w14:textId="18E18881" w:rsidR="00B971AE" w:rsidRPr="00C70D1D" w:rsidRDefault="00E34EE7" w:rsidP="004E379E">
      <w:pPr>
        <w:jc w:val="both"/>
        <w:rPr>
          <w:rFonts w:cstheme="minorHAnsi"/>
          <w:bCs/>
        </w:rPr>
      </w:pPr>
      <w:r w:rsidRPr="00C70D1D">
        <w:rPr>
          <w:rFonts w:cstheme="minorHAnsi"/>
          <w:bCs/>
        </w:rPr>
        <w:t>Data were entered</w:t>
      </w:r>
      <w:r w:rsidR="006F4410" w:rsidRPr="00C70D1D">
        <w:rPr>
          <w:rFonts w:cstheme="minorHAnsi"/>
          <w:bCs/>
        </w:rPr>
        <w:t xml:space="preserve"> </w:t>
      </w:r>
      <w:r w:rsidR="00833A58" w:rsidRPr="00C70D1D">
        <w:rPr>
          <w:rFonts w:cstheme="minorHAnsi"/>
          <w:bCs/>
        </w:rPr>
        <w:t>in</w:t>
      </w:r>
      <w:r w:rsidR="008E25A3" w:rsidRPr="00C70D1D">
        <w:rPr>
          <w:rFonts w:cstheme="minorHAnsi"/>
          <w:bCs/>
        </w:rPr>
        <w:t xml:space="preserve"> </w:t>
      </w:r>
      <w:r w:rsidR="00D4233B">
        <w:rPr>
          <w:rFonts w:cstheme="minorHAnsi"/>
          <w:bCs/>
        </w:rPr>
        <w:t>Research Electronic Data Capture software (</w:t>
      </w:r>
      <w:proofErr w:type="spellStart"/>
      <w:r w:rsidR="00D4233B">
        <w:rPr>
          <w:rFonts w:cstheme="minorHAnsi"/>
          <w:bCs/>
        </w:rPr>
        <w:t>REDCap</w:t>
      </w:r>
      <w:proofErr w:type="spellEnd"/>
      <w:r w:rsidR="00D4233B">
        <w:rPr>
          <w:rFonts w:cstheme="minorHAnsi"/>
          <w:bCs/>
        </w:rPr>
        <w:t xml:space="preserve"> consortium, Vanderbilt University, TN, USA)</w:t>
      </w:r>
      <w:r w:rsidR="008E25A3" w:rsidRPr="00C70D1D">
        <w:rPr>
          <w:rFonts w:cstheme="minorHAnsi"/>
          <w:bCs/>
        </w:rPr>
        <w:t xml:space="preserve">, </w:t>
      </w:r>
      <w:r w:rsidR="00706BED" w:rsidRPr="00C70D1D">
        <w:rPr>
          <w:rFonts w:cstheme="minorHAnsi"/>
          <w:bCs/>
        </w:rPr>
        <w:t xml:space="preserve">then </w:t>
      </w:r>
      <w:r w:rsidR="008E25A3" w:rsidRPr="00C70D1D">
        <w:rPr>
          <w:rFonts w:cstheme="minorHAnsi"/>
          <w:bCs/>
        </w:rPr>
        <w:t>cleane</w:t>
      </w:r>
      <w:r w:rsidR="001F6541" w:rsidRPr="00C70D1D">
        <w:rPr>
          <w:rFonts w:cstheme="minorHAnsi"/>
          <w:bCs/>
        </w:rPr>
        <w:t xml:space="preserve">d and validated by two </w:t>
      </w:r>
      <w:r w:rsidRPr="00C70D1D">
        <w:rPr>
          <w:rFonts w:cstheme="minorHAnsi"/>
          <w:bCs/>
        </w:rPr>
        <w:t xml:space="preserve">independent </w:t>
      </w:r>
      <w:r w:rsidR="008E25A3" w:rsidRPr="00C70D1D">
        <w:rPr>
          <w:rFonts w:cstheme="minorHAnsi"/>
          <w:bCs/>
        </w:rPr>
        <w:t xml:space="preserve">data </w:t>
      </w:r>
      <w:r w:rsidRPr="00C70D1D">
        <w:rPr>
          <w:rFonts w:cstheme="minorHAnsi"/>
          <w:bCs/>
        </w:rPr>
        <w:t>officers.</w:t>
      </w:r>
      <w:r w:rsidR="001F6541" w:rsidRPr="00C70D1D">
        <w:rPr>
          <w:rFonts w:cstheme="minorHAnsi"/>
          <w:bCs/>
        </w:rPr>
        <w:t xml:space="preserve"> </w:t>
      </w:r>
      <w:r w:rsidRPr="00C70D1D">
        <w:rPr>
          <w:rFonts w:cstheme="minorHAnsi"/>
          <w:bCs/>
        </w:rPr>
        <w:t>Data analysis was performed using STATA (</w:t>
      </w:r>
      <w:r w:rsidR="00B55864" w:rsidRPr="00C70D1D">
        <w:rPr>
          <w:rFonts w:cstheme="minorHAnsi"/>
          <w:bCs/>
        </w:rPr>
        <w:t xml:space="preserve">version 13, </w:t>
      </w:r>
      <w:proofErr w:type="spellStart"/>
      <w:r w:rsidR="00B55864" w:rsidRPr="00C70D1D">
        <w:rPr>
          <w:rFonts w:cstheme="minorHAnsi"/>
          <w:bCs/>
        </w:rPr>
        <w:t>StataCorp</w:t>
      </w:r>
      <w:proofErr w:type="spellEnd"/>
      <w:r w:rsidR="00574CEA" w:rsidRPr="00C70D1D">
        <w:rPr>
          <w:rFonts w:cstheme="minorHAnsi"/>
          <w:bCs/>
        </w:rPr>
        <w:t xml:space="preserve"> LLC</w:t>
      </w:r>
      <w:r w:rsidR="00B55864" w:rsidRPr="00C70D1D">
        <w:rPr>
          <w:rFonts w:cstheme="minorHAnsi"/>
          <w:bCs/>
        </w:rPr>
        <w:t xml:space="preserve">, College Station, TX, USA). </w:t>
      </w:r>
      <w:r w:rsidR="00FD739D" w:rsidRPr="00C70D1D">
        <w:rPr>
          <w:rFonts w:cstheme="minorHAnsi"/>
          <w:bCs/>
        </w:rPr>
        <w:t>Participants’ demographic and clinical data were summari</w:t>
      </w:r>
      <w:r w:rsidR="00D056BB" w:rsidRPr="00C70D1D">
        <w:rPr>
          <w:rFonts w:cstheme="minorHAnsi"/>
          <w:bCs/>
        </w:rPr>
        <w:t>s</w:t>
      </w:r>
      <w:r w:rsidR="00FD739D" w:rsidRPr="00C70D1D">
        <w:rPr>
          <w:rFonts w:cstheme="minorHAnsi"/>
          <w:bCs/>
        </w:rPr>
        <w:t>ed as proportions or means with 95% confidence interval</w:t>
      </w:r>
      <w:r w:rsidR="00D71A0B" w:rsidRPr="00C70D1D">
        <w:rPr>
          <w:rFonts w:cstheme="minorHAnsi"/>
          <w:bCs/>
        </w:rPr>
        <w:t>s</w:t>
      </w:r>
      <w:r w:rsidR="00FD739D" w:rsidRPr="00C70D1D">
        <w:rPr>
          <w:rFonts w:cstheme="minorHAnsi"/>
          <w:bCs/>
        </w:rPr>
        <w:t xml:space="preserve"> for categorical or continuous variables, respectively. </w:t>
      </w:r>
      <w:r w:rsidR="00DD433A" w:rsidRPr="00C70D1D">
        <w:rPr>
          <w:rFonts w:cstheme="minorHAnsi"/>
          <w:bCs/>
        </w:rPr>
        <w:t xml:space="preserve">The </w:t>
      </w:r>
      <w:r w:rsidR="00A75907" w:rsidRPr="00C70D1D">
        <w:rPr>
          <w:rFonts w:cstheme="minorHAnsi"/>
          <w:bCs/>
        </w:rPr>
        <w:t>American Heart Association/American Stroke Association (</w:t>
      </w:r>
      <w:r w:rsidR="00DD433A" w:rsidRPr="00C70D1D">
        <w:rPr>
          <w:rFonts w:cstheme="minorHAnsi"/>
          <w:bCs/>
        </w:rPr>
        <w:t>AHA/ASA</w:t>
      </w:r>
      <w:r w:rsidR="00A75907" w:rsidRPr="00C70D1D">
        <w:rPr>
          <w:rFonts w:cstheme="minorHAnsi"/>
          <w:bCs/>
        </w:rPr>
        <w:t>)</w:t>
      </w:r>
      <w:r w:rsidR="00DD433A" w:rsidRPr="00C70D1D">
        <w:rPr>
          <w:rFonts w:cstheme="minorHAnsi"/>
          <w:bCs/>
        </w:rPr>
        <w:t xml:space="preserve"> guidelines</w:t>
      </w:r>
      <w:r w:rsidR="00F137B8" w:rsidRPr="00C70D1D">
        <w:rPr>
          <w:rFonts w:cstheme="minorHAnsi"/>
          <w:bCs/>
          <w:vertAlign w:val="superscript"/>
        </w:rPr>
        <w:t>10</w:t>
      </w:r>
      <w:r w:rsidR="00DD433A" w:rsidRPr="00C70D1D">
        <w:rPr>
          <w:rFonts w:cstheme="minorHAnsi"/>
          <w:bCs/>
        </w:rPr>
        <w:t xml:space="preserve"> were used as the standard </w:t>
      </w:r>
      <w:r w:rsidR="000C6F8A" w:rsidRPr="00C70D1D">
        <w:rPr>
          <w:rFonts w:cstheme="minorHAnsi"/>
          <w:bCs/>
        </w:rPr>
        <w:t xml:space="preserve">to interpret the data and assess the quality of current stroke care in Malawi. Although written for </w:t>
      </w:r>
      <w:r w:rsidR="00D71A0B" w:rsidRPr="00C70D1D">
        <w:rPr>
          <w:rFonts w:cstheme="minorHAnsi"/>
          <w:bCs/>
        </w:rPr>
        <w:t>high-income settings</w:t>
      </w:r>
      <w:r w:rsidR="000C6F8A" w:rsidRPr="00C70D1D">
        <w:rPr>
          <w:rFonts w:cstheme="minorHAnsi"/>
          <w:bCs/>
        </w:rPr>
        <w:t>, these guidelines incorporate the latest evidence in clinical stroke care and provide clear, specific</w:t>
      </w:r>
      <w:r w:rsidR="00A75907" w:rsidRPr="00C70D1D">
        <w:rPr>
          <w:rFonts w:cstheme="minorHAnsi"/>
          <w:bCs/>
        </w:rPr>
        <w:t>,</w:t>
      </w:r>
      <w:r w:rsidR="000C6F8A" w:rsidRPr="00C70D1D">
        <w:rPr>
          <w:rFonts w:cstheme="minorHAnsi"/>
          <w:bCs/>
        </w:rPr>
        <w:t xml:space="preserve"> and quantifiable criteria for </w:t>
      </w:r>
      <w:r w:rsidR="00D71A0B" w:rsidRPr="00C70D1D">
        <w:rPr>
          <w:rFonts w:cstheme="minorHAnsi"/>
          <w:bCs/>
        </w:rPr>
        <w:t xml:space="preserve">the management </w:t>
      </w:r>
      <w:r w:rsidR="000C6F8A" w:rsidRPr="00C70D1D">
        <w:rPr>
          <w:rFonts w:cstheme="minorHAnsi"/>
          <w:bCs/>
        </w:rPr>
        <w:t>of acute stroke.</w:t>
      </w:r>
    </w:p>
    <w:p w14:paraId="7767B1D6" w14:textId="4B229286" w:rsidR="00552016" w:rsidRPr="00B17041" w:rsidRDefault="00552016" w:rsidP="004E379E">
      <w:pPr>
        <w:jc w:val="both"/>
        <w:rPr>
          <w:rFonts w:cstheme="minorHAnsi"/>
          <w:b/>
          <w:bCs/>
          <w:i/>
        </w:rPr>
      </w:pPr>
      <w:r w:rsidRPr="00B17041">
        <w:rPr>
          <w:rFonts w:cstheme="minorHAnsi"/>
          <w:b/>
          <w:bCs/>
          <w:i/>
        </w:rPr>
        <w:t>Ethic</w:t>
      </w:r>
      <w:r w:rsidR="00495BFF" w:rsidRPr="00B17041">
        <w:rPr>
          <w:rFonts w:cstheme="minorHAnsi"/>
          <w:b/>
          <w:bCs/>
          <w:i/>
        </w:rPr>
        <w:t xml:space="preserve">al </w:t>
      </w:r>
      <w:r w:rsidR="00833A58" w:rsidRPr="00B17041">
        <w:rPr>
          <w:rFonts w:cstheme="minorHAnsi"/>
          <w:b/>
          <w:bCs/>
          <w:i/>
        </w:rPr>
        <w:t>considerati</w:t>
      </w:r>
      <w:r w:rsidR="00B971AE" w:rsidRPr="00B17041">
        <w:rPr>
          <w:rFonts w:cstheme="minorHAnsi"/>
          <w:b/>
          <w:bCs/>
          <w:i/>
        </w:rPr>
        <w:t>ons</w:t>
      </w:r>
    </w:p>
    <w:p w14:paraId="601E568D" w14:textId="085BEF75" w:rsidR="00552016" w:rsidRPr="00C70D1D" w:rsidRDefault="006D1B17" w:rsidP="004E379E">
      <w:pPr>
        <w:jc w:val="both"/>
        <w:rPr>
          <w:rFonts w:cstheme="minorHAnsi"/>
          <w:bCs/>
        </w:rPr>
      </w:pPr>
      <w:r w:rsidRPr="00C70D1D">
        <w:rPr>
          <w:rFonts w:cstheme="minorHAnsi"/>
          <w:bCs/>
        </w:rPr>
        <w:t>All patients or their guardians provided</w:t>
      </w:r>
      <w:r w:rsidR="000C6F8A" w:rsidRPr="00C70D1D">
        <w:rPr>
          <w:rFonts w:cstheme="minorHAnsi"/>
          <w:bCs/>
        </w:rPr>
        <w:t xml:space="preserve"> written informed consent</w:t>
      </w:r>
      <w:r w:rsidRPr="00C70D1D">
        <w:rPr>
          <w:rFonts w:cstheme="minorHAnsi"/>
          <w:bCs/>
        </w:rPr>
        <w:t xml:space="preserve"> to participate in the audit, which</w:t>
      </w:r>
      <w:r w:rsidR="000C6F8A" w:rsidRPr="00C70D1D">
        <w:rPr>
          <w:rFonts w:cstheme="minorHAnsi"/>
          <w:bCs/>
        </w:rPr>
        <w:t xml:space="preserve"> was approved by the </w:t>
      </w:r>
      <w:r w:rsidR="00833A58" w:rsidRPr="00C70D1D">
        <w:rPr>
          <w:rFonts w:cstheme="minorHAnsi"/>
          <w:bCs/>
        </w:rPr>
        <w:t>University</w:t>
      </w:r>
      <w:r w:rsidR="000C6F8A" w:rsidRPr="00C70D1D">
        <w:rPr>
          <w:rFonts w:cstheme="minorHAnsi"/>
          <w:bCs/>
        </w:rPr>
        <w:t xml:space="preserve"> of Malawi</w:t>
      </w:r>
      <w:r w:rsidR="00B971AE" w:rsidRPr="00C70D1D">
        <w:rPr>
          <w:rFonts w:cstheme="minorHAnsi"/>
          <w:bCs/>
        </w:rPr>
        <w:t xml:space="preserve">, </w:t>
      </w:r>
      <w:r w:rsidR="00552016" w:rsidRPr="00C70D1D">
        <w:rPr>
          <w:rFonts w:cstheme="minorHAnsi"/>
          <w:bCs/>
        </w:rPr>
        <w:t>College of Medicine Research Ethics Committee (COMREC</w:t>
      </w:r>
      <w:r w:rsidR="001F6541" w:rsidRPr="00C70D1D">
        <w:rPr>
          <w:rFonts w:cstheme="minorHAnsi"/>
          <w:bCs/>
        </w:rPr>
        <w:t>)</w:t>
      </w:r>
      <w:r w:rsidR="000C6F8A" w:rsidRPr="00C70D1D">
        <w:rPr>
          <w:rFonts w:cstheme="minorHAnsi"/>
          <w:bCs/>
        </w:rPr>
        <w:t xml:space="preserve"> </w:t>
      </w:r>
      <w:r w:rsidR="001F6541" w:rsidRPr="00C70D1D">
        <w:rPr>
          <w:rFonts w:cstheme="minorHAnsi"/>
          <w:bCs/>
        </w:rPr>
        <w:t>(Approval number P.02/18/2361</w:t>
      </w:r>
      <w:r w:rsidR="00552016" w:rsidRPr="00C70D1D">
        <w:rPr>
          <w:rFonts w:cstheme="minorHAnsi"/>
          <w:bCs/>
        </w:rPr>
        <w:t>)</w:t>
      </w:r>
      <w:r w:rsidR="000C6F8A" w:rsidRPr="00C70D1D">
        <w:rPr>
          <w:rFonts w:cstheme="minorHAnsi"/>
          <w:bCs/>
        </w:rPr>
        <w:t xml:space="preserve"> and the </w:t>
      </w:r>
      <w:r w:rsidR="005B495E" w:rsidRPr="00C70D1D">
        <w:rPr>
          <w:rFonts w:cstheme="minorHAnsi"/>
          <w:bCs/>
        </w:rPr>
        <w:t>senior management team of</w:t>
      </w:r>
      <w:r w:rsidR="000C6F8A" w:rsidRPr="00C70D1D">
        <w:rPr>
          <w:rFonts w:cstheme="minorHAnsi"/>
          <w:bCs/>
        </w:rPr>
        <w:t xml:space="preserve"> </w:t>
      </w:r>
      <w:r w:rsidR="00552016" w:rsidRPr="00C70D1D">
        <w:rPr>
          <w:rFonts w:cstheme="minorHAnsi"/>
          <w:bCs/>
        </w:rPr>
        <w:t>QECH</w:t>
      </w:r>
      <w:r w:rsidR="00BA1F2C" w:rsidRPr="00C70D1D">
        <w:rPr>
          <w:rFonts w:cstheme="minorHAnsi"/>
          <w:bCs/>
        </w:rPr>
        <w:t>.</w:t>
      </w:r>
    </w:p>
    <w:p w14:paraId="220A222E" w14:textId="77777777" w:rsidR="00503368" w:rsidRPr="00C70D1D" w:rsidRDefault="00503368" w:rsidP="004E379E">
      <w:pPr>
        <w:jc w:val="both"/>
        <w:rPr>
          <w:rFonts w:cstheme="minorHAnsi"/>
          <w:b/>
          <w:bCs/>
        </w:rPr>
      </w:pPr>
    </w:p>
    <w:p w14:paraId="75814724" w14:textId="1C436FA6" w:rsidR="00552016" w:rsidRPr="00C70D1D" w:rsidRDefault="00A42EF0" w:rsidP="004E379E">
      <w:pPr>
        <w:jc w:val="both"/>
        <w:rPr>
          <w:rFonts w:cstheme="minorHAnsi"/>
          <w:b/>
          <w:bCs/>
        </w:rPr>
      </w:pPr>
      <w:r w:rsidRPr="00C70D1D">
        <w:rPr>
          <w:rFonts w:cstheme="minorHAnsi"/>
          <w:b/>
          <w:bCs/>
        </w:rPr>
        <w:t>Results</w:t>
      </w:r>
    </w:p>
    <w:p w14:paraId="0850344D" w14:textId="4E114E52" w:rsidR="00770D2C" w:rsidRPr="00B17041" w:rsidRDefault="00770D2C" w:rsidP="004E379E">
      <w:pPr>
        <w:jc w:val="both"/>
        <w:rPr>
          <w:rFonts w:cstheme="minorHAnsi"/>
          <w:b/>
          <w:bCs/>
          <w:i/>
        </w:rPr>
      </w:pPr>
      <w:r w:rsidRPr="00B17041">
        <w:rPr>
          <w:rFonts w:cstheme="minorHAnsi"/>
          <w:b/>
          <w:bCs/>
          <w:i/>
        </w:rPr>
        <w:t>Baseline characteristics of the participants</w:t>
      </w:r>
    </w:p>
    <w:p w14:paraId="013FFBF2" w14:textId="0D779C41" w:rsidR="00E83548" w:rsidRPr="00C70D1D" w:rsidRDefault="00116210" w:rsidP="004E379E">
      <w:pPr>
        <w:jc w:val="both"/>
        <w:rPr>
          <w:rFonts w:cstheme="minorHAnsi"/>
          <w:bCs/>
        </w:rPr>
      </w:pPr>
      <w:r w:rsidRPr="00C70D1D">
        <w:rPr>
          <w:rFonts w:cstheme="minorHAnsi"/>
          <w:bCs/>
        </w:rPr>
        <w:t xml:space="preserve">We enrolled </w:t>
      </w:r>
      <w:r w:rsidR="0029510F" w:rsidRPr="00C70D1D">
        <w:rPr>
          <w:rFonts w:cstheme="minorHAnsi"/>
          <w:bCs/>
        </w:rPr>
        <w:t xml:space="preserve">50 patients </w:t>
      </w:r>
      <w:r w:rsidRPr="00C70D1D">
        <w:rPr>
          <w:rFonts w:cstheme="minorHAnsi"/>
          <w:bCs/>
        </w:rPr>
        <w:t>diagnosed with stroke</w:t>
      </w:r>
      <w:r w:rsidR="007A5EC4" w:rsidRPr="00C70D1D">
        <w:rPr>
          <w:rFonts w:cstheme="minorHAnsi"/>
          <w:bCs/>
        </w:rPr>
        <w:t>, including 23 women (46%)</w:t>
      </w:r>
      <w:r w:rsidR="004F59A7" w:rsidRPr="00C70D1D">
        <w:rPr>
          <w:rFonts w:cstheme="minorHAnsi"/>
          <w:bCs/>
        </w:rPr>
        <w:t xml:space="preserve"> and 27 men (54%)</w:t>
      </w:r>
      <w:r w:rsidR="007A5EC4" w:rsidRPr="00C70D1D">
        <w:rPr>
          <w:rFonts w:cstheme="minorHAnsi"/>
          <w:bCs/>
        </w:rPr>
        <w:t xml:space="preserve">. </w:t>
      </w:r>
      <w:r w:rsidR="00E83548" w:rsidRPr="00C70D1D">
        <w:rPr>
          <w:rFonts w:cstheme="minorHAnsi"/>
          <w:bCs/>
        </w:rPr>
        <w:t>Seventy-five per</w:t>
      </w:r>
      <w:r w:rsidR="00EC72D3" w:rsidRPr="00C70D1D">
        <w:rPr>
          <w:rFonts w:cstheme="minorHAnsi"/>
          <w:bCs/>
        </w:rPr>
        <w:t xml:space="preserve"> </w:t>
      </w:r>
      <w:r w:rsidR="00E83548" w:rsidRPr="00C70D1D">
        <w:rPr>
          <w:rFonts w:cstheme="minorHAnsi"/>
          <w:bCs/>
        </w:rPr>
        <w:t xml:space="preserve">cent of the patients were referred from health centres within Blantyre district while the remaining 25% were self-referrals from surrounding districts. The mean age </w:t>
      </w:r>
      <w:r w:rsidR="00EC72D3" w:rsidRPr="00C70D1D">
        <w:rPr>
          <w:rFonts w:cstheme="minorHAnsi"/>
          <w:bCs/>
        </w:rPr>
        <w:t xml:space="preserve">of </w:t>
      </w:r>
      <w:r w:rsidR="00E83548" w:rsidRPr="00C70D1D">
        <w:rPr>
          <w:rFonts w:cstheme="minorHAnsi"/>
          <w:bCs/>
        </w:rPr>
        <w:t xml:space="preserve">our study participants </w:t>
      </w:r>
      <w:r w:rsidR="0036014B">
        <w:rPr>
          <w:rFonts w:cstheme="minorHAnsi"/>
          <w:bCs/>
        </w:rPr>
        <w:t>was</w:t>
      </w:r>
      <w:r w:rsidR="0036014B" w:rsidRPr="00C70D1D">
        <w:rPr>
          <w:rFonts w:cstheme="minorHAnsi"/>
          <w:bCs/>
        </w:rPr>
        <w:t xml:space="preserve"> </w:t>
      </w:r>
      <w:r w:rsidR="00E83548" w:rsidRPr="00C70D1D">
        <w:rPr>
          <w:rFonts w:cstheme="minorHAnsi"/>
          <w:bCs/>
        </w:rPr>
        <w:t>63.1 (95%</w:t>
      </w:r>
      <w:r w:rsidR="0036014B">
        <w:rPr>
          <w:rFonts w:cstheme="minorHAnsi"/>
          <w:bCs/>
        </w:rPr>
        <w:t xml:space="preserve"> CI</w:t>
      </w:r>
      <w:r w:rsidR="00EC72D3" w:rsidRPr="00C70D1D">
        <w:rPr>
          <w:rFonts w:cstheme="minorHAnsi"/>
          <w:bCs/>
        </w:rPr>
        <w:t>,</w:t>
      </w:r>
      <w:r w:rsidR="00E83548" w:rsidRPr="00C70D1D">
        <w:rPr>
          <w:rFonts w:cstheme="minorHAnsi"/>
          <w:bCs/>
        </w:rPr>
        <w:t xml:space="preserve"> 59.7</w:t>
      </w:r>
      <w:r w:rsidR="00EC72D3" w:rsidRPr="00C70D1D">
        <w:rPr>
          <w:rFonts w:cstheme="minorHAnsi"/>
          <w:bCs/>
        </w:rPr>
        <w:t>–</w:t>
      </w:r>
      <w:r w:rsidR="00E83548" w:rsidRPr="00C70D1D">
        <w:rPr>
          <w:rFonts w:cstheme="minorHAnsi"/>
          <w:bCs/>
        </w:rPr>
        <w:t xml:space="preserve">66.6). More than half </w:t>
      </w:r>
      <w:r w:rsidR="00E9022C">
        <w:rPr>
          <w:rFonts w:cstheme="minorHAnsi"/>
          <w:bCs/>
        </w:rPr>
        <w:t xml:space="preserve">of </w:t>
      </w:r>
      <w:r w:rsidR="00E83548" w:rsidRPr="00C70D1D">
        <w:rPr>
          <w:rFonts w:cstheme="minorHAnsi"/>
          <w:bCs/>
        </w:rPr>
        <w:t xml:space="preserve">the patients, 27 (54%), enrolled in this study had </w:t>
      </w:r>
      <w:r w:rsidR="00AD1E7A" w:rsidRPr="00C70D1D">
        <w:rPr>
          <w:rFonts w:cstheme="minorHAnsi"/>
          <w:bCs/>
        </w:rPr>
        <w:t xml:space="preserve">a primary </w:t>
      </w:r>
      <w:r w:rsidR="00E83548" w:rsidRPr="00C70D1D">
        <w:rPr>
          <w:rFonts w:cstheme="minorHAnsi"/>
          <w:bCs/>
        </w:rPr>
        <w:t>school education</w:t>
      </w:r>
      <w:r w:rsidR="00E9022C">
        <w:rPr>
          <w:rFonts w:cstheme="minorHAnsi"/>
          <w:bCs/>
        </w:rPr>
        <w:t xml:space="preserve">. </w:t>
      </w:r>
      <w:r w:rsidR="00E83548" w:rsidRPr="00C70D1D">
        <w:rPr>
          <w:rFonts w:cstheme="minorHAnsi"/>
          <w:bCs/>
        </w:rPr>
        <w:t xml:space="preserve"> </w:t>
      </w:r>
      <w:r w:rsidR="00E9022C">
        <w:rPr>
          <w:rFonts w:cstheme="minorHAnsi"/>
          <w:bCs/>
        </w:rPr>
        <w:t xml:space="preserve">Fifteen participants (30%) had a salaried job while the others </w:t>
      </w:r>
      <w:r w:rsidR="00E83548" w:rsidRPr="00C70D1D">
        <w:rPr>
          <w:rFonts w:cstheme="minorHAnsi"/>
          <w:bCs/>
        </w:rPr>
        <w:t xml:space="preserve">were either </w:t>
      </w:r>
      <w:r w:rsidR="00AD1E7A" w:rsidRPr="00C70D1D">
        <w:rPr>
          <w:rFonts w:cstheme="minorHAnsi"/>
          <w:bCs/>
        </w:rPr>
        <w:t>in</w:t>
      </w:r>
      <w:r w:rsidR="00E83548" w:rsidRPr="00C70D1D">
        <w:rPr>
          <w:rFonts w:cstheme="minorHAnsi"/>
          <w:bCs/>
        </w:rPr>
        <w:t xml:space="preserve"> informal employment (26</w:t>
      </w:r>
      <w:r w:rsidR="00CA6180" w:rsidRPr="00C70D1D">
        <w:rPr>
          <w:rFonts w:cstheme="minorHAnsi"/>
          <w:bCs/>
        </w:rPr>
        <w:t>;</w:t>
      </w:r>
      <w:r w:rsidR="00E83548" w:rsidRPr="00C70D1D">
        <w:rPr>
          <w:rFonts w:cstheme="minorHAnsi"/>
          <w:bCs/>
        </w:rPr>
        <w:t xml:space="preserve"> 52%) or not working at all (9</w:t>
      </w:r>
      <w:r w:rsidR="00CA6180" w:rsidRPr="00C70D1D">
        <w:rPr>
          <w:rFonts w:cstheme="minorHAnsi"/>
          <w:bCs/>
        </w:rPr>
        <w:t xml:space="preserve">; </w:t>
      </w:r>
      <w:r w:rsidR="00E83548" w:rsidRPr="00C70D1D">
        <w:rPr>
          <w:rFonts w:cstheme="minorHAnsi"/>
          <w:bCs/>
        </w:rPr>
        <w:t>18%).</w:t>
      </w:r>
    </w:p>
    <w:p w14:paraId="622D6723" w14:textId="0079949C" w:rsidR="0029510F" w:rsidRPr="00C70D1D" w:rsidRDefault="003B7B67" w:rsidP="004E379E">
      <w:pPr>
        <w:jc w:val="both"/>
        <w:rPr>
          <w:rFonts w:cstheme="minorHAnsi"/>
          <w:bCs/>
        </w:rPr>
      </w:pPr>
      <w:r w:rsidRPr="00C70D1D">
        <w:rPr>
          <w:rFonts w:cstheme="minorHAnsi"/>
          <w:bCs/>
        </w:rPr>
        <w:t xml:space="preserve">Twenty-four patients (48%) reached the hospital within 24 hours of stroke onset. </w:t>
      </w:r>
      <w:r w:rsidR="00C71BED" w:rsidRPr="00C70D1D">
        <w:t>There was no age or sex difference between patient</w:t>
      </w:r>
      <w:r w:rsidR="00FD67D1" w:rsidRPr="00C70D1D">
        <w:t>s</w:t>
      </w:r>
      <w:r w:rsidR="00C71BED" w:rsidRPr="00C70D1D">
        <w:t xml:space="preserve"> arriving at the hospital </w:t>
      </w:r>
      <w:r w:rsidR="00C825A1" w:rsidRPr="00C70D1D">
        <w:t xml:space="preserve">within 24 hours of stroke onset </w:t>
      </w:r>
      <w:r w:rsidR="00C71BED" w:rsidRPr="00C70D1D">
        <w:t>and those arriving 24 hours</w:t>
      </w:r>
      <w:r w:rsidR="00C825A1" w:rsidRPr="00C70D1D">
        <w:t xml:space="preserve"> after stroke onset</w:t>
      </w:r>
      <w:r w:rsidR="00B44F7D">
        <w:t>. In these subgroups,</w:t>
      </w:r>
      <w:r w:rsidR="00E6268D" w:rsidRPr="00C70D1D">
        <w:t xml:space="preserve"> the mean age was 61.8 </w:t>
      </w:r>
      <w:r w:rsidR="003C0A0B">
        <w:t>and</w:t>
      </w:r>
      <w:r w:rsidR="003C0A0B" w:rsidRPr="00C70D1D">
        <w:t xml:space="preserve"> </w:t>
      </w:r>
      <w:r w:rsidR="00E6268D" w:rsidRPr="00C70D1D">
        <w:t>64.4 (</w:t>
      </w:r>
      <w:r w:rsidR="00C825A1" w:rsidRPr="00C70D1D">
        <w:rPr>
          <w:i/>
        </w:rPr>
        <w:t>P</w:t>
      </w:r>
      <w:r w:rsidR="00E6268D" w:rsidRPr="00C70D1D">
        <w:t xml:space="preserve">=0.44) </w:t>
      </w:r>
      <w:r w:rsidR="003C0A0B" w:rsidRPr="004A395E">
        <w:t xml:space="preserve">while </w:t>
      </w:r>
      <w:r w:rsidR="00E6268D" w:rsidRPr="00C70D1D">
        <w:t xml:space="preserve">the proportion of women was 43.4 </w:t>
      </w:r>
      <w:r w:rsidR="003C0A0B">
        <w:t>and</w:t>
      </w:r>
      <w:r w:rsidR="003C0A0B" w:rsidRPr="00C70D1D">
        <w:t xml:space="preserve"> </w:t>
      </w:r>
      <w:r w:rsidR="00E6268D" w:rsidRPr="00C70D1D">
        <w:t>56.5 (</w:t>
      </w:r>
      <w:r w:rsidR="007A403D" w:rsidRPr="00C70D1D">
        <w:rPr>
          <w:i/>
        </w:rPr>
        <w:t>P</w:t>
      </w:r>
      <w:r w:rsidR="00E6268D" w:rsidRPr="00C70D1D">
        <w:t>=0.58)</w:t>
      </w:r>
      <w:r w:rsidR="004A395E">
        <w:t>, respectively</w:t>
      </w:r>
      <w:r w:rsidR="00C71BED" w:rsidRPr="00C70D1D">
        <w:t xml:space="preserve">. </w:t>
      </w:r>
      <w:r w:rsidR="009638D2" w:rsidRPr="00C70D1D">
        <w:rPr>
          <w:rFonts w:cstheme="minorHAnsi"/>
          <w:bCs/>
        </w:rPr>
        <w:t xml:space="preserve">The main cardiovascular risk factors identified were physical inactivity (80%) and hypertension (50%). Other reported risk factors were diabetes mellitus (20%), current smoking (26%), ongoing alcohol consumption (28%), </w:t>
      </w:r>
      <w:r w:rsidR="00906A58" w:rsidRPr="00C70D1D">
        <w:rPr>
          <w:rFonts w:cstheme="minorHAnsi"/>
          <w:bCs/>
        </w:rPr>
        <w:t xml:space="preserve">previous </w:t>
      </w:r>
      <w:r w:rsidR="009638D2" w:rsidRPr="00C70D1D">
        <w:rPr>
          <w:rFonts w:cstheme="minorHAnsi"/>
          <w:bCs/>
        </w:rPr>
        <w:t xml:space="preserve">history of stroke (22%) and family history of stroke (30%). </w:t>
      </w:r>
      <w:r w:rsidR="000E474B" w:rsidRPr="00C70D1D">
        <w:rPr>
          <w:rFonts w:cstheme="minorHAnsi"/>
          <w:bCs/>
        </w:rPr>
        <w:t>The most common presenting symptoms were</w:t>
      </w:r>
      <w:r w:rsidR="00D87F13" w:rsidRPr="00C70D1D">
        <w:rPr>
          <w:rFonts w:cstheme="minorHAnsi"/>
          <w:bCs/>
        </w:rPr>
        <w:t xml:space="preserve"> </w:t>
      </w:r>
      <w:r w:rsidR="00615049" w:rsidRPr="00C70D1D">
        <w:rPr>
          <w:rFonts w:cstheme="minorHAnsi"/>
          <w:bCs/>
        </w:rPr>
        <w:t xml:space="preserve">limb weakness </w:t>
      </w:r>
      <w:r w:rsidR="000E474B" w:rsidRPr="00C70D1D">
        <w:rPr>
          <w:rFonts w:cstheme="minorHAnsi"/>
          <w:bCs/>
        </w:rPr>
        <w:t xml:space="preserve">(88%), altered </w:t>
      </w:r>
      <w:r w:rsidR="00906A58" w:rsidRPr="00C70D1D">
        <w:rPr>
          <w:rFonts w:cstheme="minorHAnsi"/>
          <w:bCs/>
        </w:rPr>
        <w:t>level</w:t>
      </w:r>
      <w:r w:rsidR="00A95B60" w:rsidRPr="00C70D1D">
        <w:rPr>
          <w:rFonts w:cstheme="minorHAnsi"/>
          <w:bCs/>
        </w:rPr>
        <w:t xml:space="preserve"> of consciousness</w:t>
      </w:r>
      <w:r w:rsidR="000E474B" w:rsidRPr="00C70D1D">
        <w:rPr>
          <w:rFonts w:cstheme="minorHAnsi"/>
          <w:bCs/>
        </w:rPr>
        <w:t xml:space="preserve"> (58%), </w:t>
      </w:r>
      <w:r w:rsidR="00907FC3" w:rsidRPr="00C70D1D">
        <w:rPr>
          <w:rFonts w:cstheme="minorHAnsi"/>
          <w:bCs/>
        </w:rPr>
        <w:t xml:space="preserve">facial asymmetry (32%) </w:t>
      </w:r>
      <w:r w:rsidR="000E474B" w:rsidRPr="00C70D1D">
        <w:rPr>
          <w:rFonts w:cstheme="minorHAnsi"/>
          <w:bCs/>
        </w:rPr>
        <w:t xml:space="preserve">and aphasia (30%). </w:t>
      </w:r>
      <w:r w:rsidR="00F74D23" w:rsidRPr="009D0421">
        <w:rPr>
          <w:rFonts w:cstheme="minorHAnsi"/>
          <w:bCs/>
        </w:rPr>
        <w:t>Table 1</w:t>
      </w:r>
      <w:r w:rsidR="00F74D23" w:rsidRPr="00C70D1D">
        <w:rPr>
          <w:rFonts w:cstheme="minorHAnsi"/>
          <w:bCs/>
        </w:rPr>
        <w:t xml:space="preserve"> summari</w:t>
      </w:r>
      <w:r w:rsidR="00D056BB" w:rsidRPr="00C70D1D">
        <w:rPr>
          <w:rFonts w:cstheme="minorHAnsi"/>
          <w:bCs/>
        </w:rPr>
        <w:t>s</w:t>
      </w:r>
      <w:r w:rsidR="00F74D23" w:rsidRPr="00C70D1D">
        <w:rPr>
          <w:rFonts w:cstheme="minorHAnsi"/>
          <w:bCs/>
        </w:rPr>
        <w:t>es the demographic and clinical characteristics of the study participants.</w:t>
      </w:r>
    </w:p>
    <w:p w14:paraId="6778A370" w14:textId="77FC2329" w:rsidR="008A114E" w:rsidRPr="00B17041" w:rsidRDefault="003132C1" w:rsidP="004E379E">
      <w:pPr>
        <w:jc w:val="both"/>
        <w:rPr>
          <w:rFonts w:cstheme="minorHAnsi"/>
          <w:b/>
          <w:bCs/>
          <w:i/>
        </w:rPr>
      </w:pPr>
      <w:r w:rsidRPr="00B17041">
        <w:rPr>
          <w:rFonts w:cstheme="minorHAnsi"/>
          <w:b/>
          <w:bCs/>
          <w:i/>
        </w:rPr>
        <w:t>Diagnosis and destination</w:t>
      </w:r>
    </w:p>
    <w:p w14:paraId="3675C836" w14:textId="1D657941" w:rsidR="005C24CA" w:rsidRPr="00C70D1D" w:rsidRDefault="001C2DE3" w:rsidP="004E379E">
      <w:pPr>
        <w:jc w:val="both"/>
        <w:rPr>
          <w:rFonts w:cstheme="minorHAnsi"/>
          <w:bCs/>
        </w:rPr>
      </w:pPr>
      <w:r w:rsidRPr="00C70D1D">
        <w:rPr>
          <w:rFonts w:cstheme="minorHAnsi"/>
          <w:bCs/>
        </w:rPr>
        <w:t>No</w:t>
      </w:r>
      <w:r w:rsidR="00906A58" w:rsidRPr="00C70D1D">
        <w:rPr>
          <w:rFonts w:cstheme="minorHAnsi"/>
          <w:bCs/>
        </w:rPr>
        <w:t>ne of the</w:t>
      </w:r>
      <w:r w:rsidRPr="00C70D1D">
        <w:rPr>
          <w:rFonts w:cstheme="minorHAnsi"/>
          <w:bCs/>
        </w:rPr>
        <w:t xml:space="preserve"> patient</w:t>
      </w:r>
      <w:r w:rsidR="00906A58" w:rsidRPr="00C70D1D">
        <w:rPr>
          <w:rFonts w:cstheme="minorHAnsi"/>
          <w:bCs/>
        </w:rPr>
        <w:t>s</w:t>
      </w:r>
      <w:r w:rsidRPr="00C70D1D">
        <w:rPr>
          <w:rFonts w:cstheme="minorHAnsi"/>
          <w:bCs/>
        </w:rPr>
        <w:t xml:space="preserve"> </w:t>
      </w:r>
      <w:r w:rsidR="00CA6180" w:rsidRPr="00C70D1D">
        <w:rPr>
          <w:rFonts w:cstheme="minorHAnsi"/>
          <w:bCs/>
        </w:rPr>
        <w:t>were</w:t>
      </w:r>
      <w:r w:rsidR="00A95B60" w:rsidRPr="00C70D1D">
        <w:rPr>
          <w:rFonts w:cstheme="minorHAnsi"/>
          <w:bCs/>
        </w:rPr>
        <w:t xml:space="preserve"> </w:t>
      </w:r>
      <w:r w:rsidRPr="00C70D1D">
        <w:rPr>
          <w:rFonts w:cstheme="minorHAnsi"/>
          <w:bCs/>
        </w:rPr>
        <w:t xml:space="preserve">assessed for stroke severity using the </w:t>
      </w:r>
      <w:r w:rsidR="002217EB" w:rsidRPr="00C70D1D">
        <w:rPr>
          <w:rFonts w:cstheme="minorHAnsi"/>
          <w:bCs/>
        </w:rPr>
        <w:t>National Institutes of Health Stroke Scale (NIHSS)</w:t>
      </w:r>
      <w:r w:rsidR="00E83548" w:rsidRPr="00C70D1D">
        <w:rPr>
          <w:rFonts w:cstheme="minorHAnsi"/>
          <w:bCs/>
        </w:rPr>
        <w:t xml:space="preserve"> (</w:t>
      </w:r>
      <w:hyperlink r:id="rId9" w:history="1">
        <w:r w:rsidR="00585313" w:rsidRPr="009D0421">
          <w:rPr>
            <w:rStyle w:val="Hyperlink"/>
          </w:rPr>
          <w:t>http://www.nihstrokescale.org/</w:t>
        </w:r>
      </w:hyperlink>
      <w:r w:rsidR="00585313" w:rsidRPr="009D0421">
        <w:t>)</w:t>
      </w:r>
      <w:r w:rsidRPr="009D0421">
        <w:rPr>
          <w:rFonts w:cstheme="minorHAnsi"/>
          <w:bCs/>
        </w:rPr>
        <w:t>.</w:t>
      </w:r>
      <w:r w:rsidRPr="00C70D1D">
        <w:rPr>
          <w:rFonts w:cstheme="minorHAnsi"/>
          <w:bCs/>
        </w:rPr>
        <w:t xml:space="preserve"> </w:t>
      </w:r>
      <w:r w:rsidR="00504291" w:rsidRPr="00C70D1D">
        <w:rPr>
          <w:rFonts w:cstheme="minorHAnsi"/>
          <w:bCs/>
        </w:rPr>
        <w:t xml:space="preserve">In all patients, </w:t>
      </w:r>
      <w:r w:rsidR="00753EC4" w:rsidRPr="00C70D1D">
        <w:rPr>
          <w:rFonts w:cstheme="minorHAnsi"/>
          <w:bCs/>
        </w:rPr>
        <w:t xml:space="preserve">the </w:t>
      </w:r>
      <w:r w:rsidR="00504291" w:rsidRPr="00C70D1D">
        <w:rPr>
          <w:rFonts w:cstheme="minorHAnsi"/>
          <w:bCs/>
        </w:rPr>
        <w:t xml:space="preserve">diagnosis of stroke was </w:t>
      </w:r>
      <w:r w:rsidR="00EA7836" w:rsidRPr="00C70D1D">
        <w:rPr>
          <w:rFonts w:cstheme="minorHAnsi"/>
          <w:bCs/>
        </w:rPr>
        <w:t xml:space="preserve">based on the clinical </w:t>
      </w:r>
      <w:r w:rsidR="00EA7836" w:rsidRPr="00C70D1D">
        <w:rPr>
          <w:rFonts w:cstheme="minorHAnsi"/>
          <w:bCs/>
        </w:rPr>
        <w:lastRenderedPageBreak/>
        <w:t>presentation</w:t>
      </w:r>
      <w:r w:rsidR="00833A58" w:rsidRPr="00C70D1D">
        <w:rPr>
          <w:rFonts w:cstheme="minorHAnsi"/>
          <w:bCs/>
        </w:rPr>
        <w:t>.</w:t>
      </w:r>
      <w:r w:rsidR="00504291" w:rsidRPr="00C70D1D">
        <w:rPr>
          <w:rFonts w:cstheme="minorHAnsi"/>
          <w:bCs/>
        </w:rPr>
        <w:t xml:space="preserve"> Only </w:t>
      </w:r>
      <w:r w:rsidR="00D056BB" w:rsidRPr="00C70D1D">
        <w:rPr>
          <w:rFonts w:cstheme="minorHAnsi"/>
          <w:bCs/>
        </w:rPr>
        <w:t>three</w:t>
      </w:r>
      <w:r w:rsidR="00504291" w:rsidRPr="00C70D1D">
        <w:rPr>
          <w:rFonts w:cstheme="minorHAnsi"/>
          <w:bCs/>
        </w:rPr>
        <w:t xml:space="preserve"> patients</w:t>
      </w:r>
      <w:r w:rsidR="001F6D10" w:rsidRPr="00C70D1D">
        <w:rPr>
          <w:rFonts w:cstheme="minorHAnsi"/>
          <w:bCs/>
        </w:rPr>
        <w:t xml:space="preserve"> (6%)</w:t>
      </w:r>
      <w:r w:rsidR="00504291" w:rsidRPr="00C70D1D">
        <w:rPr>
          <w:rFonts w:cstheme="minorHAnsi"/>
          <w:bCs/>
        </w:rPr>
        <w:t xml:space="preserve"> </w:t>
      </w:r>
      <w:r w:rsidR="00753EC4" w:rsidRPr="00C70D1D">
        <w:rPr>
          <w:rFonts w:cstheme="minorHAnsi"/>
          <w:bCs/>
        </w:rPr>
        <w:t xml:space="preserve">subsequently </w:t>
      </w:r>
      <w:r w:rsidR="00504291" w:rsidRPr="00C70D1D">
        <w:rPr>
          <w:rFonts w:cstheme="minorHAnsi"/>
          <w:bCs/>
        </w:rPr>
        <w:t xml:space="preserve">had </w:t>
      </w:r>
      <w:r w:rsidR="00753EC4" w:rsidRPr="00C70D1D">
        <w:rPr>
          <w:rFonts w:cstheme="minorHAnsi"/>
          <w:bCs/>
        </w:rPr>
        <w:t>MRI scan</w:t>
      </w:r>
      <w:r w:rsidR="007A269B" w:rsidRPr="00C70D1D">
        <w:rPr>
          <w:rFonts w:cstheme="minorHAnsi"/>
          <w:bCs/>
        </w:rPr>
        <w:t>s</w:t>
      </w:r>
      <w:r w:rsidR="00504291" w:rsidRPr="00C70D1D">
        <w:rPr>
          <w:rFonts w:cstheme="minorHAnsi"/>
          <w:bCs/>
        </w:rPr>
        <w:t xml:space="preserve"> </w:t>
      </w:r>
      <w:r w:rsidR="00EA7836" w:rsidRPr="00C70D1D">
        <w:rPr>
          <w:rFonts w:cstheme="minorHAnsi"/>
          <w:bCs/>
        </w:rPr>
        <w:t xml:space="preserve">of </w:t>
      </w:r>
      <w:r w:rsidR="007A269B" w:rsidRPr="00C70D1D">
        <w:rPr>
          <w:rFonts w:cstheme="minorHAnsi"/>
          <w:bCs/>
        </w:rPr>
        <w:t>the brain on</w:t>
      </w:r>
      <w:r w:rsidR="00504291" w:rsidRPr="00C70D1D">
        <w:rPr>
          <w:rFonts w:cstheme="minorHAnsi"/>
          <w:bCs/>
        </w:rPr>
        <w:t xml:space="preserve"> </w:t>
      </w:r>
      <w:r w:rsidR="00DB52FC" w:rsidRPr="00C70D1D">
        <w:rPr>
          <w:rFonts w:cstheme="minorHAnsi"/>
          <w:bCs/>
        </w:rPr>
        <w:t xml:space="preserve">day </w:t>
      </w:r>
      <w:r w:rsidR="00833A58" w:rsidRPr="00C70D1D">
        <w:rPr>
          <w:rFonts w:cstheme="minorHAnsi"/>
          <w:bCs/>
        </w:rPr>
        <w:t>7,</w:t>
      </w:r>
      <w:r w:rsidR="00CE5CFE" w:rsidRPr="00C70D1D">
        <w:rPr>
          <w:rFonts w:cstheme="minorHAnsi"/>
          <w:bCs/>
        </w:rPr>
        <w:t xml:space="preserve"> </w:t>
      </w:r>
      <w:r w:rsidR="00913CAF" w:rsidRPr="00C70D1D">
        <w:rPr>
          <w:rFonts w:cstheme="minorHAnsi"/>
          <w:bCs/>
        </w:rPr>
        <w:t>8 and 9</w:t>
      </w:r>
      <w:r w:rsidR="00504291" w:rsidRPr="00C70D1D">
        <w:rPr>
          <w:rFonts w:cstheme="minorHAnsi"/>
          <w:bCs/>
        </w:rPr>
        <w:t xml:space="preserve"> post</w:t>
      </w:r>
      <w:r w:rsidR="00753EC4" w:rsidRPr="00C70D1D">
        <w:rPr>
          <w:rFonts w:cstheme="minorHAnsi"/>
          <w:bCs/>
        </w:rPr>
        <w:t>-</w:t>
      </w:r>
      <w:r w:rsidR="00833A58" w:rsidRPr="00C70D1D">
        <w:rPr>
          <w:rFonts w:cstheme="minorHAnsi"/>
          <w:bCs/>
        </w:rPr>
        <w:t>admission, respectively.</w:t>
      </w:r>
      <w:r w:rsidR="00B971AE" w:rsidRPr="00C70D1D">
        <w:rPr>
          <w:rFonts w:cstheme="minorHAnsi"/>
          <w:bCs/>
        </w:rPr>
        <w:t xml:space="preserve"> </w:t>
      </w:r>
      <w:r w:rsidR="005C24CA" w:rsidRPr="00C70D1D">
        <w:rPr>
          <w:rFonts w:cstheme="minorHAnsi"/>
          <w:bCs/>
        </w:rPr>
        <w:t>The diagnosis of stroke was made within 24 hours in 19</w:t>
      </w:r>
      <w:r w:rsidR="00DB52FC" w:rsidRPr="00C70D1D">
        <w:rPr>
          <w:rFonts w:cstheme="minorHAnsi"/>
          <w:bCs/>
        </w:rPr>
        <w:t xml:space="preserve"> </w:t>
      </w:r>
      <w:r w:rsidR="005C24CA" w:rsidRPr="00C70D1D">
        <w:rPr>
          <w:rFonts w:cstheme="minorHAnsi"/>
          <w:bCs/>
        </w:rPr>
        <w:t>patients</w:t>
      </w:r>
      <w:r w:rsidR="00555A4E" w:rsidRPr="00C70D1D">
        <w:rPr>
          <w:rFonts w:cstheme="minorHAnsi"/>
          <w:bCs/>
        </w:rPr>
        <w:t xml:space="preserve"> (38%)</w:t>
      </w:r>
      <w:r w:rsidR="005C24CA" w:rsidRPr="00C70D1D">
        <w:rPr>
          <w:rFonts w:cstheme="minorHAnsi"/>
          <w:bCs/>
        </w:rPr>
        <w:t>, between 24 and 72 hours in 25</w:t>
      </w:r>
      <w:r w:rsidR="00DB52FC" w:rsidRPr="00C70D1D">
        <w:rPr>
          <w:rFonts w:cstheme="minorHAnsi"/>
          <w:bCs/>
        </w:rPr>
        <w:t xml:space="preserve"> </w:t>
      </w:r>
      <w:r w:rsidR="005C24CA" w:rsidRPr="00C70D1D">
        <w:rPr>
          <w:rFonts w:cstheme="minorHAnsi"/>
          <w:bCs/>
        </w:rPr>
        <w:t>patients</w:t>
      </w:r>
      <w:r w:rsidR="003A13ED" w:rsidRPr="00C70D1D">
        <w:rPr>
          <w:rFonts w:cstheme="minorHAnsi"/>
          <w:bCs/>
        </w:rPr>
        <w:t xml:space="preserve"> (50%)</w:t>
      </w:r>
      <w:r w:rsidR="005C24CA" w:rsidRPr="00C70D1D">
        <w:rPr>
          <w:rFonts w:cstheme="minorHAnsi"/>
          <w:bCs/>
        </w:rPr>
        <w:t xml:space="preserve">, and </w:t>
      </w:r>
      <w:r w:rsidR="00CE5CFE" w:rsidRPr="00C70D1D">
        <w:rPr>
          <w:rFonts w:cstheme="minorHAnsi"/>
          <w:bCs/>
        </w:rPr>
        <w:t xml:space="preserve">over </w:t>
      </w:r>
      <w:r w:rsidR="005C24CA" w:rsidRPr="00C70D1D">
        <w:rPr>
          <w:rFonts w:cstheme="minorHAnsi"/>
          <w:bCs/>
        </w:rPr>
        <w:t>72 hours in 6 patients</w:t>
      </w:r>
      <w:r w:rsidR="003A13ED" w:rsidRPr="00C70D1D">
        <w:rPr>
          <w:rFonts w:cstheme="minorHAnsi"/>
          <w:bCs/>
        </w:rPr>
        <w:t xml:space="preserve"> (12%)</w:t>
      </w:r>
      <w:r w:rsidR="005C24CA" w:rsidRPr="00C70D1D">
        <w:rPr>
          <w:rFonts w:cstheme="minorHAnsi"/>
          <w:bCs/>
        </w:rPr>
        <w:t>.</w:t>
      </w:r>
    </w:p>
    <w:p w14:paraId="0753F928" w14:textId="1C7DA752" w:rsidR="00A33DDD" w:rsidRPr="00C70D1D" w:rsidRDefault="00A33DDD" w:rsidP="004E379E">
      <w:pPr>
        <w:jc w:val="both"/>
        <w:rPr>
          <w:rFonts w:cstheme="minorHAnsi"/>
          <w:bCs/>
        </w:rPr>
      </w:pPr>
      <w:r w:rsidRPr="00C70D1D">
        <w:rPr>
          <w:rFonts w:cstheme="minorHAnsi"/>
          <w:bCs/>
        </w:rPr>
        <w:t>Forty-one patients</w:t>
      </w:r>
      <w:r w:rsidR="002C2956" w:rsidRPr="00C70D1D">
        <w:rPr>
          <w:rFonts w:cstheme="minorHAnsi"/>
          <w:bCs/>
        </w:rPr>
        <w:t xml:space="preserve"> (82%)</w:t>
      </w:r>
      <w:r w:rsidRPr="00C70D1D">
        <w:rPr>
          <w:rFonts w:cstheme="minorHAnsi"/>
          <w:bCs/>
        </w:rPr>
        <w:t xml:space="preserve"> were admitted </w:t>
      </w:r>
      <w:r w:rsidR="002C2956" w:rsidRPr="00C70D1D">
        <w:rPr>
          <w:rFonts w:cstheme="minorHAnsi"/>
          <w:bCs/>
        </w:rPr>
        <w:t>to</w:t>
      </w:r>
      <w:r w:rsidRPr="00C70D1D">
        <w:rPr>
          <w:rFonts w:cstheme="minorHAnsi"/>
          <w:bCs/>
        </w:rPr>
        <w:t xml:space="preserve"> </w:t>
      </w:r>
      <w:r w:rsidR="00324A41" w:rsidRPr="00C70D1D">
        <w:rPr>
          <w:rFonts w:cstheme="minorHAnsi"/>
          <w:bCs/>
        </w:rPr>
        <w:t xml:space="preserve">the </w:t>
      </w:r>
      <w:r w:rsidRPr="00C70D1D">
        <w:rPr>
          <w:rFonts w:cstheme="minorHAnsi"/>
          <w:bCs/>
        </w:rPr>
        <w:t>general medical wards</w:t>
      </w:r>
      <w:r w:rsidR="00BA6478" w:rsidRPr="00C70D1D">
        <w:rPr>
          <w:rFonts w:cstheme="minorHAnsi"/>
          <w:bCs/>
        </w:rPr>
        <w:t>,</w:t>
      </w:r>
      <w:r w:rsidRPr="00C70D1D">
        <w:rPr>
          <w:rFonts w:cstheme="minorHAnsi"/>
          <w:bCs/>
        </w:rPr>
        <w:t xml:space="preserve"> </w:t>
      </w:r>
      <w:r w:rsidR="00324A41" w:rsidRPr="00C70D1D">
        <w:rPr>
          <w:rFonts w:cstheme="minorHAnsi"/>
          <w:bCs/>
        </w:rPr>
        <w:t>while the</w:t>
      </w:r>
      <w:r w:rsidRPr="00C70D1D">
        <w:rPr>
          <w:rFonts w:cstheme="minorHAnsi"/>
          <w:bCs/>
        </w:rPr>
        <w:t xml:space="preserve"> remaining </w:t>
      </w:r>
      <w:r w:rsidR="00CE5CFE" w:rsidRPr="00C70D1D">
        <w:rPr>
          <w:rFonts w:cstheme="minorHAnsi"/>
          <w:bCs/>
        </w:rPr>
        <w:t xml:space="preserve">nine </w:t>
      </w:r>
      <w:r w:rsidRPr="00C70D1D">
        <w:rPr>
          <w:rFonts w:cstheme="minorHAnsi"/>
          <w:bCs/>
        </w:rPr>
        <w:t xml:space="preserve">(18%) </w:t>
      </w:r>
      <w:r w:rsidR="00324A41" w:rsidRPr="00C70D1D">
        <w:rPr>
          <w:rFonts w:cstheme="minorHAnsi"/>
          <w:bCs/>
        </w:rPr>
        <w:t>were admitted to the</w:t>
      </w:r>
      <w:r w:rsidRPr="00C70D1D">
        <w:rPr>
          <w:rFonts w:cstheme="minorHAnsi"/>
          <w:bCs/>
        </w:rPr>
        <w:t xml:space="preserve"> High Dependency Unit</w:t>
      </w:r>
      <w:r w:rsidR="00D8613C" w:rsidRPr="00C70D1D">
        <w:rPr>
          <w:rFonts w:cstheme="minorHAnsi"/>
          <w:bCs/>
        </w:rPr>
        <w:t xml:space="preserve"> (HDU)</w:t>
      </w:r>
      <w:r w:rsidRPr="00C70D1D">
        <w:rPr>
          <w:rFonts w:cstheme="minorHAnsi"/>
          <w:bCs/>
        </w:rPr>
        <w:t xml:space="preserve">. </w:t>
      </w:r>
      <w:r w:rsidR="00E67C96" w:rsidRPr="00C70D1D">
        <w:rPr>
          <w:rFonts w:cstheme="minorHAnsi"/>
          <w:bCs/>
        </w:rPr>
        <w:t>Of the 29 patients</w:t>
      </w:r>
      <w:r w:rsidR="00555A4E" w:rsidRPr="00C70D1D">
        <w:rPr>
          <w:rFonts w:cstheme="minorHAnsi"/>
          <w:bCs/>
        </w:rPr>
        <w:t xml:space="preserve"> (58%)</w:t>
      </w:r>
      <w:r w:rsidR="00E67C96" w:rsidRPr="00C70D1D">
        <w:rPr>
          <w:rFonts w:cstheme="minorHAnsi"/>
          <w:bCs/>
        </w:rPr>
        <w:t xml:space="preserve"> who had </w:t>
      </w:r>
      <w:r w:rsidR="00C97E47" w:rsidRPr="00C70D1D">
        <w:rPr>
          <w:rFonts w:cstheme="minorHAnsi"/>
          <w:bCs/>
        </w:rPr>
        <w:t xml:space="preserve">a </w:t>
      </w:r>
      <w:r w:rsidR="00E67C96" w:rsidRPr="00C70D1D">
        <w:rPr>
          <w:rFonts w:cstheme="minorHAnsi"/>
          <w:bCs/>
        </w:rPr>
        <w:t xml:space="preserve">reduced level of consciousness, only </w:t>
      </w:r>
      <w:r w:rsidR="00CA6180" w:rsidRPr="00C70D1D">
        <w:rPr>
          <w:rFonts w:cstheme="minorHAnsi"/>
          <w:bCs/>
        </w:rPr>
        <w:t>nine</w:t>
      </w:r>
      <w:r w:rsidR="00E67C96" w:rsidRPr="00C70D1D">
        <w:rPr>
          <w:rFonts w:cstheme="minorHAnsi"/>
          <w:bCs/>
        </w:rPr>
        <w:t xml:space="preserve"> were admitted </w:t>
      </w:r>
      <w:r w:rsidR="002B52BC" w:rsidRPr="00C70D1D">
        <w:rPr>
          <w:rFonts w:cstheme="minorHAnsi"/>
          <w:bCs/>
        </w:rPr>
        <w:t>to</w:t>
      </w:r>
      <w:r w:rsidR="00E67C96" w:rsidRPr="00C70D1D">
        <w:rPr>
          <w:rFonts w:cstheme="minorHAnsi"/>
          <w:bCs/>
        </w:rPr>
        <w:t xml:space="preserve"> </w:t>
      </w:r>
      <w:r w:rsidR="00C97E47" w:rsidRPr="00C70D1D">
        <w:rPr>
          <w:rFonts w:cstheme="minorHAnsi"/>
          <w:bCs/>
        </w:rPr>
        <w:t xml:space="preserve">the </w:t>
      </w:r>
      <w:r w:rsidR="00E67C96" w:rsidRPr="00C70D1D">
        <w:rPr>
          <w:rFonts w:cstheme="minorHAnsi"/>
          <w:bCs/>
        </w:rPr>
        <w:t>HDU and received supplemental oxygen</w:t>
      </w:r>
      <w:r w:rsidR="00A76264" w:rsidRPr="00C70D1D">
        <w:rPr>
          <w:rFonts w:cstheme="minorHAnsi"/>
          <w:bCs/>
        </w:rPr>
        <w:t xml:space="preserve"> therapy</w:t>
      </w:r>
      <w:r w:rsidR="00E67C96" w:rsidRPr="00C70D1D">
        <w:rPr>
          <w:rFonts w:cstheme="minorHAnsi"/>
          <w:bCs/>
        </w:rPr>
        <w:t>. Patients in the general medical wards did not receive oxygen</w:t>
      </w:r>
      <w:r w:rsidR="00CA6180" w:rsidRPr="00C70D1D">
        <w:rPr>
          <w:rFonts w:cstheme="minorHAnsi"/>
          <w:bCs/>
        </w:rPr>
        <w:t xml:space="preserve">. </w:t>
      </w:r>
      <w:r w:rsidR="004946A9" w:rsidRPr="009D0421">
        <w:rPr>
          <w:rFonts w:cstheme="minorHAnsi"/>
          <w:bCs/>
        </w:rPr>
        <w:t>Table 2</w:t>
      </w:r>
      <w:r w:rsidR="004946A9" w:rsidRPr="00C70D1D">
        <w:rPr>
          <w:rFonts w:cstheme="minorHAnsi"/>
          <w:bCs/>
        </w:rPr>
        <w:t xml:space="preserve"> summarises </w:t>
      </w:r>
      <w:r w:rsidR="00BE0AEE">
        <w:rPr>
          <w:rFonts w:cstheme="minorHAnsi"/>
          <w:bCs/>
        </w:rPr>
        <w:t xml:space="preserve">the </w:t>
      </w:r>
      <w:r w:rsidR="00AB5DE3">
        <w:rPr>
          <w:rFonts w:cstheme="minorHAnsi"/>
          <w:bCs/>
        </w:rPr>
        <w:t xml:space="preserve">differences between </w:t>
      </w:r>
      <w:r w:rsidR="004946A9" w:rsidRPr="00C70D1D">
        <w:rPr>
          <w:rFonts w:cstheme="minorHAnsi"/>
          <w:bCs/>
        </w:rPr>
        <w:t>the management of patients with stroke at QECH</w:t>
      </w:r>
      <w:r w:rsidR="00AB5DE3">
        <w:rPr>
          <w:rFonts w:cstheme="minorHAnsi"/>
          <w:bCs/>
        </w:rPr>
        <w:t xml:space="preserve"> and the AHA/ASA guidelines</w:t>
      </w:r>
      <w:r w:rsidR="004946A9" w:rsidRPr="00C70D1D">
        <w:rPr>
          <w:rFonts w:cstheme="minorHAnsi"/>
          <w:bCs/>
        </w:rPr>
        <w:t>.</w:t>
      </w:r>
    </w:p>
    <w:p w14:paraId="7E60EF8D" w14:textId="10BE87FD" w:rsidR="000F508C" w:rsidRPr="00B17041" w:rsidRDefault="00C90C41" w:rsidP="005E242A">
      <w:pPr>
        <w:jc w:val="both"/>
        <w:rPr>
          <w:rFonts w:cstheme="minorHAnsi"/>
          <w:b/>
          <w:bCs/>
          <w:i/>
        </w:rPr>
      </w:pPr>
      <w:r w:rsidRPr="00B17041">
        <w:rPr>
          <w:rFonts w:cstheme="minorHAnsi"/>
          <w:b/>
          <w:bCs/>
          <w:i/>
        </w:rPr>
        <w:t>Monitoring and investigations</w:t>
      </w:r>
    </w:p>
    <w:p w14:paraId="2933E80F" w14:textId="02524C5F" w:rsidR="00C90C41" w:rsidRPr="00C70D1D" w:rsidRDefault="00C90C41" w:rsidP="005E242A">
      <w:pPr>
        <w:jc w:val="both"/>
        <w:rPr>
          <w:rFonts w:cstheme="minorHAnsi"/>
          <w:bCs/>
        </w:rPr>
      </w:pPr>
      <w:r w:rsidRPr="00C70D1D">
        <w:rPr>
          <w:rFonts w:cstheme="minorHAnsi"/>
          <w:bCs/>
        </w:rPr>
        <w:t xml:space="preserve">On admission, blood pressure was checked in 48 patients (96%), temperature in 41 patients (82%), and oxygen saturation in 31 patients (62%). </w:t>
      </w:r>
      <w:r w:rsidR="0003504F" w:rsidRPr="00C70D1D">
        <w:rPr>
          <w:rFonts w:cstheme="minorHAnsi"/>
          <w:bCs/>
        </w:rPr>
        <w:t xml:space="preserve">Only </w:t>
      </w:r>
      <w:r w:rsidR="00D056BB" w:rsidRPr="00C70D1D">
        <w:rPr>
          <w:rFonts w:cstheme="minorHAnsi"/>
          <w:bCs/>
        </w:rPr>
        <w:t>five</w:t>
      </w:r>
      <w:r w:rsidRPr="00C70D1D">
        <w:rPr>
          <w:rFonts w:cstheme="minorHAnsi"/>
          <w:bCs/>
        </w:rPr>
        <w:t xml:space="preserve"> </w:t>
      </w:r>
      <w:r w:rsidR="0003504F" w:rsidRPr="00C70D1D">
        <w:rPr>
          <w:rFonts w:cstheme="minorHAnsi"/>
          <w:bCs/>
        </w:rPr>
        <w:t>patients</w:t>
      </w:r>
      <w:r w:rsidR="00555A4E" w:rsidRPr="00C70D1D">
        <w:rPr>
          <w:rFonts w:cstheme="minorHAnsi"/>
          <w:bCs/>
        </w:rPr>
        <w:t xml:space="preserve"> (10%) </w:t>
      </w:r>
      <w:r w:rsidRPr="00C70D1D">
        <w:rPr>
          <w:rFonts w:cstheme="minorHAnsi"/>
          <w:bCs/>
        </w:rPr>
        <w:t xml:space="preserve">had </w:t>
      </w:r>
      <w:r w:rsidR="0003504F" w:rsidRPr="00C70D1D">
        <w:rPr>
          <w:rFonts w:cstheme="minorHAnsi"/>
          <w:bCs/>
        </w:rPr>
        <w:t xml:space="preserve">their </w:t>
      </w:r>
      <w:r w:rsidRPr="00C70D1D">
        <w:rPr>
          <w:rFonts w:cstheme="minorHAnsi"/>
          <w:bCs/>
        </w:rPr>
        <w:t xml:space="preserve">vital signs checked </w:t>
      </w:r>
      <w:r w:rsidR="0003504F" w:rsidRPr="00C70D1D">
        <w:rPr>
          <w:rFonts w:cstheme="minorHAnsi"/>
          <w:bCs/>
        </w:rPr>
        <w:t xml:space="preserve">more than </w:t>
      </w:r>
      <w:r w:rsidR="00D056BB" w:rsidRPr="00C70D1D">
        <w:rPr>
          <w:rFonts w:cstheme="minorHAnsi"/>
          <w:bCs/>
        </w:rPr>
        <w:t>three</w:t>
      </w:r>
      <w:r w:rsidRPr="00C70D1D">
        <w:rPr>
          <w:rFonts w:cstheme="minorHAnsi"/>
          <w:bCs/>
        </w:rPr>
        <w:t xml:space="preserve"> times within the first 24 hours. </w:t>
      </w:r>
      <w:r w:rsidR="0003504F" w:rsidRPr="00C70D1D">
        <w:rPr>
          <w:rFonts w:cstheme="minorHAnsi"/>
          <w:bCs/>
        </w:rPr>
        <w:t>None of the participants had</w:t>
      </w:r>
      <w:r w:rsidRPr="00C70D1D">
        <w:rPr>
          <w:rFonts w:cstheme="minorHAnsi"/>
          <w:bCs/>
        </w:rPr>
        <w:t xml:space="preserve"> </w:t>
      </w:r>
      <w:r w:rsidR="00D03040" w:rsidRPr="00C70D1D">
        <w:rPr>
          <w:rFonts w:cstheme="minorHAnsi"/>
          <w:bCs/>
        </w:rPr>
        <w:t>dysphagia screening</w:t>
      </w:r>
      <w:r w:rsidR="0003504F" w:rsidRPr="00C70D1D">
        <w:rPr>
          <w:rFonts w:cstheme="minorHAnsi"/>
          <w:bCs/>
        </w:rPr>
        <w:t>.</w:t>
      </w:r>
    </w:p>
    <w:p w14:paraId="339EA341" w14:textId="6054D62C" w:rsidR="00B43C3F" w:rsidRPr="00B17041" w:rsidRDefault="003111B9" w:rsidP="005E242A">
      <w:pPr>
        <w:jc w:val="both"/>
        <w:rPr>
          <w:rFonts w:cstheme="minorHAnsi"/>
          <w:bCs/>
        </w:rPr>
      </w:pPr>
      <w:r w:rsidRPr="00C70D1D">
        <w:rPr>
          <w:rFonts w:cstheme="minorHAnsi"/>
          <w:bCs/>
        </w:rPr>
        <w:t>The random blood sugar (RBS)</w:t>
      </w:r>
      <w:r w:rsidR="009E140C" w:rsidRPr="00C70D1D">
        <w:rPr>
          <w:rFonts w:cstheme="minorHAnsi"/>
          <w:bCs/>
        </w:rPr>
        <w:t xml:space="preserve">, </w:t>
      </w:r>
      <w:r w:rsidR="00DB16DE" w:rsidRPr="00C70D1D">
        <w:rPr>
          <w:rFonts w:cstheme="minorHAnsi"/>
          <w:bCs/>
        </w:rPr>
        <w:t>full blood count (FBC)</w:t>
      </w:r>
      <w:r w:rsidR="00A035F6" w:rsidRPr="00C70D1D">
        <w:rPr>
          <w:rFonts w:cstheme="minorHAnsi"/>
          <w:bCs/>
        </w:rPr>
        <w:t xml:space="preserve">, </w:t>
      </w:r>
      <w:r w:rsidRPr="00C70D1D">
        <w:rPr>
          <w:rFonts w:cstheme="minorHAnsi"/>
          <w:bCs/>
        </w:rPr>
        <w:t>urea/creatinine test</w:t>
      </w:r>
      <w:r w:rsidR="009B334A" w:rsidRPr="00C70D1D">
        <w:rPr>
          <w:rFonts w:cstheme="minorHAnsi"/>
          <w:bCs/>
        </w:rPr>
        <w:t>s</w:t>
      </w:r>
      <w:r w:rsidR="00D96F48" w:rsidRPr="00C70D1D">
        <w:rPr>
          <w:rFonts w:cstheme="minorHAnsi"/>
          <w:bCs/>
        </w:rPr>
        <w:t>,</w:t>
      </w:r>
      <w:r w:rsidRPr="00C70D1D">
        <w:rPr>
          <w:rFonts w:cstheme="minorHAnsi"/>
          <w:bCs/>
        </w:rPr>
        <w:t xml:space="preserve"> </w:t>
      </w:r>
      <w:r w:rsidR="00A035F6" w:rsidRPr="00C70D1D">
        <w:rPr>
          <w:rFonts w:cstheme="minorHAnsi"/>
          <w:bCs/>
        </w:rPr>
        <w:t>and lipid profile</w:t>
      </w:r>
      <w:r w:rsidR="00D96F48" w:rsidRPr="00C70D1D">
        <w:rPr>
          <w:rFonts w:cstheme="minorHAnsi"/>
          <w:bCs/>
        </w:rPr>
        <w:t>s</w:t>
      </w:r>
      <w:r w:rsidR="00A035F6" w:rsidRPr="00C70D1D">
        <w:rPr>
          <w:rFonts w:cstheme="minorHAnsi"/>
          <w:bCs/>
        </w:rPr>
        <w:t xml:space="preserve"> </w:t>
      </w:r>
      <w:r w:rsidRPr="00C70D1D">
        <w:rPr>
          <w:rFonts w:cstheme="minorHAnsi"/>
          <w:bCs/>
        </w:rPr>
        <w:t>were performed in</w:t>
      </w:r>
      <w:r w:rsidR="009E140C" w:rsidRPr="00C70D1D">
        <w:rPr>
          <w:rFonts w:cstheme="minorHAnsi"/>
          <w:bCs/>
        </w:rPr>
        <w:t xml:space="preserve"> </w:t>
      </w:r>
      <w:r w:rsidR="009E140C" w:rsidRPr="00B17041">
        <w:rPr>
          <w:rFonts w:cstheme="minorHAnsi"/>
          <w:bCs/>
        </w:rPr>
        <w:t>36 (72%),</w:t>
      </w:r>
      <w:r w:rsidRPr="00C70D1D">
        <w:rPr>
          <w:rFonts w:cstheme="minorHAnsi"/>
          <w:bCs/>
        </w:rPr>
        <w:t xml:space="preserve"> </w:t>
      </w:r>
      <w:r w:rsidRPr="00B17041">
        <w:rPr>
          <w:rFonts w:cstheme="minorHAnsi"/>
          <w:bCs/>
        </w:rPr>
        <w:t>34 (68%),</w:t>
      </w:r>
      <w:r w:rsidR="000C4424" w:rsidRPr="00B17041">
        <w:rPr>
          <w:rFonts w:cstheme="minorHAnsi"/>
          <w:bCs/>
        </w:rPr>
        <w:t xml:space="preserve"> </w:t>
      </w:r>
      <w:r w:rsidRPr="00B17041">
        <w:rPr>
          <w:rFonts w:cstheme="minorHAnsi"/>
          <w:bCs/>
        </w:rPr>
        <w:t xml:space="preserve">24 (48%) </w:t>
      </w:r>
      <w:r w:rsidR="00A035F6" w:rsidRPr="00B17041">
        <w:rPr>
          <w:rFonts w:cstheme="minorHAnsi"/>
          <w:bCs/>
        </w:rPr>
        <w:t xml:space="preserve">and </w:t>
      </w:r>
      <w:r w:rsidR="00CA6180" w:rsidRPr="00C70D1D">
        <w:rPr>
          <w:rFonts w:cstheme="minorHAnsi"/>
          <w:bCs/>
        </w:rPr>
        <w:t>two</w:t>
      </w:r>
      <w:r w:rsidR="00A035F6" w:rsidRPr="00B17041">
        <w:rPr>
          <w:rFonts w:cstheme="minorHAnsi"/>
          <w:bCs/>
        </w:rPr>
        <w:t xml:space="preserve"> (4%) </w:t>
      </w:r>
      <w:r w:rsidRPr="00B17041">
        <w:rPr>
          <w:rFonts w:cstheme="minorHAnsi"/>
          <w:bCs/>
        </w:rPr>
        <w:t>patients</w:t>
      </w:r>
      <w:r w:rsidR="00D96F48" w:rsidRPr="00C70D1D">
        <w:rPr>
          <w:rFonts w:cstheme="minorHAnsi"/>
          <w:bCs/>
        </w:rPr>
        <w:t>,</w:t>
      </w:r>
      <w:r w:rsidRPr="00B17041">
        <w:rPr>
          <w:rFonts w:cstheme="minorHAnsi"/>
          <w:bCs/>
        </w:rPr>
        <w:t xml:space="preserve"> respectively. </w:t>
      </w:r>
      <w:r w:rsidR="003E0A72" w:rsidRPr="00C70D1D">
        <w:rPr>
          <w:rFonts w:cstheme="minorHAnsi"/>
          <w:bCs/>
        </w:rPr>
        <w:t xml:space="preserve">Two </w:t>
      </w:r>
      <w:r w:rsidR="005E242A" w:rsidRPr="00C70D1D">
        <w:rPr>
          <w:rFonts w:cstheme="minorHAnsi"/>
          <w:bCs/>
        </w:rPr>
        <w:t>patients</w:t>
      </w:r>
      <w:r w:rsidR="003E0A72" w:rsidRPr="00C70D1D">
        <w:rPr>
          <w:rFonts w:cstheme="minorHAnsi"/>
          <w:bCs/>
        </w:rPr>
        <w:t xml:space="preserve"> </w:t>
      </w:r>
      <w:r w:rsidR="00833A58" w:rsidRPr="00C70D1D">
        <w:rPr>
          <w:rFonts w:cstheme="minorHAnsi"/>
          <w:bCs/>
        </w:rPr>
        <w:t>had</w:t>
      </w:r>
      <w:r w:rsidR="005E242A" w:rsidRPr="00C70D1D">
        <w:rPr>
          <w:rFonts w:cstheme="minorHAnsi"/>
          <w:bCs/>
        </w:rPr>
        <w:t xml:space="preserve"> </w:t>
      </w:r>
      <w:r w:rsidR="0006631A" w:rsidRPr="00C70D1D">
        <w:rPr>
          <w:rFonts w:cstheme="minorHAnsi"/>
          <w:bCs/>
        </w:rPr>
        <w:t>liver function tests</w:t>
      </w:r>
      <w:r w:rsidR="00016337">
        <w:rPr>
          <w:rFonts w:cstheme="minorHAnsi"/>
          <w:bCs/>
        </w:rPr>
        <w:t>.</w:t>
      </w:r>
      <w:r w:rsidR="00D96F48" w:rsidRPr="00C70D1D">
        <w:rPr>
          <w:rFonts w:cstheme="minorHAnsi"/>
          <w:bCs/>
        </w:rPr>
        <w:t xml:space="preserve"> </w:t>
      </w:r>
      <w:r w:rsidR="00016337">
        <w:rPr>
          <w:rFonts w:cstheme="minorHAnsi"/>
          <w:bCs/>
        </w:rPr>
        <w:t>E</w:t>
      </w:r>
      <w:r w:rsidR="00016337" w:rsidRPr="00C70D1D">
        <w:rPr>
          <w:rFonts w:cstheme="minorHAnsi"/>
          <w:bCs/>
        </w:rPr>
        <w:t xml:space="preserve">lectrolytes </w:t>
      </w:r>
      <w:r w:rsidR="005E242A" w:rsidRPr="00C70D1D">
        <w:rPr>
          <w:rFonts w:cstheme="minorHAnsi"/>
          <w:bCs/>
        </w:rPr>
        <w:t>and lipid profile tests</w:t>
      </w:r>
      <w:r w:rsidR="009B334A" w:rsidRPr="00C70D1D">
        <w:rPr>
          <w:rFonts w:cstheme="minorHAnsi"/>
          <w:bCs/>
        </w:rPr>
        <w:t xml:space="preserve"> </w:t>
      </w:r>
      <w:r w:rsidR="00D96F48" w:rsidRPr="00C70D1D">
        <w:rPr>
          <w:rFonts w:cstheme="minorHAnsi"/>
          <w:bCs/>
        </w:rPr>
        <w:t xml:space="preserve">were </w:t>
      </w:r>
      <w:r w:rsidR="009B334A" w:rsidRPr="00C70D1D">
        <w:rPr>
          <w:rFonts w:cstheme="minorHAnsi"/>
          <w:bCs/>
        </w:rPr>
        <w:t>performed</w:t>
      </w:r>
      <w:r w:rsidR="005E242A" w:rsidRPr="00C70D1D">
        <w:rPr>
          <w:rFonts w:cstheme="minorHAnsi"/>
          <w:bCs/>
        </w:rPr>
        <w:t xml:space="preserve"> in a private laboratory</w:t>
      </w:r>
      <w:r w:rsidR="00B965DA" w:rsidRPr="00C70D1D">
        <w:rPr>
          <w:rFonts w:cstheme="minorHAnsi"/>
          <w:bCs/>
        </w:rPr>
        <w:t xml:space="preserve"> since these tests </w:t>
      </w:r>
      <w:r w:rsidR="00D96F48" w:rsidRPr="00C70D1D">
        <w:rPr>
          <w:rFonts w:cstheme="minorHAnsi"/>
          <w:bCs/>
        </w:rPr>
        <w:t xml:space="preserve">are </w:t>
      </w:r>
      <w:r w:rsidR="00697C60" w:rsidRPr="00C70D1D">
        <w:rPr>
          <w:rFonts w:cstheme="minorHAnsi"/>
          <w:bCs/>
        </w:rPr>
        <w:t>not</w:t>
      </w:r>
      <w:r w:rsidR="00B965DA" w:rsidRPr="00C70D1D">
        <w:rPr>
          <w:rFonts w:cstheme="minorHAnsi"/>
          <w:bCs/>
        </w:rPr>
        <w:t xml:space="preserve"> </w:t>
      </w:r>
      <w:r w:rsidR="005E242A" w:rsidRPr="00C70D1D">
        <w:rPr>
          <w:rFonts w:cstheme="minorHAnsi"/>
          <w:bCs/>
        </w:rPr>
        <w:t xml:space="preserve">offered by the QECH core laboratory. </w:t>
      </w:r>
      <w:r w:rsidR="003E0A72" w:rsidRPr="00C70D1D">
        <w:rPr>
          <w:rFonts w:cstheme="minorHAnsi"/>
          <w:bCs/>
        </w:rPr>
        <w:t xml:space="preserve">Syphilis test (Venereal Disease Research Laboratory) and </w:t>
      </w:r>
      <w:r w:rsidR="001D2A61" w:rsidRPr="00C70D1D">
        <w:rPr>
          <w:rFonts w:cstheme="minorHAnsi"/>
          <w:bCs/>
        </w:rPr>
        <w:t xml:space="preserve">coagulation </w:t>
      </w:r>
      <w:r w:rsidR="00B01082" w:rsidRPr="00C70D1D">
        <w:rPr>
          <w:rFonts w:cstheme="minorHAnsi"/>
          <w:bCs/>
        </w:rPr>
        <w:t xml:space="preserve">tests were not performed </w:t>
      </w:r>
      <w:r w:rsidR="00D96F48" w:rsidRPr="00C70D1D">
        <w:rPr>
          <w:rFonts w:cstheme="minorHAnsi"/>
          <w:bCs/>
        </w:rPr>
        <w:t xml:space="preserve">on </w:t>
      </w:r>
      <w:r w:rsidR="000C4424" w:rsidRPr="00C70D1D">
        <w:rPr>
          <w:rFonts w:cstheme="minorHAnsi"/>
          <w:bCs/>
        </w:rPr>
        <w:t xml:space="preserve">any patient though </w:t>
      </w:r>
      <w:r w:rsidR="004B5EEB" w:rsidRPr="00C70D1D">
        <w:rPr>
          <w:rFonts w:cstheme="minorHAnsi"/>
          <w:bCs/>
        </w:rPr>
        <w:t xml:space="preserve">the former is </w:t>
      </w:r>
      <w:r w:rsidR="000C4424" w:rsidRPr="00C70D1D">
        <w:rPr>
          <w:rFonts w:cstheme="minorHAnsi"/>
          <w:bCs/>
        </w:rPr>
        <w:t>available at QECH</w:t>
      </w:r>
      <w:r w:rsidR="00833A58" w:rsidRPr="00C70D1D">
        <w:rPr>
          <w:rFonts w:cstheme="minorHAnsi"/>
          <w:bCs/>
        </w:rPr>
        <w:t xml:space="preserve">. </w:t>
      </w:r>
      <w:r w:rsidR="005E242A" w:rsidRPr="00C70D1D">
        <w:rPr>
          <w:rFonts w:cstheme="minorHAnsi"/>
          <w:bCs/>
        </w:rPr>
        <w:t>An electrocardiogram</w:t>
      </w:r>
      <w:r w:rsidR="00B43C3F" w:rsidRPr="00B17041">
        <w:rPr>
          <w:rFonts w:cstheme="minorHAnsi"/>
          <w:bCs/>
        </w:rPr>
        <w:t xml:space="preserve"> (ECG) was </w:t>
      </w:r>
      <w:r w:rsidR="005E242A" w:rsidRPr="00B17041">
        <w:rPr>
          <w:rFonts w:cstheme="minorHAnsi"/>
          <w:bCs/>
        </w:rPr>
        <w:t xml:space="preserve">performed </w:t>
      </w:r>
      <w:r w:rsidR="00D96F48" w:rsidRPr="00C70D1D">
        <w:rPr>
          <w:rFonts w:cstheme="minorHAnsi"/>
          <w:bCs/>
        </w:rPr>
        <w:t>o</w:t>
      </w:r>
      <w:r w:rsidR="00D96F48" w:rsidRPr="00B17041">
        <w:rPr>
          <w:rFonts w:cstheme="minorHAnsi"/>
          <w:bCs/>
        </w:rPr>
        <w:t xml:space="preserve">n </w:t>
      </w:r>
      <w:r w:rsidR="005E242A" w:rsidRPr="00B17041">
        <w:rPr>
          <w:rFonts w:cstheme="minorHAnsi"/>
          <w:bCs/>
        </w:rPr>
        <w:t>34 patients</w:t>
      </w:r>
      <w:r w:rsidR="00555A4E" w:rsidRPr="00B17041">
        <w:rPr>
          <w:rFonts w:cstheme="minorHAnsi"/>
          <w:bCs/>
        </w:rPr>
        <w:t xml:space="preserve"> (68%)</w:t>
      </w:r>
      <w:r w:rsidR="005E242A" w:rsidRPr="00B17041">
        <w:rPr>
          <w:rFonts w:cstheme="minorHAnsi"/>
          <w:bCs/>
        </w:rPr>
        <w:t xml:space="preserve"> </w:t>
      </w:r>
      <w:r w:rsidR="00766D49" w:rsidRPr="00B17041">
        <w:rPr>
          <w:rFonts w:cstheme="minorHAnsi"/>
          <w:bCs/>
        </w:rPr>
        <w:t xml:space="preserve">but </w:t>
      </w:r>
      <w:r w:rsidR="00266E5C" w:rsidRPr="00B17041">
        <w:rPr>
          <w:rFonts w:cstheme="minorHAnsi"/>
          <w:bCs/>
        </w:rPr>
        <w:t xml:space="preserve">only </w:t>
      </w:r>
      <w:r w:rsidR="00766D49" w:rsidRPr="00B17041">
        <w:rPr>
          <w:rFonts w:cstheme="minorHAnsi"/>
          <w:bCs/>
        </w:rPr>
        <w:t>seven patients had it within</w:t>
      </w:r>
      <w:r w:rsidR="0036060B" w:rsidRPr="00B17041">
        <w:rPr>
          <w:rFonts w:cstheme="minorHAnsi"/>
          <w:bCs/>
        </w:rPr>
        <w:t xml:space="preserve"> </w:t>
      </w:r>
      <w:r w:rsidR="00766D49" w:rsidRPr="00B17041">
        <w:rPr>
          <w:rFonts w:cstheme="minorHAnsi"/>
          <w:bCs/>
        </w:rPr>
        <w:t>24 hours</w:t>
      </w:r>
      <w:r w:rsidR="0036060B" w:rsidRPr="00B17041">
        <w:rPr>
          <w:rFonts w:cstheme="minorHAnsi"/>
          <w:bCs/>
        </w:rPr>
        <w:t xml:space="preserve"> of admission</w:t>
      </w:r>
      <w:r w:rsidR="00766D49" w:rsidRPr="00B17041">
        <w:rPr>
          <w:rFonts w:cstheme="minorHAnsi"/>
          <w:bCs/>
        </w:rPr>
        <w:t xml:space="preserve">. </w:t>
      </w:r>
      <w:r w:rsidR="001A2DF7" w:rsidRPr="00B17041">
        <w:rPr>
          <w:rFonts w:cstheme="minorHAnsi"/>
          <w:bCs/>
        </w:rPr>
        <w:t>Fifteen patients</w:t>
      </w:r>
      <w:r w:rsidR="0006631A" w:rsidRPr="00B17041">
        <w:rPr>
          <w:rFonts w:cstheme="minorHAnsi"/>
          <w:bCs/>
        </w:rPr>
        <w:t xml:space="preserve"> (30%)</w:t>
      </w:r>
      <w:r w:rsidR="001A2DF7" w:rsidRPr="00B17041">
        <w:rPr>
          <w:rFonts w:cstheme="minorHAnsi"/>
          <w:bCs/>
        </w:rPr>
        <w:t xml:space="preserve"> had </w:t>
      </w:r>
      <w:r w:rsidR="000976E9" w:rsidRPr="00B17041">
        <w:rPr>
          <w:rFonts w:cstheme="minorHAnsi"/>
          <w:bCs/>
        </w:rPr>
        <w:t xml:space="preserve">a </w:t>
      </w:r>
      <w:r w:rsidR="001A2DF7" w:rsidRPr="00B17041">
        <w:rPr>
          <w:rFonts w:cstheme="minorHAnsi"/>
          <w:bCs/>
        </w:rPr>
        <w:t xml:space="preserve">cardiac ultrasound scan during </w:t>
      </w:r>
      <w:r w:rsidR="003E50E1" w:rsidRPr="00C70D1D">
        <w:rPr>
          <w:rFonts w:cstheme="minorHAnsi"/>
          <w:bCs/>
        </w:rPr>
        <w:t xml:space="preserve">their </w:t>
      </w:r>
      <w:r w:rsidR="001A2DF7" w:rsidRPr="00B17041">
        <w:rPr>
          <w:rFonts w:cstheme="minorHAnsi"/>
          <w:bCs/>
        </w:rPr>
        <w:t>hospital stay</w:t>
      </w:r>
      <w:r w:rsidR="00BA6478" w:rsidRPr="00C70D1D">
        <w:rPr>
          <w:rFonts w:cstheme="minorHAnsi"/>
          <w:bCs/>
        </w:rPr>
        <w:t>,</w:t>
      </w:r>
      <w:r w:rsidR="001A2DF7" w:rsidRPr="00B17041">
        <w:rPr>
          <w:rFonts w:cstheme="minorHAnsi"/>
          <w:bCs/>
        </w:rPr>
        <w:t xml:space="preserve"> and none had </w:t>
      </w:r>
      <w:r w:rsidR="003E50E1" w:rsidRPr="00C70D1D">
        <w:rPr>
          <w:rFonts w:cstheme="minorHAnsi"/>
          <w:bCs/>
        </w:rPr>
        <w:t xml:space="preserve">an </w:t>
      </w:r>
      <w:r w:rsidR="000976E9" w:rsidRPr="00B17041">
        <w:rPr>
          <w:rFonts w:cstheme="minorHAnsi"/>
          <w:bCs/>
        </w:rPr>
        <w:t xml:space="preserve">ultrasound </w:t>
      </w:r>
      <w:r w:rsidR="008E6199" w:rsidRPr="00B17041">
        <w:rPr>
          <w:rFonts w:cstheme="minorHAnsi"/>
          <w:bCs/>
        </w:rPr>
        <w:t>examination</w:t>
      </w:r>
      <w:r w:rsidR="000976E9" w:rsidRPr="00B17041">
        <w:rPr>
          <w:rFonts w:cstheme="minorHAnsi"/>
          <w:bCs/>
        </w:rPr>
        <w:t xml:space="preserve"> of </w:t>
      </w:r>
      <w:r w:rsidR="003E50E1" w:rsidRPr="00C70D1D">
        <w:rPr>
          <w:rFonts w:cstheme="minorHAnsi"/>
          <w:bCs/>
        </w:rPr>
        <w:t xml:space="preserve">the </w:t>
      </w:r>
      <w:r w:rsidR="000976E9" w:rsidRPr="00B17041">
        <w:rPr>
          <w:rFonts w:cstheme="minorHAnsi"/>
          <w:bCs/>
        </w:rPr>
        <w:t>cervical and intracranial arteries.</w:t>
      </w:r>
      <w:r w:rsidR="00CA6180" w:rsidRPr="00C70D1D">
        <w:rPr>
          <w:rFonts w:cstheme="minorHAnsi"/>
          <w:bCs/>
        </w:rPr>
        <w:t xml:space="preserve"> </w:t>
      </w:r>
    </w:p>
    <w:p w14:paraId="78300352" w14:textId="77777777" w:rsidR="00503368" w:rsidRPr="00B17041" w:rsidRDefault="00503368" w:rsidP="004E379E">
      <w:pPr>
        <w:jc w:val="both"/>
        <w:rPr>
          <w:rFonts w:cstheme="minorHAnsi"/>
          <w:b/>
          <w:bCs/>
        </w:rPr>
      </w:pPr>
    </w:p>
    <w:p w14:paraId="3AB855E2" w14:textId="7B9AAEC7" w:rsidR="008A114E" w:rsidRPr="00B17041" w:rsidRDefault="008A114E" w:rsidP="004E379E">
      <w:pPr>
        <w:jc w:val="both"/>
        <w:rPr>
          <w:rFonts w:cstheme="minorHAnsi"/>
          <w:b/>
          <w:bCs/>
          <w:i/>
        </w:rPr>
      </w:pPr>
      <w:r w:rsidRPr="00B17041">
        <w:rPr>
          <w:rFonts w:cstheme="minorHAnsi"/>
          <w:b/>
          <w:bCs/>
          <w:i/>
        </w:rPr>
        <w:t>Treatment</w:t>
      </w:r>
    </w:p>
    <w:p w14:paraId="09860B1D" w14:textId="58B464C0" w:rsidR="007F6AAD" w:rsidRPr="00B17041" w:rsidRDefault="003E50E1" w:rsidP="004E379E">
      <w:pPr>
        <w:jc w:val="both"/>
        <w:rPr>
          <w:rFonts w:cstheme="minorHAnsi"/>
          <w:bCs/>
        </w:rPr>
      </w:pPr>
      <w:r w:rsidRPr="00C70D1D">
        <w:rPr>
          <w:rFonts w:cstheme="minorHAnsi"/>
          <w:bCs/>
        </w:rPr>
        <w:t>B</w:t>
      </w:r>
      <w:r w:rsidR="0059043A" w:rsidRPr="00B17041">
        <w:rPr>
          <w:rFonts w:cstheme="minorHAnsi"/>
          <w:bCs/>
        </w:rPr>
        <w:t xml:space="preserve">lood pressure on admission was &gt;140/90 mmHg in </w:t>
      </w:r>
      <w:r w:rsidR="00A71505" w:rsidRPr="00B17041">
        <w:rPr>
          <w:rFonts w:cstheme="minorHAnsi"/>
          <w:bCs/>
        </w:rPr>
        <w:t>68</w:t>
      </w:r>
      <w:r w:rsidR="0059043A" w:rsidRPr="00B17041">
        <w:rPr>
          <w:rFonts w:cstheme="minorHAnsi"/>
          <w:bCs/>
        </w:rPr>
        <w:t>%</w:t>
      </w:r>
      <w:r w:rsidR="009E1863" w:rsidRPr="00B17041">
        <w:rPr>
          <w:rFonts w:cstheme="minorHAnsi"/>
          <w:bCs/>
        </w:rPr>
        <w:t xml:space="preserve"> of patients</w:t>
      </w:r>
      <w:r w:rsidR="0059043A" w:rsidRPr="00B17041">
        <w:rPr>
          <w:rFonts w:cstheme="minorHAnsi"/>
          <w:bCs/>
        </w:rPr>
        <w:t xml:space="preserve">, of whom </w:t>
      </w:r>
      <w:r w:rsidR="00D12F67" w:rsidRPr="00C70D1D">
        <w:rPr>
          <w:rFonts w:cstheme="minorHAnsi"/>
          <w:bCs/>
        </w:rPr>
        <w:t>four</w:t>
      </w:r>
      <w:r w:rsidR="0059043A" w:rsidRPr="00B17041">
        <w:rPr>
          <w:rFonts w:cstheme="minorHAnsi"/>
          <w:bCs/>
        </w:rPr>
        <w:t xml:space="preserve"> had values &gt;220/120 mmHg.</w:t>
      </w:r>
      <w:r w:rsidR="00A71505" w:rsidRPr="00B17041">
        <w:rPr>
          <w:rFonts w:cstheme="minorHAnsi"/>
          <w:bCs/>
        </w:rPr>
        <w:t xml:space="preserve"> </w:t>
      </w:r>
      <w:r w:rsidR="009E1863" w:rsidRPr="00B17041">
        <w:rPr>
          <w:rFonts w:cstheme="minorHAnsi"/>
          <w:bCs/>
        </w:rPr>
        <w:t xml:space="preserve">A total of 17 patients received antihypertensive treatment within 48 hours of admission, including </w:t>
      </w:r>
      <w:r w:rsidR="00CA6180" w:rsidRPr="00C70D1D">
        <w:rPr>
          <w:rFonts w:cstheme="minorHAnsi"/>
          <w:bCs/>
        </w:rPr>
        <w:t>three</w:t>
      </w:r>
      <w:r w:rsidR="009E1863" w:rsidRPr="00B17041">
        <w:rPr>
          <w:rFonts w:cstheme="minorHAnsi"/>
          <w:bCs/>
        </w:rPr>
        <w:t xml:space="preserve"> patients with blood pressure &gt;220/120 mmHg.</w:t>
      </w:r>
      <w:r w:rsidR="009E140C" w:rsidRPr="00B17041">
        <w:rPr>
          <w:rFonts w:cstheme="minorHAnsi"/>
          <w:bCs/>
        </w:rPr>
        <w:t xml:space="preserve"> </w:t>
      </w:r>
      <w:r w:rsidR="007D2963" w:rsidRPr="00B17041">
        <w:rPr>
          <w:rFonts w:cstheme="minorHAnsi"/>
          <w:bCs/>
        </w:rPr>
        <w:t xml:space="preserve">Nine </w:t>
      </w:r>
      <w:r w:rsidR="009E140C" w:rsidRPr="00B17041">
        <w:rPr>
          <w:rFonts w:cstheme="minorHAnsi"/>
          <w:bCs/>
        </w:rPr>
        <w:t>patients had RBS &gt;</w:t>
      </w:r>
      <w:r w:rsidR="007D2963" w:rsidRPr="00B17041">
        <w:rPr>
          <w:rFonts w:cstheme="minorHAnsi"/>
          <w:bCs/>
        </w:rPr>
        <w:t xml:space="preserve">10 </w:t>
      </w:r>
      <w:r w:rsidR="009E140C" w:rsidRPr="00B17041">
        <w:rPr>
          <w:rFonts w:cstheme="minorHAnsi"/>
          <w:bCs/>
        </w:rPr>
        <w:t>mmol/</w:t>
      </w:r>
      <w:r w:rsidR="006F636E" w:rsidRPr="00C70D1D">
        <w:rPr>
          <w:rFonts w:cstheme="minorHAnsi"/>
          <w:bCs/>
        </w:rPr>
        <w:t>L</w:t>
      </w:r>
      <w:r w:rsidR="009E140C" w:rsidRPr="00B17041">
        <w:rPr>
          <w:rFonts w:cstheme="minorHAnsi"/>
          <w:bCs/>
        </w:rPr>
        <w:t xml:space="preserve"> and </w:t>
      </w:r>
      <w:r w:rsidR="00D12F67" w:rsidRPr="00C70D1D">
        <w:rPr>
          <w:rFonts w:cstheme="minorHAnsi"/>
          <w:bCs/>
        </w:rPr>
        <w:t>four</w:t>
      </w:r>
      <w:r w:rsidR="009E140C" w:rsidRPr="00B17041">
        <w:rPr>
          <w:rFonts w:cstheme="minorHAnsi"/>
          <w:bCs/>
        </w:rPr>
        <w:t xml:space="preserve"> of them </w:t>
      </w:r>
      <w:r w:rsidR="009E140C" w:rsidRPr="00C70D1D">
        <w:rPr>
          <w:rFonts w:cstheme="minorHAnsi"/>
          <w:bCs/>
        </w:rPr>
        <w:t>received insulin to correct hyperglycaemia.</w:t>
      </w:r>
      <w:r w:rsidR="009E140C" w:rsidRPr="00C70D1D">
        <w:rPr>
          <w:rFonts w:cstheme="minorHAnsi"/>
          <w:b/>
          <w:bCs/>
        </w:rPr>
        <w:t xml:space="preserve"> </w:t>
      </w:r>
      <w:r w:rsidR="00833A58" w:rsidRPr="00C70D1D">
        <w:rPr>
          <w:rFonts w:cstheme="minorHAnsi"/>
          <w:bCs/>
        </w:rPr>
        <w:t xml:space="preserve">Low dose aspirin was administered </w:t>
      </w:r>
      <w:r w:rsidR="006C5A4C" w:rsidRPr="00C70D1D">
        <w:rPr>
          <w:rFonts w:cstheme="minorHAnsi"/>
          <w:bCs/>
        </w:rPr>
        <w:t xml:space="preserve">orally </w:t>
      </w:r>
      <w:r w:rsidR="00833A58" w:rsidRPr="00C70D1D">
        <w:rPr>
          <w:rFonts w:cstheme="minorHAnsi"/>
          <w:bCs/>
        </w:rPr>
        <w:t xml:space="preserve">to 38 </w:t>
      </w:r>
      <w:r w:rsidR="00F2216E" w:rsidRPr="00C70D1D">
        <w:rPr>
          <w:rFonts w:cstheme="minorHAnsi"/>
          <w:bCs/>
        </w:rPr>
        <w:t>patients</w:t>
      </w:r>
      <w:r w:rsidR="008407ED" w:rsidRPr="00C70D1D">
        <w:rPr>
          <w:rFonts w:cstheme="minorHAnsi"/>
          <w:bCs/>
        </w:rPr>
        <w:t xml:space="preserve"> (76%)</w:t>
      </w:r>
      <w:r w:rsidR="004224F4" w:rsidRPr="00C70D1D">
        <w:rPr>
          <w:rFonts w:cstheme="minorHAnsi"/>
          <w:bCs/>
        </w:rPr>
        <w:t>, regardless of the</w:t>
      </w:r>
      <w:r w:rsidR="00DF58D3" w:rsidRPr="00C70D1D">
        <w:rPr>
          <w:rFonts w:cstheme="minorHAnsi"/>
          <w:bCs/>
        </w:rPr>
        <w:t>ir</w:t>
      </w:r>
      <w:r w:rsidR="004224F4" w:rsidRPr="00C70D1D">
        <w:rPr>
          <w:rFonts w:cstheme="minorHAnsi"/>
          <w:bCs/>
        </w:rPr>
        <w:t xml:space="preserve"> level of consciousness. </w:t>
      </w:r>
      <w:r w:rsidR="009E140C" w:rsidRPr="00C70D1D">
        <w:rPr>
          <w:rFonts w:cstheme="minorHAnsi"/>
          <w:bCs/>
        </w:rPr>
        <w:t>A</w:t>
      </w:r>
      <w:r w:rsidR="00E32D9C" w:rsidRPr="00C70D1D">
        <w:rPr>
          <w:rFonts w:cstheme="minorHAnsi"/>
          <w:bCs/>
        </w:rPr>
        <w:t>n intervention to prevent deep venous thrombosis (DVT) was</w:t>
      </w:r>
      <w:r w:rsidR="00FB0CE0" w:rsidRPr="00C70D1D">
        <w:rPr>
          <w:rFonts w:cstheme="minorHAnsi"/>
          <w:bCs/>
        </w:rPr>
        <w:t xml:space="preserve"> administered</w:t>
      </w:r>
      <w:r w:rsidR="00E32D9C" w:rsidRPr="00C70D1D">
        <w:rPr>
          <w:rFonts w:cstheme="minorHAnsi"/>
          <w:bCs/>
        </w:rPr>
        <w:t xml:space="preserve"> in 12 </w:t>
      </w:r>
      <w:r w:rsidR="00F2216E" w:rsidRPr="00C70D1D">
        <w:rPr>
          <w:rFonts w:cstheme="minorHAnsi"/>
          <w:bCs/>
        </w:rPr>
        <w:t>patients</w:t>
      </w:r>
      <w:r w:rsidR="00AD6AE3" w:rsidRPr="00C70D1D">
        <w:rPr>
          <w:rFonts w:cstheme="minorHAnsi"/>
          <w:bCs/>
        </w:rPr>
        <w:t xml:space="preserve"> (24%)</w:t>
      </w:r>
      <w:r w:rsidR="00E32D9C" w:rsidRPr="00C70D1D">
        <w:rPr>
          <w:rFonts w:cstheme="minorHAnsi"/>
          <w:bCs/>
        </w:rPr>
        <w:t>, including low molecular weight heparin (</w:t>
      </w:r>
      <w:r w:rsidR="00E32D9C" w:rsidRPr="00B17041">
        <w:rPr>
          <w:rFonts w:cstheme="minorHAnsi"/>
          <w:bCs/>
          <w:i/>
        </w:rPr>
        <w:t>n</w:t>
      </w:r>
      <w:r w:rsidR="00E32D9C" w:rsidRPr="00C70D1D">
        <w:rPr>
          <w:rFonts w:cstheme="minorHAnsi"/>
          <w:bCs/>
        </w:rPr>
        <w:t xml:space="preserve"> = 9), </w:t>
      </w:r>
      <w:r w:rsidR="00FB0CE0" w:rsidRPr="00C70D1D">
        <w:rPr>
          <w:rFonts w:cstheme="minorHAnsi"/>
          <w:bCs/>
        </w:rPr>
        <w:t xml:space="preserve">unfractionated </w:t>
      </w:r>
      <w:r w:rsidR="00E32D9C" w:rsidRPr="00C70D1D">
        <w:rPr>
          <w:rFonts w:cstheme="minorHAnsi"/>
          <w:bCs/>
        </w:rPr>
        <w:t>heparin (</w:t>
      </w:r>
      <w:r w:rsidR="00E32D9C" w:rsidRPr="00B17041">
        <w:rPr>
          <w:rFonts w:cstheme="minorHAnsi"/>
          <w:bCs/>
          <w:i/>
        </w:rPr>
        <w:t>n</w:t>
      </w:r>
      <w:r w:rsidR="00E32D9C" w:rsidRPr="00C70D1D">
        <w:rPr>
          <w:rFonts w:cstheme="minorHAnsi"/>
          <w:bCs/>
        </w:rPr>
        <w:t xml:space="preserve"> = 2), or </w:t>
      </w:r>
      <w:r w:rsidR="00FB0CE0" w:rsidRPr="00C70D1D">
        <w:rPr>
          <w:rFonts w:cstheme="minorHAnsi"/>
          <w:bCs/>
        </w:rPr>
        <w:t xml:space="preserve">compression </w:t>
      </w:r>
      <w:r w:rsidR="00E32D9C" w:rsidRPr="00C70D1D">
        <w:rPr>
          <w:rFonts w:cstheme="minorHAnsi"/>
          <w:bCs/>
        </w:rPr>
        <w:t>stocking</w:t>
      </w:r>
      <w:r w:rsidR="00B965DA" w:rsidRPr="00C70D1D">
        <w:rPr>
          <w:rFonts w:cstheme="minorHAnsi"/>
          <w:bCs/>
        </w:rPr>
        <w:t>s</w:t>
      </w:r>
      <w:r w:rsidR="00E32D9C" w:rsidRPr="00C70D1D">
        <w:rPr>
          <w:rFonts w:cstheme="minorHAnsi"/>
          <w:bCs/>
        </w:rPr>
        <w:t xml:space="preserve"> (</w:t>
      </w:r>
      <w:r w:rsidR="00E32D9C" w:rsidRPr="00B17041">
        <w:rPr>
          <w:rFonts w:cstheme="minorHAnsi"/>
          <w:bCs/>
          <w:i/>
        </w:rPr>
        <w:t>n</w:t>
      </w:r>
      <w:r w:rsidR="00E32D9C" w:rsidRPr="00C70D1D">
        <w:rPr>
          <w:rFonts w:cstheme="minorHAnsi"/>
          <w:bCs/>
        </w:rPr>
        <w:t xml:space="preserve"> = 1). The DVT prophylaxis was </w:t>
      </w:r>
      <w:r w:rsidR="00943CB2" w:rsidRPr="00C70D1D">
        <w:rPr>
          <w:rFonts w:cstheme="minorHAnsi"/>
          <w:bCs/>
        </w:rPr>
        <w:t xml:space="preserve">initiated after </w:t>
      </w:r>
      <w:r w:rsidR="00E32D9C" w:rsidRPr="00C70D1D">
        <w:rPr>
          <w:rFonts w:cstheme="minorHAnsi"/>
          <w:bCs/>
        </w:rPr>
        <w:t xml:space="preserve">48 hours in all 12 cases. </w:t>
      </w:r>
      <w:r w:rsidR="00F1491A" w:rsidRPr="00C70D1D">
        <w:rPr>
          <w:rFonts w:cstheme="minorHAnsi"/>
          <w:bCs/>
        </w:rPr>
        <w:t>Throughout the</w:t>
      </w:r>
      <w:r w:rsidR="00E32D9C" w:rsidRPr="00C70D1D">
        <w:rPr>
          <w:rFonts w:cstheme="minorHAnsi"/>
          <w:bCs/>
        </w:rPr>
        <w:t>ir</w:t>
      </w:r>
      <w:r w:rsidR="00F1491A" w:rsidRPr="00C70D1D">
        <w:rPr>
          <w:rFonts w:cstheme="minorHAnsi"/>
          <w:bCs/>
        </w:rPr>
        <w:t xml:space="preserve"> hospital stay, 30 patients </w:t>
      </w:r>
      <w:r w:rsidR="00555A4E" w:rsidRPr="00C70D1D">
        <w:rPr>
          <w:rFonts w:cstheme="minorHAnsi"/>
          <w:bCs/>
        </w:rPr>
        <w:t xml:space="preserve">(60%) </w:t>
      </w:r>
      <w:r w:rsidR="00F1491A" w:rsidRPr="00C70D1D">
        <w:rPr>
          <w:rFonts w:cstheme="minorHAnsi"/>
          <w:bCs/>
        </w:rPr>
        <w:t>received physiotherapy</w:t>
      </w:r>
      <w:r w:rsidR="00E32D9C" w:rsidRPr="00C70D1D">
        <w:rPr>
          <w:rFonts w:cstheme="minorHAnsi"/>
          <w:bCs/>
        </w:rPr>
        <w:t xml:space="preserve"> with only </w:t>
      </w:r>
      <w:r w:rsidR="00CA6180" w:rsidRPr="00C70D1D">
        <w:rPr>
          <w:rFonts w:cstheme="minorHAnsi"/>
          <w:bCs/>
        </w:rPr>
        <w:t>two</w:t>
      </w:r>
      <w:r w:rsidR="00E32D9C" w:rsidRPr="00C70D1D">
        <w:rPr>
          <w:rFonts w:cstheme="minorHAnsi"/>
          <w:bCs/>
        </w:rPr>
        <w:t xml:space="preserve"> starting treatment within 48 hours.</w:t>
      </w:r>
      <w:r w:rsidR="00F1491A" w:rsidRPr="00C70D1D">
        <w:rPr>
          <w:rFonts w:cstheme="minorHAnsi"/>
          <w:bCs/>
        </w:rPr>
        <w:t xml:space="preserve"> </w:t>
      </w:r>
      <w:r w:rsidR="00077715" w:rsidRPr="00C70D1D">
        <w:rPr>
          <w:rFonts w:cstheme="minorHAnsi"/>
          <w:bCs/>
        </w:rPr>
        <w:t>The mean number of physiotherapy sessions was 3.1 (95%</w:t>
      </w:r>
      <w:r w:rsidR="00DF58D3" w:rsidRPr="00C70D1D">
        <w:rPr>
          <w:rFonts w:cstheme="minorHAnsi"/>
          <w:bCs/>
        </w:rPr>
        <w:t xml:space="preserve"> </w:t>
      </w:r>
      <w:r w:rsidR="00077715" w:rsidRPr="00C70D1D">
        <w:rPr>
          <w:rFonts w:cstheme="minorHAnsi"/>
          <w:bCs/>
        </w:rPr>
        <w:t xml:space="preserve">CI: 2.3–3.8) with only </w:t>
      </w:r>
      <w:r w:rsidR="00D12F67" w:rsidRPr="00C70D1D">
        <w:rPr>
          <w:rFonts w:cstheme="minorHAnsi"/>
          <w:bCs/>
        </w:rPr>
        <w:t>seven</w:t>
      </w:r>
      <w:r w:rsidR="00077715" w:rsidRPr="00C70D1D">
        <w:rPr>
          <w:rFonts w:cstheme="minorHAnsi"/>
          <w:bCs/>
        </w:rPr>
        <w:t xml:space="preserve"> having four or more sessions. </w:t>
      </w:r>
      <w:r w:rsidR="00E32D9C" w:rsidRPr="00C70D1D">
        <w:rPr>
          <w:rFonts w:cstheme="minorHAnsi"/>
          <w:bCs/>
        </w:rPr>
        <w:t>Acute revasculari</w:t>
      </w:r>
      <w:r w:rsidR="00D056BB" w:rsidRPr="00C70D1D">
        <w:rPr>
          <w:rFonts w:cstheme="minorHAnsi"/>
          <w:bCs/>
        </w:rPr>
        <w:t>s</w:t>
      </w:r>
      <w:r w:rsidR="00E32D9C" w:rsidRPr="00C70D1D">
        <w:rPr>
          <w:rFonts w:cstheme="minorHAnsi"/>
          <w:bCs/>
        </w:rPr>
        <w:t>ation therapy (intravenous thrombolysis or endovascular thrombectomy)</w:t>
      </w:r>
      <w:r w:rsidR="00D03562" w:rsidRPr="00C70D1D">
        <w:rPr>
          <w:rFonts w:cstheme="minorHAnsi"/>
          <w:bCs/>
        </w:rPr>
        <w:t>, speech</w:t>
      </w:r>
      <w:r w:rsidR="00DC5762" w:rsidRPr="00C70D1D">
        <w:rPr>
          <w:rFonts w:cstheme="minorHAnsi"/>
          <w:bCs/>
        </w:rPr>
        <w:t xml:space="preserve"> and language</w:t>
      </w:r>
      <w:r w:rsidR="00D03562" w:rsidRPr="00C70D1D">
        <w:rPr>
          <w:rFonts w:cstheme="minorHAnsi"/>
          <w:bCs/>
        </w:rPr>
        <w:t xml:space="preserve"> therapy, and occupational therapy </w:t>
      </w:r>
      <w:r w:rsidR="00E32D9C" w:rsidRPr="00C70D1D">
        <w:rPr>
          <w:rFonts w:cstheme="minorHAnsi"/>
          <w:bCs/>
        </w:rPr>
        <w:t>were not offered</w:t>
      </w:r>
      <w:r w:rsidR="00FB0CE0" w:rsidRPr="00C70D1D">
        <w:rPr>
          <w:rFonts w:cstheme="minorHAnsi"/>
          <w:bCs/>
        </w:rPr>
        <w:t xml:space="preserve"> to any of the patient</w:t>
      </w:r>
      <w:r w:rsidR="00BA6478" w:rsidRPr="00C70D1D">
        <w:rPr>
          <w:rFonts w:cstheme="minorHAnsi"/>
          <w:bCs/>
        </w:rPr>
        <w:t>s</w:t>
      </w:r>
      <w:r w:rsidR="000C77DE" w:rsidRPr="00C70D1D">
        <w:rPr>
          <w:rFonts w:cstheme="minorHAnsi"/>
          <w:bCs/>
        </w:rPr>
        <w:t xml:space="preserve"> as </w:t>
      </w:r>
      <w:r w:rsidR="00BA6478" w:rsidRPr="00C70D1D">
        <w:rPr>
          <w:rFonts w:cstheme="minorHAnsi"/>
          <w:bCs/>
        </w:rPr>
        <w:t xml:space="preserve">these treatments </w:t>
      </w:r>
      <w:r w:rsidR="000C77DE" w:rsidRPr="00C70D1D">
        <w:rPr>
          <w:rFonts w:cstheme="minorHAnsi"/>
          <w:bCs/>
        </w:rPr>
        <w:t>were not available</w:t>
      </w:r>
      <w:r w:rsidR="00E32D9C" w:rsidRPr="00C70D1D">
        <w:rPr>
          <w:rFonts w:cstheme="minorHAnsi"/>
          <w:bCs/>
        </w:rPr>
        <w:t>.</w:t>
      </w:r>
    </w:p>
    <w:p w14:paraId="741A7C1F" w14:textId="1B8A0A85" w:rsidR="00770D2C" w:rsidRPr="00B17041" w:rsidRDefault="00770D2C" w:rsidP="00770D2C">
      <w:pPr>
        <w:jc w:val="both"/>
        <w:rPr>
          <w:rFonts w:cstheme="minorHAnsi"/>
          <w:b/>
          <w:bCs/>
          <w:i/>
        </w:rPr>
      </w:pPr>
      <w:r w:rsidRPr="00B17041">
        <w:rPr>
          <w:rFonts w:cstheme="minorHAnsi"/>
          <w:b/>
          <w:bCs/>
          <w:i/>
        </w:rPr>
        <w:t>Outcome</w:t>
      </w:r>
    </w:p>
    <w:p w14:paraId="5D572266" w14:textId="1D7E9E60" w:rsidR="000E571E" w:rsidRPr="00C70D1D" w:rsidRDefault="00D03562" w:rsidP="004E379E">
      <w:pPr>
        <w:jc w:val="both"/>
        <w:rPr>
          <w:rFonts w:cstheme="minorHAnsi"/>
          <w:bCs/>
        </w:rPr>
      </w:pPr>
      <w:r w:rsidRPr="00C70D1D">
        <w:rPr>
          <w:rFonts w:cstheme="minorHAnsi"/>
          <w:bCs/>
        </w:rPr>
        <w:t xml:space="preserve">The most common </w:t>
      </w:r>
      <w:r w:rsidR="00EA10AF" w:rsidRPr="00C70D1D">
        <w:rPr>
          <w:rFonts w:cstheme="minorHAnsi"/>
          <w:bCs/>
        </w:rPr>
        <w:t>in-hospital complications were aspiration pneumonia (32%)</w:t>
      </w:r>
      <w:r w:rsidRPr="00C70D1D">
        <w:rPr>
          <w:rFonts w:cstheme="minorHAnsi"/>
          <w:bCs/>
        </w:rPr>
        <w:t xml:space="preserve"> and </w:t>
      </w:r>
      <w:r w:rsidR="00EA10AF" w:rsidRPr="00C70D1D">
        <w:rPr>
          <w:rFonts w:cstheme="minorHAnsi"/>
          <w:bCs/>
        </w:rPr>
        <w:t>thromboe</w:t>
      </w:r>
      <w:r w:rsidR="00F421F2" w:rsidRPr="00C70D1D">
        <w:rPr>
          <w:rFonts w:cstheme="minorHAnsi"/>
          <w:bCs/>
        </w:rPr>
        <w:t>mbolic event</w:t>
      </w:r>
      <w:r w:rsidRPr="00C70D1D">
        <w:rPr>
          <w:rFonts w:cstheme="minorHAnsi"/>
          <w:bCs/>
        </w:rPr>
        <w:t>s</w:t>
      </w:r>
      <w:r w:rsidR="00F421F2" w:rsidRPr="00C70D1D">
        <w:rPr>
          <w:rFonts w:cstheme="minorHAnsi"/>
          <w:bCs/>
        </w:rPr>
        <w:t xml:space="preserve"> (24%)</w:t>
      </w:r>
      <w:r w:rsidRPr="00C70D1D">
        <w:rPr>
          <w:rFonts w:cstheme="minorHAnsi"/>
          <w:bCs/>
        </w:rPr>
        <w:t xml:space="preserve">. Other recorded complications were uncontrolled diabetes mellitus (10%), </w:t>
      </w:r>
      <w:r w:rsidR="002217EB" w:rsidRPr="00C70D1D">
        <w:rPr>
          <w:rFonts w:cstheme="minorHAnsi"/>
          <w:bCs/>
        </w:rPr>
        <w:t xml:space="preserve">urinary </w:t>
      </w:r>
      <w:r w:rsidRPr="00C70D1D">
        <w:rPr>
          <w:rFonts w:cstheme="minorHAnsi"/>
          <w:bCs/>
        </w:rPr>
        <w:t xml:space="preserve">tract infection (6%), </w:t>
      </w:r>
      <w:r w:rsidR="002217EB" w:rsidRPr="00C70D1D">
        <w:rPr>
          <w:rFonts w:cstheme="minorHAnsi"/>
          <w:bCs/>
        </w:rPr>
        <w:t xml:space="preserve">malaria </w:t>
      </w:r>
      <w:r w:rsidRPr="00C70D1D">
        <w:rPr>
          <w:rFonts w:cstheme="minorHAnsi"/>
          <w:bCs/>
        </w:rPr>
        <w:t>(6%)</w:t>
      </w:r>
      <w:r w:rsidR="00685609" w:rsidRPr="00C70D1D">
        <w:rPr>
          <w:rFonts w:cstheme="minorHAnsi"/>
          <w:bCs/>
        </w:rPr>
        <w:t>,</w:t>
      </w:r>
      <w:r w:rsidRPr="00C70D1D">
        <w:rPr>
          <w:rFonts w:cstheme="minorHAnsi"/>
          <w:bCs/>
        </w:rPr>
        <w:t xml:space="preserve"> and pressure sores (4%). In-hospital death occurred in</w:t>
      </w:r>
      <w:r w:rsidR="00F421F2" w:rsidRPr="00C70D1D">
        <w:rPr>
          <w:rFonts w:cstheme="minorHAnsi"/>
          <w:bCs/>
        </w:rPr>
        <w:t xml:space="preserve"> </w:t>
      </w:r>
      <w:r w:rsidR="00D12F67" w:rsidRPr="00C70D1D">
        <w:rPr>
          <w:rFonts w:cstheme="minorHAnsi"/>
          <w:bCs/>
        </w:rPr>
        <w:t>six</w:t>
      </w:r>
      <w:r w:rsidRPr="00C70D1D">
        <w:rPr>
          <w:rFonts w:cstheme="minorHAnsi"/>
          <w:bCs/>
        </w:rPr>
        <w:t xml:space="preserve"> patients</w:t>
      </w:r>
      <w:r w:rsidR="00555A4E" w:rsidRPr="00C70D1D">
        <w:rPr>
          <w:rFonts w:cstheme="minorHAnsi"/>
          <w:bCs/>
        </w:rPr>
        <w:t xml:space="preserve"> (12%)</w:t>
      </w:r>
      <w:r w:rsidRPr="00C70D1D">
        <w:rPr>
          <w:rFonts w:cstheme="minorHAnsi"/>
          <w:bCs/>
        </w:rPr>
        <w:t xml:space="preserve"> </w:t>
      </w:r>
      <w:r w:rsidR="003C28D0" w:rsidRPr="00C70D1D">
        <w:rPr>
          <w:rFonts w:cstheme="minorHAnsi"/>
          <w:bCs/>
        </w:rPr>
        <w:t xml:space="preserve">and </w:t>
      </w:r>
      <w:r w:rsidR="00D12F67" w:rsidRPr="00C70D1D">
        <w:rPr>
          <w:rFonts w:cstheme="minorHAnsi"/>
          <w:bCs/>
        </w:rPr>
        <w:t>three</w:t>
      </w:r>
      <w:r w:rsidR="003C28D0" w:rsidRPr="00C70D1D">
        <w:rPr>
          <w:rFonts w:cstheme="minorHAnsi"/>
          <w:bCs/>
        </w:rPr>
        <w:t xml:space="preserve"> additional deaths occurred within 48 hours </w:t>
      </w:r>
      <w:r w:rsidR="002217EB" w:rsidRPr="00C70D1D">
        <w:rPr>
          <w:rFonts w:cstheme="minorHAnsi"/>
          <w:bCs/>
        </w:rPr>
        <w:t xml:space="preserve">after </w:t>
      </w:r>
      <w:r w:rsidR="003C28D0" w:rsidRPr="00C70D1D">
        <w:rPr>
          <w:rFonts w:cstheme="minorHAnsi"/>
          <w:bCs/>
        </w:rPr>
        <w:t>discharge. The mean duration of hospitali</w:t>
      </w:r>
      <w:r w:rsidR="00851B39" w:rsidRPr="00C70D1D">
        <w:rPr>
          <w:rFonts w:cstheme="minorHAnsi"/>
          <w:bCs/>
        </w:rPr>
        <w:t>s</w:t>
      </w:r>
      <w:r w:rsidR="003C28D0" w:rsidRPr="00C70D1D">
        <w:rPr>
          <w:rFonts w:cstheme="minorHAnsi"/>
          <w:bCs/>
        </w:rPr>
        <w:t>ation was 10.4 days (95%</w:t>
      </w:r>
      <w:r w:rsidR="00831F9F" w:rsidRPr="00C70D1D">
        <w:rPr>
          <w:rFonts w:cstheme="minorHAnsi"/>
          <w:bCs/>
        </w:rPr>
        <w:t xml:space="preserve"> </w:t>
      </w:r>
      <w:r w:rsidR="003C28D0" w:rsidRPr="00C70D1D">
        <w:rPr>
          <w:rFonts w:cstheme="minorHAnsi"/>
          <w:bCs/>
        </w:rPr>
        <w:t>CI: 5.6–15.2). The modified Rankin scale</w:t>
      </w:r>
      <w:r w:rsidR="00F137B8" w:rsidRPr="00B17041">
        <w:rPr>
          <w:rFonts w:cstheme="minorHAnsi"/>
          <w:bCs/>
          <w:vertAlign w:val="superscript"/>
        </w:rPr>
        <w:t>11</w:t>
      </w:r>
      <w:r w:rsidR="008407ED" w:rsidRPr="00C70D1D">
        <w:rPr>
          <w:rFonts w:cstheme="minorHAnsi"/>
          <w:bCs/>
        </w:rPr>
        <w:t xml:space="preserve">, a measure of disability brought </w:t>
      </w:r>
      <w:r w:rsidR="00016337">
        <w:rPr>
          <w:rFonts w:cstheme="minorHAnsi"/>
          <w:bCs/>
        </w:rPr>
        <w:t>due to</w:t>
      </w:r>
      <w:r w:rsidR="00016337" w:rsidRPr="00C70D1D">
        <w:rPr>
          <w:rFonts w:cstheme="minorHAnsi"/>
          <w:bCs/>
        </w:rPr>
        <w:t xml:space="preserve"> </w:t>
      </w:r>
      <w:r w:rsidR="008407ED" w:rsidRPr="00C70D1D">
        <w:rPr>
          <w:rFonts w:cstheme="minorHAnsi"/>
          <w:bCs/>
        </w:rPr>
        <w:t xml:space="preserve">stroke, </w:t>
      </w:r>
      <w:r w:rsidR="003C28D0" w:rsidRPr="00C70D1D">
        <w:rPr>
          <w:rFonts w:cstheme="minorHAnsi"/>
          <w:bCs/>
        </w:rPr>
        <w:t>at discharge was 2 or lower in 32%</w:t>
      </w:r>
      <w:r w:rsidR="00685609" w:rsidRPr="00C70D1D">
        <w:rPr>
          <w:rFonts w:cstheme="minorHAnsi"/>
          <w:bCs/>
        </w:rPr>
        <w:t xml:space="preserve"> of patients</w:t>
      </w:r>
      <w:r w:rsidR="003C28D0" w:rsidRPr="00C70D1D">
        <w:rPr>
          <w:rFonts w:cstheme="minorHAnsi"/>
          <w:bCs/>
        </w:rPr>
        <w:t>, 3</w:t>
      </w:r>
      <w:r w:rsidR="00685609" w:rsidRPr="00C70D1D">
        <w:rPr>
          <w:rFonts w:cstheme="minorHAnsi"/>
          <w:bCs/>
        </w:rPr>
        <w:t>–</w:t>
      </w:r>
      <w:r w:rsidR="003C28D0" w:rsidRPr="00C70D1D">
        <w:rPr>
          <w:rFonts w:cstheme="minorHAnsi"/>
          <w:bCs/>
        </w:rPr>
        <w:t>5 in 5</w:t>
      </w:r>
      <w:r w:rsidR="0051740A" w:rsidRPr="00C70D1D">
        <w:rPr>
          <w:rFonts w:cstheme="minorHAnsi"/>
          <w:bCs/>
        </w:rPr>
        <w:t>6</w:t>
      </w:r>
      <w:r w:rsidR="003C28D0" w:rsidRPr="00C70D1D">
        <w:rPr>
          <w:rFonts w:cstheme="minorHAnsi"/>
          <w:bCs/>
        </w:rPr>
        <w:t>%, and 6 in 1</w:t>
      </w:r>
      <w:r w:rsidR="0051740A" w:rsidRPr="00C70D1D">
        <w:rPr>
          <w:rFonts w:cstheme="minorHAnsi"/>
          <w:bCs/>
        </w:rPr>
        <w:t>2</w:t>
      </w:r>
      <w:r w:rsidR="003C28D0" w:rsidRPr="00C70D1D">
        <w:rPr>
          <w:rFonts w:cstheme="minorHAnsi"/>
          <w:bCs/>
        </w:rPr>
        <w:t>%</w:t>
      </w:r>
      <w:r w:rsidR="0051740A" w:rsidRPr="00C70D1D">
        <w:rPr>
          <w:rFonts w:cstheme="minorHAnsi"/>
          <w:bCs/>
        </w:rPr>
        <w:t>.</w:t>
      </w:r>
      <w:r w:rsidR="00B965DA" w:rsidRPr="00C70D1D">
        <w:rPr>
          <w:rFonts w:cstheme="minorHAnsi"/>
          <w:bCs/>
        </w:rPr>
        <w:t xml:space="preserve"> </w:t>
      </w:r>
      <w:r w:rsidR="0051740A" w:rsidRPr="00C70D1D">
        <w:rPr>
          <w:rFonts w:cstheme="minorHAnsi"/>
          <w:bCs/>
        </w:rPr>
        <w:t xml:space="preserve">Patients were mostly discharged to </w:t>
      </w:r>
      <w:r w:rsidR="005734FE" w:rsidRPr="00C70D1D">
        <w:rPr>
          <w:rFonts w:cstheme="minorHAnsi"/>
          <w:bCs/>
        </w:rPr>
        <w:t xml:space="preserve">their </w:t>
      </w:r>
      <w:r w:rsidR="0051740A" w:rsidRPr="00C70D1D">
        <w:rPr>
          <w:rFonts w:cstheme="minorHAnsi"/>
          <w:bCs/>
        </w:rPr>
        <w:t>home</w:t>
      </w:r>
      <w:r w:rsidR="005734FE" w:rsidRPr="00C70D1D">
        <w:rPr>
          <w:rFonts w:cstheme="minorHAnsi"/>
          <w:bCs/>
        </w:rPr>
        <w:t>s</w:t>
      </w:r>
      <w:r w:rsidR="0051740A" w:rsidRPr="00C70D1D">
        <w:rPr>
          <w:rFonts w:cstheme="minorHAnsi"/>
          <w:bCs/>
        </w:rPr>
        <w:t xml:space="preserve"> and</w:t>
      </w:r>
      <w:r w:rsidR="00F421F2" w:rsidRPr="00C70D1D">
        <w:rPr>
          <w:rFonts w:cstheme="minorHAnsi"/>
          <w:bCs/>
        </w:rPr>
        <w:t xml:space="preserve"> only </w:t>
      </w:r>
      <w:r w:rsidR="00D12F67" w:rsidRPr="00C70D1D">
        <w:rPr>
          <w:rFonts w:cstheme="minorHAnsi"/>
          <w:bCs/>
        </w:rPr>
        <w:t>four</w:t>
      </w:r>
      <w:r w:rsidR="00F421F2" w:rsidRPr="00C70D1D">
        <w:rPr>
          <w:rFonts w:cstheme="minorHAnsi"/>
          <w:bCs/>
        </w:rPr>
        <w:t xml:space="preserve"> patients</w:t>
      </w:r>
      <w:r w:rsidR="00555A4E" w:rsidRPr="00C70D1D">
        <w:rPr>
          <w:rFonts w:cstheme="minorHAnsi"/>
          <w:bCs/>
        </w:rPr>
        <w:t xml:space="preserve"> (8%)</w:t>
      </w:r>
      <w:r w:rsidR="00F421F2" w:rsidRPr="00C70D1D">
        <w:rPr>
          <w:rFonts w:cstheme="minorHAnsi"/>
          <w:bCs/>
        </w:rPr>
        <w:t xml:space="preserve"> were </w:t>
      </w:r>
      <w:r w:rsidR="0051740A" w:rsidRPr="00C70D1D">
        <w:rPr>
          <w:rFonts w:cstheme="minorHAnsi"/>
          <w:bCs/>
        </w:rPr>
        <w:t xml:space="preserve">transferred </w:t>
      </w:r>
      <w:r w:rsidR="00F421F2" w:rsidRPr="00C70D1D">
        <w:rPr>
          <w:rFonts w:cstheme="minorHAnsi"/>
          <w:bCs/>
        </w:rPr>
        <w:t>to a rehabilitation centre.</w:t>
      </w:r>
      <w:r w:rsidR="00831F9F" w:rsidRPr="00C70D1D">
        <w:rPr>
          <w:rFonts w:cstheme="minorHAnsi"/>
          <w:bCs/>
        </w:rPr>
        <w:t xml:space="preserve"> </w:t>
      </w:r>
      <w:r w:rsidR="00F421F2" w:rsidRPr="00C70D1D">
        <w:rPr>
          <w:rFonts w:cstheme="minorHAnsi"/>
          <w:bCs/>
        </w:rPr>
        <w:t xml:space="preserve">Half of </w:t>
      </w:r>
      <w:r w:rsidR="002217EB" w:rsidRPr="00C70D1D">
        <w:rPr>
          <w:rFonts w:cstheme="minorHAnsi"/>
          <w:bCs/>
        </w:rPr>
        <w:t xml:space="preserve">the </w:t>
      </w:r>
      <w:r w:rsidR="00F421F2" w:rsidRPr="00C70D1D">
        <w:rPr>
          <w:rFonts w:cstheme="minorHAnsi"/>
          <w:bCs/>
        </w:rPr>
        <w:t xml:space="preserve">patients were given a follow-up appointment date on discharge. </w:t>
      </w:r>
      <w:r w:rsidR="0051740A" w:rsidRPr="00C70D1D">
        <w:rPr>
          <w:rFonts w:cstheme="minorHAnsi"/>
          <w:bCs/>
        </w:rPr>
        <w:t>The time-to-</w:t>
      </w:r>
      <w:r w:rsidR="00F421F2" w:rsidRPr="00C70D1D">
        <w:rPr>
          <w:rFonts w:cstheme="minorHAnsi"/>
          <w:bCs/>
        </w:rPr>
        <w:t xml:space="preserve">first appointment </w:t>
      </w:r>
      <w:r w:rsidR="0051740A" w:rsidRPr="00C70D1D">
        <w:rPr>
          <w:rFonts w:cstheme="minorHAnsi"/>
          <w:bCs/>
        </w:rPr>
        <w:t xml:space="preserve">ranged from </w:t>
      </w:r>
      <w:r w:rsidR="00833A58" w:rsidRPr="00C70D1D">
        <w:rPr>
          <w:rFonts w:cstheme="minorHAnsi"/>
          <w:bCs/>
        </w:rPr>
        <w:t>14</w:t>
      </w:r>
      <w:r w:rsidR="0051740A" w:rsidRPr="00C70D1D">
        <w:rPr>
          <w:rFonts w:cstheme="minorHAnsi"/>
          <w:bCs/>
        </w:rPr>
        <w:t xml:space="preserve"> to 60 days</w:t>
      </w:r>
      <w:r w:rsidR="00F421F2" w:rsidRPr="00C70D1D">
        <w:rPr>
          <w:rFonts w:cstheme="minorHAnsi"/>
          <w:bCs/>
        </w:rPr>
        <w:t xml:space="preserve">. </w:t>
      </w:r>
      <w:r w:rsidR="00AF4C75" w:rsidRPr="00C70D1D">
        <w:rPr>
          <w:rFonts w:cstheme="minorHAnsi"/>
          <w:bCs/>
        </w:rPr>
        <w:t>At the time of discharge,</w:t>
      </w:r>
      <w:r w:rsidR="0051740A" w:rsidRPr="00C70D1D">
        <w:rPr>
          <w:rFonts w:cstheme="minorHAnsi"/>
          <w:bCs/>
        </w:rPr>
        <w:t xml:space="preserve"> </w:t>
      </w:r>
      <w:r w:rsidR="004C17B2" w:rsidRPr="00C70D1D">
        <w:rPr>
          <w:rFonts w:cstheme="minorHAnsi"/>
          <w:bCs/>
        </w:rPr>
        <w:t xml:space="preserve">35 </w:t>
      </w:r>
      <w:r w:rsidR="00922717" w:rsidRPr="00C70D1D">
        <w:rPr>
          <w:rFonts w:cstheme="minorHAnsi"/>
          <w:bCs/>
        </w:rPr>
        <w:t>patients</w:t>
      </w:r>
      <w:r w:rsidR="00555A4E" w:rsidRPr="00C70D1D">
        <w:rPr>
          <w:rFonts w:cstheme="minorHAnsi"/>
          <w:bCs/>
        </w:rPr>
        <w:t xml:space="preserve"> (70%)</w:t>
      </w:r>
      <w:r w:rsidR="00922717" w:rsidRPr="00C70D1D">
        <w:rPr>
          <w:rFonts w:cstheme="minorHAnsi"/>
          <w:bCs/>
        </w:rPr>
        <w:t xml:space="preserve"> </w:t>
      </w:r>
      <w:r w:rsidR="0051740A" w:rsidRPr="00C70D1D">
        <w:rPr>
          <w:rFonts w:cstheme="minorHAnsi"/>
          <w:bCs/>
        </w:rPr>
        <w:t>were aware of their diagnosis and</w:t>
      </w:r>
      <w:r w:rsidR="00AF4C75" w:rsidRPr="00C70D1D">
        <w:rPr>
          <w:rFonts w:cstheme="minorHAnsi"/>
          <w:bCs/>
        </w:rPr>
        <w:t xml:space="preserve"> </w:t>
      </w:r>
      <w:r w:rsidR="00DC7674" w:rsidRPr="00C70D1D">
        <w:rPr>
          <w:rFonts w:cstheme="minorHAnsi"/>
          <w:bCs/>
        </w:rPr>
        <w:t xml:space="preserve">only </w:t>
      </w:r>
      <w:r w:rsidR="004C17B2" w:rsidRPr="00C70D1D">
        <w:rPr>
          <w:rFonts w:cstheme="minorHAnsi"/>
          <w:bCs/>
        </w:rPr>
        <w:t xml:space="preserve">16 </w:t>
      </w:r>
      <w:r w:rsidR="000652A4" w:rsidRPr="00C70D1D">
        <w:rPr>
          <w:rFonts w:cstheme="minorHAnsi"/>
          <w:bCs/>
        </w:rPr>
        <w:t xml:space="preserve">patients </w:t>
      </w:r>
      <w:r w:rsidR="004C17B2" w:rsidRPr="00C70D1D">
        <w:rPr>
          <w:rFonts w:cstheme="minorHAnsi"/>
          <w:bCs/>
        </w:rPr>
        <w:t>(</w:t>
      </w:r>
      <w:r w:rsidR="00DC7674" w:rsidRPr="00C70D1D">
        <w:rPr>
          <w:rFonts w:cstheme="minorHAnsi"/>
          <w:bCs/>
        </w:rPr>
        <w:t>32%</w:t>
      </w:r>
      <w:r w:rsidR="004C17B2" w:rsidRPr="00C70D1D">
        <w:rPr>
          <w:rFonts w:cstheme="minorHAnsi"/>
          <w:bCs/>
        </w:rPr>
        <w:t>)</w:t>
      </w:r>
      <w:r w:rsidR="00831F9F" w:rsidRPr="00C70D1D">
        <w:rPr>
          <w:rFonts w:cstheme="minorHAnsi"/>
          <w:bCs/>
        </w:rPr>
        <w:t xml:space="preserve"> </w:t>
      </w:r>
      <w:r w:rsidR="00DC7674" w:rsidRPr="00C70D1D">
        <w:rPr>
          <w:rFonts w:cstheme="minorHAnsi"/>
          <w:bCs/>
        </w:rPr>
        <w:t xml:space="preserve">had received education </w:t>
      </w:r>
      <w:r w:rsidR="00DC7674" w:rsidRPr="00C70D1D">
        <w:rPr>
          <w:rFonts w:cstheme="minorHAnsi"/>
          <w:bCs/>
        </w:rPr>
        <w:lastRenderedPageBreak/>
        <w:t xml:space="preserve">on stroke. </w:t>
      </w:r>
      <w:r w:rsidR="006D5DE2" w:rsidRPr="00C70D1D">
        <w:rPr>
          <w:rFonts w:cstheme="minorHAnsi"/>
          <w:bCs/>
        </w:rPr>
        <w:t xml:space="preserve">On a scale ranging from 0 to 10, 64% of patients indicated </w:t>
      </w:r>
      <w:r w:rsidR="005734FE" w:rsidRPr="00C70D1D">
        <w:rPr>
          <w:rFonts w:cstheme="minorHAnsi"/>
          <w:bCs/>
        </w:rPr>
        <w:t xml:space="preserve">a </w:t>
      </w:r>
      <w:r w:rsidR="006D5DE2" w:rsidRPr="00C70D1D">
        <w:rPr>
          <w:rFonts w:cstheme="minorHAnsi"/>
          <w:bCs/>
        </w:rPr>
        <w:t xml:space="preserve">satisfaction score of 6 or </w:t>
      </w:r>
      <w:r w:rsidR="00BA6478" w:rsidRPr="00C70D1D">
        <w:rPr>
          <w:rFonts w:cstheme="minorHAnsi"/>
          <w:bCs/>
        </w:rPr>
        <w:t xml:space="preserve">higher </w:t>
      </w:r>
      <w:r w:rsidR="006D5DE2" w:rsidRPr="00C70D1D">
        <w:rPr>
          <w:rFonts w:cstheme="minorHAnsi"/>
          <w:bCs/>
        </w:rPr>
        <w:t xml:space="preserve">with respect to the </w:t>
      </w:r>
      <w:r w:rsidR="00F2216E" w:rsidRPr="00C70D1D">
        <w:rPr>
          <w:rFonts w:cstheme="minorHAnsi"/>
          <w:bCs/>
        </w:rPr>
        <w:t xml:space="preserve">overall </w:t>
      </w:r>
      <w:r w:rsidR="006D5DE2" w:rsidRPr="00C70D1D">
        <w:rPr>
          <w:rFonts w:cstheme="minorHAnsi"/>
          <w:bCs/>
        </w:rPr>
        <w:t>care received during their hospital stay.</w:t>
      </w:r>
      <w:r w:rsidR="00CA6180" w:rsidRPr="00C70D1D">
        <w:rPr>
          <w:rFonts w:cstheme="minorHAnsi"/>
          <w:bCs/>
        </w:rPr>
        <w:t xml:space="preserve"> </w:t>
      </w:r>
    </w:p>
    <w:p w14:paraId="42A58287" w14:textId="77777777" w:rsidR="00A42834" w:rsidRPr="00C70D1D" w:rsidRDefault="00A42834" w:rsidP="004E379E">
      <w:pPr>
        <w:jc w:val="both"/>
        <w:rPr>
          <w:rFonts w:cstheme="minorHAnsi"/>
          <w:b/>
          <w:bCs/>
        </w:rPr>
      </w:pPr>
    </w:p>
    <w:p w14:paraId="72CF7EEA" w14:textId="5A38B6BB" w:rsidR="008D16E5" w:rsidRPr="00C70D1D" w:rsidRDefault="00A42EF0" w:rsidP="004E379E">
      <w:pPr>
        <w:jc w:val="both"/>
        <w:rPr>
          <w:rFonts w:cstheme="minorHAnsi"/>
          <w:b/>
          <w:bCs/>
        </w:rPr>
      </w:pPr>
      <w:r w:rsidRPr="00C70D1D">
        <w:rPr>
          <w:rFonts w:cstheme="minorHAnsi"/>
          <w:b/>
          <w:bCs/>
        </w:rPr>
        <w:t>Discussion</w:t>
      </w:r>
    </w:p>
    <w:p w14:paraId="1D44CB60" w14:textId="5EC08808" w:rsidR="00DE525F" w:rsidRPr="00C70D1D" w:rsidRDefault="00646AB5" w:rsidP="004E379E">
      <w:pPr>
        <w:jc w:val="both"/>
        <w:rPr>
          <w:rFonts w:cstheme="minorHAnsi"/>
          <w:bCs/>
        </w:rPr>
      </w:pPr>
      <w:r w:rsidRPr="00C70D1D">
        <w:rPr>
          <w:rFonts w:cstheme="minorHAnsi"/>
          <w:bCs/>
        </w:rPr>
        <w:t>We conducted t</w:t>
      </w:r>
      <w:r w:rsidR="000E571E" w:rsidRPr="00C70D1D">
        <w:rPr>
          <w:rFonts w:cstheme="minorHAnsi"/>
          <w:bCs/>
        </w:rPr>
        <w:t xml:space="preserve">he audit to understand </w:t>
      </w:r>
      <w:r w:rsidRPr="00C70D1D">
        <w:rPr>
          <w:rFonts w:cstheme="minorHAnsi"/>
          <w:bCs/>
        </w:rPr>
        <w:t>the management of</w:t>
      </w:r>
      <w:r w:rsidR="000E571E" w:rsidRPr="00C70D1D">
        <w:rPr>
          <w:rFonts w:cstheme="minorHAnsi"/>
          <w:bCs/>
        </w:rPr>
        <w:t xml:space="preserve"> </w:t>
      </w:r>
      <w:r w:rsidR="007E4A31" w:rsidRPr="00C70D1D">
        <w:rPr>
          <w:rFonts w:cstheme="minorHAnsi"/>
          <w:bCs/>
        </w:rPr>
        <w:t>patients with stroke</w:t>
      </w:r>
      <w:r w:rsidR="000E571E" w:rsidRPr="00C70D1D">
        <w:rPr>
          <w:rFonts w:cstheme="minorHAnsi"/>
          <w:bCs/>
        </w:rPr>
        <w:t xml:space="preserve"> at QECH and to inform </w:t>
      </w:r>
      <w:r w:rsidRPr="00C70D1D">
        <w:rPr>
          <w:rFonts w:cstheme="minorHAnsi"/>
          <w:bCs/>
        </w:rPr>
        <w:t xml:space="preserve">the design and implementation of </w:t>
      </w:r>
      <w:r w:rsidR="000E571E" w:rsidRPr="00C70D1D">
        <w:rPr>
          <w:rFonts w:cstheme="minorHAnsi"/>
          <w:bCs/>
        </w:rPr>
        <w:t xml:space="preserve">future </w:t>
      </w:r>
      <w:r w:rsidR="003A0853" w:rsidRPr="00C70D1D">
        <w:rPr>
          <w:rFonts w:cstheme="minorHAnsi"/>
          <w:bCs/>
        </w:rPr>
        <w:t xml:space="preserve">initiatives to improve </w:t>
      </w:r>
      <w:r w:rsidRPr="00C70D1D">
        <w:rPr>
          <w:rFonts w:cstheme="minorHAnsi"/>
          <w:bCs/>
        </w:rPr>
        <w:t xml:space="preserve">the care of patients with </w:t>
      </w:r>
      <w:r w:rsidR="000E571E" w:rsidRPr="00C70D1D">
        <w:rPr>
          <w:rFonts w:cstheme="minorHAnsi"/>
          <w:bCs/>
        </w:rPr>
        <w:t>stroke</w:t>
      </w:r>
      <w:r w:rsidRPr="00C70D1D">
        <w:rPr>
          <w:rFonts w:cstheme="minorHAnsi"/>
          <w:bCs/>
        </w:rPr>
        <w:t xml:space="preserve"> in Malawi</w:t>
      </w:r>
      <w:r w:rsidR="00833A58" w:rsidRPr="00C70D1D">
        <w:rPr>
          <w:rFonts w:cstheme="minorHAnsi"/>
          <w:bCs/>
        </w:rPr>
        <w:t xml:space="preserve">. </w:t>
      </w:r>
      <w:r w:rsidR="00363270" w:rsidRPr="00C70D1D">
        <w:rPr>
          <w:rFonts w:cstheme="minorHAnsi"/>
          <w:bCs/>
        </w:rPr>
        <w:t xml:space="preserve">To our knowledge, this is the first audit done to </w:t>
      </w:r>
      <w:r w:rsidR="00F245BF" w:rsidRPr="00C70D1D">
        <w:rPr>
          <w:rFonts w:cstheme="minorHAnsi"/>
          <w:bCs/>
        </w:rPr>
        <w:t xml:space="preserve">document </w:t>
      </w:r>
      <w:r w:rsidR="00363270" w:rsidRPr="00C70D1D">
        <w:rPr>
          <w:rFonts w:cstheme="minorHAnsi"/>
          <w:bCs/>
        </w:rPr>
        <w:t>stroke management practices</w:t>
      </w:r>
      <w:r w:rsidR="00865A94" w:rsidRPr="00C70D1D">
        <w:rPr>
          <w:rFonts w:cstheme="minorHAnsi"/>
          <w:bCs/>
        </w:rPr>
        <w:t xml:space="preserve"> at QECH</w:t>
      </w:r>
      <w:r w:rsidR="00363270" w:rsidRPr="00C70D1D">
        <w:rPr>
          <w:rFonts w:cstheme="minorHAnsi"/>
          <w:bCs/>
        </w:rPr>
        <w:t xml:space="preserve">. </w:t>
      </w:r>
      <w:r w:rsidR="00833A58" w:rsidRPr="00C70D1D">
        <w:rPr>
          <w:rFonts w:cstheme="minorHAnsi"/>
          <w:bCs/>
        </w:rPr>
        <w:t>Our</w:t>
      </w:r>
      <w:r w:rsidR="003A0853" w:rsidRPr="00C70D1D">
        <w:rPr>
          <w:rFonts w:cstheme="minorHAnsi"/>
          <w:bCs/>
        </w:rPr>
        <w:t xml:space="preserve"> </w:t>
      </w:r>
      <w:r w:rsidRPr="00C70D1D">
        <w:rPr>
          <w:rFonts w:cstheme="minorHAnsi"/>
          <w:bCs/>
        </w:rPr>
        <w:t>findings show that there are</w:t>
      </w:r>
      <w:r w:rsidR="003B1501" w:rsidRPr="00C70D1D">
        <w:rPr>
          <w:rFonts w:cstheme="minorHAnsi"/>
          <w:bCs/>
        </w:rPr>
        <w:t xml:space="preserve"> huge gaps between international evidence-based stroke management guidelines and current practices</w:t>
      </w:r>
      <w:r w:rsidR="00E877C4" w:rsidRPr="00C70D1D">
        <w:rPr>
          <w:rFonts w:cstheme="minorHAnsi"/>
          <w:bCs/>
        </w:rPr>
        <w:t xml:space="preserve">. </w:t>
      </w:r>
      <w:r w:rsidR="00A06C41" w:rsidRPr="00C70D1D">
        <w:rPr>
          <w:rFonts w:cstheme="minorHAnsi"/>
          <w:bCs/>
        </w:rPr>
        <w:t>Specifically</w:t>
      </w:r>
      <w:r w:rsidR="00E877C4" w:rsidRPr="00C70D1D">
        <w:rPr>
          <w:rFonts w:cstheme="minorHAnsi"/>
          <w:bCs/>
        </w:rPr>
        <w:t xml:space="preserve">, there is no </w:t>
      </w:r>
      <w:r w:rsidR="00A06C41" w:rsidRPr="00C70D1D">
        <w:rPr>
          <w:rFonts w:cstheme="minorHAnsi"/>
          <w:bCs/>
        </w:rPr>
        <w:t>consistent</w:t>
      </w:r>
      <w:r w:rsidR="003B7B67" w:rsidRPr="00C70D1D">
        <w:rPr>
          <w:rFonts w:cstheme="minorHAnsi"/>
          <w:bCs/>
        </w:rPr>
        <w:t xml:space="preserve"> </w:t>
      </w:r>
      <w:r w:rsidR="00E877C4" w:rsidRPr="00C70D1D">
        <w:rPr>
          <w:rFonts w:cstheme="minorHAnsi"/>
          <w:bCs/>
        </w:rPr>
        <w:t xml:space="preserve">and structured </w:t>
      </w:r>
      <w:r w:rsidR="00A06C41" w:rsidRPr="00C70D1D">
        <w:rPr>
          <w:rFonts w:cstheme="minorHAnsi"/>
          <w:bCs/>
        </w:rPr>
        <w:t>implementation</w:t>
      </w:r>
      <w:r w:rsidR="00E877C4" w:rsidRPr="00C70D1D">
        <w:rPr>
          <w:rFonts w:cstheme="minorHAnsi"/>
          <w:bCs/>
        </w:rPr>
        <w:t xml:space="preserve"> of any guidelines in the management of </w:t>
      </w:r>
      <w:r w:rsidR="00D32911" w:rsidRPr="00C70D1D">
        <w:rPr>
          <w:rFonts w:cstheme="minorHAnsi"/>
          <w:bCs/>
        </w:rPr>
        <w:t>patients with stroke</w:t>
      </w:r>
      <w:r w:rsidR="00E877C4" w:rsidRPr="00C70D1D">
        <w:rPr>
          <w:rFonts w:cstheme="minorHAnsi"/>
          <w:bCs/>
        </w:rPr>
        <w:t xml:space="preserve">. </w:t>
      </w:r>
      <w:r w:rsidR="00A06C41" w:rsidRPr="00C70D1D">
        <w:rPr>
          <w:rFonts w:cstheme="minorHAnsi"/>
          <w:bCs/>
        </w:rPr>
        <w:t>While the</w:t>
      </w:r>
      <w:r w:rsidR="00E877C4" w:rsidRPr="00C70D1D">
        <w:rPr>
          <w:rFonts w:cstheme="minorHAnsi"/>
          <w:bCs/>
        </w:rPr>
        <w:t xml:space="preserve"> absence of </w:t>
      </w:r>
      <w:r w:rsidR="00A06C41" w:rsidRPr="00C70D1D">
        <w:rPr>
          <w:rFonts w:cstheme="minorHAnsi"/>
          <w:bCs/>
        </w:rPr>
        <w:t xml:space="preserve">radiological </w:t>
      </w:r>
      <w:r w:rsidR="00E877C4" w:rsidRPr="00C70D1D">
        <w:rPr>
          <w:rFonts w:cstheme="minorHAnsi"/>
          <w:bCs/>
        </w:rPr>
        <w:t>imaging (</w:t>
      </w:r>
      <w:r w:rsidR="00A06C41" w:rsidRPr="00C70D1D">
        <w:rPr>
          <w:rFonts w:cstheme="minorHAnsi"/>
          <w:bCs/>
        </w:rPr>
        <w:t xml:space="preserve">e.g. </w:t>
      </w:r>
      <w:r w:rsidR="00E877C4" w:rsidRPr="00C70D1D">
        <w:rPr>
          <w:rFonts w:cstheme="minorHAnsi"/>
          <w:bCs/>
        </w:rPr>
        <w:t xml:space="preserve">CT scan), </w:t>
      </w:r>
      <w:r w:rsidR="00A06C41" w:rsidRPr="00C70D1D">
        <w:rPr>
          <w:rFonts w:cstheme="minorHAnsi"/>
          <w:bCs/>
        </w:rPr>
        <w:t xml:space="preserve">key </w:t>
      </w:r>
      <w:r w:rsidR="00E877C4" w:rsidRPr="00C70D1D">
        <w:rPr>
          <w:rFonts w:cstheme="minorHAnsi"/>
          <w:bCs/>
        </w:rPr>
        <w:t>laboratory services</w:t>
      </w:r>
      <w:r w:rsidR="00865A94" w:rsidRPr="00C70D1D">
        <w:rPr>
          <w:rFonts w:cstheme="minorHAnsi"/>
          <w:bCs/>
        </w:rPr>
        <w:t>,</w:t>
      </w:r>
      <w:r w:rsidR="00E877C4" w:rsidRPr="00C70D1D">
        <w:rPr>
          <w:rFonts w:cstheme="minorHAnsi"/>
          <w:bCs/>
        </w:rPr>
        <w:t xml:space="preserve"> and drugs </w:t>
      </w:r>
      <w:r w:rsidR="00A06C41" w:rsidRPr="00C70D1D">
        <w:rPr>
          <w:rFonts w:cstheme="minorHAnsi"/>
          <w:bCs/>
        </w:rPr>
        <w:t>are the</w:t>
      </w:r>
      <w:r w:rsidR="00E877C4" w:rsidRPr="00C70D1D">
        <w:rPr>
          <w:rFonts w:cstheme="minorHAnsi"/>
          <w:bCs/>
        </w:rPr>
        <w:t xml:space="preserve"> main </w:t>
      </w:r>
      <w:r w:rsidR="000F31F2" w:rsidRPr="00C70D1D">
        <w:rPr>
          <w:rFonts w:cstheme="minorHAnsi"/>
          <w:bCs/>
        </w:rPr>
        <w:t>reasons for the poor</w:t>
      </w:r>
      <w:r w:rsidR="00E877C4" w:rsidRPr="00C70D1D">
        <w:rPr>
          <w:rFonts w:cstheme="minorHAnsi"/>
          <w:bCs/>
        </w:rPr>
        <w:t xml:space="preserve"> uptake of evidence-based p</w:t>
      </w:r>
      <w:r w:rsidR="00A42834" w:rsidRPr="00C70D1D">
        <w:rPr>
          <w:rFonts w:cstheme="minorHAnsi"/>
          <w:bCs/>
        </w:rPr>
        <w:t>ractice, th</w:t>
      </w:r>
      <w:r w:rsidR="000F31F2" w:rsidRPr="00C70D1D">
        <w:rPr>
          <w:rFonts w:cstheme="minorHAnsi"/>
          <w:bCs/>
        </w:rPr>
        <w:t>e</w:t>
      </w:r>
      <w:r w:rsidR="00A42834" w:rsidRPr="00C70D1D">
        <w:rPr>
          <w:rFonts w:cstheme="minorHAnsi"/>
          <w:bCs/>
        </w:rPr>
        <w:t xml:space="preserve"> </w:t>
      </w:r>
      <w:r w:rsidR="00A06C41" w:rsidRPr="00C70D1D">
        <w:rPr>
          <w:rFonts w:cstheme="minorHAnsi"/>
          <w:bCs/>
        </w:rPr>
        <w:t>audit</w:t>
      </w:r>
      <w:r w:rsidR="00A42834" w:rsidRPr="00C70D1D">
        <w:rPr>
          <w:rFonts w:cstheme="minorHAnsi"/>
          <w:bCs/>
        </w:rPr>
        <w:t xml:space="preserve"> found </w:t>
      </w:r>
      <w:r w:rsidR="00E877C4" w:rsidRPr="00C70D1D">
        <w:rPr>
          <w:rFonts w:cstheme="minorHAnsi"/>
          <w:bCs/>
        </w:rPr>
        <w:t>underutilisation of available services at QECH.</w:t>
      </w:r>
    </w:p>
    <w:p w14:paraId="339BE96B" w14:textId="1B2F7C9E" w:rsidR="006C6A9E" w:rsidRPr="00C70D1D" w:rsidRDefault="00DE525F" w:rsidP="004E379E">
      <w:pPr>
        <w:jc w:val="both"/>
        <w:rPr>
          <w:rFonts w:cstheme="minorHAnsi"/>
          <w:bCs/>
        </w:rPr>
      </w:pPr>
      <w:r w:rsidRPr="00C70D1D">
        <w:rPr>
          <w:rFonts w:cstheme="minorHAnsi"/>
          <w:bCs/>
        </w:rPr>
        <w:t xml:space="preserve">Despite the poor referral system </w:t>
      </w:r>
      <w:r w:rsidR="00865A94" w:rsidRPr="00C70D1D">
        <w:rPr>
          <w:rFonts w:cstheme="minorHAnsi"/>
          <w:bCs/>
        </w:rPr>
        <w:t xml:space="preserve">for </w:t>
      </w:r>
      <w:r w:rsidRPr="00C70D1D">
        <w:rPr>
          <w:rFonts w:cstheme="minorHAnsi"/>
          <w:bCs/>
        </w:rPr>
        <w:t>patients in Malawi</w:t>
      </w:r>
      <w:r w:rsidR="00503368" w:rsidRPr="00B17041">
        <w:rPr>
          <w:rFonts w:cstheme="minorHAnsi"/>
          <w:bCs/>
          <w:vertAlign w:val="superscript"/>
        </w:rPr>
        <w:t>1</w:t>
      </w:r>
      <w:r w:rsidR="00F137B8" w:rsidRPr="00C70D1D">
        <w:rPr>
          <w:rFonts w:cstheme="minorHAnsi"/>
          <w:bCs/>
          <w:vertAlign w:val="superscript"/>
        </w:rPr>
        <w:t>2</w:t>
      </w:r>
      <w:r w:rsidRPr="00C70D1D">
        <w:rPr>
          <w:rFonts w:cstheme="minorHAnsi"/>
          <w:bCs/>
        </w:rPr>
        <w:t xml:space="preserve">, </w:t>
      </w:r>
      <w:r w:rsidR="00AE1B1A" w:rsidRPr="00C70D1D">
        <w:rPr>
          <w:rFonts w:cstheme="minorHAnsi"/>
          <w:bCs/>
        </w:rPr>
        <w:t xml:space="preserve">nearly </w:t>
      </w:r>
      <w:r w:rsidRPr="00C70D1D">
        <w:rPr>
          <w:rFonts w:cstheme="minorHAnsi"/>
          <w:bCs/>
        </w:rPr>
        <w:t xml:space="preserve">half of the </w:t>
      </w:r>
      <w:r w:rsidR="00BD1E12" w:rsidRPr="00C70D1D">
        <w:rPr>
          <w:rFonts w:cstheme="minorHAnsi"/>
          <w:bCs/>
        </w:rPr>
        <w:t>participants</w:t>
      </w:r>
      <w:r w:rsidRPr="00C70D1D">
        <w:rPr>
          <w:rFonts w:cstheme="minorHAnsi"/>
          <w:bCs/>
        </w:rPr>
        <w:t xml:space="preserve"> arrived at the hospital within the first 24 hours</w:t>
      </w:r>
      <w:r w:rsidR="003B1501" w:rsidRPr="00C70D1D">
        <w:rPr>
          <w:rFonts w:cstheme="minorHAnsi"/>
          <w:bCs/>
        </w:rPr>
        <w:t xml:space="preserve"> </w:t>
      </w:r>
      <w:r w:rsidR="00163722">
        <w:rPr>
          <w:rFonts w:cstheme="minorHAnsi"/>
          <w:bCs/>
        </w:rPr>
        <w:t>after</w:t>
      </w:r>
      <w:r w:rsidR="00163722" w:rsidRPr="00C70D1D">
        <w:rPr>
          <w:rFonts w:cstheme="minorHAnsi"/>
          <w:bCs/>
        </w:rPr>
        <w:t xml:space="preserve"> </w:t>
      </w:r>
      <w:r w:rsidR="00865A94" w:rsidRPr="00C70D1D">
        <w:rPr>
          <w:rFonts w:cstheme="minorHAnsi"/>
          <w:bCs/>
        </w:rPr>
        <w:t xml:space="preserve">the onset of </w:t>
      </w:r>
      <w:r w:rsidR="003B1501" w:rsidRPr="00C70D1D">
        <w:rPr>
          <w:rFonts w:cstheme="minorHAnsi"/>
          <w:bCs/>
        </w:rPr>
        <w:t>symptoms</w:t>
      </w:r>
      <w:r w:rsidRPr="00C70D1D">
        <w:rPr>
          <w:rFonts w:cstheme="minorHAnsi"/>
          <w:bCs/>
        </w:rPr>
        <w:t>.</w:t>
      </w:r>
      <w:r w:rsidR="00DC5762" w:rsidRPr="00C70D1D">
        <w:rPr>
          <w:rFonts w:cstheme="minorHAnsi"/>
          <w:bCs/>
        </w:rPr>
        <w:t xml:space="preserve"> This highlights an opportunity to intervene early and thus reduce hospital death and disability.</w:t>
      </w:r>
      <w:r w:rsidRPr="00C70D1D">
        <w:rPr>
          <w:rFonts w:cstheme="minorHAnsi"/>
          <w:bCs/>
        </w:rPr>
        <w:t xml:space="preserve"> </w:t>
      </w:r>
      <w:r w:rsidR="008B477E" w:rsidRPr="00C70D1D">
        <w:rPr>
          <w:rFonts w:cstheme="minorHAnsi"/>
          <w:bCs/>
        </w:rPr>
        <w:t>The absence of revasculari</w:t>
      </w:r>
      <w:r w:rsidR="00D056BB" w:rsidRPr="00C70D1D">
        <w:rPr>
          <w:rFonts w:cstheme="minorHAnsi"/>
          <w:bCs/>
        </w:rPr>
        <w:t>s</w:t>
      </w:r>
      <w:r w:rsidR="008B477E" w:rsidRPr="00C70D1D">
        <w:rPr>
          <w:rFonts w:cstheme="minorHAnsi"/>
          <w:bCs/>
        </w:rPr>
        <w:t xml:space="preserve">ation therapies </w:t>
      </w:r>
      <w:r w:rsidR="00DC5762" w:rsidRPr="00C70D1D">
        <w:rPr>
          <w:rFonts w:cstheme="minorHAnsi"/>
          <w:bCs/>
        </w:rPr>
        <w:t>does not negate the opportunity to make a difference with a more systematic approach.</w:t>
      </w:r>
      <w:r w:rsidR="008B477E" w:rsidRPr="00C70D1D">
        <w:rPr>
          <w:rFonts w:cstheme="minorHAnsi"/>
          <w:bCs/>
        </w:rPr>
        <w:t xml:space="preserve"> </w:t>
      </w:r>
      <w:r w:rsidR="00DC5762" w:rsidRPr="00C70D1D">
        <w:rPr>
          <w:rFonts w:cstheme="minorHAnsi"/>
          <w:bCs/>
        </w:rPr>
        <w:t>An addressable area is the delay in making a stroke diagnosis and initiating in-hospital management.</w:t>
      </w:r>
      <w:r w:rsidR="004F29F3" w:rsidRPr="00C70D1D">
        <w:rPr>
          <w:rFonts w:cstheme="minorHAnsi"/>
          <w:bCs/>
        </w:rPr>
        <w:t xml:space="preserve"> </w:t>
      </w:r>
      <w:r w:rsidR="008B477E" w:rsidRPr="00C70D1D">
        <w:rPr>
          <w:rFonts w:cstheme="minorHAnsi"/>
          <w:bCs/>
        </w:rPr>
        <w:t xml:space="preserve">In the absence of </w:t>
      </w:r>
      <w:r w:rsidR="003B1501" w:rsidRPr="00C70D1D">
        <w:rPr>
          <w:rFonts w:cstheme="minorHAnsi"/>
          <w:bCs/>
        </w:rPr>
        <w:t>a CT scan</w:t>
      </w:r>
      <w:r w:rsidR="006C6A9E" w:rsidRPr="00C70D1D">
        <w:rPr>
          <w:rFonts w:cstheme="minorHAnsi"/>
          <w:bCs/>
        </w:rPr>
        <w:t xml:space="preserve">, </w:t>
      </w:r>
      <w:r w:rsidR="001C30AE" w:rsidRPr="00C70D1D">
        <w:rPr>
          <w:rFonts w:cstheme="minorHAnsi"/>
          <w:bCs/>
        </w:rPr>
        <w:t xml:space="preserve">a </w:t>
      </w:r>
      <w:r w:rsidR="006C6A9E" w:rsidRPr="00C70D1D">
        <w:rPr>
          <w:rFonts w:cstheme="minorHAnsi"/>
          <w:bCs/>
        </w:rPr>
        <w:t>stroke diagnosis is made</w:t>
      </w:r>
      <w:r w:rsidR="003B1501" w:rsidRPr="00C70D1D">
        <w:rPr>
          <w:rFonts w:cstheme="minorHAnsi"/>
          <w:bCs/>
        </w:rPr>
        <w:t xml:space="preserve"> clinically</w:t>
      </w:r>
      <w:r w:rsidR="008B477E" w:rsidRPr="00C70D1D">
        <w:rPr>
          <w:rFonts w:cstheme="minorHAnsi"/>
          <w:bCs/>
        </w:rPr>
        <w:t>, most often using the World Health Organization definition</w:t>
      </w:r>
      <w:r w:rsidR="00503368" w:rsidRPr="00B17041">
        <w:rPr>
          <w:rFonts w:cstheme="minorHAnsi"/>
          <w:bCs/>
          <w:vertAlign w:val="superscript"/>
        </w:rPr>
        <w:t>1</w:t>
      </w:r>
      <w:r w:rsidR="00F137B8" w:rsidRPr="00C70D1D">
        <w:rPr>
          <w:rFonts w:cstheme="minorHAnsi"/>
          <w:bCs/>
          <w:vertAlign w:val="superscript"/>
        </w:rPr>
        <w:t>3</w:t>
      </w:r>
      <w:r w:rsidR="003A6414" w:rsidRPr="00B17041">
        <w:rPr>
          <w:rFonts w:cstheme="minorHAnsi"/>
          <w:bCs/>
          <w:vertAlign w:val="superscript"/>
        </w:rPr>
        <w:t>,</w:t>
      </w:r>
      <w:r w:rsidR="00503368" w:rsidRPr="00B17041">
        <w:rPr>
          <w:rFonts w:cstheme="minorHAnsi"/>
          <w:bCs/>
          <w:vertAlign w:val="superscript"/>
        </w:rPr>
        <w:t>1</w:t>
      </w:r>
      <w:r w:rsidR="00F137B8" w:rsidRPr="00C70D1D">
        <w:rPr>
          <w:rFonts w:cstheme="minorHAnsi"/>
          <w:bCs/>
          <w:vertAlign w:val="superscript"/>
        </w:rPr>
        <w:t>4</w:t>
      </w:r>
      <w:r w:rsidR="003B1501" w:rsidRPr="00C70D1D">
        <w:rPr>
          <w:rFonts w:cstheme="minorHAnsi"/>
          <w:bCs/>
        </w:rPr>
        <w:t xml:space="preserve">. </w:t>
      </w:r>
      <w:r w:rsidR="001C30AE" w:rsidRPr="00C70D1D">
        <w:rPr>
          <w:rFonts w:cstheme="minorHAnsi"/>
          <w:bCs/>
        </w:rPr>
        <w:t>A</w:t>
      </w:r>
      <w:r w:rsidR="002227B6" w:rsidRPr="00C70D1D">
        <w:rPr>
          <w:rFonts w:cstheme="minorHAnsi"/>
          <w:bCs/>
        </w:rPr>
        <w:t xml:space="preserve">n </w:t>
      </w:r>
      <w:r w:rsidR="003B1501" w:rsidRPr="00C70D1D">
        <w:rPr>
          <w:rFonts w:cstheme="minorHAnsi"/>
          <w:bCs/>
        </w:rPr>
        <w:t xml:space="preserve">experienced </w:t>
      </w:r>
      <w:r w:rsidR="006712D8" w:rsidRPr="00C70D1D">
        <w:rPr>
          <w:rFonts w:cstheme="minorHAnsi"/>
          <w:bCs/>
        </w:rPr>
        <w:t xml:space="preserve">stroke </w:t>
      </w:r>
      <w:r w:rsidR="003B1501" w:rsidRPr="00C70D1D">
        <w:rPr>
          <w:rFonts w:cstheme="minorHAnsi"/>
          <w:bCs/>
        </w:rPr>
        <w:t xml:space="preserve">physician will </w:t>
      </w:r>
      <w:r w:rsidR="002227B6" w:rsidRPr="00C70D1D">
        <w:rPr>
          <w:rFonts w:cstheme="minorHAnsi"/>
          <w:bCs/>
        </w:rPr>
        <w:t>make the correct diagnosis</w:t>
      </w:r>
      <w:r w:rsidR="003B1501" w:rsidRPr="00C70D1D">
        <w:rPr>
          <w:rFonts w:cstheme="minorHAnsi"/>
          <w:bCs/>
        </w:rPr>
        <w:t xml:space="preserve"> in 85% of cases</w:t>
      </w:r>
      <w:r w:rsidR="00503368" w:rsidRPr="00B17041">
        <w:rPr>
          <w:rFonts w:cstheme="minorHAnsi"/>
          <w:bCs/>
          <w:vertAlign w:val="superscript"/>
        </w:rPr>
        <w:t>1</w:t>
      </w:r>
      <w:r w:rsidR="00F137B8" w:rsidRPr="00C70D1D">
        <w:rPr>
          <w:rFonts w:cstheme="minorHAnsi"/>
          <w:bCs/>
          <w:vertAlign w:val="superscript"/>
        </w:rPr>
        <w:t>5</w:t>
      </w:r>
      <w:r w:rsidR="00BA6478" w:rsidRPr="00C70D1D">
        <w:rPr>
          <w:rFonts w:cstheme="minorHAnsi"/>
          <w:bCs/>
        </w:rPr>
        <w:t>,</w:t>
      </w:r>
      <w:r w:rsidR="003B1501" w:rsidRPr="00C70D1D">
        <w:rPr>
          <w:rFonts w:cstheme="minorHAnsi"/>
          <w:bCs/>
        </w:rPr>
        <w:t xml:space="preserve"> </w:t>
      </w:r>
      <w:r w:rsidR="006C736A" w:rsidRPr="00C70D1D">
        <w:rPr>
          <w:rFonts w:cstheme="minorHAnsi"/>
          <w:bCs/>
        </w:rPr>
        <w:t>but the</w:t>
      </w:r>
      <w:r w:rsidR="003B1501" w:rsidRPr="00C70D1D">
        <w:rPr>
          <w:rFonts w:cstheme="minorHAnsi"/>
          <w:bCs/>
        </w:rPr>
        <w:t xml:space="preserve"> accuracy is likely to be low</w:t>
      </w:r>
      <w:r w:rsidR="002227B6" w:rsidRPr="00C70D1D">
        <w:rPr>
          <w:rFonts w:cstheme="minorHAnsi"/>
          <w:bCs/>
        </w:rPr>
        <w:t>er</w:t>
      </w:r>
      <w:r w:rsidR="003B1501" w:rsidRPr="00C70D1D">
        <w:rPr>
          <w:rFonts w:cstheme="minorHAnsi"/>
          <w:bCs/>
        </w:rPr>
        <w:t xml:space="preserve"> in </w:t>
      </w:r>
      <w:r w:rsidR="00833A58" w:rsidRPr="00C70D1D">
        <w:rPr>
          <w:rFonts w:cstheme="minorHAnsi"/>
          <w:bCs/>
        </w:rPr>
        <w:t>less experienced</w:t>
      </w:r>
      <w:r w:rsidR="006C6A9E" w:rsidRPr="00C70D1D">
        <w:rPr>
          <w:rFonts w:cstheme="minorHAnsi"/>
          <w:bCs/>
        </w:rPr>
        <w:t xml:space="preserve"> clinicians who </w:t>
      </w:r>
      <w:r w:rsidR="002227B6" w:rsidRPr="00C70D1D">
        <w:rPr>
          <w:rFonts w:cstheme="minorHAnsi"/>
          <w:bCs/>
        </w:rPr>
        <w:t xml:space="preserve">are at the forefront </w:t>
      </w:r>
      <w:r w:rsidR="006C736A" w:rsidRPr="00C70D1D">
        <w:rPr>
          <w:rFonts w:cstheme="minorHAnsi"/>
          <w:bCs/>
        </w:rPr>
        <w:t>of managing</w:t>
      </w:r>
      <w:r w:rsidR="002227B6" w:rsidRPr="00C70D1D">
        <w:rPr>
          <w:rFonts w:cstheme="minorHAnsi"/>
          <w:bCs/>
        </w:rPr>
        <w:t xml:space="preserve"> patient</w:t>
      </w:r>
      <w:r w:rsidR="006C736A" w:rsidRPr="00C70D1D">
        <w:rPr>
          <w:rFonts w:cstheme="minorHAnsi"/>
          <w:bCs/>
        </w:rPr>
        <w:t>s</w:t>
      </w:r>
      <w:r w:rsidR="003568B9" w:rsidRPr="00C70D1D">
        <w:rPr>
          <w:rFonts w:cstheme="minorHAnsi"/>
          <w:bCs/>
        </w:rPr>
        <w:t xml:space="preserve"> with stroke</w:t>
      </w:r>
      <w:r w:rsidR="006C736A" w:rsidRPr="00C70D1D">
        <w:rPr>
          <w:rFonts w:cstheme="minorHAnsi"/>
          <w:bCs/>
        </w:rPr>
        <w:t xml:space="preserve"> when</w:t>
      </w:r>
      <w:r w:rsidR="002227B6" w:rsidRPr="00C70D1D">
        <w:rPr>
          <w:rFonts w:cstheme="minorHAnsi"/>
          <w:bCs/>
        </w:rPr>
        <w:t xml:space="preserve"> </w:t>
      </w:r>
      <w:r w:rsidR="006C736A" w:rsidRPr="00C70D1D">
        <w:rPr>
          <w:rFonts w:cstheme="minorHAnsi"/>
          <w:bCs/>
        </w:rPr>
        <w:t>they present</w:t>
      </w:r>
      <w:r w:rsidR="002227B6" w:rsidRPr="00C70D1D">
        <w:rPr>
          <w:rFonts w:cstheme="minorHAnsi"/>
          <w:bCs/>
        </w:rPr>
        <w:t xml:space="preserve"> at </w:t>
      </w:r>
      <w:r w:rsidR="006C6A9E" w:rsidRPr="00C70D1D">
        <w:rPr>
          <w:rFonts w:cstheme="minorHAnsi"/>
          <w:bCs/>
        </w:rPr>
        <w:t>QECH</w:t>
      </w:r>
      <w:r w:rsidR="00833A58" w:rsidRPr="00C70D1D">
        <w:rPr>
          <w:rFonts w:cstheme="minorHAnsi"/>
          <w:bCs/>
        </w:rPr>
        <w:t>.</w:t>
      </w:r>
      <w:r w:rsidR="00DC7CF1" w:rsidRPr="00C70D1D">
        <w:rPr>
          <w:rFonts w:cstheme="minorHAnsi"/>
          <w:bCs/>
        </w:rPr>
        <w:t xml:space="preserve"> </w:t>
      </w:r>
      <w:r w:rsidR="001C30AE" w:rsidRPr="00C70D1D">
        <w:rPr>
          <w:rFonts w:cstheme="minorHAnsi"/>
          <w:bCs/>
        </w:rPr>
        <w:t>However, with a focus on training, led by stroke experts</w:t>
      </w:r>
      <w:r w:rsidR="003A6414" w:rsidRPr="00C70D1D">
        <w:rPr>
          <w:rFonts w:cstheme="minorHAnsi"/>
          <w:bCs/>
        </w:rPr>
        <w:t xml:space="preserve"> within a stroke platform</w:t>
      </w:r>
      <w:r w:rsidR="001C30AE" w:rsidRPr="00C70D1D">
        <w:rPr>
          <w:rFonts w:cstheme="minorHAnsi"/>
          <w:bCs/>
        </w:rPr>
        <w:t xml:space="preserve">, there is an opportunity to improve the clinical acumen </w:t>
      </w:r>
      <w:r w:rsidR="004946A9" w:rsidRPr="00C70D1D">
        <w:rPr>
          <w:rFonts w:cstheme="minorHAnsi"/>
          <w:bCs/>
        </w:rPr>
        <w:t xml:space="preserve">of less experienced clinicians </w:t>
      </w:r>
      <w:r w:rsidR="001C30AE" w:rsidRPr="00C70D1D">
        <w:rPr>
          <w:rFonts w:cstheme="minorHAnsi"/>
          <w:bCs/>
        </w:rPr>
        <w:t xml:space="preserve">in recognising stroke. Although we did not look specifically at </w:t>
      </w:r>
      <w:r w:rsidR="007475D8" w:rsidRPr="00C70D1D">
        <w:rPr>
          <w:rFonts w:cstheme="minorHAnsi"/>
          <w:bCs/>
        </w:rPr>
        <w:t xml:space="preserve">former </w:t>
      </w:r>
      <w:r w:rsidR="001C30AE" w:rsidRPr="00C70D1D">
        <w:rPr>
          <w:rFonts w:cstheme="minorHAnsi"/>
          <w:bCs/>
        </w:rPr>
        <w:t>hospital encounters, a previous stroke study at QECH suggest</w:t>
      </w:r>
      <w:r w:rsidR="007475D8" w:rsidRPr="00C70D1D">
        <w:rPr>
          <w:rFonts w:cstheme="minorHAnsi"/>
          <w:bCs/>
        </w:rPr>
        <w:t>s</w:t>
      </w:r>
      <w:r w:rsidR="001C30AE" w:rsidRPr="00C70D1D">
        <w:rPr>
          <w:rFonts w:cstheme="minorHAnsi"/>
          <w:bCs/>
        </w:rPr>
        <w:t xml:space="preserve"> that at least 10% of patients have stroke symptoms </w:t>
      </w:r>
      <w:r w:rsidR="001754D0" w:rsidRPr="00C70D1D">
        <w:rPr>
          <w:rFonts w:cstheme="minorHAnsi"/>
          <w:bCs/>
        </w:rPr>
        <w:t>before</w:t>
      </w:r>
      <w:r w:rsidR="001C30AE" w:rsidRPr="00C70D1D">
        <w:rPr>
          <w:rFonts w:cstheme="minorHAnsi"/>
          <w:bCs/>
        </w:rPr>
        <w:t xml:space="preserve"> their main stroke</w:t>
      </w:r>
      <w:r w:rsidR="00503368" w:rsidRPr="00B17041">
        <w:rPr>
          <w:rFonts w:cstheme="minorHAnsi"/>
          <w:bCs/>
          <w:vertAlign w:val="superscript"/>
        </w:rPr>
        <w:t>1</w:t>
      </w:r>
      <w:r w:rsidR="00F137B8" w:rsidRPr="00C70D1D">
        <w:rPr>
          <w:rFonts w:cstheme="minorHAnsi"/>
          <w:bCs/>
          <w:vertAlign w:val="superscript"/>
        </w:rPr>
        <w:t>6</w:t>
      </w:r>
      <w:r w:rsidR="001C30AE" w:rsidRPr="00C70D1D">
        <w:rPr>
          <w:rFonts w:cstheme="minorHAnsi"/>
          <w:bCs/>
        </w:rPr>
        <w:t xml:space="preserve">. Therefore, </w:t>
      </w:r>
      <w:r w:rsidR="00ED2092" w:rsidRPr="00C70D1D">
        <w:rPr>
          <w:rFonts w:cstheme="minorHAnsi"/>
          <w:bCs/>
        </w:rPr>
        <w:t>training the accident and emergency staff to recogni</w:t>
      </w:r>
      <w:r w:rsidR="00851B39" w:rsidRPr="00C70D1D">
        <w:rPr>
          <w:rFonts w:cstheme="minorHAnsi"/>
          <w:bCs/>
        </w:rPr>
        <w:t>s</w:t>
      </w:r>
      <w:r w:rsidR="00ED2092" w:rsidRPr="00C70D1D">
        <w:rPr>
          <w:rFonts w:cstheme="minorHAnsi"/>
          <w:bCs/>
        </w:rPr>
        <w:t xml:space="preserve">e </w:t>
      </w:r>
      <w:r w:rsidR="00503368" w:rsidRPr="00C70D1D">
        <w:rPr>
          <w:rFonts w:cstheme="minorHAnsi"/>
          <w:bCs/>
        </w:rPr>
        <w:t xml:space="preserve">minor stroke symptoms </w:t>
      </w:r>
      <w:r w:rsidR="00ED2092" w:rsidRPr="00C70D1D">
        <w:rPr>
          <w:rFonts w:cstheme="minorHAnsi"/>
          <w:bCs/>
        </w:rPr>
        <w:t xml:space="preserve">may improve risk-stratification and help reduce the number of patients that </w:t>
      </w:r>
      <w:r w:rsidR="00503368" w:rsidRPr="00C70D1D">
        <w:rPr>
          <w:rFonts w:cstheme="minorHAnsi"/>
          <w:bCs/>
        </w:rPr>
        <w:t>may</w:t>
      </w:r>
      <w:r w:rsidR="001C30AE" w:rsidRPr="00C70D1D">
        <w:rPr>
          <w:rFonts w:cstheme="minorHAnsi"/>
          <w:bCs/>
        </w:rPr>
        <w:t xml:space="preserve"> </w:t>
      </w:r>
      <w:r w:rsidR="001754D0" w:rsidRPr="00C70D1D">
        <w:rPr>
          <w:rFonts w:cstheme="minorHAnsi"/>
          <w:bCs/>
        </w:rPr>
        <w:t>return and present</w:t>
      </w:r>
      <w:r w:rsidR="001C30AE" w:rsidRPr="00C70D1D">
        <w:rPr>
          <w:rFonts w:cstheme="minorHAnsi"/>
          <w:bCs/>
        </w:rPr>
        <w:t xml:space="preserve"> with a more severe stroke.</w:t>
      </w:r>
    </w:p>
    <w:p w14:paraId="7F568981" w14:textId="364DE960" w:rsidR="003C2B49" w:rsidRPr="00C70D1D" w:rsidRDefault="001E4A14" w:rsidP="004E379E">
      <w:pPr>
        <w:jc w:val="both"/>
        <w:rPr>
          <w:rFonts w:cstheme="minorHAnsi"/>
          <w:bCs/>
        </w:rPr>
      </w:pPr>
      <w:r w:rsidRPr="00C70D1D">
        <w:rPr>
          <w:rFonts w:cstheme="minorHAnsi"/>
          <w:bCs/>
        </w:rPr>
        <w:t>E</w:t>
      </w:r>
      <w:r w:rsidR="00833A58" w:rsidRPr="00C70D1D">
        <w:rPr>
          <w:rFonts w:cstheme="minorHAnsi"/>
          <w:bCs/>
        </w:rPr>
        <w:t>arly clinical deterioration was found in more than half of the patients enrolled. In most cases, the deterioration was attributed to medical complications</w:t>
      </w:r>
      <w:r w:rsidR="005D0FC6" w:rsidRPr="00C70D1D">
        <w:rPr>
          <w:rFonts w:cstheme="minorHAnsi"/>
          <w:bCs/>
        </w:rPr>
        <w:t>,</w:t>
      </w:r>
      <w:r w:rsidR="00833A58" w:rsidRPr="00C70D1D">
        <w:rPr>
          <w:rFonts w:cstheme="minorHAnsi"/>
          <w:bCs/>
        </w:rPr>
        <w:t xml:space="preserve"> with aspiration pneumonia being the most prevalent. This is </w:t>
      </w:r>
      <w:r w:rsidR="00617C17" w:rsidRPr="00C70D1D">
        <w:rPr>
          <w:rFonts w:cstheme="minorHAnsi"/>
          <w:bCs/>
        </w:rPr>
        <w:t xml:space="preserve">likely </w:t>
      </w:r>
      <w:r w:rsidR="00FF5217" w:rsidRPr="00C70D1D">
        <w:rPr>
          <w:rFonts w:cstheme="minorHAnsi"/>
          <w:bCs/>
        </w:rPr>
        <w:t xml:space="preserve">because patients do not </w:t>
      </w:r>
      <w:r w:rsidR="00F2216E" w:rsidRPr="00C70D1D">
        <w:rPr>
          <w:rFonts w:cstheme="minorHAnsi"/>
          <w:bCs/>
        </w:rPr>
        <w:t xml:space="preserve">undergo </w:t>
      </w:r>
      <w:r w:rsidR="00AE7F00" w:rsidRPr="00C70D1D">
        <w:rPr>
          <w:rFonts w:cstheme="minorHAnsi"/>
          <w:bCs/>
        </w:rPr>
        <w:t>dysphagia screening</w:t>
      </w:r>
      <w:r w:rsidR="00833A58" w:rsidRPr="00C70D1D">
        <w:rPr>
          <w:rFonts w:cstheme="minorHAnsi"/>
          <w:bCs/>
        </w:rPr>
        <w:t xml:space="preserve"> and very few patients with reduced level of consciousness</w:t>
      </w:r>
      <w:r w:rsidR="00ED43AC" w:rsidRPr="00C70D1D">
        <w:rPr>
          <w:rFonts w:cstheme="minorHAnsi"/>
          <w:bCs/>
        </w:rPr>
        <w:t xml:space="preserve"> </w:t>
      </w:r>
      <w:r w:rsidR="00FF5217" w:rsidRPr="00C70D1D">
        <w:rPr>
          <w:rFonts w:cstheme="minorHAnsi"/>
          <w:bCs/>
        </w:rPr>
        <w:t>are fed or receive drugs through</w:t>
      </w:r>
      <w:r w:rsidR="00833A58" w:rsidRPr="00C70D1D">
        <w:rPr>
          <w:rFonts w:cstheme="minorHAnsi"/>
          <w:bCs/>
        </w:rPr>
        <w:t xml:space="preserve"> nasogastric tube</w:t>
      </w:r>
      <w:r w:rsidR="005D0FC6" w:rsidRPr="00C70D1D">
        <w:rPr>
          <w:rFonts w:cstheme="minorHAnsi"/>
          <w:bCs/>
        </w:rPr>
        <w:t>s</w:t>
      </w:r>
      <w:r w:rsidR="00833A58" w:rsidRPr="00C70D1D">
        <w:rPr>
          <w:rFonts w:cstheme="minorHAnsi"/>
          <w:bCs/>
        </w:rPr>
        <w:t>.</w:t>
      </w:r>
      <w:r w:rsidR="004F29F3" w:rsidRPr="00C70D1D">
        <w:rPr>
          <w:rFonts w:cstheme="minorHAnsi"/>
          <w:bCs/>
        </w:rPr>
        <w:t xml:space="preserve"> </w:t>
      </w:r>
      <w:r w:rsidR="00B06D63" w:rsidRPr="00C70D1D">
        <w:rPr>
          <w:rFonts w:eastAsia="Times New Roman" w:cstheme="minorHAnsi"/>
        </w:rPr>
        <w:t xml:space="preserve">Formal and early evaluation of swallow function and appropriate dietary modifications in </w:t>
      </w:r>
      <w:r w:rsidR="009E1AC2" w:rsidRPr="00C70D1D">
        <w:rPr>
          <w:rFonts w:eastAsia="Times New Roman" w:cstheme="minorHAnsi"/>
        </w:rPr>
        <w:t>patients with stroke</w:t>
      </w:r>
      <w:r w:rsidR="00B06D63" w:rsidRPr="00C70D1D">
        <w:rPr>
          <w:rFonts w:eastAsia="Times New Roman" w:cstheme="minorHAnsi"/>
        </w:rPr>
        <w:t xml:space="preserve"> are crucial </w:t>
      </w:r>
      <w:r w:rsidR="00617C17" w:rsidRPr="00C70D1D">
        <w:rPr>
          <w:rFonts w:eastAsia="Times New Roman" w:cstheme="minorHAnsi"/>
        </w:rPr>
        <w:t>to</w:t>
      </w:r>
      <w:r w:rsidR="00B06D63" w:rsidRPr="00C70D1D">
        <w:rPr>
          <w:rFonts w:eastAsia="Times New Roman" w:cstheme="minorHAnsi"/>
        </w:rPr>
        <w:t xml:space="preserve"> prevent </w:t>
      </w:r>
      <w:r w:rsidR="00617C17" w:rsidRPr="00C70D1D">
        <w:rPr>
          <w:rFonts w:eastAsia="Times New Roman" w:cstheme="minorHAnsi"/>
        </w:rPr>
        <w:t>respiratory</w:t>
      </w:r>
      <w:r w:rsidR="00B06D63" w:rsidRPr="00C70D1D">
        <w:rPr>
          <w:rFonts w:eastAsia="Times New Roman" w:cstheme="minorHAnsi"/>
        </w:rPr>
        <w:t xml:space="preserve"> infections</w:t>
      </w:r>
      <w:r w:rsidR="00503368" w:rsidRPr="00B17041">
        <w:rPr>
          <w:rFonts w:eastAsia="Times New Roman" w:cstheme="minorHAnsi"/>
          <w:vertAlign w:val="superscript"/>
        </w:rPr>
        <w:t>1</w:t>
      </w:r>
      <w:r w:rsidR="00F137B8" w:rsidRPr="00C70D1D">
        <w:rPr>
          <w:rFonts w:eastAsia="Times New Roman" w:cstheme="minorHAnsi"/>
          <w:vertAlign w:val="superscript"/>
        </w:rPr>
        <w:t>7</w:t>
      </w:r>
      <w:r w:rsidR="00AE7F00" w:rsidRPr="00B17041">
        <w:rPr>
          <w:rFonts w:eastAsia="Times New Roman" w:cstheme="minorHAnsi"/>
          <w:vertAlign w:val="superscript"/>
        </w:rPr>
        <w:t>,</w:t>
      </w:r>
      <w:r w:rsidR="00503368" w:rsidRPr="00B17041">
        <w:rPr>
          <w:rFonts w:eastAsia="Times New Roman" w:cstheme="minorHAnsi"/>
          <w:vertAlign w:val="superscript"/>
        </w:rPr>
        <w:t>1</w:t>
      </w:r>
      <w:r w:rsidR="00F137B8" w:rsidRPr="00C70D1D">
        <w:rPr>
          <w:rFonts w:eastAsia="Times New Roman" w:cstheme="minorHAnsi"/>
          <w:vertAlign w:val="superscript"/>
        </w:rPr>
        <w:t>8</w:t>
      </w:r>
      <w:r w:rsidR="00B06D63" w:rsidRPr="00C70D1D">
        <w:rPr>
          <w:rFonts w:eastAsia="Times New Roman" w:cstheme="minorHAnsi"/>
        </w:rPr>
        <w:t>.</w:t>
      </w:r>
      <w:r w:rsidR="00DB0A26" w:rsidRPr="00C70D1D">
        <w:rPr>
          <w:rFonts w:eastAsia="Times New Roman" w:cstheme="minorHAnsi"/>
        </w:rPr>
        <w:t xml:space="preserve"> Early mobili</w:t>
      </w:r>
      <w:r w:rsidR="00851B39" w:rsidRPr="00C70D1D">
        <w:rPr>
          <w:rFonts w:eastAsia="Times New Roman" w:cstheme="minorHAnsi"/>
        </w:rPr>
        <w:t>s</w:t>
      </w:r>
      <w:r w:rsidR="00DB0A26" w:rsidRPr="00C70D1D">
        <w:rPr>
          <w:rFonts w:eastAsia="Times New Roman" w:cstheme="minorHAnsi"/>
        </w:rPr>
        <w:t xml:space="preserve">ation and respiratory physiotherapy </w:t>
      </w:r>
      <w:r w:rsidR="00ED43AC" w:rsidRPr="00C70D1D">
        <w:rPr>
          <w:rFonts w:eastAsia="Times New Roman" w:cstheme="minorHAnsi"/>
        </w:rPr>
        <w:t>will</w:t>
      </w:r>
      <w:r w:rsidR="00DB0A26" w:rsidRPr="00C70D1D">
        <w:rPr>
          <w:rFonts w:eastAsia="Times New Roman" w:cstheme="minorHAnsi"/>
        </w:rPr>
        <w:t xml:space="preserve"> also contribute to improve respiratory function and prevent pneumonia in </w:t>
      </w:r>
      <w:r w:rsidR="005D0FC6" w:rsidRPr="00C70D1D">
        <w:rPr>
          <w:rFonts w:eastAsia="Times New Roman" w:cstheme="minorHAnsi"/>
        </w:rPr>
        <w:t xml:space="preserve">an </w:t>
      </w:r>
      <w:r w:rsidR="00DB0A26" w:rsidRPr="00C70D1D">
        <w:rPr>
          <w:rFonts w:eastAsia="Times New Roman" w:cstheme="minorHAnsi"/>
        </w:rPr>
        <w:t>acute stroke setting</w:t>
      </w:r>
      <w:r w:rsidR="00503368" w:rsidRPr="00B17041">
        <w:rPr>
          <w:rFonts w:eastAsia="Times New Roman" w:cstheme="minorHAnsi"/>
          <w:vertAlign w:val="superscript"/>
        </w:rPr>
        <w:t>1</w:t>
      </w:r>
      <w:r w:rsidR="00F137B8" w:rsidRPr="00C70D1D">
        <w:rPr>
          <w:rFonts w:eastAsia="Times New Roman" w:cstheme="minorHAnsi"/>
          <w:vertAlign w:val="superscript"/>
        </w:rPr>
        <w:t>9</w:t>
      </w:r>
      <w:r w:rsidR="00DB0A26" w:rsidRPr="00C70D1D">
        <w:rPr>
          <w:rFonts w:eastAsia="Times New Roman" w:cstheme="minorHAnsi"/>
        </w:rPr>
        <w:t>.</w:t>
      </w:r>
    </w:p>
    <w:p w14:paraId="35E61FB0" w14:textId="51E0CFE2" w:rsidR="001A40F0" w:rsidRPr="00C70D1D" w:rsidRDefault="00F84D41" w:rsidP="004E379E">
      <w:pPr>
        <w:jc w:val="both"/>
        <w:rPr>
          <w:rFonts w:cstheme="minorHAnsi"/>
          <w:bCs/>
        </w:rPr>
      </w:pPr>
      <w:r w:rsidRPr="00C70D1D">
        <w:rPr>
          <w:rFonts w:cstheme="minorHAnsi"/>
          <w:bCs/>
        </w:rPr>
        <w:t xml:space="preserve">In recent years, physiotherapy services have improved in Malawi. More than half of </w:t>
      </w:r>
      <w:r w:rsidR="00C5078E" w:rsidRPr="00C70D1D">
        <w:rPr>
          <w:rFonts w:cstheme="minorHAnsi"/>
          <w:bCs/>
        </w:rPr>
        <w:t xml:space="preserve">the </w:t>
      </w:r>
      <w:r w:rsidRPr="00C70D1D">
        <w:rPr>
          <w:rFonts w:cstheme="minorHAnsi"/>
          <w:bCs/>
        </w:rPr>
        <w:t xml:space="preserve">patients in this </w:t>
      </w:r>
      <w:r w:rsidR="00C5078E" w:rsidRPr="00C70D1D">
        <w:rPr>
          <w:rFonts w:cstheme="minorHAnsi"/>
          <w:bCs/>
        </w:rPr>
        <w:t>audit</w:t>
      </w:r>
      <w:r w:rsidRPr="00C70D1D">
        <w:rPr>
          <w:rFonts w:cstheme="minorHAnsi"/>
          <w:bCs/>
        </w:rPr>
        <w:t xml:space="preserve"> received physiotherapy during their hospital stay, </w:t>
      </w:r>
      <w:r w:rsidR="00C5078E" w:rsidRPr="00C70D1D">
        <w:rPr>
          <w:rFonts w:cstheme="minorHAnsi"/>
          <w:bCs/>
        </w:rPr>
        <w:t>although</w:t>
      </w:r>
      <w:r w:rsidRPr="00C70D1D">
        <w:rPr>
          <w:rFonts w:cstheme="minorHAnsi"/>
          <w:bCs/>
        </w:rPr>
        <w:t xml:space="preserve"> the rehabilitation </w:t>
      </w:r>
      <w:r w:rsidR="005731E0" w:rsidRPr="00C70D1D">
        <w:rPr>
          <w:rFonts w:cstheme="minorHAnsi"/>
          <w:bCs/>
        </w:rPr>
        <w:t xml:space="preserve">was initiated late with </w:t>
      </w:r>
      <w:r w:rsidR="005D0FC6" w:rsidRPr="00C70D1D">
        <w:rPr>
          <w:rFonts w:cstheme="minorHAnsi"/>
          <w:bCs/>
        </w:rPr>
        <w:t xml:space="preserve">a </w:t>
      </w:r>
      <w:r w:rsidR="005731E0" w:rsidRPr="00C70D1D">
        <w:rPr>
          <w:rFonts w:cstheme="minorHAnsi"/>
          <w:bCs/>
        </w:rPr>
        <w:t xml:space="preserve">few sessions </w:t>
      </w:r>
      <w:r w:rsidR="00C5078E" w:rsidRPr="00C70D1D">
        <w:rPr>
          <w:rFonts w:cstheme="minorHAnsi"/>
          <w:bCs/>
        </w:rPr>
        <w:t xml:space="preserve">conducted </w:t>
      </w:r>
      <w:r w:rsidR="005731E0" w:rsidRPr="00C70D1D">
        <w:rPr>
          <w:rFonts w:cstheme="minorHAnsi"/>
          <w:bCs/>
        </w:rPr>
        <w:t>during hospitali</w:t>
      </w:r>
      <w:r w:rsidR="00851B39" w:rsidRPr="00C70D1D">
        <w:rPr>
          <w:rFonts w:cstheme="minorHAnsi"/>
          <w:bCs/>
        </w:rPr>
        <w:t>s</w:t>
      </w:r>
      <w:r w:rsidR="005731E0" w:rsidRPr="00C70D1D">
        <w:rPr>
          <w:rFonts w:cstheme="minorHAnsi"/>
          <w:bCs/>
        </w:rPr>
        <w:t xml:space="preserve">ation. </w:t>
      </w:r>
      <w:r w:rsidRPr="00C70D1D">
        <w:rPr>
          <w:rFonts w:cstheme="minorHAnsi"/>
          <w:bCs/>
        </w:rPr>
        <w:t xml:space="preserve">Referral to a rehabilitation centre is facilitated by a </w:t>
      </w:r>
      <w:r w:rsidR="00833A58" w:rsidRPr="00C70D1D">
        <w:rPr>
          <w:rFonts w:cstheme="minorHAnsi"/>
          <w:bCs/>
        </w:rPr>
        <w:t>physiotherapist</w:t>
      </w:r>
      <w:r w:rsidRPr="00C70D1D">
        <w:rPr>
          <w:rFonts w:cstheme="minorHAnsi"/>
          <w:bCs/>
        </w:rPr>
        <w:t xml:space="preserve"> upon request </w:t>
      </w:r>
      <w:r w:rsidR="00C5078E" w:rsidRPr="00C70D1D">
        <w:rPr>
          <w:rFonts w:cstheme="minorHAnsi"/>
          <w:bCs/>
        </w:rPr>
        <w:t>by</w:t>
      </w:r>
      <w:r w:rsidRPr="00C70D1D">
        <w:rPr>
          <w:rFonts w:cstheme="minorHAnsi"/>
          <w:bCs/>
        </w:rPr>
        <w:t xml:space="preserve"> the attending physician. In </w:t>
      </w:r>
      <w:r w:rsidR="00C5078E" w:rsidRPr="00C70D1D">
        <w:rPr>
          <w:rFonts w:cstheme="minorHAnsi"/>
          <w:bCs/>
        </w:rPr>
        <w:t>this audit</w:t>
      </w:r>
      <w:r w:rsidRPr="00C70D1D">
        <w:rPr>
          <w:rFonts w:cstheme="minorHAnsi"/>
          <w:bCs/>
        </w:rPr>
        <w:t xml:space="preserve">, only </w:t>
      </w:r>
      <w:r w:rsidR="00D12F67" w:rsidRPr="00C70D1D">
        <w:rPr>
          <w:rFonts w:cstheme="minorHAnsi"/>
          <w:bCs/>
        </w:rPr>
        <w:t>four</w:t>
      </w:r>
      <w:r w:rsidRPr="00C70D1D">
        <w:rPr>
          <w:rFonts w:cstheme="minorHAnsi"/>
          <w:bCs/>
        </w:rPr>
        <w:t xml:space="preserve"> patients (8%) were </w:t>
      </w:r>
      <w:r w:rsidR="005E2F6C" w:rsidRPr="00C70D1D">
        <w:rPr>
          <w:rFonts w:cstheme="minorHAnsi"/>
          <w:bCs/>
        </w:rPr>
        <w:t>transferred to a rehabilitation centre at the end of acute stroke care.</w:t>
      </w:r>
      <w:r w:rsidR="004F29F3" w:rsidRPr="00C70D1D">
        <w:rPr>
          <w:rFonts w:cstheme="minorHAnsi"/>
          <w:bCs/>
        </w:rPr>
        <w:t xml:space="preserve"> </w:t>
      </w:r>
      <w:r w:rsidR="00A7301D" w:rsidRPr="00C70D1D">
        <w:rPr>
          <w:rFonts w:cstheme="minorHAnsi"/>
          <w:bCs/>
        </w:rPr>
        <w:t xml:space="preserve">Strengthening multidisciplinary </w:t>
      </w:r>
      <w:r w:rsidR="00DB0A26" w:rsidRPr="00C70D1D">
        <w:rPr>
          <w:rFonts w:cstheme="minorHAnsi"/>
          <w:bCs/>
        </w:rPr>
        <w:t xml:space="preserve">collaboration </w:t>
      </w:r>
      <w:r w:rsidR="001C30AE" w:rsidRPr="00C70D1D">
        <w:rPr>
          <w:rFonts w:cstheme="minorHAnsi"/>
          <w:bCs/>
        </w:rPr>
        <w:t>will</w:t>
      </w:r>
      <w:r w:rsidR="00A7301D" w:rsidRPr="00C70D1D">
        <w:rPr>
          <w:rFonts w:cstheme="minorHAnsi"/>
          <w:bCs/>
        </w:rPr>
        <w:t xml:space="preserve"> help to get physiotherapist</w:t>
      </w:r>
      <w:r w:rsidR="00DB0A26" w:rsidRPr="00C70D1D">
        <w:rPr>
          <w:rFonts w:cstheme="minorHAnsi"/>
          <w:bCs/>
        </w:rPr>
        <w:t>s</w:t>
      </w:r>
      <w:r w:rsidR="00A7301D" w:rsidRPr="00C70D1D">
        <w:rPr>
          <w:rFonts w:cstheme="minorHAnsi"/>
          <w:bCs/>
        </w:rPr>
        <w:t xml:space="preserve"> </w:t>
      </w:r>
      <w:r w:rsidR="005E2F6C" w:rsidRPr="00C70D1D">
        <w:rPr>
          <w:rFonts w:cstheme="minorHAnsi"/>
          <w:bCs/>
        </w:rPr>
        <w:t xml:space="preserve">involved in the care process </w:t>
      </w:r>
      <w:r w:rsidR="001C30AE" w:rsidRPr="00C70D1D">
        <w:rPr>
          <w:rFonts w:cstheme="minorHAnsi"/>
          <w:bCs/>
        </w:rPr>
        <w:t xml:space="preserve">early and will facilitate appropriate triaging to the </w:t>
      </w:r>
      <w:r w:rsidR="0078096C" w:rsidRPr="00C70D1D">
        <w:rPr>
          <w:rFonts w:cstheme="minorHAnsi"/>
          <w:bCs/>
        </w:rPr>
        <w:t xml:space="preserve">only </w:t>
      </w:r>
      <w:r w:rsidR="001C30AE" w:rsidRPr="00C70D1D">
        <w:rPr>
          <w:rFonts w:cstheme="minorHAnsi"/>
          <w:bCs/>
        </w:rPr>
        <w:t>rehabilitation unit</w:t>
      </w:r>
      <w:r w:rsidR="0078096C" w:rsidRPr="00C70D1D">
        <w:rPr>
          <w:rFonts w:cstheme="minorHAnsi"/>
          <w:bCs/>
        </w:rPr>
        <w:t xml:space="preserve"> in Blantyre</w:t>
      </w:r>
      <w:r w:rsidR="001C30AE" w:rsidRPr="00C70D1D">
        <w:rPr>
          <w:rFonts w:cstheme="minorHAnsi"/>
          <w:bCs/>
        </w:rPr>
        <w:t>.</w:t>
      </w:r>
    </w:p>
    <w:p w14:paraId="585A664C" w14:textId="4D0C5F0F" w:rsidR="001A40F0" w:rsidRPr="00C70D1D" w:rsidRDefault="00331D92" w:rsidP="004E379E">
      <w:pPr>
        <w:jc w:val="both"/>
        <w:rPr>
          <w:rFonts w:cstheme="minorHAnsi"/>
          <w:bCs/>
        </w:rPr>
      </w:pPr>
      <w:r w:rsidRPr="00C70D1D">
        <w:rPr>
          <w:rFonts w:cstheme="minorHAnsi"/>
          <w:bCs/>
        </w:rPr>
        <w:t xml:space="preserve">The three deaths </w:t>
      </w:r>
      <w:r w:rsidR="00FF5217" w:rsidRPr="00C70D1D">
        <w:rPr>
          <w:rFonts w:cstheme="minorHAnsi"/>
          <w:bCs/>
        </w:rPr>
        <w:t xml:space="preserve">that </w:t>
      </w:r>
      <w:r w:rsidRPr="00C70D1D">
        <w:rPr>
          <w:rFonts w:cstheme="minorHAnsi"/>
          <w:bCs/>
        </w:rPr>
        <w:t>occurr</w:t>
      </w:r>
      <w:r w:rsidR="00FF5217" w:rsidRPr="00C70D1D">
        <w:rPr>
          <w:rFonts w:cstheme="minorHAnsi"/>
          <w:bCs/>
        </w:rPr>
        <w:t>ed</w:t>
      </w:r>
      <w:r w:rsidRPr="00C70D1D">
        <w:rPr>
          <w:rFonts w:cstheme="minorHAnsi"/>
          <w:bCs/>
        </w:rPr>
        <w:t xml:space="preserve"> less than 2 days after discharge</w:t>
      </w:r>
      <w:r w:rsidR="00FF5217" w:rsidRPr="00C70D1D">
        <w:rPr>
          <w:rFonts w:cstheme="minorHAnsi"/>
          <w:bCs/>
        </w:rPr>
        <w:t xml:space="preserve"> </w:t>
      </w:r>
      <w:r w:rsidR="00B1561F" w:rsidRPr="00C70D1D">
        <w:rPr>
          <w:rFonts w:cstheme="minorHAnsi"/>
          <w:bCs/>
        </w:rPr>
        <w:t xml:space="preserve">may </w:t>
      </w:r>
      <w:r w:rsidR="00FF5217" w:rsidRPr="00C70D1D">
        <w:rPr>
          <w:rFonts w:cstheme="minorHAnsi"/>
          <w:bCs/>
        </w:rPr>
        <w:t>suggest that</w:t>
      </w:r>
      <w:r w:rsidRPr="00C70D1D">
        <w:rPr>
          <w:rFonts w:cstheme="minorHAnsi"/>
          <w:bCs/>
        </w:rPr>
        <w:t xml:space="preserve"> patients </w:t>
      </w:r>
      <w:r w:rsidR="00B1561F" w:rsidRPr="00C70D1D">
        <w:rPr>
          <w:rFonts w:cstheme="minorHAnsi"/>
          <w:bCs/>
        </w:rPr>
        <w:t>are</w:t>
      </w:r>
      <w:r w:rsidRPr="00C70D1D">
        <w:rPr>
          <w:rFonts w:cstheme="minorHAnsi"/>
          <w:bCs/>
        </w:rPr>
        <w:t xml:space="preserve"> discharged before they are fit to go home. The mean length of stay was 10.4 days </w:t>
      </w:r>
      <w:r w:rsidR="00B1561F" w:rsidRPr="00C70D1D">
        <w:rPr>
          <w:rFonts w:cstheme="minorHAnsi"/>
          <w:bCs/>
        </w:rPr>
        <w:t xml:space="preserve">and </w:t>
      </w:r>
      <w:r w:rsidRPr="00C70D1D">
        <w:rPr>
          <w:rFonts w:cstheme="minorHAnsi"/>
          <w:bCs/>
        </w:rPr>
        <w:t>is comparable to the average of 8.5 days found in a cross-sectional study conducted in four tertiary hospitals in Malawi</w:t>
      </w:r>
      <w:r w:rsidR="00F137B8" w:rsidRPr="00C70D1D">
        <w:rPr>
          <w:rFonts w:cstheme="minorHAnsi"/>
          <w:bCs/>
          <w:vertAlign w:val="superscript"/>
        </w:rPr>
        <w:t>20</w:t>
      </w:r>
      <w:r w:rsidR="00B1561F" w:rsidRPr="00C70D1D">
        <w:rPr>
          <w:rFonts w:cstheme="minorHAnsi"/>
          <w:bCs/>
        </w:rPr>
        <w:t xml:space="preserve">, </w:t>
      </w:r>
      <w:r w:rsidRPr="00C70D1D">
        <w:rPr>
          <w:rFonts w:cstheme="minorHAnsi"/>
          <w:bCs/>
        </w:rPr>
        <w:t xml:space="preserve">but lower than the average 18.5 days reported by </w:t>
      </w:r>
      <w:proofErr w:type="spellStart"/>
      <w:r w:rsidRPr="00C70D1D">
        <w:rPr>
          <w:rFonts w:cstheme="minorHAnsi"/>
          <w:bCs/>
        </w:rPr>
        <w:t>Heik</w:t>
      </w:r>
      <w:r w:rsidR="00F137B8" w:rsidRPr="00C70D1D">
        <w:rPr>
          <w:rFonts w:cstheme="minorHAnsi"/>
          <w:bCs/>
        </w:rPr>
        <w:t>i</w:t>
      </w:r>
      <w:r w:rsidRPr="00C70D1D">
        <w:rPr>
          <w:rFonts w:cstheme="minorHAnsi"/>
          <w:bCs/>
        </w:rPr>
        <w:t>nheimo</w:t>
      </w:r>
      <w:proofErr w:type="spellEnd"/>
      <w:r w:rsidRPr="00C70D1D">
        <w:rPr>
          <w:rFonts w:cstheme="minorHAnsi"/>
          <w:bCs/>
        </w:rPr>
        <w:t xml:space="preserve"> et al</w:t>
      </w:r>
      <w:r w:rsidR="00C42668" w:rsidRPr="00C70D1D">
        <w:rPr>
          <w:rFonts w:cstheme="minorHAnsi"/>
          <w:bCs/>
        </w:rPr>
        <w:t>.</w:t>
      </w:r>
      <w:r w:rsidRPr="00C70D1D">
        <w:rPr>
          <w:rFonts w:cstheme="minorHAnsi"/>
          <w:bCs/>
        </w:rPr>
        <w:t xml:space="preserve"> </w:t>
      </w:r>
      <w:r w:rsidR="00B1561F" w:rsidRPr="00C70D1D">
        <w:rPr>
          <w:rFonts w:cstheme="minorHAnsi"/>
          <w:bCs/>
        </w:rPr>
        <w:t>at the sam</w:t>
      </w:r>
      <w:r w:rsidR="00AB340A" w:rsidRPr="00C70D1D">
        <w:rPr>
          <w:rFonts w:cstheme="minorHAnsi"/>
          <w:bCs/>
        </w:rPr>
        <w:t>e</w:t>
      </w:r>
      <w:r w:rsidR="00B1561F" w:rsidRPr="00C70D1D">
        <w:rPr>
          <w:rFonts w:cstheme="minorHAnsi"/>
          <w:bCs/>
        </w:rPr>
        <w:t xml:space="preserve"> hospital </w:t>
      </w:r>
      <w:r w:rsidRPr="00C70D1D">
        <w:rPr>
          <w:rFonts w:cstheme="minorHAnsi"/>
          <w:bCs/>
        </w:rPr>
        <w:t>in 2012</w:t>
      </w:r>
      <w:r w:rsidR="00503368" w:rsidRPr="00B17041">
        <w:rPr>
          <w:rFonts w:cstheme="minorHAnsi"/>
          <w:bCs/>
          <w:vertAlign w:val="superscript"/>
        </w:rPr>
        <w:t>6</w:t>
      </w:r>
      <w:r w:rsidRPr="00C70D1D">
        <w:rPr>
          <w:rFonts w:cstheme="minorHAnsi"/>
          <w:bCs/>
        </w:rPr>
        <w:t>. Earl</w:t>
      </w:r>
      <w:r w:rsidR="00070EFD" w:rsidRPr="00C70D1D">
        <w:rPr>
          <w:rFonts w:cstheme="minorHAnsi"/>
          <w:bCs/>
        </w:rPr>
        <w:t>ier</w:t>
      </w:r>
      <w:r w:rsidRPr="00C70D1D">
        <w:rPr>
          <w:rFonts w:cstheme="minorHAnsi"/>
          <w:bCs/>
        </w:rPr>
        <w:t xml:space="preserve"> patient discharge is </w:t>
      </w:r>
      <w:r w:rsidR="00070EFD" w:rsidRPr="00C70D1D">
        <w:rPr>
          <w:rFonts w:cstheme="minorHAnsi"/>
          <w:bCs/>
        </w:rPr>
        <w:t>explained by the contrast between the increasing demand for hospitali</w:t>
      </w:r>
      <w:r w:rsidR="00851B39" w:rsidRPr="00C70D1D">
        <w:rPr>
          <w:rFonts w:cstheme="minorHAnsi"/>
          <w:bCs/>
        </w:rPr>
        <w:t>s</w:t>
      </w:r>
      <w:r w:rsidR="00070EFD" w:rsidRPr="00C70D1D">
        <w:rPr>
          <w:rFonts w:cstheme="minorHAnsi"/>
          <w:bCs/>
        </w:rPr>
        <w:t>ation and</w:t>
      </w:r>
      <w:r w:rsidR="00B27D53" w:rsidRPr="00C70D1D">
        <w:rPr>
          <w:rFonts w:cstheme="minorHAnsi"/>
          <w:bCs/>
        </w:rPr>
        <w:t xml:space="preserve"> the limited number of </w:t>
      </w:r>
      <w:r w:rsidR="00B27D53" w:rsidRPr="00C70D1D">
        <w:rPr>
          <w:rFonts w:cstheme="minorHAnsi"/>
          <w:bCs/>
        </w:rPr>
        <w:lastRenderedPageBreak/>
        <w:t>medical beds at the hospital</w:t>
      </w:r>
      <w:r w:rsidR="00070EFD" w:rsidRPr="00C70D1D">
        <w:rPr>
          <w:rFonts w:cstheme="minorHAnsi"/>
          <w:bCs/>
        </w:rPr>
        <w:t>.</w:t>
      </w:r>
      <w:r w:rsidR="00B27D53" w:rsidRPr="00C70D1D">
        <w:rPr>
          <w:rFonts w:cstheme="minorHAnsi"/>
          <w:bCs/>
        </w:rPr>
        <w:t xml:space="preserve"> </w:t>
      </w:r>
      <w:r w:rsidR="00070EFD" w:rsidRPr="00C70D1D">
        <w:rPr>
          <w:rFonts w:cstheme="minorHAnsi"/>
          <w:bCs/>
        </w:rPr>
        <w:t xml:space="preserve">This </w:t>
      </w:r>
      <w:r w:rsidR="00B27D53" w:rsidRPr="00C70D1D">
        <w:rPr>
          <w:rFonts w:cstheme="minorHAnsi"/>
          <w:bCs/>
        </w:rPr>
        <w:t>may</w:t>
      </w:r>
      <w:r w:rsidRPr="00C70D1D">
        <w:rPr>
          <w:rFonts w:cstheme="minorHAnsi"/>
          <w:bCs/>
        </w:rPr>
        <w:t xml:space="preserve"> </w:t>
      </w:r>
      <w:r w:rsidR="00070EFD" w:rsidRPr="00C70D1D">
        <w:rPr>
          <w:rFonts w:cstheme="minorHAnsi"/>
          <w:bCs/>
        </w:rPr>
        <w:t xml:space="preserve">also </w:t>
      </w:r>
      <w:r w:rsidRPr="00C70D1D">
        <w:rPr>
          <w:rFonts w:cstheme="minorHAnsi"/>
          <w:bCs/>
        </w:rPr>
        <w:t xml:space="preserve">contribute to </w:t>
      </w:r>
      <w:r w:rsidR="00F73684" w:rsidRPr="00C70D1D">
        <w:rPr>
          <w:rFonts w:cstheme="minorHAnsi"/>
          <w:bCs/>
        </w:rPr>
        <w:t xml:space="preserve">the </w:t>
      </w:r>
      <w:r w:rsidRPr="00C70D1D">
        <w:rPr>
          <w:rFonts w:cstheme="minorHAnsi"/>
          <w:bCs/>
        </w:rPr>
        <w:t>overall mortality</w:t>
      </w:r>
      <w:r w:rsidR="00B27D53" w:rsidRPr="00C70D1D">
        <w:rPr>
          <w:rFonts w:cstheme="minorHAnsi"/>
          <w:bCs/>
        </w:rPr>
        <w:t>,</w:t>
      </w:r>
      <w:r w:rsidRPr="00C70D1D">
        <w:rPr>
          <w:rFonts w:cstheme="minorHAnsi"/>
          <w:bCs/>
        </w:rPr>
        <w:t xml:space="preserve"> which was 18% in this </w:t>
      </w:r>
      <w:r w:rsidR="00EE6FAC" w:rsidRPr="00C70D1D">
        <w:rPr>
          <w:rFonts w:cstheme="minorHAnsi"/>
          <w:bCs/>
        </w:rPr>
        <w:t>audit</w:t>
      </w:r>
      <w:r w:rsidRPr="00C70D1D">
        <w:rPr>
          <w:rFonts w:cstheme="minorHAnsi"/>
          <w:bCs/>
        </w:rPr>
        <w:t xml:space="preserve"> (including the three patients who died within 48 hours post-discharge).</w:t>
      </w:r>
      <w:r w:rsidR="00C42668" w:rsidRPr="00C70D1D">
        <w:rPr>
          <w:rFonts w:cstheme="minorHAnsi"/>
          <w:bCs/>
        </w:rPr>
        <w:t xml:space="preserve"> </w:t>
      </w:r>
      <w:r w:rsidR="004F29F3" w:rsidRPr="00C70D1D">
        <w:rPr>
          <w:rFonts w:cstheme="minorHAnsi"/>
          <w:bCs/>
        </w:rPr>
        <w:t xml:space="preserve">This is </w:t>
      </w:r>
      <w:r w:rsidR="00070EFD" w:rsidRPr="00C70D1D">
        <w:rPr>
          <w:rFonts w:cstheme="minorHAnsi"/>
          <w:bCs/>
        </w:rPr>
        <w:t>higher than the mortality rates observed in middle</w:t>
      </w:r>
      <w:r w:rsidR="0082505A" w:rsidRPr="00C70D1D">
        <w:rPr>
          <w:rFonts w:cstheme="minorHAnsi"/>
          <w:bCs/>
        </w:rPr>
        <w:t>-</w:t>
      </w:r>
      <w:r w:rsidR="00070EFD" w:rsidRPr="00C70D1D">
        <w:rPr>
          <w:rFonts w:cstheme="minorHAnsi"/>
          <w:bCs/>
        </w:rPr>
        <w:t xml:space="preserve"> to high</w:t>
      </w:r>
      <w:r w:rsidR="0082505A" w:rsidRPr="00C70D1D">
        <w:rPr>
          <w:rFonts w:cstheme="minorHAnsi"/>
          <w:bCs/>
        </w:rPr>
        <w:t>-</w:t>
      </w:r>
      <w:r w:rsidR="00070EFD" w:rsidRPr="00C70D1D">
        <w:rPr>
          <w:rFonts w:cstheme="minorHAnsi"/>
          <w:bCs/>
        </w:rPr>
        <w:t>income countries</w:t>
      </w:r>
      <w:r w:rsidR="00880AD8" w:rsidRPr="00C70D1D">
        <w:rPr>
          <w:rFonts w:cstheme="minorHAnsi"/>
          <w:bCs/>
          <w:vertAlign w:val="superscript"/>
        </w:rPr>
        <w:t>21</w:t>
      </w:r>
      <w:r w:rsidR="00070EFD" w:rsidRPr="00B17041">
        <w:rPr>
          <w:rFonts w:cstheme="minorHAnsi"/>
          <w:bCs/>
          <w:vertAlign w:val="superscript"/>
        </w:rPr>
        <w:t>,</w:t>
      </w:r>
      <w:r w:rsidR="00503368" w:rsidRPr="00B17041">
        <w:rPr>
          <w:rFonts w:cstheme="minorHAnsi"/>
          <w:bCs/>
          <w:vertAlign w:val="superscript"/>
        </w:rPr>
        <w:t>2</w:t>
      </w:r>
      <w:r w:rsidR="00880AD8" w:rsidRPr="00C70D1D">
        <w:rPr>
          <w:rFonts w:cstheme="minorHAnsi"/>
          <w:bCs/>
          <w:vertAlign w:val="superscript"/>
        </w:rPr>
        <w:t>2</w:t>
      </w:r>
      <w:r w:rsidR="00070EFD" w:rsidRPr="00C70D1D">
        <w:rPr>
          <w:rFonts w:cstheme="minorHAnsi"/>
          <w:bCs/>
        </w:rPr>
        <w:t>.</w:t>
      </w:r>
    </w:p>
    <w:p w14:paraId="1F1356C4" w14:textId="1F8B08C3" w:rsidR="00B10079" w:rsidRPr="00C70D1D" w:rsidRDefault="00B10079" w:rsidP="004E379E">
      <w:pPr>
        <w:jc w:val="both"/>
        <w:rPr>
          <w:rFonts w:cstheme="minorHAnsi"/>
          <w:bCs/>
        </w:rPr>
      </w:pPr>
      <w:r w:rsidRPr="00C70D1D">
        <w:rPr>
          <w:rFonts w:cstheme="minorHAnsi"/>
          <w:bCs/>
        </w:rPr>
        <w:t xml:space="preserve">This audit revealed inconsistencies in </w:t>
      </w:r>
      <w:r w:rsidR="00B560AA" w:rsidRPr="00C70D1D">
        <w:rPr>
          <w:rFonts w:cstheme="minorHAnsi"/>
          <w:bCs/>
        </w:rPr>
        <w:t xml:space="preserve">many aspects of </w:t>
      </w:r>
      <w:r w:rsidRPr="00C70D1D">
        <w:rPr>
          <w:rFonts w:cstheme="minorHAnsi"/>
          <w:bCs/>
        </w:rPr>
        <w:t>th</w:t>
      </w:r>
      <w:r w:rsidR="00D136CB" w:rsidRPr="00C70D1D">
        <w:rPr>
          <w:rFonts w:cstheme="minorHAnsi"/>
          <w:bCs/>
        </w:rPr>
        <w:t xml:space="preserve">e </w:t>
      </w:r>
      <w:r w:rsidR="00B560AA" w:rsidRPr="00C70D1D">
        <w:rPr>
          <w:rFonts w:cstheme="minorHAnsi"/>
          <w:bCs/>
        </w:rPr>
        <w:t>management</w:t>
      </w:r>
      <w:r w:rsidR="00D136CB" w:rsidRPr="00C70D1D">
        <w:rPr>
          <w:rFonts w:cstheme="minorHAnsi"/>
          <w:bCs/>
        </w:rPr>
        <w:t xml:space="preserve"> of </w:t>
      </w:r>
      <w:r w:rsidR="00E8670C" w:rsidRPr="00C70D1D">
        <w:rPr>
          <w:rFonts w:cstheme="minorHAnsi"/>
          <w:bCs/>
        </w:rPr>
        <w:t xml:space="preserve">patients with </w:t>
      </w:r>
      <w:r w:rsidR="00CD2BD9" w:rsidRPr="00C70D1D">
        <w:rPr>
          <w:rFonts w:cstheme="minorHAnsi"/>
          <w:bCs/>
        </w:rPr>
        <w:t>stroke</w:t>
      </w:r>
      <w:r w:rsidR="00C42668" w:rsidRPr="00C70D1D">
        <w:rPr>
          <w:rFonts w:cstheme="minorHAnsi"/>
          <w:bCs/>
        </w:rPr>
        <w:t>,</w:t>
      </w:r>
      <w:r w:rsidR="00CD2BD9" w:rsidRPr="00C70D1D">
        <w:rPr>
          <w:rFonts w:cstheme="minorHAnsi"/>
          <w:bCs/>
        </w:rPr>
        <w:t xml:space="preserve"> which</w:t>
      </w:r>
      <w:r w:rsidR="00B560AA" w:rsidRPr="00C70D1D">
        <w:rPr>
          <w:rFonts w:cstheme="minorHAnsi"/>
          <w:bCs/>
        </w:rPr>
        <w:t xml:space="preserve"> </w:t>
      </w:r>
      <w:r w:rsidR="00FA6ABB" w:rsidRPr="00C70D1D">
        <w:rPr>
          <w:rFonts w:cstheme="minorHAnsi"/>
          <w:bCs/>
        </w:rPr>
        <w:t>is likely due to</w:t>
      </w:r>
      <w:r w:rsidR="00B560AA" w:rsidRPr="00C70D1D">
        <w:rPr>
          <w:rFonts w:cstheme="minorHAnsi"/>
          <w:bCs/>
        </w:rPr>
        <w:t xml:space="preserve"> the absence of clear </w:t>
      </w:r>
      <w:r w:rsidR="00FA6ABB" w:rsidRPr="00C70D1D">
        <w:rPr>
          <w:rFonts w:cstheme="minorHAnsi"/>
          <w:bCs/>
        </w:rPr>
        <w:t xml:space="preserve">stroke management </w:t>
      </w:r>
      <w:r w:rsidR="0078096C" w:rsidRPr="00C70D1D">
        <w:rPr>
          <w:rFonts w:cstheme="minorHAnsi"/>
          <w:bCs/>
        </w:rPr>
        <w:t xml:space="preserve">guidelines endorsed </w:t>
      </w:r>
      <w:r w:rsidR="00B560AA" w:rsidRPr="00C70D1D">
        <w:rPr>
          <w:rFonts w:cstheme="minorHAnsi"/>
          <w:bCs/>
        </w:rPr>
        <w:t>by local authorities</w:t>
      </w:r>
      <w:r w:rsidR="00833A58" w:rsidRPr="00C70D1D">
        <w:rPr>
          <w:rFonts w:cstheme="minorHAnsi"/>
          <w:bCs/>
        </w:rPr>
        <w:t>.</w:t>
      </w:r>
      <w:r w:rsidR="00D136CB" w:rsidRPr="00C70D1D">
        <w:rPr>
          <w:rFonts w:cstheme="minorHAnsi"/>
          <w:bCs/>
        </w:rPr>
        <w:t xml:space="preserve"> </w:t>
      </w:r>
      <w:r w:rsidR="00B560AA" w:rsidRPr="00C70D1D">
        <w:rPr>
          <w:rFonts w:cstheme="minorHAnsi"/>
          <w:bCs/>
        </w:rPr>
        <w:t>For example, some patients received antihypertensive medication within the first 48 hours of stroke onset despite having blo</w:t>
      </w:r>
      <w:r w:rsidR="002B3EB1" w:rsidRPr="00C70D1D">
        <w:rPr>
          <w:rFonts w:cstheme="minorHAnsi"/>
          <w:bCs/>
        </w:rPr>
        <w:t>od pressure below 220/120 mmHg. I</w:t>
      </w:r>
      <w:r w:rsidR="00B560AA" w:rsidRPr="00C70D1D">
        <w:rPr>
          <w:rFonts w:cstheme="minorHAnsi"/>
          <w:bCs/>
        </w:rPr>
        <w:t>t is not recommended to treat blood pressure below this threshold in the hyperacute phase</w:t>
      </w:r>
      <w:r w:rsidR="00A333A9" w:rsidRPr="00C70D1D">
        <w:rPr>
          <w:rFonts w:cstheme="minorHAnsi"/>
          <w:bCs/>
        </w:rPr>
        <w:t>, especially for isch</w:t>
      </w:r>
      <w:r w:rsidR="00851B39" w:rsidRPr="00C70D1D">
        <w:rPr>
          <w:rFonts w:cstheme="minorHAnsi"/>
          <w:bCs/>
        </w:rPr>
        <w:t>aemic</w:t>
      </w:r>
      <w:r w:rsidR="00B560AA" w:rsidRPr="00C70D1D">
        <w:rPr>
          <w:rFonts w:cstheme="minorHAnsi"/>
          <w:bCs/>
        </w:rPr>
        <w:t xml:space="preserve"> stroke</w:t>
      </w:r>
      <w:r w:rsidR="00880AD8" w:rsidRPr="00C70D1D">
        <w:rPr>
          <w:rFonts w:cstheme="minorHAnsi"/>
          <w:bCs/>
          <w:vertAlign w:val="superscript"/>
        </w:rPr>
        <w:t>10</w:t>
      </w:r>
      <w:r w:rsidR="00B560AA" w:rsidRPr="00C70D1D">
        <w:rPr>
          <w:rFonts w:cstheme="minorHAnsi"/>
          <w:bCs/>
        </w:rPr>
        <w:t>.</w:t>
      </w:r>
      <w:r w:rsidRPr="00C70D1D">
        <w:rPr>
          <w:rFonts w:cstheme="minorHAnsi"/>
          <w:bCs/>
        </w:rPr>
        <w:t xml:space="preserve"> </w:t>
      </w:r>
      <w:r w:rsidR="00FA6ABB" w:rsidRPr="00C70D1D">
        <w:rPr>
          <w:rFonts w:cstheme="minorHAnsi"/>
          <w:bCs/>
        </w:rPr>
        <w:t xml:space="preserve">In </w:t>
      </w:r>
      <w:r w:rsidR="00FA08ED" w:rsidRPr="00C70D1D">
        <w:rPr>
          <w:rFonts w:cstheme="minorHAnsi"/>
          <w:bCs/>
        </w:rPr>
        <w:t>addition</w:t>
      </w:r>
      <w:r w:rsidR="00F4370C" w:rsidRPr="00C70D1D">
        <w:rPr>
          <w:rFonts w:cstheme="minorHAnsi"/>
          <w:bCs/>
        </w:rPr>
        <w:t xml:space="preserve">, </w:t>
      </w:r>
      <w:r w:rsidR="00920E66" w:rsidRPr="00C70D1D">
        <w:rPr>
          <w:rFonts w:cstheme="minorHAnsi"/>
          <w:bCs/>
        </w:rPr>
        <w:t xml:space="preserve">only </w:t>
      </w:r>
      <w:r w:rsidR="00F34E7A" w:rsidRPr="00C70D1D">
        <w:rPr>
          <w:rFonts w:cstheme="minorHAnsi"/>
          <w:bCs/>
        </w:rPr>
        <w:t>four</w:t>
      </w:r>
      <w:r w:rsidR="00920E66" w:rsidRPr="00C70D1D">
        <w:rPr>
          <w:rFonts w:cstheme="minorHAnsi"/>
          <w:bCs/>
        </w:rPr>
        <w:t xml:space="preserve"> patients received insulin </w:t>
      </w:r>
      <w:r w:rsidR="00F4370C" w:rsidRPr="00C70D1D">
        <w:rPr>
          <w:rFonts w:cstheme="minorHAnsi"/>
          <w:bCs/>
        </w:rPr>
        <w:t xml:space="preserve">out of </w:t>
      </w:r>
      <w:r w:rsidR="00920E66" w:rsidRPr="00C70D1D">
        <w:rPr>
          <w:rFonts w:cstheme="minorHAnsi"/>
          <w:bCs/>
        </w:rPr>
        <w:t xml:space="preserve">the </w:t>
      </w:r>
      <w:r w:rsidR="009B5FD5" w:rsidRPr="00C70D1D">
        <w:rPr>
          <w:rFonts w:cstheme="minorHAnsi"/>
          <w:bCs/>
        </w:rPr>
        <w:t xml:space="preserve">nine </w:t>
      </w:r>
      <w:r w:rsidR="00F4370C" w:rsidRPr="00C70D1D">
        <w:rPr>
          <w:rFonts w:cstheme="minorHAnsi"/>
          <w:bCs/>
        </w:rPr>
        <w:t xml:space="preserve">admitted with </w:t>
      </w:r>
      <w:r w:rsidR="00C42668" w:rsidRPr="00C70D1D">
        <w:rPr>
          <w:rFonts w:cstheme="minorHAnsi"/>
          <w:bCs/>
        </w:rPr>
        <w:t xml:space="preserve">a </w:t>
      </w:r>
      <w:r w:rsidR="00920E66" w:rsidRPr="00C70D1D">
        <w:rPr>
          <w:rFonts w:cstheme="minorHAnsi"/>
          <w:bCs/>
        </w:rPr>
        <w:t>blood glucose</w:t>
      </w:r>
      <w:r w:rsidR="009B5FD5" w:rsidRPr="00C70D1D">
        <w:rPr>
          <w:rFonts w:cstheme="minorHAnsi"/>
          <w:bCs/>
        </w:rPr>
        <w:t xml:space="preserve"> &gt;10 mmol/</w:t>
      </w:r>
      <w:r w:rsidR="006F636E" w:rsidRPr="00C70D1D">
        <w:rPr>
          <w:rFonts w:cstheme="minorHAnsi"/>
          <w:bCs/>
        </w:rPr>
        <w:t>L</w:t>
      </w:r>
      <w:r w:rsidR="00920E66" w:rsidRPr="00C70D1D">
        <w:rPr>
          <w:rFonts w:cstheme="minorHAnsi"/>
          <w:bCs/>
        </w:rPr>
        <w:t xml:space="preserve"> </w:t>
      </w:r>
      <w:r w:rsidR="00337313" w:rsidRPr="00C70D1D">
        <w:rPr>
          <w:rFonts w:cstheme="minorHAnsi"/>
          <w:bCs/>
        </w:rPr>
        <w:t xml:space="preserve">whereas </w:t>
      </w:r>
      <w:r w:rsidR="00920E66" w:rsidRPr="00C70D1D">
        <w:rPr>
          <w:rFonts w:cstheme="minorHAnsi"/>
          <w:bCs/>
        </w:rPr>
        <w:t>current AHA guidelines recommend that blood glucose levels should be maintained between 7.8 and 10 mmol/</w:t>
      </w:r>
      <w:r w:rsidR="006F636E" w:rsidRPr="00C70D1D">
        <w:rPr>
          <w:rFonts w:cstheme="minorHAnsi"/>
          <w:bCs/>
        </w:rPr>
        <w:t>L</w:t>
      </w:r>
      <w:r w:rsidR="00880AD8" w:rsidRPr="00C70D1D">
        <w:rPr>
          <w:rFonts w:cstheme="minorHAnsi"/>
          <w:bCs/>
          <w:vertAlign w:val="superscript"/>
        </w:rPr>
        <w:t>10</w:t>
      </w:r>
      <w:r w:rsidR="00EB1FEC" w:rsidRPr="00C70D1D">
        <w:rPr>
          <w:rFonts w:cstheme="minorHAnsi"/>
          <w:bCs/>
        </w:rPr>
        <w:t xml:space="preserve">. </w:t>
      </w:r>
      <w:r w:rsidR="00920E66" w:rsidRPr="00C70D1D">
        <w:rPr>
          <w:rFonts w:cstheme="minorHAnsi"/>
          <w:bCs/>
        </w:rPr>
        <w:t xml:space="preserve">Indeed, several </w:t>
      </w:r>
      <w:r w:rsidR="00E86F9C" w:rsidRPr="00C70D1D">
        <w:rPr>
          <w:rFonts w:cstheme="minorHAnsi"/>
          <w:bCs/>
        </w:rPr>
        <w:t>studies have reported</w:t>
      </w:r>
      <w:r w:rsidR="00EB1FEC" w:rsidRPr="00C70D1D">
        <w:rPr>
          <w:rFonts w:cstheme="minorHAnsi"/>
          <w:bCs/>
        </w:rPr>
        <w:t xml:space="preserve"> </w:t>
      </w:r>
      <w:r w:rsidR="00A6105D" w:rsidRPr="00C70D1D">
        <w:rPr>
          <w:rFonts w:cstheme="minorHAnsi"/>
          <w:bCs/>
        </w:rPr>
        <w:t xml:space="preserve">an </w:t>
      </w:r>
      <w:r w:rsidR="00EB1FEC" w:rsidRPr="00C70D1D">
        <w:rPr>
          <w:rFonts w:cstheme="minorHAnsi"/>
          <w:bCs/>
        </w:rPr>
        <w:t>association between hyperglyc</w:t>
      </w:r>
      <w:r w:rsidR="00F627D3" w:rsidRPr="00C70D1D">
        <w:rPr>
          <w:rFonts w:cstheme="minorHAnsi"/>
          <w:bCs/>
        </w:rPr>
        <w:t>a</w:t>
      </w:r>
      <w:r w:rsidR="00EB1FEC" w:rsidRPr="00C70D1D">
        <w:rPr>
          <w:rFonts w:cstheme="minorHAnsi"/>
          <w:bCs/>
        </w:rPr>
        <w:t xml:space="preserve">emia and poor </w:t>
      </w:r>
      <w:r w:rsidR="00E86F9C" w:rsidRPr="00C70D1D">
        <w:rPr>
          <w:rFonts w:cstheme="minorHAnsi"/>
          <w:bCs/>
        </w:rPr>
        <w:t xml:space="preserve">stroke </w:t>
      </w:r>
      <w:r w:rsidR="00EB1FEC" w:rsidRPr="00C70D1D">
        <w:rPr>
          <w:rFonts w:cstheme="minorHAnsi"/>
          <w:bCs/>
        </w:rPr>
        <w:t>outcome</w:t>
      </w:r>
      <w:r w:rsidR="00125F03" w:rsidRPr="00C70D1D">
        <w:rPr>
          <w:rFonts w:cstheme="minorHAnsi"/>
          <w:bCs/>
        </w:rPr>
        <w:t>s</w:t>
      </w:r>
      <w:r w:rsidR="00503368" w:rsidRPr="00B17041">
        <w:rPr>
          <w:rFonts w:cstheme="minorHAnsi"/>
          <w:bCs/>
          <w:vertAlign w:val="superscript"/>
        </w:rPr>
        <w:t>2</w:t>
      </w:r>
      <w:r w:rsidR="00880AD8" w:rsidRPr="00C70D1D">
        <w:rPr>
          <w:rFonts w:cstheme="minorHAnsi"/>
          <w:bCs/>
          <w:vertAlign w:val="superscript"/>
        </w:rPr>
        <w:t>3</w:t>
      </w:r>
      <w:r w:rsidR="00920E66" w:rsidRPr="00B17041">
        <w:rPr>
          <w:rFonts w:cstheme="minorHAnsi"/>
          <w:bCs/>
          <w:vertAlign w:val="superscript"/>
        </w:rPr>
        <w:t>,</w:t>
      </w:r>
      <w:r w:rsidR="00503368" w:rsidRPr="00B17041">
        <w:rPr>
          <w:rFonts w:cstheme="minorHAnsi"/>
          <w:bCs/>
          <w:vertAlign w:val="superscript"/>
        </w:rPr>
        <w:t>2</w:t>
      </w:r>
      <w:r w:rsidR="00880AD8" w:rsidRPr="00C70D1D">
        <w:rPr>
          <w:rFonts w:cstheme="minorHAnsi"/>
          <w:bCs/>
          <w:vertAlign w:val="superscript"/>
        </w:rPr>
        <w:t>4</w:t>
      </w:r>
      <w:r w:rsidR="00551947" w:rsidRPr="00C70D1D">
        <w:rPr>
          <w:rFonts w:cstheme="minorHAnsi"/>
          <w:bCs/>
        </w:rPr>
        <w:t>.</w:t>
      </w:r>
    </w:p>
    <w:p w14:paraId="43F458EC" w14:textId="539DF4D4" w:rsidR="00B10079" w:rsidRPr="00C70D1D" w:rsidRDefault="00833A58" w:rsidP="004E379E">
      <w:pPr>
        <w:jc w:val="both"/>
        <w:rPr>
          <w:rFonts w:cstheme="minorHAnsi"/>
          <w:bCs/>
        </w:rPr>
      </w:pPr>
      <w:r w:rsidRPr="00C70D1D">
        <w:rPr>
          <w:rFonts w:cstheme="minorHAnsi"/>
          <w:bCs/>
        </w:rPr>
        <w:t>The</w:t>
      </w:r>
      <w:r w:rsidR="00555A19" w:rsidRPr="00C70D1D">
        <w:rPr>
          <w:rFonts w:cstheme="minorHAnsi"/>
          <w:bCs/>
        </w:rPr>
        <w:t xml:space="preserve"> last three decades </w:t>
      </w:r>
      <w:r w:rsidR="00902427" w:rsidRPr="00C70D1D">
        <w:rPr>
          <w:rFonts w:cstheme="minorHAnsi"/>
          <w:bCs/>
        </w:rPr>
        <w:t>have</w:t>
      </w:r>
      <w:r w:rsidR="00555A19" w:rsidRPr="00C70D1D">
        <w:rPr>
          <w:rFonts w:cstheme="minorHAnsi"/>
          <w:bCs/>
        </w:rPr>
        <w:t xml:space="preserve"> seen a major change and improvement in the management of stroke globally. Mechanical thrombectomy, intravenous thrombolysis, carotid endarterectomy, strict </w:t>
      </w:r>
      <w:r w:rsidR="00A333A9" w:rsidRPr="00C70D1D">
        <w:rPr>
          <w:rFonts w:cstheme="minorHAnsi"/>
          <w:bCs/>
        </w:rPr>
        <w:t>control</w:t>
      </w:r>
      <w:r w:rsidR="00555A19" w:rsidRPr="00C70D1D">
        <w:rPr>
          <w:rFonts w:cstheme="minorHAnsi"/>
          <w:bCs/>
        </w:rPr>
        <w:t xml:space="preserve"> of stroke risk factors</w:t>
      </w:r>
      <w:r w:rsidR="00125F03" w:rsidRPr="00C70D1D">
        <w:rPr>
          <w:rFonts w:cstheme="minorHAnsi"/>
          <w:bCs/>
        </w:rPr>
        <w:t>,</w:t>
      </w:r>
      <w:r w:rsidR="00555A19" w:rsidRPr="00C70D1D">
        <w:rPr>
          <w:rFonts w:cstheme="minorHAnsi"/>
          <w:bCs/>
        </w:rPr>
        <w:t xml:space="preserve"> and managing patients in a stroke unit have proven effective in </w:t>
      </w:r>
      <w:r w:rsidR="00902427" w:rsidRPr="00C70D1D">
        <w:rPr>
          <w:rFonts w:cstheme="minorHAnsi"/>
          <w:bCs/>
        </w:rPr>
        <w:t>improving</w:t>
      </w:r>
      <w:r w:rsidR="00555A19" w:rsidRPr="00C70D1D">
        <w:rPr>
          <w:rFonts w:cstheme="minorHAnsi"/>
          <w:bCs/>
        </w:rPr>
        <w:t xml:space="preserve"> outcomes</w:t>
      </w:r>
      <w:r w:rsidR="00503368" w:rsidRPr="00B17041">
        <w:rPr>
          <w:rFonts w:cstheme="minorHAnsi"/>
          <w:bCs/>
          <w:vertAlign w:val="superscript"/>
        </w:rPr>
        <w:t>2</w:t>
      </w:r>
      <w:r w:rsidR="00880AD8" w:rsidRPr="00C70D1D">
        <w:rPr>
          <w:rFonts w:cstheme="minorHAnsi"/>
          <w:bCs/>
          <w:vertAlign w:val="superscript"/>
        </w:rPr>
        <w:t>5</w:t>
      </w:r>
      <w:r w:rsidR="00125F03" w:rsidRPr="00C70D1D">
        <w:rPr>
          <w:rFonts w:cstheme="minorHAnsi"/>
          <w:bCs/>
          <w:vertAlign w:val="superscript"/>
        </w:rPr>
        <w:t>–</w:t>
      </w:r>
      <w:r w:rsidR="00503368" w:rsidRPr="00B17041">
        <w:rPr>
          <w:rFonts w:cstheme="minorHAnsi"/>
          <w:bCs/>
          <w:vertAlign w:val="superscript"/>
        </w:rPr>
        <w:t>2</w:t>
      </w:r>
      <w:r w:rsidR="00880AD8" w:rsidRPr="00C70D1D">
        <w:rPr>
          <w:rFonts w:cstheme="minorHAnsi"/>
          <w:bCs/>
          <w:vertAlign w:val="superscript"/>
        </w:rPr>
        <w:t>7</w:t>
      </w:r>
      <w:r w:rsidR="00CA7374" w:rsidRPr="00C70D1D">
        <w:rPr>
          <w:rFonts w:cstheme="minorHAnsi"/>
          <w:bCs/>
        </w:rPr>
        <w:t>. Given the current infrastructur</w:t>
      </w:r>
      <w:r w:rsidR="006D5113" w:rsidRPr="00C70D1D">
        <w:rPr>
          <w:rFonts w:cstheme="minorHAnsi"/>
          <w:bCs/>
        </w:rPr>
        <w:t>e</w:t>
      </w:r>
      <w:r w:rsidR="00CA7374" w:rsidRPr="00C70D1D">
        <w:rPr>
          <w:rFonts w:cstheme="minorHAnsi"/>
          <w:bCs/>
        </w:rPr>
        <w:t xml:space="preserve"> a</w:t>
      </w:r>
      <w:r w:rsidR="002E697A" w:rsidRPr="00C70D1D">
        <w:rPr>
          <w:rFonts w:cstheme="minorHAnsi"/>
          <w:bCs/>
        </w:rPr>
        <w:t>nd available resources</w:t>
      </w:r>
      <w:r w:rsidR="0052507E" w:rsidRPr="00C70D1D">
        <w:rPr>
          <w:rFonts w:cstheme="minorHAnsi"/>
          <w:bCs/>
          <w:vertAlign w:val="superscript"/>
        </w:rPr>
        <w:t>8</w:t>
      </w:r>
      <w:r w:rsidR="00CA7374" w:rsidRPr="00C70D1D">
        <w:rPr>
          <w:rFonts w:cstheme="minorHAnsi"/>
          <w:bCs/>
        </w:rPr>
        <w:t xml:space="preserve">, QECH may not be able to implement </w:t>
      </w:r>
      <w:r w:rsidR="00902427" w:rsidRPr="00C70D1D">
        <w:rPr>
          <w:rFonts w:cstheme="minorHAnsi"/>
          <w:bCs/>
        </w:rPr>
        <w:t xml:space="preserve">these advanced interventions </w:t>
      </w:r>
      <w:r w:rsidR="00585A8E" w:rsidRPr="00C70D1D">
        <w:rPr>
          <w:rFonts w:cstheme="minorHAnsi"/>
          <w:bCs/>
        </w:rPr>
        <w:t xml:space="preserve">soon. </w:t>
      </w:r>
      <w:r w:rsidR="00CA7374" w:rsidRPr="00C70D1D">
        <w:rPr>
          <w:rFonts w:cstheme="minorHAnsi"/>
          <w:bCs/>
        </w:rPr>
        <w:t xml:space="preserve">However, </w:t>
      </w:r>
      <w:r w:rsidRPr="00C70D1D">
        <w:rPr>
          <w:rFonts w:cstheme="minorHAnsi"/>
          <w:bCs/>
        </w:rPr>
        <w:t>set</w:t>
      </w:r>
      <w:r w:rsidR="00902427" w:rsidRPr="00C70D1D">
        <w:rPr>
          <w:rFonts w:cstheme="minorHAnsi"/>
          <w:bCs/>
        </w:rPr>
        <w:t xml:space="preserve">ting </w:t>
      </w:r>
      <w:r w:rsidR="00CA7374" w:rsidRPr="00C70D1D">
        <w:rPr>
          <w:rFonts w:cstheme="minorHAnsi"/>
          <w:bCs/>
        </w:rPr>
        <w:t xml:space="preserve">up a stroke unit is feasible. </w:t>
      </w:r>
      <w:r w:rsidR="00902427" w:rsidRPr="00C70D1D">
        <w:rPr>
          <w:rFonts w:cstheme="minorHAnsi"/>
          <w:bCs/>
        </w:rPr>
        <w:t>Reducing the d</w:t>
      </w:r>
      <w:r w:rsidR="00CA7374" w:rsidRPr="00C70D1D">
        <w:rPr>
          <w:rFonts w:cstheme="minorHAnsi"/>
          <w:bCs/>
        </w:rPr>
        <w:t>elay in making a</w:t>
      </w:r>
      <w:r w:rsidR="006D5113" w:rsidRPr="00C70D1D">
        <w:rPr>
          <w:rFonts w:cstheme="minorHAnsi"/>
          <w:bCs/>
        </w:rPr>
        <w:t xml:space="preserve"> diagnosis of</w:t>
      </w:r>
      <w:r w:rsidR="00CA7374" w:rsidRPr="00C70D1D">
        <w:rPr>
          <w:rFonts w:cstheme="minorHAnsi"/>
          <w:bCs/>
        </w:rPr>
        <w:t xml:space="preserve"> stroke </w:t>
      </w:r>
      <w:r w:rsidR="00902427" w:rsidRPr="00C70D1D">
        <w:rPr>
          <w:rFonts w:cstheme="minorHAnsi"/>
          <w:bCs/>
        </w:rPr>
        <w:t>or</w:t>
      </w:r>
      <w:r w:rsidRPr="00C70D1D">
        <w:rPr>
          <w:rFonts w:cstheme="minorHAnsi"/>
          <w:bCs/>
        </w:rPr>
        <w:t xml:space="preserve"> </w:t>
      </w:r>
      <w:r w:rsidR="00902427" w:rsidRPr="00C70D1D">
        <w:rPr>
          <w:rFonts w:cstheme="minorHAnsi"/>
          <w:bCs/>
        </w:rPr>
        <w:t>starting rehabilitation</w:t>
      </w:r>
      <w:r w:rsidR="0094328E" w:rsidRPr="00C70D1D">
        <w:rPr>
          <w:rFonts w:cstheme="minorHAnsi"/>
          <w:bCs/>
        </w:rPr>
        <w:t>, improving the</w:t>
      </w:r>
      <w:r w:rsidR="00CA7374" w:rsidRPr="00C70D1D">
        <w:rPr>
          <w:rFonts w:cstheme="minorHAnsi"/>
          <w:bCs/>
        </w:rPr>
        <w:t xml:space="preserve"> </w:t>
      </w:r>
      <w:r w:rsidR="002E697A" w:rsidRPr="00C70D1D">
        <w:rPr>
          <w:rFonts w:cstheme="minorHAnsi"/>
          <w:bCs/>
        </w:rPr>
        <w:t xml:space="preserve">monitoring of patients’ </w:t>
      </w:r>
      <w:r w:rsidR="00CA7374" w:rsidRPr="00C70D1D">
        <w:rPr>
          <w:rFonts w:cstheme="minorHAnsi"/>
          <w:bCs/>
        </w:rPr>
        <w:t>vital signs,</w:t>
      </w:r>
      <w:r w:rsidRPr="00C70D1D">
        <w:rPr>
          <w:rFonts w:cstheme="minorHAnsi"/>
          <w:bCs/>
        </w:rPr>
        <w:t xml:space="preserve"> </w:t>
      </w:r>
      <w:r w:rsidR="00CA7374" w:rsidRPr="00C70D1D">
        <w:rPr>
          <w:rFonts w:cstheme="minorHAnsi"/>
          <w:bCs/>
        </w:rPr>
        <w:t>control</w:t>
      </w:r>
      <w:r w:rsidR="008809AB" w:rsidRPr="00C70D1D">
        <w:rPr>
          <w:rFonts w:cstheme="minorHAnsi"/>
          <w:bCs/>
        </w:rPr>
        <w:t>ling</w:t>
      </w:r>
      <w:r w:rsidR="00CA7374" w:rsidRPr="00C70D1D">
        <w:rPr>
          <w:rFonts w:cstheme="minorHAnsi"/>
          <w:bCs/>
        </w:rPr>
        <w:t xml:space="preserve"> </w:t>
      </w:r>
      <w:r w:rsidR="0094328E" w:rsidRPr="00C70D1D">
        <w:rPr>
          <w:rFonts w:cstheme="minorHAnsi"/>
          <w:bCs/>
        </w:rPr>
        <w:t>cardiovascular risk factors</w:t>
      </w:r>
      <w:r w:rsidR="008809AB" w:rsidRPr="00C70D1D">
        <w:rPr>
          <w:rFonts w:cstheme="minorHAnsi"/>
          <w:bCs/>
        </w:rPr>
        <w:t>,</w:t>
      </w:r>
      <w:r w:rsidR="006D5113" w:rsidRPr="00C70D1D">
        <w:rPr>
          <w:rFonts w:cstheme="minorHAnsi"/>
          <w:bCs/>
        </w:rPr>
        <w:t xml:space="preserve"> and</w:t>
      </w:r>
      <w:r w:rsidR="0094328E" w:rsidRPr="00C70D1D">
        <w:rPr>
          <w:rFonts w:cstheme="minorHAnsi"/>
          <w:bCs/>
        </w:rPr>
        <w:t xml:space="preserve"> setting up health education programmes to improve secondary </w:t>
      </w:r>
      <w:r w:rsidR="00721170" w:rsidRPr="00C70D1D">
        <w:rPr>
          <w:rFonts w:cstheme="minorHAnsi"/>
          <w:bCs/>
        </w:rPr>
        <w:t xml:space="preserve">stroke </w:t>
      </w:r>
      <w:r w:rsidR="0094328E" w:rsidRPr="00C70D1D">
        <w:rPr>
          <w:rFonts w:cstheme="minorHAnsi"/>
          <w:bCs/>
        </w:rPr>
        <w:t>prevention represent</w:t>
      </w:r>
      <w:r w:rsidR="00721170" w:rsidRPr="00C70D1D">
        <w:rPr>
          <w:rFonts w:cstheme="minorHAnsi"/>
          <w:bCs/>
        </w:rPr>
        <w:t xml:space="preserve"> </w:t>
      </w:r>
      <w:r w:rsidR="00A333A9" w:rsidRPr="00C70D1D">
        <w:rPr>
          <w:rFonts w:cstheme="minorHAnsi"/>
          <w:bCs/>
        </w:rPr>
        <w:t>priority</w:t>
      </w:r>
      <w:r w:rsidR="00CA7374" w:rsidRPr="00C70D1D">
        <w:rPr>
          <w:rFonts w:cstheme="minorHAnsi"/>
          <w:bCs/>
        </w:rPr>
        <w:t xml:space="preserve"> </w:t>
      </w:r>
      <w:r w:rsidR="0094328E" w:rsidRPr="00C70D1D">
        <w:rPr>
          <w:rFonts w:cstheme="minorHAnsi"/>
          <w:bCs/>
        </w:rPr>
        <w:t xml:space="preserve">needs </w:t>
      </w:r>
      <w:r w:rsidR="00CA7374" w:rsidRPr="00C70D1D">
        <w:rPr>
          <w:rFonts w:cstheme="minorHAnsi"/>
          <w:bCs/>
        </w:rPr>
        <w:t xml:space="preserve">that the stroke unit should address. </w:t>
      </w:r>
      <w:r w:rsidR="00D136CB" w:rsidRPr="00C70D1D">
        <w:rPr>
          <w:rFonts w:cstheme="minorHAnsi"/>
          <w:bCs/>
        </w:rPr>
        <w:t>The World Stroke Organisation</w:t>
      </w:r>
      <w:r w:rsidR="005D1570" w:rsidRPr="00C70D1D">
        <w:rPr>
          <w:rFonts w:cstheme="minorHAnsi"/>
          <w:bCs/>
        </w:rPr>
        <w:t xml:space="preserve"> (WSO)</w:t>
      </w:r>
      <w:r w:rsidR="00D136CB" w:rsidRPr="00C70D1D">
        <w:rPr>
          <w:rFonts w:cstheme="minorHAnsi"/>
          <w:bCs/>
        </w:rPr>
        <w:t xml:space="preserve"> devised a road</w:t>
      </w:r>
      <w:r w:rsidR="003C2B49" w:rsidRPr="00C70D1D">
        <w:rPr>
          <w:rFonts w:cstheme="minorHAnsi"/>
          <w:bCs/>
        </w:rPr>
        <w:t xml:space="preserve"> </w:t>
      </w:r>
      <w:r w:rsidR="001872B4" w:rsidRPr="00C70D1D">
        <w:rPr>
          <w:rFonts w:cstheme="minorHAnsi"/>
          <w:bCs/>
        </w:rPr>
        <w:t>map</w:t>
      </w:r>
      <w:r w:rsidR="003C2B49" w:rsidRPr="00C70D1D">
        <w:rPr>
          <w:rFonts w:cstheme="minorHAnsi"/>
          <w:bCs/>
        </w:rPr>
        <w:t xml:space="preserve"> </w:t>
      </w:r>
      <w:r w:rsidR="0094328E" w:rsidRPr="00C70D1D">
        <w:rPr>
          <w:rFonts w:cstheme="minorHAnsi"/>
          <w:bCs/>
        </w:rPr>
        <w:t xml:space="preserve">for </w:t>
      </w:r>
      <w:r w:rsidR="00D136CB" w:rsidRPr="00C70D1D">
        <w:rPr>
          <w:rFonts w:cstheme="minorHAnsi"/>
          <w:bCs/>
        </w:rPr>
        <w:t xml:space="preserve">delivering acute stroke care </w:t>
      </w:r>
      <w:r w:rsidR="0094328E" w:rsidRPr="00C70D1D">
        <w:rPr>
          <w:rFonts w:cstheme="minorHAnsi"/>
          <w:bCs/>
        </w:rPr>
        <w:t>that</w:t>
      </w:r>
      <w:r w:rsidR="003C2B49" w:rsidRPr="00C70D1D">
        <w:rPr>
          <w:rFonts w:cstheme="minorHAnsi"/>
          <w:bCs/>
        </w:rPr>
        <w:t xml:space="preserve"> </w:t>
      </w:r>
      <w:r w:rsidR="001872B4" w:rsidRPr="00C70D1D">
        <w:rPr>
          <w:rFonts w:cstheme="minorHAnsi"/>
          <w:bCs/>
        </w:rPr>
        <w:t xml:space="preserve">gives realistic expectations of what different settings should have in terms of both resources and services. </w:t>
      </w:r>
      <w:r w:rsidR="005D1570" w:rsidRPr="00C70D1D">
        <w:rPr>
          <w:rFonts w:cstheme="minorHAnsi"/>
          <w:bCs/>
        </w:rPr>
        <w:t xml:space="preserve">From our experience in conducting this audit, </w:t>
      </w:r>
      <w:r w:rsidR="00B1063F" w:rsidRPr="00C70D1D">
        <w:rPr>
          <w:rFonts w:cstheme="minorHAnsi"/>
          <w:bCs/>
        </w:rPr>
        <w:t>and</w:t>
      </w:r>
      <w:r w:rsidR="005D1570" w:rsidRPr="00C70D1D">
        <w:rPr>
          <w:rFonts w:cstheme="minorHAnsi"/>
          <w:bCs/>
        </w:rPr>
        <w:t xml:space="preserve"> with data reported in a case report that reflected on the challenges of stroke management in resource-limited settings</w:t>
      </w:r>
      <w:r w:rsidR="00B1063F" w:rsidRPr="00C70D1D">
        <w:rPr>
          <w:rFonts w:cstheme="minorHAnsi"/>
          <w:bCs/>
          <w:vertAlign w:val="superscript"/>
        </w:rPr>
        <w:t>8</w:t>
      </w:r>
      <w:r w:rsidR="005D1570" w:rsidRPr="00C70D1D">
        <w:rPr>
          <w:rFonts w:cstheme="minorHAnsi"/>
          <w:bCs/>
        </w:rPr>
        <w:t xml:space="preserve">, </w:t>
      </w:r>
      <w:r w:rsidR="001872B4" w:rsidRPr="00C70D1D">
        <w:rPr>
          <w:rFonts w:cstheme="minorHAnsi"/>
          <w:bCs/>
        </w:rPr>
        <w:t>QECH falls in the ‘minimum healthcare services’ category</w:t>
      </w:r>
      <w:r w:rsidR="005D1570" w:rsidRPr="00C70D1D">
        <w:rPr>
          <w:rFonts w:cstheme="minorHAnsi"/>
          <w:bCs/>
        </w:rPr>
        <w:t xml:space="preserve"> of the WSO roadmap. </w:t>
      </w:r>
      <w:r w:rsidR="005D1570" w:rsidRPr="009D0421">
        <w:rPr>
          <w:rFonts w:cstheme="minorHAnsi"/>
          <w:bCs/>
        </w:rPr>
        <w:t>Table 3</w:t>
      </w:r>
      <w:r w:rsidR="005D1570" w:rsidRPr="00C70D1D">
        <w:rPr>
          <w:rFonts w:cstheme="minorHAnsi"/>
          <w:bCs/>
        </w:rPr>
        <w:t xml:space="preserve"> summarises the available resources and services at QECH.</w:t>
      </w:r>
      <w:r w:rsidR="00B1063F" w:rsidRPr="00C70D1D">
        <w:rPr>
          <w:rFonts w:cstheme="minorHAnsi"/>
          <w:bCs/>
        </w:rPr>
        <w:t xml:space="preserve"> With such structural limitations, it would be expected that stroke care service provision would be suboptimal. Our audit found that the challenge of limited resources</w:t>
      </w:r>
      <w:r w:rsidR="00F73F53" w:rsidRPr="00C70D1D">
        <w:rPr>
          <w:rFonts w:cstheme="minorHAnsi"/>
          <w:bCs/>
        </w:rPr>
        <w:t xml:space="preserve"> in this setting</w:t>
      </w:r>
      <w:r w:rsidR="00B1063F" w:rsidRPr="00C70D1D">
        <w:rPr>
          <w:rFonts w:cstheme="minorHAnsi"/>
          <w:bCs/>
        </w:rPr>
        <w:t xml:space="preserve"> is further exacerbated by u</w:t>
      </w:r>
      <w:r w:rsidR="001872B4" w:rsidRPr="00C70D1D">
        <w:rPr>
          <w:rFonts w:cstheme="minorHAnsi"/>
          <w:bCs/>
        </w:rPr>
        <w:t>nderutilisation of services</w:t>
      </w:r>
      <w:r w:rsidR="00585A8E" w:rsidRPr="00C70D1D">
        <w:rPr>
          <w:rFonts w:cstheme="minorHAnsi"/>
          <w:bCs/>
        </w:rPr>
        <w:t xml:space="preserve"> that are already available</w:t>
      </w:r>
      <w:r w:rsidR="001872B4" w:rsidRPr="00C70D1D">
        <w:rPr>
          <w:rFonts w:cstheme="minorHAnsi"/>
          <w:bCs/>
        </w:rPr>
        <w:t xml:space="preserve">. The laboratory </w:t>
      </w:r>
      <w:r w:rsidR="00D25207" w:rsidRPr="00C70D1D">
        <w:rPr>
          <w:rFonts w:cstheme="minorHAnsi"/>
          <w:bCs/>
        </w:rPr>
        <w:t xml:space="preserve">has the capacity to perform </w:t>
      </w:r>
      <w:r w:rsidR="00F34E7A" w:rsidRPr="00C70D1D">
        <w:rPr>
          <w:rFonts w:cstheme="minorHAnsi"/>
          <w:bCs/>
        </w:rPr>
        <w:t>FBC</w:t>
      </w:r>
      <w:r w:rsidR="0094328E" w:rsidRPr="00C70D1D">
        <w:rPr>
          <w:rFonts w:cstheme="minorHAnsi"/>
          <w:bCs/>
        </w:rPr>
        <w:t xml:space="preserve"> and kidney function </w:t>
      </w:r>
      <w:r w:rsidR="00BC791E" w:rsidRPr="00C70D1D">
        <w:rPr>
          <w:rFonts w:cstheme="minorHAnsi"/>
          <w:bCs/>
        </w:rPr>
        <w:t>tests,</w:t>
      </w:r>
      <w:r w:rsidR="004F29F3" w:rsidRPr="00C70D1D">
        <w:rPr>
          <w:rFonts w:cstheme="minorHAnsi"/>
          <w:bCs/>
        </w:rPr>
        <w:t xml:space="preserve"> </w:t>
      </w:r>
      <w:r w:rsidR="001872B4" w:rsidRPr="00C70D1D">
        <w:rPr>
          <w:rFonts w:cstheme="minorHAnsi"/>
          <w:bCs/>
        </w:rPr>
        <w:t xml:space="preserve">but </w:t>
      </w:r>
      <w:r w:rsidR="0094328E" w:rsidRPr="00C70D1D">
        <w:rPr>
          <w:rFonts w:cstheme="minorHAnsi"/>
          <w:bCs/>
        </w:rPr>
        <w:t>these test</w:t>
      </w:r>
      <w:r w:rsidR="00A333A9" w:rsidRPr="00C70D1D">
        <w:rPr>
          <w:rFonts w:cstheme="minorHAnsi"/>
          <w:bCs/>
        </w:rPr>
        <w:t>s</w:t>
      </w:r>
      <w:r w:rsidR="0094328E" w:rsidRPr="00C70D1D">
        <w:rPr>
          <w:rFonts w:cstheme="minorHAnsi"/>
          <w:bCs/>
        </w:rPr>
        <w:t xml:space="preserve"> were not </w:t>
      </w:r>
      <w:r w:rsidR="008809AB" w:rsidRPr="00C70D1D">
        <w:rPr>
          <w:rFonts w:cstheme="minorHAnsi"/>
          <w:bCs/>
        </w:rPr>
        <w:t xml:space="preserve">requested </w:t>
      </w:r>
      <w:r w:rsidR="0094328E" w:rsidRPr="00C70D1D">
        <w:rPr>
          <w:rFonts w:cstheme="minorHAnsi"/>
          <w:bCs/>
        </w:rPr>
        <w:t>in all patients</w:t>
      </w:r>
      <w:r w:rsidR="001872B4" w:rsidRPr="00C70D1D">
        <w:rPr>
          <w:rFonts w:cstheme="minorHAnsi"/>
          <w:bCs/>
        </w:rPr>
        <w:t xml:space="preserve">. </w:t>
      </w:r>
      <w:r w:rsidR="006D0421" w:rsidRPr="00C70D1D">
        <w:rPr>
          <w:rFonts w:cstheme="minorHAnsi"/>
          <w:bCs/>
        </w:rPr>
        <w:t>These basic tests</w:t>
      </w:r>
      <w:r w:rsidR="001872B4" w:rsidRPr="00C70D1D">
        <w:rPr>
          <w:rFonts w:cstheme="minorHAnsi"/>
          <w:bCs/>
        </w:rPr>
        <w:t xml:space="preserve"> can have</w:t>
      </w:r>
      <w:r w:rsidR="006D0421" w:rsidRPr="00C70D1D">
        <w:rPr>
          <w:rFonts w:cstheme="minorHAnsi"/>
          <w:bCs/>
        </w:rPr>
        <w:t xml:space="preserve"> important</w:t>
      </w:r>
      <w:r w:rsidR="001872B4" w:rsidRPr="00C70D1D">
        <w:rPr>
          <w:rFonts w:cstheme="minorHAnsi"/>
          <w:bCs/>
        </w:rPr>
        <w:t xml:space="preserve"> clinical implications </w:t>
      </w:r>
      <w:r w:rsidR="00BA6478" w:rsidRPr="00C70D1D">
        <w:rPr>
          <w:rFonts w:cstheme="minorHAnsi"/>
          <w:bCs/>
        </w:rPr>
        <w:t xml:space="preserve">for </w:t>
      </w:r>
      <w:r w:rsidR="001872B4" w:rsidRPr="00C70D1D">
        <w:rPr>
          <w:rFonts w:cstheme="minorHAnsi"/>
          <w:bCs/>
        </w:rPr>
        <w:t>stroke care</w:t>
      </w:r>
      <w:r w:rsidR="00BE522E" w:rsidRPr="00C70D1D">
        <w:rPr>
          <w:rFonts w:cstheme="minorHAnsi"/>
          <w:bCs/>
        </w:rPr>
        <w:t>. For instance,</w:t>
      </w:r>
      <w:r w:rsidR="001872B4" w:rsidRPr="00C70D1D">
        <w:rPr>
          <w:rFonts w:cstheme="minorHAnsi"/>
          <w:bCs/>
        </w:rPr>
        <w:t xml:space="preserve"> </w:t>
      </w:r>
      <w:r w:rsidR="00BE522E" w:rsidRPr="00C70D1D">
        <w:rPr>
          <w:rFonts w:cstheme="minorHAnsi"/>
          <w:bCs/>
        </w:rPr>
        <w:t xml:space="preserve">a </w:t>
      </w:r>
      <w:r w:rsidR="001872B4" w:rsidRPr="00C70D1D">
        <w:rPr>
          <w:rFonts w:cstheme="minorHAnsi"/>
          <w:bCs/>
        </w:rPr>
        <w:t>low platelet count may raise suspicion of intracranial bleed</w:t>
      </w:r>
      <w:r w:rsidR="00BE522E" w:rsidRPr="00C70D1D">
        <w:rPr>
          <w:rFonts w:cstheme="minorHAnsi"/>
          <w:bCs/>
        </w:rPr>
        <w:t>ing</w:t>
      </w:r>
      <w:r w:rsidR="001872B4" w:rsidRPr="00C70D1D">
        <w:rPr>
          <w:rFonts w:cstheme="minorHAnsi"/>
          <w:bCs/>
        </w:rPr>
        <w:t xml:space="preserve"> and would </w:t>
      </w:r>
      <w:r w:rsidR="00BE522E" w:rsidRPr="00C70D1D">
        <w:rPr>
          <w:rFonts w:cstheme="minorHAnsi"/>
          <w:bCs/>
        </w:rPr>
        <w:t xml:space="preserve">deter </w:t>
      </w:r>
      <w:r w:rsidR="008809AB" w:rsidRPr="00C70D1D">
        <w:rPr>
          <w:rFonts w:cstheme="minorHAnsi"/>
          <w:bCs/>
        </w:rPr>
        <w:t xml:space="preserve">the </w:t>
      </w:r>
      <w:r w:rsidR="001872B4" w:rsidRPr="00C70D1D">
        <w:rPr>
          <w:rFonts w:cstheme="minorHAnsi"/>
          <w:bCs/>
        </w:rPr>
        <w:t>administration of aspirin</w:t>
      </w:r>
      <w:r w:rsidR="00337313" w:rsidRPr="00C70D1D">
        <w:rPr>
          <w:rFonts w:cstheme="minorHAnsi"/>
          <w:bCs/>
        </w:rPr>
        <w:t>,</w:t>
      </w:r>
      <w:r w:rsidR="003C2B49" w:rsidRPr="00C70D1D">
        <w:rPr>
          <w:rFonts w:cstheme="minorHAnsi"/>
          <w:bCs/>
        </w:rPr>
        <w:t xml:space="preserve"> </w:t>
      </w:r>
      <w:r w:rsidR="00337313" w:rsidRPr="00C70D1D">
        <w:rPr>
          <w:rFonts w:cstheme="minorHAnsi"/>
          <w:bCs/>
        </w:rPr>
        <w:t xml:space="preserve">whereas </w:t>
      </w:r>
      <w:r w:rsidR="003C2B49" w:rsidRPr="00C70D1D">
        <w:rPr>
          <w:rFonts w:cstheme="minorHAnsi"/>
          <w:bCs/>
        </w:rPr>
        <w:t xml:space="preserve">polycythaemia and leucocytosis </w:t>
      </w:r>
      <w:r w:rsidR="006D0421" w:rsidRPr="00C70D1D">
        <w:rPr>
          <w:rFonts w:cstheme="minorHAnsi"/>
          <w:bCs/>
        </w:rPr>
        <w:t xml:space="preserve">may </w:t>
      </w:r>
      <w:r w:rsidR="003C2B49" w:rsidRPr="00C70D1D">
        <w:rPr>
          <w:rFonts w:cstheme="minorHAnsi"/>
          <w:bCs/>
        </w:rPr>
        <w:t xml:space="preserve">suggest </w:t>
      </w:r>
      <w:r w:rsidRPr="00C70D1D">
        <w:rPr>
          <w:rFonts w:cstheme="minorHAnsi"/>
          <w:bCs/>
        </w:rPr>
        <w:t>a</w:t>
      </w:r>
      <w:r w:rsidR="0094328E" w:rsidRPr="00C70D1D">
        <w:rPr>
          <w:rFonts w:cstheme="minorHAnsi"/>
          <w:bCs/>
        </w:rPr>
        <w:t xml:space="preserve"> diagnosis of</w:t>
      </w:r>
      <w:r w:rsidR="003C2B49" w:rsidRPr="00C70D1D">
        <w:rPr>
          <w:rFonts w:cstheme="minorHAnsi"/>
          <w:bCs/>
        </w:rPr>
        <w:t xml:space="preserve"> ischaemic stroke</w:t>
      </w:r>
      <w:r w:rsidR="00503368" w:rsidRPr="00B17041">
        <w:rPr>
          <w:rFonts w:cstheme="minorHAnsi"/>
          <w:bCs/>
          <w:vertAlign w:val="superscript"/>
        </w:rPr>
        <w:t>2</w:t>
      </w:r>
      <w:r w:rsidR="00880AD8" w:rsidRPr="00C70D1D">
        <w:rPr>
          <w:rFonts w:cstheme="minorHAnsi"/>
          <w:bCs/>
          <w:vertAlign w:val="superscript"/>
        </w:rPr>
        <w:t>8</w:t>
      </w:r>
      <w:r w:rsidR="002D46F9" w:rsidRPr="00B17041">
        <w:rPr>
          <w:rFonts w:cstheme="minorHAnsi"/>
          <w:bCs/>
          <w:vertAlign w:val="superscript"/>
        </w:rPr>
        <w:t>,</w:t>
      </w:r>
      <w:r w:rsidR="00503368" w:rsidRPr="00B17041">
        <w:rPr>
          <w:rFonts w:cstheme="minorHAnsi"/>
          <w:bCs/>
          <w:vertAlign w:val="superscript"/>
        </w:rPr>
        <w:t>2</w:t>
      </w:r>
      <w:r w:rsidR="00880AD8" w:rsidRPr="00C70D1D">
        <w:rPr>
          <w:rFonts w:cstheme="minorHAnsi"/>
          <w:bCs/>
          <w:vertAlign w:val="superscript"/>
        </w:rPr>
        <w:t>9</w:t>
      </w:r>
      <w:r w:rsidR="003C2B49" w:rsidRPr="00C70D1D">
        <w:rPr>
          <w:rFonts w:cstheme="minorHAnsi"/>
          <w:bCs/>
        </w:rPr>
        <w:t>.</w:t>
      </w:r>
    </w:p>
    <w:p w14:paraId="0A4BDB78" w14:textId="6DC65463" w:rsidR="0085246D" w:rsidRPr="00C70D1D" w:rsidRDefault="006B4B9B" w:rsidP="004E379E">
      <w:pPr>
        <w:jc w:val="both"/>
        <w:rPr>
          <w:rFonts w:cstheme="minorHAnsi"/>
        </w:rPr>
      </w:pPr>
      <w:r w:rsidRPr="00C70D1D">
        <w:rPr>
          <w:rFonts w:cstheme="minorHAnsi"/>
        </w:rPr>
        <w:t xml:space="preserve">The strengths of this audit are the </w:t>
      </w:r>
      <w:r w:rsidR="006D0421" w:rsidRPr="00C70D1D">
        <w:rPr>
          <w:rFonts w:cstheme="minorHAnsi"/>
        </w:rPr>
        <w:t xml:space="preserve">prospective </w:t>
      </w:r>
      <w:r w:rsidRPr="00C70D1D">
        <w:rPr>
          <w:rFonts w:cstheme="minorHAnsi"/>
        </w:rPr>
        <w:t>consecutive recruitment of patients and the rigorous collection and management of data</w:t>
      </w:r>
      <w:r w:rsidR="00AD3470" w:rsidRPr="00C70D1D">
        <w:rPr>
          <w:rFonts w:cstheme="minorHAnsi"/>
        </w:rPr>
        <w:t>.</w:t>
      </w:r>
      <w:r w:rsidRPr="00C70D1D">
        <w:rPr>
          <w:rFonts w:cstheme="minorHAnsi"/>
        </w:rPr>
        <w:t xml:space="preserve"> Its limitation</w:t>
      </w:r>
      <w:r w:rsidR="0004751B" w:rsidRPr="00C70D1D">
        <w:rPr>
          <w:rFonts w:cstheme="minorHAnsi"/>
        </w:rPr>
        <w:t>s</w:t>
      </w:r>
      <w:r w:rsidRPr="00C70D1D">
        <w:rPr>
          <w:rFonts w:cstheme="minorHAnsi"/>
        </w:rPr>
        <w:t xml:space="preserve"> </w:t>
      </w:r>
      <w:r w:rsidR="0004751B" w:rsidRPr="00C70D1D">
        <w:rPr>
          <w:rFonts w:cstheme="minorHAnsi"/>
        </w:rPr>
        <w:t>include</w:t>
      </w:r>
      <w:r w:rsidRPr="00C70D1D">
        <w:rPr>
          <w:rFonts w:cstheme="minorHAnsi"/>
        </w:rPr>
        <w:t xml:space="preserve"> the small sample size due to time and budgetary constraints.</w:t>
      </w:r>
      <w:r w:rsidR="001872B4" w:rsidRPr="00C70D1D">
        <w:rPr>
          <w:rFonts w:cstheme="minorHAnsi"/>
        </w:rPr>
        <w:t xml:space="preserve"> </w:t>
      </w:r>
      <w:r w:rsidRPr="00C70D1D">
        <w:rPr>
          <w:rFonts w:cstheme="minorHAnsi"/>
        </w:rPr>
        <w:t>Moreover, as the data collection was based mainly on chart review</w:t>
      </w:r>
      <w:r w:rsidR="00C019D0" w:rsidRPr="00C70D1D">
        <w:rPr>
          <w:rFonts w:cstheme="minorHAnsi"/>
        </w:rPr>
        <w:t>s</w:t>
      </w:r>
      <w:r w:rsidRPr="00C70D1D">
        <w:rPr>
          <w:rFonts w:cstheme="minorHAnsi"/>
        </w:rPr>
        <w:t>,</w:t>
      </w:r>
      <w:r w:rsidR="001872B4" w:rsidRPr="00C70D1D">
        <w:rPr>
          <w:rFonts w:cstheme="minorHAnsi"/>
        </w:rPr>
        <w:t xml:space="preserve"> </w:t>
      </w:r>
      <w:r w:rsidRPr="00C70D1D">
        <w:rPr>
          <w:rFonts w:cstheme="minorHAnsi"/>
        </w:rPr>
        <w:t xml:space="preserve">we </w:t>
      </w:r>
      <w:r w:rsidR="00DC7CF1" w:rsidRPr="00C70D1D">
        <w:rPr>
          <w:rFonts w:cstheme="minorHAnsi"/>
        </w:rPr>
        <w:t xml:space="preserve">assumed that </w:t>
      </w:r>
      <w:r w:rsidRPr="00C70D1D">
        <w:rPr>
          <w:rFonts w:cstheme="minorHAnsi"/>
        </w:rPr>
        <w:t>any intervention</w:t>
      </w:r>
      <w:r w:rsidR="00DC7CF1" w:rsidRPr="00C70D1D">
        <w:rPr>
          <w:rFonts w:cstheme="minorHAnsi"/>
        </w:rPr>
        <w:t xml:space="preserve"> n</w:t>
      </w:r>
      <w:r w:rsidR="0085246D" w:rsidRPr="00C70D1D">
        <w:rPr>
          <w:rFonts w:cstheme="minorHAnsi"/>
        </w:rPr>
        <w:t xml:space="preserve">ot documented </w:t>
      </w:r>
      <w:r w:rsidR="00DC7CF1" w:rsidRPr="00C70D1D">
        <w:rPr>
          <w:rFonts w:cstheme="minorHAnsi"/>
        </w:rPr>
        <w:t xml:space="preserve">was not </w:t>
      </w:r>
      <w:r w:rsidRPr="00C70D1D">
        <w:rPr>
          <w:rFonts w:cstheme="minorHAnsi"/>
        </w:rPr>
        <w:t>performed</w:t>
      </w:r>
      <w:r w:rsidR="00DC7CF1" w:rsidRPr="00C70D1D">
        <w:rPr>
          <w:rFonts w:cstheme="minorHAnsi"/>
        </w:rPr>
        <w:t>. This as</w:t>
      </w:r>
      <w:r w:rsidR="001872B4" w:rsidRPr="00C70D1D">
        <w:rPr>
          <w:rFonts w:cstheme="minorHAnsi"/>
        </w:rPr>
        <w:t>sumption may not be true in some cases</w:t>
      </w:r>
      <w:r w:rsidRPr="00C70D1D">
        <w:rPr>
          <w:rFonts w:cstheme="minorHAnsi"/>
        </w:rPr>
        <w:t>.</w:t>
      </w:r>
      <w:r w:rsidR="001872B4" w:rsidRPr="00C70D1D">
        <w:rPr>
          <w:rFonts w:cstheme="minorHAnsi"/>
        </w:rPr>
        <w:t xml:space="preserve"> Lastly, the audit lacked</w:t>
      </w:r>
      <w:r w:rsidR="00DC7CF1" w:rsidRPr="00C70D1D">
        <w:rPr>
          <w:rFonts w:cstheme="minorHAnsi"/>
        </w:rPr>
        <w:t xml:space="preserve"> a </w:t>
      </w:r>
      <w:r w:rsidR="001872B4" w:rsidRPr="00C70D1D">
        <w:rPr>
          <w:rFonts w:cstheme="minorHAnsi"/>
        </w:rPr>
        <w:t>follow-up component</w:t>
      </w:r>
      <w:r w:rsidR="00DC7CF1" w:rsidRPr="00C70D1D">
        <w:rPr>
          <w:rFonts w:cstheme="minorHAnsi"/>
        </w:rPr>
        <w:t xml:space="preserve">. Data on stroke mortality </w:t>
      </w:r>
      <w:r w:rsidRPr="00C70D1D">
        <w:rPr>
          <w:rFonts w:cstheme="minorHAnsi"/>
        </w:rPr>
        <w:t>and</w:t>
      </w:r>
      <w:r w:rsidR="00833A58" w:rsidRPr="00C70D1D">
        <w:rPr>
          <w:rFonts w:cstheme="minorHAnsi"/>
        </w:rPr>
        <w:t xml:space="preserve"> </w:t>
      </w:r>
      <w:r w:rsidR="00DC7CF1" w:rsidRPr="00C70D1D">
        <w:rPr>
          <w:rFonts w:cstheme="minorHAnsi"/>
        </w:rPr>
        <w:t xml:space="preserve">functional outcome at 3 months and </w:t>
      </w:r>
      <w:r w:rsidR="00D76507" w:rsidRPr="00C70D1D">
        <w:rPr>
          <w:rFonts w:cstheme="minorHAnsi"/>
        </w:rPr>
        <w:t xml:space="preserve">compliance </w:t>
      </w:r>
      <w:r w:rsidR="0004751B" w:rsidRPr="00C70D1D">
        <w:rPr>
          <w:rFonts w:cstheme="minorHAnsi"/>
        </w:rPr>
        <w:t>with</w:t>
      </w:r>
      <w:r w:rsidR="00D76507" w:rsidRPr="00C70D1D">
        <w:rPr>
          <w:rFonts w:cstheme="minorHAnsi"/>
        </w:rPr>
        <w:t xml:space="preserve"> the</w:t>
      </w:r>
      <w:r w:rsidR="00DC7CF1" w:rsidRPr="00C70D1D">
        <w:rPr>
          <w:rFonts w:cstheme="minorHAnsi"/>
        </w:rPr>
        <w:t xml:space="preserve"> follow-up </w:t>
      </w:r>
      <w:r w:rsidR="00D76507" w:rsidRPr="00C70D1D">
        <w:rPr>
          <w:rFonts w:cstheme="minorHAnsi"/>
        </w:rPr>
        <w:t>calendar</w:t>
      </w:r>
      <w:r w:rsidR="00DC7CF1" w:rsidRPr="00C70D1D">
        <w:rPr>
          <w:rFonts w:cstheme="minorHAnsi"/>
        </w:rPr>
        <w:t xml:space="preserve"> would have been </w:t>
      </w:r>
      <w:r w:rsidRPr="00C70D1D">
        <w:rPr>
          <w:rFonts w:cstheme="minorHAnsi"/>
        </w:rPr>
        <w:t>useful</w:t>
      </w:r>
      <w:r w:rsidR="00D76507" w:rsidRPr="00C70D1D">
        <w:rPr>
          <w:rFonts w:cstheme="minorHAnsi"/>
        </w:rPr>
        <w:t xml:space="preserve"> to inform the </w:t>
      </w:r>
      <w:r w:rsidR="004F29F3" w:rsidRPr="00C70D1D">
        <w:rPr>
          <w:rFonts w:cstheme="minorHAnsi"/>
        </w:rPr>
        <w:t>planning of</w:t>
      </w:r>
      <w:r w:rsidR="00D76507" w:rsidRPr="00C70D1D">
        <w:rPr>
          <w:rFonts w:cstheme="minorHAnsi"/>
        </w:rPr>
        <w:t xml:space="preserve"> long-term care after discharge</w:t>
      </w:r>
      <w:r w:rsidR="00DC7CF1" w:rsidRPr="00C70D1D">
        <w:rPr>
          <w:rFonts w:cstheme="minorHAnsi"/>
        </w:rPr>
        <w:t>.</w:t>
      </w:r>
    </w:p>
    <w:p w14:paraId="51FF2DCC" w14:textId="6CA03EF7" w:rsidR="002E697A" w:rsidRPr="00C70D1D" w:rsidRDefault="00A42EF0" w:rsidP="004E379E">
      <w:pPr>
        <w:jc w:val="both"/>
        <w:rPr>
          <w:rFonts w:cstheme="minorHAnsi"/>
          <w:b/>
        </w:rPr>
      </w:pPr>
      <w:r w:rsidRPr="00C70D1D">
        <w:rPr>
          <w:rFonts w:cstheme="minorHAnsi"/>
          <w:b/>
        </w:rPr>
        <w:t>Conclusion</w:t>
      </w:r>
    </w:p>
    <w:p w14:paraId="450E890D" w14:textId="63FEBCB4" w:rsidR="00585A8E" w:rsidRPr="00C70D1D" w:rsidRDefault="006F06AD" w:rsidP="00585A8E">
      <w:pPr>
        <w:jc w:val="both"/>
        <w:rPr>
          <w:rFonts w:cstheme="minorHAnsi"/>
        </w:rPr>
      </w:pPr>
      <w:r w:rsidRPr="00C70D1D">
        <w:rPr>
          <w:rFonts w:cstheme="minorHAnsi"/>
        </w:rPr>
        <w:t xml:space="preserve">This </w:t>
      </w:r>
      <w:r w:rsidR="0004751B" w:rsidRPr="00C70D1D">
        <w:rPr>
          <w:rFonts w:cstheme="minorHAnsi"/>
        </w:rPr>
        <w:t>audit</w:t>
      </w:r>
      <w:r w:rsidRPr="00C70D1D">
        <w:rPr>
          <w:rFonts w:cstheme="minorHAnsi"/>
        </w:rPr>
        <w:t xml:space="preserve"> has unveiled a </w:t>
      </w:r>
      <w:r w:rsidR="002213D2" w:rsidRPr="00C70D1D">
        <w:rPr>
          <w:rFonts w:cstheme="minorHAnsi"/>
        </w:rPr>
        <w:t xml:space="preserve">significant </w:t>
      </w:r>
      <w:r w:rsidRPr="00C70D1D">
        <w:rPr>
          <w:rFonts w:cstheme="minorHAnsi"/>
        </w:rPr>
        <w:t>gap between</w:t>
      </w:r>
      <w:r w:rsidR="002E697A" w:rsidRPr="00C70D1D">
        <w:rPr>
          <w:rFonts w:cstheme="minorHAnsi"/>
        </w:rPr>
        <w:t xml:space="preserve"> current stroke management </w:t>
      </w:r>
      <w:r w:rsidRPr="00C70D1D">
        <w:rPr>
          <w:rFonts w:cstheme="minorHAnsi"/>
        </w:rPr>
        <w:t>practices</w:t>
      </w:r>
      <w:r w:rsidR="00833A58" w:rsidRPr="00C70D1D">
        <w:rPr>
          <w:rFonts w:cstheme="minorHAnsi"/>
        </w:rPr>
        <w:t xml:space="preserve"> </w:t>
      </w:r>
      <w:r w:rsidR="002E697A" w:rsidRPr="00C70D1D">
        <w:rPr>
          <w:rFonts w:cstheme="minorHAnsi"/>
        </w:rPr>
        <w:t xml:space="preserve">at QECH </w:t>
      </w:r>
      <w:r w:rsidRPr="00C70D1D">
        <w:rPr>
          <w:rFonts w:cstheme="minorHAnsi"/>
        </w:rPr>
        <w:t>and</w:t>
      </w:r>
      <w:r w:rsidR="002E697A" w:rsidRPr="00C70D1D">
        <w:rPr>
          <w:rFonts w:cstheme="minorHAnsi"/>
        </w:rPr>
        <w:t xml:space="preserve"> international </w:t>
      </w:r>
      <w:r w:rsidRPr="00C70D1D">
        <w:rPr>
          <w:rFonts w:cstheme="minorHAnsi"/>
        </w:rPr>
        <w:t xml:space="preserve">evidence-based </w:t>
      </w:r>
      <w:r w:rsidR="002E697A" w:rsidRPr="00C70D1D">
        <w:rPr>
          <w:rFonts w:cstheme="minorHAnsi"/>
        </w:rPr>
        <w:t xml:space="preserve">guidelines. </w:t>
      </w:r>
      <w:r w:rsidR="00B32DB0" w:rsidRPr="00C70D1D">
        <w:rPr>
          <w:rFonts w:cstheme="minorHAnsi"/>
          <w:bCs/>
        </w:rPr>
        <w:t>Reducing the delay in making a stroke diagnosis</w:t>
      </w:r>
      <w:r w:rsidR="00585A8E" w:rsidRPr="00C70D1D">
        <w:rPr>
          <w:rFonts w:cstheme="minorHAnsi"/>
          <w:bCs/>
        </w:rPr>
        <w:t xml:space="preserve">, </w:t>
      </w:r>
      <w:r w:rsidR="002D46F9" w:rsidRPr="00C70D1D">
        <w:rPr>
          <w:rFonts w:cstheme="minorHAnsi"/>
          <w:bCs/>
        </w:rPr>
        <w:t xml:space="preserve">performing </w:t>
      </w:r>
      <w:r w:rsidR="00585A8E" w:rsidRPr="00C70D1D">
        <w:rPr>
          <w:rFonts w:cstheme="minorHAnsi"/>
          <w:bCs/>
        </w:rPr>
        <w:t xml:space="preserve">early </w:t>
      </w:r>
      <w:r w:rsidR="002D46F9" w:rsidRPr="00C70D1D">
        <w:rPr>
          <w:rFonts w:cstheme="minorHAnsi"/>
          <w:bCs/>
        </w:rPr>
        <w:t>dysphagia screening</w:t>
      </w:r>
      <w:r w:rsidR="00B32DB0" w:rsidRPr="00C70D1D">
        <w:rPr>
          <w:rFonts w:cstheme="minorHAnsi"/>
          <w:bCs/>
        </w:rPr>
        <w:t xml:space="preserve">, improving the monitoring of patients’ vital signs and the control of their cardiovascular risk factors, </w:t>
      </w:r>
      <w:r w:rsidR="00D07ED2" w:rsidRPr="00C70D1D">
        <w:rPr>
          <w:rFonts w:cstheme="minorHAnsi"/>
          <w:bCs/>
        </w:rPr>
        <w:t xml:space="preserve">and </w:t>
      </w:r>
      <w:r w:rsidR="00B32DB0" w:rsidRPr="00C70D1D">
        <w:rPr>
          <w:rFonts w:cstheme="minorHAnsi"/>
          <w:bCs/>
        </w:rPr>
        <w:t xml:space="preserve">setting up health education programmes to improve secondary </w:t>
      </w:r>
      <w:r w:rsidR="00D63195" w:rsidRPr="00C70D1D">
        <w:rPr>
          <w:rFonts w:cstheme="minorHAnsi"/>
          <w:bCs/>
        </w:rPr>
        <w:t>prevention represent</w:t>
      </w:r>
      <w:r w:rsidR="00B32DB0" w:rsidRPr="00C70D1D">
        <w:rPr>
          <w:rFonts w:cstheme="minorHAnsi"/>
          <w:bCs/>
        </w:rPr>
        <w:t xml:space="preserve"> </w:t>
      </w:r>
      <w:r w:rsidR="00D63195" w:rsidRPr="00C70D1D">
        <w:rPr>
          <w:rFonts w:cstheme="minorHAnsi"/>
          <w:bCs/>
        </w:rPr>
        <w:t xml:space="preserve">urgent </w:t>
      </w:r>
      <w:r w:rsidR="00BE522E" w:rsidRPr="00C70D1D">
        <w:rPr>
          <w:rFonts w:cstheme="minorHAnsi"/>
          <w:bCs/>
        </w:rPr>
        <w:t>and achievable goals</w:t>
      </w:r>
      <w:r w:rsidR="00B32DB0" w:rsidRPr="00C70D1D">
        <w:rPr>
          <w:rFonts w:cstheme="minorHAnsi"/>
          <w:bCs/>
        </w:rPr>
        <w:t xml:space="preserve">. </w:t>
      </w:r>
      <w:r w:rsidR="00A33E6D" w:rsidRPr="00C70D1D">
        <w:rPr>
          <w:rFonts w:cstheme="minorHAnsi"/>
        </w:rPr>
        <w:t>I</w:t>
      </w:r>
      <w:r w:rsidR="00B32DB0" w:rsidRPr="00C70D1D">
        <w:rPr>
          <w:rFonts w:cstheme="minorHAnsi"/>
        </w:rPr>
        <w:t>t is also important to optimi</w:t>
      </w:r>
      <w:r w:rsidR="00851B39" w:rsidRPr="00C70D1D">
        <w:rPr>
          <w:rFonts w:cstheme="minorHAnsi"/>
        </w:rPr>
        <w:t>s</w:t>
      </w:r>
      <w:r w:rsidR="00B32DB0" w:rsidRPr="00C70D1D">
        <w:rPr>
          <w:rFonts w:cstheme="minorHAnsi"/>
        </w:rPr>
        <w:t>e the use of available resources, s</w:t>
      </w:r>
      <w:r w:rsidR="00833A58" w:rsidRPr="00C70D1D">
        <w:rPr>
          <w:rFonts w:cstheme="minorHAnsi"/>
        </w:rPr>
        <w:t>trengthen</w:t>
      </w:r>
      <w:r w:rsidR="00DC7CF1" w:rsidRPr="00C70D1D">
        <w:rPr>
          <w:rFonts w:cstheme="minorHAnsi"/>
        </w:rPr>
        <w:t xml:space="preserve"> </w:t>
      </w:r>
      <w:r w:rsidR="00350D6A" w:rsidRPr="00C70D1D">
        <w:rPr>
          <w:rFonts w:cstheme="minorHAnsi"/>
        </w:rPr>
        <w:t xml:space="preserve">the </w:t>
      </w:r>
      <w:r w:rsidR="00DC7CF1" w:rsidRPr="00C70D1D">
        <w:rPr>
          <w:rFonts w:cstheme="minorHAnsi"/>
        </w:rPr>
        <w:t xml:space="preserve">multidisciplinary approach in </w:t>
      </w:r>
      <w:r w:rsidR="0004751B" w:rsidRPr="00C70D1D">
        <w:rPr>
          <w:rFonts w:cstheme="minorHAnsi"/>
        </w:rPr>
        <w:t>providing care to patients with</w:t>
      </w:r>
      <w:r w:rsidR="00DC7CF1" w:rsidRPr="00C70D1D">
        <w:rPr>
          <w:rFonts w:cstheme="minorHAnsi"/>
        </w:rPr>
        <w:t xml:space="preserve"> stroke </w:t>
      </w:r>
      <w:r w:rsidR="00B32DB0" w:rsidRPr="00C70D1D">
        <w:rPr>
          <w:rFonts w:cstheme="minorHAnsi"/>
        </w:rPr>
        <w:t>through regular meetings and continuing medical education program</w:t>
      </w:r>
      <w:r w:rsidR="0004751B" w:rsidRPr="00C70D1D">
        <w:rPr>
          <w:rFonts w:cstheme="minorHAnsi"/>
        </w:rPr>
        <w:t>me</w:t>
      </w:r>
      <w:r w:rsidR="00B32DB0" w:rsidRPr="00C70D1D">
        <w:rPr>
          <w:rFonts w:cstheme="minorHAnsi"/>
        </w:rPr>
        <w:t>s, and develop</w:t>
      </w:r>
      <w:r w:rsidR="00DC7CF1" w:rsidRPr="00C70D1D">
        <w:rPr>
          <w:rFonts w:cstheme="minorHAnsi"/>
        </w:rPr>
        <w:t xml:space="preserve"> local care protocols with clearly defined </w:t>
      </w:r>
      <w:r w:rsidR="00AD3470" w:rsidRPr="00C70D1D">
        <w:rPr>
          <w:rFonts w:cstheme="minorHAnsi"/>
        </w:rPr>
        <w:t xml:space="preserve">evidence-based </w:t>
      </w:r>
      <w:r w:rsidR="00DC7CF1" w:rsidRPr="00C70D1D">
        <w:rPr>
          <w:rFonts w:cstheme="minorHAnsi"/>
        </w:rPr>
        <w:t>clinical pathway</w:t>
      </w:r>
      <w:r w:rsidR="0004751B" w:rsidRPr="00C70D1D">
        <w:rPr>
          <w:rFonts w:cstheme="minorHAnsi"/>
        </w:rPr>
        <w:t>s</w:t>
      </w:r>
      <w:r w:rsidR="00585A8E" w:rsidRPr="00C70D1D">
        <w:rPr>
          <w:rFonts w:cstheme="minorHAnsi"/>
        </w:rPr>
        <w:t xml:space="preserve"> that are appropriate to this setting and the resources available.</w:t>
      </w:r>
    </w:p>
    <w:p w14:paraId="7F2BAAAE" w14:textId="4A65454C" w:rsidR="00AD35A7" w:rsidRPr="00C70D1D" w:rsidRDefault="00AD35A7" w:rsidP="00833A58">
      <w:pPr>
        <w:jc w:val="both"/>
        <w:rPr>
          <w:rFonts w:cstheme="minorHAnsi"/>
        </w:rPr>
      </w:pPr>
    </w:p>
    <w:p w14:paraId="479CCB38" w14:textId="4D7C8294" w:rsidR="00A7301D" w:rsidRPr="00C70D1D" w:rsidRDefault="00A42EF0" w:rsidP="004E379E">
      <w:pPr>
        <w:jc w:val="both"/>
        <w:rPr>
          <w:rFonts w:cstheme="minorHAnsi"/>
          <w:b/>
        </w:rPr>
      </w:pPr>
      <w:r w:rsidRPr="00C70D1D">
        <w:rPr>
          <w:rFonts w:cstheme="minorHAnsi"/>
          <w:b/>
        </w:rPr>
        <w:t>Acknowledgements</w:t>
      </w:r>
    </w:p>
    <w:p w14:paraId="652D0F9D" w14:textId="5D4B1AF2" w:rsidR="00A7301D" w:rsidRPr="00C70D1D" w:rsidRDefault="00A7301D" w:rsidP="004E379E">
      <w:pPr>
        <w:jc w:val="both"/>
        <w:rPr>
          <w:rFonts w:cstheme="minorHAnsi"/>
        </w:rPr>
      </w:pPr>
      <w:r w:rsidRPr="00C70D1D">
        <w:rPr>
          <w:rFonts w:cstheme="minorHAnsi"/>
        </w:rPr>
        <w:t>We would like to thank all patients and their guardians who consented to take p</w:t>
      </w:r>
      <w:r w:rsidR="001E501D" w:rsidRPr="00C70D1D">
        <w:rPr>
          <w:rFonts w:cstheme="minorHAnsi"/>
        </w:rPr>
        <w:t xml:space="preserve">art in this audit. We also acknowledge </w:t>
      </w:r>
      <w:r w:rsidR="0056798A" w:rsidRPr="00C70D1D">
        <w:rPr>
          <w:rFonts w:cstheme="minorHAnsi"/>
        </w:rPr>
        <w:t xml:space="preserve">the </w:t>
      </w:r>
      <w:r w:rsidRPr="00C70D1D">
        <w:rPr>
          <w:rFonts w:cstheme="minorHAnsi"/>
        </w:rPr>
        <w:t>MLW data management team (</w:t>
      </w:r>
      <w:r w:rsidR="0056798A" w:rsidRPr="00C70D1D">
        <w:rPr>
          <w:rFonts w:cstheme="minorHAnsi"/>
        </w:rPr>
        <w:t xml:space="preserve">especially </w:t>
      </w:r>
      <w:r w:rsidR="003D744F" w:rsidRPr="00C70D1D">
        <w:rPr>
          <w:rFonts w:cstheme="minorHAnsi"/>
        </w:rPr>
        <w:t>Mr Clemens</w:t>
      </w:r>
      <w:r w:rsidR="00CB263D" w:rsidRPr="00C70D1D">
        <w:rPr>
          <w:rFonts w:cstheme="minorHAnsi"/>
        </w:rPr>
        <w:t xml:space="preserve"> </w:t>
      </w:r>
      <w:proofErr w:type="spellStart"/>
      <w:r w:rsidRPr="00C70D1D">
        <w:rPr>
          <w:rFonts w:cstheme="minorHAnsi"/>
        </w:rPr>
        <w:t>Masesa</w:t>
      </w:r>
      <w:proofErr w:type="spellEnd"/>
      <w:r w:rsidRPr="00C70D1D">
        <w:rPr>
          <w:rFonts w:cstheme="minorHAnsi"/>
        </w:rPr>
        <w:t xml:space="preserve"> </w:t>
      </w:r>
      <w:r w:rsidR="00AD35A7" w:rsidRPr="00C70D1D">
        <w:rPr>
          <w:rFonts w:cstheme="minorHAnsi"/>
        </w:rPr>
        <w:t xml:space="preserve">and </w:t>
      </w:r>
      <w:r w:rsidR="0056798A" w:rsidRPr="00C70D1D">
        <w:rPr>
          <w:rFonts w:cstheme="minorHAnsi"/>
        </w:rPr>
        <w:t xml:space="preserve">Mrs </w:t>
      </w:r>
      <w:proofErr w:type="spellStart"/>
      <w:r w:rsidR="00AD35A7" w:rsidRPr="00C70D1D">
        <w:rPr>
          <w:rFonts w:cstheme="minorHAnsi"/>
        </w:rPr>
        <w:t>Lumbani</w:t>
      </w:r>
      <w:proofErr w:type="spellEnd"/>
      <w:r w:rsidRPr="00C70D1D">
        <w:rPr>
          <w:rFonts w:cstheme="minorHAnsi"/>
        </w:rPr>
        <w:t xml:space="preserve"> </w:t>
      </w:r>
      <w:proofErr w:type="spellStart"/>
      <w:r w:rsidRPr="00C70D1D">
        <w:rPr>
          <w:rFonts w:cstheme="minorHAnsi"/>
        </w:rPr>
        <w:t>Makhaza</w:t>
      </w:r>
      <w:proofErr w:type="spellEnd"/>
      <w:r w:rsidR="00C0602F" w:rsidRPr="00C70D1D">
        <w:rPr>
          <w:rFonts w:cstheme="minorHAnsi"/>
        </w:rPr>
        <w:t>)</w:t>
      </w:r>
      <w:r w:rsidRPr="00C70D1D">
        <w:rPr>
          <w:rFonts w:cstheme="minorHAnsi"/>
        </w:rPr>
        <w:t xml:space="preserve"> for their help with data entry and cleaning. </w:t>
      </w:r>
    </w:p>
    <w:p w14:paraId="0CBCE5EF" w14:textId="4011C2EF" w:rsidR="00A7301D" w:rsidRPr="00C70D1D" w:rsidRDefault="00A42EF0" w:rsidP="004E379E">
      <w:pPr>
        <w:jc w:val="both"/>
        <w:rPr>
          <w:rFonts w:cstheme="minorHAnsi"/>
          <w:b/>
        </w:rPr>
      </w:pPr>
      <w:r w:rsidRPr="00C70D1D">
        <w:rPr>
          <w:rFonts w:cstheme="minorHAnsi"/>
          <w:b/>
        </w:rPr>
        <w:t>Authors’ contributions</w:t>
      </w:r>
    </w:p>
    <w:p w14:paraId="45CDCAE1" w14:textId="07CC677C" w:rsidR="00A7301D" w:rsidRPr="00C70D1D" w:rsidRDefault="00A7301D" w:rsidP="004E379E">
      <w:pPr>
        <w:jc w:val="both"/>
        <w:rPr>
          <w:rFonts w:cstheme="minorHAnsi"/>
        </w:rPr>
      </w:pPr>
      <w:r w:rsidRPr="00C70D1D">
        <w:rPr>
          <w:rFonts w:cstheme="minorHAnsi"/>
        </w:rPr>
        <w:t>Study conception and design: YG, JKT, TP, LB, H</w:t>
      </w:r>
      <w:r w:rsidR="006A3D23" w:rsidRPr="00C70D1D">
        <w:rPr>
          <w:rFonts w:cstheme="minorHAnsi"/>
        </w:rPr>
        <w:t>C</w:t>
      </w:r>
      <w:r w:rsidRPr="00C70D1D">
        <w:rPr>
          <w:rFonts w:cstheme="minorHAnsi"/>
        </w:rPr>
        <w:t xml:space="preserve">M; </w:t>
      </w:r>
      <w:r w:rsidR="0004394B" w:rsidRPr="00C70D1D">
        <w:rPr>
          <w:rFonts w:cstheme="minorHAnsi"/>
        </w:rPr>
        <w:t xml:space="preserve">data </w:t>
      </w:r>
      <w:r w:rsidRPr="00C70D1D">
        <w:rPr>
          <w:rFonts w:cstheme="minorHAnsi"/>
        </w:rPr>
        <w:t xml:space="preserve">collection and entry: YG; </w:t>
      </w:r>
      <w:r w:rsidR="0004394B" w:rsidRPr="00C70D1D">
        <w:rPr>
          <w:rFonts w:cstheme="minorHAnsi"/>
        </w:rPr>
        <w:t xml:space="preserve">data </w:t>
      </w:r>
      <w:r w:rsidRPr="00C70D1D">
        <w:rPr>
          <w:rFonts w:cstheme="minorHAnsi"/>
        </w:rPr>
        <w:t>analysis:</w:t>
      </w:r>
      <w:r w:rsidR="00F31E40" w:rsidRPr="00C70D1D">
        <w:rPr>
          <w:rFonts w:cstheme="minorHAnsi"/>
        </w:rPr>
        <w:t xml:space="preserve"> JKT</w:t>
      </w:r>
      <w:r w:rsidR="00F61943" w:rsidRPr="00C70D1D">
        <w:rPr>
          <w:rFonts w:cstheme="minorHAnsi"/>
        </w:rPr>
        <w:t xml:space="preserve"> </w:t>
      </w:r>
      <w:r w:rsidR="00AB5C3C">
        <w:rPr>
          <w:rFonts w:cstheme="minorHAnsi"/>
        </w:rPr>
        <w:t xml:space="preserve">and </w:t>
      </w:r>
      <w:r w:rsidR="00F61943" w:rsidRPr="00C70D1D">
        <w:rPr>
          <w:rFonts w:cstheme="minorHAnsi"/>
        </w:rPr>
        <w:t>YG</w:t>
      </w:r>
      <w:r w:rsidR="00F31E40" w:rsidRPr="00C70D1D">
        <w:rPr>
          <w:rFonts w:cstheme="minorHAnsi"/>
        </w:rPr>
        <w:t xml:space="preserve">; </w:t>
      </w:r>
      <w:r w:rsidR="0004394B" w:rsidRPr="00C70D1D">
        <w:rPr>
          <w:rFonts w:cstheme="minorHAnsi"/>
        </w:rPr>
        <w:t xml:space="preserve">drafting </w:t>
      </w:r>
      <w:r w:rsidR="00F31E40" w:rsidRPr="00C70D1D">
        <w:rPr>
          <w:rFonts w:cstheme="minorHAnsi"/>
        </w:rPr>
        <w:t xml:space="preserve">manuscript: YG and JKT; </w:t>
      </w:r>
      <w:r w:rsidR="0004394B" w:rsidRPr="00C70D1D">
        <w:rPr>
          <w:rFonts w:cstheme="minorHAnsi"/>
        </w:rPr>
        <w:t xml:space="preserve">critical </w:t>
      </w:r>
      <w:r w:rsidRPr="00C70D1D">
        <w:rPr>
          <w:rFonts w:cstheme="minorHAnsi"/>
        </w:rPr>
        <w:t xml:space="preserve">revisions: </w:t>
      </w:r>
      <w:r w:rsidR="00F61943" w:rsidRPr="00C70D1D">
        <w:rPr>
          <w:rFonts w:cstheme="minorHAnsi"/>
        </w:rPr>
        <w:t xml:space="preserve">YG, </w:t>
      </w:r>
      <w:r w:rsidRPr="00C70D1D">
        <w:rPr>
          <w:rFonts w:cstheme="minorHAnsi"/>
        </w:rPr>
        <w:t>JKT, TP, LB, H</w:t>
      </w:r>
      <w:r w:rsidR="006A3D23" w:rsidRPr="00C70D1D">
        <w:rPr>
          <w:rFonts w:cstheme="minorHAnsi"/>
        </w:rPr>
        <w:t>C</w:t>
      </w:r>
      <w:r w:rsidRPr="00C70D1D">
        <w:rPr>
          <w:rFonts w:cstheme="minorHAnsi"/>
        </w:rPr>
        <w:t>M</w:t>
      </w:r>
      <w:r w:rsidR="00A42EF0" w:rsidRPr="00C70D1D">
        <w:rPr>
          <w:rFonts w:cstheme="minorHAnsi"/>
        </w:rPr>
        <w:t>.</w:t>
      </w:r>
    </w:p>
    <w:p w14:paraId="39CCE9DF" w14:textId="77777777" w:rsidR="00A42EF0" w:rsidRPr="00C70D1D" w:rsidRDefault="00A42EF0" w:rsidP="004E379E">
      <w:pPr>
        <w:jc w:val="both"/>
        <w:rPr>
          <w:rFonts w:cstheme="minorHAnsi"/>
        </w:rPr>
      </w:pPr>
    </w:p>
    <w:p w14:paraId="584455A7" w14:textId="44FA2DD6" w:rsidR="00A42EF0" w:rsidRPr="00B17041" w:rsidRDefault="00A42EF0" w:rsidP="004E379E">
      <w:pPr>
        <w:jc w:val="both"/>
        <w:rPr>
          <w:rFonts w:cstheme="minorHAnsi"/>
          <w:b/>
        </w:rPr>
      </w:pPr>
      <w:r w:rsidRPr="00B17041">
        <w:rPr>
          <w:rFonts w:cstheme="minorHAnsi"/>
          <w:b/>
        </w:rPr>
        <w:t>Funding</w:t>
      </w:r>
    </w:p>
    <w:p w14:paraId="5096D1C4" w14:textId="49D523E7" w:rsidR="00A42EF0" w:rsidRPr="00C70D1D" w:rsidRDefault="00A42EF0" w:rsidP="004E379E">
      <w:pPr>
        <w:jc w:val="both"/>
      </w:pPr>
      <w:r w:rsidRPr="00C70D1D">
        <w:t>JKT is grateful to the Wellcome Trust that supported his Clinical Research Fellowship in Malawi (grant number 106829/Z/15/Z).</w:t>
      </w:r>
    </w:p>
    <w:p w14:paraId="10CF4098" w14:textId="77777777" w:rsidR="00A42EF0" w:rsidRPr="00B17041" w:rsidRDefault="00A42EF0" w:rsidP="004E379E">
      <w:pPr>
        <w:jc w:val="both"/>
        <w:rPr>
          <w:rFonts w:cstheme="minorHAnsi"/>
          <w:b/>
        </w:rPr>
      </w:pPr>
    </w:p>
    <w:p w14:paraId="4CBD3838" w14:textId="52DA26E7" w:rsidR="00A42EF0" w:rsidRPr="00C70D1D" w:rsidRDefault="00A42EF0" w:rsidP="004E379E">
      <w:pPr>
        <w:jc w:val="both"/>
        <w:rPr>
          <w:rFonts w:cstheme="minorHAnsi"/>
          <w:b/>
        </w:rPr>
      </w:pPr>
      <w:r w:rsidRPr="00B17041">
        <w:rPr>
          <w:rFonts w:cstheme="minorHAnsi"/>
          <w:b/>
        </w:rPr>
        <w:t>Availability of data and materials</w:t>
      </w:r>
    </w:p>
    <w:p w14:paraId="4814A2C6" w14:textId="1A31BB04" w:rsidR="00A42EF0" w:rsidRPr="00602834" w:rsidRDefault="00602834" w:rsidP="004E379E">
      <w:pPr>
        <w:jc w:val="both"/>
        <w:rPr>
          <w:rFonts w:cstheme="minorHAnsi"/>
        </w:rPr>
      </w:pPr>
      <w:r w:rsidRPr="00602834">
        <w:rPr>
          <w:rFonts w:cstheme="minorHAnsi"/>
        </w:rPr>
        <w:t>The database of this audit is available for consultation or reuse on request to the corresponding author. Sharing of all or part of the database is subject to prior authorization by the University of Malawi College of Medicine Research Ethics Committee.</w:t>
      </w:r>
    </w:p>
    <w:p w14:paraId="04701FF2" w14:textId="787F986D" w:rsidR="00A42EF0" w:rsidRPr="00C70D1D" w:rsidRDefault="00A42EF0" w:rsidP="004E379E">
      <w:pPr>
        <w:jc w:val="both"/>
        <w:rPr>
          <w:rFonts w:cstheme="minorHAnsi"/>
          <w:b/>
        </w:rPr>
      </w:pPr>
      <w:r w:rsidRPr="00C70D1D">
        <w:rPr>
          <w:rFonts w:cstheme="minorHAnsi"/>
          <w:b/>
        </w:rPr>
        <w:t>Competing</w:t>
      </w:r>
      <w:r w:rsidR="00A7301D" w:rsidRPr="00C70D1D">
        <w:rPr>
          <w:rFonts w:cstheme="minorHAnsi"/>
          <w:b/>
        </w:rPr>
        <w:t xml:space="preserve"> </w:t>
      </w:r>
      <w:r w:rsidRPr="00C70D1D">
        <w:rPr>
          <w:rFonts w:cstheme="minorHAnsi"/>
          <w:b/>
        </w:rPr>
        <w:t>interests</w:t>
      </w:r>
    </w:p>
    <w:p w14:paraId="57DBDFD7" w14:textId="071F9FEA" w:rsidR="00A7301D" w:rsidRPr="00C70D1D" w:rsidRDefault="00A7301D" w:rsidP="004E379E">
      <w:pPr>
        <w:jc w:val="both"/>
        <w:rPr>
          <w:rFonts w:cstheme="minorHAnsi"/>
        </w:rPr>
      </w:pPr>
      <w:r w:rsidRPr="00C70D1D">
        <w:rPr>
          <w:rFonts w:cstheme="minorHAnsi"/>
        </w:rPr>
        <w:t>None to declare</w:t>
      </w:r>
      <w:r w:rsidR="00A42EF0" w:rsidRPr="00C70D1D">
        <w:rPr>
          <w:rFonts w:cstheme="minorHAnsi"/>
        </w:rPr>
        <w:t>.</w:t>
      </w:r>
    </w:p>
    <w:p w14:paraId="612CE99D" w14:textId="2A205FAF" w:rsidR="001E501D" w:rsidRPr="00C70D1D" w:rsidRDefault="001E501D" w:rsidP="002323BF">
      <w:pPr>
        <w:rPr>
          <w:b/>
        </w:rPr>
      </w:pPr>
    </w:p>
    <w:p w14:paraId="370385B5" w14:textId="1D2D2F06" w:rsidR="004F5F19" w:rsidRPr="00C70D1D" w:rsidRDefault="004F5F19" w:rsidP="002323BF">
      <w:pPr>
        <w:rPr>
          <w:b/>
        </w:rPr>
      </w:pPr>
    </w:p>
    <w:p w14:paraId="6971AA7B" w14:textId="77777777" w:rsidR="004F5F19" w:rsidRPr="00C70D1D" w:rsidRDefault="004F5F19" w:rsidP="002323BF">
      <w:pPr>
        <w:rPr>
          <w:b/>
        </w:rPr>
      </w:pPr>
    </w:p>
    <w:p w14:paraId="5E49AED5" w14:textId="7E5112A6" w:rsidR="002323BF" w:rsidRPr="00C70D1D" w:rsidRDefault="00A42EF0" w:rsidP="002323BF">
      <w:pPr>
        <w:rPr>
          <w:b/>
        </w:rPr>
      </w:pPr>
      <w:r w:rsidRPr="00C70D1D">
        <w:rPr>
          <w:b/>
        </w:rPr>
        <w:t>References</w:t>
      </w:r>
    </w:p>
    <w:p w14:paraId="2D5D7F63" w14:textId="2061964A" w:rsidR="00583CB4" w:rsidRPr="00B17041" w:rsidRDefault="00503368" w:rsidP="00503368">
      <w:pPr>
        <w:spacing w:after="0" w:line="240" w:lineRule="auto"/>
        <w:rPr>
          <w:rFonts w:ascii="Calibri" w:hAnsi="Calibri" w:cs="Calibri"/>
        </w:rPr>
      </w:pPr>
      <w:bookmarkStart w:id="2" w:name="_ENREF_1"/>
      <w:r w:rsidRPr="00B17041">
        <w:rPr>
          <w:rFonts w:ascii="Calibri" w:hAnsi="Calibri" w:cs="Calibri"/>
        </w:rPr>
        <w:t>1.</w:t>
      </w:r>
      <w:r w:rsidR="002C4B5F" w:rsidRPr="00C70D1D">
        <w:rPr>
          <w:rFonts w:ascii="Calibri" w:hAnsi="Calibri" w:cs="Calibri"/>
        </w:rPr>
        <w:t xml:space="preserve"> </w:t>
      </w:r>
      <w:r w:rsidRPr="00B17041">
        <w:rPr>
          <w:rFonts w:ascii="Calibri" w:hAnsi="Calibri" w:cs="Calibri"/>
        </w:rPr>
        <w:t xml:space="preserve">WHO. Top 10 causes of death </w:t>
      </w:r>
      <w:r w:rsidR="00502D05" w:rsidRPr="00C70D1D">
        <w:rPr>
          <w:rFonts w:ascii="Calibri" w:hAnsi="Calibri" w:cs="Calibri"/>
        </w:rPr>
        <w:softHyphen/>
      </w:r>
      <w:r w:rsidR="00502D05" w:rsidRPr="00C70D1D">
        <w:rPr>
          <w:rFonts w:ascii="Calibri" w:hAnsi="Calibri" w:cs="Calibri"/>
        </w:rPr>
        <w:softHyphen/>
        <w:t>–</w:t>
      </w:r>
      <w:r w:rsidR="00502D05" w:rsidRPr="00B17041">
        <w:rPr>
          <w:rFonts w:ascii="Calibri" w:hAnsi="Calibri" w:cs="Calibri"/>
        </w:rPr>
        <w:t xml:space="preserve"> </w:t>
      </w:r>
      <w:r w:rsidRPr="00B17041">
        <w:rPr>
          <w:rFonts w:ascii="Calibri" w:hAnsi="Calibri" w:cs="Calibri"/>
        </w:rPr>
        <w:t>Fact sheet N°310</w:t>
      </w:r>
      <w:r w:rsidR="00502D05" w:rsidRPr="00C70D1D">
        <w:rPr>
          <w:rFonts w:ascii="Calibri" w:hAnsi="Calibri" w:cs="Calibri"/>
        </w:rPr>
        <w:t xml:space="preserve"> [Internet].</w:t>
      </w:r>
      <w:r w:rsidRPr="00B17041">
        <w:rPr>
          <w:rFonts w:ascii="Calibri" w:hAnsi="Calibri" w:cs="Calibri"/>
        </w:rPr>
        <w:t xml:space="preserve"> Geneva: WHO Press; 2017 [updated January 2017; cited 2017 July</w:t>
      </w:r>
      <w:r w:rsidR="00502D05" w:rsidRPr="00C70D1D">
        <w:rPr>
          <w:rFonts w:ascii="Calibri" w:hAnsi="Calibri" w:cs="Calibri"/>
        </w:rPr>
        <w:t xml:space="preserve"> 4</w:t>
      </w:r>
      <w:r w:rsidRPr="00B17041">
        <w:rPr>
          <w:rFonts w:ascii="Calibri" w:hAnsi="Calibri" w:cs="Calibri"/>
        </w:rPr>
        <w:t xml:space="preserve">]. Available from: </w:t>
      </w:r>
      <w:r w:rsidRPr="00B17041">
        <w:rPr>
          <w:rStyle w:val="Hyperlink"/>
          <w:rFonts w:ascii="Calibri" w:hAnsi="Calibri" w:cs="Calibri"/>
          <w:color w:val="auto"/>
        </w:rPr>
        <w:t>http://www.who.int/entity/mediacentre/factsheets/fs310/en/index.html#</w:t>
      </w:r>
      <w:r w:rsidRPr="00B17041">
        <w:rPr>
          <w:rFonts w:ascii="Calibri" w:hAnsi="Calibri" w:cs="Calibri"/>
        </w:rPr>
        <w:t>.</w:t>
      </w:r>
      <w:bookmarkEnd w:id="2"/>
    </w:p>
    <w:p w14:paraId="703AC35F" w14:textId="58E274A6" w:rsidR="00503368" w:rsidRPr="00B17041" w:rsidRDefault="00503368" w:rsidP="00503368">
      <w:pPr>
        <w:spacing w:after="0" w:line="240" w:lineRule="auto"/>
        <w:rPr>
          <w:rFonts w:ascii="Calibri" w:hAnsi="Calibri" w:cs="Calibri"/>
        </w:rPr>
      </w:pPr>
      <w:bookmarkStart w:id="3" w:name="_ENREF_2"/>
      <w:r w:rsidRPr="00B17041">
        <w:rPr>
          <w:rFonts w:ascii="Calibri" w:hAnsi="Calibri" w:cs="Calibri"/>
        </w:rPr>
        <w:t>2.</w:t>
      </w:r>
      <w:r w:rsidR="002C4B5F" w:rsidRPr="00C70D1D">
        <w:rPr>
          <w:rFonts w:ascii="Calibri" w:hAnsi="Calibri" w:cs="Calibri"/>
        </w:rPr>
        <w:t xml:space="preserve"> </w:t>
      </w:r>
      <w:proofErr w:type="spellStart"/>
      <w:r w:rsidRPr="00B17041">
        <w:rPr>
          <w:rFonts w:ascii="Calibri" w:hAnsi="Calibri" w:cs="Calibri"/>
        </w:rPr>
        <w:t>Feigin</w:t>
      </w:r>
      <w:proofErr w:type="spellEnd"/>
      <w:r w:rsidRPr="00B17041">
        <w:rPr>
          <w:rFonts w:ascii="Calibri" w:hAnsi="Calibri" w:cs="Calibri"/>
        </w:rPr>
        <w:t xml:space="preserve"> VL, </w:t>
      </w:r>
      <w:proofErr w:type="spellStart"/>
      <w:r w:rsidRPr="00B17041">
        <w:rPr>
          <w:rFonts w:ascii="Calibri" w:hAnsi="Calibri" w:cs="Calibri"/>
        </w:rPr>
        <w:t>Forouzanfar</w:t>
      </w:r>
      <w:proofErr w:type="spellEnd"/>
      <w:r w:rsidRPr="00B17041">
        <w:rPr>
          <w:rFonts w:ascii="Calibri" w:hAnsi="Calibri" w:cs="Calibri"/>
        </w:rPr>
        <w:t xml:space="preserve"> MH, </w:t>
      </w:r>
      <w:proofErr w:type="spellStart"/>
      <w:r w:rsidRPr="00B17041">
        <w:rPr>
          <w:rFonts w:ascii="Calibri" w:hAnsi="Calibri" w:cs="Calibri"/>
        </w:rPr>
        <w:t>Krishnamurthi</w:t>
      </w:r>
      <w:proofErr w:type="spellEnd"/>
      <w:r w:rsidRPr="00B17041">
        <w:rPr>
          <w:rFonts w:ascii="Calibri" w:hAnsi="Calibri" w:cs="Calibri"/>
        </w:rPr>
        <w:t xml:space="preserve"> R, et al. Global and regional burden of stroke during 1990-2010: findings from the Global Burden of Disease Study 2010. Lancet</w:t>
      </w:r>
      <w:r w:rsidR="00D12134" w:rsidRPr="00C70D1D">
        <w:rPr>
          <w:rFonts w:ascii="Calibri" w:hAnsi="Calibri" w:cs="Calibri"/>
        </w:rPr>
        <w:t>.</w:t>
      </w:r>
      <w:r w:rsidRPr="00B17041">
        <w:rPr>
          <w:rFonts w:ascii="Calibri" w:hAnsi="Calibri" w:cs="Calibri"/>
        </w:rPr>
        <w:t xml:space="preserve"> 2014;383(9913):245</w:t>
      </w:r>
      <w:r w:rsidR="002C4B5F" w:rsidRPr="00C70D1D">
        <w:rPr>
          <w:rFonts w:ascii="Calibri" w:hAnsi="Calibri" w:cs="Calibri"/>
        </w:rPr>
        <w:t>–</w:t>
      </w:r>
      <w:r w:rsidRPr="00B17041">
        <w:rPr>
          <w:rFonts w:ascii="Calibri" w:hAnsi="Calibri" w:cs="Calibri"/>
        </w:rPr>
        <w:t>54.</w:t>
      </w:r>
      <w:bookmarkEnd w:id="3"/>
    </w:p>
    <w:p w14:paraId="13EDA871" w14:textId="4E94E8CD" w:rsidR="00503368" w:rsidRPr="00B17041" w:rsidRDefault="00503368" w:rsidP="00503368">
      <w:pPr>
        <w:spacing w:after="0" w:line="240" w:lineRule="auto"/>
        <w:rPr>
          <w:rFonts w:ascii="Calibri" w:hAnsi="Calibri" w:cs="Calibri"/>
        </w:rPr>
      </w:pPr>
      <w:bookmarkStart w:id="4" w:name="_ENREF_3"/>
      <w:r w:rsidRPr="00B34CF0">
        <w:rPr>
          <w:rFonts w:ascii="Calibri" w:hAnsi="Calibri" w:cs="Calibri"/>
          <w:lang w:val="fr-FR"/>
        </w:rPr>
        <w:t>3.</w:t>
      </w:r>
      <w:r w:rsidR="002C4B5F" w:rsidRPr="00B34CF0">
        <w:rPr>
          <w:rFonts w:ascii="Calibri" w:hAnsi="Calibri" w:cs="Calibri"/>
          <w:lang w:val="fr-FR"/>
        </w:rPr>
        <w:t xml:space="preserve"> </w:t>
      </w:r>
      <w:r w:rsidRPr="00B34CF0">
        <w:rPr>
          <w:rFonts w:ascii="Calibri" w:hAnsi="Calibri" w:cs="Calibri"/>
          <w:lang w:val="fr-FR"/>
        </w:rPr>
        <w:t xml:space="preserve">Allain TJ, Aston S, </w:t>
      </w:r>
      <w:proofErr w:type="spellStart"/>
      <w:r w:rsidRPr="00B34CF0">
        <w:rPr>
          <w:rFonts w:ascii="Calibri" w:hAnsi="Calibri" w:cs="Calibri"/>
          <w:lang w:val="fr-FR"/>
        </w:rPr>
        <w:t>Mapurisa</w:t>
      </w:r>
      <w:proofErr w:type="spellEnd"/>
      <w:r w:rsidRPr="00B34CF0">
        <w:rPr>
          <w:rFonts w:ascii="Calibri" w:hAnsi="Calibri" w:cs="Calibri"/>
          <w:lang w:val="fr-FR"/>
        </w:rPr>
        <w:t xml:space="preserve"> G, et al. </w:t>
      </w:r>
      <w:r w:rsidRPr="00B17041">
        <w:rPr>
          <w:rFonts w:ascii="Calibri" w:hAnsi="Calibri" w:cs="Calibri"/>
        </w:rPr>
        <w:t xml:space="preserve">Age </w:t>
      </w:r>
      <w:r w:rsidR="00D12134" w:rsidRPr="00C70D1D">
        <w:rPr>
          <w:rFonts w:ascii="Calibri" w:hAnsi="Calibri" w:cs="Calibri"/>
        </w:rPr>
        <w:t xml:space="preserve">related patterns of disease and mortality in hospitalised adults </w:t>
      </w:r>
      <w:r w:rsidRPr="00B17041">
        <w:rPr>
          <w:rFonts w:ascii="Calibri" w:hAnsi="Calibri" w:cs="Calibri"/>
        </w:rPr>
        <w:t xml:space="preserve">in Malawi. </w:t>
      </w:r>
      <w:proofErr w:type="spellStart"/>
      <w:r w:rsidRPr="00B17041">
        <w:rPr>
          <w:rFonts w:ascii="Calibri" w:hAnsi="Calibri" w:cs="Calibri"/>
        </w:rPr>
        <w:t>PLoS</w:t>
      </w:r>
      <w:proofErr w:type="spellEnd"/>
      <w:r w:rsidRPr="00B17041">
        <w:rPr>
          <w:rFonts w:ascii="Calibri" w:hAnsi="Calibri" w:cs="Calibri"/>
        </w:rPr>
        <w:t xml:space="preserve"> One</w:t>
      </w:r>
      <w:r w:rsidR="00D12134" w:rsidRPr="00C70D1D">
        <w:rPr>
          <w:rFonts w:ascii="Calibri" w:hAnsi="Calibri" w:cs="Calibri"/>
        </w:rPr>
        <w:t>.</w:t>
      </w:r>
      <w:r w:rsidRPr="00B17041">
        <w:rPr>
          <w:rFonts w:ascii="Calibri" w:hAnsi="Calibri" w:cs="Calibri"/>
        </w:rPr>
        <w:t xml:space="preserve"> 2017;12(1</w:t>
      </w:r>
      <w:proofErr w:type="gramStart"/>
      <w:r w:rsidRPr="00B17041">
        <w:rPr>
          <w:rFonts w:ascii="Calibri" w:hAnsi="Calibri" w:cs="Calibri"/>
        </w:rPr>
        <w:t>):e</w:t>
      </w:r>
      <w:proofErr w:type="gramEnd"/>
      <w:r w:rsidRPr="00B17041">
        <w:rPr>
          <w:rFonts w:ascii="Calibri" w:hAnsi="Calibri" w:cs="Calibri"/>
        </w:rPr>
        <w:t>0168368.</w:t>
      </w:r>
      <w:bookmarkEnd w:id="4"/>
    </w:p>
    <w:p w14:paraId="4EC840BF" w14:textId="1FD7AD78" w:rsidR="00503368" w:rsidRPr="00B17041" w:rsidRDefault="00503368" w:rsidP="00503368">
      <w:pPr>
        <w:spacing w:after="0" w:line="240" w:lineRule="auto"/>
        <w:rPr>
          <w:rFonts w:ascii="Calibri" w:hAnsi="Calibri" w:cs="Calibri"/>
        </w:rPr>
      </w:pPr>
      <w:bookmarkStart w:id="5" w:name="_ENREF_4"/>
      <w:r w:rsidRPr="00B17041">
        <w:rPr>
          <w:rFonts w:ascii="Calibri" w:hAnsi="Calibri" w:cs="Calibri"/>
        </w:rPr>
        <w:t>4.</w:t>
      </w:r>
      <w:r w:rsidR="002C4B5F" w:rsidRPr="00C70D1D">
        <w:rPr>
          <w:rFonts w:ascii="Calibri" w:hAnsi="Calibri" w:cs="Calibri"/>
        </w:rPr>
        <w:t xml:space="preserve"> </w:t>
      </w:r>
      <w:proofErr w:type="spellStart"/>
      <w:r w:rsidRPr="00B17041">
        <w:rPr>
          <w:rFonts w:ascii="Calibri" w:hAnsi="Calibri" w:cs="Calibri"/>
        </w:rPr>
        <w:t>Baatiema</w:t>
      </w:r>
      <w:proofErr w:type="spellEnd"/>
      <w:r w:rsidRPr="00B17041">
        <w:rPr>
          <w:rFonts w:ascii="Calibri" w:hAnsi="Calibri" w:cs="Calibri"/>
        </w:rPr>
        <w:t xml:space="preserve"> L, Chan CKY, Sav A, Somerset S. Interventions for acute stroke management in Africa: a systematic review of the evidence. </w:t>
      </w:r>
      <w:proofErr w:type="spellStart"/>
      <w:r w:rsidRPr="00B17041">
        <w:rPr>
          <w:rFonts w:ascii="Calibri" w:hAnsi="Calibri" w:cs="Calibri"/>
        </w:rPr>
        <w:t>Syst</w:t>
      </w:r>
      <w:proofErr w:type="spellEnd"/>
      <w:r w:rsidRPr="00B17041">
        <w:rPr>
          <w:rFonts w:ascii="Calibri" w:hAnsi="Calibri" w:cs="Calibri"/>
        </w:rPr>
        <w:t xml:space="preserve"> Rev</w:t>
      </w:r>
      <w:r w:rsidR="00D12134" w:rsidRPr="00C70D1D">
        <w:rPr>
          <w:rFonts w:ascii="Calibri" w:hAnsi="Calibri" w:cs="Calibri"/>
        </w:rPr>
        <w:t>.</w:t>
      </w:r>
      <w:r w:rsidRPr="00B17041">
        <w:rPr>
          <w:rFonts w:ascii="Calibri" w:hAnsi="Calibri" w:cs="Calibri"/>
        </w:rPr>
        <w:t xml:space="preserve"> 2017;6(1):213.</w:t>
      </w:r>
      <w:bookmarkEnd w:id="5"/>
    </w:p>
    <w:p w14:paraId="6289B3C3" w14:textId="6BE2C3F5" w:rsidR="00503368" w:rsidRPr="00B17041" w:rsidRDefault="00503368" w:rsidP="00503368">
      <w:pPr>
        <w:spacing w:after="0" w:line="240" w:lineRule="auto"/>
        <w:rPr>
          <w:rFonts w:ascii="Calibri" w:hAnsi="Calibri" w:cs="Calibri"/>
        </w:rPr>
      </w:pPr>
      <w:bookmarkStart w:id="6" w:name="_ENREF_5"/>
      <w:r w:rsidRPr="00B17041">
        <w:rPr>
          <w:rFonts w:ascii="Calibri" w:hAnsi="Calibri" w:cs="Calibri"/>
        </w:rPr>
        <w:t>5.</w:t>
      </w:r>
      <w:r w:rsidR="002C4B5F" w:rsidRPr="00C70D1D">
        <w:rPr>
          <w:rFonts w:ascii="Calibri" w:hAnsi="Calibri" w:cs="Calibri"/>
        </w:rPr>
        <w:t xml:space="preserve"> </w:t>
      </w:r>
      <w:r w:rsidRPr="00B17041">
        <w:rPr>
          <w:rFonts w:ascii="Calibri" w:hAnsi="Calibri" w:cs="Calibri"/>
        </w:rPr>
        <w:t xml:space="preserve">Benjamin LA, </w:t>
      </w:r>
      <w:proofErr w:type="spellStart"/>
      <w:r w:rsidRPr="00B17041">
        <w:rPr>
          <w:rFonts w:ascii="Calibri" w:hAnsi="Calibri" w:cs="Calibri"/>
        </w:rPr>
        <w:t>Bryer</w:t>
      </w:r>
      <w:proofErr w:type="spellEnd"/>
      <w:r w:rsidRPr="00B17041">
        <w:rPr>
          <w:rFonts w:ascii="Calibri" w:hAnsi="Calibri" w:cs="Calibri"/>
        </w:rPr>
        <w:t xml:space="preserve"> A, Emsley HC, Khoo S, Solomon T, Connor MD. HIV infection and stroke: current perspectives and future directions. Lancet Neurol</w:t>
      </w:r>
      <w:r w:rsidR="00D12134" w:rsidRPr="00C70D1D">
        <w:rPr>
          <w:rFonts w:ascii="Calibri" w:hAnsi="Calibri" w:cs="Calibri"/>
        </w:rPr>
        <w:t>.</w:t>
      </w:r>
      <w:r w:rsidRPr="00B17041">
        <w:rPr>
          <w:rFonts w:ascii="Calibri" w:hAnsi="Calibri" w:cs="Calibri"/>
        </w:rPr>
        <w:t xml:space="preserve"> 2012;11(10):878</w:t>
      </w:r>
      <w:r w:rsidR="002C4B5F" w:rsidRPr="00C70D1D">
        <w:rPr>
          <w:rFonts w:ascii="Calibri" w:hAnsi="Calibri" w:cs="Calibri"/>
        </w:rPr>
        <w:t>–</w:t>
      </w:r>
      <w:r w:rsidRPr="00B17041">
        <w:rPr>
          <w:rFonts w:ascii="Calibri" w:hAnsi="Calibri" w:cs="Calibri"/>
        </w:rPr>
        <w:t>90.</w:t>
      </w:r>
      <w:bookmarkEnd w:id="6"/>
    </w:p>
    <w:p w14:paraId="3BD9C72D" w14:textId="578E2B16" w:rsidR="00503368" w:rsidRPr="00B17041" w:rsidRDefault="00503368" w:rsidP="00503368">
      <w:pPr>
        <w:spacing w:after="0" w:line="240" w:lineRule="auto"/>
        <w:rPr>
          <w:rFonts w:ascii="Calibri" w:hAnsi="Calibri" w:cs="Calibri"/>
        </w:rPr>
      </w:pPr>
      <w:bookmarkStart w:id="7" w:name="_ENREF_6"/>
      <w:r w:rsidRPr="00B17041">
        <w:rPr>
          <w:rFonts w:ascii="Calibri" w:hAnsi="Calibri" w:cs="Calibri"/>
        </w:rPr>
        <w:t>6.</w:t>
      </w:r>
      <w:r w:rsidR="002C4B5F" w:rsidRPr="00C70D1D">
        <w:rPr>
          <w:rFonts w:ascii="Calibri" w:hAnsi="Calibri" w:cs="Calibri"/>
        </w:rPr>
        <w:t xml:space="preserve"> </w:t>
      </w:r>
      <w:proofErr w:type="spellStart"/>
      <w:r w:rsidRPr="00B17041">
        <w:rPr>
          <w:rFonts w:ascii="Calibri" w:hAnsi="Calibri" w:cs="Calibri"/>
        </w:rPr>
        <w:t>Heikinheimo</w:t>
      </w:r>
      <w:proofErr w:type="spellEnd"/>
      <w:r w:rsidRPr="00B17041">
        <w:rPr>
          <w:rFonts w:ascii="Calibri" w:hAnsi="Calibri" w:cs="Calibri"/>
        </w:rPr>
        <w:t xml:space="preserve"> T, </w:t>
      </w:r>
      <w:proofErr w:type="spellStart"/>
      <w:r w:rsidRPr="00B17041">
        <w:rPr>
          <w:rFonts w:ascii="Calibri" w:hAnsi="Calibri" w:cs="Calibri"/>
        </w:rPr>
        <w:t>Chimbayo</w:t>
      </w:r>
      <w:proofErr w:type="spellEnd"/>
      <w:r w:rsidRPr="00B17041">
        <w:rPr>
          <w:rFonts w:ascii="Calibri" w:hAnsi="Calibri" w:cs="Calibri"/>
        </w:rPr>
        <w:t xml:space="preserve"> D, </w:t>
      </w:r>
      <w:proofErr w:type="spellStart"/>
      <w:r w:rsidRPr="00B17041">
        <w:rPr>
          <w:rFonts w:ascii="Calibri" w:hAnsi="Calibri" w:cs="Calibri"/>
        </w:rPr>
        <w:t>Kumwenda</w:t>
      </w:r>
      <w:proofErr w:type="spellEnd"/>
      <w:r w:rsidRPr="00B17041">
        <w:rPr>
          <w:rFonts w:ascii="Calibri" w:hAnsi="Calibri" w:cs="Calibri"/>
        </w:rPr>
        <w:t xml:space="preserve"> JJ, </w:t>
      </w:r>
      <w:proofErr w:type="spellStart"/>
      <w:r w:rsidRPr="00B17041">
        <w:rPr>
          <w:rFonts w:ascii="Calibri" w:hAnsi="Calibri" w:cs="Calibri"/>
        </w:rPr>
        <w:t>Kampondeni</w:t>
      </w:r>
      <w:proofErr w:type="spellEnd"/>
      <w:r w:rsidRPr="00B17041">
        <w:rPr>
          <w:rFonts w:ascii="Calibri" w:hAnsi="Calibri" w:cs="Calibri"/>
        </w:rPr>
        <w:t xml:space="preserve"> S, Allain TJ. Stroke outcomes in Malawi, a country with high prevalence of HIV: a prospective follow-up study. </w:t>
      </w:r>
      <w:proofErr w:type="spellStart"/>
      <w:r w:rsidRPr="00B17041">
        <w:rPr>
          <w:rFonts w:ascii="Calibri" w:hAnsi="Calibri" w:cs="Calibri"/>
        </w:rPr>
        <w:t>PLoS</w:t>
      </w:r>
      <w:proofErr w:type="spellEnd"/>
      <w:r w:rsidRPr="00B17041">
        <w:rPr>
          <w:rFonts w:ascii="Calibri" w:hAnsi="Calibri" w:cs="Calibri"/>
        </w:rPr>
        <w:t xml:space="preserve"> One</w:t>
      </w:r>
      <w:r w:rsidR="00D12134" w:rsidRPr="00C70D1D">
        <w:rPr>
          <w:rFonts w:ascii="Calibri" w:hAnsi="Calibri" w:cs="Calibri"/>
        </w:rPr>
        <w:t>.</w:t>
      </w:r>
      <w:r w:rsidRPr="00B17041">
        <w:rPr>
          <w:rFonts w:ascii="Calibri" w:hAnsi="Calibri" w:cs="Calibri"/>
        </w:rPr>
        <w:t xml:space="preserve"> 2012;7(3</w:t>
      </w:r>
      <w:proofErr w:type="gramStart"/>
      <w:r w:rsidRPr="00B17041">
        <w:rPr>
          <w:rFonts w:ascii="Calibri" w:hAnsi="Calibri" w:cs="Calibri"/>
        </w:rPr>
        <w:t>):e</w:t>
      </w:r>
      <w:proofErr w:type="gramEnd"/>
      <w:r w:rsidRPr="00B17041">
        <w:rPr>
          <w:rFonts w:ascii="Calibri" w:hAnsi="Calibri" w:cs="Calibri"/>
        </w:rPr>
        <w:t>33765.</w:t>
      </w:r>
      <w:bookmarkEnd w:id="7"/>
    </w:p>
    <w:p w14:paraId="17D003F1" w14:textId="22B3591B" w:rsidR="00503368" w:rsidRPr="00B17041" w:rsidRDefault="00503368" w:rsidP="00503368">
      <w:pPr>
        <w:spacing w:after="0" w:line="240" w:lineRule="auto"/>
        <w:rPr>
          <w:rFonts w:ascii="Calibri" w:hAnsi="Calibri" w:cs="Calibri"/>
        </w:rPr>
      </w:pPr>
      <w:bookmarkStart w:id="8" w:name="_ENREF_7"/>
      <w:r w:rsidRPr="00B17041">
        <w:rPr>
          <w:rFonts w:ascii="Calibri" w:hAnsi="Calibri" w:cs="Calibri"/>
        </w:rPr>
        <w:t>7.</w:t>
      </w:r>
      <w:r w:rsidR="002C4B5F" w:rsidRPr="00C70D1D">
        <w:rPr>
          <w:rFonts w:ascii="Calibri" w:hAnsi="Calibri" w:cs="Calibri"/>
        </w:rPr>
        <w:t xml:space="preserve"> </w:t>
      </w:r>
      <w:proofErr w:type="spellStart"/>
      <w:r w:rsidRPr="00B17041">
        <w:rPr>
          <w:rFonts w:ascii="Calibri" w:hAnsi="Calibri" w:cs="Calibri"/>
        </w:rPr>
        <w:t>Baatiema</w:t>
      </w:r>
      <w:proofErr w:type="spellEnd"/>
      <w:r w:rsidRPr="00B17041">
        <w:rPr>
          <w:rFonts w:ascii="Calibri" w:hAnsi="Calibri" w:cs="Calibri"/>
        </w:rPr>
        <w:t xml:space="preserve"> L, </w:t>
      </w:r>
      <w:proofErr w:type="spellStart"/>
      <w:r w:rsidRPr="00B17041">
        <w:rPr>
          <w:rFonts w:ascii="Calibri" w:hAnsi="Calibri" w:cs="Calibri"/>
        </w:rPr>
        <w:t>Otim</w:t>
      </w:r>
      <w:proofErr w:type="spellEnd"/>
      <w:r w:rsidRPr="00B17041">
        <w:rPr>
          <w:rFonts w:ascii="Calibri" w:hAnsi="Calibri" w:cs="Calibri"/>
        </w:rPr>
        <w:t xml:space="preserve"> M, </w:t>
      </w:r>
      <w:proofErr w:type="spellStart"/>
      <w:r w:rsidRPr="00B17041">
        <w:rPr>
          <w:rFonts w:ascii="Calibri" w:hAnsi="Calibri" w:cs="Calibri"/>
        </w:rPr>
        <w:t>Mnatzaganian</w:t>
      </w:r>
      <w:proofErr w:type="spellEnd"/>
      <w:r w:rsidRPr="00B17041">
        <w:rPr>
          <w:rFonts w:ascii="Calibri" w:hAnsi="Calibri" w:cs="Calibri"/>
        </w:rPr>
        <w:t xml:space="preserve"> G, </w:t>
      </w:r>
      <w:proofErr w:type="spellStart"/>
      <w:r w:rsidRPr="00B17041">
        <w:rPr>
          <w:rFonts w:ascii="Calibri" w:hAnsi="Calibri" w:cs="Calibri"/>
        </w:rPr>
        <w:t>Aikins</w:t>
      </w:r>
      <w:proofErr w:type="spellEnd"/>
      <w:r w:rsidRPr="00B17041">
        <w:rPr>
          <w:rFonts w:ascii="Calibri" w:hAnsi="Calibri" w:cs="Calibri"/>
        </w:rPr>
        <w:t xml:space="preserve"> AD, Coombes J, Somerset S. Towards best practice in acute stroke care in Ghana: a survey of hospital services. BMC Health </w:t>
      </w:r>
      <w:proofErr w:type="spellStart"/>
      <w:r w:rsidRPr="00B17041">
        <w:rPr>
          <w:rFonts w:ascii="Calibri" w:hAnsi="Calibri" w:cs="Calibri"/>
        </w:rPr>
        <w:t>Serv</w:t>
      </w:r>
      <w:proofErr w:type="spellEnd"/>
      <w:r w:rsidRPr="00B17041">
        <w:rPr>
          <w:rFonts w:ascii="Calibri" w:hAnsi="Calibri" w:cs="Calibri"/>
        </w:rPr>
        <w:t xml:space="preserve"> Res</w:t>
      </w:r>
      <w:r w:rsidR="00D12134" w:rsidRPr="00C70D1D">
        <w:rPr>
          <w:rFonts w:ascii="Calibri" w:hAnsi="Calibri" w:cs="Calibri"/>
        </w:rPr>
        <w:t>.</w:t>
      </w:r>
      <w:r w:rsidRPr="00B17041">
        <w:rPr>
          <w:rFonts w:ascii="Calibri" w:hAnsi="Calibri" w:cs="Calibri"/>
        </w:rPr>
        <w:t xml:space="preserve"> 2017;17(1):108.</w:t>
      </w:r>
      <w:bookmarkEnd w:id="8"/>
    </w:p>
    <w:p w14:paraId="5C9028D7" w14:textId="7D958214" w:rsidR="00503368" w:rsidRPr="00B17041" w:rsidRDefault="00503368" w:rsidP="00503368">
      <w:pPr>
        <w:spacing w:after="0" w:line="240" w:lineRule="auto"/>
        <w:rPr>
          <w:rFonts w:ascii="Calibri" w:hAnsi="Calibri" w:cs="Calibri"/>
        </w:rPr>
      </w:pPr>
      <w:bookmarkStart w:id="9" w:name="_ENREF_8"/>
      <w:r w:rsidRPr="00B17041">
        <w:rPr>
          <w:rFonts w:ascii="Calibri" w:hAnsi="Calibri" w:cs="Calibri"/>
        </w:rPr>
        <w:t>8.</w:t>
      </w:r>
      <w:r w:rsidR="002C4B5F" w:rsidRPr="00C70D1D">
        <w:rPr>
          <w:rFonts w:ascii="Calibri" w:hAnsi="Calibri" w:cs="Calibri"/>
        </w:rPr>
        <w:t xml:space="preserve"> </w:t>
      </w:r>
      <w:proofErr w:type="spellStart"/>
      <w:r w:rsidRPr="00B17041">
        <w:rPr>
          <w:rFonts w:ascii="Calibri" w:hAnsi="Calibri" w:cs="Calibri"/>
        </w:rPr>
        <w:t>Gadama</w:t>
      </w:r>
      <w:proofErr w:type="spellEnd"/>
      <w:r w:rsidRPr="00B17041">
        <w:rPr>
          <w:rFonts w:ascii="Calibri" w:hAnsi="Calibri" w:cs="Calibri"/>
        </w:rPr>
        <w:t xml:space="preserve"> YG, </w:t>
      </w:r>
      <w:proofErr w:type="spellStart"/>
      <w:r w:rsidRPr="00B17041">
        <w:rPr>
          <w:rFonts w:ascii="Calibri" w:hAnsi="Calibri" w:cs="Calibri"/>
        </w:rPr>
        <w:t>Mwangalika</w:t>
      </w:r>
      <w:proofErr w:type="spellEnd"/>
      <w:r w:rsidRPr="00B17041">
        <w:rPr>
          <w:rFonts w:ascii="Calibri" w:hAnsi="Calibri" w:cs="Calibri"/>
        </w:rPr>
        <w:t xml:space="preserve"> G, Kinley LB, et al. Challenges of stroke management in resource-limited settings: </w:t>
      </w:r>
      <w:r w:rsidR="00D12134" w:rsidRPr="00C70D1D">
        <w:rPr>
          <w:rFonts w:ascii="Calibri" w:hAnsi="Calibri" w:cs="Calibri"/>
        </w:rPr>
        <w:t>a</w:t>
      </w:r>
      <w:r w:rsidR="00D12134" w:rsidRPr="00B17041">
        <w:rPr>
          <w:rFonts w:ascii="Calibri" w:hAnsi="Calibri" w:cs="Calibri"/>
        </w:rPr>
        <w:t xml:space="preserve"> </w:t>
      </w:r>
      <w:r w:rsidRPr="00B17041">
        <w:rPr>
          <w:rFonts w:ascii="Calibri" w:hAnsi="Calibri" w:cs="Calibri"/>
        </w:rPr>
        <w:t>case-based reflection. Malawi Med J 2017;29(2):189</w:t>
      </w:r>
      <w:r w:rsidR="002C4B5F" w:rsidRPr="00C70D1D">
        <w:rPr>
          <w:rFonts w:ascii="Calibri" w:hAnsi="Calibri" w:cs="Calibri"/>
        </w:rPr>
        <w:t>–</w:t>
      </w:r>
      <w:r w:rsidRPr="00B17041">
        <w:rPr>
          <w:rFonts w:ascii="Calibri" w:hAnsi="Calibri" w:cs="Calibri"/>
        </w:rPr>
        <w:t>93.</w:t>
      </w:r>
      <w:bookmarkEnd w:id="9"/>
    </w:p>
    <w:p w14:paraId="072526AD" w14:textId="77777777" w:rsidR="00880AD8" w:rsidRPr="00C70D1D" w:rsidRDefault="00880AD8" w:rsidP="00880AD8">
      <w:pPr>
        <w:spacing w:after="0" w:line="240" w:lineRule="auto"/>
        <w:rPr>
          <w:rFonts w:ascii="Calibri" w:hAnsi="Calibri" w:cs="Calibri"/>
        </w:rPr>
      </w:pPr>
      <w:bookmarkStart w:id="10" w:name="_ENREF_9"/>
      <w:r w:rsidRPr="00C70D1D">
        <w:rPr>
          <w:rFonts w:ascii="Calibri" w:hAnsi="Calibri" w:cs="Calibri"/>
        </w:rPr>
        <w:lastRenderedPageBreak/>
        <w:t xml:space="preserve">9. </w:t>
      </w:r>
      <w:proofErr w:type="spellStart"/>
      <w:r w:rsidRPr="00C70D1D">
        <w:rPr>
          <w:rFonts w:ascii="Calibri" w:hAnsi="Calibri" w:cs="Calibri"/>
        </w:rPr>
        <w:t>Gadama</w:t>
      </w:r>
      <w:proofErr w:type="spellEnd"/>
      <w:r w:rsidRPr="00C70D1D">
        <w:rPr>
          <w:rFonts w:ascii="Calibri" w:hAnsi="Calibri" w:cs="Calibri"/>
        </w:rPr>
        <w:t xml:space="preserve"> Y, </w:t>
      </w:r>
      <w:proofErr w:type="spellStart"/>
      <w:r w:rsidRPr="00C70D1D">
        <w:rPr>
          <w:rFonts w:ascii="Calibri" w:hAnsi="Calibri" w:cs="Calibri"/>
        </w:rPr>
        <w:t>Kamtchum-Tatuene</w:t>
      </w:r>
      <w:proofErr w:type="spellEnd"/>
      <w:r w:rsidRPr="00C70D1D">
        <w:rPr>
          <w:rFonts w:ascii="Calibri" w:hAnsi="Calibri" w:cs="Calibri"/>
        </w:rPr>
        <w:t xml:space="preserve">, Benjamin LA, </w:t>
      </w:r>
      <w:proofErr w:type="spellStart"/>
      <w:r w:rsidRPr="00C70D1D">
        <w:rPr>
          <w:rFonts w:ascii="Calibri" w:hAnsi="Calibri" w:cs="Calibri"/>
        </w:rPr>
        <w:t>Kamalo</w:t>
      </w:r>
      <w:proofErr w:type="spellEnd"/>
      <w:r w:rsidRPr="00C70D1D">
        <w:rPr>
          <w:rFonts w:ascii="Calibri" w:hAnsi="Calibri" w:cs="Calibri"/>
        </w:rPr>
        <w:t xml:space="preserve"> P, </w:t>
      </w:r>
      <w:proofErr w:type="spellStart"/>
      <w:r w:rsidRPr="00C70D1D">
        <w:rPr>
          <w:rFonts w:ascii="Calibri" w:hAnsi="Calibri" w:cs="Calibri"/>
        </w:rPr>
        <w:t>Mallewa</w:t>
      </w:r>
      <w:proofErr w:type="spellEnd"/>
      <w:r w:rsidRPr="00C70D1D">
        <w:rPr>
          <w:rFonts w:ascii="Calibri" w:hAnsi="Calibri" w:cs="Calibri"/>
        </w:rPr>
        <w:t xml:space="preserve"> M. Neurological letter from Malawi. Practical Neurology-BMJ. </w:t>
      </w:r>
      <w:proofErr w:type="gramStart"/>
      <w:r w:rsidRPr="00C70D1D">
        <w:rPr>
          <w:rFonts w:ascii="Calibri" w:hAnsi="Calibri" w:cs="Calibri"/>
        </w:rPr>
        <w:t>2019;0:1</w:t>
      </w:r>
      <w:proofErr w:type="gramEnd"/>
      <w:r w:rsidRPr="00C70D1D">
        <w:rPr>
          <w:rFonts w:ascii="Calibri" w:hAnsi="Calibri" w:cs="Calibri"/>
        </w:rPr>
        <w:t>-4. Available from: doi:10.1136/practneurol-2019-00222</w:t>
      </w:r>
    </w:p>
    <w:p w14:paraId="30B94A30" w14:textId="2F61B7DF" w:rsidR="00503368" w:rsidRPr="00B17041" w:rsidRDefault="00880AD8" w:rsidP="00503368">
      <w:pPr>
        <w:spacing w:after="0" w:line="240" w:lineRule="auto"/>
        <w:rPr>
          <w:rFonts w:ascii="Calibri" w:hAnsi="Calibri" w:cs="Calibri"/>
        </w:rPr>
      </w:pPr>
      <w:r w:rsidRPr="00C70D1D">
        <w:rPr>
          <w:rFonts w:ascii="Calibri" w:hAnsi="Calibri" w:cs="Calibri"/>
        </w:rPr>
        <w:t>10</w:t>
      </w:r>
      <w:r w:rsidR="00503368" w:rsidRPr="00B17041">
        <w:rPr>
          <w:rFonts w:ascii="Calibri" w:hAnsi="Calibri" w:cs="Calibri"/>
        </w:rPr>
        <w:t>.</w:t>
      </w:r>
      <w:r w:rsidR="002C4B5F" w:rsidRPr="00C70D1D">
        <w:rPr>
          <w:rFonts w:ascii="Calibri" w:hAnsi="Calibri" w:cs="Calibri"/>
        </w:rPr>
        <w:t xml:space="preserve"> </w:t>
      </w:r>
      <w:r w:rsidR="00503368" w:rsidRPr="00B17041">
        <w:rPr>
          <w:rFonts w:ascii="Calibri" w:hAnsi="Calibri" w:cs="Calibri"/>
        </w:rPr>
        <w:t xml:space="preserve">Powers WJ, </w:t>
      </w:r>
      <w:proofErr w:type="spellStart"/>
      <w:r w:rsidR="00503368" w:rsidRPr="00B17041">
        <w:rPr>
          <w:rFonts w:ascii="Calibri" w:hAnsi="Calibri" w:cs="Calibri"/>
        </w:rPr>
        <w:t>Rabinstein</w:t>
      </w:r>
      <w:proofErr w:type="spellEnd"/>
      <w:r w:rsidR="00503368" w:rsidRPr="00B17041">
        <w:rPr>
          <w:rFonts w:ascii="Calibri" w:hAnsi="Calibri" w:cs="Calibri"/>
        </w:rPr>
        <w:t xml:space="preserve"> AA, Ackerson T, et al. 2018 </w:t>
      </w:r>
      <w:r w:rsidR="00D12134" w:rsidRPr="00C70D1D">
        <w:rPr>
          <w:rFonts w:ascii="Calibri" w:hAnsi="Calibri" w:cs="Calibri"/>
        </w:rPr>
        <w:t>guidelines for the early management of patients with acute ischemic stroke: a guideline for healthcare professionals from</w:t>
      </w:r>
      <w:r w:rsidR="00503368" w:rsidRPr="00B17041">
        <w:rPr>
          <w:rFonts w:ascii="Calibri" w:hAnsi="Calibri" w:cs="Calibri"/>
        </w:rPr>
        <w:t xml:space="preserve"> the American Heart Association/American Stroke Association. Stroke</w:t>
      </w:r>
      <w:r w:rsidR="00254A62" w:rsidRPr="00C70D1D">
        <w:rPr>
          <w:rFonts w:ascii="Calibri" w:hAnsi="Calibri" w:cs="Calibri"/>
        </w:rPr>
        <w:t>.</w:t>
      </w:r>
      <w:r w:rsidR="00503368" w:rsidRPr="00B17041">
        <w:rPr>
          <w:rFonts w:ascii="Calibri" w:hAnsi="Calibri" w:cs="Calibri"/>
        </w:rPr>
        <w:t xml:space="preserve"> 2018;49(3</w:t>
      </w:r>
      <w:proofErr w:type="gramStart"/>
      <w:r w:rsidR="00503368" w:rsidRPr="00B17041">
        <w:rPr>
          <w:rFonts w:ascii="Calibri" w:hAnsi="Calibri" w:cs="Calibri"/>
        </w:rPr>
        <w:t>):e</w:t>
      </w:r>
      <w:proofErr w:type="gramEnd"/>
      <w:r w:rsidR="00503368" w:rsidRPr="00B17041">
        <w:rPr>
          <w:rFonts w:ascii="Calibri" w:hAnsi="Calibri" w:cs="Calibri"/>
        </w:rPr>
        <w:t>46</w:t>
      </w:r>
      <w:r w:rsidR="002C4B5F" w:rsidRPr="00C70D1D">
        <w:rPr>
          <w:rFonts w:ascii="Calibri" w:hAnsi="Calibri" w:cs="Calibri"/>
        </w:rPr>
        <w:t>–</w:t>
      </w:r>
      <w:r w:rsidR="00503368" w:rsidRPr="00B17041">
        <w:rPr>
          <w:rFonts w:ascii="Calibri" w:hAnsi="Calibri" w:cs="Calibri"/>
        </w:rPr>
        <w:t>110.</w:t>
      </w:r>
      <w:bookmarkEnd w:id="10"/>
    </w:p>
    <w:p w14:paraId="2993EEB1" w14:textId="77777777" w:rsidR="002C4B5F" w:rsidRPr="00C70D1D" w:rsidRDefault="002C4B5F" w:rsidP="002C4B5F">
      <w:pPr>
        <w:spacing w:after="0" w:line="240" w:lineRule="auto"/>
        <w:rPr>
          <w:rFonts w:ascii="Calibri" w:hAnsi="Calibri" w:cs="Calibri"/>
        </w:rPr>
      </w:pPr>
      <w:bookmarkStart w:id="11" w:name="_ENREF_10"/>
      <w:r w:rsidRPr="00C70D1D">
        <w:rPr>
          <w:rFonts w:ascii="Calibri" w:hAnsi="Calibri" w:cs="Calibri"/>
        </w:rPr>
        <w:t xml:space="preserve">11. </w:t>
      </w:r>
      <w:r w:rsidRPr="00C70D1D">
        <w:rPr>
          <w:rStyle w:val="Hyperlink"/>
          <w:rFonts w:ascii="Calibri" w:hAnsi="Calibri" w:cs="Calibri"/>
          <w:color w:val="auto"/>
          <w:u w:val="none"/>
        </w:rPr>
        <w:t>Broderick</w:t>
      </w:r>
      <w:r w:rsidRPr="00C70D1D">
        <w:rPr>
          <w:rFonts w:ascii="Calibri" w:hAnsi="Calibri" w:cs="Calibri"/>
        </w:rPr>
        <w:t xml:space="preserve"> P, Adeoye O, Elm J. Evolution of the modified Rankin scale and its use in future stroke trials. Stroke. </w:t>
      </w:r>
      <w:proofErr w:type="gramStart"/>
      <w:r w:rsidRPr="00C70D1D">
        <w:rPr>
          <w:rFonts w:ascii="Calibri" w:hAnsi="Calibri" w:cs="Calibri"/>
        </w:rPr>
        <w:t>2017;48:2007</w:t>
      </w:r>
      <w:proofErr w:type="gramEnd"/>
      <w:r w:rsidRPr="00C70D1D">
        <w:rPr>
          <w:rFonts w:ascii="Calibri" w:hAnsi="Calibri" w:cs="Calibri"/>
        </w:rPr>
        <w:t xml:space="preserve">-12. Available from: </w:t>
      </w:r>
      <w:proofErr w:type="spellStart"/>
      <w:r w:rsidRPr="00C70D1D">
        <w:rPr>
          <w:rFonts w:ascii="Calibri" w:hAnsi="Calibri" w:cs="Calibri"/>
        </w:rPr>
        <w:t>doi</w:t>
      </w:r>
      <w:proofErr w:type="spellEnd"/>
      <w:r w:rsidRPr="00C70D1D">
        <w:rPr>
          <w:rFonts w:ascii="Calibri" w:hAnsi="Calibri" w:cs="Calibri"/>
        </w:rPr>
        <w:t xml:space="preserve">: 10.1161/STROKEAHA.117.017866. </w:t>
      </w:r>
    </w:p>
    <w:p w14:paraId="2C329D0F" w14:textId="1D27FCA4" w:rsidR="00503368" w:rsidRPr="00B17041" w:rsidRDefault="00503368" w:rsidP="00503368">
      <w:pPr>
        <w:spacing w:after="0" w:line="240" w:lineRule="auto"/>
        <w:rPr>
          <w:rFonts w:ascii="Calibri" w:hAnsi="Calibri" w:cs="Calibri"/>
        </w:rPr>
      </w:pPr>
      <w:r w:rsidRPr="00B17041">
        <w:rPr>
          <w:rFonts w:ascii="Calibri" w:hAnsi="Calibri" w:cs="Calibri"/>
        </w:rPr>
        <w:t>1</w:t>
      </w:r>
      <w:r w:rsidR="002C4B5F" w:rsidRPr="00C70D1D">
        <w:rPr>
          <w:rFonts w:ascii="Calibri" w:hAnsi="Calibri" w:cs="Calibri"/>
        </w:rPr>
        <w:t>2</w:t>
      </w:r>
      <w:r w:rsidRPr="00B17041">
        <w:rPr>
          <w:rFonts w:ascii="Calibri" w:hAnsi="Calibri" w:cs="Calibri"/>
        </w:rPr>
        <w:t>.</w:t>
      </w:r>
      <w:r w:rsidR="002C4B5F" w:rsidRPr="00C70D1D">
        <w:rPr>
          <w:rFonts w:ascii="Calibri" w:hAnsi="Calibri" w:cs="Calibri"/>
        </w:rPr>
        <w:t xml:space="preserve"> </w:t>
      </w:r>
      <w:proofErr w:type="spellStart"/>
      <w:r w:rsidRPr="00B17041">
        <w:rPr>
          <w:rFonts w:ascii="Calibri" w:hAnsi="Calibri" w:cs="Calibri"/>
        </w:rPr>
        <w:t>Makwero</w:t>
      </w:r>
      <w:proofErr w:type="spellEnd"/>
      <w:r w:rsidRPr="00B17041">
        <w:rPr>
          <w:rFonts w:ascii="Calibri" w:hAnsi="Calibri" w:cs="Calibri"/>
        </w:rPr>
        <w:t xml:space="preserve"> MT. Delivery of primary health care in Malawi. </w:t>
      </w:r>
      <w:proofErr w:type="spellStart"/>
      <w:r w:rsidRPr="00B17041">
        <w:rPr>
          <w:rFonts w:ascii="Calibri" w:hAnsi="Calibri" w:cs="Calibri"/>
        </w:rPr>
        <w:t>Afr</w:t>
      </w:r>
      <w:proofErr w:type="spellEnd"/>
      <w:r w:rsidRPr="00B17041">
        <w:rPr>
          <w:rFonts w:ascii="Calibri" w:hAnsi="Calibri" w:cs="Calibri"/>
        </w:rPr>
        <w:t xml:space="preserve"> J Prim Health Care Fam Med</w:t>
      </w:r>
      <w:r w:rsidR="00254A62" w:rsidRPr="00C70D1D">
        <w:rPr>
          <w:rFonts w:ascii="Calibri" w:hAnsi="Calibri" w:cs="Calibri"/>
        </w:rPr>
        <w:t>.</w:t>
      </w:r>
      <w:r w:rsidRPr="00B17041">
        <w:rPr>
          <w:rFonts w:ascii="Calibri" w:hAnsi="Calibri" w:cs="Calibri"/>
        </w:rPr>
        <w:t xml:space="preserve"> 2018;10(1</w:t>
      </w:r>
      <w:proofErr w:type="gramStart"/>
      <w:r w:rsidRPr="00B17041">
        <w:rPr>
          <w:rFonts w:ascii="Calibri" w:hAnsi="Calibri" w:cs="Calibri"/>
        </w:rPr>
        <w:t>):e</w:t>
      </w:r>
      <w:proofErr w:type="gramEnd"/>
      <w:r w:rsidRPr="00B17041">
        <w:rPr>
          <w:rFonts w:ascii="Calibri" w:hAnsi="Calibri" w:cs="Calibri"/>
        </w:rPr>
        <w:t>1</w:t>
      </w:r>
      <w:r w:rsidR="002C4B5F" w:rsidRPr="00C70D1D">
        <w:rPr>
          <w:rFonts w:ascii="Calibri" w:hAnsi="Calibri" w:cs="Calibri"/>
        </w:rPr>
        <w:t>–</w:t>
      </w:r>
      <w:r w:rsidRPr="00B17041">
        <w:rPr>
          <w:rFonts w:ascii="Calibri" w:hAnsi="Calibri" w:cs="Calibri"/>
        </w:rPr>
        <w:t>3.</w:t>
      </w:r>
      <w:bookmarkEnd w:id="11"/>
    </w:p>
    <w:p w14:paraId="5FF9392F" w14:textId="0CEDED50" w:rsidR="00503368" w:rsidRPr="00B17041" w:rsidRDefault="00503368" w:rsidP="00503368">
      <w:pPr>
        <w:spacing w:after="0" w:line="240" w:lineRule="auto"/>
        <w:rPr>
          <w:rFonts w:ascii="Calibri" w:hAnsi="Calibri" w:cs="Calibri"/>
        </w:rPr>
      </w:pPr>
      <w:bookmarkStart w:id="12" w:name="_ENREF_11"/>
      <w:r w:rsidRPr="00B17041">
        <w:rPr>
          <w:rFonts w:ascii="Calibri" w:hAnsi="Calibri" w:cs="Calibri"/>
        </w:rPr>
        <w:t>1</w:t>
      </w:r>
      <w:r w:rsidR="00880AD8" w:rsidRPr="00C70D1D">
        <w:rPr>
          <w:rFonts w:ascii="Calibri" w:hAnsi="Calibri" w:cs="Calibri"/>
        </w:rPr>
        <w:t>3</w:t>
      </w:r>
      <w:r w:rsidRPr="00B17041">
        <w:rPr>
          <w:rFonts w:ascii="Calibri" w:hAnsi="Calibri" w:cs="Calibri"/>
        </w:rPr>
        <w:t>.</w:t>
      </w:r>
      <w:r w:rsidR="002C4B5F" w:rsidRPr="00C70D1D">
        <w:rPr>
          <w:rFonts w:ascii="Calibri" w:hAnsi="Calibri" w:cs="Calibri"/>
        </w:rPr>
        <w:t xml:space="preserve"> </w:t>
      </w:r>
      <w:proofErr w:type="spellStart"/>
      <w:r w:rsidRPr="00B17041">
        <w:rPr>
          <w:rFonts w:ascii="Calibri" w:hAnsi="Calibri" w:cs="Calibri"/>
        </w:rPr>
        <w:t>Aho</w:t>
      </w:r>
      <w:proofErr w:type="spellEnd"/>
      <w:r w:rsidRPr="00B17041">
        <w:rPr>
          <w:rFonts w:ascii="Calibri" w:hAnsi="Calibri" w:cs="Calibri"/>
        </w:rPr>
        <w:t xml:space="preserve"> K, </w:t>
      </w:r>
      <w:proofErr w:type="spellStart"/>
      <w:r w:rsidRPr="00B17041">
        <w:rPr>
          <w:rFonts w:ascii="Calibri" w:hAnsi="Calibri" w:cs="Calibri"/>
        </w:rPr>
        <w:t>Harmsen</w:t>
      </w:r>
      <w:proofErr w:type="spellEnd"/>
      <w:r w:rsidRPr="00B17041">
        <w:rPr>
          <w:rFonts w:ascii="Calibri" w:hAnsi="Calibri" w:cs="Calibri"/>
        </w:rPr>
        <w:t xml:space="preserve"> P, </w:t>
      </w:r>
      <w:proofErr w:type="spellStart"/>
      <w:r w:rsidRPr="00B17041">
        <w:rPr>
          <w:rFonts w:ascii="Calibri" w:hAnsi="Calibri" w:cs="Calibri"/>
        </w:rPr>
        <w:t>Hatano</w:t>
      </w:r>
      <w:proofErr w:type="spellEnd"/>
      <w:r w:rsidRPr="00B17041">
        <w:rPr>
          <w:rFonts w:ascii="Calibri" w:hAnsi="Calibri" w:cs="Calibri"/>
        </w:rPr>
        <w:t xml:space="preserve"> S, </w:t>
      </w:r>
      <w:proofErr w:type="spellStart"/>
      <w:r w:rsidRPr="00B17041">
        <w:rPr>
          <w:rFonts w:ascii="Calibri" w:hAnsi="Calibri" w:cs="Calibri"/>
        </w:rPr>
        <w:t>Marquardsen</w:t>
      </w:r>
      <w:proofErr w:type="spellEnd"/>
      <w:r w:rsidRPr="00B17041">
        <w:rPr>
          <w:rFonts w:ascii="Calibri" w:hAnsi="Calibri" w:cs="Calibri"/>
        </w:rPr>
        <w:t xml:space="preserve"> J, Smirnov VE, Strasser T. Cerebrovascular disease in the community: results of a WHO collaborative study. Bull World Health Organ</w:t>
      </w:r>
      <w:r w:rsidR="00254A62" w:rsidRPr="00C70D1D">
        <w:rPr>
          <w:rFonts w:ascii="Calibri" w:hAnsi="Calibri" w:cs="Calibri"/>
        </w:rPr>
        <w:t>.</w:t>
      </w:r>
      <w:r w:rsidRPr="00B17041">
        <w:rPr>
          <w:rFonts w:ascii="Calibri" w:hAnsi="Calibri" w:cs="Calibri"/>
        </w:rPr>
        <w:t xml:space="preserve"> 1980;58(1):113</w:t>
      </w:r>
      <w:r w:rsidR="002C4B5F" w:rsidRPr="00C70D1D">
        <w:rPr>
          <w:rFonts w:ascii="Calibri" w:hAnsi="Calibri" w:cs="Calibri"/>
        </w:rPr>
        <w:t>–</w:t>
      </w:r>
      <w:r w:rsidRPr="00B17041">
        <w:rPr>
          <w:rFonts w:ascii="Calibri" w:hAnsi="Calibri" w:cs="Calibri"/>
        </w:rPr>
        <w:t>30.</w:t>
      </w:r>
      <w:bookmarkEnd w:id="12"/>
    </w:p>
    <w:p w14:paraId="4D48D99D" w14:textId="6A1557DD" w:rsidR="00503368" w:rsidRPr="00B17041" w:rsidRDefault="00503368" w:rsidP="00503368">
      <w:pPr>
        <w:spacing w:after="0" w:line="240" w:lineRule="auto"/>
        <w:rPr>
          <w:rFonts w:ascii="Calibri" w:hAnsi="Calibri" w:cs="Calibri"/>
        </w:rPr>
      </w:pPr>
      <w:bookmarkStart w:id="13" w:name="_ENREF_12"/>
      <w:r w:rsidRPr="00B17041">
        <w:rPr>
          <w:rFonts w:ascii="Calibri" w:hAnsi="Calibri" w:cs="Calibri"/>
        </w:rPr>
        <w:t>1</w:t>
      </w:r>
      <w:r w:rsidR="00880AD8" w:rsidRPr="00C70D1D">
        <w:rPr>
          <w:rFonts w:ascii="Calibri" w:hAnsi="Calibri" w:cs="Calibri"/>
        </w:rPr>
        <w:t>4</w:t>
      </w:r>
      <w:r w:rsidRPr="00B17041">
        <w:rPr>
          <w:rFonts w:ascii="Calibri" w:hAnsi="Calibri" w:cs="Calibri"/>
        </w:rPr>
        <w:t>.</w:t>
      </w:r>
      <w:r w:rsidR="002C4B5F" w:rsidRPr="00C70D1D">
        <w:rPr>
          <w:rFonts w:ascii="Calibri" w:hAnsi="Calibri" w:cs="Calibri"/>
        </w:rPr>
        <w:t xml:space="preserve"> </w:t>
      </w:r>
      <w:r w:rsidRPr="00B17041">
        <w:rPr>
          <w:rFonts w:ascii="Calibri" w:hAnsi="Calibri" w:cs="Calibri"/>
        </w:rPr>
        <w:t xml:space="preserve">Sacco RL, </w:t>
      </w:r>
      <w:proofErr w:type="spellStart"/>
      <w:r w:rsidRPr="00B17041">
        <w:rPr>
          <w:rFonts w:ascii="Calibri" w:hAnsi="Calibri" w:cs="Calibri"/>
        </w:rPr>
        <w:t>Kasner</w:t>
      </w:r>
      <w:proofErr w:type="spellEnd"/>
      <w:r w:rsidRPr="00B17041">
        <w:rPr>
          <w:rFonts w:ascii="Calibri" w:hAnsi="Calibri" w:cs="Calibri"/>
        </w:rPr>
        <w:t xml:space="preserve"> SE, Broderick JP, et al. An updated definition of stroke for the 21st century: a statement for healthcare professionals from the American Heart Association/American Stroke Association. Stroke</w:t>
      </w:r>
      <w:r w:rsidR="00254A62" w:rsidRPr="00C70D1D">
        <w:rPr>
          <w:rFonts w:ascii="Calibri" w:hAnsi="Calibri" w:cs="Calibri"/>
        </w:rPr>
        <w:t>.</w:t>
      </w:r>
      <w:r w:rsidRPr="00B17041">
        <w:rPr>
          <w:rFonts w:ascii="Calibri" w:hAnsi="Calibri" w:cs="Calibri"/>
        </w:rPr>
        <w:t xml:space="preserve"> 2013;44(7):2064</w:t>
      </w:r>
      <w:r w:rsidR="002C4B5F" w:rsidRPr="00C70D1D">
        <w:rPr>
          <w:rFonts w:ascii="Calibri" w:hAnsi="Calibri" w:cs="Calibri"/>
        </w:rPr>
        <w:t>–</w:t>
      </w:r>
      <w:r w:rsidRPr="00B17041">
        <w:rPr>
          <w:rFonts w:ascii="Calibri" w:hAnsi="Calibri" w:cs="Calibri"/>
        </w:rPr>
        <w:t>89.</w:t>
      </w:r>
      <w:bookmarkEnd w:id="13"/>
    </w:p>
    <w:p w14:paraId="02DCEE37" w14:textId="2CFBB4D4" w:rsidR="00503368" w:rsidRPr="00B17041" w:rsidRDefault="00503368" w:rsidP="00503368">
      <w:pPr>
        <w:spacing w:after="0" w:line="240" w:lineRule="auto"/>
        <w:rPr>
          <w:rFonts w:ascii="Calibri" w:hAnsi="Calibri" w:cs="Calibri"/>
        </w:rPr>
      </w:pPr>
      <w:bookmarkStart w:id="14" w:name="_ENREF_13"/>
      <w:r w:rsidRPr="00B17041">
        <w:rPr>
          <w:rFonts w:ascii="Calibri" w:hAnsi="Calibri" w:cs="Calibri"/>
        </w:rPr>
        <w:t>1</w:t>
      </w:r>
      <w:r w:rsidR="00880AD8" w:rsidRPr="00C70D1D">
        <w:rPr>
          <w:rFonts w:ascii="Calibri" w:hAnsi="Calibri" w:cs="Calibri"/>
        </w:rPr>
        <w:t>5</w:t>
      </w:r>
      <w:r w:rsidRPr="00B17041">
        <w:rPr>
          <w:rFonts w:ascii="Calibri" w:hAnsi="Calibri" w:cs="Calibri"/>
        </w:rPr>
        <w:t>.</w:t>
      </w:r>
      <w:r w:rsidR="002C4B5F" w:rsidRPr="00C70D1D">
        <w:rPr>
          <w:rFonts w:ascii="Calibri" w:hAnsi="Calibri" w:cs="Calibri"/>
        </w:rPr>
        <w:t xml:space="preserve"> </w:t>
      </w:r>
      <w:r w:rsidRPr="00B17041">
        <w:rPr>
          <w:rFonts w:ascii="Calibri" w:hAnsi="Calibri" w:cs="Calibri"/>
        </w:rPr>
        <w:t xml:space="preserve">Benjamin LA, Corbett EL, Connor MD, et al. HIV, antiretroviral treatment, hypertension, and stroke in Malawian adults: </w:t>
      </w:r>
      <w:r w:rsidR="00254A62" w:rsidRPr="00C70D1D">
        <w:rPr>
          <w:rFonts w:ascii="Calibri" w:hAnsi="Calibri" w:cs="Calibri"/>
        </w:rPr>
        <w:t>a</w:t>
      </w:r>
      <w:r w:rsidR="00254A62" w:rsidRPr="00B17041">
        <w:rPr>
          <w:rFonts w:ascii="Calibri" w:hAnsi="Calibri" w:cs="Calibri"/>
        </w:rPr>
        <w:t xml:space="preserve"> </w:t>
      </w:r>
      <w:r w:rsidRPr="00B17041">
        <w:rPr>
          <w:rFonts w:ascii="Calibri" w:hAnsi="Calibri" w:cs="Calibri"/>
        </w:rPr>
        <w:t>case-control study. Neurology</w:t>
      </w:r>
      <w:r w:rsidR="00254A62" w:rsidRPr="00C70D1D">
        <w:rPr>
          <w:rFonts w:ascii="Calibri" w:hAnsi="Calibri" w:cs="Calibri"/>
        </w:rPr>
        <w:t>.</w:t>
      </w:r>
      <w:r w:rsidRPr="00B17041">
        <w:rPr>
          <w:rFonts w:ascii="Calibri" w:hAnsi="Calibri" w:cs="Calibri"/>
        </w:rPr>
        <w:t xml:space="preserve"> 2016;86(4):324</w:t>
      </w:r>
      <w:r w:rsidR="002C4B5F" w:rsidRPr="00C70D1D">
        <w:rPr>
          <w:rFonts w:ascii="Calibri" w:hAnsi="Calibri" w:cs="Calibri"/>
        </w:rPr>
        <w:t>–</w:t>
      </w:r>
      <w:r w:rsidRPr="00B17041">
        <w:rPr>
          <w:rFonts w:ascii="Calibri" w:hAnsi="Calibri" w:cs="Calibri"/>
        </w:rPr>
        <w:t>33.</w:t>
      </w:r>
      <w:bookmarkEnd w:id="14"/>
    </w:p>
    <w:p w14:paraId="0C34E87A" w14:textId="40AA04AB" w:rsidR="00503368" w:rsidRPr="00B17041" w:rsidRDefault="00503368" w:rsidP="00503368">
      <w:pPr>
        <w:spacing w:after="0" w:line="240" w:lineRule="auto"/>
        <w:rPr>
          <w:rFonts w:ascii="Calibri" w:hAnsi="Calibri" w:cs="Calibri"/>
        </w:rPr>
      </w:pPr>
      <w:bookmarkStart w:id="15" w:name="_ENREF_14"/>
      <w:r w:rsidRPr="00B17041">
        <w:rPr>
          <w:rFonts w:ascii="Calibri" w:hAnsi="Calibri" w:cs="Calibri"/>
        </w:rPr>
        <w:t>1</w:t>
      </w:r>
      <w:r w:rsidR="00880AD8" w:rsidRPr="00C70D1D">
        <w:rPr>
          <w:rFonts w:ascii="Calibri" w:hAnsi="Calibri" w:cs="Calibri"/>
        </w:rPr>
        <w:t>6</w:t>
      </w:r>
      <w:r w:rsidRPr="00B17041">
        <w:rPr>
          <w:rFonts w:ascii="Calibri" w:hAnsi="Calibri" w:cs="Calibri"/>
        </w:rPr>
        <w:t>.</w:t>
      </w:r>
      <w:r w:rsidR="002C4B5F" w:rsidRPr="00C70D1D">
        <w:rPr>
          <w:rFonts w:ascii="Calibri" w:hAnsi="Calibri" w:cs="Calibri"/>
        </w:rPr>
        <w:t xml:space="preserve"> </w:t>
      </w:r>
      <w:r w:rsidRPr="00B17041">
        <w:rPr>
          <w:rFonts w:ascii="Calibri" w:hAnsi="Calibri" w:cs="Calibri"/>
        </w:rPr>
        <w:t xml:space="preserve">Benjamin LA, Allain TJ, </w:t>
      </w:r>
      <w:proofErr w:type="spellStart"/>
      <w:r w:rsidRPr="00B17041">
        <w:rPr>
          <w:rFonts w:ascii="Calibri" w:hAnsi="Calibri" w:cs="Calibri"/>
        </w:rPr>
        <w:t>Mzinganjira</w:t>
      </w:r>
      <w:proofErr w:type="spellEnd"/>
      <w:r w:rsidRPr="00B17041">
        <w:rPr>
          <w:rFonts w:ascii="Calibri" w:hAnsi="Calibri" w:cs="Calibri"/>
        </w:rPr>
        <w:t xml:space="preserve"> H, et al. The </w:t>
      </w:r>
      <w:r w:rsidR="00254A62" w:rsidRPr="00C70D1D">
        <w:rPr>
          <w:rFonts w:ascii="Calibri" w:hAnsi="Calibri" w:cs="Calibri"/>
        </w:rPr>
        <w:t xml:space="preserve">role of human immunodeficiency virus-associated vasculopathy in the </w:t>
      </w:r>
      <w:proofErr w:type="spellStart"/>
      <w:r w:rsidR="00254A62" w:rsidRPr="00C70D1D">
        <w:rPr>
          <w:rFonts w:ascii="Calibri" w:hAnsi="Calibri" w:cs="Calibri"/>
        </w:rPr>
        <w:t>etiology</w:t>
      </w:r>
      <w:proofErr w:type="spellEnd"/>
      <w:r w:rsidR="00254A62" w:rsidRPr="00C70D1D">
        <w:rPr>
          <w:rFonts w:ascii="Calibri" w:hAnsi="Calibri" w:cs="Calibri"/>
        </w:rPr>
        <w:t xml:space="preserve"> of st</w:t>
      </w:r>
      <w:r w:rsidRPr="00B17041">
        <w:rPr>
          <w:rFonts w:ascii="Calibri" w:hAnsi="Calibri" w:cs="Calibri"/>
        </w:rPr>
        <w:t>roke. J Infect Dis</w:t>
      </w:r>
      <w:r w:rsidR="00254A62" w:rsidRPr="00C70D1D">
        <w:rPr>
          <w:rFonts w:ascii="Calibri" w:hAnsi="Calibri" w:cs="Calibri"/>
        </w:rPr>
        <w:t>.</w:t>
      </w:r>
      <w:r w:rsidRPr="00B17041">
        <w:rPr>
          <w:rFonts w:ascii="Calibri" w:hAnsi="Calibri" w:cs="Calibri"/>
        </w:rPr>
        <w:t xml:space="preserve"> 2017;216(5):545</w:t>
      </w:r>
      <w:r w:rsidR="002C4B5F" w:rsidRPr="00C70D1D">
        <w:rPr>
          <w:rFonts w:ascii="Calibri" w:hAnsi="Calibri" w:cs="Calibri"/>
        </w:rPr>
        <w:t>–</w:t>
      </w:r>
      <w:r w:rsidRPr="00B17041">
        <w:rPr>
          <w:rFonts w:ascii="Calibri" w:hAnsi="Calibri" w:cs="Calibri"/>
        </w:rPr>
        <w:t>53.</w:t>
      </w:r>
      <w:bookmarkEnd w:id="15"/>
    </w:p>
    <w:p w14:paraId="6358B7CC" w14:textId="58D7C66B" w:rsidR="00503368" w:rsidRPr="00B17041" w:rsidRDefault="00503368" w:rsidP="00503368">
      <w:pPr>
        <w:spacing w:after="0" w:line="240" w:lineRule="auto"/>
        <w:rPr>
          <w:rFonts w:ascii="Calibri" w:hAnsi="Calibri" w:cs="Calibri"/>
        </w:rPr>
      </w:pPr>
      <w:bookmarkStart w:id="16" w:name="_ENREF_15"/>
      <w:r w:rsidRPr="00B17041">
        <w:rPr>
          <w:rFonts w:ascii="Calibri" w:hAnsi="Calibri" w:cs="Calibri"/>
        </w:rPr>
        <w:t>1</w:t>
      </w:r>
      <w:r w:rsidR="00880AD8" w:rsidRPr="00C70D1D">
        <w:rPr>
          <w:rFonts w:ascii="Calibri" w:hAnsi="Calibri" w:cs="Calibri"/>
        </w:rPr>
        <w:t>7</w:t>
      </w:r>
      <w:r w:rsidRPr="00B17041">
        <w:rPr>
          <w:rFonts w:ascii="Calibri" w:hAnsi="Calibri" w:cs="Calibri"/>
        </w:rPr>
        <w:t>.</w:t>
      </w:r>
      <w:r w:rsidR="002C4B5F" w:rsidRPr="00C70D1D">
        <w:rPr>
          <w:rFonts w:ascii="Calibri" w:hAnsi="Calibri" w:cs="Calibri"/>
        </w:rPr>
        <w:t xml:space="preserve"> </w:t>
      </w:r>
      <w:r w:rsidRPr="00B17041">
        <w:rPr>
          <w:rFonts w:ascii="Calibri" w:hAnsi="Calibri" w:cs="Calibri"/>
        </w:rPr>
        <w:t xml:space="preserve">Bray BD, Smith CJ, Cloud GC, et al. The association between delays in screening for and assessing dysphagia after acute stroke, and the risk of stroke-associated pneumonia. J </w:t>
      </w:r>
      <w:proofErr w:type="spellStart"/>
      <w:r w:rsidRPr="00B17041">
        <w:rPr>
          <w:rFonts w:ascii="Calibri" w:hAnsi="Calibri" w:cs="Calibri"/>
        </w:rPr>
        <w:t>Neurol</w:t>
      </w:r>
      <w:proofErr w:type="spellEnd"/>
      <w:r w:rsidRPr="00B17041">
        <w:rPr>
          <w:rFonts w:ascii="Calibri" w:hAnsi="Calibri" w:cs="Calibri"/>
        </w:rPr>
        <w:t xml:space="preserve"> </w:t>
      </w:r>
      <w:proofErr w:type="spellStart"/>
      <w:r w:rsidRPr="00B17041">
        <w:rPr>
          <w:rFonts w:ascii="Calibri" w:hAnsi="Calibri" w:cs="Calibri"/>
        </w:rPr>
        <w:t>Neurosurg</w:t>
      </w:r>
      <w:proofErr w:type="spellEnd"/>
      <w:r w:rsidRPr="00B17041">
        <w:rPr>
          <w:rFonts w:ascii="Calibri" w:hAnsi="Calibri" w:cs="Calibri"/>
        </w:rPr>
        <w:t xml:space="preserve"> Psychiatry</w:t>
      </w:r>
      <w:r w:rsidR="00254A62" w:rsidRPr="00C70D1D">
        <w:rPr>
          <w:rFonts w:ascii="Calibri" w:hAnsi="Calibri" w:cs="Calibri"/>
        </w:rPr>
        <w:t>.</w:t>
      </w:r>
      <w:r w:rsidRPr="00B17041">
        <w:rPr>
          <w:rFonts w:ascii="Calibri" w:hAnsi="Calibri" w:cs="Calibri"/>
        </w:rPr>
        <w:t xml:space="preserve"> 2017;88(1):25</w:t>
      </w:r>
      <w:r w:rsidR="002C4B5F" w:rsidRPr="00C70D1D">
        <w:rPr>
          <w:rFonts w:ascii="Calibri" w:hAnsi="Calibri" w:cs="Calibri"/>
        </w:rPr>
        <w:t>–</w:t>
      </w:r>
      <w:r w:rsidRPr="00B17041">
        <w:rPr>
          <w:rFonts w:ascii="Calibri" w:hAnsi="Calibri" w:cs="Calibri"/>
        </w:rPr>
        <w:t>30.</w:t>
      </w:r>
      <w:bookmarkEnd w:id="16"/>
    </w:p>
    <w:p w14:paraId="7927F592" w14:textId="1F9442E8" w:rsidR="00503368" w:rsidRPr="00B17041" w:rsidRDefault="00503368" w:rsidP="00503368">
      <w:pPr>
        <w:spacing w:after="0" w:line="240" w:lineRule="auto"/>
        <w:rPr>
          <w:rFonts w:ascii="Calibri" w:hAnsi="Calibri" w:cs="Calibri"/>
        </w:rPr>
      </w:pPr>
      <w:bookmarkStart w:id="17" w:name="_ENREF_16"/>
      <w:r w:rsidRPr="00B17041">
        <w:rPr>
          <w:rFonts w:ascii="Calibri" w:hAnsi="Calibri" w:cs="Calibri"/>
        </w:rPr>
        <w:t>1</w:t>
      </w:r>
      <w:r w:rsidR="00880AD8" w:rsidRPr="00C70D1D">
        <w:rPr>
          <w:rFonts w:ascii="Calibri" w:hAnsi="Calibri" w:cs="Calibri"/>
        </w:rPr>
        <w:t>8</w:t>
      </w:r>
      <w:r w:rsidRPr="00B17041">
        <w:rPr>
          <w:rFonts w:ascii="Calibri" w:hAnsi="Calibri" w:cs="Calibri"/>
        </w:rPr>
        <w:t>.</w:t>
      </w:r>
      <w:r w:rsidR="002C4B5F" w:rsidRPr="00C70D1D">
        <w:rPr>
          <w:rFonts w:ascii="Calibri" w:hAnsi="Calibri" w:cs="Calibri"/>
        </w:rPr>
        <w:t xml:space="preserve"> </w:t>
      </w:r>
      <w:proofErr w:type="spellStart"/>
      <w:r w:rsidRPr="00B17041">
        <w:rPr>
          <w:rFonts w:ascii="Calibri" w:hAnsi="Calibri" w:cs="Calibri"/>
        </w:rPr>
        <w:t>Hilker</w:t>
      </w:r>
      <w:proofErr w:type="spellEnd"/>
      <w:r w:rsidRPr="00B17041">
        <w:rPr>
          <w:rFonts w:ascii="Calibri" w:hAnsi="Calibri" w:cs="Calibri"/>
        </w:rPr>
        <w:t xml:space="preserve"> R, </w:t>
      </w:r>
      <w:proofErr w:type="spellStart"/>
      <w:r w:rsidRPr="00B17041">
        <w:rPr>
          <w:rFonts w:ascii="Calibri" w:hAnsi="Calibri" w:cs="Calibri"/>
        </w:rPr>
        <w:t>Poetter</w:t>
      </w:r>
      <w:proofErr w:type="spellEnd"/>
      <w:r w:rsidRPr="00B17041">
        <w:rPr>
          <w:rFonts w:ascii="Calibri" w:hAnsi="Calibri" w:cs="Calibri"/>
        </w:rPr>
        <w:t xml:space="preserve"> C, </w:t>
      </w:r>
      <w:proofErr w:type="spellStart"/>
      <w:r w:rsidRPr="00B17041">
        <w:rPr>
          <w:rFonts w:ascii="Calibri" w:hAnsi="Calibri" w:cs="Calibri"/>
        </w:rPr>
        <w:t>Findeisen</w:t>
      </w:r>
      <w:proofErr w:type="spellEnd"/>
      <w:r w:rsidRPr="00B17041">
        <w:rPr>
          <w:rFonts w:ascii="Calibri" w:hAnsi="Calibri" w:cs="Calibri"/>
        </w:rPr>
        <w:t xml:space="preserve"> N, et al. Nosocomial pneumonia after acute stroke: implications for neurological intensive care medicine. Stroke</w:t>
      </w:r>
      <w:r w:rsidR="00254A62" w:rsidRPr="00C70D1D">
        <w:rPr>
          <w:rFonts w:ascii="Calibri" w:hAnsi="Calibri" w:cs="Calibri"/>
        </w:rPr>
        <w:t>.</w:t>
      </w:r>
      <w:r w:rsidRPr="00B17041">
        <w:rPr>
          <w:rFonts w:ascii="Calibri" w:hAnsi="Calibri" w:cs="Calibri"/>
        </w:rPr>
        <w:t xml:space="preserve"> 2003;34(4):975</w:t>
      </w:r>
      <w:r w:rsidR="002C4B5F" w:rsidRPr="00C70D1D">
        <w:rPr>
          <w:rFonts w:ascii="Calibri" w:hAnsi="Calibri" w:cs="Calibri"/>
        </w:rPr>
        <w:t>–</w:t>
      </w:r>
      <w:r w:rsidRPr="00B17041">
        <w:rPr>
          <w:rFonts w:ascii="Calibri" w:hAnsi="Calibri" w:cs="Calibri"/>
        </w:rPr>
        <w:t>81.</w:t>
      </w:r>
      <w:bookmarkEnd w:id="17"/>
    </w:p>
    <w:p w14:paraId="05161846" w14:textId="01BF088C" w:rsidR="00503368" w:rsidRPr="00B17041" w:rsidRDefault="00503368" w:rsidP="00503368">
      <w:pPr>
        <w:spacing w:after="0" w:line="240" w:lineRule="auto"/>
        <w:rPr>
          <w:rFonts w:ascii="Calibri" w:hAnsi="Calibri" w:cs="Calibri"/>
        </w:rPr>
      </w:pPr>
      <w:bookmarkStart w:id="18" w:name="_ENREF_17"/>
      <w:r w:rsidRPr="00B17041">
        <w:rPr>
          <w:rFonts w:ascii="Calibri" w:hAnsi="Calibri" w:cs="Calibri"/>
        </w:rPr>
        <w:t>1</w:t>
      </w:r>
      <w:r w:rsidR="00880AD8" w:rsidRPr="00C70D1D">
        <w:rPr>
          <w:rFonts w:ascii="Calibri" w:hAnsi="Calibri" w:cs="Calibri"/>
        </w:rPr>
        <w:t>9</w:t>
      </w:r>
      <w:r w:rsidRPr="00B17041">
        <w:rPr>
          <w:rFonts w:ascii="Calibri" w:hAnsi="Calibri" w:cs="Calibri"/>
        </w:rPr>
        <w:t>.</w:t>
      </w:r>
      <w:r w:rsidR="002C4B5F" w:rsidRPr="00C70D1D">
        <w:rPr>
          <w:rFonts w:ascii="Calibri" w:hAnsi="Calibri" w:cs="Calibri"/>
        </w:rPr>
        <w:t xml:space="preserve"> </w:t>
      </w:r>
      <w:r w:rsidRPr="00B17041">
        <w:rPr>
          <w:rFonts w:ascii="Calibri" w:hAnsi="Calibri" w:cs="Calibri"/>
        </w:rPr>
        <w:t xml:space="preserve">Menezes KK, Nascimento LR, Ada L, </w:t>
      </w:r>
      <w:proofErr w:type="spellStart"/>
      <w:r w:rsidRPr="00B17041">
        <w:rPr>
          <w:rFonts w:ascii="Calibri" w:hAnsi="Calibri" w:cs="Calibri"/>
        </w:rPr>
        <w:t>Polese</w:t>
      </w:r>
      <w:proofErr w:type="spellEnd"/>
      <w:r w:rsidRPr="00B17041">
        <w:rPr>
          <w:rFonts w:ascii="Calibri" w:hAnsi="Calibri" w:cs="Calibri"/>
        </w:rPr>
        <w:t xml:space="preserve"> JC, Avelino PR, Teixeira-</w:t>
      </w:r>
      <w:proofErr w:type="spellStart"/>
      <w:r w:rsidRPr="00B17041">
        <w:rPr>
          <w:rFonts w:ascii="Calibri" w:hAnsi="Calibri" w:cs="Calibri"/>
        </w:rPr>
        <w:t>Salmela</w:t>
      </w:r>
      <w:proofErr w:type="spellEnd"/>
      <w:r w:rsidRPr="00B17041">
        <w:rPr>
          <w:rFonts w:ascii="Calibri" w:hAnsi="Calibri" w:cs="Calibri"/>
        </w:rPr>
        <w:t xml:space="preserve"> LF. Respiratory muscle training increases respiratory muscle strength and reduces respiratory complications after stroke: a systematic review. J </w:t>
      </w:r>
      <w:proofErr w:type="spellStart"/>
      <w:r w:rsidRPr="00B17041">
        <w:rPr>
          <w:rFonts w:ascii="Calibri" w:hAnsi="Calibri" w:cs="Calibri"/>
        </w:rPr>
        <w:t>Physiother</w:t>
      </w:r>
      <w:proofErr w:type="spellEnd"/>
      <w:r w:rsidR="00254A62" w:rsidRPr="00C70D1D">
        <w:rPr>
          <w:rFonts w:ascii="Calibri" w:hAnsi="Calibri" w:cs="Calibri"/>
        </w:rPr>
        <w:t>.</w:t>
      </w:r>
      <w:r w:rsidRPr="00B17041">
        <w:rPr>
          <w:rFonts w:ascii="Calibri" w:hAnsi="Calibri" w:cs="Calibri"/>
        </w:rPr>
        <w:t xml:space="preserve"> 2016;62(3):138</w:t>
      </w:r>
      <w:r w:rsidR="002C4B5F" w:rsidRPr="00C70D1D">
        <w:rPr>
          <w:rFonts w:ascii="Calibri" w:hAnsi="Calibri" w:cs="Calibri"/>
        </w:rPr>
        <w:t>–</w:t>
      </w:r>
      <w:r w:rsidRPr="00B17041">
        <w:rPr>
          <w:rFonts w:ascii="Calibri" w:hAnsi="Calibri" w:cs="Calibri"/>
        </w:rPr>
        <w:t>44.</w:t>
      </w:r>
      <w:bookmarkEnd w:id="18"/>
    </w:p>
    <w:p w14:paraId="20915CF0" w14:textId="78142C10" w:rsidR="00503368" w:rsidRPr="00B17041" w:rsidRDefault="00880AD8" w:rsidP="00503368">
      <w:pPr>
        <w:spacing w:after="0" w:line="240" w:lineRule="auto"/>
        <w:rPr>
          <w:rFonts w:ascii="Calibri" w:hAnsi="Calibri" w:cs="Calibri"/>
        </w:rPr>
      </w:pPr>
      <w:bookmarkStart w:id="19" w:name="_ENREF_18"/>
      <w:r w:rsidRPr="00C70D1D">
        <w:rPr>
          <w:rFonts w:ascii="Calibri" w:hAnsi="Calibri" w:cs="Calibri"/>
        </w:rPr>
        <w:t>20</w:t>
      </w:r>
      <w:r w:rsidR="00503368" w:rsidRPr="00B17041">
        <w:rPr>
          <w:rFonts w:ascii="Calibri" w:hAnsi="Calibri" w:cs="Calibri"/>
        </w:rPr>
        <w:t>.</w:t>
      </w:r>
      <w:r w:rsidR="002C4B5F" w:rsidRPr="00C70D1D">
        <w:rPr>
          <w:rFonts w:ascii="Calibri" w:hAnsi="Calibri" w:cs="Calibri"/>
        </w:rPr>
        <w:t xml:space="preserve"> </w:t>
      </w:r>
      <w:proofErr w:type="spellStart"/>
      <w:r w:rsidR="00503368" w:rsidRPr="00B17041">
        <w:rPr>
          <w:rFonts w:ascii="Calibri" w:hAnsi="Calibri" w:cs="Calibri"/>
        </w:rPr>
        <w:t>Chimatiro</w:t>
      </w:r>
      <w:proofErr w:type="spellEnd"/>
      <w:r w:rsidR="00503368" w:rsidRPr="00B17041">
        <w:rPr>
          <w:rFonts w:ascii="Calibri" w:hAnsi="Calibri" w:cs="Calibri"/>
        </w:rPr>
        <w:t xml:space="preserve"> GL, Rhoda AJ, De Wit L. Stroke patients' outcomes and satisfaction with care at discharge from four referral hospitals in Malawi: </w:t>
      </w:r>
      <w:r w:rsidR="00254A62" w:rsidRPr="00C70D1D">
        <w:rPr>
          <w:rFonts w:ascii="Calibri" w:hAnsi="Calibri" w:cs="Calibri"/>
        </w:rPr>
        <w:t>a</w:t>
      </w:r>
      <w:r w:rsidR="00254A62" w:rsidRPr="00B17041">
        <w:rPr>
          <w:rFonts w:ascii="Calibri" w:hAnsi="Calibri" w:cs="Calibri"/>
        </w:rPr>
        <w:t xml:space="preserve"> </w:t>
      </w:r>
      <w:r w:rsidR="00503368" w:rsidRPr="00B17041">
        <w:rPr>
          <w:rFonts w:ascii="Calibri" w:hAnsi="Calibri" w:cs="Calibri"/>
        </w:rPr>
        <w:t>cross-sectional descriptive study in limited resource. Malawi Med J</w:t>
      </w:r>
      <w:r w:rsidR="00254A62" w:rsidRPr="00C70D1D">
        <w:rPr>
          <w:rFonts w:ascii="Calibri" w:hAnsi="Calibri" w:cs="Calibri"/>
        </w:rPr>
        <w:t>.</w:t>
      </w:r>
      <w:r w:rsidR="00503368" w:rsidRPr="00B17041">
        <w:rPr>
          <w:rFonts w:ascii="Calibri" w:hAnsi="Calibri" w:cs="Calibri"/>
        </w:rPr>
        <w:t xml:space="preserve"> 2018;30(3):152</w:t>
      </w:r>
      <w:r w:rsidR="002C4B5F" w:rsidRPr="00C70D1D">
        <w:rPr>
          <w:rFonts w:ascii="Calibri" w:hAnsi="Calibri" w:cs="Calibri"/>
        </w:rPr>
        <w:t>–</w:t>
      </w:r>
      <w:r w:rsidR="00503368" w:rsidRPr="00B17041">
        <w:rPr>
          <w:rFonts w:ascii="Calibri" w:hAnsi="Calibri" w:cs="Calibri"/>
        </w:rPr>
        <w:t>8.</w:t>
      </w:r>
      <w:bookmarkEnd w:id="19"/>
    </w:p>
    <w:p w14:paraId="4484D6D7" w14:textId="508226B1" w:rsidR="00503368" w:rsidRPr="00B17041" w:rsidRDefault="00880AD8" w:rsidP="00503368">
      <w:pPr>
        <w:spacing w:after="0" w:line="240" w:lineRule="auto"/>
        <w:rPr>
          <w:rFonts w:ascii="Calibri" w:hAnsi="Calibri" w:cs="Calibri"/>
        </w:rPr>
      </w:pPr>
      <w:bookmarkStart w:id="20" w:name="_ENREF_19"/>
      <w:r w:rsidRPr="00C70D1D">
        <w:rPr>
          <w:rFonts w:ascii="Calibri" w:hAnsi="Calibri" w:cs="Calibri"/>
        </w:rPr>
        <w:t>21</w:t>
      </w:r>
      <w:r w:rsidR="00503368" w:rsidRPr="00B17041">
        <w:rPr>
          <w:rFonts w:ascii="Calibri" w:hAnsi="Calibri" w:cs="Calibri"/>
        </w:rPr>
        <w:t>.</w:t>
      </w:r>
      <w:r w:rsidR="002C4B5F" w:rsidRPr="00C70D1D">
        <w:rPr>
          <w:rFonts w:ascii="Calibri" w:hAnsi="Calibri" w:cs="Calibri"/>
        </w:rPr>
        <w:t xml:space="preserve"> </w:t>
      </w:r>
      <w:proofErr w:type="spellStart"/>
      <w:r w:rsidR="00503368" w:rsidRPr="00B17041">
        <w:rPr>
          <w:rFonts w:ascii="Calibri" w:hAnsi="Calibri" w:cs="Calibri"/>
        </w:rPr>
        <w:t>Ovbiagele</w:t>
      </w:r>
      <w:proofErr w:type="spellEnd"/>
      <w:r w:rsidR="00503368" w:rsidRPr="00B17041">
        <w:rPr>
          <w:rFonts w:ascii="Calibri" w:hAnsi="Calibri" w:cs="Calibri"/>
        </w:rPr>
        <w:t xml:space="preserve"> B. Nationwide trends in in-hospital mortality among patients with stroke. Stroke</w:t>
      </w:r>
      <w:r w:rsidR="00254A62" w:rsidRPr="00C70D1D">
        <w:rPr>
          <w:rFonts w:ascii="Calibri" w:hAnsi="Calibri" w:cs="Calibri"/>
        </w:rPr>
        <w:t>.</w:t>
      </w:r>
      <w:r w:rsidR="00503368" w:rsidRPr="00B17041">
        <w:rPr>
          <w:rFonts w:ascii="Calibri" w:hAnsi="Calibri" w:cs="Calibri"/>
        </w:rPr>
        <w:t xml:space="preserve"> 2010;41(8):1748</w:t>
      </w:r>
      <w:r w:rsidR="002C4B5F" w:rsidRPr="00C70D1D">
        <w:rPr>
          <w:rFonts w:ascii="Calibri" w:hAnsi="Calibri" w:cs="Calibri"/>
        </w:rPr>
        <w:t>–</w:t>
      </w:r>
      <w:r w:rsidR="00503368" w:rsidRPr="00B17041">
        <w:rPr>
          <w:rFonts w:ascii="Calibri" w:hAnsi="Calibri" w:cs="Calibri"/>
        </w:rPr>
        <w:t>54.</w:t>
      </w:r>
      <w:bookmarkEnd w:id="20"/>
    </w:p>
    <w:p w14:paraId="30C56697" w14:textId="76DC3034" w:rsidR="00503368" w:rsidRPr="00B17041" w:rsidRDefault="00880AD8" w:rsidP="00503368">
      <w:pPr>
        <w:spacing w:after="0" w:line="240" w:lineRule="auto"/>
        <w:rPr>
          <w:rFonts w:ascii="Calibri" w:hAnsi="Calibri" w:cs="Calibri"/>
        </w:rPr>
      </w:pPr>
      <w:bookmarkStart w:id="21" w:name="_ENREF_20"/>
      <w:r w:rsidRPr="00C70D1D">
        <w:rPr>
          <w:rFonts w:ascii="Calibri" w:hAnsi="Calibri" w:cs="Calibri"/>
        </w:rPr>
        <w:t>22</w:t>
      </w:r>
      <w:r w:rsidR="00503368" w:rsidRPr="00B17041">
        <w:rPr>
          <w:rFonts w:ascii="Calibri" w:hAnsi="Calibri" w:cs="Calibri"/>
        </w:rPr>
        <w:t>.</w:t>
      </w:r>
      <w:r w:rsidR="002C4B5F" w:rsidRPr="00C70D1D">
        <w:rPr>
          <w:rFonts w:ascii="Calibri" w:hAnsi="Calibri" w:cs="Calibri"/>
        </w:rPr>
        <w:t xml:space="preserve"> </w:t>
      </w:r>
      <w:r w:rsidR="00503368" w:rsidRPr="00B17041">
        <w:rPr>
          <w:rFonts w:ascii="Calibri" w:hAnsi="Calibri" w:cs="Calibri"/>
        </w:rPr>
        <w:t xml:space="preserve">He Q, Wu C, Luo H, et al. Trends in in-hospital mortality among patients with stroke in China. </w:t>
      </w:r>
      <w:proofErr w:type="spellStart"/>
      <w:r w:rsidR="00503368" w:rsidRPr="00B17041">
        <w:rPr>
          <w:rFonts w:ascii="Calibri" w:hAnsi="Calibri" w:cs="Calibri"/>
        </w:rPr>
        <w:t>PLoS</w:t>
      </w:r>
      <w:proofErr w:type="spellEnd"/>
      <w:r w:rsidR="00503368" w:rsidRPr="00B17041">
        <w:rPr>
          <w:rFonts w:ascii="Calibri" w:hAnsi="Calibri" w:cs="Calibri"/>
        </w:rPr>
        <w:t xml:space="preserve"> One</w:t>
      </w:r>
      <w:r w:rsidR="00254A62" w:rsidRPr="00C70D1D">
        <w:rPr>
          <w:rFonts w:ascii="Calibri" w:hAnsi="Calibri" w:cs="Calibri"/>
        </w:rPr>
        <w:t>.</w:t>
      </w:r>
      <w:r w:rsidR="00503368" w:rsidRPr="00B17041">
        <w:rPr>
          <w:rFonts w:ascii="Calibri" w:hAnsi="Calibri" w:cs="Calibri"/>
        </w:rPr>
        <w:t xml:space="preserve"> 2014;9(3</w:t>
      </w:r>
      <w:proofErr w:type="gramStart"/>
      <w:r w:rsidR="00503368" w:rsidRPr="00B17041">
        <w:rPr>
          <w:rFonts w:ascii="Calibri" w:hAnsi="Calibri" w:cs="Calibri"/>
        </w:rPr>
        <w:t>):e</w:t>
      </w:r>
      <w:proofErr w:type="gramEnd"/>
      <w:r w:rsidR="00503368" w:rsidRPr="00B17041">
        <w:rPr>
          <w:rFonts w:ascii="Calibri" w:hAnsi="Calibri" w:cs="Calibri"/>
        </w:rPr>
        <w:t>92763.</w:t>
      </w:r>
      <w:bookmarkEnd w:id="21"/>
    </w:p>
    <w:p w14:paraId="47F743A9" w14:textId="66824AEF" w:rsidR="00503368" w:rsidRPr="00B17041" w:rsidRDefault="00503368" w:rsidP="00503368">
      <w:pPr>
        <w:spacing w:after="0" w:line="240" w:lineRule="auto"/>
        <w:rPr>
          <w:rFonts w:ascii="Calibri" w:hAnsi="Calibri" w:cs="Calibri"/>
        </w:rPr>
      </w:pPr>
      <w:bookmarkStart w:id="22" w:name="_ENREF_21"/>
      <w:r w:rsidRPr="00B17041">
        <w:rPr>
          <w:rFonts w:ascii="Calibri" w:hAnsi="Calibri" w:cs="Calibri"/>
        </w:rPr>
        <w:t>2</w:t>
      </w:r>
      <w:r w:rsidR="00880AD8" w:rsidRPr="00C70D1D">
        <w:rPr>
          <w:rFonts w:ascii="Calibri" w:hAnsi="Calibri" w:cs="Calibri"/>
        </w:rPr>
        <w:t>3</w:t>
      </w:r>
      <w:r w:rsidRPr="00B17041">
        <w:rPr>
          <w:rFonts w:ascii="Calibri" w:hAnsi="Calibri" w:cs="Calibri"/>
        </w:rPr>
        <w:t>.</w:t>
      </w:r>
      <w:r w:rsidR="002C4B5F" w:rsidRPr="00C70D1D">
        <w:rPr>
          <w:rFonts w:ascii="Calibri" w:hAnsi="Calibri" w:cs="Calibri"/>
        </w:rPr>
        <w:t xml:space="preserve"> </w:t>
      </w:r>
      <w:proofErr w:type="spellStart"/>
      <w:r w:rsidRPr="00B17041">
        <w:rPr>
          <w:rFonts w:ascii="Calibri" w:hAnsi="Calibri" w:cs="Calibri"/>
        </w:rPr>
        <w:t>Gray</w:t>
      </w:r>
      <w:proofErr w:type="spellEnd"/>
      <w:r w:rsidRPr="00B17041">
        <w:rPr>
          <w:rFonts w:ascii="Calibri" w:hAnsi="Calibri" w:cs="Calibri"/>
        </w:rPr>
        <w:t xml:space="preserve"> CS, Hildreth AJ, Alberti GK, O'Connell JE</w:t>
      </w:r>
      <w:r w:rsidR="00507E6A" w:rsidRPr="00C70D1D">
        <w:rPr>
          <w:rFonts w:ascii="Calibri" w:hAnsi="Calibri" w:cs="Calibri"/>
        </w:rPr>
        <w:t>; GIST</w:t>
      </w:r>
      <w:r w:rsidR="00507E6A" w:rsidRPr="00B17041">
        <w:rPr>
          <w:rFonts w:ascii="Calibri" w:hAnsi="Calibri" w:cs="Calibri"/>
        </w:rPr>
        <w:t xml:space="preserve"> </w:t>
      </w:r>
      <w:r w:rsidRPr="00B17041">
        <w:rPr>
          <w:rFonts w:ascii="Calibri" w:hAnsi="Calibri" w:cs="Calibri"/>
        </w:rPr>
        <w:t xml:space="preserve">Collaboration. Poststroke </w:t>
      </w:r>
      <w:proofErr w:type="spellStart"/>
      <w:r w:rsidRPr="00B17041">
        <w:rPr>
          <w:rFonts w:ascii="Calibri" w:hAnsi="Calibri" w:cs="Calibri"/>
        </w:rPr>
        <w:t>hyperglycemia</w:t>
      </w:r>
      <w:proofErr w:type="spellEnd"/>
      <w:r w:rsidRPr="00B17041">
        <w:rPr>
          <w:rFonts w:ascii="Calibri" w:hAnsi="Calibri" w:cs="Calibri"/>
        </w:rPr>
        <w:t>: natural history and immediate management. Stroke</w:t>
      </w:r>
      <w:r w:rsidR="00507E6A" w:rsidRPr="00C70D1D">
        <w:rPr>
          <w:rFonts w:ascii="Calibri" w:hAnsi="Calibri" w:cs="Calibri"/>
        </w:rPr>
        <w:t>.</w:t>
      </w:r>
      <w:r w:rsidRPr="00B17041">
        <w:rPr>
          <w:rFonts w:ascii="Calibri" w:hAnsi="Calibri" w:cs="Calibri"/>
        </w:rPr>
        <w:t xml:space="preserve"> 2004;35(1):122</w:t>
      </w:r>
      <w:r w:rsidR="002C4B5F" w:rsidRPr="00C70D1D">
        <w:rPr>
          <w:rFonts w:ascii="Calibri" w:hAnsi="Calibri" w:cs="Calibri"/>
        </w:rPr>
        <w:t>–</w:t>
      </w:r>
      <w:r w:rsidRPr="00B17041">
        <w:rPr>
          <w:rFonts w:ascii="Calibri" w:hAnsi="Calibri" w:cs="Calibri"/>
        </w:rPr>
        <w:t>6.</w:t>
      </w:r>
      <w:bookmarkEnd w:id="22"/>
    </w:p>
    <w:p w14:paraId="2EA9D30C" w14:textId="25893EA0" w:rsidR="00503368" w:rsidRPr="00B17041" w:rsidRDefault="00503368" w:rsidP="00503368">
      <w:pPr>
        <w:spacing w:after="0" w:line="240" w:lineRule="auto"/>
        <w:rPr>
          <w:rFonts w:ascii="Calibri" w:hAnsi="Calibri" w:cs="Calibri"/>
        </w:rPr>
      </w:pPr>
      <w:bookmarkStart w:id="23" w:name="_ENREF_22"/>
      <w:r w:rsidRPr="00B17041">
        <w:rPr>
          <w:rFonts w:ascii="Calibri" w:hAnsi="Calibri" w:cs="Calibri"/>
        </w:rPr>
        <w:t>2</w:t>
      </w:r>
      <w:r w:rsidR="00880AD8" w:rsidRPr="00C70D1D">
        <w:rPr>
          <w:rFonts w:ascii="Calibri" w:hAnsi="Calibri" w:cs="Calibri"/>
        </w:rPr>
        <w:t>4</w:t>
      </w:r>
      <w:r w:rsidRPr="00B17041">
        <w:rPr>
          <w:rFonts w:ascii="Calibri" w:hAnsi="Calibri" w:cs="Calibri"/>
        </w:rPr>
        <w:t>.</w:t>
      </w:r>
      <w:r w:rsidR="002C4B5F" w:rsidRPr="00C70D1D">
        <w:rPr>
          <w:rFonts w:ascii="Calibri" w:hAnsi="Calibri" w:cs="Calibri"/>
        </w:rPr>
        <w:t xml:space="preserve"> </w:t>
      </w:r>
      <w:r w:rsidRPr="00B17041">
        <w:rPr>
          <w:rFonts w:ascii="Calibri" w:hAnsi="Calibri" w:cs="Calibri"/>
        </w:rPr>
        <w:t xml:space="preserve">Baird TA, Parsons MW, Phan T, et al. Persistent poststroke </w:t>
      </w:r>
      <w:proofErr w:type="spellStart"/>
      <w:r w:rsidRPr="00B17041">
        <w:rPr>
          <w:rFonts w:ascii="Calibri" w:hAnsi="Calibri" w:cs="Calibri"/>
        </w:rPr>
        <w:t>hyperglycemia</w:t>
      </w:r>
      <w:proofErr w:type="spellEnd"/>
      <w:r w:rsidRPr="00B17041">
        <w:rPr>
          <w:rFonts w:ascii="Calibri" w:hAnsi="Calibri" w:cs="Calibri"/>
        </w:rPr>
        <w:t xml:space="preserve"> is independently associated with infarct expansion and worse clinical outcome. Stroke</w:t>
      </w:r>
      <w:r w:rsidR="00507E6A" w:rsidRPr="00C70D1D">
        <w:rPr>
          <w:rFonts w:ascii="Calibri" w:hAnsi="Calibri" w:cs="Calibri"/>
        </w:rPr>
        <w:t>.</w:t>
      </w:r>
      <w:r w:rsidRPr="00B17041">
        <w:rPr>
          <w:rFonts w:ascii="Calibri" w:hAnsi="Calibri" w:cs="Calibri"/>
        </w:rPr>
        <w:t xml:space="preserve"> 2003;34(9):2208</w:t>
      </w:r>
      <w:r w:rsidR="002C4B5F" w:rsidRPr="00C70D1D">
        <w:rPr>
          <w:rFonts w:ascii="Calibri" w:hAnsi="Calibri" w:cs="Calibri"/>
        </w:rPr>
        <w:t>–</w:t>
      </w:r>
      <w:r w:rsidRPr="00B17041">
        <w:rPr>
          <w:rFonts w:ascii="Calibri" w:hAnsi="Calibri" w:cs="Calibri"/>
        </w:rPr>
        <w:t>14.</w:t>
      </w:r>
      <w:bookmarkEnd w:id="23"/>
    </w:p>
    <w:p w14:paraId="0360A970" w14:textId="3D6859C4" w:rsidR="00503368" w:rsidRPr="00B17041" w:rsidRDefault="00503368" w:rsidP="00503368">
      <w:pPr>
        <w:spacing w:after="0" w:line="240" w:lineRule="auto"/>
        <w:rPr>
          <w:rFonts w:ascii="Calibri" w:hAnsi="Calibri" w:cs="Calibri"/>
        </w:rPr>
      </w:pPr>
      <w:bookmarkStart w:id="24" w:name="_ENREF_23"/>
      <w:r w:rsidRPr="00B17041">
        <w:rPr>
          <w:rFonts w:ascii="Calibri" w:hAnsi="Calibri" w:cs="Calibri"/>
        </w:rPr>
        <w:t>2</w:t>
      </w:r>
      <w:r w:rsidR="00880AD8" w:rsidRPr="00C70D1D">
        <w:rPr>
          <w:rFonts w:ascii="Calibri" w:hAnsi="Calibri" w:cs="Calibri"/>
        </w:rPr>
        <w:t>5</w:t>
      </w:r>
      <w:r w:rsidRPr="00B17041">
        <w:rPr>
          <w:rFonts w:ascii="Calibri" w:hAnsi="Calibri" w:cs="Calibri"/>
        </w:rPr>
        <w:t>.</w:t>
      </w:r>
      <w:r w:rsidR="002C4B5F" w:rsidRPr="00C70D1D">
        <w:rPr>
          <w:rFonts w:ascii="Calibri" w:hAnsi="Calibri" w:cs="Calibri"/>
        </w:rPr>
        <w:t xml:space="preserve"> </w:t>
      </w:r>
      <w:proofErr w:type="spellStart"/>
      <w:r w:rsidRPr="00B17041">
        <w:rPr>
          <w:rFonts w:ascii="Calibri" w:hAnsi="Calibri" w:cs="Calibri"/>
        </w:rPr>
        <w:t>Catanese</w:t>
      </w:r>
      <w:proofErr w:type="spellEnd"/>
      <w:r w:rsidRPr="00B17041">
        <w:rPr>
          <w:rFonts w:ascii="Calibri" w:hAnsi="Calibri" w:cs="Calibri"/>
        </w:rPr>
        <w:t xml:space="preserve"> L, </w:t>
      </w:r>
      <w:proofErr w:type="spellStart"/>
      <w:r w:rsidRPr="00B17041">
        <w:rPr>
          <w:rFonts w:ascii="Calibri" w:hAnsi="Calibri" w:cs="Calibri"/>
        </w:rPr>
        <w:t>Tarsia</w:t>
      </w:r>
      <w:proofErr w:type="spellEnd"/>
      <w:r w:rsidRPr="00B17041">
        <w:rPr>
          <w:rFonts w:ascii="Calibri" w:hAnsi="Calibri" w:cs="Calibri"/>
        </w:rPr>
        <w:t xml:space="preserve"> J, Fisher M. Acute </w:t>
      </w:r>
      <w:r w:rsidR="00507E6A" w:rsidRPr="00C70D1D">
        <w:rPr>
          <w:rFonts w:ascii="Calibri" w:hAnsi="Calibri" w:cs="Calibri"/>
        </w:rPr>
        <w:t>ischemic stroke therapy overv</w:t>
      </w:r>
      <w:r w:rsidRPr="00B17041">
        <w:rPr>
          <w:rFonts w:ascii="Calibri" w:hAnsi="Calibri" w:cs="Calibri"/>
        </w:rPr>
        <w:t xml:space="preserve">iew. </w:t>
      </w:r>
      <w:proofErr w:type="spellStart"/>
      <w:r w:rsidRPr="00B17041">
        <w:rPr>
          <w:rFonts w:ascii="Calibri" w:hAnsi="Calibri" w:cs="Calibri"/>
        </w:rPr>
        <w:t>Circ</w:t>
      </w:r>
      <w:proofErr w:type="spellEnd"/>
      <w:r w:rsidRPr="00B17041">
        <w:rPr>
          <w:rFonts w:ascii="Calibri" w:hAnsi="Calibri" w:cs="Calibri"/>
        </w:rPr>
        <w:t xml:space="preserve"> Res</w:t>
      </w:r>
      <w:r w:rsidR="00507E6A" w:rsidRPr="00C70D1D">
        <w:rPr>
          <w:rFonts w:ascii="Calibri" w:hAnsi="Calibri" w:cs="Calibri"/>
        </w:rPr>
        <w:t>.</w:t>
      </w:r>
      <w:r w:rsidRPr="00B17041">
        <w:rPr>
          <w:rFonts w:ascii="Calibri" w:hAnsi="Calibri" w:cs="Calibri"/>
        </w:rPr>
        <w:t xml:space="preserve"> 2017;120(3):541</w:t>
      </w:r>
      <w:r w:rsidR="002C4B5F" w:rsidRPr="00C70D1D">
        <w:rPr>
          <w:rFonts w:ascii="Calibri" w:hAnsi="Calibri" w:cs="Calibri"/>
        </w:rPr>
        <w:t>–</w:t>
      </w:r>
      <w:r w:rsidRPr="00B17041">
        <w:rPr>
          <w:rFonts w:ascii="Calibri" w:hAnsi="Calibri" w:cs="Calibri"/>
        </w:rPr>
        <w:t>58.</w:t>
      </w:r>
      <w:bookmarkEnd w:id="24"/>
    </w:p>
    <w:p w14:paraId="493D9678" w14:textId="2DE53520" w:rsidR="00503368" w:rsidRPr="00B17041" w:rsidRDefault="00503368" w:rsidP="00503368">
      <w:pPr>
        <w:spacing w:after="0" w:line="240" w:lineRule="auto"/>
        <w:rPr>
          <w:rFonts w:ascii="Calibri" w:hAnsi="Calibri" w:cs="Calibri"/>
        </w:rPr>
      </w:pPr>
      <w:bookmarkStart w:id="25" w:name="_ENREF_24"/>
      <w:r w:rsidRPr="00B17041">
        <w:rPr>
          <w:rFonts w:ascii="Calibri" w:hAnsi="Calibri" w:cs="Calibri"/>
        </w:rPr>
        <w:t>2</w:t>
      </w:r>
      <w:r w:rsidR="00880AD8" w:rsidRPr="00C70D1D">
        <w:rPr>
          <w:rFonts w:ascii="Calibri" w:hAnsi="Calibri" w:cs="Calibri"/>
        </w:rPr>
        <w:t>6</w:t>
      </w:r>
      <w:r w:rsidRPr="00B17041">
        <w:rPr>
          <w:rFonts w:ascii="Calibri" w:hAnsi="Calibri" w:cs="Calibri"/>
        </w:rPr>
        <w:t>.</w:t>
      </w:r>
      <w:r w:rsidR="002C4B5F" w:rsidRPr="00C70D1D">
        <w:rPr>
          <w:rFonts w:ascii="Calibri" w:hAnsi="Calibri" w:cs="Calibri"/>
        </w:rPr>
        <w:t xml:space="preserve"> </w:t>
      </w:r>
      <w:r w:rsidRPr="00B17041">
        <w:rPr>
          <w:rFonts w:ascii="Calibri" w:hAnsi="Calibri" w:cs="Calibri"/>
        </w:rPr>
        <w:t xml:space="preserve">Evans A, </w:t>
      </w:r>
      <w:proofErr w:type="spellStart"/>
      <w:r w:rsidRPr="00B17041">
        <w:rPr>
          <w:rFonts w:ascii="Calibri" w:hAnsi="Calibri" w:cs="Calibri"/>
        </w:rPr>
        <w:t>Harraf</w:t>
      </w:r>
      <w:proofErr w:type="spellEnd"/>
      <w:r w:rsidRPr="00B17041">
        <w:rPr>
          <w:rFonts w:ascii="Calibri" w:hAnsi="Calibri" w:cs="Calibri"/>
        </w:rPr>
        <w:t xml:space="preserve"> F, Donaldson N, </w:t>
      </w:r>
      <w:proofErr w:type="spellStart"/>
      <w:r w:rsidRPr="00B17041">
        <w:rPr>
          <w:rFonts w:ascii="Calibri" w:hAnsi="Calibri" w:cs="Calibri"/>
        </w:rPr>
        <w:t>Kalra</w:t>
      </w:r>
      <w:proofErr w:type="spellEnd"/>
      <w:r w:rsidRPr="00B17041">
        <w:rPr>
          <w:rFonts w:ascii="Calibri" w:hAnsi="Calibri" w:cs="Calibri"/>
        </w:rPr>
        <w:t xml:space="preserve"> L. Randomized controlled study of stroke unit care versus stroke team care in different stroke subtypes. Stroke</w:t>
      </w:r>
      <w:r w:rsidR="00507E6A" w:rsidRPr="00C70D1D">
        <w:rPr>
          <w:rFonts w:ascii="Calibri" w:hAnsi="Calibri" w:cs="Calibri"/>
        </w:rPr>
        <w:t>.</w:t>
      </w:r>
      <w:r w:rsidRPr="00B17041">
        <w:rPr>
          <w:rFonts w:ascii="Calibri" w:hAnsi="Calibri" w:cs="Calibri"/>
        </w:rPr>
        <w:t xml:space="preserve"> 2002;33(2):449</w:t>
      </w:r>
      <w:r w:rsidR="002C4B5F" w:rsidRPr="00C70D1D">
        <w:rPr>
          <w:rFonts w:ascii="Calibri" w:hAnsi="Calibri" w:cs="Calibri"/>
        </w:rPr>
        <w:t>–</w:t>
      </w:r>
      <w:r w:rsidRPr="00B17041">
        <w:rPr>
          <w:rFonts w:ascii="Calibri" w:hAnsi="Calibri" w:cs="Calibri"/>
        </w:rPr>
        <w:t>55.</w:t>
      </w:r>
      <w:bookmarkEnd w:id="25"/>
    </w:p>
    <w:p w14:paraId="6B4FA345" w14:textId="04D1A964" w:rsidR="00503368" w:rsidRPr="00B17041" w:rsidRDefault="00503368" w:rsidP="00503368">
      <w:pPr>
        <w:spacing w:after="0" w:line="240" w:lineRule="auto"/>
        <w:rPr>
          <w:rFonts w:ascii="Calibri" w:hAnsi="Calibri" w:cs="Calibri"/>
        </w:rPr>
      </w:pPr>
      <w:bookmarkStart w:id="26" w:name="_ENREF_25"/>
      <w:r w:rsidRPr="00B17041">
        <w:rPr>
          <w:rFonts w:ascii="Calibri" w:hAnsi="Calibri" w:cs="Calibri"/>
        </w:rPr>
        <w:t>2</w:t>
      </w:r>
      <w:r w:rsidR="00880AD8" w:rsidRPr="00C70D1D">
        <w:rPr>
          <w:rFonts w:ascii="Calibri" w:hAnsi="Calibri" w:cs="Calibri"/>
        </w:rPr>
        <w:t>7</w:t>
      </w:r>
      <w:r w:rsidRPr="00B17041">
        <w:rPr>
          <w:rFonts w:ascii="Calibri" w:hAnsi="Calibri" w:cs="Calibri"/>
        </w:rPr>
        <w:t>.</w:t>
      </w:r>
      <w:r w:rsidR="002C4B5F" w:rsidRPr="00C70D1D">
        <w:rPr>
          <w:rFonts w:ascii="Calibri" w:hAnsi="Calibri" w:cs="Calibri"/>
        </w:rPr>
        <w:t xml:space="preserve"> </w:t>
      </w:r>
      <w:r w:rsidRPr="00B17041">
        <w:rPr>
          <w:rFonts w:ascii="Calibri" w:hAnsi="Calibri" w:cs="Calibri"/>
        </w:rPr>
        <w:t>N</w:t>
      </w:r>
      <w:r w:rsidR="00507E6A" w:rsidRPr="00C70D1D">
        <w:rPr>
          <w:rFonts w:ascii="Calibri" w:hAnsi="Calibri" w:cs="Calibri"/>
        </w:rPr>
        <w:t xml:space="preserve">ational </w:t>
      </w:r>
      <w:r w:rsidRPr="00B17041">
        <w:rPr>
          <w:rFonts w:ascii="Calibri" w:hAnsi="Calibri" w:cs="Calibri"/>
        </w:rPr>
        <w:t>I</w:t>
      </w:r>
      <w:r w:rsidR="00507E6A" w:rsidRPr="00C70D1D">
        <w:rPr>
          <w:rFonts w:ascii="Calibri" w:hAnsi="Calibri" w:cs="Calibri"/>
        </w:rPr>
        <w:t xml:space="preserve">nstitute of </w:t>
      </w:r>
      <w:r w:rsidRPr="00B17041">
        <w:rPr>
          <w:rFonts w:ascii="Calibri" w:hAnsi="Calibri" w:cs="Calibri"/>
        </w:rPr>
        <w:t>N</w:t>
      </w:r>
      <w:r w:rsidR="00507E6A" w:rsidRPr="00C70D1D">
        <w:rPr>
          <w:rFonts w:ascii="Calibri" w:hAnsi="Calibri" w:cs="Calibri"/>
        </w:rPr>
        <w:t xml:space="preserve">eurological </w:t>
      </w:r>
      <w:r w:rsidRPr="00B17041">
        <w:rPr>
          <w:rFonts w:ascii="Calibri" w:hAnsi="Calibri" w:cs="Calibri"/>
        </w:rPr>
        <w:t>D</w:t>
      </w:r>
      <w:r w:rsidR="00507E6A" w:rsidRPr="00C70D1D">
        <w:rPr>
          <w:rFonts w:ascii="Calibri" w:hAnsi="Calibri" w:cs="Calibri"/>
        </w:rPr>
        <w:t xml:space="preserve">isorders and </w:t>
      </w:r>
      <w:r w:rsidRPr="00B17041">
        <w:rPr>
          <w:rFonts w:ascii="Calibri" w:hAnsi="Calibri" w:cs="Calibri"/>
        </w:rPr>
        <w:t>S</w:t>
      </w:r>
      <w:r w:rsidR="00507E6A" w:rsidRPr="00C70D1D">
        <w:rPr>
          <w:rFonts w:ascii="Calibri" w:hAnsi="Calibri" w:cs="Calibri"/>
        </w:rPr>
        <w:t xml:space="preserve"> rt-PA Stroke Study Group</w:t>
      </w:r>
      <w:r w:rsidRPr="00B17041">
        <w:rPr>
          <w:rFonts w:ascii="Calibri" w:hAnsi="Calibri" w:cs="Calibri"/>
        </w:rPr>
        <w:t xml:space="preserve">. Tissue plasminogen activator for acute ischemic stroke. N </w:t>
      </w:r>
      <w:proofErr w:type="spellStart"/>
      <w:r w:rsidRPr="00B17041">
        <w:rPr>
          <w:rFonts w:ascii="Calibri" w:hAnsi="Calibri" w:cs="Calibri"/>
        </w:rPr>
        <w:t>Engl</w:t>
      </w:r>
      <w:proofErr w:type="spellEnd"/>
      <w:r w:rsidRPr="00B17041">
        <w:rPr>
          <w:rFonts w:ascii="Calibri" w:hAnsi="Calibri" w:cs="Calibri"/>
        </w:rPr>
        <w:t xml:space="preserve"> J Med</w:t>
      </w:r>
      <w:r w:rsidR="00507E6A" w:rsidRPr="00C70D1D">
        <w:rPr>
          <w:rFonts w:ascii="Calibri" w:hAnsi="Calibri" w:cs="Calibri"/>
        </w:rPr>
        <w:t>.</w:t>
      </w:r>
      <w:r w:rsidRPr="00B17041">
        <w:rPr>
          <w:rFonts w:ascii="Calibri" w:hAnsi="Calibri" w:cs="Calibri"/>
        </w:rPr>
        <w:t xml:space="preserve"> 1995;333(24):1581</w:t>
      </w:r>
      <w:r w:rsidR="002C4B5F" w:rsidRPr="00C70D1D">
        <w:rPr>
          <w:rFonts w:ascii="Calibri" w:hAnsi="Calibri" w:cs="Calibri"/>
        </w:rPr>
        <w:t>–</w:t>
      </w:r>
      <w:r w:rsidRPr="00B17041">
        <w:rPr>
          <w:rFonts w:ascii="Calibri" w:hAnsi="Calibri" w:cs="Calibri"/>
        </w:rPr>
        <w:t>7.</w:t>
      </w:r>
      <w:bookmarkEnd w:id="26"/>
    </w:p>
    <w:p w14:paraId="47953E40" w14:textId="7FF68E32" w:rsidR="00CD2BD9" w:rsidRPr="00B17041" w:rsidRDefault="00503368" w:rsidP="00503368">
      <w:pPr>
        <w:spacing w:after="0" w:line="240" w:lineRule="auto"/>
        <w:rPr>
          <w:rFonts w:ascii="Calibri" w:hAnsi="Calibri" w:cs="Calibri"/>
        </w:rPr>
      </w:pPr>
      <w:bookmarkStart w:id="27" w:name="_ENREF_26"/>
      <w:r w:rsidRPr="00B17041">
        <w:rPr>
          <w:rFonts w:ascii="Calibri" w:hAnsi="Calibri" w:cs="Calibri"/>
        </w:rPr>
        <w:t>2</w:t>
      </w:r>
      <w:r w:rsidR="00880AD8" w:rsidRPr="00C70D1D">
        <w:rPr>
          <w:rFonts w:ascii="Calibri" w:hAnsi="Calibri" w:cs="Calibri"/>
        </w:rPr>
        <w:t>8</w:t>
      </w:r>
      <w:r w:rsidRPr="00B17041">
        <w:rPr>
          <w:rFonts w:ascii="Calibri" w:hAnsi="Calibri" w:cs="Calibri"/>
        </w:rPr>
        <w:t>.</w:t>
      </w:r>
      <w:r w:rsidR="002C4B5F" w:rsidRPr="00C70D1D">
        <w:rPr>
          <w:rFonts w:ascii="Calibri" w:hAnsi="Calibri" w:cs="Calibri"/>
        </w:rPr>
        <w:t xml:space="preserve"> </w:t>
      </w:r>
      <w:r w:rsidRPr="00B17041">
        <w:rPr>
          <w:rFonts w:ascii="Calibri" w:hAnsi="Calibri" w:cs="Calibri"/>
        </w:rPr>
        <w:t xml:space="preserve">Lee CD, Folsom AR, Nieto FJ, Chambless LE, Shahar E, Wolfe DA. White blood cell count and incidence of coronary heart disease and ischemic stroke and mortality from cardiovascular disease in </w:t>
      </w:r>
      <w:proofErr w:type="gramStart"/>
      <w:r w:rsidRPr="00B17041">
        <w:rPr>
          <w:rFonts w:ascii="Calibri" w:hAnsi="Calibri" w:cs="Calibri"/>
        </w:rPr>
        <w:t>African-American</w:t>
      </w:r>
      <w:proofErr w:type="gramEnd"/>
      <w:r w:rsidRPr="00B17041">
        <w:rPr>
          <w:rFonts w:ascii="Calibri" w:hAnsi="Calibri" w:cs="Calibri"/>
        </w:rPr>
        <w:t xml:space="preserve"> and White men and women: atherosclerosis risk in communities study. Am J </w:t>
      </w:r>
      <w:proofErr w:type="spellStart"/>
      <w:r w:rsidRPr="00B17041">
        <w:rPr>
          <w:rFonts w:ascii="Calibri" w:hAnsi="Calibri" w:cs="Calibri"/>
        </w:rPr>
        <w:t>Epidemiol</w:t>
      </w:r>
      <w:proofErr w:type="spellEnd"/>
      <w:r w:rsidR="00507E6A" w:rsidRPr="00C70D1D">
        <w:rPr>
          <w:rFonts w:ascii="Calibri" w:hAnsi="Calibri" w:cs="Calibri"/>
        </w:rPr>
        <w:t>.</w:t>
      </w:r>
      <w:r w:rsidRPr="00B17041">
        <w:rPr>
          <w:rFonts w:ascii="Calibri" w:hAnsi="Calibri" w:cs="Calibri"/>
        </w:rPr>
        <w:t xml:space="preserve"> 2001;154(8):758</w:t>
      </w:r>
      <w:r w:rsidR="002C4B5F" w:rsidRPr="00C70D1D">
        <w:rPr>
          <w:rFonts w:ascii="Calibri" w:hAnsi="Calibri" w:cs="Calibri"/>
        </w:rPr>
        <w:t>–</w:t>
      </w:r>
      <w:r w:rsidRPr="00B17041">
        <w:rPr>
          <w:rFonts w:ascii="Calibri" w:hAnsi="Calibri" w:cs="Calibri"/>
        </w:rPr>
        <w:t>64.</w:t>
      </w:r>
    </w:p>
    <w:p w14:paraId="1B0130F9" w14:textId="716819CE" w:rsidR="00750F1A" w:rsidRPr="00B17041" w:rsidRDefault="00750F1A" w:rsidP="00750F1A">
      <w:pPr>
        <w:spacing w:line="240" w:lineRule="auto"/>
        <w:rPr>
          <w:rFonts w:ascii="Calibri" w:hAnsi="Calibri" w:cs="Calibri"/>
        </w:rPr>
      </w:pPr>
      <w:r w:rsidRPr="00B17041">
        <w:rPr>
          <w:rFonts w:ascii="Calibri" w:hAnsi="Calibri" w:cs="Calibri"/>
        </w:rPr>
        <w:t>2</w:t>
      </w:r>
      <w:r w:rsidR="00880AD8" w:rsidRPr="00C70D1D">
        <w:rPr>
          <w:rFonts w:ascii="Calibri" w:hAnsi="Calibri" w:cs="Calibri"/>
        </w:rPr>
        <w:t>9</w:t>
      </w:r>
      <w:r w:rsidRPr="00B17041">
        <w:rPr>
          <w:rFonts w:ascii="Calibri" w:hAnsi="Calibri" w:cs="Calibri"/>
        </w:rPr>
        <w:t>.</w:t>
      </w:r>
      <w:r w:rsidR="002C4B5F" w:rsidRPr="00C70D1D">
        <w:rPr>
          <w:rFonts w:ascii="Calibri" w:hAnsi="Calibri" w:cs="Calibri"/>
        </w:rPr>
        <w:t xml:space="preserve"> </w:t>
      </w:r>
      <w:r w:rsidRPr="00B17041">
        <w:rPr>
          <w:rFonts w:ascii="Calibri" w:hAnsi="Calibri" w:cs="Calibri"/>
        </w:rPr>
        <w:t>Ohene-</w:t>
      </w:r>
      <w:proofErr w:type="spellStart"/>
      <w:r w:rsidRPr="00B17041">
        <w:rPr>
          <w:rFonts w:ascii="Calibri" w:hAnsi="Calibri" w:cs="Calibri"/>
        </w:rPr>
        <w:t>Frempong</w:t>
      </w:r>
      <w:proofErr w:type="spellEnd"/>
      <w:r w:rsidRPr="00B17041">
        <w:rPr>
          <w:rFonts w:ascii="Calibri" w:hAnsi="Calibri" w:cs="Calibri"/>
        </w:rPr>
        <w:t xml:space="preserve"> K, Weiner SJ, Sleeper LA, et al. Cerebrovascular accidents in sickle cell disease: rates and risk factors. Blood</w:t>
      </w:r>
      <w:r w:rsidR="00507E6A" w:rsidRPr="00C70D1D">
        <w:rPr>
          <w:rFonts w:ascii="Calibri" w:hAnsi="Calibri" w:cs="Calibri"/>
        </w:rPr>
        <w:t>.</w:t>
      </w:r>
      <w:r w:rsidRPr="00B17041">
        <w:rPr>
          <w:rFonts w:ascii="Calibri" w:hAnsi="Calibri" w:cs="Calibri"/>
        </w:rPr>
        <w:t xml:space="preserve"> 1998;91(1):288</w:t>
      </w:r>
      <w:r w:rsidR="002C4B5F" w:rsidRPr="00C70D1D">
        <w:rPr>
          <w:rFonts w:ascii="Calibri" w:hAnsi="Calibri" w:cs="Calibri"/>
        </w:rPr>
        <w:t>–</w:t>
      </w:r>
      <w:r w:rsidRPr="00B17041">
        <w:rPr>
          <w:rFonts w:ascii="Calibri" w:hAnsi="Calibri" w:cs="Calibri"/>
        </w:rPr>
        <w:t>94.</w:t>
      </w:r>
    </w:p>
    <w:bookmarkEnd w:id="27"/>
    <w:p w14:paraId="71541890" w14:textId="50341510" w:rsidR="000C1289" w:rsidRPr="00B17041" w:rsidRDefault="000C1289" w:rsidP="00B17041">
      <w:pPr>
        <w:shd w:val="clear" w:color="auto" w:fill="FFFFFF"/>
        <w:rPr>
          <w:rFonts w:ascii="Calibri" w:hAnsi="Calibri" w:cs="Calibri"/>
        </w:rPr>
      </w:pPr>
    </w:p>
    <w:p w14:paraId="2081ED08" w14:textId="158491C7" w:rsidR="00CD2BD9" w:rsidRPr="00B17041" w:rsidRDefault="00CD2BD9" w:rsidP="00503368">
      <w:pPr>
        <w:spacing w:line="240" w:lineRule="auto"/>
        <w:rPr>
          <w:rFonts w:ascii="Calibri" w:hAnsi="Calibri" w:cs="Calibri"/>
        </w:rPr>
      </w:pPr>
    </w:p>
    <w:p w14:paraId="6FEC6121" w14:textId="77777777" w:rsidR="00A42EF0" w:rsidRPr="00C70D1D" w:rsidRDefault="00A42EF0" w:rsidP="00B768E7">
      <w:pPr>
        <w:rPr>
          <w:b/>
        </w:rPr>
      </w:pPr>
    </w:p>
    <w:p w14:paraId="6440CD5F" w14:textId="473B3DC7" w:rsidR="00A42EF0" w:rsidRPr="009D0421" w:rsidRDefault="00A42EF0" w:rsidP="00A42EF0">
      <w:pPr>
        <w:rPr>
          <w:b/>
        </w:rPr>
      </w:pPr>
      <w:r w:rsidRPr="00C70D1D">
        <w:rPr>
          <w:b/>
        </w:rPr>
        <w:br w:type="page"/>
      </w:r>
      <w:bookmarkEnd w:id="0"/>
      <w:r w:rsidRPr="00B17041">
        <w:rPr>
          <w:rFonts w:cstheme="minorHAnsi"/>
          <w:b/>
          <w:bCs/>
        </w:rPr>
        <w:lastRenderedPageBreak/>
        <w:t>Table 1. Summary of the demographics and clinical characteristics of the study participants</w:t>
      </w:r>
    </w:p>
    <w:tbl>
      <w:tblPr>
        <w:tblStyle w:val="ListTable6ColourfulAccent3"/>
        <w:tblW w:w="0" w:type="auto"/>
        <w:tblLook w:val="04A0" w:firstRow="1" w:lastRow="0" w:firstColumn="1" w:lastColumn="0" w:noHBand="0" w:noVBand="1"/>
      </w:tblPr>
      <w:tblGrid>
        <w:gridCol w:w="4508"/>
        <w:gridCol w:w="4508"/>
      </w:tblGrid>
      <w:tr w:rsidR="00A42EF0" w:rsidRPr="00C70D1D" w14:paraId="73B25F25" w14:textId="77777777" w:rsidTr="00A42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51391AD" w14:textId="77777777" w:rsidR="00A42EF0" w:rsidRPr="00C70D1D" w:rsidRDefault="00A42EF0" w:rsidP="00A42EF0">
            <w:pPr>
              <w:rPr>
                <w:color w:val="auto"/>
              </w:rPr>
            </w:pPr>
            <w:r w:rsidRPr="00B17041">
              <w:t>Characteristic</w:t>
            </w:r>
          </w:p>
        </w:tc>
        <w:tc>
          <w:tcPr>
            <w:tcW w:w="4508" w:type="dxa"/>
          </w:tcPr>
          <w:p w14:paraId="7AC85D5B" w14:textId="77777777" w:rsidR="00A42EF0" w:rsidRPr="00C70D1D" w:rsidRDefault="00A42EF0" w:rsidP="00A42EF0">
            <w:pPr>
              <w:cnfStyle w:val="100000000000" w:firstRow="1" w:lastRow="0" w:firstColumn="0" w:lastColumn="0" w:oddVBand="0" w:evenVBand="0" w:oddHBand="0" w:evenHBand="0" w:firstRowFirstColumn="0" w:firstRowLastColumn="0" w:lastRowFirstColumn="0" w:lastRowLastColumn="0"/>
              <w:rPr>
                <w:color w:val="auto"/>
              </w:rPr>
            </w:pPr>
            <w:r w:rsidRPr="00C70D1D">
              <w:rPr>
                <w:color w:val="auto"/>
              </w:rPr>
              <w:t>Frequency</w:t>
            </w:r>
          </w:p>
        </w:tc>
      </w:tr>
      <w:tr w:rsidR="00A42EF0" w:rsidRPr="00C70D1D" w14:paraId="1B4EBD4C"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CF90EA5" w14:textId="1BD091D3" w:rsidR="00A42EF0" w:rsidRPr="00B17041" w:rsidRDefault="006C2502" w:rsidP="00A42EF0">
            <w:pPr>
              <w:rPr>
                <w:b w:val="0"/>
                <w:bCs w:val="0"/>
                <w:color w:val="auto"/>
              </w:rPr>
            </w:pPr>
            <w:r w:rsidRPr="00C70D1D">
              <w:rPr>
                <w:b w:val="0"/>
              </w:rPr>
              <w:t>Sex</w:t>
            </w:r>
            <w:r w:rsidR="00A42EF0" w:rsidRPr="00B17041">
              <w:t xml:space="preserve"> </w:t>
            </w:r>
          </w:p>
        </w:tc>
        <w:tc>
          <w:tcPr>
            <w:tcW w:w="4508" w:type="dxa"/>
          </w:tcPr>
          <w:p w14:paraId="19B3A1B1"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rPr>
                <w:bCs/>
                <w:color w:val="auto"/>
              </w:rPr>
            </w:pPr>
            <w:r w:rsidRPr="00B17041">
              <w:rPr>
                <w:bCs/>
              </w:rPr>
              <w:t> </w:t>
            </w:r>
          </w:p>
        </w:tc>
      </w:tr>
      <w:tr w:rsidR="00A42EF0" w:rsidRPr="00C70D1D" w14:paraId="50780C3F"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1EF9F69C" w14:textId="6641AD8E" w:rsidR="00A42EF0" w:rsidRPr="00B17041" w:rsidRDefault="00A42EF0" w:rsidP="00B17041">
            <w:pPr>
              <w:ind w:left="284"/>
              <w:rPr>
                <w:b w:val="0"/>
                <w:bCs w:val="0"/>
                <w:color w:val="auto"/>
              </w:rPr>
            </w:pPr>
            <w:r w:rsidRPr="00B17041">
              <w:t>Females</w:t>
            </w:r>
          </w:p>
        </w:tc>
        <w:tc>
          <w:tcPr>
            <w:tcW w:w="4508" w:type="dxa"/>
          </w:tcPr>
          <w:p w14:paraId="3C2AC944" w14:textId="395995C4"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rPr>
                <w:bCs/>
                <w:color w:val="auto"/>
              </w:rPr>
            </w:pPr>
            <w:r w:rsidRPr="00B17041">
              <w:rPr>
                <w:bCs/>
              </w:rPr>
              <w:t>23 (46%)</w:t>
            </w:r>
          </w:p>
        </w:tc>
      </w:tr>
      <w:tr w:rsidR="006C2502" w:rsidRPr="00C70D1D" w14:paraId="15CD3A28"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9B59B66" w14:textId="5E11A707" w:rsidR="006C2502" w:rsidRPr="00C70D1D" w:rsidRDefault="006C2502" w:rsidP="00B17041">
            <w:pPr>
              <w:ind w:left="284"/>
            </w:pPr>
            <w:r w:rsidRPr="00C70D1D">
              <w:rPr>
                <w:b w:val="0"/>
              </w:rPr>
              <w:t>Male</w:t>
            </w:r>
            <w:r w:rsidRPr="00C70D1D">
              <w:rPr>
                <w:b w:val="0"/>
                <w:bCs w:val="0"/>
                <w:color w:val="auto"/>
              </w:rPr>
              <w:t>s</w:t>
            </w:r>
          </w:p>
        </w:tc>
        <w:tc>
          <w:tcPr>
            <w:tcW w:w="4508" w:type="dxa"/>
          </w:tcPr>
          <w:p w14:paraId="37175965" w14:textId="3CD35E2A" w:rsidR="006C2502" w:rsidRPr="00C70D1D" w:rsidRDefault="006C2502" w:rsidP="00A42EF0">
            <w:pPr>
              <w:cnfStyle w:val="000000100000" w:firstRow="0" w:lastRow="0" w:firstColumn="0" w:lastColumn="0" w:oddVBand="0" w:evenVBand="0" w:oddHBand="1" w:evenHBand="0" w:firstRowFirstColumn="0" w:firstRowLastColumn="0" w:lastRowFirstColumn="0" w:lastRowLastColumn="0"/>
              <w:rPr>
                <w:bCs/>
              </w:rPr>
            </w:pPr>
            <w:r w:rsidRPr="00C70D1D">
              <w:rPr>
                <w:bCs/>
              </w:rPr>
              <w:t>27 (54%)</w:t>
            </w:r>
          </w:p>
        </w:tc>
      </w:tr>
      <w:tr w:rsidR="00A42EF0" w:rsidRPr="00C70D1D" w14:paraId="771D5864"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287A9EDC" w14:textId="77777777" w:rsidR="00A42EF0" w:rsidRPr="00B17041" w:rsidRDefault="00A42EF0" w:rsidP="00A42EF0">
            <w:pPr>
              <w:rPr>
                <w:b w:val="0"/>
                <w:bCs w:val="0"/>
                <w:color w:val="auto"/>
              </w:rPr>
            </w:pPr>
            <w:r w:rsidRPr="00B17041">
              <w:t>Age in years</w:t>
            </w:r>
          </w:p>
        </w:tc>
        <w:tc>
          <w:tcPr>
            <w:tcW w:w="4508" w:type="dxa"/>
          </w:tcPr>
          <w:p w14:paraId="032D2CD3"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rPr>
                <w:bCs/>
                <w:color w:val="auto"/>
              </w:rPr>
            </w:pPr>
            <w:r w:rsidRPr="00B17041">
              <w:rPr>
                <w:bCs/>
              </w:rPr>
              <w:t> </w:t>
            </w:r>
          </w:p>
        </w:tc>
      </w:tr>
      <w:tr w:rsidR="00A42EF0" w:rsidRPr="00C70D1D" w14:paraId="4745EE52"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BD4E7F2" w14:textId="11E20453" w:rsidR="00A42EF0" w:rsidRPr="00B17041" w:rsidRDefault="00A42EF0" w:rsidP="00B17041">
            <w:pPr>
              <w:ind w:left="284"/>
              <w:rPr>
                <w:b w:val="0"/>
              </w:rPr>
            </w:pPr>
            <w:r w:rsidRPr="00B17041">
              <w:t xml:space="preserve">Mean </w:t>
            </w:r>
          </w:p>
        </w:tc>
        <w:tc>
          <w:tcPr>
            <w:tcW w:w="4508" w:type="dxa"/>
          </w:tcPr>
          <w:p w14:paraId="71D303CE" w14:textId="77777777" w:rsidR="00A42EF0" w:rsidRPr="00B17041" w:rsidRDefault="00A42EF0" w:rsidP="00DF2595">
            <w:pPr>
              <w:cnfStyle w:val="000000100000" w:firstRow="0" w:lastRow="0" w:firstColumn="0" w:lastColumn="0" w:oddVBand="0" w:evenVBand="0" w:oddHBand="1" w:evenHBand="0" w:firstRowFirstColumn="0" w:firstRowLastColumn="0" w:lastRowFirstColumn="0" w:lastRowLastColumn="0"/>
              <w:rPr>
                <w:bCs/>
              </w:rPr>
            </w:pPr>
            <w:r w:rsidRPr="00B17041">
              <w:rPr>
                <w:bCs/>
              </w:rPr>
              <w:t>63.1 (95% CI: 59.7–66.6)</w:t>
            </w:r>
          </w:p>
        </w:tc>
      </w:tr>
      <w:tr w:rsidR="00A42EF0" w:rsidRPr="00C70D1D" w14:paraId="514C94E9"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60D49CA0" w14:textId="77777777" w:rsidR="00A42EF0" w:rsidRPr="00B17041" w:rsidRDefault="00A42EF0" w:rsidP="00A42EF0">
            <w:pPr>
              <w:rPr>
                <w:b w:val="0"/>
                <w:bCs w:val="0"/>
                <w:color w:val="auto"/>
              </w:rPr>
            </w:pPr>
            <w:r w:rsidRPr="00B17041">
              <w:t>Education level</w:t>
            </w:r>
          </w:p>
        </w:tc>
        <w:tc>
          <w:tcPr>
            <w:tcW w:w="4508" w:type="dxa"/>
          </w:tcPr>
          <w:p w14:paraId="578981FC"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rPr>
                <w:bCs/>
                <w:color w:val="auto"/>
              </w:rPr>
            </w:pPr>
            <w:r w:rsidRPr="00B17041">
              <w:rPr>
                <w:bCs/>
              </w:rPr>
              <w:t> </w:t>
            </w:r>
          </w:p>
        </w:tc>
      </w:tr>
      <w:tr w:rsidR="00A42EF0" w:rsidRPr="00C70D1D" w14:paraId="3F68DF51"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1F98BDC" w14:textId="0D57B3CB" w:rsidR="00A42EF0" w:rsidRPr="00B17041" w:rsidRDefault="00A42EF0" w:rsidP="00B17041">
            <w:pPr>
              <w:ind w:left="284"/>
              <w:rPr>
                <w:b w:val="0"/>
                <w:bCs w:val="0"/>
                <w:color w:val="auto"/>
              </w:rPr>
            </w:pPr>
            <w:r w:rsidRPr="00B17041">
              <w:t>None</w:t>
            </w:r>
          </w:p>
        </w:tc>
        <w:tc>
          <w:tcPr>
            <w:tcW w:w="4508" w:type="dxa"/>
          </w:tcPr>
          <w:p w14:paraId="5D7728E6"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rPr>
                <w:bCs/>
                <w:color w:val="auto"/>
              </w:rPr>
            </w:pPr>
            <w:r w:rsidRPr="00B17041">
              <w:rPr>
                <w:bCs/>
              </w:rPr>
              <w:t>9 (18%)</w:t>
            </w:r>
          </w:p>
        </w:tc>
      </w:tr>
      <w:tr w:rsidR="00A42EF0" w:rsidRPr="00C70D1D" w14:paraId="2A4D1F07"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354BF627" w14:textId="78992B9D" w:rsidR="00A42EF0" w:rsidRPr="00B17041" w:rsidRDefault="00A42EF0" w:rsidP="00B17041">
            <w:pPr>
              <w:ind w:left="284"/>
              <w:rPr>
                <w:b w:val="0"/>
                <w:bCs w:val="0"/>
                <w:color w:val="auto"/>
              </w:rPr>
            </w:pPr>
            <w:r w:rsidRPr="00B17041">
              <w:t>Primary</w:t>
            </w:r>
          </w:p>
        </w:tc>
        <w:tc>
          <w:tcPr>
            <w:tcW w:w="4508" w:type="dxa"/>
          </w:tcPr>
          <w:p w14:paraId="3E2EF3D6"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rPr>
                <w:bCs/>
                <w:color w:val="auto"/>
              </w:rPr>
            </w:pPr>
            <w:r w:rsidRPr="00B17041">
              <w:rPr>
                <w:bCs/>
              </w:rPr>
              <w:t>18 (36%)</w:t>
            </w:r>
          </w:p>
        </w:tc>
      </w:tr>
      <w:tr w:rsidR="00A42EF0" w:rsidRPr="00C70D1D" w14:paraId="4934DB97"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BAC118D" w14:textId="272B2112" w:rsidR="00A42EF0" w:rsidRPr="00B17041" w:rsidRDefault="00A42EF0" w:rsidP="00B17041">
            <w:pPr>
              <w:ind w:left="284"/>
              <w:rPr>
                <w:b w:val="0"/>
                <w:bCs w:val="0"/>
                <w:color w:val="auto"/>
              </w:rPr>
            </w:pPr>
            <w:r w:rsidRPr="00B17041">
              <w:t>Secondary</w:t>
            </w:r>
          </w:p>
        </w:tc>
        <w:tc>
          <w:tcPr>
            <w:tcW w:w="4508" w:type="dxa"/>
          </w:tcPr>
          <w:p w14:paraId="432A4F66"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rPr>
                <w:bCs/>
                <w:color w:val="auto"/>
              </w:rPr>
            </w:pPr>
            <w:r w:rsidRPr="00B17041">
              <w:rPr>
                <w:bCs/>
              </w:rPr>
              <w:t>18 (36%)</w:t>
            </w:r>
          </w:p>
        </w:tc>
      </w:tr>
      <w:tr w:rsidR="00A42EF0" w:rsidRPr="00C70D1D" w14:paraId="0DB7207D"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0BD8FA0A" w14:textId="3CA06CE8" w:rsidR="00A42EF0" w:rsidRPr="00B17041" w:rsidRDefault="00A42EF0" w:rsidP="00B17041">
            <w:pPr>
              <w:ind w:left="284"/>
              <w:rPr>
                <w:b w:val="0"/>
                <w:bCs w:val="0"/>
                <w:color w:val="auto"/>
              </w:rPr>
            </w:pPr>
            <w:r w:rsidRPr="00B17041">
              <w:t>Tertiary</w:t>
            </w:r>
          </w:p>
        </w:tc>
        <w:tc>
          <w:tcPr>
            <w:tcW w:w="4508" w:type="dxa"/>
          </w:tcPr>
          <w:p w14:paraId="1DFCFE5E" w14:textId="1D668716"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rPr>
                <w:bCs/>
                <w:color w:val="auto"/>
              </w:rPr>
            </w:pPr>
            <w:r w:rsidRPr="00B17041">
              <w:rPr>
                <w:bCs/>
              </w:rPr>
              <w:t>4 (8%)</w:t>
            </w:r>
          </w:p>
        </w:tc>
      </w:tr>
      <w:tr w:rsidR="00A42EF0" w:rsidRPr="00C70D1D" w14:paraId="65E80758"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56601B3" w14:textId="77777777" w:rsidR="00A42EF0" w:rsidRPr="00B17041" w:rsidRDefault="00A42EF0" w:rsidP="00A42EF0">
            <w:pPr>
              <w:rPr>
                <w:b w:val="0"/>
                <w:bCs w:val="0"/>
                <w:color w:val="auto"/>
              </w:rPr>
            </w:pPr>
            <w:r w:rsidRPr="00B17041">
              <w:t>Income status</w:t>
            </w:r>
          </w:p>
        </w:tc>
        <w:tc>
          <w:tcPr>
            <w:tcW w:w="4508" w:type="dxa"/>
          </w:tcPr>
          <w:p w14:paraId="755C02E5"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rPr>
                <w:bCs/>
                <w:color w:val="auto"/>
              </w:rPr>
            </w:pPr>
            <w:r w:rsidRPr="00B17041">
              <w:rPr>
                <w:bCs/>
              </w:rPr>
              <w:t> </w:t>
            </w:r>
          </w:p>
        </w:tc>
      </w:tr>
      <w:tr w:rsidR="00A42EF0" w:rsidRPr="00C70D1D" w14:paraId="7908DB83"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116EBA6D" w14:textId="717ED10D" w:rsidR="00A42EF0" w:rsidRPr="00B17041" w:rsidRDefault="00A42EF0" w:rsidP="00B17041">
            <w:pPr>
              <w:ind w:left="284"/>
              <w:rPr>
                <w:b w:val="0"/>
                <w:bCs w:val="0"/>
                <w:color w:val="auto"/>
              </w:rPr>
            </w:pPr>
            <w:r w:rsidRPr="00B17041">
              <w:t>Fixed monthly income</w:t>
            </w:r>
          </w:p>
        </w:tc>
        <w:tc>
          <w:tcPr>
            <w:tcW w:w="4508" w:type="dxa"/>
          </w:tcPr>
          <w:p w14:paraId="5FF299F3"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rPr>
                <w:bCs/>
                <w:color w:val="auto"/>
              </w:rPr>
            </w:pPr>
            <w:r w:rsidRPr="00B17041">
              <w:rPr>
                <w:bCs/>
              </w:rPr>
              <w:t xml:space="preserve">15 (30%) </w:t>
            </w:r>
          </w:p>
        </w:tc>
      </w:tr>
      <w:tr w:rsidR="00A42EF0" w:rsidRPr="00C70D1D" w14:paraId="6242AF6A"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3DA216E" w14:textId="2926D895" w:rsidR="00A42EF0" w:rsidRPr="00B17041" w:rsidRDefault="00A42EF0" w:rsidP="00B17041">
            <w:pPr>
              <w:ind w:left="284"/>
              <w:rPr>
                <w:b w:val="0"/>
                <w:bCs w:val="0"/>
                <w:color w:val="auto"/>
              </w:rPr>
            </w:pPr>
            <w:r w:rsidRPr="00B17041">
              <w:t>Variable daily income</w:t>
            </w:r>
          </w:p>
        </w:tc>
        <w:tc>
          <w:tcPr>
            <w:tcW w:w="4508" w:type="dxa"/>
          </w:tcPr>
          <w:p w14:paraId="42416814"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rPr>
                <w:bCs/>
                <w:color w:val="auto"/>
              </w:rPr>
            </w:pPr>
            <w:r w:rsidRPr="00B17041">
              <w:rPr>
                <w:bCs/>
              </w:rPr>
              <w:t>11 (22%)</w:t>
            </w:r>
          </w:p>
        </w:tc>
      </w:tr>
      <w:tr w:rsidR="00A42EF0" w:rsidRPr="00C70D1D" w14:paraId="52884FDB"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335061C8" w14:textId="524FA584" w:rsidR="00A42EF0" w:rsidRPr="00B17041" w:rsidRDefault="00A42EF0" w:rsidP="00B17041">
            <w:pPr>
              <w:ind w:left="284"/>
              <w:rPr>
                <w:b w:val="0"/>
                <w:bCs w:val="0"/>
                <w:color w:val="auto"/>
              </w:rPr>
            </w:pPr>
            <w:r w:rsidRPr="00B17041">
              <w:t>Occasional income</w:t>
            </w:r>
          </w:p>
        </w:tc>
        <w:tc>
          <w:tcPr>
            <w:tcW w:w="4508" w:type="dxa"/>
          </w:tcPr>
          <w:p w14:paraId="2DC3FB31"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rPr>
                <w:bCs/>
                <w:color w:val="auto"/>
              </w:rPr>
            </w:pPr>
            <w:r w:rsidRPr="00B17041">
              <w:rPr>
                <w:bCs/>
              </w:rPr>
              <w:t>15 (30%)</w:t>
            </w:r>
          </w:p>
        </w:tc>
      </w:tr>
      <w:tr w:rsidR="00A42EF0" w:rsidRPr="00C70D1D" w14:paraId="72BD1161" w14:textId="77777777" w:rsidTr="00A42EF0">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4508" w:type="dxa"/>
          </w:tcPr>
          <w:p w14:paraId="526C6238" w14:textId="548DAD8A" w:rsidR="00A42EF0" w:rsidRPr="00B17041" w:rsidRDefault="00A42EF0" w:rsidP="00B17041">
            <w:pPr>
              <w:ind w:left="284"/>
              <w:rPr>
                <w:b w:val="0"/>
                <w:bCs w:val="0"/>
                <w:color w:val="auto"/>
              </w:rPr>
            </w:pPr>
            <w:r w:rsidRPr="00B17041">
              <w:t>No income</w:t>
            </w:r>
          </w:p>
        </w:tc>
        <w:tc>
          <w:tcPr>
            <w:tcW w:w="4508" w:type="dxa"/>
          </w:tcPr>
          <w:p w14:paraId="2300DA22"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rPr>
                <w:bCs/>
                <w:color w:val="auto"/>
              </w:rPr>
            </w:pPr>
            <w:r w:rsidRPr="00B17041">
              <w:rPr>
                <w:bCs/>
              </w:rPr>
              <w:t>9 (18%)</w:t>
            </w:r>
          </w:p>
        </w:tc>
      </w:tr>
      <w:tr w:rsidR="00A42EF0" w:rsidRPr="00C70D1D" w14:paraId="3CB87589"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5A50BDEF" w14:textId="77777777" w:rsidR="00A42EF0" w:rsidRPr="00B17041" w:rsidRDefault="00A42EF0" w:rsidP="00A42EF0">
            <w:pPr>
              <w:rPr>
                <w:b w:val="0"/>
                <w:bCs w:val="0"/>
                <w:color w:val="auto"/>
              </w:rPr>
            </w:pPr>
            <w:r w:rsidRPr="00B17041">
              <w:t>Residence</w:t>
            </w:r>
          </w:p>
        </w:tc>
        <w:tc>
          <w:tcPr>
            <w:tcW w:w="4508" w:type="dxa"/>
          </w:tcPr>
          <w:p w14:paraId="669351DD"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rPr>
                <w:b/>
                <w:bCs/>
                <w:color w:val="auto"/>
              </w:rPr>
            </w:pPr>
            <w:r w:rsidRPr="00B17041">
              <w:rPr>
                <w:b/>
              </w:rPr>
              <w:t> </w:t>
            </w:r>
          </w:p>
        </w:tc>
      </w:tr>
      <w:tr w:rsidR="00A42EF0" w:rsidRPr="00C70D1D" w14:paraId="4070D1A2"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B81D1FA" w14:textId="5A47793F" w:rsidR="00A42EF0" w:rsidRPr="00B17041" w:rsidRDefault="00A42EF0" w:rsidP="00B17041">
            <w:pPr>
              <w:ind w:left="284"/>
              <w:rPr>
                <w:b w:val="0"/>
                <w:bCs w:val="0"/>
                <w:color w:val="auto"/>
              </w:rPr>
            </w:pPr>
            <w:r w:rsidRPr="00B17041">
              <w:t>Within Blantyre</w:t>
            </w:r>
          </w:p>
        </w:tc>
        <w:tc>
          <w:tcPr>
            <w:tcW w:w="4508" w:type="dxa"/>
          </w:tcPr>
          <w:p w14:paraId="0E61290F" w14:textId="01591C3B"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rPr>
                <w:bCs/>
                <w:color w:val="auto"/>
              </w:rPr>
            </w:pPr>
            <w:r w:rsidRPr="00B17041">
              <w:rPr>
                <w:bCs/>
              </w:rPr>
              <w:t xml:space="preserve">37 (75 %) </w:t>
            </w:r>
          </w:p>
        </w:tc>
      </w:tr>
      <w:tr w:rsidR="00A42EF0" w:rsidRPr="00C70D1D" w14:paraId="405F4A32"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4326FBA2" w14:textId="0303583B" w:rsidR="00A42EF0" w:rsidRPr="00B17041" w:rsidRDefault="00A42EF0" w:rsidP="00B17041">
            <w:pPr>
              <w:ind w:left="284"/>
              <w:rPr>
                <w:b w:val="0"/>
                <w:bCs w:val="0"/>
                <w:color w:val="auto"/>
              </w:rPr>
            </w:pPr>
            <w:r w:rsidRPr="00B17041">
              <w:t>Outside Blantyre</w:t>
            </w:r>
          </w:p>
        </w:tc>
        <w:tc>
          <w:tcPr>
            <w:tcW w:w="4508" w:type="dxa"/>
          </w:tcPr>
          <w:p w14:paraId="49905024" w14:textId="529CB09D"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rPr>
                <w:bCs/>
                <w:color w:val="auto"/>
              </w:rPr>
            </w:pPr>
            <w:r w:rsidRPr="00B17041">
              <w:rPr>
                <w:bCs/>
              </w:rPr>
              <w:t>13 (25 %)</w:t>
            </w:r>
          </w:p>
        </w:tc>
      </w:tr>
      <w:tr w:rsidR="00A42EF0" w:rsidRPr="00C70D1D" w14:paraId="4D9AA16A"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2AE4731" w14:textId="23252A2A" w:rsidR="00A42EF0" w:rsidRPr="00B17041" w:rsidRDefault="00E73403" w:rsidP="00DF2595">
            <w:pPr>
              <w:rPr>
                <w:b w:val="0"/>
                <w:bCs w:val="0"/>
                <w:color w:val="auto"/>
              </w:rPr>
            </w:pPr>
            <w:r w:rsidRPr="00C70D1D">
              <w:rPr>
                <w:b w:val="0"/>
              </w:rPr>
              <w:t>Stroke r</w:t>
            </w:r>
            <w:r w:rsidR="00A42EF0" w:rsidRPr="00B17041">
              <w:t>isk factors</w:t>
            </w:r>
          </w:p>
        </w:tc>
        <w:tc>
          <w:tcPr>
            <w:tcW w:w="4508" w:type="dxa"/>
          </w:tcPr>
          <w:p w14:paraId="12EDF347"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rPr>
                <w:bCs/>
                <w:color w:val="auto"/>
              </w:rPr>
            </w:pPr>
          </w:p>
        </w:tc>
      </w:tr>
      <w:tr w:rsidR="00A42EF0" w:rsidRPr="00C70D1D" w14:paraId="5F3C6376"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402F494F" w14:textId="63CF538A" w:rsidR="00A42EF0" w:rsidRPr="00B17041" w:rsidRDefault="00A42EF0" w:rsidP="00B17041">
            <w:pPr>
              <w:ind w:left="284"/>
              <w:rPr>
                <w:b w:val="0"/>
                <w:bCs w:val="0"/>
                <w:color w:val="auto"/>
              </w:rPr>
            </w:pPr>
            <w:r w:rsidRPr="00B17041">
              <w:t>Hypertension</w:t>
            </w:r>
          </w:p>
        </w:tc>
        <w:tc>
          <w:tcPr>
            <w:tcW w:w="4508" w:type="dxa"/>
          </w:tcPr>
          <w:p w14:paraId="711C2174"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rPr>
                <w:bCs/>
                <w:color w:val="auto"/>
              </w:rPr>
            </w:pPr>
            <w:r w:rsidRPr="00B17041">
              <w:rPr>
                <w:bCs/>
              </w:rPr>
              <w:t>25 (50%)</w:t>
            </w:r>
          </w:p>
        </w:tc>
      </w:tr>
      <w:tr w:rsidR="00A42EF0" w:rsidRPr="00C70D1D" w14:paraId="2451E741"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AC09DAE" w14:textId="1F870906" w:rsidR="00A42EF0" w:rsidRPr="00B17041" w:rsidRDefault="00E73403" w:rsidP="00B17041">
            <w:pPr>
              <w:ind w:left="284"/>
              <w:rPr>
                <w:b w:val="0"/>
                <w:bCs w:val="0"/>
                <w:color w:val="auto"/>
              </w:rPr>
            </w:pPr>
            <w:r w:rsidRPr="00C70D1D">
              <w:rPr>
                <w:b w:val="0"/>
              </w:rPr>
              <w:t>Diabetes m</w:t>
            </w:r>
            <w:r w:rsidR="00A42EF0" w:rsidRPr="00B17041">
              <w:t>ellitus</w:t>
            </w:r>
          </w:p>
        </w:tc>
        <w:tc>
          <w:tcPr>
            <w:tcW w:w="4508" w:type="dxa"/>
          </w:tcPr>
          <w:p w14:paraId="3A6DE0B2"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rPr>
                <w:bCs/>
                <w:color w:val="auto"/>
              </w:rPr>
            </w:pPr>
            <w:r w:rsidRPr="00B17041">
              <w:rPr>
                <w:bCs/>
              </w:rPr>
              <w:t>10 (20%)</w:t>
            </w:r>
          </w:p>
        </w:tc>
      </w:tr>
      <w:tr w:rsidR="00A42EF0" w:rsidRPr="00C70D1D" w14:paraId="3129A639"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7521733D" w14:textId="4DA6FF0A" w:rsidR="00A42EF0" w:rsidRPr="00B17041" w:rsidRDefault="00A42EF0" w:rsidP="00B17041">
            <w:pPr>
              <w:ind w:left="284"/>
              <w:rPr>
                <w:b w:val="0"/>
                <w:bCs w:val="0"/>
                <w:color w:val="auto"/>
              </w:rPr>
            </w:pPr>
            <w:r w:rsidRPr="00B17041">
              <w:t>Smoking</w:t>
            </w:r>
          </w:p>
        </w:tc>
        <w:tc>
          <w:tcPr>
            <w:tcW w:w="4508" w:type="dxa"/>
          </w:tcPr>
          <w:p w14:paraId="1F4EE811"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rPr>
                <w:bCs/>
                <w:color w:val="auto"/>
              </w:rPr>
            </w:pPr>
            <w:r w:rsidRPr="00B17041">
              <w:rPr>
                <w:bCs/>
              </w:rPr>
              <w:t>13 (26%)</w:t>
            </w:r>
          </w:p>
        </w:tc>
      </w:tr>
      <w:tr w:rsidR="00A42EF0" w:rsidRPr="00C70D1D" w14:paraId="223C2C98"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5DAAE94" w14:textId="1A93022B" w:rsidR="00A42EF0" w:rsidRPr="00B17041" w:rsidRDefault="00A42EF0" w:rsidP="00B17041">
            <w:pPr>
              <w:ind w:left="284"/>
              <w:rPr>
                <w:b w:val="0"/>
                <w:bCs w:val="0"/>
                <w:color w:val="auto"/>
              </w:rPr>
            </w:pPr>
            <w:r w:rsidRPr="00B17041">
              <w:t>Alcohol consumption</w:t>
            </w:r>
          </w:p>
        </w:tc>
        <w:tc>
          <w:tcPr>
            <w:tcW w:w="4508" w:type="dxa"/>
          </w:tcPr>
          <w:p w14:paraId="51681D62"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rPr>
                <w:bCs/>
                <w:color w:val="auto"/>
              </w:rPr>
            </w:pPr>
            <w:r w:rsidRPr="00B17041">
              <w:rPr>
                <w:bCs/>
              </w:rPr>
              <w:t>14 (28%)</w:t>
            </w:r>
          </w:p>
        </w:tc>
      </w:tr>
      <w:tr w:rsidR="00A42EF0" w:rsidRPr="00C70D1D" w14:paraId="6DEE36B8"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79877D96" w14:textId="14C6F5CE" w:rsidR="00A42EF0" w:rsidRPr="00B17041" w:rsidRDefault="00A42EF0" w:rsidP="00B17041">
            <w:pPr>
              <w:ind w:left="284"/>
              <w:rPr>
                <w:b w:val="0"/>
                <w:bCs w:val="0"/>
                <w:color w:val="auto"/>
              </w:rPr>
            </w:pPr>
            <w:r w:rsidRPr="00B17041">
              <w:t>History of heart disease</w:t>
            </w:r>
          </w:p>
        </w:tc>
        <w:tc>
          <w:tcPr>
            <w:tcW w:w="4508" w:type="dxa"/>
          </w:tcPr>
          <w:p w14:paraId="5DE9D070"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rPr>
                <w:bCs/>
                <w:color w:val="auto"/>
              </w:rPr>
            </w:pPr>
            <w:r w:rsidRPr="00B17041">
              <w:rPr>
                <w:bCs/>
              </w:rPr>
              <w:t>0 (0%)</w:t>
            </w:r>
          </w:p>
        </w:tc>
      </w:tr>
      <w:tr w:rsidR="00A42EF0" w:rsidRPr="00C70D1D" w14:paraId="4549FB55"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6B62F78" w14:textId="2FD08C92" w:rsidR="00A42EF0" w:rsidRPr="00B17041" w:rsidRDefault="00A42EF0" w:rsidP="00B17041">
            <w:pPr>
              <w:ind w:left="284"/>
              <w:rPr>
                <w:b w:val="0"/>
                <w:bCs w:val="0"/>
                <w:color w:val="auto"/>
              </w:rPr>
            </w:pPr>
            <w:r w:rsidRPr="00B17041">
              <w:t>Physical inactivity</w:t>
            </w:r>
          </w:p>
        </w:tc>
        <w:tc>
          <w:tcPr>
            <w:tcW w:w="4508" w:type="dxa"/>
          </w:tcPr>
          <w:p w14:paraId="76480DE5"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rPr>
                <w:bCs/>
                <w:color w:val="auto"/>
              </w:rPr>
            </w:pPr>
            <w:r w:rsidRPr="00B17041">
              <w:rPr>
                <w:bCs/>
              </w:rPr>
              <w:t>40 (80%)</w:t>
            </w:r>
          </w:p>
        </w:tc>
      </w:tr>
      <w:tr w:rsidR="00A42EF0" w:rsidRPr="00C70D1D" w14:paraId="1B9F329A"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423BD082" w14:textId="6EAD815F" w:rsidR="00A42EF0" w:rsidRPr="00B17041" w:rsidRDefault="00A42EF0" w:rsidP="00B17041">
            <w:pPr>
              <w:ind w:left="284"/>
              <w:rPr>
                <w:b w:val="0"/>
                <w:bCs w:val="0"/>
                <w:color w:val="auto"/>
              </w:rPr>
            </w:pPr>
            <w:r w:rsidRPr="00B17041">
              <w:t>Personal history of stroke</w:t>
            </w:r>
          </w:p>
        </w:tc>
        <w:tc>
          <w:tcPr>
            <w:tcW w:w="4508" w:type="dxa"/>
          </w:tcPr>
          <w:p w14:paraId="0BBAE2E5"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rPr>
                <w:bCs/>
                <w:color w:val="auto"/>
              </w:rPr>
            </w:pPr>
            <w:r w:rsidRPr="00B17041">
              <w:rPr>
                <w:bCs/>
              </w:rPr>
              <w:t>11 (22%)</w:t>
            </w:r>
          </w:p>
        </w:tc>
      </w:tr>
      <w:tr w:rsidR="00A42EF0" w:rsidRPr="00C70D1D" w14:paraId="687AC2E0"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564F564" w14:textId="11490C88" w:rsidR="00A42EF0" w:rsidRPr="00B17041" w:rsidRDefault="00A42EF0" w:rsidP="00B17041">
            <w:pPr>
              <w:ind w:left="284"/>
              <w:rPr>
                <w:b w:val="0"/>
                <w:bCs w:val="0"/>
                <w:color w:val="auto"/>
              </w:rPr>
            </w:pPr>
            <w:r w:rsidRPr="00B17041">
              <w:t>Family history of stroke</w:t>
            </w:r>
          </w:p>
        </w:tc>
        <w:tc>
          <w:tcPr>
            <w:tcW w:w="4508" w:type="dxa"/>
          </w:tcPr>
          <w:p w14:paraId="4D26E70D"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rPr>
                <w:bCs/>
                <w:color w:val="auto"/>
              </w:rPr>
            </w:pPr>
            <w:r w:rsidRPr="00B17041">
              <w:rPr>
                <w:bCs/>
              </w:rPr>
              <w:t>15 (30%)</w:t>
            </w:r>
          </w:p>
        </w:tc>
      </w:tr>
      <w:tr w:rsidR="00A42EF0" w:rsidRPr="00C70D1D" w14:paraId="3DAEA008"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4892ED75" w14:textId="565C9213" w:rsidR="00A42EF0" w:rsidRPr="00B17041" w:rsidRDefault="006C2502" w:rsidP="00A42EF0">
            <w:pPr>
              <w:rPr>
                <w:b w:val="0"/>
                <w:bCs w:val="0"/>
                <w:color w:val="auto"/>
              </w:rPr>
            </w:pPr>
            <w:r w:rsidRPr="00C70D1D">
              <w:rPr>
                <w:b w:val="0"/>
              </w:rPr>
              <w:t xml:space="preserve">Common presenting </w:t>
            </w:r>
            <w:proofErr w:type="spellStart"/>
            <w:r w:rsidRPr="00C70D1D">
              <w:rPr>
                <w:b w:val="0"/>
              </w:rPr>
              <w:t>symptoms</w:t>
            </w:r>
            <w:r w:rsidRPr="00B17041">
              <w:rPr>
                <w:vertAlign w:val="superscript"/>
              </w:rPr>
              <w:t>a</w:t>
            </w:r>
            <w:proofErr w:type="spellEnd"/>
          </w:p>
        </w:tc>
        <w:tc>
          <w:tcPr>
            <w:tcW w:w="4508" w:type="dxa"/>
          </w:tcPr>
          <w:p w14:paraId="47AC726D"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rPr>
                <w:b/>
                <w:bCs/>
                <w:color w:val="auto"/>
              </w:rPr>
            </w:pPr>
          </w:p>
        </w:tc>
      </w:tr>
      <w:tr w:rsidR="00A42EF0" w:rsidRPr="00C70D1D" w14:paraId="4C014CB5"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F3E23FA" w14:textId="3A7269FD" w:rsidR="00A42EF0" w:rsidRPr="00B17041" w:rsidRDefault="00A42EF0" w:rsidP="00B17041">
            <w:pPr>
              <w:ind w:left="284"/>
              <w:rPr>
                <w:b w:val="0"/>
                <w:bCs w:val="0"/>
                <w:color w:val="auto"/>
              </w:rPr>
            </w:pPr>
            <w:r w:rsidRPr="00B17041">
              <w:t xml:space="preserve">Motor deficit (upper or lower limbs) </w:t>
            </w:r>
          </w:p>
        </w:tc>
        <w:tc>
          <w:tcPr>
            <w:tcW w:w="4508" w:type="dxa"/>
          </w:tcPr>
          <w:p w14:paraId="3DF71C31"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rPr>
                <w:bCs/>
                <w:color w:val="auto"/>
              </w:rPr>
            </w:pPr>
            <w:r w:rsidRPr="00B17041">
              <w:rPr>
                <w:bCs/>
              </w:rPr>
              <w:t>44 (88%)</w:t>
            </w:r>
          </w:p>
        </w:tc>
      </w:tr>
      <w:tr w:rsidR="00A42EF0" w:rsidRPr="00C70D1D" w14:paraId="582961FA"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68E88B7A" w14:textId="5258EBAC" w:rsidR="00A42EF0" w:rsidRPr="00B17041" w:rsidRDefault="00A42EF0" w:rsidP="00B17041">
            <w:pPr>
              <w:ind w:left="284"/>
              <w:rPr>
                <w:b w:val="0"/>
                <w:bCs w:val="0"/>
                <w:color w:val="auto"/>
              </w:rPr>
            </w:pPr>
            <w:r w:rsidRPr="00B17041">
              <w:t>Altered consciousness</w:t>
            </w:r>
          </w:p>
        </w:tc>
        <w:tc>
          <w:tcPr>
            <w:tcW w:w="4508" w:type="dxa"/>
          </w:tcPr>
          <w:p w14:paraId="3C3BAB5A"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rPr>
                <w:bCs/>
                <w:color w:val="auto"/>
              </w:rPr>
            </w:pPr>
            <w:r w:rsidRPr="00B17041">
              <w:rPr>
                <w:bCs/>
              </w:rPr>
              <w:t>29 (58%)</w:t>
            </w:r>
          </w:p>
        </w:tc>
      </w:tr>
      <w:tr w:rsidR="00A42EF0" w:rsidRPr="00C70D1D" w14:paraId="61ECCA5A"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6A09C32" w14:textId="3855FA61" w:rsidR="00A42EF0" w:rsidRPr="00B17041" w:rsidRDefault="00A42EF0" w:rsidP="00B17041">
            <w:pPr>
              <w:ind w:left="284"/>
              <w:rPr>
                <w:b w:val="0"/>
                <w:bCs w:val="0"/>
                <w:color w:val="auto"/>
              </w:rPr>
            </w:pPr>
            <w:r w:rsidRPr="00B17041">
              <w:t>Altered speech</w:t>
            </w:r>
          </w:p>
        </w:tc>
        <w:tc>
          <w:tcPr>
            <w:tcW w:w="4508" w:type="dxa"/>
          </w:tcPr>
          <w:p w14:paraId="1A9504FB"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rPr>
                <w:bCs/>
                <w:color w:val="auto"/>
              </w:rPr>
            </w:pPr>
            <w:r w:rsidRPr="00B17041">
              <w:rPr>
                <w:bCs/>
              </w:rPr>
              <w:t>15 (30%)</w:t>
            </w:r>
          </w:p>
        </w:tc>
      </w:tr>
      <w:tr w:rsidR="00A42EF0" w:rsidRPr="00C70D1D" w14:paraId="3763EA50"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541BCF3D" w14:textId="55732D5C" w:rsidR="00A42EF0" w:rsidRPr="00B17041" w:rsidRDefault="00A42EF0" w:rsidP="00B17041">
            <w:pPr>
              <w:ind w:left="284"/>
              <w:rPr>
                <w:b w:val="0"/>
                <w:bCs w:val="0"/>
                <w:color w:val="auto"/>
              </w:rPr>
            </w:pPr>
            <w:r w:rsidRPr="00B17041">
              <w:t>Altered sensation</w:t>
            </w:r>
          </w:p>
        </w:tc>
        <w:tc>
          <w:tcPr>
            <w:tcW w:w="4508" w:type="dxa"/>
          </w:tcPr>
          <w:p w14:paraId="49EA2A41"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rPr>
                <w:bCs/>
                <w:color w:val="auto"/>
              </w:rPr>
            </w:pPr>
            <w:r w:rsidRPr="00B17041">
              <w:rPr>
                <w:bCs/>
              </w:rPr>
              <w:t xml:space="preserve">0 </w:t>
            </w:r>
          </w:p>
        </w:tc>
      </w:tr>
      <w:tr w:rsidR="00A42EF0" w:rsidRPr="00C70D1D" w14:paraId="7DB1987C"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F20CBB8" w14:textId="3E9FFF42" w:rsidR="00A42EF0" w:rsidRPr="00B17041" w:rsidRDefault="00A42EF0" w:rsidP="00B17041">
            <w:pPr>
              <w:ind w:left="284"/>
              <w:rPr>
                <w:b w:val="0"/>
                <w:bCs w:val="0"/>
                <w:color w:val="auto"/>
              </w:rPr>
            </w:pPr>
            <w:r w:rsidRPr="00B17041">
              <w:t xml:space="preserve">Facial asymmetry </w:t>
            </w:r>
          </w:p>
        </w:tc>
        <w:tc>
          <w:tcPr>
            <w:tcW w:w="4508" w:type="dxa"/>
          </w:tcPr>
          <w:p w14:paraId="7833FE59"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rPr>
                <w:bCs/>
                <w:color w:val="auto"/>
              </w:rPr>
            </w:pPr>
            <w:r w:rsidRPr="00B17041">
              <w:rPr>
                <w:bCs/>
              </w:rPr>
              <w:t>16 (32%)</w:t>
            </w:r>
          </w:p>
        </w:tc>
      </w:tr>
      <w:tr w:rsidR="00A42EF0" w:rsidRPr="00C70D1D" w14:paraId="3A0BB117"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2133CC81" w14:textId="1B1062D7" w:rsidR="00A42EF0" w:rsidRPr="00B17041" w:rsidRDefault="00A42EF0" w:rsidP="00B17041">
            <w:pPr>
              <w:ind w:left="284"/>
              <w:rPr>
                <w:b w:val="0"/>
                <w:bCs w:val="0"/>
                <w:color w:val="auto"/>
              </w:rPr>
            </w:pPr>
            <w:r w:rsidRPr="00B17041">
              <w:t>Altered balance</w:t>
            </w:r>
          </w:p>
        </w:tc>
        <w:tc>
          <w:tcPr>
            <w:tcW w:w="4508" w:type="dxa"/>
          </w:tcPr>
          <w:p w14:paraId="5B39234A"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rPr>
                <w:bCs/>
                <w:color w:val="auto"/>
              </w:rPr>
            </w:pPr>
            <w:r w:rsidRPr="00B17041">
              <w:rPr>
                <w:bCs/>
              </w:rPr>
              <w:t>2 (4%)</w:t>
            </w:r>
          </w:p>
        </w:tc>
      </w:tr>
    </w:tbl>
    <w:p w14:paraId="6D9585B6" w14:textId="47AAA85C" w:rsidR="00A42EF0" w:rsidRPr="00B17041" w:rsidRDefault="006C2502" w:rsidP="00A42EF0">
      <w:proofErr w:type="spellStart"/>
      <w:r w:rsidRPr="00B17041">
        <w:rPr>
          <w:rFonts w:ascii="Times New Roman" w:hAnsi="Times New Roman" w:cs="Times New Roman"/>
          <w:vertAlign w:val="superscript"/>
        </w:rPr>
        <w:t>a</w:t>
      </w:r>
      <w:r w:rsidR="00A42EF0" w:rsidRPr="00B17041">
        <w:rPr>
          <w:rFonts w:ascii="Times New Roman" w:hAnsi="Times New Roman" w:cs="Times New Roman"/>
        </w:rPr>
        <w:t>The</w:t>
      </w:r>
      <w:proofErr w:type="spellEnd"/>
      <w:r w:rsidR="00A42EF0" w:rsidRPr="00B17041">
        <w:rPr>
          <w:rFonts w:ascii="Times New Roman" w:hAnsi="Times New Roman" w:cs="Times New Roman"/>
        </w:rPr>
        <w:t xml:space="preserve"> presenting symptoms are </w:t>
      </w:r>
      <w:r w:rsidR="001C254C">
        <w:rPr>
          <w:rFonts w:ascii="Times New Roman" w:hAnsi="Times New Roman" w:cs="Times New Roman"/>
        </w:rPr>
        <w:t>listed</w:t>
      </w:r>
      <w:r w:rsidR="001C254C" w:rsidRPr="00B17041">
        <w:rPr>
          <w:rFonts w:ascii="Times New Roman" w:hAnsi="Times New Roman" w:cs="Times New Roman"/>
        </w:rPr>
        <w:t xml:space="preserve"> </w:t>
      </w:r>
      <w:r w:rsidR="00A42EF0" w:rsidRPr="00B17041">
        <w:rPr>
          <w:rFonts w:ascii="Times New Roman" w:hAnsi="Times New Roman" w:cs="Times New Roman"/>
        </w:rPr>
        <w:t xml:space="preserve">as they were </w:t>
      </w:r>
      <w:r w:rsidRPr="00C70D1D">
        <w:rPr>
          <w:rFonts w:ascii="Times New Roman" w:hAnsi="Times New Roman" w:cs="Times New Roman"/>
        </w:rPr>
        <w:t>recorded in the patients’ files;</w:t>
      </w:r>
      <w:r w:rsidR="00A42EF0" w:rsidRPr="00B17041">
        <w:rPr>
          <w:rFonts w:ascii="Times New Roman" w:hAnsi="Times New Roman" w:cs="Times New Roman"/>
        </w:rPr>
        <w:t xml:space="preserve"> some patients could have more than one presenting symptom.</w:t>
      </w:r>
    </w:p>
    <w:p w14:paraId="1C378677" w14:textId="77777777" w:rsidR="00A42EF0" w:rsidRPr="00C70D1D" w:rsidRDefault="00A42EF0" w:rsidP="00A42EF0">
      <w:pPr>
        <w:pStyle w:val="Caption"/>
        <w:keepNext/>
        <w:rPr>
          <w:b/>
          <w:i w:val="0"/>
          <w:color w:val="auto"/>
          <w:sz w:val="22"/>
          <w:szCs w:val="22"/>
        </w:rPr>
      </w:pPr>
    </w:p>
    <w:p w14:paraId="66FF0C49" w14:textId="77777777" w:rsidR="00A42EF0" w:rsidRPr="00C70D1D" w:rsidRDefault="00A42EF0" w:rsidP="00A42EF0"/>
    <w:p w14:paraId="05717698" w14:textId="2B68D03A" w:rsidR="00A42EF0" w:rsidRPr="00C70D1D" w:rsidRDefault="00E73403" w:rsidP="00A42EF0">
      <w:r w:rsidRPr="00C70D1D">
        <w:br w:type="page"/>
      </w:r>
    </w:p>
    <w:p w14:paraId="1BF68525" w14:textId="5C15511C" w:rsidR="00A42EF0" w:rsidRPr="00C70D1D" w:rsidRDefault="00A42EF0" w:rsidP="00A42EF0">
      <w:pPr>
        <w:pStyle w:val="Caption"/>
        <w:keepNext/>
        <w:rPr>
          <w:b/>
          <w:i w:val="0"/>
          <w:color w:val="auto"/>
          <w:sz w:val="22"/>
          <w:szCs w:val="22"/>
        </w:rPr>
      </w:pPr>
      <w:r w:rsidRPr="00C70D1D">
        <w:rPr>
          <w:b/>
          <w:i w:val="0"/>
          <w:color w:val="auto"/>
          <w:sz w:val="22"/>
          <w:szCs w:val="22"/>
        </w:rPr>
        <w:lastRenderedPageBreak/>
        <w:t xml:space="preserve">Table 2. </w:t>
      </w:r>
      <w:r w:rsidRPr="00B17041">
        <w:rPr>
          <w:b/>
          <w:i w:val="0"/>
          <w:color w:val="auto"/>
          <w:sz w:val="22"/>
          <w:szCs w:val="22"/>
        </w:rPr>
        <w:t>Quantification of the gap between selected ASA/AHA recommendations and the current practice at QECH</w:t>
      </w:r>
    </w:p>
    <w:tbl>
      <w:tblPr>
        <w:tblStyle w:val="PlainTable2"/>
        <w:tblW w:w="0" w:type="auto"/>
        <w:tblLook w:val="04A0" w:firstRow="1" w:lastRow="0" w:firstColumn="1" w:lastColumn="0" w:noHBand="0" w:noVBand="1"/>
      </w:tblPr>
      <w:tblGrid>
        <w:gridCol w:w="3402"/>
        <w:gridCol w:w="2127"/>
        <w:gridCol w:w="3402"/>
      </w:tblGrid>
      <w:tr w:rsidR="00A42EF0" w:rsidRPr="00C70D1D" w14:paraId="753AB02A" w14:textId="77777777" w:rsidTr="00A42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B5E94B6" w14:textId="503AAC3F" w:rsidR="00A42EF0" w:rsidRPr="00B17041" w:rsidRDefault="00A42EF0" w:rsidP="00A42EF0">
            <w:r w:rsidRPr="00B17041">
              <w:t xml:space="preserve">AHA/ASA </w:t>
            </w:r>
            <w:r w:rsidR="00E73403" w:rsidRPr="00C70D1D">
              <w:t>recommendation</w:t>
            </w:r>
          </w:p>
        </w:tc>
        <w:tc>
          <w:tcPr>
            <w:tcW w:w="2127" w:type="dxa"/>
          </w:tcPr>
          <w:p w14:paraId="567BF3C4" w14:textId="67CB76E4" w:rsidR="00A42EF0" w:rsidRPr="00B17041" w:rsidRDefault="00E73403" w:rsidP="00A42EF0">
            <w:pPr>
              <w:cnfStyle w:val="100000000000" w:firstRow="1" w:lastRow="0" w:firstColumn="0" w:lastColumn="0" w:oddVBand="0" w:evenVBand="0" w:oddHBand="0" w:evenHBand="0" w:firstRowFirstColumn="0" w:firstRowLastColumn="0" w:lastRowFirstColumn="0" w:lastRowLastColumn="0"/>
            </w:pPr>
            <w:r w:rsidRPr="00C70D1D">
              <w:t xml:space="preserve">Current practice at </w:t>
            </w:r>
            <w:r w:rsidR="00A42EF0" w:rsidRPr="00B17041">
              <w:t xml:space="preserve">QECH </w:t>
            </w:r>
          </w:p>
        </w:tc>
        <w:tc>
          <w:tcPr>
            <w:tcW w:w="3402" w:type="dxa"/>
          </w:tcPr>
          <w:p w14:paraId="6C438463" w14:textId="376DEC3D" w:rsidR="00A42EF0" w:rsidRPr="00B17041" w:rsidRDefault="00E73403" w:rsidP="00A42EF0">
            <w:pPr>
              <w:cnfStyle w:val="100000000000" w:firstRow="1" w:lastRow="0" w:firstColumn="0" w:lastColumn="0" w:oddVBand="0" w:evenVBand="0" w:oddHBand="0" w:evenHBand="0" w:firstRowFirstColumn="0" w:firstRowLastColumn="0" w:lastRowFirstColumn="0" w:lastRowLastColumn="0"/>
            </w:pPr>
            <w:r w:rsidRPr="00C70D1D">
              <w:t>Comments</w:t>
            </w:r>
          </w:p>
        </w:tc>
      </w:tr>
      <w:tr w:rsidR="00A42EF0" w:rsidRPr="00C70D1D" w14:paraId="51CD25CD"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785322B" w14:textId="77777777" w:rsidR="00A42EF0" w:rsidRPr="00B17041" w:rsidRDefault="00A42EF0" w:rsidP="00A42EF0">
            <w:pPr>
              <w:rPr>
                <w:b w:val="0"/>
              </w:rPr>
            </w:pPr>
            <w:r w:rsidRPr="00B17041">
              <w:t>Stroke severity should be ascertained, preferably using the NIHSS scale.</w:t>
            </w:r>
          </w:p>
        </w:tc>
        <w:tc>
          <w:tcPr>
            <w:tcW w:w="2127" w:type="dxa"/>
          </w:tcPr>
          <w:p w14:paraId="7BE27FA6"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Not done</w:t>
            </w:r>
          </w:p>
        </w:tc>
        <w:tc>
          <w:tcPr>
            <w:tcW w:w="3402" w:type="dxa"/>
          </w:tcPr>
          <w:p w14:paraId="3B47EFF4" w14:textId="22AB2870"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p>
        </w:tc>
      </w:tr>
      <w:tr w:rsidR="00A42EF0" w:rsidRPr="00C70D1D" w14:paraId="42F62483" w14:textId="77777777" w:rsidTr="00A42EF0">
        <w:tc>
          <w:tcPr>
            <w:cnfStyle w:val="001000000000" w:firstRow="0" w:lastRow="0" w:firstColumn="1" w:lastColumn="0" w:oddVBand="0" w:evenVBand="0" w:oddHBand="0" w:evenHBand="0" w:firstRowFirstColumn="0" w:firstRowLastColumn="0" w:lastRowFirstColumn="0" w:lastRowLastColumn="0"/>
            <w:tcW w:w="3402" w:type="dxa"/>
          </w:tcPr>
          <w:p w14:paraId="46301239" w14:textId="77777777" w:rsidR="00A42EF0" w:rsidRPr="00B17041" w:rsidRDefault="00A42EF0" w:rsidP="00A42EF0">
            <w:pPr>
              <w:rPr>
                <w:b w:val="0"/>
              </w:rPr>
            </w:pPr>
            <w:r w:rsidRPr="00B17041">
              <w:t>Patients with acute stroke should receive brain imaging evaluation on arrival to hospital (NCCT scan ideal).</w:t>
            </w:r>
          </w:p>
        </w:tc>
        <w:tc>
          <w:tcPr>
            <w:tcW w:w="2127" w:type="dxa"/>
          </w:tcPr>
          <w:p w14:paraId="3D37EC00"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 xml:space="preserve">Not available </w:t>
            </w:r>
          </w:p>
        </w:tc>
        <w:tc>
          <w:tcPr>
            <w:tcW w:w="3402" w:type="dxa"/>
          </w:tcPr>
          <w:p w14:paraId="256586EE" w14:textId="46967D54"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 xml:space="preserve">At the time of this audit, QECH did not have a functioning CT scanner. Only three </w:t>
            </w:r>
            <w:r w:rsidR="00853589" w:rsidRPr="00C70D1D">
              <w:t>patients had an MRI on day 7, 8</w:t>
            </w:r>
            <w:r w:rsidRPr="00B17041">
              <w:t xml:space="preserve"> and 9 post-admission. </w:t>
            </w:r>
          </w:p>
        </w:tc>
      </w:tr>
      <w:tr w:rsidR="00A42EF0" w:rsidRPr="00C70D1D" w14:paraId="4A584544"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7E39D70" w14:textId="77777777" w:rsidR="00A42EF0" w:rsidRPr="00B17041" w:rsidRDefault="00A42EF0" w:rsidP="00A42EF0">
            <w:pPr>
              <w:rPr>
                <w:b w:val="0"/>
              </w:rPr>
            </w:pPr>
            <w:r w:rsidRPr="00B17041">
              <w:t>Vital signs check done on admission and at least every 4 hours during the first 48 hours.</w:t>
            </w:r>
          </w:p>
        </w:tc>
        <w:tc>
          <w:tcPr>
            <w:tcW w:w="2127" w:type="dxa"/>
          </w:tcPr>
          <w:p w14:paraId="721BC872"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Admission check: BP (98%), temperature (82%), pulse rate (98%), oxygen saturation (62%)</w:t>
            </w:r>
          </w:p>
          <w:p w14:paraId="2EE5B9DF"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p>
        </w:tc>
        <w:tc>
          <w:tcPr>
            <w:tcW w:w="3402" w:type="dxa"/>
          </w:tcPr>
          <w:p w14:paraId="3E186E9D"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 xml:space="preserve">A check was not done every 4 hours, even for patients managed in HDU. </w:t>
            </w:r>
          </w:p>
        </w:tc>
      </w:tr>
      <w:tr w:rsidR="00A42EF0" w:rsidRPr="00C70D1D" w14:paraId="0751775F" w14:textId="77777777" w:rsidTr="00A42EF0">
        <w:tc>
          <w:tcPr>
            <w:cnfStyle w:val="001000000000" w:firstRow="0" w:lastRow="0" w:firstColumn="1" w:lastColumn="0" w:oddVBand="0" w:evenVBand="0" w:oddHBand="0" w:evenHBand="0" w:firstRowFirstColumn="0" w:firstRowLastColumn="0" w:lastRowFirstColumn="0" w:lastRowLastColumn="0"/>
            <w:tcW w:w="3402" w:type="dxa"/>
          </w:tcPr>
          <w:p w14:paraId="37661F70" w14:textId="221E686F" w:rsidR="00A42EF0" w:rsidRPr="00B17041" w:rsidRDefault="00A42EF0" w:rsidP="00A42EF0">
            <w:pPr>
              <w:rPr>
                <w:b w:val="0"/>
              </w:rPr>
            </w:pPr>
            <w:r w:rsidRPr="00B17041">
              <w:t>IV thrombolysis – AIS</w:t>
            </w:r>
            <w:r w:rsidR="00E73403" w:rsidRPr="00C70D1D">
              <w:rPr>
                <w:b w:val="0"/>
              </w:rPr>
              <w:t>, less than 4.5 hours</w:t>
            </w:r>
            <w:r w:rsidRPr="00B17041">
              <w:t>.</w:t>
            </w:r>
          </w:p>
        </w:tc>
        <w:tc>
          <w:tcPr>
            <w:tcW w:w="2127" w:type="dxa"/>
          </w:tcPr>
          <w:p w14:paraId="63D0EE71"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Not available</w:t>
            </w:r>
          </w:p>
          <w:p w14:paraId="61584E53"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p>
        </w:tc>
        <w:tc>
          <w:tcPr>
            <w:tcW w:w="3402" w:type="dxa"/>
            <w:vMerge w:val="restart"/>
          </w:tcPr>
          <w:p w14:paraId="13C1A7DD" w14:textId="04242154"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 xml:space="preserve">No resources to allow for these acute interventions. The time window could allow mechanical thrombectomy in up to 48% of patients (who </w:t>
            </w:r>
            <w:r w:rsidR="00853589" w:rsidRPr="00C70D1D">
              <w:t>reached the hospital within 24 hours</w:t>
            </w:r>
            <w:r w:rsidRPr="00B17041">
              <w:t xml:space="preserve"> of symptoms onset).</w:t>
            </w:r>
          </w:p>
        </w:tc>
      </w:tr>
      <w:tr w:rsidR="00A42EF0" w:rsidRPr="00C70D1D" w14:paraId="47B10C54"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B5D1FD2" w14:textId="7D3B163F" w:rsidR="00A42EF0" w:rsidRPr="00B17041" w:rsidRDefault="00A42EF0" w:rsidP="00A42EF0">
            <w:pPr>
              <w:rPr>
                <w:b w:val="0"/>
              </w:rPr>
            </w:pPr>
            <w:r w:rsidRPr="00B17041">
              <w:t xml:space="preserve">Mechanical thrombectomy – AIS, up to 24 </w:t>
            </w:r>
            <w:r w:rsidR="00E73403" w:rsidRPr="00C70D1D">
              <w:rPr>
                <w:b w:val="0"/>
              </w:rPr>
              <w:t>hours</w:t>
            </w:r>
            <w:r w:rsidRPr="00B17041">
              <w:t>.</w:t>
            </w:r>
          </w:p>
        </w:tc>
        <w:tc>
          <w:tcPr>
            <w:tcW w:w="2127" w:type="dxa"/>
          </w:tcPr>
          <w:p w14:paraId="1E9AB0DB"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Not available</w:t>
            </w:r>
          </w:p>
        </w:tc>
        <w:tc>
          <w:tcPr>
            <w:tcW w:w="3402" w:type="dxa"/>
            <w:vMerge/>
          </w:tcPr>
          <w:p w14:paraId="2F7F74D0"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p>
        </w:tc>
      </w:tr>
      <w:tr w:rsidR="00A42EF0" w:rsidRPr="00C70D1D" w14:paraId="6C3C017C" w14:textId="77777777" w:rsidTr="00A42EF0">
        <w:tc>
          <w:tcPr>
            <w:cnfStyle w:val="001000000000" w:firstRow="0" w:lastRow="0" w:firstColumn="1" w:lastColumn="0" w:oddVBand="0" w:evenVBand="0" w:oddHBand="0" w:evenHBand="0" w:firstRowFirstColumn="0" w:firstRowLastColumn="0" w:lastRowFirstColumn="0" w:lastRowLastColumn="0"/>
            <w:tcW w:w="3402" w:type="dxa"/>
          </w:tcPr>
          <w:p w14:paraId="6E32D844" w14:textId="77777777" w:rsidR="00A42EF0" w:rsidRPr="00B17041" w:rsidRDefault="00A42EF0" w:rsidP="00A42EF0">
            <w:pPr>
              <w:rPr>
                <w:b w:val="0"/>
              </w:rPr>
            </w:pPr>
            <w:r w:rsidRPr="00B17041">
              <w:t>Blood glucose should be checked in all patients.</w:t>
            </w:r>
          </w:p>
        </w:tc>
        <w:tc>
          <w:tcPr>
            <w:tcW w:w="2127" w:type="dxa"/>
          </w:tcPr>
          <w:p w14:paraId="2F9F9C2B"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36 (72%) checked</w:t>
            </w:r>
          </w:p>
        </w:tc>
        <w:tc>
          <w:tcPr>
            <w:tcW w:w="3402" w:type="dxa"/>
          </w:tcPr>
          <w:p w14:paraId="1936F404" w14:textId="77777777" w:rsidR="00A42EF0" w:rsidRPr="00B17041" w:rsidRDefault="00A42EF0" w:rsidP="00B17041">
            <w:pPr>
              <w:cnfStyle w:val="000000000000" w:firstRow="0" w:lastRow="0" w:firstColumn="0" w:lastColumn="0" w:oddVBand="0" w:evenVBand="0" w:oddHBand="0" w:evenHBand="0" w:firstRowFirstColumn="0" w:firstRowLastColumn="0" w:lastRowFirstColumn="0" w:lastRowLastColumn="0"/>
            </w:pPr>
          </w:p>
        </w:tc>
      </w:tr>
      <w:tr w:rsidR="00A42EF0" w:rsidRPr="00C70D1D" w14:paraId="2B0B3B95"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511EF8D" w14:textId="77777777" w:rsidR="00A42EF0" w:rsidRPr="00B17041" w:rsidRDefault="00A42EF0" w:rsidP="00A42EF0">
            <w:pPr>
              <w:rPr>
                <w:b w:val="0"/>
              </w:rPr>
            </w:pPr>
            <w:r w:rsidRPr="00B17041">
              <w:t xml:space="preserve">Blood pressure control </w:t>
            </w:r>
          </w:p>
          <w:p w14:paraId="2C1FD7A7" w14:textId="77777777" w:rsidR="00A42EF0" w:rsidRPr="00B17041" w:rsidRDefault="00A42EF0" w:rsidP="00A42EF0">
            <w:pPr>
              <w:rPr>
                <w:b w:val="0"/>
              </w:rPr>
            </w:pPr>
            <w:r w:rsidRPr="00B17041">
              <w:t>BP &gt;220/120 mmHg – urgent lowering by 15%</w:t>
            </w:r>
          </w:p>
          <w:p w14:paraId="5CA0FCEE" w14:textId="6E7DD63B" w:rsidR="00A42EF0" w:rsidRPr="00B17041" w:rsidRDefault="00A42EF0" w:rsidP="00DF2595">
            <w:pPr>
              <w:rPr>
                <w:b w:val="0"/>
              </w:rPr>
            </w:pPr>
            <w:r w:rsidRPr="00B17041">
              <w:t xml:space="preserve">BP &lt;220/120 mmHg – not to be treated in first 48–72 </w:t>
            </w:r>
            <w:r w:rsidR="00E73403" w:rsidRPr="00C70D1D">
              <w:rPr>
                <w:b w:val="0"/>
              </w:rPr>
              <w:t>hours</w:t>
            </w:r>
          </w:p>
        </w:tc>
        <w:tc>
          <w:tcPr>
            <w:tcW w:w="2127" w:type="dxa"/>
          </w:tcPr>
          <w:p w14:paraId="3BDFF198" w14:textId="77777777" w:rsidR="00853589" w:rsidRPr="00C70D1D" w:rsidRDefault="00A42EF0" w:rsidP="00A42EF0">
            <w:pPr>
              <w:cnfStyle w:val="000000100000" w:firstRow="0" w:lastRow="0" w:firstColumn="0" w:lastColumn="0" w:oddVBand="0" w:evenVBand="0" w:oddHBand="1" w:evenHBand="0" w:firstRowFirstColumn="0" w:firstRowLastColumn="0" w:lastRowFirstColumn="0" w:lastRowLastColumn="0"/>
            </w:pPr>
            <w:r w:rsidRPr="00B17041">
              <w:t>4 patients with BP &gt;220/130</w:t>
            </w:r>
          </w:p>
          <w:p w14:paraId="4920DBDE" w14:textId="172C89B2"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3 had urgent lowering</w:t>
            </w:r>
          </w:p>
          <w:p w14:paraId="0C9FA8FF"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12/18 (67%) received drugs</w:t>
            </w:r>
          </w:p>
        </w:tc>
        <w:tc>
          <w:tcPr>
            <w:tcW w:w="3402" w:type="dxa"/>
          </w:tcPr>
          <w:p w14:paraId="6422EDD7"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 xml:space="preserve">There were variations in the management of raised BP among clinicians. Some allowed a raised BP in the first 48 hours while others treated it. </w:t>
            </w:r>
          </w:p>
        </w:tc>
      </w:tr>
      <w:tr w:rsidR="00A42EF0" w:rsidRPr="00C70D1D" w14:paraId="568787AB" w14:textId="77777777" w:rsidTr="00A42EF0">
        <w:tc>
          <w:tcPr>
            <w:cnfStyle w:val="001000000000" w:firstRow="0" w:lastRow="0" w:firstColumn="1" w:lastColumn="0" w:oddVBand="0" w:evenVBand="0" w:oddHBand="0" w:evenHBand="0" w:firstRowFirstColumn="0" w:firstRowLastColumn="0" w:lastRowFirstColumn="0" w:lastRowLastColumn="0"/>
            <w:tcW w:w="3402" w:type="dxa"/>
          </w:tcPr>
          <w:p w14:paraId="68F97AE0" w14:textId="4F79B2F6" w:rsidR="00A42EF0" w:rsidRPr="00B17041" w:rsidRDefault="00A42EF0" w:rsidP="00A42EF0">
            <w:pPr>
              <w:rPr>
                <w:b w:val="0"/>
              </w:rPr>
            </w:pPr>
            <w:r w:rsidRPr="00B17041">
              <w:t>Aspirin to be administer</w:t>
            </w:r>
            <w:r w:rsidR="00E73403" w:rsidRPr="00C70D1D">
              <w:rPr>
                <w:b w:val="0"/>
              </w:rPr>
              <w:t>ed in AIS patients within 24</w:t>
            </w:r>
            <w:r w:rsidR="00E73403" w:rsidRPr="00C70D1D">
              <w:rPr>
                <w:rFonts w:cstheme="minorHAnsi"/>
                <w:b w:val="0"/>
              </w:rPr>
              <w:t>–</w:t>
            </w:r>
            <w:r w:rsidRPr="00B17041">
              <w:t xml:space="preserve">48 </w:t>
            </w:r>
            <w:r w:rsidR="00E73403" w:rsidRPr="00C70D1D">
              <w:rPr>
                <w:b w:val="0"/>
              </w:rPr>
              <w:t>hours</w:t>
            </w:r>
            <w:r w:rsidRPr="00B17041">
              <w:t xml:space="preserve"> after onset.</w:t>
            </w:r>
          </w:p>
          <w:p w14:paraId="45EBC29C" w14:textId="77777777" w:rsidR="00A42EF0" w:rsidRPr="00B17041" w:rsidRDefault="00A42EF0" w:rsidP="00A42EF0">
            <w:pPr>
              <w:pStyle w:val="ListParagraph"/>
              <w:rPr>
                <w:b w:val="0"/>
              </w:rPr>
            </w:pPr>
          </w:p>
        </w:tc>
        <w:tc>
          <w:tcPr>
            <w:tcW w:w="2127" w:type="dxa"/>
          </w:tcPr>
          <w:p w14:paraId="0095AF58"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 xml:space="preserve">38 (76%) received </w:t>
            </w:r>
          </w:p>
        </w:tc>
        <w:tc>
          <w:tcPr>
            <w:tcW w:w="3402" w:type="dxa"/>
          </w:tcPr>
          <w:p w14:paraId="09748030"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Among those who received aspirin, all had it orally, regardless of the level of consciousness. Standard dose: 75 mg</w:t>
            </w:r>
          </w:p>
          <w:p w14:paraId="55667446"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Aspirin is only available in oral form in the hospital.</w:t>
            </w:r>
          </w:p>
        </w:tc>
      </w:tr>
      <w:tr w:rsidR="00A42EF0" w:rsidRPr="00C70D1D" w14:paraId="554A18B3"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86C9260" w14:textId="77777777" w:rsidR="00A42EF0" w:rsidRPr="00B17041" w:rsidRDefault="00A42EF0" w:rsidP="00A42EF0">
            <w:pPr>
              <w:rPr>
                <w:b w:val="0"/>
              </w:rPr>
            </w:pPr>
            <w:r w:rsidRPr="00B17041">
              <w:t>Urgent anticoagulation not recommended.</w:t>
            </w:r>
          </w:p>
        </w:tc>
        <w:tc>
          <w:tcPr>
            <w:tcW w:w="2127" w:type="dxa"/>
          </w:tcPr>
          <w:p w14:paraId="68382BE3"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Adhered to</w:t>
            </w:r>
          </w:p>
        </w:tc>
        <w:tc>
          <w:tcPr>
            <w:tcW w:w="3402" w:type="dxa"/>
          </w:tcPr>
          <w:p w14:paraId="4DF89A73"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No patient received anticoagulation in the first 72 hours.</w:t>
            </w:r>
          </w:p>
        </w:tc>
      </w:tr>
      <w:tr w:rsidR="00A42EF0" w:rsidRPr="00C70D1D" w14:paraId="04D4E8D3" w14:textId="77777777" w:rsidTr="00A42EF0">
        <w:tc>
          <w:tcPr>
            <w:cnfStyle w:val="001000000000" w:firstRow="0" w:lastRow="0" w:firstColumn="1" w:lastColumn="0" w:oddVBand="0" w:evenVBand="0" w:oddHBand="0" w:evenHBand="0" w:firstRowFirstColumn="0" w:firstRowLastColumn="0" w:lastRowFirstColumn="0" w:lastRowLastColumn="0"/>
            <w:tcW w:w="3402" w:type="dxa"/>
          </w:tcPr>
          <w:p w14:paraId="16A26C96" w14:textId="77777777" w:rsidR="00A42EF0" w:rsidRPr="00B17041" w:rsidRDefault="00A42EF0" w:rsidP="00A42EF0">
            <w:pPr>
              <w:rPr>
                <w:b w:val="0"/>
              </w:rPr>
            </w:pPr>
            <w:r w:rsidRPr="00B17041">
              <w:t>Patients to be managed in specialised stroke units.</w:t>
            </w:r>
          </w:p>
        </w:tc>
        <w:tc>
          <w:tcPr>
            <w:tcW w:w="2127" w:type="dxa"/>
          </w:tcPr>
          <w:p w14:paraId="702C7CFF"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Not available</w:t>
            </w:r>
          </w:p>
        </w:tc>
        <w:tc>
          <w:tcPr>
            <w:tcW w:w="3402" w:type="dxa"/>
          </w:tcPr>
          <w:p w14:paraId="75C43FEA" w14:textId="77777777" w:rsidR="00A42EF0" w:rsidRPr="00B17041" w:rsidRDefault="00A42EF0" w:rsidP="00B17041">
            <w:pPr>
              <w:cnfStyle w:val="000000000000" w:firstRow="0" w:lastRow="0" w:firstColumn="0" w:lastColumn="0" w:oddVBand="0" w:evenVBand="0" w:oddHBand="0" w:evenHBand="0" w:firstRowFirstColumn="0" w:firstRowLastColumn="0" w:lastRowFirstColumn="0" w:lastRowLastColumn="0"/>
            </w:pPr>
          </w:p>
        </w:tc>
      </w:tr>
      <w:tr w:rsidR="00A42EF0" w:rsidRPr="00C70D1D" w14:paraId="060398A5"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6F4A105" w14:textId="77777777" w:rsidR="00A42EF0" w:rsidRPr="00B17041" w:rsidRDefault="00A42EF0" w:rsidP="00A42EF0">
            <w:pPr>
              <w:rPr>
                <w:b w:val="0"/>
              </w:rPr>
            </w:pPr>
            <w:r w:rsidRPr="00B17041">
              <w:t>Airway support and ventilatory assistance recommended for patients who have decreased consciousness or bulbar dysfunction (maintain oxygen saturation &gt;94%).</w:t>
            </w:r>
          </w:p>
        </w:tc>
        <w:tc>
          <w:tcPr>
            <w:tcW w:w="2127" w:type="dxa"/>
          </w:tcPr>
          <w:p w14:paraId="21D229C4"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9/29 (31%) received oxygen</w:t>
            </w:r>
          </w:p>
        </w:tc>
        <w:tc>
          <w:tcPr>
            <w:tcW w:w="3402" w:type="dxa"/>
          </w:tcPr>
          <w:p w14:paraId="1698FBE1"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Patients could only receive supplemental oxygen when admitted to the HDU. There is limited bed space in the HDU for all medical patients.</w:t>
            </w:r>
          </w:p>
        </w:tc>
      </w:tr>
      <w:tr w:rsidR="00A42EF0" w:rsidRPr="00C70D1D" w14:paraId="7B7FABD9" w14:textId="77777777" w:rsidTr="00A42EF0">
        <w:tc>
          <w:tcPr>
            <w:cnfStyle w:val="001000000000" w:firstRow="0" w:lastRow="0" w:firstColumn="1" w:lastColumn="0" w:oddVBand="0" w:evenVBand="0" w:oddHBand="0" w:evenHBand="0" w:firstRowFirstColumn="0" w:firstRowLastColumn="0" w:lastRowFirstColumn="0" w:lastRowLastColumn="0"/>
            <w:tcW w:w="3402" w:type="dxa"/>
          </w:tcPr>
          <w:p w14:paraId="5303A45E" w14:textId="77777777" w:rsidR="00A42EF0" w:rsidRPr="00B17041" w:rsidRDefault="00A42EF0" w:rsidP="00A42EF0">
            <w:pPr>
              <w:rPr>
                <w:bCs w:val="0"/>
              </w:rPr>
            </w:pPr>
            <w:r w:rsidRPr="00B17041">
              <w:lastRenderedPageBreak/>
              <w:t>Starting or restarting antihypertensive therapy during hospitalisation in patients with blood pressure &gt;140/90 mmHg who are neurologically stable is safe and is reasonable.</w:t>
            </w:r>
          </w:p>
        </w:tc>
        <w:tc>
          <w:tcPr>
            <w:tcW w:w="2127" w:type="dxa"/>
          </w:tcPr>
          <w:p w14:paraId="4DC58D5A"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 xml:space="preserve">98% of hypertensive patients received </w:t>
            </w:r>
          </w:p>
        </w:tc>
        <w:tc>
          <w:tcPr>
            <w:tcW w:w="3402" w:type="dxa"/>
          </w:tcPr>
          <w:p w14:paraId="2ECCA26B"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 xml:space="preserve">The choice of antihypertensive drug to prescribe is determined by what is in stock in the pharmacy. </w:t>
            </w:r>
          </w:p>
        </w:tc>
      </w:tr>
      <w:tr w:rsidR="00A42EF0" w:rsidRPr="00C70D1D" w14:paraId="75369905"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BF0A0E3" w14:textId="77777777" w:rsidR="00A42EF0" w:rsidRPr="00B17041" w:rsidRDefault="00A42EF0" w:rsidP="00A42EF0">
            <w:pPr>
              <w:rPr>
                <w:b w:val="0"/>
              </w:rPr>
            </w:pPr>
            <w:r w:rsidRPr="00B17041">
              <w:t xml:space="preserve">Sources of hyperthermia (temperature &gt;38°C) should be identified and treated. Antipyretic medications should be administered to lower temperature in </w:t>
            </w:r>
            <w:proofErr w:type="spellStart"/>
            <w:r w:rsidRPr="00B17041">
              <w:t>hyperthermic</w:t>
            </w:r>
            <w:proofErr w:type="spellEnd"/>
            <w:r w:rsidRPr="00B17041">
              <w:t xml:space="preserve"> patients with stroke.</w:t>
            </w:r>
          </w:p>
        </w:tc>
        <w:tc>
          <w:tcPr>
            <w:tcW w:w="2127" w:type="dxa"/>
          </w:tcPr>
          <w:p w14:paraId="09590474"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5/5 (100%) with fever treated</w:t>
            </w:r>
          </w:p>
        </w:tc>
        <w:tc>
          <w:tcPr>
            <w:tcW w:w="3402" w:type="dxa"/>
          </w:tcPr>
          <w:p w14:paraId="370C7D7B"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Paracetamol was prescribed as an antipyretic. FBC, chest X-ray, and rapid malaria tests were done to investigate fever.</w:t>
            </w:r>
          </w:p>
        </w:tc>
      </w:tr>
      <w:tr w:rsidR="00A42EF0" w:rsidRPr="00C70D1D" w14:paraId="4DFB777A" w14:textId="77777777" w:rsidTr="00A42EF0">
        <w:tc>
          <w:tcPr>
            <w:cnfStyle w:val="001000000000" w:firstRow="0" w:lastRow="0" w:firstColumn="1" w:lastColumn="0" w:oddVBand="0" w:evenVBand="0" w:oddHBand="0" w:evenHBand="0" w:firstRowFirstColumn="0" w:firstRowLastColumn="0" w:lastRowFirstColumn="0" w:lastRowLastColumn="0"/>
            <w:tcW w:w="3402" w:type="dxa"/>
          </w:tcPr>
          <w:p w14:paraId="4A993DA4" w14:textId="77777777" w:rsidR="00A42EF0" w:rsidRPr="00B17041" w:rsidRDefault="00A42EF0" w:rsidP="00A42EF0">
            <w:pPr>
              <w:rPr>
                <w:b w:val="0"/>
              </w:rPr>
            </w:pPr>
            <w:r w:rsidRPr="00B17041">
              <w:t>Aim to maintain normal blood sugar. Treat hyperglycaemia and hypoglycaemia.</w:t>
            </w:r>
          </w:p>
        </w:tc>
        <w:tc>
          <w:tcPr>
            <w:tcW w:w="2127" w:type="dxa"/>
          </w:tcPr>
          <w:p w14:paraId="73DE9AE9"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4/11 (36%) received insulin to treat hyperglycaemia</w:t>
            </w:r>
          </w:p>
        </w:tc>
        <w:tc>
          <w:tcPr>
            <w:tcW w:w="3402" w:type="dxa"/>
          </w:tcPr>
          <w:p w14:paraId="3DE9D0C9"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 xml:space="preserve">Uncontrolled hyperglycaemia was a common complication observed. </w:t>
            </w:r>
          </w:p>
        </w:tc>
      </w:tr>
      <w:tr w:rsidR="00A42EF0" w:rsidRPr="00C70D1D" w14:paraId="267C60B4"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3234F99" w14:textId="77777777" w:rsidR="00A42EF0" w:rsidRPr="00B17041" w:rsidRDefault="00A42EF0" w:rsidP="00A42EF0">
            <w:pPr>
              <w:rPr>
                <w:b w:val="0"/>
              </w:rPr>
            </w:pPr>
            <w:r w:rsidRPr="00B17041">
              <w:t>Dysphagia screening before the patient begins eating, drinking, or receiving oral medications.</w:t>
            </w:r>
          </w:p>
        </w:tc>
        <w:tc>
          <w:tcPr>
            <w:tcW w:w="2127" w:type="dxa"/>
          </w:tcPr>
          <w:p w14:paraId="3CB176FA"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Not done</w:t>
            </w:r>
          </w:p>
        </w:tc>
        <w:tc>
          <w:tcPr>
            <w:tcW w:w="3402" w:type="dxa"/>
          </w:tcPr>
          <w:p w14:paraId="7F2E18DA"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Level of consciousness seemed to have guided clinicians and nurses to insert NGT.</w:t>
            </w:r>
          </w:p>
        </w:tc>
      </w:tr>
      <w:tr w:rsidR="00A42EF0" w:rsidRPr="00C70D1D" w14:paraId="5C4D85E4" w14:textId="77777777" w:rsidTr="00A42EF0">
        <w:tc>
          <w:tcPr>
            <w:cnfStyle w:val="001000000000" w:firstRow="0" w:lastRow="0" w:firstColumn="1" w:lastColumn="0" w:oddVBand="0" w:evenVBand="0" w:oddHBand="0" w:evenHBand="0" w:firstRowFirstColumn="0" w:firstRowLastColumn="0" w:lastRowFirstColumn="0" w:lastRowLastColumn="0"/>
            <w:tcW w:w="3402" w:type="dxa"/>
          </w:tcPr>
          <w:p w14:paraId="0C969676" w14:textId="77777777" w:rsidR="00A42EF0" w:rsidRPr="00B17041" w:rsidRDefault="00A42EF0" w:rsidP="00A42EF0">
            <w:pPr>
              <w:rPr>
                <w:b w:val="0"/>
              </w:rPr>
            </w:pPr>
            <w:r w:rsidRPr="00B17041">
              <w:t>In immobile patients with stroke and without contraindications, intermittent pneumatic compression is recommended to reduce the risk of DVT.</w:t>
            </w:r>
          </w:p>
        </w:tc>
        <w:tc>
          <w:tcPr>
            <w:tcW w:w="2127" w:type="dxa"/>
          </w:tcPr>
          <w:p w14:paraId="0816E1C5"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 xml:space="preserve">Not available </w:t>
            </w:r>
          </w:p>
        </w:tc>
        <w:tc>
          <w:tcPr>
            <w:tcW w:w="3402" w:type="dxa"/>
          </w:tcPr>
          <w:p w14:paraId="70DFFF2E"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DVT prophylaxis offered to 12 patients. The majority (</w:t>
            </w:r>
            <w:r w:rsidRPr="00B17041">
              <w:rPr>
                <w:i/>
              </w:rPr>
              <w:t>n</w:t>
            </w:r>
            <w:r w:rsidRPr="00B17041">
              <w:t xml:space="preserve"> = 9) received LMWH (2 had standard heparin and 1 stockings). In all 12 patients, prophylaxis was started 48 hours after admission.</w:t>
            </w:r>
          </w:p>
        </w:tc>
      </w:tr>
      <w:tr w:rsidR="00A42EF0" w:rsidRPr="00C70D1D" w14:paraId="5C98B3C6"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516512C" w14:textId="77777777" w:rsidR="00A42EF0" w:rsidRPr="00B17041" w:rsidRDefault="00A42EF0" w:rsidP="00A42EF0">
            <w:pPr>
              <w:rPr>
                <w:b w:val="0"/>
              </w:rPr>
            </w:pPr>
            <w:r w:rsidRPr="00B17041">
              <w:t>Routine screening and treatment of post-stroke depression.</w:t>
            </w:r>
          </w:p>
        </w:tc>
        <w:tc>
          <w:tcPr>
            <w:tcW w:w="2127" w:type="dxa"/>
          </w:tcPr>
          <w:p w14:paraId="6434DA8D"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Not done</w:t>
            </w:r>
          </w:p>
        </w:tc>
        <w:tc>
          <w:tcPr>
            <w:tcW w:w="3402" w:type="dxa"/>
          </w:tcPr>
          <w:p w14:paraId="5AB13DB2"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p>
        </w:tc>
      </w:tr>
      <w:tr w:rsidR="00A42EF0" w:rsidRPr="00C70D1D" w14:paraId="26F8C4A6" w14:textId="77777777" w:rsidTr="00A42EF0">
        <w:tc>
          <w:tcPr>
            <w:cnfStyle w:val="001000000000" w:firstRow="0" w:lastRow="0" w:firstColumn="1" w:lastColumn="0" w:oddVBand="0" w:evenVBand="0" w:oddHBand="0" w:evenHBand="0" w:firstRowFirstColumn="0" w:firstRowLastColumn="0" w:lastRowFirstColumn="0" w:lastRowLastColumn="0"/>
            <w:tcW w:w="3402" w:type="dxa"/>
          </w:tcPr>
          <w:p w14:paraId="69359229" w14:textId="77777777" w:rsidR="00A42EF0" w:rsidRPr="00B17041" w:rsidRDefault="00A42EF0" w:rsidP="00A42EF0">
            <w:pPr>
              <w:rPr>
                <w:b w:val="0"/>
              </w:rPr>
            </w:pPr>
            <w:r w:rsidRPr="00B17041">
              <w:t>Physiotherapy to be started in-hospital ideally after 24 hours.</w:t>
            </w:r>
          </w:p>
        </w:tc>
        <w:tc>
          <w:tcPr>
            <w:tcW w:w="2127" w:type="dxa"/>
          </w:tcPr>
          <w:p w14:paraId="473529ED"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60% received physiotherapy</w:t>
            </w:r>
          </w:p>
          <w:p w14:paraId="5D964CAD"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2 patients started within 48 hours</w:t>
            </w:r>
          </w:p>
          <w:p w14:paraId="6A08720B"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p>
        </w:tc>
        <w:tc>
          <w:tcPr>
            <w:tcW w:w="3402" w:type="dxa"/>
          </w:tcPr>
          <w:p w14:paraId="610C1119"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 xml:space="preserve">Physiotherapy students provided many services to patients. There was a sharp decline in physiotherapy sessions soon after the students went on holiday. </w:t>
            </w:r>
          </w:p>
        </w:tc>
      </w:tr>
      <w:tr w:rsidR="00A42EF0" w:rsidRPr="00C70D1D" w14:paraId="183483D9"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6A20F3B" w14:textId="77777777" w:rsidR="00A42EF0" w:rsidRPr="00B17041" w:rsidRDefault="00A42EF0" w:rsidP="00A42EF0">
            <w:pPr>
              <w:rPr>
                <w:b w:val="0"/>
              </w:rPr>
            </w:pPr>
            <w:r w:rsidRPr="00B17041">
              <w:t>Cardiac monitoring to screen for atrial fibrillation/serious cardiac arrhythmias. To be performed for at least the first 24 hours.</w:t>
            </w:r>
          </w:p>
        </w:tc>
        <w:tc>
          <w:tcPr>
            <w:tcW w:w="2127" w:type="dxa"/>
          </w:tcPr>
          <w:p w14:paraId="522F197B"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 xml:space="preserve">34 (68%) had an ECG </w:t>
            </w:r>
          </w:p>
          <w:p w14:paraId="73F175B9"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 xml:space="preserve">7/34 had it on the first day of admission </w:t>
            </w:r>
          </w:p>
        </w:tc>
        <w:tc>
          <w:tcPr>
            <w:tcW w:w="3402" w:type="dxa"/>
          </w:tcPr>
          <w:p w14:paraId="113E2595"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ECG is usually performed by one officer within the medical department who has other duties as well. No prolonged cardiac monitoring is done.</w:t>
            </w:r>
          </w:p>
        </w:tc>
      </w:tr>
      <w:tr w:rsidR="00A42EF0" w:rsidRPr="00C70D1D" w14:paraId="4ACF5397" w14:textId="77777777" w:rsidTr="00A42EF0">
        <w:tc>
          <w:tcPr>
            <w:cnfStyle w:val="001000000000" w:firstRow="0" w:lastRow="0" w:firstColumn="1" w:lastColumn="0" w:oddVBand="0" w:evenVBand="0" w:oddHBand="0" w:evenHBand="0" w:firstRowFirstColumn="0" w:firstRowLastColumn="0" w:lastRowFirstColumn="0" w:lastRowLastColumn="0"/>
            <w:tcW w:w="3402" w:type="dxa"/>
          </w:tcPr>
          <w:p w14:paraId="31B2D095" w14:textId="626AF31E" w:rsidR="00A42EF0" w:rsidRPr="00B17041" w:rsidRDefault="00853589" w:rsidP="00A42EF0">
            <w:pPr>
              <w:rPr>
                <w:b w:val="0"/>
              </w:rPr>
            </w:pPr>
            <w:r w:rsidRPr="00C70D1D">
              <w:rPr>
                <w:b w:val="0"/>
              </w:rPr>
              <w:t>Diabetes screening (Hb</w:t>
            </w:r>
            <w:r w:rsidR="00A42EF0" w:rsidRPr="00B17041">
              <w:t>A</w:t>
            </w:r>
            <w:r w:rsidRPr="00C70D1D">
              <w:rPr>
                <w:b w:val="0"/>
              </w:rPr>
              <w:t>1</w:t>
            </w:r>
            <w:r w:rsidR="00A42EF0" w:rsidRPr="00B17041">
              <w:t>c usage recommended).</w:t>
            </w:r>
          </w:p>
        </w:tc>
        <w:tc>
          <w:tcPr>
            <w:tcW w:w="2127" w:type="dxa"/>
          </w:tcPr>
          <w:p w14:paraId="33F8B92C"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Not done</w:t>
            </w:r>
          </w:p>
        </w:tc>
        <w:tc>
          <w:tcPr>
            <w:tcW w:w="3402" w:type="dxa"/>
          </w:tcPr>
          <w:p w14:paraId="67E4AD0A"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QECH rely on RBS for diabetes screening.</w:t>
            </w:r>
          </w:p>
        </w:tc>
      </w:tr>
      <w:tr w:rsidR="00A42EF0" w:rsidRPr="00C70D1D" w14:paraId="661F0BBA"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EC6A478" w14:textId="10539CB3" w:rsidR="00A42EF0" w:rsidRPr="00B17041" w:rsidRDefault="00A42EF0" w:rsidP="00A42EF0">
            <w:pPr>
              <w:rPr>
                <w:b w:val="0"/>
              </w:rPr>
            </w:pPr>
            <w:r w:rsidRPr="00B17041">
              <w:t>High-dose statin therapy should be initiated or continued as first-line therapy in women and men ≤75 years</w:t>
            </w:r>
            <w:r w:rsidR="00FB66F1" w:rsidRPr="00C70D1D">
              <w:rPr>
                <w:b w:val="0"/>
              </w:rPr>
              <w:t xml:space="preserve"> of age who have clinical </w:t>
            </w:r>
            <w:proofErr w:type="spellStart"/>
            <w:r w:rsidR="00FB66F1" w:rsidRPr="00C70D1D">
              <w:rPr>
                <w:b w:val="0"/>
              </w:rPr>
              <w:t>ASCVD</w:t>
            </w:r>
            <w:r w:rsidR="00FB66F1" w:rsidRPr="00B17041">
              <w:rPr>
                <w:vertAlign w:val="superscript"/>
              </w:rPr>
              <w:t>a</w:t>
            </w:r>
            <w:proofErr w:type="spellEnd"/>
            <w:r w:rsidRPr="00B17041">
              <w:t xml:space="preserve"> unless contraindicated.</w:t>
            </w:r>
          </w:p>
        </w:tc>
        <w:tc>
          <w:tcPr>
            <w:tcW w:w="2127" w:type="dxa"/>
          </w:tcPr>
          <w:p w14:paraId="75A0568C"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4% were prescribed statins</w:t>
            </w:r>
          </w:p>
        </w:tc>
        <w:tc>
          <w:tcPr>
            <w:tcW w:w="3402" w:type="dxa"/>
          </w:tcPr>
          <w:p w14:paraId="23253997"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QECH pharmacy does not stock statins. Patients had to purchase these drugs from private pharmacies.</w:t>
            </w:r>
          </w:p>
        </w:tc>
      </w:tr>
      <w:tr w:rsidR="00A42EF0" w:rsidRPr="00C70D1D" w14:paraId="1DA70BE7" w14:textId="77777777" w:rsidTr="00A42EF0">
        <w:tc>
          <w:tcPr>
            <w:cnfStyle w:val="001000000000" w:firstRow="0" w:lastRow="0" w:firstColumn="1" w:lastColumn="0" w:oddVBand="0" w:evenVBand="0" w:oddHBand="0" w:evenHBand="0" w:firstRowFirstColumn="0" w:firstRowLastColumn="0" w:lastRowFirstColumn="0" w:lastRowLastColumn="0"/>
            <w:tcW w:w="3402" w:type="dxa"/>
          </w:tcPr>
          <w:p w14:paraId="5011CF69" w14:textId="77777777" w:rsidR="00A42EF0" w:rsidRPr="00B17041" w:rsidRDefault="00A42EF0" w:rsidP="00A42EF0">
            <w:pPr>
              <w:rPr>
                <w:b w:val="0"/>
              </w:rPr>
            </w:pPr>
            <w:r w:rsidRPr="00B17041">
              <w:t xml:space="preserve">In-hospital counselling for smoking cessation. </w:t>
            </w:r>
          </w:p>
        </w:tc>
        <w:tc>
          <w:tcPr>
            <w:tcW w:w="2127" w:type="dxa"/>
          </w:tcPr>
          <w:p w14:paraId="564EDE1D"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Not done</w:t>
            </w:r>
          </w:p>
        </w:tc>
        <w:tc>
          <w:tcPr>
            <w:tcW w:w="3402" w:type="dxa"/>
          </w:tcPr>
          <w:p w14:paraId="2AABD8C0"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Not formally done. Some clinicians would discuss it with patients while doing rounds.</w:t>
            </w:r>
          </w:p>
        </w:tc>
      </w:tr>
      <w:tr w:rsidR="00A42EF0" w:rsidRPr="00C70D1D" w14:paraId="6C991469"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C8061B4" w14:textId="77777777" w:rsidR="00A42EF0" w:rsidRPr="00B17041" w:rsidRDefault="00A42EF0" w:rsidP="00A42EF0">
            <w:pPr>
              <w:rPr>
                <w:b w:val="0"/>
              </w:rPr>
            </w:pPr>
            <w:r w:rsidRPr="00B17041">
              <w:t xml:space="preserve">Patient education about stroke is recommended. </w:t>
            </w:r>
          </w:p>
        </w:tc>
        <w:tc>
          <w:tcPr>
            <w:tcW w:w="2127" w:type="dxa"/>
          </w:tcPr>
          <w:p w14:paraId="5431067D"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32% had stroke education</w:t>
            </w:r>
          </w:p>
        </w:tc>
        <w:tc>
          <w:tcPr>
            <w:tcW w:w="3402" w:type="dxa"/>
          </w:tcPr>
          <w:p w14:paraId="77D2C9EA"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Medical students/student nurses were mostly involved with patients that received education. Not a structured education.</w:t>
            </w:r>
          </w:p>
        </w:tc>
      </w:tr>
    </w:tbl>
    <w:p w14:paraId="47B0EA78" w14:textId="4F1D4A62" w:rsidR="00A42EF0" w:rsidRPr="00C70D1D" w:rsidRDefault="00A42EF0" w:rsidP="00A42EF0">
      <w:r w:rsidRPr="00B17041">
        <w:lastRenderedPageBreak/>
        <w:t>AI</w:t>
      </w:r>
      <w:bookmarkStart w:id="28" w:name="_GoBack"/>
      <w:bookmarkEnd w:id="28"/>
      <w:r w:rsidRPr="00B17041">
        <w:t>S</w:t>
      </w:r>
      <w:r w:rsidR="00E73403" w:rsidRPr="00C70D1D">
        <w:t>,</w:t>
      </w:r>
      <w:r w:rsidRPr="00B17041">
        <w:t xml:space="preserve"> acute ischaemic stroke; </w:t>
      </w:r>
      <w:r w:rsidR="00F17F4B" w:rsidRPr="00C70D1D">
        <w:t xml:space="preserve">AHA, </w:t>
      </w:r>
      <w:r w:rsidR="00F17F4B" w:rsidRPr="00C70D1D">
        <w:rPr>
          <w:rFonts w:cstheme="minorHAnsi"/>
          <w:bCs/>
        </w:rPr>
        <w:t xml:space="preserve">American Heart Association; ASA, American Stroke Association; </w:t>
      </w:r>
      <w:r w:rsidRPr="00B17041">
        <w:t>ASCVD</w:t>
      </w:r>
      <w:r w:rsidR="00E73403" w:rsidRPr="00C70D1D">
        <w:t>,</w:t>
      </w:r>
      <w:r w:rsidR="00F17F4B" w:rsidRPr="00C70D1D">
        <w:t xml:space="preserve"> atherosclerotic cardiovascular disease</w:t>
      </w:r>
      <w:r w:rsidRPr="00B17041">
        <w:t>; BP</w:t>
      </w:r>
      <w:r w:rsidR="00E73403" w:rsidRPr="00C70D1D">
        <w:t>,</w:t>
      </w:r>
      <w:r w:rsidRPr="00B17041">
        <w:t xml:space="preserve"> blood pressure; DVT</w:t>
      </w:r>
      <w:r w:rsidR="00E73403" w:rsidRPr="00C70D1D">
        <w:t>,</w:t>
      </w:r>
      <w:r w:rsidR="00853589" w:rsidRPr="00C70D1D">
        <w:t xml:space="preserve"> deep venous thrombosis; </w:t>
      </w:r>
      <w:r w:rsidR="00C70D1D">
        <w:t xml:space="preserve">ECG, electrocardiogram; </w:t>
      </w:r>
      <w:r w:rsidR="00FB66F1" w:rsidRPr="00C70D1D">
        <w:t xml:space="preserve">FBC, full blood count; </w:t>
      </w:r>
      <w:r w:rsidR="00853589" w:rsidRPr="00C70D1D">
        <w:t>Hb</w:t>
      </w:r>
      <w:r w:rsidRPr="00B17041">
        <w:t>A</w:t>
      </w:r>
      <w:r w:rsidR="00853589" w:rsidRPr="00C70D1D">
        <w:t>1</w:t>
      </w:r>
      <w:r w:rsidRPr="00B17041">
        <w:t>c</w:t>
      </w:r>
      <w:r w:rsidR="00E73403" w:rsidRPr="00C70D1D">
        <w:t>,</w:t>
      </w:r>
      <w:r w:rsidRPr="00B17041">
        <w:rPr>
          <w:rFonts w:ascii="Arial" w:hAnsi="Arial" w:cs="Arial"/>
          <w:spacing w:val="7"/>
        </w:rPr>
        <w:t xml:space="preserve"> </w:t>
      </w:r>
      <w:r w:rsidRPr="00B17041">
        <w:t xml:space="preserve">glycated haemoglobin; </w:t>
      </w:r>
      <w:r w:rsidR="00853589" w:rsidRPr="00C70D1D">
        <w:t xml:space="preserve">HDU, high dependency unit; </w:t>
      </w:r>
      <w:r w:rsidRPr="00B17041">
        <w:t>LMWH</w:t>
      </w:r>
      <w:r w:rsidR="00E73403" w:rsidRPr="00C70D1D">
        <w:t>, l</w:t>
      </w:r>
      <w:r w:rsidRPr="00B17041">
        <w:t>ow molecular weight heparin; NCCT</w:t>
      </w:r>
      <w:r w:rsidR="00E73403" w:rsidRPr="00C70D1D">
        <w:t>,</w:t>
      </w:r>
      <w:r w:rsidRPr="00B17041">
        <w:t xml:space="preserve"> non-contrast CT; NGT</w:t>
      </w:r>
      <w:r w:rsidR="00E73403" w:rsidRPr="00C70D1D">
        <w:t>,</w:t>
      </w:r>
      <w:r w:rsidRPr="00B17041">
        <w:t xml:space="preserve"> nasogastric tubes; NIHSS</w:t>
      </w:r>
      <w:r w:rsidR="00E73403" w:rsidRPr="00C70D1D">
        <w:t>,</w:t>
      </w:r>
      <w:r w:rsidRPr="00B17041">
        <w:t xml:space="preserve"> National Insti</w:t>
      </w:r>
      <w:r w:rsidR="00E73403" w:rsidRPr="00C70D1D">
        <w:t>tutes of Health Stroke Scale</w:t>
      </w:r>
      <w:r w:rsidR="00853589" w:rsidRPr="00C70D1D">
        <w:t xml:space="preserve">; QECH, </w:t>
      </w:r>
      <w:r w:rsidR="00F17F4B" w:rsidRPr="00C70D1D">
        <w:t>Queen Elizabeth Central Hospital; RBS, random blood sugar</w:t>
      </w:r>
      <w:r w:rsidR="00E73403" w:rsidRPr="00C70D1D">
        <w:t>.</w:t>
      </w:r>
    </w:p>
    <w:p w14:paraId="04289F8E" w14:textId="6F08FF68" w:rsidR="00A42EF0" w:rsidRPr="00C70D1D" w:rsidRDefault="00FB66F1" w:rsidP="00A42EF0">
      <w:proofErr w:type="spellStart"/>
      <w:r w:rsidRPr="00B17041">
        <w:rPr>
          <w:vertAlign w:val="superscript"/>
        </w:rPr>
        <w:t>a</w:t>
      </w:r>
      <w:r w:rsidRPr="00C70D1D">
        <w:t>Clinical</w:t>
      </w:r>
      <w:proofErr w:type="spellEnd"/>
      <w:r w:rsidRPr="00C70D1D">
        <w:t xml:space="preserve"> ASCVD: acute coronary syndromes, history of myocardial infarction, stable or unstable angina, coronary or other arterial revascularisation, stroke, transient ischaemic attack (TIA), or peripheral arterial disease presumed to be of atherosclerotic origin.</w:t>
      </w:r>
    </w:p>
    <w:p w14:paraId="257DB406" w14:textId="47C29D43" w:rsidR="00A42EF0" w:rsidRPr="00C70D1D" w:rsidRDefault="00E73403" w:rsidP="00A42EF0">
      <w:pPr>
        <w:rPr>
          <w:b/>
        </w:rPr>
      </w:pPr>
      <w:r w:rsidRPr="00C70D1D">
        <w:rPr>
          <w:b/>
        </w:rPr>
        <w:t>Table 3.</w:t>
      </w:r>
      <w:r w:rsidR="00A42EF0" w:rsidRPr="00C70D1D">
        <w:rPr>
          <w:b/>
        </w:rPr>
        <w:t xml:space="preserve"> Overview of the essential stroke service available at QECH according to the World Stroke Organisation roadmap</w:t>
      </w:r>
    </w:p>
    <w:tbl>
      <w:tblPr>
        <w:tblStyle w:val="PlainTable3"/>
        <w:tblW w:w="0" w:type="auto"/>
        <w:tblLook w:val="04A0" w:firstRow="1" w:lastRow="0" w:firstColumn="1" w:lastColumn="0" w:noHBand="0" w:noVBand="1"/>
      </w:tblPr>
      <w:tblGrid>
        <w:gridCol w:w="4508"/>
        <w:gridCol w:w="4508"/>
      </w:tblGrid>
      <w:tr w:rsidR="00A42EF0" w:rsidRPr="00C70D1D" w14:paraId="7B5C76BD" w14:textId="77777777" w:rsidTr="00A42E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14:paraId="62700ED0" w14:textId="6F593B10" w:rsidR="00A42EF0" w:rsidRPr="00B17041" w:rsidRDefault="00E73403" w:rsidP="00A42EF0">
            <w:r w:rsidRPr="00C70D1D">
              <w:rPr>
                <w:caps w:val="0"/>
              </w:rPr>
              <w:t>Component of acute stroke care/ service required</w:t>
            </w:r>
          </w:p>
        </w:tc>
        <w:tc>
          <w:tcPr>
            <w:tcW w:w="4508" w:type="dxa"/>
          </w:tcPr>
          <w:p w14:paraId="7FF52A15" w14:textId="16D84F7C" w:rsidR="00A42EF0" w:rsidRPr="00B17041" w:rsidRDefault="00E73403" w:rsidP="00A42EF0">
            <w:pPr>
              <w:cnfStyle w:val="100000000000" w:firstRow="1" w:lastRow="0" w:firstColumn="0" w:lastColumn="0" w:oddVBand="0" w:evenVBand="0" w:oddHBand="0" w:evenHBand="0" w:firstRowFirstColumn="0" w:firstRowLastColumn="0" w:lastRowFirstColumn="0" w:lastRowLastColumn="0"/>
            </w:pPr>
            <w:r w:rsidRPr="00C70D1D">
              <w:rPr>
                <w:caps w:val="0"/>
              </w:rPr>
              <w:t>Service availability</w:t>
            </w:r>
          </w:p>
        </w:tc>
      </w:tr>
      <w:tr w:rsidR="00A42EF0" w:rsidRPr="00C70D1D" w14:paraId="43B7642C"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25442E77" w14:textId="77777777" w:rsidR="00A42EF0" w:rsidRPr="00B17041" w:rsidRDefault="00A42EF0" w:rsidP="00A42EF0">
            <w:pPr>
              <w:rPr>
                <w:b w:val="0"/>
              </w:rPr>
            </w:pPr>
            <w:r w:rsidRPr="00B17041">
              <w:t>Access to basic diagnostic services</w:t>
            </w:r>
          </w:p>
        </w:tc>
      </w:tr>
      <w:tr w:rsidR="00A42EF0" w:rsidRPr="00C70D1D" w14:paraId="6DFA8297"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6D8AB6C3" w14:textId="77777777" w:rsidR="00A42EF0" w:rsidRPr="00B17041" w:rsidRDefault="00A42EF0" w:rsidP="00B17041">
            <w:pPr>
              <w:ind w:left="284"/>
              <w:rPr>
                <w:b w:val="0"/>
              </w:rPr>
            </w:pPr>
            <w:r w:rsidRPr="00B17041">
              <w:rPr>
                <w:color w:val="7B7B7B" w:themeColor="accent3" w:themeShade="BF"/>
              </w:rPr>
              <w:t>Laboratory</w:t>
            </w:r>
            <w:r w:rsidRPr="00B17041">
              <w:t xml:space="preserve"> blood test</w:t>
            </w:r>
          </w:p>
        </w:tc>
        <w:tc>
          <w:tcPr>
            <w:tcW w:w="4508" w:type="dxa"/>
          </w:tcPr>
          <w:p w14:paraId="7D923B51"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1</w:t>
            </w:r>
          </w:p>
        </w:tc>
      </w:tr>
      <w:tr w:rsidR="00A42EF0" w:rsidRPr="00C70D1D" w14:paraId="51D11F1D"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E70D7E9" w14:textId="591E9379" w:rsidR="00A42EF0" w:rsidRPr="00B17041" w:rsidRDefault="00E73403" w:rsidP="00B17041">
            <w:pPr>
              <w:ind w:left="284"/>
              <w:rPr>
                <w:b w:val="0"/>
              </w:rPr>
            </w:pPr>
            <w:r w:rsidRPr="00C70D1D">
              <w:rPr>
                <w:b w:val="0"/>
                <w:caps w:val="0"/>
              </w:rPr>
              <w:t xml:space="preserve">Computed </w:t>
            </w:r>
            <w:proofErr w:type="spellStart"/>
            <w:r w:rsidRPr="00C70D1D">
              <w:rPr>
                <w:b w:val="0"/>
                <w:caps w:val="0"/>
              </w:rPr>
              <w:t>t</w:t>
            </w:r>
            <w:r w:rsidR="00A42EF0" w:rsidRPr="00B17041">
              <w:t>omography</w:t>
            </w:r>
            <w:proofErr w:type="spellEnd"/>
            <w:r w:rsidR="00A42EF0" w:rsidRPr="00B17041">
              <w:t xml:space="preserve"> (CT)</w:t>
            </w:r>
          </w:p>
        </w:tc>
        <w:tc>
          <w:tcPr>
            <w:tcW w:w="4508" w:type="dxa"/>
          </w:tcPr>
          <w:p w14:paraId="0A17E5A2"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0</w:t>
            </w:r>
          </w:p>
        </w:tc>
      </w:tr>
      <w:tr w:rsidR="00A42EF0" w:rsidRPr="00C70D1D" w14:paraId="65C1A330"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5EA37C44" w14:textId="77777777" w:rsidR="00A42EF0" w:rsidRPr="00B17041" w:rsidRDefault="00A42EF0" w:rsidP="00B17041">
            <w:pPr>
              <w:ind w:left="284"/>
              <w:rPr>
                <w:b w:val="0"/>
              </w:rPr>
            </w:pPr>
            <w:r w:rsidRPr="00B17041">
              <w:t>Electrocardiogram (12 lead)</w:t>
            </w:r>
          </w:p>
        </w:tc>
        <w:tc>
          <w:tcPr>
            <w:tcW w:w="4508" w:type="dxa"/>
          </w:tcPr>
          <w:p w14:paraId="40E329A6"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 xml:space="preserve">1 </w:t>
            </w:r>
          </w:p>
        </w:tc>
      </w:tr>
      <w:tr w:rsidR="00A42EF0" w:rsidRPr="00C70D1D" w14:paraId="30E22A46"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09E5921" w14:textId="77777777" w:rsidR="00A42EF0" w:rsidRPr="00B17041" w:rsidRDefault="00A42EF0" w:rsidP="00B17041">
            <w:pPr>
              <w:ind w:left="284"/>
              <w:rPr>
                <w:b w:val="0"/>
              </w:rPr>
            </w:pPr>
            <w:r w:rsidRPr="00B17041">
              <w:t>CTA</w:t>
            </w:r>
          </w:p>
        </w:tc>
        <w:tc>
          <w:tcPr>
            <w:tcW w:w="4508" w:type="dxa"/>
          </w:tcPr>
          <w:p w14:paraId="65CE2805"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0</w:t>
            </w:r>
          </w:p>
        </w:tc>
      </w:tr>
      <w:tr w:rsidR="00A42EF0" w:rsidRPr="00C70D1D" w14:paraId="0DA32B34"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6F7C8CD4" w14:textId="77777777" w:rsidR="00A42EF0" w:rsidRPr="00B17041" w:rsidRDefault="00A42EF0" w:rsidP="00B17041">
            <w:pPr>
              <w:ind w:left="284"/>
              <w:rPr>
                <w:b w:val="0"/>
              </w:rPr>
            </w:pPr>
            <w:r w:rsidRPr="00B17041">
              <w:t>Doppler ultrasound</w:t>
            </w:r>
          </w:p>
        </w:tc>
        <w:tc>
          <w:tcPr>
            <w:tcW w:w="4508" w:type="dxa"/>
          </w:tcPr>
          <w:p w14:paraId="18339336"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0</w:t>
            </w:r>
          </w:p>
        </w:tc>
      </w:tr>
      <w:tr w:rsidR="00A42EF0" w:rsidRPr="00C70D1D" w14:paraId="3D8C8BC7"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7BD204A" w14:textId="77777777" w:rsidR="00A42EF0" w:rsidRPr="00B17041" w:rsidRDefault="00A42EF0" w:rsidP="00A42EF0">
            <w:pPr>
              <w:rPr>
                <w:b w:val="0"/>
              </w:rPr>
            </w:pPr>
            <w:r w:rsidRPr="00B17041">
              <w:t xml:space="preserve">Access to stroke trained health professionals </w:t>
            </w:r>
          </w:p>
        </w:tc>
      </w:tr>
      <w:tr w:rsidR="00A42EF0" w:rsidRPr="00C70D1D" w14:paraId="75CAE9D4"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53DB236A" w14:textId="77777777" w:rsidR="00A42EF0" w:rsidRPr="00B17041" w:rsidRDefault="00A42EF0" w:rsidP="00B17041">
            <w:pPr>
              <w:ind w:left="284"/>
              <w:rPr>
                <w:b w:val="0"/>
              </w:rPr>
            </w:pPr>
            <w:r w:rsidRPr="00B17041">
              <w:t>Access to nurses</w:t>
            </w:r>
          </w:p>
        </w:tc>
        <w:tc>
          <w:tcPr>
            <w:tcW w:w="4508" w:type="dxa"/>
          </w:tcPr>
          <w:p w14:paraId="18EA7659"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1</w:t>
            </w:r>
          </w:p>
        </w:tc>
      </w:tr>
      <w:tr w:rsidR="00A42EF0" w:rsidRPr="00C70D1D" w14:paraId="44E9CFFD"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4795E62" w14:textId="77777777" w:rsidR="00A42EF0" w:rsidRPr="00B17041" w:rsidRDefault="00A42EF0" w:rsidP="00B17041">
            <w:pPr>
              <w:ind w:left="284"/>
              <w:rPr>
                <w:b w:val="0"/>
              </w:rPr>
            </w:pPr>
            <w:r w:rsidRPr="00B17041">
              <w:t>Neurologists</w:t>
            </w:r>
          </w:p>
        </w:tc>
        <w:tc>
          <w:tcPr>
            <w:tcW w:w="4508" w:type="dxa"/>
          </w:tcPr>
          <w:p w14:paraId="3F268C86"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w:t>
            </w:r>
          </w:p>
        </w:tc>
      </w:tr>
      <w:tr w:rsidR="00A42EF0" w:rsidRPr="00C70D1D" w14:paraId="6D57F6FF"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58DCF88C" w14:textId="77777777" w:rsidR="00A42EF0" w:rsidRPr="00B17041" w:rsidRDefault="00A42EF0" w:rsidP="00B17041">
            <w:pPr>
              <w:ind w:left="284"/>
              <w:rPr>
                <w:b w:val="0"/>
              </w:rPr>
            </w:pPr>
            <w:r w:rsidRPr="00B17041">
              <w:t>Neurosurgeon</w:t>
            </w:r>
          </w:p>
        </w:tc>
        <w:tc>
          <w:tcPr>
            <w:tcW w:w="4508" w:type="dxa"/>
          </w:tcPr>
          <w:p w14:paraId="3037F252"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1</w:t>
            </w:r>
          </w:p>
        </w:tc>
      </w:tr>
      <w:tr w:rsidR="00A42EF0" w:rsidRPr="00C70D1D" w14:paraId="2737AA83"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2AB9237" w14:textId="77777777" w:rsidR="00A42EF0" w:rsidRPr="00B17041" w:rsidRDefault="00A42EF0" w:rsidP="00B17041">
            <w:pPr>
              <w:ind w:left="284"/>
              <w:rPr>
                <w:b w:val="0"/>
              </w:rPr>
            </w:pPr>
            <w:r w:rsidRPr="00B17041">
              <w:t>Stroke physician</w:t>
            </w:r>
          </w:p>
        </w:tc>
        <w:tc>
          <w:tcPr>
            <w:tcW w:w="4508" w:type="dxa"/>
          </w:tcPr>
          <w:p w14:paraId="6B15324D"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0</w:t>
            </w:r>
          </w:p>
        </w:tc>
      </w:tr>
      <w:tr w:rsidR="00A42EF0" w:rsidRPr="00C70D1D" w14:paraId="6F36521A"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1D9524DB" w14:textId="77777777" w:rsidR="00A42EF0" w:rsidRPr="00B17041" w:rsidRDefault="00A42EF0" w:rsidP="00B17041">
            <w:pPr>
              <w:ind w:left="284"/>
              <w:rPr>
                <w:b w:val="0"/>
              </w:rPr>
            </w:pPr>
            <w:r w:rsidRPr="00B17041">
              <w:t>Physician specialist</w:t>
            </w:r>
          </w:p>
        </w:tc>
        <w:tc>
          <w:tcPr>
            <w:tcW w:w="4508" w:type="dxa"/>
          </w:tcPr>
          <w:p w14:paraId="7DB3A10C"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1</w:t>
            </w:r>
          </w:p>
        </w:tc>
      </w:tr>
      <w:tr w:rsidR="00A42EF0" w:rsidRPr="00C70D1D" w14:paraId="33AA2C4A"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1F89C52" w14:textId="77777777" w:rsidR="00A42EF0" w:rsidRPr="00B17041" w:rsidRDefault="00A42EF0" w:rsidP="00B17041">
            <w:pPr>
              <w:ind w:left="284"/>
              <w:rPr>
                <w:b w:val="0"/>
              </w:rPr>
            </w:pPr>
            <w:r w:rsidRPr="00B17041">
              <w:t>Access to stroke specialists through telestroke modalities and teleradiology</w:t>
            </w:r>
          </w:p>
        </w:tc>
        <w:tc>
          <w:tcPr>
            <w:tcW w:w="4508" w:type="dxa"/>
          </w:tcPr>
          <w:p w14:paraId="0991A66C"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w:t>
            </w:r>
          </w:p>
        </w:tc>
      </w:tr>
      <w:tr w:rsidR="00A42EF0" w:rsidRPr="00C70D1D" w14:paraId="07FAC23A" w14:textId="77777777" w:rsidTr="00A42EF0">
        <w:tc>
          <w:tcPr>
            <w:cnfStyle w:val="001000000000" w:firstRow="0" w:lastRow="0" w:firstColumn="1" w:lastColumn="0" w:oddVBand="0" w:evenVBand="0" w:oddHBand="0" w:evenHBand="0" w:firstRowFirstColumn="0" w:firstRowLastColumn="0" w:lastRowFirstColumn="0" w:lastRowLastColumn="0"/>
            <w:tcW w:w="9016" w:type="dxa"/>
            <w:gridSpan w:val="2"/>
          </w:tcPr>
          <w:p w14:paraId="2271EF6C" w14:textId="77777777" w:rsidR="00A42EF0" w:rsidRPr="00B17041" w:rsidRDefault="00A42EF0" w:rsidP="00A42EF0">
            <w:pPr>
              <w:rPr>
                <w:b w:val="0"/>
              </w:rPr>
            </w:pPr>
            <w:r w:rsidRPr="00B17041">
              <w:t xml:space="preserve">Access to acute inpatient stroke care, where admitted patients are treated </w:t>
            </w:r>
          </w:p>
        </w:tc>
      </w:tr>
      <w:tr w:rsidR="00A42EF0" w:rsidRPr="00C70D1D" w14:paraId="4FD34A04"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9F9E331" w14:textId="77777777" w:rsidR="00A42EF0" w:rsidRPr="00B17041" w:rsidRDefault="00A42EF0" w:rsidP="00B17041">
            <w:pPr>
              <w:ind w:left="284"/>
              <w:rPr>
                <w:b w:val="0"/>
              </w:rPr>
            </w:pPr>
            <w:r w:rsidRPr="00B17041">
              <w:t>Stroke unit</w:t>
            </w:r>
          </w:p>
        </w:tc>
        <w:tc>
          <w:tcPr>
            <w:tcW w:w="4508" w:type="dxa"/>
          </w:tcPr>
          <w:p w14:paraId="428DAA83"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0</w:t>
            </w:r>
          </w:p>
        </w:tc>
      </w:tr>
      <w:tr w:rsidR="00A42EF0" w:rsidRPr="00C70D1D" w14:paraId="610A00E3"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77CB60E7" w14:textId="77777777" w:rsidR="00A42EF0" w:rsidRPr="00B17041" w:rsidRDefault="00A42EF0" w:rsidP="00B17041">
            <w:pPr>
              <w:ind w:left="284"/>
              <w:rPr>
                <w:b w:val="0"/>
              </w:rPr>
            </w:pPr>
            <w:r w:rsidRPr="00B17041">
              <w:t>Scattered throughout hospital</w:t>
            </w:r>
          </w:p>
        </w:tc>
        <w:tc>
          <w:tcPr>
            <w:tcW w:w="4508" w:type="dxa"/>
          </w:tcPr>
          <w:p w14:paraId="50517BDF"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1</w:t>
            </w:r>
          </w:p>
        </w:tc>
      </w:tr>
      <w:tr w:rsidR="00A42EF0" w:rsidRPr="00C70D1D" w14:paraId="052EEE04"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7D0ED5D" w14:textId="77777777" w:rsidR="00A42EF0" w:rsidRPr="00B17041" w:rsidRDefault="00A42EF0" w:rsidP="00A42EF0">
            <w:pPr>
              <w:rPr>
                <w:b w:val="0"/>
              </w:rPr>
            </w:pPr>
            <w:r w:rsidRPr="00B17041">
              <w:t>Protocols to guide acute stroke care based on best practice guidelines</w:t>
            </w:r>
          </w:p>
        </w:tc>
      </w:tr>
      <w:tr w:rsidR="00A42EF0" w:rsidRPr="00C70D1D" w14:paraId="5054479F"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746DD223" w14:textId="77777777" w:rsidR="00A42EF0" w:rsidRPr="00B17041" w:rsidRDefault="00A42EF0" w:rsidP="00B17041">
            <w:pPr>
              <w:ind w:left="284"/>
              <w:rPr>
                <w:b w:val="0"/>
              </w:rPr>
            </w:pPr>
            <w:r w:rsidRPr="00B17041">
              <w:t>Medical and nursing assessments</w:t>
            </w:r>
          </w:p>
        </w:tc>
        <w:tc>
          <w:tcPr>
            <w:tcW w:w="4508" w:type="dxa"/>
          </w:tcPr>
          <w:p w14:paraId="34237BE1"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0</w:t>
            </w:r>
          </w:p>
        </w:tc>
      </w:tr>
      <w:tr w:rsidR="00A42EF0" w:rsidRPr="00C70D1D" w14:paraId="1A47918E"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C4C7348" w14:textId="77777777" w:rsidR="00A42EF0" w:rsidRPr="00B17041" w:rsidRDefault="00A42EF0" w:rsidP="00B17041">
            <w:pPr>
              <w:ind w:left="284"/>
              <w:rPr>
                <w:b w:val="0"/>
              </w:rPr>
            </w:pPr>
            <w:r w:rsidRPr="00B17041">
              <w:t>Swallow screen</w:t>
            </w:r>
          </w:p>
        </w:tc>
        <w:tc>
          <w:tcPr>
            <w:tcW w:w="4508" w:type="dxa"/>
          </w:tcPr>
          <w:p w14:paraId="2BEF66CD"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0</w:t>
            </w:r>
          </w:p>
        </w:tc>
      </w:tr>
      <w:tr w:rsidR="00A42EF0" w:rsidRPr="00C70D1D" w14:paraId="27082538"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46A7A836" w14:textId="77777777" w:rsidR="00A42EF0" w:rsidRPr="00B17041" w:rsidRDefault="00A42EF0" w:rsidP="00B17041">
            <w:pPr>
              <w:ind w:left="284"/>
              <w:rPr>
                <w:b w:val="0"/>
              </w:rPr>
            </w:pPr>
            <w:r w:rsidRPr="00B17041">
              <w:t>Bladder and bowel continence</w:t>
            </w:r>
          </w:p>
        </w:tc>
        <w:tc>
          <w:tcPr>
            <w:tcW w:w="4508" w:type="dxa"/>
          </w:tcPr>
          <w:p w14:paraId="28ECFF3A"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0</w:t>
            </w:r>
          </w:p>
        </w:tc>
      </w:tr>
      <w:tr w:rsidR="00A42EF0" w:rsidRPr="00C70D1D" w14:paraId="41AAD1B5"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E88A451" w14:textId="77777777" w:rsidR="00A42EF0" w:rsidRPr="00B17041" w:rsidRDefault="00A42EF0" w:rsidP="00B17041">
            <w:pPr>
              <w:ind w:left="284"/>
              <w:rPr>
                <w:b w:val="0"/>
              </w:rPr>
            </w:pPr>
            <w:r w:rsidRPr="00B17041">
              <w:t>Severity scoring (NIHSS)</w:t>
            </w:r>
          </w:p>
        </w:tc>
        <w:tc>
          <w:tcPr>
            <w:tcW w:w="4508" w:type="dxa"/>
          </w:tcPr>
          <w:p w14:paraId="5B14A27F"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0</w:t>
            </w:r>
          </w:p>
        </w:tc>
      </w:tr>
      <w:tr w:rsidR="00A42EF0" w:rsidRPr="00C70D1D" w14:paraId="64DF1249"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513BD1FD" w14:textId="77777777" w:rsidR="00A42EF0" w:rsidRPr="00B17041" w:rsidRDefault="00A42EF0" w:rsidP="00B17041">
            <w:pPr>
              <w:ind w:left="284"/>
              <w:rPr>
                <w:b w:val="0"/>
              </w:rPr>
            </w:pPr>
            <w:r w:rsidRPr="00B17041">
              <w:t>Skin integrity, DVT risk, mobility</w:t>
            </w:r>
          </w:p>
        </w:tc>
        <w:tc>
          <w:tcPr>
            <w:tcW w:w="4508" w:type="dxa"/>
          </w:tcPr>
          <w:p w14:paraId="7EF3AA74"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0</w:t>
            </w:r>
          </w:p>
        </w:tc>
      </w:tr>
      <w:tr w:rsidR="00A42EF0" w:rsidRPr="00C70D1D" w14:paraId="792B043B"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CCD54F5" w14:textId="77777777" w:rsidR="00A42EF0" w:rsidRPr="00B17041" w:rsidRDefault="00A42EF0" w:rsidP="00A42EF0">
            <w:pPr>
              <w:rPr>
                <w:b w:val="0"/>
              </w:rPr>
            </w:pPr>
            <w:r w:rsidRPr="00B17041">
              <w:t>Interdisciplinary meetings weekly</w:t>
            </w:r>
          </w:p>
        </w:tc>
        <w:tc>
          <w:tcPr>
            <w:tcW w:w="4508" w:type="dxa"/>
          </w:tcPr>
          <w:p w14:paraId="4C411E0F"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0</w:t>
            </w:r>
          </w:p>
        </w:tc>
      </w:tr>
      <w:tr w:rsidR="00A42EF0" w:rsidRPr="00C70D1D" w14:paraId="0F6DECC3" w14:textId="77777777" w:rsidTr="00A42EF0">
        <w:tc>
          <w:tcPr>
            <w:cnfStyle w:val="001000000000" w:firstRow="0" w:lastRow="0" w:firstColumn="1" w:lastColumn="0" w:oddVBand="0" w:evenVBand="0" w:oddHBand="0" w:evenHBand="0" w:firstRowFirstColumn="0" w:firstRowLastColumn="0" w:lastRowFirstColumn="0" w:lastRowLastColumn="0"/>
            <w:tcW w:w="9016" w:type="dxa"/>
            <w:gridSpan w:val="2"/>
          </w:tcPr>
          <w:p w14:paraId="024E4306" w14:textId="77777777" w:rsidR="00A42EF0" w:rsidRPr="00B17041" w:rsidRDefault="00A42EF0" w:rsidP="00A42EF0">
            <w:pPr>
              <w:rPr>
                <w:b w:val="0"/>
              </w:rPr>
            </w:pPr>
            <w:r w:rsidRPr="00B17041">
              <w:t>Early access to a rehabilitation specialist</w:t>
            </w:r>
          </w:p>
        </w:tc>
      </w:tr>
      <w:tr w:rsidR="00A42EF0" w:rsidRPr="00C70D1D" w14:paraId="19C05CA3"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720B56F" w14:textId="77777777" w:rsidR="00A42EF0" w:rsidRPr="00B17041" w:rsidRDefault="00A42EF0" w:rsidP="00B17041">
            <w:pPr>
              <w:ind w:left="284"/>
              <w:rPr>
                <w:b w:val="0"/>
              </w:rPr>
            </w:pPr>
            <w:r w:rsidRPr="00B17041">
              <w:t>Physiotherapists</w:t>
            </w:r>
          </w:p>
        </w:tc>
        <w:tc>
          <w:tcPr>
            <w:tcW w:w="4508" w:type="dxa"/>
          </w:tcPr>
          <w:p w14:paraId="0CDD1D79"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1</w:t>
            </w:r>
          </w:p>
        </w:tc>
      </w:tr>
      <w:tr w:rsidR="00A42EF0" w:rsidRPr="00C70D1D" w14:paraId="5B0B46E6"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03AE9D1B" w14:textId="77777777" w:rsidR="00A42EF0" w:rsidRPr="00B17041" w:rsidRDefault="00A42EF0" w:rsidP="00B17041">
            <w:pPr>
              <w:ind w:left="284"/>
              <w:rPr>
                <w:b w:val="0"/>
              </w:rPr>
            </w:pPr>
            <w:r w:rsidRPr="00B17041">
              <w:t>Speech therapists</w:t>
            </w:r>
          </w:p>
        </w:tc>
        <w:tc>
          <w:tcPr>
            <w:tcW w:w="4508" w:type="dxa"/>
          </w:tcPr>
          <w:p w14:paraId="5CCDB7A6"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0</w:t>
            </w:r>
          </w:p>
        </w:tc>
      </w:tr>
      <w:tr w:rsidR="00A42EF0" w:rsidRPr="00C70D1D" w14:paraId="760F6D60"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AABDF76" w14:textId="77777777" w:rsidR="00A42EF0" w:rsidRPr="00B17041" w:rsidRDefault="00A42EF0" w:rsidP="00B17041">
            <w:pPr>
              <w:ind w:left="284"/>
              <w:rPr>
                <w:b w:val="0"/>
              </w:rPr>
            </w:pPr>
            <w:r w:rsidRPr="00B17041">
              <w:t>Occupational therapists</w:t>
            </w:r>
          </w:p>
        </w:tc>
        <w:tc>
          <w:tcPr>
            <w:tcW w:w="4508" w:type="dxa"/>
          </w:tcPr>
          <w:p w14:paraId="0EA8A004"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1</w:t>
            </w:r>
          </w:p>
        </w:tc>
      </w:tr>
      <w:tr w:rsidR="00A42EF0" w:rsidRPr="00C70D1D" w14:paraId="35882D77"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48E3F75B" w14:textId="77777777" w:rsidR="00A42EF0" w:rsidRPr="00B17041" w:rsidRDefault="00A42EF0" w:rsidP="00A42EF0">
            <w:pPr>
              <w:rPr>
                <w:b w:val="0"/>
              </w:rPr>
            </w:pPr>
            <w:r w:rsidRPr="00B17041">
              <w:t>Patient and family education, skills training, and involvement in care planning</w:t>
            </w:r>
          </w:p>
        </w:tc>
        <w:tc>
          <w:tcPr>
            <w:tcW w:w="4508" w:type="dxa"/>
          </w:tcPr>
          <w:p w14:paraId="6C954515"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1</w:t>
            </w:r>
          </w:p>
        </w:tc>
      </w:tr>
      <w:tr w:rsidR="00A42EF0" w:rsidRPr="00C70D1D" w14:paraId="3A856032" w14:textId="77777777" w:rsidTr="00A4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4450B5E" w14:textId="77777777" w:rsidR="00A42EF0" w:rsidRPr="00B17041" w:rsidRDefault="00A42EF0" w:rsidP="00A42EF0">
            <w:pPr>
              <w:rPr>
                <w:b w:val="0"/>
              </w:rPr>
            </w:pPr>
            <w:r w:rsidRPr="00B17041">
              <w:t>Access to stroke prevention therapies such as aspirin, lifestyle change recommendations, blood pressure management</w:t>
            </w:r>
          </w:p>
        </w:tc>
        <w:tc>
          <w:tcPr>
            <w:tcW w:w="4508" w:type="dxa"/>
          </w:tcPr>
          <w:p w14:paraId="27D1E686" w14:textId="77777777" w:rsidR="00A42EF0" w:rsidRPr="00B17041" w:rsidRDefault="00A42EF0" w:rsidP="00A42EF0">
            <w:pPr>
              <w:cnfStyle w:val="000000100000" w:firstRow="0" w:lastRow="0" w:firstColumn="0" w:lastColumn="0" w:oddVBand="0" w:evenVBand="0" w:oddHBand="1" w:evenHBand="0" w:firstRowFirstColumn="0" w:firstRowLastColumn="0" w:lastRowFirstColumn="0" w:lastRowLastColumn="0"/>
            </w:pPr>
            <w:r w:rsidRPr="00B17041">
              <w:t>1</w:t>
            </w:r>
          </w:p>
        </w:tc>
      </w:tr>
      <w:tr w:rsidR="00A42EF0" w:rsidRPr="00C70D1D" w14:paraId="4301258D" w14:textId="77777777" w:rsidTr="00A42EF0">
        <w:tc>
          <w:tcPr>
            <w:cnfStyle w:val="001000000000" w:firstRow="0" w:lastRow="0" w:firstColumn="1" w:lastColumn="0" w:oddVBand="0" w:evenVBand="0" w:oddHBand="0" w:evenHBand="0" w:firstRowFirstColumn="0" w:firstRowLastColumn="0" w:lastRowFirstColumn="0" w:lastRowLastColumn="0"/>
            <w:tcW w:w="4508" w:type="dxa"/>
          </w:tcPr>
          <w:p w14:paraId="29C83CE0" w14:textId="77777777" w:rsidR="00A42EF0" w:rsidRPr="00B17041" w:rsidRDefault="00A42EF0" w:rsidP="00A42EF0">
            <w:pPr>
              <w:rPr>
                <w:b w:val="0"/>
              </w:rPr>
            </w:pPr>
            <w:r w:rsidRPr="00B17041">
              <w:t>Stroke training programmes for all levels of healthcare providers</w:t>
            </w:r>
          </w:p>
        </w:tc>
        <w:tc>
          <w:tcPr>
            <w:tcW w:w="4508" w:type="dxa"/>
          </w:tcPr>
          <w:p w14:paraId="01D427A2" w14:textId="77777777" w:rsidR="00A42EF0" w:rsidRPr="00B17041" w:rsidRDefault="00A42EF0" w:rsidP="00A42EF0">
            <w:pPr>
              <w:cnfStyle w:val="000000000000" w:firstRow="0" w:lastRow="0" w:firstColumn="0" w:lastColumn="0" w:oddVBand="0" w:evenVBand="0" w:oddHBand="0" w:evenHBand="0" w:firstRowFirstColumn="0" w:firstRowLastColumn="0" w:lastRowFirstColumn="0" w:lastRowLastColumn="0"/>
            </w:pPr>
            <w:r w:rsidRPr="00B17041">
              <w:t>0</w:t>
            </w:r>
          </w:p>
        </w:tc>
      </w:tr>
    </w:tbl>
    <w:p w14:paraId="4B5EED53" w14:textId="77777777" w:rsidR="00E73403" w:rsidRPr="00C70D1D" w:rsidRDefault="00E73403" w:rsidP="00A42EF0">
      <w:r w:rsidRPr="00C70D1D">
        <w:lastRenderedPageBreak/>
        <w:t xml:space="preserve">1, service available; 0, service </w:t>
      </w:r>
      <w:proofErr w:type="gramStart"/>
      <w:r w:rsidRPr="00C70D1D">
        <w:t>unavailable;*</w:t>
      </w:r>
      <w:proofErr w:type="gramEnd"/>
      <w:r w:rsidRPr="00C70D1D">
        <w:t>,</w:t>
      </w:r>
      <w:r w:rsidR="00A42EF0" w:rsidRPr="00B17041">
        <w:t xml:space="preserve"> sporadic availability</w:t>
      </w:r>
      <w:r w:rsidRPr="00C70D1D">
        <w:t xml:space="preserve"> (</w:t>
      </w:r>
      <w:r w:rsidR="00A42EF0" w:rsidRPr="00B17041">
        <w:t>visiting specialists who usually stay for short periods of time</w:t>
      </w:r>
      <w:r w:rsidRPr="00C70D1D">
        <w:t>)</w:t>
      </w:r>
      <w:r w:rsidR="00A42EF0" w:rsidRPr="00B17041">
        <w:t>.</w:t>
      </w:r>
    </w:p>
    <w:p w14:paraId="1E0A78CE" w14:textId="4CCA38A4" w:rsidR="00A42EF0" w:rsidRPr="00B17041" w:rsidRDefault="00A42EF0" w:rsidP="00A42EF0">
      <w:r w:rsidRPr="00B17041">
        <w:t>NB: This is a report of what is available at QECH, and not the extent to which the service is fully utilised in stroke patient care.</w:t>
      </w:r>
    </w:p>
    <w:p w14:paraId="6B944D35" w14:textId="07E0FAC5" w:rsidR="00BE5438" w:rsidRPr="00C70D1D" w:rsidRDefault="00BE5438" w:rsidP="00BE5438"/>
    <w:sectPr w:rsidR="00BE5438" w:rsidRPr="00C70D1D" w:rsidSect="009D0421">
      <w:headerReference w:type="default" r:id="rId10"/>
      <w:footerReference w:type="default" r:id="rId11"/>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B9D7C" w14:textId="77777777" w:rsidR="00E34368" w:rsidRDefault="00E34368" w:rsidP="00BE5438">
      <w:pPr>
        <w:spacing w:after="0" w:line="240" w:lineRule="auto"/>
      </w:pPr>
      <w:r>
        <w:separator/>
      </w:r>
    </w:p>
  </w:endnote>
  <w:endnote w:type="continuationSeparator" w:id="0">
    <w:p w14:paraId="380CA149" w14:textId="77777777" w:rsidR="00E34368" w:rsidRDefault="00E34368" w:rsidP="00BE5438">
      <w:pPr>
        <w:spacing w:after="0" w:line="240" w:lineRule="auto"/>
      </w:pPr>
      <w:r>
        <w:continuationSeparator/>
      </w:r>
    </w:p>
  </w:endnote>
  <w:endnote w:type="continuationNotice" w:id="1">
    <w:p w14:paraId="6FE6D60E" w14:textId="77777777" w:rsidR="00E34368" w:rsidRDefault="00E34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024F" w14:textId="11950F44" w:rsidR="003C0A0B" w:rsidRPr="00D07ED2" w:rsidRDefault="003C0A0B">
    <w:pPr>
      <w:pStyle w:val="Footer"/>
    </w:pPr>
    <w:proofErr w:type="spellStart"/>
    <w:r>
      <w:t>Stroke_Audit_QECH</w:t>
    </w:r>
    <w:proofErr w:type="spellEnd"/>
    <w:r>
      <w:t xml:space="preserve"> v6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BAB38" w14:textId="77777777" w:rsidR="00E34368" w:rsidRDefault="00E34368" w:rsidP="00BE5438">
      <w:pPr>
        <w:spacing w:after="0" w:line="240" w:lineRule="auto"/>
      </w:pPr>
      <w:r>
        <w:separator/>
      </w:r>
    </w:p>
  </w:footnote>
  <w:footnote w:type="continuationSeparator" w:id="0">
    <w:p w14:paraId="2FE74453" w14:textId="77777777" w:rsidR="00E34368" w:rsidRDefault="00E34368" w:rsidP="00BE5438">
      <w:pPr>
        <w:spacing w:after="0" w:line="240" w:lineRule="auto"/>
      </w:pPr>
      <w:r>
        <w:continuationSeparator/>
      </w:r>
    </w:p>
  </w:footnote>
  <w:footnote w:type="continuationNotice" w:id="1">
    <w:p w14:paraId="48E437C0" w14:textId="77777777" w:rsidR="00E34368" w:rsidRDefault="00E343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3645F89E" w14:textId="77AECEE1" w:rsidR="003C0A0B" w:rsidRDefault="003C0A0B">
        <w:pPr>
          <w:pStyle w:val="Header"/>
          <w:jc w:val="right"/>
        </w:pPr>
        <w:r>
          <w:t xml:space="preserve">Page </w:t>
        </w:r>
        <w:r>
          <w:rPr>
            <w:b/>
            <w:bCs/>
            <w:noProof/>
          </w:rPr>
          <w:t>1</w:t>
        </w:r>
        <w:r>
          <w:t xml:space="preserve"> / </w:t>
        </w:r>
        <w:r>
          <w:rPr>
            <w:b/>
            <w:bCs/>
            <w:noProof/>
          </w:rPr>
          <w:t>13</w:t>
        </w:r>
      </w:p>
    </w:sdtContent>
  </w:sdt>
  <w:p w14:paraId="15663FCB" w14:textId="71D93EAA" w:rsidR="003C0A0B" w:rsidRDefault="003C0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13E7"/>
    <w:multiLevelType w:val="hybridMultilevel"/>
    <w:tmpl w:val="771E5E94"/>
    <w:lvl w:ilvl="0" w:tplc="79E6062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044AE5"/>
    <w:multiLevelType w:val="hybridMultilevel"/>
    <w:tmpl w:val="B3C662D6"/>
    <w:lvl w:ilvl="0" w:tplc="FCC00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61F6D"/>
    <w:multiLevelType w:val="hybridMultilevel"/>
    <w:tmpl w:val="4B8E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D6850"/>
    <w:multiLevelType w:val="hybridMultilevel"/>
    <w:tmpl w:val="392A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55E22"/>
    <w:multiLevelType w:val="hybridMultilevel"/>
    <w:tmpl w:val="15AA7E9A"/>
    <w:lvl w:ilvl="0" w:tplc="C796769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B4C34"/>
    <w:multiLevelType w:val="hybridMultilevel"/>
    <w:tmpl w:val="488A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63390"/>
    <w:multiLevelType w:val="hybridMultilevel"/>
    <w:tmpl w:val="D1B6C0F6"/>
    <w:lvl w:ilvl="0" w:tplc="79E6062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D3400FC"/>
    <w:multiLevelType w:val="hybridMultilevel"/>
    <w:tmpl w:val="24DC7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84B34"/>
    <w:multiLevelType w:val="hybridMultilevel"/>
    <w:tmpl w:val="12D6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F64E7"/>
    <w:multiLevelType w:val="hybridMultilevel"/>
    <w:tmpl w:val="04C41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7202D"/>
    <w:multiLevelType w:val="hybridMultilevel"/>
    <w:tmpl w:val="3286A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23905"/>
    <w:multiLevelType w:val="hybridMultilevel"/>
    <w:tmpl w:val="49D845F0"/>
    <w:lvl w:ilvl="0" w:tplc="5B0EADD6">
      <w:start w:val="1"/>
      <w:numFmt w:val="bullet"/>
      <w:lvlText w:val="•"/>
      <w:lvlJc w:val="left"/>
      <w:pPr>
        <w:tabs>
          <w:tab w:val="num" w:pos="720"/>
        </w:tabs>
        <w:ind w:left="720" w:hanging="360"/>
      </w:pPr>
      <w:rPr>
        <w:rFonts w:ascii="Arial" w:hAnsi="Arial" w:hint="default"/>
      </w:rPr>
    </w:lvl>
    <w:lvl w:ilvl="1" w:tplc="86FA8494" w:tentative="1">
      <w:start w:val="1"/>
      <w:numFmt w:val="bullet"/>
      <w:lvlText w:val="•"/>
      <w:lvlJc w:val="left"/>
      <w:pPr>
        <w:tabs>
          <w:tab w:val="num" w:pos="1440"/>
        </w:tabs>
        <w:ind w:left="1440" w:hanging="360"/>
      </w:pPr>
      <w:rPr>
        <w:rFonts w:ascii="Arial" w:hAnsi="Arial" w:hint="default"/>
      </w:rPr>
    </w:lvl>
    <w:lvl w:ilvl="2" w:tplc="AD52B3AE" w:tentative="1">
      <w:start w:val="1"/>
      <w:numFmt w:val="bullet"/>
      <w:lvlText w:val="•"/>
      <w:lvlJc w:val="left"/>
      <w:pPr>
        <w:tabs>
          <w:tab w:val="num" w:pos="2160"/>
        </w:tabs>
        <w:ind w:left="2160" w:hanging="360"/>
      </w:pPr>
      <w:rPr>
        <w:rFonts w:ascii="Arial" w:hAnsi="Arial" w:hint="default"/>
      </w:rPr>
    </w:lvl>
    <w:lvl w:ilvl="3" w:tplc="8A845A82" w:tentative="1">
      <w:start w:val="1"/>
      <w:numFmt w:val="bullet"/>
      <w:lvlText w:val="•"/>
      <w:lvlJc w:val="left"/>
      <w:pPr>
        <w:tabs>
          <w:tab w:val="num" w:pos="2880"/>
        </w:tabs>
        <w:ind w:left="2880" w:hanging="360"/>
      </w:pPr>
      <w:rPr>
        <w:rFonts w:ascii="Arial" w:hAnsi="Arial" w:hint="default"/>
      </w:rPr>
    </w:lvl>
    <w:lvl w:ilvl="4" w:tplc="8A4862AA" w:tentative="1">
      <w:start w:val="1"/>
      <w:numFmt w:val="bullet"/>
      <w:lvlText w:val="•"/>
      <w:lvlJc w:val="left"/>
      <w:pPr>
        <w:tabs>
          <w:tab w:val="num" w:pos="3600"/>
        </w:tabs>
        <w:ind w:left="3600" w:hanging="360"/>
      </w:pPr>
      <w:rPr>
        <w:rFonts w:ascii="Arial" w:hAnsi="Arial" w:hint="default"/>
      </w:rPr>
    </w:lvl>
    <w:lvl w:ilvl="5" w:tplc="94C03880" w:tentative="1">
      <w:start w:val="1"/>
      <w:numFmt w:val="bullet"/>
      <w:lvlText w:val="•"/>
      <w:lvlJc w:val="left"/>
      <w:pPr>
        <w:tabs>
          <w:tab w:val="num" w:pos="4320"/>
        </w:tabs>
        <w:ind w:left="4320" w:hanging="360"/>
      </w:pPr>
      <w:rPr>
        <w:rFonts w:ascii="Arial" w:hAnsi="Arial" w:hint="default"/>
      </w:rPr>
    </w:lvl>
    <w:lvl w:ilvl="6" w:tplc="00528340" w:tentative="1">
      <w:start w:val="1"/>
      <w:numFmt w:val="bullet"/>
      <w:lvlText w:val="•"/>
      <w:lvlJc w:val="left"/>
      <w:pPr>
        <w:tabs>
          <w:tab w:val="num" w:pos="5040"/>
        </w:tabs>
        <w:ind w:left="5040" w:hanging="360"/>
      </w:pPr>
      <w:rPr>
        <w:rFonts w:ascii="Arial" w:hAnsi="Arial" w:hint="default"/>
      </w:rPr>
    </w:lvl>
    <w:lvl w:ilvl="7" w:tplc="9CB8E1A2" w:tentative="1">
      <w:start w:val="1"/>
      <w:numFmt w:val="bullet"/>
      <w:lvlText w:val="•"/>
      <w:lvlJc w:val="left"/>
      <w:pPr>
        <w:tabs>
          <w:tab w:val="num" w:pos="5760"/>
        </w:tabs>
        <w:ind w:left="5760" w:hanging="360"/>
      </w:pPr>
      <w:rPr>
        <w:rFonts w:ascii="Arial" w:hAnsi="Arial" w:hint="default"/>
      </w:rPr>
    </w:lvl>
    <w:lvl w:ilvl="8" w:tplc="89F4C6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BD2E5A"/>
    <w:multiLevelType w:val="hybridMultilevel"/>
    <w:tmpl w:val="6798BC9A"/>
    <w:lvl w:ilvl="0" w:tplc="858A92D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F21FF"/>
    <w:multiLevelType w:val="hybridMultilevel"/>
    <w:tmpl w:val="76FE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20430"/>
    <w:multiLevelType w:val="hybridMultilevel"/>
    <w:tmpl w:val="8A069CAC"/>
    <w:lvl w:ilvl="0" w:tplc="79E6062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BBE4654"/>
    <w:multiLevelType w:val="hybridMultilevel"/>
    <w:tmpl w:val="9A1CAD64"/>
    <w:lvl w:ilvl="0" w:tplc="79E6062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FF220CD"/>
    <w:multiLevelType w:val="hybridMultilevel"/>
    <w:tmpl w:val="15C44F54"/>
    <w:lvl w:ilvl="0" w:tplc="79E6062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2697141"/>
    <w:multiLevelType w:val="hybridMultilevel"/>
    <w:tmpl w:val="EEFCC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E0335"/>
    <w:multiLevelType w:val="hybridMultilevel"/>
    <w:tmpl w:val="AC6C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42818"/>
    <w:multiLevelType w:val="hybridMultilevel"/>
    <w:tmpl w:val="3592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1"/>
  </w:num>
  <w:num w:numId="5">
    <w:abstractNumId w:val="19"/>
  </w:num>
  <w:num w:numId="6">
    <w:abstractNumId w:val="9"/>
  </w:num>
  <w:num w:numId="7">
    <w:abstractNumId w:val="18"/>
  </w:num>
  <w:num w:numId="8">
    <w:abstractNumId w:val="13"/>
  </w:num>
  <w:num w:numId="9">
    <w:abstractNumId w:val="17"/>
  </w:num>
  <w:num w:numId="10">
    <w:abstractNumId w:val="5"/>
  </w:num>
  <w:num w:numId="11">
    <w:abstractNumId w:val="4"/>
  </w:num>
  <w:num w:numId="12">
    <w:abstractNumId w:val="11"/>
  </w:num>
  <w:num w:numId="13">
    <w:abstractNumId w:val="12"/>
  </w:num>
  <w:num w:numId="14">
    <w:abstractNumId w:val="15"/>
  </w:num>
  <w:num w:numId="15">
    <w:abstractNumId w:val="6"/>
  </w:num>
  <w:num w:numId="16">
    <w:abstractNumId w:val="16"/>
  </w:num>
  <w:num w:numId="17">
    <w:abstractNumId w:val="14"/>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3NDM2sbQ0MTE3MDRU0lEKTi0uzszPAykwqQUAHK6R4iwAAAA="/>
    <w:docVar w:name="EN.InstantFormat" w:val="&lt;ENInstantFormat&gt;&lt;Enabled&gt;1&lt;/Enabled&gt;&lt;ScanUnformatted&gt;1&lt;/ScanUnformatted&gt;&lt;ScanChanges&gt;1&lt;/ScanChanges&gt;&lt;Suspended&gt;0&lt;/Suspended&gt;&lt;/ENInstantFormat&gt;"/>
    <w:docVar w:name="EN.Layout" w:val="&lt;ENLayout&gt;&lt;Style&gt;Vancouver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d5v5wrfurs2t3ep5txvvt9wzzaw5ezr5fwx&quot;&gt;Strokenaids&lt;record-ids&gt;&lt;item&gt;22&lt;/item&gt;&lt;item&gt;26&lt;/item&gt;&lt;item&gt;35&lt;/item&gt;&lt;item&gt;56&lt;/item&gt;&lt;item&gt;60&lt;/item&gt;&lt;item&gt;182&lt;/item&gt;&lt;item&gt;571&lt;/item&gt;&lt;item&gt;586&lt;/item&gt;&lt;item&gt;587&lt;/item&gt;&lt;item&gt;595&lt;/item&gt;&lt;item&gt;628&lt;/item&gt;&lt;item&gt;635&lt;/item&gt;&lt;item&gt;636&lt;/item&gt;&lt;item&gt;637&lt;/item&gt;&lt;item&gt;638&lt;/item&gt;&lt;item&gt;639&lt;/item&gt;&lt;item&gt;640&lt;/item&gt;&lt;item&gt;641&lt;/item&gt;&lt;item&gt;642&lt;/item&gt;&lt;item&gt;643&lt;/item&gt;&lt;item&gt;644&lt;/item&gt;&lt;item&gt;645&lt;/item&gt;&lt;item&gt;646&lt;/item&gt;&lt;item&gt;647&lt;/item&gt;&lt;item&gt;648&lt;/item&gt;&lt;item&gt;649&lt;/item&gt;&lt;item&gt;650&lt;/item&gt;&lt;/record-ids&gt;&lt;/item&gt;&lt;/Libraries&gt;"/>
  </w:docVars>
  <w:rsids>
    <w:rsidRoot w:val="004E34FA"/>
    <w:rsid w:val="00000B72"/>
    <w:rsid w:val="00005B3D"/>
    <w:rsid w:val="00007168"/>
    <w:rsid w:val="00007FAF"/>
    <w:rsid w:val="00010A18"/>
    <w:rsid w:val="000128EE"/>
    <w:rsid w:val="00015A87"/>
    <w:rsid w:val="00016337"/>
    <w:rsid w:val="00024700"/>
    <w:rsid w:val="000312FB"/>
    <w:rsid w:val="000322BA"/>
    <w:rsid w:val="0003504F"/>
    <w:rsid w:val="00035A54"/>
    <w:rsid w:val="000402EF"/>
    <w:rsid w:val="0004394B"/>
    <w:rsid w:val="000467B5"/>
    <w:rsid w:val="0004751B"/>
    <w:rsid w:val="00052E62"/>
    <w:rsid w:val="000652A4"/>
    <w:rsid w:val="0006631A"/>
    <w:rsid w:val="00070EFD"/>
    <w:rsid w:val="00077715"/>
    <w:rsid w:val="000804FA"/>
    <w:rsid w:val="00083CCD"/>
    <w:rsid w:val="00086C0B"/>
    <w:rsid w:val="000976E9"/>
    <w:rsid w:val="000A0DE5"/>
    <w:rsid w:val="000A3DA8"/>
    <w:rsid w:val="000B14E7"/>
    <w:rsid w:val="000B5868"/>
    <w:rsid w:val="000B78E4"/>
    <w:rsid w:val="000C1289"/>
    <w:rsid w:val="000C2C3A"/>
    <w:rsid w:val="000C3C80"/>
    <w:rsid w:val="000C4424"/>
    <w:rsid w:val="000C6C29"/>
    <w:rsid w:val="000C6F8A"/>
    <w:rsid w:val="000C73A8"/>
    <w:rsid w:val="000C77DE"/>
    <w:rsid w:val="000D0778"/>
    <w:rsid w:val="000D27BB"/>
    <w:rsid w:val="000D7173"/>
    <w:rsid w:val="000E116B"/>
    <w:rsid w:val="000E3150"/>
    <w:rsid w:val="000E35B5"/>
    <w:rsid w:val="000E474B"/>
    <w:rsid w:val="000E512E"/>
    <w:rsid w:val="000E571E"/>
    <w:rsid w:val="000F12C5"/>
    <w:rsid w:val="000F31F2"/>
    <w:rsid w:val="000F508C"/>
    <w:rsid w:val="000F5F2A"/>
    <w:rsid w:val="00105A54"/>
    <w:rsid w:val="001100CA"/>
    <w:rsid w:val="00116210"/>
    <w:rsid w:val="00121774"/>
    <w:rsid w:val="00125F03"/>
    <w:rsid w:val="00134D2A"/>
    <w:rsid w:val="00143E34"/>
    <w:rsid w:val="00146E60"/>
    <w:rsid w:val="00155CFE"/>
    <w:rsid w:val="00163722"/>
    <w:rsid w:val="00164AE3"/>
    <w:rsid w:val="0016661B"/>
    <w:rsid w:val="0017319B"/>
    <w:rsid w:val="001754D0"/>
    <w:rsid w:val="00176317"/>
    <w:rsid w:val="001872B4"/>
    <w:rsid w:val="0019033F"/>
    <w:rsid w:val="0019147A"/>
    <w:rsid w:val="001A0191"/>
    <w:rsid w:val="001A2DF7"/>
    <w:rsid w:val="001A40F0"/>
    <w:rsid w:val="001A7707"/>
    <w:rsid w:val="001B1FE4"/>
    <w:rsid w:val="001C253B"/>
    <w:rsid w:val="001C254C"/>
    <w:rsid w:val="001C2B0B"/>
    <w:rsid w:val="001C2DE3"/>
    <w:rsid w:val="001C2F80"/>
    <w:rsid w:val="001C30AE"/>
    <w:rsid w:val="001D0FB7"/>
    <w:rsid w:val="001D2A61"/>
    <w:rsid w:val="001D6744"/>
    <w:rsid w:val="001E4A14"/>
    <w:rsid w:val="001E501D"/>
    <w:rsid w:val="001F1008"/>
    <w:rsid w:val="001F18CB"/>
    <w:rsid w:val="001F6541"/>
    <w:rsid w:val="001F68C7"/>
    <w:rsid w:val="001F6D10"/>
    <w:rsid w:val="00200220"/>
    <w:rsid w:val="0020374B"/>
    <w:rsid w:val="0020378B"/>
    <w:rsid w:val="0020599D"/>
    <w:rsid w:val="002067B1"/>
    <w:rsid w:val="002100C6"/>
    <w:rsid w:val="00213744"/>
    <w:rsid w:val="00214CFC"/>
    <w:rsid w:val="002213D2"/>
    <w:rsid w:val="002217EB"/>
    <w:rsid w:val="002227B6"/>
    <w:rsid w:val="00224AA7"/>
    <w:rsid w:val="00231514"/>
    <w:rsid w:val="002323BF"/>
    <w:rsid w:val="0023534B"/>
    <w:rsid w:val="00240182"/>
    <w:rsid w:val="00241700"/>
    <w:rsid w:val="00241D97"/>
    <w:rsid w:val="0024552A"/>
    <w:rsid w:val="002462B6"/>
    <w:rsid w:val="0025308A"/>
    <w:rsid w:val="00254690"/>
    <w:rsid w:val="00254A62"/>
    <w:rsid w:val="00256649"/>
    <w:rsid w:val="00263B7F"/>
    <w:rsid w:val="00266E5C"/>
    <w:rsid w:val="0027180A"/>
    <w:rsid w:val="0027340E"/>
    <w:rsid w:val="00280066"/>
    <w:rsid w:val="00281764"/>
    <w:rsid w:val="00282489"/>
    <w:rsid w:val="00282C73"/>
    <w:rsid w:val="002861D7"/>
    <w:rsid w:val="00286EFA"/>
    <w:rsid w:val="00293982"/>
    <w:rsid w:val="00294281"/>
    <w:rsid w:val="0029510F"/>
    <w:rsid w:val="002A37C7"/>
    <w:rsid w:val="002B2935"/>
    <w:rsid w:val="002B3EB1"/>
    <w:rsid w:val="002B52BC"/>
    <w:rsid w:val="002C2956"/>
    <w:rsid w:val="002C2C1B"/>
    <w:rsid w:val="002C35A2"/>
    <w:rsid w:val="002C4B5F"/>
    <w:rsid w:val="002D20BF"/>
    <w:rsid w:val="002D46F9"/>
    <w:rsid w:val="002D4B3B"/>
    <w:rsid w:val="002D548A"/>
    <w:rsid w:val="002E0D0B"/>
    <w:rsid w:val="002E13C5"/>
    <w:rsid w:val="002E2E13"/>
    <w:rsid w:val="002E697A"/>
    <w:rsid w:val="002E770F"/>
    <w:rsid w:val="002F065C"/>
    <w:rsid w:val="002F2768"/>
    <w:rsid w:val="002F4B1D"/>
    <w:rsid w:val="00303B6F"/>
    <w:rsid w:val="00305E3B"/>
    <w:rsid w:val="0030694F"/>
    <w:rsid w:val="003111B9"/>
    <w:rsid w:val="00311D77"/>
    <w:rsid w:val="003132C1"/>
    <w:rsid w:val="0031460D"/>
    <w:rsid w:val="003200C3"/>
    <w:rsid w:val="00324A41"/>
    <w:rsid w:val="003261FC"/>
    <w:rsid w:val="003307D8"/>
    <w:rsid w:val="00331D92"/>
    <w:rsid w:val="0033202A"/>
    <w:rsid w:val="00337313"/>
    <w:rsid w:val="00340438"/>
    <w:rsid w:val="003426C0"/>
    <w:rsid w:val="00346A7E"/>
    <w:rsid w:val="00347A8E"/>
    <w:rsid w:val="00350D6A"/>
    <w:rsid w:val="00355C0D"/>
    <w:rsid w:val="003568B9"/>
    <w:rsid w:val="0036014B"/>
    <w:rsid w:val="0036060B"/>
    <w:rsid w:val="00363270"/>
    <w:rsid w:val="00371289"/>
    <w:rsid w:val="00374142"/>
    <w:rsid w:val="00382FD4"/>
    <w:rsid w:val="003902F3"/>
    <w:rsid w:val="003A0853"/>
    <w:rsid w:val="003A13ED"/>
    <w:rsid w:val="003A40B6"/>
    <w:rsid w:val="003A4D4E"/>
    <w:rsid w:val="003A603B"/>
    <w:rsid w:val="003A6414"/>
    <w:rsid w:val="003A7CB4"/>
    <w:rsid w:val="003B0A73"/>
    <w:rsid w:val="003B1501"/>
    <w:rsid w:val="003B2EE4"/>
    <w:rsid w:val="003B3C3F"/>
    <w:rsid w:val="003B69FA"/>
    <w:rsid w:val="003B7B67"/>
    <w:rsid w:val="003C0A0B"/>
    <w:rsid w:val="003C28D0"/>
    <w:rsid w:val="003C2B49"/>
    <w:rsid w:val="003C3601"/>
    <w:rsid w:val="003C7A07"/>
    <w:rsid w:val="003D18F1"/>
    <w:rsid w:val="003D744F"/>
    <w:rsid w:val="003E0A72"/>
    <w:rsid w:val="003E0E57"/>
    <w:rsid w:val="003E2339"/>
    <w:rsid w:val="003E50E1"/>
    <w:rsid w:val="003F5C1B"/>
    <w:rsid w:val="0040238F"/>
    <w:rsid w:val="004036FB"/>
    <w:rsid w:val="00403A28"/>
    <w:rsid w:val="00406E45"/>
    <w:rsid w:val="00413CD3"/>
    <w:rsid w:val="004166FD"/>
    <w:rsid w:val="004224F4"/>
    <w:rsid w:val="00422EA0"/>
    <w:rsid w:val="00424C65"/>
    <w:rsid w:val="004268A0"/>
    <w:rsid w:val="00430AFA"/>
    <w:rsid w:val="00431A98"/>
    <w:rsid w:val="00437CEC"/>
    <w:rsid w:val="00443E45"/>
    <w:rsid w:val="00444ED6"/>
    <w:rsid w:val="00445406"/>
    <w:rsid w:val="00451B0C"/>
    <w:rsid w:val="004525F7"/>
    <w:rsid w:val="00457D44"/>
    <w:rsid w:val="0046539F"/>
    <w:rsid w:val="004664CB"/>
    <w:rsid w:val="00470336"/>
    <w:rsid w:val="004746F4"/>
    <w:rsid w:val="004816A8"/>
    <w:rsid w:val="004946A9"/>
    <w:rsid w:val="00495BFF"/>
    <w:rsid w:val="0049617F"/>
    <w:rsid w:val="004A04A5"/>
    <w:rsid w:val="004A395E"/>
    <w:rsid w:val="004A4E81"/>
    <w:rsid w:val="004A7289"/>
    <w:rsid w:val="004B1DD8"/>
    <w:rsid w:val="004B1E57"/>
    <w:rsid w:val="004B54FC"/>
    <w:rsid w:val="004B5EEB"/>
    <w:rsid w:val="004B7DB5"/>
    <w:rsid w:val="004C17B2"/>
    <w:rsid w:val="004C26F2"/>
    <w:rsid w:val="004C5018"/>
    <w:rsid w:val="004C5A1A"/>
    <w:rsid w:val="004C7489"/>
    <w:rsid w:val="004E09DF"/>
    <w:rsid w:val="004E2233"/>
    <w:rsid w:val="004E34FA"/>
    <w:rsid w:val="004E379E"/>
    <w:rsid w:val="004E4D64"/>
    <w:rsid w:val="004E7D8F"/>
    <w:rsid w:val="004F12E5"/>
    <w:rsid w:val="004F143B"/>
    <w:rsid w:val="004F29F3"/>
    <w:rsid w:val="004F5045"/>
    <w:rsid w:val="004F59A7"/>
    <w:rsid w:val="004F5F19"/>
    <w:rsid w:val="004F63EA"/>
    <w:rsid w:val="004F6727"/>
    <w:rsid w:val="004F67CA"/>
    <w:rsid w:val="00502D05"/>
    <w:rsid w:val="00503368"/>
    <w:rsid w:val="00504291"/>
    <w:rsid w:val="00507E6A"/>
    <w:rsid w:val="00511700"/>
    <w:rsid w:val="0051740A"/>
    <w:rsid w:val="00522FD8"/>
    <w:rsid w:val="005241E0"/>
    <w:rsid w:val="0052493C"/>
    <w:rsid w:val="0052507E"/>
    <w:rsid w:val="005277C1"/>
    <w:rsid w:val="00527E8B"/>
    <w:rsid w:val="00536936"/>
    <w:rsid w:val="00551947"/>
    <w:rsid w:val="00552016"/>
    <w:rsid w:val="00555605"/>
    <w:rsid w:val="00555A19"/>
    <w:rsid w:val="00555A4E"/>
    <w:rsid w:val="00555C03"/>
    <w:rsid w:val="005561FA"/>
    <w:rsid w:val="00560EAC"/>
    <w:rsid w:val="0056798A"/>
    <w:rsid w:val="00567DE7"/>
    <w:rsid w:val="00570C42"/>
    <w:rsid w:val="005731E0"/>
    <w:rsid w:val="005734FE"/>
    <w:rsid w:val="005737EC"/>
    <w:rsid w:val="00574CEA"/>
    <w:rsid w:val="00582B78"/>
    <w:rsid w:val="00583CB4"/>
    <w:rsid w:val="00585313"/>
    <w:rsid w:val="00585A8E"/>
    <w:rsid w:val="0059043A"/>
    <w:rsid w:val="00597D68"/>
    <w:rsid w:val="005A38E3"/>
    <w:rsid w:val="005A6B05"/>
    <w:rsid w:val="005B1650"/>
    <w:rsid w:val="005B495E"/>
    <w:rsid w:val="005B4C18"/>
    <w:rsid w:val="005C227F"/>
    <w:rsid w:val="005C24CA"/>
    <w:rsid w:val="005C5BC8"/>
    <w:rsid w:val="005C66E3"/>
    <w:rsid w:val="005C67BD"/>
    <w:rsid w:val="005C79C4"/>
    <w:rsid w:val="005D0FC6"/>
    <w:rsid w:val="005D1570"/>
    <w:rsid w:val="005D328C"/>
    <w:rsid w:val="005D6288"/>
    <w:rsid w:val="005D693D"/>
    <w:rsid w:val="005D6CFD"/>
    <w:rsid w:val="005D7D23"/>
    <w:rsid w:val="005E0781"/>
    <w:rsid w:val="005E242A"/>
    <w:rsid w:val="005E2F6C"/>
    <w:rsid w:val="005E42DB"/>
    <w:rsid w:val="005F20C8"/>
    <w:rsid w:val="005F6334"/>
    <w:rsid w:val="00601095"/>
    <w:rsid w:val="00602834"/>
    <w:rsid w:val="006050A4"/>
    <w:rsid w:val="0060618C"/>
    <w:rsid w:val="00610D64"/>
    <w:rsid w:val="006115A2"/>
    <w:rsid w:val="00611E47"/>
    <w:rsid w:val="00615049"/>
    <w:rsid w:val="00617B05"/>
    <w:rsid w:val="00617C17"/>
    <w:rsid w:val="006266B7"/>
    <w:rsid w:val="00642E86"/>
    <w:rsid w:val="006445A1"/>
    <w:rsid w:val="006446AF"/>
    <w:rsid w:val="00646690"/>
    <w:rsid w:val="00646AB5"/>
    <w:rsid w:val="00650762"/>
    <w:rsid w:val="00652C23"/>
    <w:rsid w:val="00660565"/>
    <w:rsid w:val="006645CE"/>
    <w:rsid w:val="00667BB3"/>
    <w:rsid w:val="006712D8"/>
    <w:rsid w:val="00672F82"/>
    <w:rsid w:val="00677A04"/>
    <w:rsid w:val="00685609"/>
    <w:rsid w:val="006856C9"/>
    <w:rsid w:val="0069180B"/>
    <w:rsid w:val="00691F56"/>
    <w:rsid w:val="00696DB4"/>
    <w:rsid w:val="00697C60"/>
    <w:rsid w:val="006A3D23"/>
    <w:rsid w:val="006B2A9E"/>
    <w:rsid w:val="006B4B9B"/>
    <w:rsid w:val="006C2502"/>
    <w:rsid w:val="006C269F"/>
    <w:rsid w:val="006C5A4C"/>
    <w:rsid w:val="006C6A9E"/>
    <w:rsid w:val="006C736A"/>
    <w:rsid w:val="006C7C44"/>
    <w:rsid w:val="006D0421"/>
    <w:rsid w:val="006D1B17"/>
    <w:rsid w:val="006D5113"/>
    <w:rsid w:val="006D5DE2"/>
    <w:rsid w:val="006D71B1"/>
    <w:rsid w:val="006E0B7F"/>
    <w:rsid w:val="006E3EF3"/>
    <w:rsid w:val="006E5654"/>
    <w:rsid w:val="006E5A69"/>
    <w:rsid w:val="006F06AD"/>
    <w:rsid w:val="006F1F49"/>
    <w:rsid w:val="006F2AE7"/>
    <w:rsid w:val="006F2E4B"/>
    <w:rsid w:val="006F4410"/>
    <w:rsid w:val="006F60C5"/>
    <w:rsid w:val="006F636E"/>
    <w:rsid w:val="006F7425"/>
    <w:rsid w:val="006F7D1C"/>
    <w:rsid w:val="00700B9C"/>
    <w:rsid w:val="00706BED"/>
    <w:rsid w:val="00707B1B"/>
    <w:rsid w:val="00713182"/>
    <w:rsid w:val="00721170"/>
    <w:rsid w:val="00727BB0"/>
    <w:rsid w:val="007300B9"/>
    <w:rsid w:val="00744C3F"/>
    <w:rsid w:val="007475D8"/>
    <w:rsid w:val="00750F1A"/>
    <w:rsid w:val="00752534"/>
    <w:rsid w:val="007536C2"/>
    <w:rsid w:val="00753EC4"/>
    <w:rsid w:val="00755780"/>
    <w:rsid w:val="007567AE"/>
    <w:rsid w:val="00766D49"/>
    <w:rsid w:val="00770D2C"/>
    <w:rsid w:val="0077243A"/>
    <w:rsid w:val="00773D02"/>
    <w:rsid w:val="0077582C"/>
    <w:rsid w:val="0078096C"/>
    <w:rsid w:val="00786739"/>
    <w:rsid w:val="00792C9C"/>
    <w:rsid w:val="00794051"/>
    <w:rsid w:val="00796576"/>
    <w:rsid w:val="007965FF"/>
    <w:rsid w:val="007A1C80"/>
    <w:rsid w:val="007A269B"/>
    <w:rsid w:val="007A3544"/>
    <w:rsid w:val="007A3AA2"/>
    <w:rsid w:val="007A403D"/>
    <w:rsid w:val="007A5EC4"/>
    <w:rsid w:val="007A6D8D"/>
    <w:rsid w:val="007B0BEF"/>
    <w:rsid w:val="007C1C62"/>
    <w:rsid w:val="007C2373"/>
    <w:rsid w:val="007C2B07"/>
    <w:rsid w:val="007D00D2"/>
    <w:rsid w:val="007D0E84"/>
    <w:rsid w:val="007D10C7"/>
    <w:rsid w:val="007D2963"/>
    <w:rsid w:val="007D56EC"/>
    <w:rsid w:val="007E1355"/>
    <w:rsid w:val="007E4A31"/>
    <w:rsid w:val="007E59EA"/>
    <w:rsid w:val="007F56B8"/>
    <w:rsid w:val="007F6AAD"/>
    <w:rsid w:val="00802EAA"/>
    <w:rsid w:val="00804167"/>
    <w:rsid w:val="00804215"/>
    <w:rsid w:val="00807102"/>
    <w:rsid w:val="00810E30"/>
    <w:rsid w:val="0081390A"/>
    <w:rsid w:val="00822462"/>
    <w:rsid w:val="00822C56"/>
    <w:rsid w:val="0082505A"/>
    <w:rsid w:val="008303B6"/>
    <w:rsid w:val="00831722"/>
    <w:rsid w:val="00831F9F"/>
    <w:rsid w:val="00833A58"/>
    <w:rsid w:val="00834FBF"/>
    <w:rsid w:val="008361C7"/>
    <w:rsid w:val="008407ED"/>
    <w:rsid w:val="00846812"/>
    <w:rsid w:val="00851B39"/>
    <w:rsid w:val="008523C3"/>
    <w:rsid w:val="0085246D"/>
    <w:rsid w:val="00853589"/>
    <w:rsid w:val="0085387E"/>
    <w:rsid w:val="0085746E"/>
    <w:rsid w:val="00865A94"/>
    <w:rsid w:val="00867AB9"/>
    <w:rsid w:val="00870497"/>
    <w:rsid w:val="008809AB"/>
    <w:rsid w:val="00880AD8"/>
    <w:rsid w:val="00887975"/>
    <w:rsid w:val="00893796"/>
    <w:rsid w:val="008943E6"/>
    <w:rsid w:val="008943F0"/>
    <w:rsid w:val="008976F3"/>
    <w:rsid w:val="008A114E"/>
    <w:rsid w:val="008A5729"/>
    <w:rsid w:val="008A6A57"/>
    <w:rsid w:val="008A78AF"/>
    <w:rsid w:val="008B1651"/>
    <w:rsid w:val="008B34AA"/>
    <w:rsid w:val="008B477E"/>
    <w:rsid w:val="008C4AC7"/>
    <w:rsid w:val="008C6E7B"/>
    <w:rsid w:val="008D16E5"/>
    <w:rsid w:val="008D63FD"/>
    <w:rsid w:val="008E25A3"/>
    <w:rsid w:val="008E6199"/>
    <w:rsid w:val="008F294B"/>
    <w:rsid w:val="008F72ED"/>
    <w:rsid w:val="00901A6C"/>
    <w:rsid w:val="00901D3D"/>
    <w:rsid w:val="00902427"/>
    <w:rsid w:val="00906A58"/>
    <w:rsid w:val="00907FC3"/>
    <w:rsid w:val="00912428"/>
    <w:rsid w:val="00913CAF"/>
    <w:rsid w:val="00920E66"/>
    <w:rsid w:val="00922717"/>
    <w:rsid w:val="00924400"/>
    <w:rsid w:val="00926AFD"/>
    <w:rsid w:val="00933ADC"/>
    <w:rsid w:val="00935813"/>
    <w:rsid w:val="0094328E"/>
    <w:rsid w:val="00943CB2"/>
    <w:rsid w:val="00950A99"/>
    <w:rsid w:val="0095571E"/>
    <w:rsid w:val="00957AB4"/>
    <w:rsid w:val="00957C7A"/>
    <w:rsid w:val="0096345F"/>
    <w:rsid w:val="009638D2"/>
    <w:rsid w:val="0096551E"/>
    <w:rsid w:val="009674F3"/>
    <w:rsid w:val="00970EC1"/>
    <w:rsid w:val="009734D3"/>
    <w:rsid w:val="00976B58"/>
    <w:rsid w:val="00977B26"/>
    <w:rsid w:val="00990ECA"/>
    <w:rsid w:val="009956D9"/>
    <w:rsid w:val="009A7C7D"/>
    <w:rsid w:val="009B334A"/>
    <w:rsid w:val="009B41AF"/>
    <w:rsid w:val="009B45A1"/>
    <w:rsid w:val="009B51B3"/>
    <w:rsid w:val="009B5FD5"/>
    <w:rsid w:val="009C0288"/>
    <w:rsid w:val="009C25BA"/>
    <w:rsid w:val="009C55B9"/>
    <w:rsid w:val="009C58E5"/>
    <w:rsid w:val="009D0421"/>
    <w:rsid w:val="009D166E"/>
    <w:rsid w:val="009D17C5"/>
    <w:rsid w:val="009D2059"/>
    <w:rsid w:val="009D3006"/>
    <w:rsid w:val="009D3958"/>
    <w:rsid w:val="009D3C35"/>
    <w:rsid w:val="009D57B9"/>
    <w:rsid w:val="009E140C"/>
    <w:rsid w:val="009E1863"/>
    <w:rsid w:val="009E196D"/>
    <w:rsid w:val="009E1AC2"/>
    <w:rsid w:val="009E3391"/>
    <w:rsid w:val="009E3BAC"/>
    <w:rsid w:val="009E648D"/>
    <w:rsid w:val="009F09A2"/>
    <w:rsid w:val="009F12A7"/>
    <w:rsid w:val="009F34C8"/>
    <w:rsid w:val="00A01F81"/>
    <w:rsid w:val="00A035F6"/>
    <w:rsid w:val="00A043F1"/>
    <w:rsid w:val="00A06C41"/>
    <w:rsid w:val="00A075D1"/>
    <w:rsid w:val="00A075D7"/>
    <w:rsid w:val="00A12C17"/>
    <w:rsid w:val="00A12E59"/>
    <w:rsid w:val="00A15AA5"/>
    <w:rsid w:val="00A205DB"/>
    <w:rsid w:val="00A267F0"/>
    <w:rsid w:val="00A333A9"/>
    <w:rsid w:val="00A33DDD"/>
    <w:rsid w:val="00A33E6D"/>
    <w:rsid w:val="00A349E5"/>
    <w:rsid w:val="00A42834"/>
    <w:rsid w:val="00A42EF0"/>
    <w:rsid w:val="00A4338B"/>
    <w:rsid w:val="00A44216"/>
    <w:rsid w:val="00A464DB"/>
    <w:rsid w:val="00A502D4"/>
    <w:rsid w:val="00A56BFC"/>
    <w:rsid w:val="00A5740D"/>
    <w:rsid w:val="00A57770"/>
    <w:rsid w:val="00A6105D"/>
    <w:rsid w:val="00A61FF9"/>
    <w:rsid w:val="00A657B1"/>
    <w:rsid w:val="00A676F5"/>
    <w:rsid w:val="00A71505"/>
    <w:rsid w:val="00A7301D"/>
    <w:rsid w:val="00A73C34"/>
    <w:rsid w:val="00A7417A"/>
    <w:rsid w:val="00A75907"/>
    <w:rsid w:val="00A76264"/>
    <w:rsid w:val="00A77FA0"/>
    <w:rsid w:val="00A82354"/>
    <w:rsid w:val="00A94D11"/>
    <w:rsid w:val="00A95042"/>
    <w:rsid w:val="00A95A19"/>
    <w:rsid w:val="00A95B60"/>
    <w:rsid w:val="00A975AA"/>
    <w:rsid w:val="00AA19EA"/>
    <w:rsid w:val="00AA24C4"/>
    <w:rsid w:val="00AA5DE1"/>
    <w:rsid w:val="00AB0333"/>
    <w:rsid w:val="00AB2300"/>
    <w:rsid w:val="00AB2608"/>
    <w:rsid w:val="00AB340A"/>
    <w:rsid w:val="00AB5C3C"/>
    <w:rsid w:val="00AB5DE3"/>
    <w:rsid w:val="00AB639B"/>
    <w:rsid w:val="00AD1E7A"/>
    <w:rsid w:val="00AD3470"/>
    <w:rsid w:val="00AD35A7"/>
    <w:rsid w:val="00AD501E"/>
    <w:rsid w:val="00AD5CDC"/>
    <w:rsid w:val="00AD6AE3"/>
    <w:rsid w:val="00AE0A4C"/>
    <w:rsid w:val="00AE1AB1"/>
    <w:rsid w:val="00AE1B1A"/>
    <w:rsid w:val="00AE5E14"/>
    <w:rsid w:val="00AE7F00"/>
    <w:rsid w:val="00AF26CE"/>
    <w:rsid w:val="00AF4C75"/>
    <w:rsid w:val="00B01082"/>
    <w:rsid w:val="00B017DF"/>
    <w:rsid w:val="00B029F5"/>
    <w:rsid w:val="00B057DD"/>
    <w:rsid w:val="00B06D63"/>
    <w:rsid w:val="00B10079"/>
    <w:rsid w:val="00B1063F"/>
    <w:rsid w:val="00B1561F"/>
    <w:rsid w:val="00B17041"/>
    <w:rsid w:val="00B21382"/>
    <w:rsid w:val="00B237EF"/>
    <w:rsid w:val="00B2650B"/>
    <w:rsid w:val="00B27D53"/>
    <w:rsid w:val="00B32DB0"/>
    <w:rsid w:val="00B33BDE"/>
    <w:rsid w:val="00B34CF0"/>
    <w:rsid w:val="00B37102"/>
    <w:rsid w:val="00B40303"/>
    <w:rsid w:val="00B42A33"/>
    <w:rsid w:val="00B43221"/>
    <w:rsid w:val="00B432E1"/>
    <w:rsid w:val="00B43ABC"/>
    <w:rsid w:val="00B43AC6"/>
    <w:rsid w:val="00B43C3F"/>
    <w:rsid w:val="00B44F7D"/>
    <w:rsid w:val="00B54CF9"/>
    <w:rsid w:val="00B55864"/>
    <w:rsid w:val="00B560AA"/>
    <w:rsid w:val="00B615D7"/>
    <w:rsid w:val="00B70B72"/>
    <w:rsid w:val="00B74743"/>
    <w:rsid w:val="00B768E7"/>
    <w:rsid w:val="00B76CA3"/>
    <w:rsid w:val="00B80B19"/>
    <w:rsid w:val="00B83160"/>
    <w:rsid w:val="00B8509C"/>
    <w:rsid w:val="00B9529F"/>
    <w:rsid w:val="00B965DA"/>
    <w:rsid w:val="00B971AE"/>
    <w:rsid w:val="00B97331"/>
    <w:rsid w:val="00BA19D2"/>
    <w:rsid w:val="00BA1F2C"/>
    <w:rsid w:val="00BA34CB"/>
    <w:rsid w:val="00BA50A0"/>
    <w:rsid w:val="00BA6478"/>
    <w:rsid w:val="00BB6C95"/>
    <w:rsid w:val="00BC5FF1"/>
    <w:rsid w:val="00BC6B81"/>
    <w:rsid w:val="00BC6CFD"/>
    <w:rsid w:val="00BC71A3"/>
    <w:rsid w:val="00BC791E"/>
    <w:rsid w:val="00BD1E12"/>
    <w:rsid w:val="00BD3338"/>
    <w:rsid w:val="00BD3CC9"/>
    <w:rsid w:val="00BD41B3"/>
    <w:rsid w:val="00BD421E"/>
    <w:rsid w:val="00BE0AEE"/>
    <w:rsid w:val="00BE3FF1"/>
    <w:rsid w:val="00BE522E"/>
    <w:rsid w:val="00BE5438"/>
    <w:rsid w:val="00BE78BA"/>
    <w:rsid w:val="00C019D0"/>
    <w:rsid w:val="00C0602F"/>
    <w:rsid w:val="00C2181F"/>
    <w:rsid w:val="00C24878"/>
    <w:rsid w:val="00C34E7D"/>
    <w:rsid w:val="00C40488"/>
    <w:rsid w:val="00C42668"/>
    <w:rsid w:val="00C5078E"/>
    <w:rsid w:val="00C5092C"/>
    <w:rsid w:val="00C525AB"/>
    <w:rsid w:val="00C5574C"/>
    <w:rsid w:val="00C61A36"/>
    <w:rsid w:val="00C645F4"/>
    <w:rsid w:val="00C64B45"/>
    <w:rsid w:val="00C665CE"/>
    <w:rsid w:val="00C67FEA"/>
    <w:rsid w:val="00C70D1D"/>
    <w:rsid w:val="00C71BED"/>
    <w:rsid w:val="00C71C1B"/>
    <w:rsid w:val="00C805FD"/>
    <w:rsid w:val="00C825A1"/>
    <w:rsid w:val="00C83DE6"/>
    <w:rsid w:val="00C877A3"/>
    <w:rsid w:val="00C90C41"/>
    <w:rsid w:val="00C927B6"/>
    <w:rsid w:val="00C95177"/>
    <w:rsid w:val="00C97252"/>
    <w:rsid w:val="00C97E47"/>
    <w:rsid w:val="00CA1C39"/>
    <w:rsid w:val="00CA6180"/>
    <w:rsid w:val="00CA6A59"/>
    <w:rsid w:val="00CA7374"/>
    <w:rsid w:val="00CB0B16"/>
    <w:rsid w:val="00CB263D"/>
    <w:rsid w:val="00CB43CF"/>
    <w:rsid w:val="00CB5B0A"/>
    <w:rsid w:val="00CB7424"/>
    <w:rsid w:val="00CD2BD9"/>
    <w:rsid w:val="00CD4B3B"/>
    <w:rsid w:val="00CD5751"/>
    <w:rsid w:val="00CD5831"/>
    <w:rsid w:val="00CE5CFE"/>
    <w:rsid w:val="00CE75A9"/>
    <w:rsid w:val="00CF3263"/>
    <w:rsid w:val="00CF6D8E"/>
    <w:rsid w:val="00CF7C24"/>
    <w:rsid w:val="00CF7C28"/>
    <w:rsid w:val="00D0217B"/>
    <w:rsid w:val="00D026FE"/>
    <w:rsid w:val="00D03040"/>
    <w:rsid w:val="00D03562"/>
    <w:rsid w:val="00D0532C"/>
    <w:rsid w:val="00D056BB"/>
    <w:rsid w:val="00D0656A"/>
    <w:rsid w:val="00D07ED2"/>
    <w:rsid w:val="00D10505"/>
    <w:rsid w:val="00D12134"/>
    <w:rsid w:val="00D12F67"/>
    <w:rsid w:val="00D136CB"/>
    <w:rsid w:val="00D14309"/>
    <w:rsid w:val="00D14DE2"/>
    <w:rsid w:val="00D22F01"/>
    <w:rsid w:val="00D25207"/>
    <w:rsid w:val="00D32911"/>
    <w:rsid w:val="00D36696"/>
    <w:rsid w:val="00D40C1C"/>
    <w:rsid w:val="00D4233B"/>
    <w:rsid w:val="00D42C88"/>
    <w:rsid w:val="00D43EE6"/>
    <w:rsid w:val="00D44C4A"/>
    <w:rsid w:val="00D455CE"/>
    <w:rsid w:val="00D46D5E"/>
    <w:rsid w:val="00D5104B"/>
    <w:rsid w:val="00D5514C"/>
    <w:rsid w:val="00D56344"/>
    <w:rsid w:val="00D574C6"/>
    <w:rsid w:val="00D6061B"/>
    <w:rsid w:val="00D63195"/>
    <w:rsid w:val="00D645B6"/>
    <w:rsid w:val="00D65F59"/>
    <w:rsid w:val="00D66495"/>
    <w:rsid w:val="00D67161"/>
    <w:rsid w:val="00D71A0B"/>
    <w:rsid w:val="00D76507"/>
    <w:rsid w:val="00D76BAA"/>
    <w:rsid w:val="00D77369"/>
    <w:rsid w:val="00D83C43"/>
    <w:rsid w:val="00D8613C"/>
    <w:rsid w:val="00D87F13"/>
    <w:rsid w:val="00D96F48"/>
    <w:rsid w:val="00DB0A26"/>
    <w:rsid w:val="00DB16DE"/>
    <w:rsid w:val="00DB414D"/>
    <w:rsid w:val="00DB52FC"/>
    <w:rsid w:val="00DC5762"/>
    <w:rsid w:val="00DC7674"/>
    <w:rsid w:val="00DC7CF1"/>
    <w:rsid w:val="00DD2517"/>
    <w:rsid w:val="00DD2696"/>
    <w:rsid w:val="00DD2862"/>
    <w:rsid w:val="00DD433A"/>
    <w:rsid w:val="00DE525F"/>
    <w:rsid w:val="00DF208B"/>
    <w:rsid w:val="00DF2595"/>
    <w:rsid w:val="00DF41FE"/>
    <w:rsid w:val="00DF58D3"/>
    <w:rsid w:val="00DF61EB"/>
    <w:rsid w:val="00DF62AD"/>
    <w:rsid w:val="00DF6996"/>
    <w:rsid w:val="00DF7022"/>
    <w:rsid w:val="00DF7E3D"/>
    <w:rsid w:val="00E1397A"/>
    <w:rsid w:val="00E172B5"/>
    <w:rsid w:val="00E2449B"/>
    <w:rsid w:val="00E32D9C"/>
    <w:rsid w:val="00E34368"/>
    <w:rsid w:val="00E34EE7"/>
    <w:rsid w:val="00E41797"/>
    <w:rsid w:val="00E41F50"/>
    <w:rsid w:val="00E428DE"/>
    <w:rsid w:val="00E47589"/>
    <w:rsid w:val="00E47E10"/>
    <w:rsid w:val="00E54C6E"/>
    <w:rsid w:val="00E557FB"/>
    <w:rsid w:val="00E60AC8"/>
    <w:rsid w:val="00E6268D"/>
    <w:rsid w:val="00E62BD0"/>
    <w:rsid w:val="00E65EFC"/>
    <w:rsid w:val="00E67C96"/>
    <w:rsid w:val="00E72DA2"/>
    <w:rsid w:val="00E73403"/>
    <w:rsid w:val="00E76678"/>
    <w:rsid w:val="00E8164F"/>
    <w:rsid w:val="00E83548"/>
    <w:rsid w:val="00E863F4"/>
    <w:rsid w:val="00E8670C"/>
    <w:rsid w:val="00E86F9C"/>
    <w:rsid w:val="00E87564"/>
    <w:rsid w:val="00E877C4"/>
    <w:rsid w:val="00E9022C"/>
    <w:rsid w:val="00E96426"/>
    <w:rsid w:val="00E976D2"/>
    <w:rsid w:val="00EA10AF"/>
    <w:rsid w:val="00EA48F2"/>
    <w:rsid w:val="00EA7836"/>
    <w:rsid w:val="00EB1FEC"/>
    <w:rsid w:val="00EB2497"/>
    <w:rsid w:val="00EB4076"/>
    <w:rsid w:val="00EB7135"/>
    <w:rsid w:val="00EC0AE8"/>
    <w:rsid w:val="00EC2134"/>
    <w:rsid w:val="00EC2F4E"/>
    <w:rsid w:val="00EC5CED"/>
    <w:rsid w:val="00EC72D3"/>
    <w:rsid w:val="00ED18EE"/>
    <w:rsid w:val="00ED1D2E"/>
    <w:rsid w:val="00ED2092"/>
    <w:rsid w:val="00ED43AC"/>
    <w:rsid w:val="00ED63A3"/>
    <w:rsid w:val="00ED6E89"/>
    <w:rsid w:val="00EE6FAC"/>
    <w:rsid w:val="00EF243A"/>
    <w:rsid w:val="00EF2D74"/>
    <w:rsid w:val="00F137B8"/>
    <w:rsid w:val="00F1491A"/>
    <w:rsid w:val="00F16AA6"/>
    <w:rsid w:val="00F17C20"/>
    <w:rsid w:val="00F17F4B"/>
    <w:rsid w:val="00F219B5"/>
    <w:rsid w:val="00F2216E"/>
    <w:rsid w:val="00F222E2"/>
    <w:rsid w:val="00F245BF"/>
    <w:rsid w:val="00F31E40"/>
    <w:rsid w:val="00F34E7A"/>
    <w:rsid w:val="00F421F2"/>
    <w:rsid w:val="00F4370C"/>
    <w:rsid w:val="00F47A41"/>
    <w:rsid w:val="00F61943"/>
    <w:rsid w:val="00F627D3"/>
    <w:rsid w:val="00F63654"/>
    <w:rsid w:val="00F65743"/>
    <w:rsid w:val="00F65EA8"/>
    <w:rsid w:val="00F72AAA"/>
    <w:rsid w:val="00F73684"/>
    <w:rsid w:val="00F73F53"/>
    <w:rsid w:val="00F74D23"/>
    <w:rsid w:val="00F766EB"/>
    <w:rsid w:val="00F83583"/>
    <w:rsid w:val="00F84B4B"/>
    <w:rsid w:val="00F84D41"/>
    <w:rsid w:val="00F90B7D"/>
    <w:rsid w:val="00F94E39"/>
    <w:rsid w:val="00FA08ED"/>
    <w:rsid w:val="00FA5DBC"/>
    <w:rsid w:val="00FA6ABB"/>
    <w:rsid w:val="00FA7C9E"/>
    <w:rsid w:val="00FB0CE0"/>
    <w:rsid w:val="00FB4476"/>
    <w:rsid w:val="00FB6211"/>
    <w:rsid w:val="00FB66F1"/>
    <w:rsid w:val="00FC1637"/>
    <w:rsid w:val="00FC6ABA"/>
    <w:rsid w:val="00FD67D1"/>
    <w:rsid w:val="00FD6D91"/>
    <w:rsid w:val="00FD6F3A"/>
    <w:rsid w:val="00FD739D"/>
    <w:rsid w:val="00FE2EC2"/>
    <w:rsid w:val="00FE300F"/>
    <w:rsid w:val="00FF0716"/>
    <w:rsid w:val="00FF1661"/>
    <w:rsid w:val="00FF2F28"/>
    <w:rsid w:val="00FF5217"/>
    <w:rsid w:val="00FF5798"/>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E9AF"/>
  <w15:chartTrackingRefBased/>
  <w15:docId w15:val="{BFD0FCF0-CB6B-411E-97DF-EEF232FD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F0"/>
    <w:rPr>
      <w:lang w:val="en-GB"/>
    </w:rPr>
  </w:style>
  <w:style w:type="paragraph" w:styleId="Heading1">
    <w:name w:val="heading 1"/>
    <w:basedOn w:val="Normal"/>
    <w:next w:val="Normal"/>
    <w:link w:val="Heading1Char"/>
    <w:uiPriority w:val="9"/>
    <w:qFormat/>
    <w:rsid w:val="000C12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F1"/>
    <w:pPr>
      <w:ind w:left="720"/>
      <w:contextualSpacing/>
    </w:pPr>
  </w:style>
  <w:style w:type="character" w:styleId="Hyperlink">
    <w:name w:val="Hyperlink"/>
    <w:basedOn w:val="DefaultParagraphFont"/>
    <w:uiPriority w:val="99"/>
    <w:unhideWhenUsed/>
    <w:rsid w:val="00A043F1"/>
    <w:rPr>
      <w:color w:val="0563C1" w:themeColor="hyperlink"/>
      <w:u w:val="single"/>
    </w:rPr>
  </w:style>
  <w:style w:type="paragraph" w:styleId="Caption">
    <w:name w:val="caption"/>
    <w:basedOn w:val="Normal"/>
    <w:next w:val="Normal"/>
    <w:uiPriority w:val="35"/>
    <w:unhideWhenUsed/>
    <w:qFormat/>
    <w:rsid w:val="00F219B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E5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438"/>
  </w:style>
  <w:style w:type="paragraph" w:styleId="Footer">
    <w:name w:val="footer"/>
    <w:basedOn w:val="Normal"/>
    <w:link w:val="FooterChar"/>
    <w:uiPriority w:val="99"/>
    <w:unhideWhenUsed/>
    <w:rsid w:val="00BE5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438"/>
  </w:style>
  <w:style w:type="paragraph" w:styleId="NormalWeb">
    <w:name w:val="Normal (Web)"/>
    <w:basedOn w:val="Normal"/>
    <w:uiPriority w:val="99"/>
    <w:semiHidden/>
    <w:unhideWhenUsed/>
    <w:rsid w:val="00B43C3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PlainTable3">
    <w:name w:val="Plain Table 3"/>
    <w:basedOn w:val="TableNormal"/>
    <w:uiPriority w:val="43"/>
    <w:rsid w:val="00E428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E428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E428DE"/>
    <w:rPr>
      <w:sz w:val="16"/>
      <w:szCs w:val="16"/>
    </w:rPr>
  </w:style>
  <w:style w:type="paragraph" w:styleId="CommentText">
    <w:name w:val="annotation text"/>
    <w:basedOn w:val="Normal"/>
    <w:link w:val="CommentTextChar"/>
    <w:uiPriority w:val="99"/>
    <w:semiHidden/>
    <w:unhideWhenUsed/>
    <w:rsid w:val="00E428DE"/>
    <w:pPr>
      <w:spacing w:line="240" w:lineRule="auto"/>
    </w:pPr>
    <w:rPr>
      <w:sz w:val="20"/>
      <w:szCs w:val="20"/>
    </w:rPr>
  </w:style>
  <w:style w:type="character" w:customStyle="1" w:styleId="CommentTextChar">
    <w:name w:val="Comment Text Char"/>
    <w:basedOn w:val="DefaultParagraphFont"/>
    <w:link w:val="CommentText"/>
    <w:uiPriority w:val="99"/>
    <w:semiHidden/>
    <w:rsid w:val="00E428DE"/>
    <w:rPr>
      <w:sz w:val="20"/>
      <w:szCs w:val="20"/>
    </w:rPr>
  </w:style>
  <w:style w:type="paragraph" w:styleId="BalloonText">
    <w:name w:val="Balloon Text"/>
    <w:basedOn w:val="Normal"/>
    <w:link w:val="BalloonTextChar"/>
    <w:uiPriority w:val="99"/>
    <w:semiHidden/>
    <w:unhideWhenUsed/>
    <w:rsid w:val="00E42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8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0066"/>
    <w:rPr>
      <w:b/>
      <w:bCs/>
    </w:rPr>
  </w:style>
  <w:style w:type="character" w:customStyle="1" w:styleId="CommentSubjectChar">
    <w:name w:val="Comment Subject Char"/>
    <w:basedOn w:val="CommentTextChar"/>
    <w:link w:val="CommentSubject"/>
    <w:uiPriority w:val="99"/>
    <w:semiHidden/>
    <w:rsid w:val="00280066"/>
    <w:rPr>
      <w:b/>
      <w:bCs/>
      <w:sz w:val="20"/>
      <w:szCs w:val="20"/>
    </w:rPr>
  </w:style>
  <w:style w:type="character" w:customStyle="1" w:styleId="UnresolvedMention1">
    <w:name w:val="Unresolved Mention1"/>
    <w:basedOn w:val="DefaultParagraphFont"/>
    <w:uiPriority w:val="99"/>
    <w:semiHidden/>
    <w:unhideWhenUsed/>
    <w:rsid w:val="008B477E"/>
    <w:rPr>
      <w:color w:val="605E5C"/>
      <w:shd w:val="clear" w:color="auto" w:fill="E1DFDD"/>
    </w:rPr>
  </w:style>
  <w:style w:type="character" w:styleId="HTMLCite">
    <w:name w:val="HTML Cite"/>
    <w:basedOn w:val="DefaultParagraphFont"/>
    <w:uiPriority w:val="99"/>
    <w:semiHidden/>
    <w:unhideWhenUsed/>
    <w:rsid w:val="00E863F4"/>
    <w:rPr>
      <w:i/>
      <w:iCs/>
    </w:rPr>
  </w:style>
  <w:style w:type="table" w:styleId="ListTable6ColourfulAccent3">
    <w:name w:val="List Table 6 Colorful Accent 3"/>
    <w:basedOn w:val="TableNormal"/>
    <w:uiPriority w:val="51"/>
    <w:rsid w:val="00B768E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rsid w:val="00B06D63"/>
    <w:rPr>
      <w:color w:val="605E5C"/>
      <w:shd w:val="clear" w:color="auto" w:fill="E1DFDD"/>
    </w:rPr>
  </w:style>
  <w:style w:type="paragraph" w:styleId="Revision">
    <w:name w:val="Revision"/>
    <w:hidden/>
    <w:uiPriority w:val="99"/>
    <w:semiHidden/>
    <w:rsid w:val="007567AE"/>
    <w:pPr>
      <w:spacing w:after="0" w:line="240" w:lineRule="auto"/>
    </w:pPr>
  </w:style>
  <w:style w:type="character" w:customStyle="1" w:styleId="Heading1Char">
    <w:name w:val="Heading 1 Char"/>
    <w:basedOn w:val="DefaultParagraphFont"/>
    <w:link w:val="Heading1"/>
    <w:uiPriority w:val="9"/>
    <w:rsid w:val="000C1289"/>
    <w:rPr>
      <w:rFonts w:asciiTheme="majorHAnsi" w:eastAsiaTheme="majorEastAsia" w:hAnsiTheme="majorHAnsi" w:cstheme="majorBidi"/>
      <w:color w:val="2F5496" w:themeColor="accent1" w:themeShade="BF"/>
      <w:sz w:val="32"/>
      <w:szCs w:val="32"/>
    </w:rPr>
  </w:style>
  <w:style w:type="character" w:customStyle="1" w:styleId="UnresolvedMention3">
    <w:name w:val="Unresolved Mention3"/>
    <w:basedOn w:val="DefaultParagraphFont"/>
    <w:uiPriority w:val="99"/>
    <w:semiHidden/>
    <w:unhideWhenUsed/>
    <w:rsid w:val="000C1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37968">
      <w:bodyDiv w:val="1"/>
      <w:marLeft w:val="0"/>
      <w:marRight w:val="0"/>
      <w:marTop w:val="0"/>
      <w:marBottom w:val="0"/>
      <w:divBdr>
        <w:top w:val="none" w:sz="0" w:space="0" w:color="auto"/>
        <w:left w:val="none" w:sz="0" w:space="0" w:color="auto"/>
        <w:bottom w:val="none" w:sz="0" w:space="0" w:color="auto"/>
        <w:right w:val="none" w:sz="0" w:space="0" w:color="auto"/>
      </w:divBdr>
    </w:div>
    <w:div w:id="925302862">
      <w:bodyDiv w:val="1"/>
      <w:marLeft w:val="0"/>
      <w:marRight w:val="0"/>
      <w:marTop w:val="0"/>
      <w:marBottom w:val="0"/>
      <w:divBdr>
        <w:top w:val="none" w:sz="0" w:space="0" w:color="auto"/>
        <w:left w:val="none" w:sz="0" w:space="0" w:color="auto"/>
        <w:bottom w:val="none" w:sz="0" w:space="0" w:color="auto"/>
        <w:right w:val="none" w:sz="0" w:space="0" w:color="auto"/>
      </w:divBdr>
    </w:div>
    <w:div w:id="984965467">
      <w:bodyDiv w:val="1"/>
      <w:marLeft w:val="0"/>
      <w:marRight w:val="0"/>
      <w:marTop w:val="0"/>
      <w:marBottom w:val="0"/>
      <w:divBdr>
        <w:top w:val="none" w:sz="0" w:space="0" w:color="auto"/>
        <w:left w:val="none" w:sz="0" w:space="0" w:color="auto"/>
        <w:bottom w:val="none" w:sz="0" w:space="0" w:color="auto"/>
        <w:right w:val="none" w:sz="0" w:space="0" w:color="auto"/>
      </w:divBdr>
    </w:div>
    <w:div w:id="1107624927">
      <w:bodyDiv w:val="1"/>
      <w:marLeft w:val="0"/>
      <w:marRight w:val="0"/>
      <w:marTop w:val="0"/>
      <w:marBottom w:val="0"/>
      <w:divBdr>
        <w:top w:val="none" w:sz="0" w:space="0" w:color="auto"/>
        <w:left w:val="none" w:sz="0" w:space="0" w:color="auto"/>
        <w:bottom w:val="none" w:sz="0" w:space="0" w:color="auto"/>
        <w:right w:val="none" w:sz="0" w:space="0" w:color="auto"/>
      </w:divBdr>
      <w:divsChild>
        <w:div w:id="443769611">
          <w:marLeft w:val="0"/>
          <w:marRight w:val="0"/>
          <w:marTop w:val="0"/>
          <w:marBottom w:val="0"/>
          <w:divBdr>
            <w:top w:val="none" w:sz="0" w:space="0" w:color="auto"/>
            <w:left w:val="none" w:sz="0" w:space="0" w:color="auto"/>
            <w:bottom w:val="none" w:sz="0" w:space="0" w:color="auto"/>
            <w:right w:val="none" w:sz="0" w:space="0" w:color="auto"/>
          </w:divBdr>
        </w:div>
        <w:div w:id="1020085675">
          <w:marLeft w:val="0"/>
          <w:marRight w:val="0"/>
          <w:marTop w:val="0"/>
          <w:marBottom w:val="0"/>
          <w:divBdr>
            <w:top w:val="none" w:sz="0" w:space="0" w:color="auto"/>
            <w:left w:val="none" w:sz="0" w:space="0" w:color="auto"/>
            <w:bottom w:val="none" w:sz="0" w:space="0" w:color="auto"/>
            <w:right w:val="none" w:sz="0" w:space="0" w:color="auto"/>
          </w:divBdr>
        </w:div>
        <w:div w:id="1020814917">
          <w:marLeft w:val="0"/>
          <w:marRight w:val="0"/>
          <w:marTop w:val="0"/>
          <w:marBottom w:val="0"/>
          <w:divBdr>
            <w:top w:val="none" w:sz="0" w:space="0" w:color="auto"/>
            <w:left w:val="none" w:sz="0" w:space="0" w:color="auto"/>
            <w:bottom w:val="none" w:sz="0" w:space="0" w:color="auto"/>
            <w:right w:val="none" w:sz="0" w:space="0" w:color="auto"/>
          </w:divBdr>
        </w:div>
      </w:divsChild>
    </w:div>
    <w:div w:id="1214922163">
      <w:bodyDiv w:val="1"/>
      <w:marLeft w:val="0"/>
      <w:marRight w:val="0"/>
      <w:marTop w:val="0"/>
      <w:marBottom w:val="0"/>
      <w:divBdr>
        <w:top w:val="none" w:sz="0" w:space="0" w:color="auto"/>
        <w:left w:val="none" w:sz="0" w:space="0" w:color="auto"/>
        <w:bottom w:val="none" w:sz="0" w:space="0" w:color="auto"/>
        <w:right w:val="none" w:sz="0" w:space="0" w:color="auto"/>
      </w:divBdr>
      <w:divsChild>
        <w:div w:id="947082214">
          <w:marLeft w:val="0"/>
          <w:marRight w:val="0"/>
          <w:marTop w:val="0"/>
          <w:marBottom w:val="0"/>
          <w:divBdr>
            <w:top w:val="none" w:sz="0" w:space="0" w:color="auto"/>
            <w:left w:val="none" w:sz="0" w:space="0" w:color="auto"/>
            <w:bottom w:val="none" w:sz="0" w:space="0" w:color="auto"/>
            <w:right w:val="none" w:sz="0" w:space="0" w:color="auto"/>
          </w:divBdr>
        </w:div>
        <w:div w:id="994533714">
          <w:marLeft w:val="0"/>
          <w:marRight w:val="0"/>
          <w:marTop w:val="0"/>
          <w:marBottom w:val="0"/>
          <w:divBdr>
            <w:top w:val="none" w:sz="0" w:space="0" w:color="auto"/>
            <w:left w:val="none" w:sz="0" w:space="0" w:color="auto"/>
            <w:bottom w:val="none" w:sz="0" w:space="0" w:color="auto"/>
            <w:right w:val="none" w:sz="0" w:space="0" w:color="auto"/>
          </w:divBdr>
        </w:div>
        <w:div w:id="1015569273">
          <w:marLeft w:val="0"/>
          <w:marRight w:val="0"/>
          <w:marTop w:val="0"/>
          <w:marBottom w:val="0"/>
          <w:divBdr>
            <w:top w:val="none" w:sz="0" w:space="0" w:color="auto"/>
            <w:left w:val="none" w:sz="0" w:space="0" w:color="auto"/>
            <w:bottom w:val="none" w:sz="0" w:space="0" w:color="auto"/>
            <w:right w:val="none" w:sz="0" w:space="0" w:color="auto"/>
          </w:divBdr>
        </w:div>
      </w:divsChild>
    </w:div>
    <w:div w:id="1378161868">
      <w:bodyDiv w:val="1"/>
      <w:marLeft w:val="0"/>
      <w:marRight w:val="0"/>
      <w:marTop w:val="0"/>
      <w:marBottom w:val="0"/>
      <w:divBdr>
        <w:top w:val="none" w:sz="0" w:space="0" w:color="auto"/>
        <w:left w:val="none" w:sz="0" w:space="0" w:color="auto"/>
        <w:bottom w:val="none" w:sz="0" w:space="0" w:color="auto"/>
        <w:right w:val="none" w:sz="0" w:space="0" w:color="auto"/>
      </w:divBdr>
    </w:div>
    <w:div w:id="1487552873">
      <w:bodyDiv w:val="1"/>
      <w:marLeft w:val="0"/>
      <w:marRight w:val="0"/>
      <w:marTop w:val="0"/>
      <w:marBottom w:val="0"/>
      <w:divBdr>
        <w:top w:val="none" w:sz="0" w:space="0" w:color="auto"/>
        <w:left w:val="none" w:sz="0" w:space="0" w:color="auto"/>
        <w:bottom w:val="none" w:sz="0" w:space="0" w:color="auto"/>
        <w:right w:val="none" w:sz="0" w:space="0" w:color="auto"/>
      </w:divBdr>
    </w:div>
    <w:div w:id="1665738626">
      <w:bodyDiv w:val="1"/>
      <w:marLeft w:val="0"/>
      <w:marRight w:val="0"/>
      <w:marTop w:val="0"/>
      <w:marBottom w:val="0"/>
      <w:divBdr>
        <w:top w:val="none" w:sz="0" w:space="0" w:color="auto"/>
        <w:left w:val="none" w:sz="0" w:space="0" w:color="auto"/>
        <w:bottom w:val="none" w:sz="0" w:space="0" w:color="auto"/>
        <w:right w:val="none" w:sz="0" w:space="0" w:color="auto"/>
      </w:divBdr>
      <w:divsChild>
        <w:div w:id="504714178">
          <w:marLeft w:val="0"/>
          <w:marRight w:val="0"/>
          <w:marTop w:val="0"/>
          <w:marBottom w:val="0"/>
          <w:divBdr>
            <w:top w:val="none" w:sz="0" w:space="0" w:color="auto"/>
            <w:left w:val="none" w:sz="0" w:space="0" w:color="auto"/>
            <w:bottom w:val="none" w:sz="0" w:space="0" w:color="auto"/>
            <w:right w:val="none" w:sz="0" w:space="0" w:color="auto"/>
          </w:divBdr>
        </w:div>
        <w:div w:id="823662998">
          <w:marLeft w:val="0"/>
          <w:marRight w:val="0"/>
          <w:marTop w:val="0"/>
          <w:marBottom w:val="0"/>
          <w:divBdr>
            <w:top w:val="none" w:sz="0" w:space="0" w:color="auto"/>
            <w:left w:val="none" w:sz="0" w:space="0" w:color="auto"/>
            <w:bottom w:val="none" w:sz="0" w:space="0" w:color="auto"/>
            <w:right w:val="none" w:sz="0" w:space="0" w:color="auto"/>
          </w:divBdr>
        </w:div>
        <w:div w:id="1002664489">
          <w:marLeft w:val="0"/>
          <w:marRight w:val="0"/>
          <w:marTop w:val="0"/>
          <w:marBottom w:val="0"/>
          <w:divBdr>
            <w:top w:val="none" w:sz="0" w:space="0" w:color="auto"/>
            <w:left w:val="none" w:sz="0" w:space="0" w:color="auto"/>
            <w:bottom w:val="none" w:sz="0" w:space="0" w:color="auto"/>
            <w:right w:val="none" w:sz="0" w:space="0" w:color="auto"/>
          </w:divBdr>
        </w:div>
      </w:divsChild>
    </w:div>
    <w:div w:id="1892574358">
      <w:bodyDiv w:val="1"/>
      <w:marLeft w:val="0"/>
      <w:marRight w:val="0"/>
      <w:marTop w:val="0"/>
      <w:marBottom w:val="0"/>
      <w:divBdr>
        <w:top w:val="none" w:sz="0" w:space="0" w:color="auto"/>
        <w:left w:val="none" w:sz="0" w:space="0" w:color="auto"/>
        <w:bottom w:val="none" w:sz="0" w:space="0" w:color="auto"/>
        <w:right w:val="none" w:sz="0" w:space="0" w:color="auto"/>
      </w:divBdr>
      <w:divsChild>
        <w:div w:id="1116100213">
          <w:marLeft w:val="360"/>
          <w:marRight w:val="0"/>
          <w:marTop w:val="200"/>
          <w:marBottom w:val="0"/>
          <w:divBdr>
            <w:top w:val="none" w:sz="0" w:space="0" w:color="auto"/>
            <w:left w:val="none" w:sz="0" w:space="0" w:color="auto"/>
            <w:bottom w:val="none" w:sz="0" w:space="0" w:color="auto"/>
            <w:right w:val="none" w:sz="0" w:space="0" w:color="auto"/>
          </w:divBdr>
        </w:div>
        <w:div w:id="1901166070">
          <w:marLeft w:val="360"/>
          <w:marRight w:val="0"/>
          <w:marTop w:val="200"/>
          <w:marBottom w:val="0"/>
          <w:divBdr>
            <w:top w:val="none" w:sz="0" w:space="0" w:color="auto"/>
            <w:left w:val="none" w:sz="0" w:space="0" w:color="auto"/>
            <w:bottom w:val="none" w:sz="0" w:space="0" w:color="auto"/>
            <w:right w:val="none" w:sz="0" w:space="0" w:color="auto"/>
          </w:divBdr>
        </w:div>
      </w:divsChild>
    </w:div>
    <w:div w:id="1939674755">
      <w:bodyDiv w:val="1"/>
      <w:marLeft w:val="0"/>
      <w:marRight w:val="0"/>
      <w:marTop w:val="0"/>
      <w:marBottom w:val="0"/>
      <w:divBdr>
        <w:top w:val="none" w:sz="0" w:space="0" w:color="auto"/>
        <w:left w:val="none" w:sz="0" w:space="0" w:color="auto"/>
        <w:bottom w:val="none" w:sz="0" w:space="0" w:color="auto"/>
        <w:right w:val="none" w:sz="0" w:space="0" w:color="auto"/>
      </w:divBdr>
    </w:div>
    <w:div w:id="2064478051">
      <w:bodyDiv w:val="1"/>
      <w:marLeft w:val="0"/>
      <w:marRight w:val="0"/>
      <w:marTop w:val="0"/>
      <w:marBottom w:val="0"/>
      <w:divBdr>
        <w:top w:val="none" w:sz="0" w:space="0" w:color="auto"/>
        <w:left w:val="none" w:sz="0" w:space="0" w:color="auto"/>
        <w:bottom w:val="none" w:sz="0" w:space="0" w:color="auto"/>
        <w:right w:val="none" w:sz="0" w:space="0" w:color="auto"/>
      </w:divBdr>
    </w:div>
    <w:div w:id="21433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97AA2-B371-1947-9349-6BAEC8DD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5625</Words>
  <Characters>32068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Bríana Walsh</dc:creator>
  <cp:keywords/>
  <dc:description/>
  <cp:lastModifiedBy>Henry Mwandumba</cp:lastModifiedBy>
  <cp:revision>2</cp:revision>
  <dcterms:created xsi:type="dcterms:W3CDTF">2020-04-02T13:43:00Z</dcterms:created>
  <dcterms:modified xsi:type="dcterms:W3CDTF">2020-04-02T13:43:00Z</dcterms:modified>
</cp:coreProperties>
</file>