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0D4" w:rsidRDefault="000F1516">
      <w:r>
        <w:t>Sustained benefit of cognitive behaviour therapy for health anxiety in medical patients (CHAMP) over 8 years: a randomised-controlled trial*</w:t>
      </w:r>
    </w:p>
    <w:p w:rsidR="000F1516" w:rsidRDefault="000F1516"/>
    <w:p w:rsidR="000F1516" w:rsidRDefault="000F1516">
      <w:r>
        <w:t>Background.</w:t>
      </w:r>
    </w:p>
    <w:p w:rsidR="000F1516" w:rsidRDefault="000F1516">
      <w:r>
        <w:t xml:space="preserve"> Health anxiety is an under-recognised but a frequent cause of distress. It is particularly common in general hospitals. Methods. We carried out an 8-year follow-up of medical </w:t>
      </w:r>
      <w:proofErr w:type="gramStart"/>
      <w:r>
        <w:t>out-patients</w:t>
      </w:r>
      <w:proofErr w:type="gramEnd"/>
      <w:r>
        <w:t xml:space="preserve"> with health anxiety (hypochondriasis) enrolled in a randomised-controlled trial in five general hospitals in London, Middlesex and Nottinghamshire. Randomisation was to a mean of six sessions of cognitive behaviour therapy adapted for health anxiety (CBT-HA) or to standard care in the clinics. The primary outcome was a change in score on the Short Health Anxiety Inventory, with generalised anxiety and depression as secondary outcomes. Of 444 patients aged 16–75 years seen in cardiology, endocrinology, gastroenterology, neurology and respiratory medicine clinics, 306 (68.9%) were followed-up 8 years after randomisation, including 36 who had died. The study </w:t>
      </w:r>
      <w:proofErr w:type="gramStart"/>
      <w:r>
        <w:t>is registered</w:t>
      </w:r>
      <w:proofErr w:type="gramEnd"/>
      <w:r>
        <w:t xml:space="preserve"> with controlled-trials.com, ISRCTN14565822. Results. </w:t>
      </w:r>
      <w:proofErr w:type="gramStart"/>
      <w:r>
        <w:t>There was a significant difference in the HAI score in favour of CBT-HA over standard care after 8 years [1.83, 95% confidence interval (CI) 0.25–3.40, p = 0.023], between group differences in generalised anxiety were less (0.54, 95% CI −0.29 to 1.36), p = 0.20, ns), but those for depression were greater at 8 years (1.22, 95% CI 0.42–2.01, p &lt; 0.003) in CBT-HA than in standard care, most in standard care satisfying the criteria for clinical depression.</w:t>
      </w:r>
      <w:proofErr w:type="gramEnd"/>
      <w:r>
        <w:t xml:space="preserve"> Those seen by nurse therapists and in cardiology and gastrointestinal clinics achieved the greatest gains with CBT-HA, with greater improvement in both symptoms and social function. Conclusions. CBT-HA is a highly long-term effective treatment for pathological health anxiety with long-term benefits. Standard care for health anxiety in medical clinics promotes depression. Nurse therapists are effective practitioners.</w:t>
      </w:r>
    </w:p>
    <w:p w:rsidR="000F1516" w:rsidRDefault="000F1516"/>
    <w:p w:rsidR="000F1516" w:rsidRDefault="000F1516">
      <w:r>
        <w:t>Introduction</w:t>
      </w:r>
    </w:p>
    <w:p w:rsidR="000F1516" w:rsidRDefault="000F1516">
      <w:r>
        <w:t xml:space="preserve"> Pathological health anxiety is a growing problem in all medical settings, and is likely to increase in </w:t>
      </w:r>
      <w:proofErr w:type="gramStart"/>
      <w:r>
        <w:t>prevalence</w:t>
      </w:r>
      <w:proofErr w:type="gramEnd"/>
      <w:r>
        <w:t xml:space="preserve"> as people are encouraged to take more responsibility for their health. It has suffered through being regarded for many years as identical to hypochondriasis and disorders of somatic symptomatology (</w:t>
      </w:r>
      <w:proofErr w:type="spellStart"/>
      <w:r>
        <w:t>Scarella</w:t>
      </w:r>
      <w:proofErr w:type="spellEnd"/>
      <w:r>
        <w:t xml:space="preserve">, </w:t>
      </w:r>
      <w:proofErr w:type="spellStart"/>
      <w:r>
        <w:t>Laferton</w:t>
      </w:r>
      <w:proofErr w:type="spellEnd"/>
      <w:r>
        <w:t xml:space="preserve">, Ahern, Fallon, &amp; </w:t>
      </w:r>
      <w:proofErr w:type="spellStart"/>
      <w:r>
        <w:t>Barsky</w:t>
      </w:r>
      <w:proofErr w:type="spellEnd"/>
      <w:r>
        <w:t xml:space="preserve">, 2016; Stein et al., 2016). People with abnormal health anxiety fear undetected medical illness, leading to frequent medical consultations, requests for tests, reassurance from other health professionals and even relatives, to exclude the feared disease. </w:t>
      </w:r>
      <w:proofErr w:type="gramStart"/>
      <w:r>
        <w:t xml:space="preserve">Previous trials have demonstrated the benefits of cognitive behaviour therapy in patients in primary care, both in direct face to face or group treatment (Clark et al., 1998; McManus, </w:t>
      </w:r>
      <w:proofErr w:type="spellStart"/>
      <w:r>
        <w:t>Surawy</w:t>
      </w:r>
      <w:proofErr w:type="spellEnd"/>
      <w:r>
        <w:t xml:space="preserve">, Muse, Vazquez-Montes, &amp; Williams, 2012; </w:t>
      </w:r>
      <w:proofErr w:type="spellStart"/>
      <w:r>
        <w:t>Sørensen</w:t>
      </w:r>
      <w:proofErr w:type="spellEnd"/>
      <w:r>
        <w:t xml:space="preserve">, </w:t>
      </w:r>
      <w:proofErr w:type="spellStart"/>
      <w:r>
        <w:t>Birket</w:t>
      </w:r>
      <w:proofErr w:type="spellEnd"/>
      <w:r>
        <w:t xml:space="preserve">-Smith, </w:t>
      </w:r>
      <w:proofErr w:type="spellStart"/>
      <w:r>
        <w:t>Wattar</w:t>
      </w:r>
      <w:proofErr w:type="spellEnd"/>
      <w:r>
        <w:t xml:space="preserve">, </w:t>
      </w:r>
      <w:proofErr w:type="spellStart"/>
      <w:r>
        <w:t>Buemann</w:t>
      </w:r>
      <w:proofErr w:type="spellEnd"/>
      <w:r>
        <w:t xml:space="preserve">, &amp; </w:t>
      </w:r>
      <w:proofErr w:type="spellStart"/>
      <w:r>
        <w:t>Salkovskis</w:t>
      </w:r>
      <w:proofErr w:type="spellEnd"/>
      <w:r>
        <w:t>, 2011) and by internet-directed or web-based treatment (</w:t>
      </w:r>
      <w:proofErr w:type="spellStart"/>
      <w:r>
        <w:t>Hedman</w:t>
      </w:r>
      <w:proofErr w:type="spellEnd"/>
      <w:r>
        <w:t xml:space="preserve">, </w:t>
      </w:r>
      <w:proofErr w:type="spellStart"/>
      <w:r>
        <w:t>Axelsson</w:t>
      </w:r>
      <w:proofErr w:type="spellEnd"/>
      <w:r>
        <w:t xml:space="preserve">, </w:t>
      </w:r>
      <w:proofErr w:type="spellStart"/>
      <w:r>
        <w:t>Andersson</w:t>
      </w:r>
      <w:proofErr w:type="spellEnd"/>
      <w:r>
        <w:t xml:space="preserve">, </w:t>
      </w:r>
      <w:proofErr w:type="spellStart"/>
      <w:r>
        <w:t>Lekander</w:t>
      </w:r>
      <w:proofErr w:type="spellEnd"/>
      <w:r>
        <w:t xml:space="preserve">, &amp; </w:t>
      </w:r>
      <w:proofErr w:type="spellStart"/>
      <w:r>
        <w:t>Ljótsson</w:t>
      </w:r>
      <w:proofErr w:type="spellEnd"/>
      <w:r>
        <w:t xml:space="preserve">, 2016; </w:t>
      </w:r>
      <w:proofErr w:type="spellStart"/>
      <w:r>
        <w:t>Hedman</w:t>
      </w:r>
      <w:proofErr w:type="spellEnd"/>
      <w:r>
        <w:t xml:space="preserve"> et al., 2011, 2014; </w:t>
      </w:r>
      <w:proofErr w:type="spellStart"/>
      <w:r>
        <w:t>Morriss</w:t>
      </w:r>
      <w:proofErr w:type="spellEnd"/>
      <w:r>
        <w:t xml:space="preserve"> et al., 2019).</w:t>
      </w:r>
      <w:proofErr w:type="gramEnd"/>
      <w:r>
        <w:t xml:space="preserve"> Almost all of these studies have been with patients who are already aware that they have health anxiety. This is very different from the circumstances in a secondary medical care where so many of these patients have had medical illnesses and present without realising their fears are pathological. In the CHAMP (Cognitive behaviour therapy for Health Anxiety in Medical Patients) trial, these latter patients </w:t>
      </w:r>
      <w:proofErr w:type="gramStart"/>
      <w:r>
        <w:t>were recruited</w:t>
      </w:r>
      <w:proofErr w:type="gramEnd"/>
      <w:r>
        <w:t xml:space="preserve"> to a randomised trial of cognitive behaviour therapy adapted for health anxiety (CBT-HA) or standard care in the clinics. After 2 years, greater clinical benefit for anxiety symptoms </w:t>
      </w:r>
      <w:proofErr w:type="gramStart"/>
      <w:r>
        <w:t>was found</w:t>
      </w:r>
      <w:proofErr w:type="gramEnd"/>
      <w:r>
        <w:t xml:space="preserve"> in the CBT-HA group with partial cost offset for the treatment given (</w:t>
      </w:r>
      <w:proofErr w:type="spellStart"/>
      <w:r>
        <w:t>Tyrer</w:t>
      </w:r>
      <w:proofErr w:type="spellEnd"/>
      <w:r>
        <w:t xml:space="preserve"> et al., 2014). Because </w:t>
      </w:r>
      <w:r>
        <w:lastRenderedPageBreak/>
        <w:t xml:space="preserve">benefits were </w:t>
      </w:r>
      <w:proofErr w:type="gramStart"/>
      <w:r>
        <w:t>sustained</w:t>
      </w:r>
      <w:proofErr w:type="gramEnd"/>
      <w:r>
        <w:t xml:space="preserve"> the study received funding to extend to 8 years of follow-up after randomisation.</w:t>
      </w:r>
    </w:p>
    <w:p w:rsidR="000F1516" w:rsidRDefault="000F1516"/>
    <w:p w:rsidR="000F1516" w:rsidRDefault="000F1516">
      <w:r>
        <w:t>Method</w:t>
      </w:r>
    </w:p>
    <w:p w:rsidR="000F1516" w:rsidRDefault="000F1516">
      <w:r>
        <w:t xml:space="preserve"> The CHAMP study was a pragmatic randomised-controlled trial. It had two parallel arms with equal randomisation of eligible patients to (</w:t>
      </w:r>
      <w:proofErr w:type="spellStart"/>
      <w:r>
        <w:t>i</w:t>
      </w:r>
      <w:proofErr w:type="spellEnd"/>
      <w:r>
        <w:t>) 5–10 sessions of CBT-HA or (ii) standard care as usual in the clinics. The primary outcome was set as reduction of symptoms of health anxiety, measured by the Short Health Anxiety Inventory (SHAI), after 1 year (</w:t>
      </w:r>
      <w:proofErr w:type="spellStart"/>
      <w:r>
        <w:t>Tyrer</w:t>
      </w:r>
      <w:proofErr w:type="spellEnd"/>
      <w:r>
        <w:t xml:space="preserve"> et al., 2014), but the intention at the outset was to carry out a long-term follow-up as there was uncertainty about the stability of health anxiety over time. Patients who had pre-existing medical illness were included if their health anxiety was considered to be independent; in this respect the study differed from many others in which people with physical illness were excluded. </w:t>
      </w:r>
      <w:proofErr w:type="gramStart"/>
      <w:r>
        <w:t>As this was a pragmatic trial those allocated to CBT-HA</w:t>
      </w:r>
      <w:proofErr w:type="gramEnd"/>
      <w:r>
        <w:t xml:space="preserve"> were treated by professionals who might readily be available in hospital settings, including graduate research workers, nurses or related health professionals. Those interested </w:t>
      </w:r>
      <w:proofErr w:type="gramStart"/>
      <w:r>
        <w:t>were trained</w:t>
      </w:r>
      <w:proofErr w:type="gramEnd"/>
      <w:r>
        <w:t xml:space="preserve"> for this intervention in advance by attendance at two workshops, and during treatment were supervised by experienced staff. Therapists </w:t>
      </w:r>
      <w:proofErr w:type="gramStart"/>
      <w:r>
        <w:t>were not randomised</w:t>
      </w:r>
      <w:proofErr w:type="gramEnd"/>
      <w:r>
        <w:t xml:space="preserve"> and each patient allocated to CBT-HA was seen by the next available therapist. </w:t>
      </w:r>
      <w:proofErr w:type="gramStart"/>
      <w:r>
        <w:t>The two main initial hypotheses, based upon the results of a pilot study (</w:t>
      </w:r>
      <w:proofErr w:type="spellStart"/>
      <w:r>
        <w:t>Seivewright</w:t>
      </w:r>
      <w:proofErr w:type="spellEnd"/>
      <w:r>
        <w:t xml:space="preserve"> et al., 2008), were that patients in the CBT-HA group would have lower levels of health anxiety (SHAI scores) 1 year after randomisation to the trial than those treated in standard care and that, from a health and social care perspective, the costs of the CBT-HA and standard groups would be equivalent at 2 years (i.e. costs of CBT-HA would be offset by savings in other areas).</w:t>
      </w:r>
      <w:proofErr w:type="gramEnd"/>
      <w:r>
        <w:t xml:space="preserve"> Assessments of health anxiety, generalised anxiety, depression, social function, quality of life and costs were made over a </w:t>
      </w:r>
      <w:proofErr w:type="gramStart"/>
      <w:r>
        <w:t>2 year</w:t>
      </w:r>
      <w:proofErr w:type="gramEnd"/>
      <w:r>
        <w:t xml:space="preserve"> period after randomisation. Several secondary hypotheses were also tested, including that health anxiety at other time points, generalised anxiety and depression, and social functioning </w:t>
      </w:r>
      <w:proofErr w:type="gramStart"/>
      <w:r>
        <w:t>would also</w:t>
      </w:r>
      <w:proofErr w:type="gramEnd"/>
      <w:r>
        <w:t xml:space="preserve"> differ between CBT-HA and standard care.</w:t>
      </w:r>
    </w:p>
    <w:p w:rsidR="000F1516" w:rsidRDefault="000F1516">
      <w:r>
        <w:t xml:space="preserve">Randomisation and masking </w:t>
      </w:r>
    </w:p>
    <w:p w:rsidR="000F1516" w:rsidRDefault="000F1516">
      <w:r>
        <w:t xml:space="preserve">Eligible patients who gave consent to be randomised were allocated in a 1:1 ratio to the two arms of the study according to a computer-generated random sequence using block randomisation with varying block-size of four and six. This </w:t>
      </w:r>
      <w:proofErr w:type="gramStart"/>
      <w:r>
        <w:t>was carried out</w:t>
      </w:r>
      <w:proofErr w:type="gramEnd"/>
      <w:r>
        <w:t xml:space="preserve"> independently with the allocation sequence not available to any member of the research team until final analysis. Research assistants who collected data had no knowledge of allocation at any time.</w:t>
      </w:r>
    </w:p>
    <w:p w:rsidR="000F1516" w:rsidRDefault="000F1516">
      <w:r>
        <w:t xml:space="preserve">Settings and procedure Patients attending cardiology, endocrine, gastroenterology, neurology and respiratory medicine clinics, in six general hospitals in the UK covering urban, suburban and rural areas, </w:t>
      </w:r>
      <w:proofErr w:type="gramStart"/>
      <w:r>
        <w:t>were considered</w:t>
      </w:r>
      <w:proofErr w:type="gramEnd"/>
      <w:r>
        <w:t xml:space="preserve"> for the study. All patients attending clinics of the collaborating consultants, apart from the specific exclusions below, were approached while waiting for their out-patient appointments and, after consent, given the SHAI (</w:t>
      </w:r>
      <w:proofErr w:type="spellStart"/>
      <w:r>
        <w:t>Salkovskis</w:t>
      </w:r>
      <w:proofErr w:type="spellEnd"/>
      <w:r>
        <w:t xml:space="preserve">, Rimes, Warwick, &amp; Clark, 2002), a </w:t>
      </w:r>
      <w:proofErr w:type="spellStart"/>
      <w:r>
        <w:t>selfrating</w:t>
      </w:r>
      <w:proofErr w:type="spellEnd"/>
      <w:r>
        <w:t xml:space="preserve"> scale of 14 questions that takes 5–10 min to complete. </w:t>
      </w:r>
      <w:proofErr w:type="gramStart"/>
      <w:r>
        <w:t>Those that scored 20 or more on the scale, a point that has been shown to discriminate between persistent worry over health and normal variation (</w:t>
      </w:r>
      <w:proofErr w:type="spellStart"/>
      <w:r>
        <w:t>Hedman</w:t>
      </w:r>
      <w:proofErr w:type="spellEnd"/>
      <w:r>
        <w:t xml:space="preserve"> et al., 2015; </w:t>
      </w:r>
      <w:proofErr w:type="spellStart"/>
      <w:r>
        <w:t>Salkovskis</w:t>
      </w:r>
      <w:proofErr w:type="spellEnd"/>
      <w:r>
        <w:t xml:space="preserve"> et al., 2002) were given a brief summary of the trial and offered the opportunity of further assessment, and, if they were interested, were then given an information</w:t>
      </w:r>
      <w:r>
        <w:t xml:space="preserve"> </w:t>
      </w:r>
      <w:r>
        <w:t>sheet about the study.</w:t>
      </w:r>
      <w:proofErr w:type="gramEnd"/>
      <w:r>
        <w:t xml:space="preserve"> Those that agreed in principle to take part </w:t>
      </w:r>
      <w:proofErr w:type="gramStart"/>
      <w:r>
        <w:t>were then asked</w:t>
      </w:r>
      <w:proofErr w:type="gramEnd"/>
      <w:r>
        <w:t xml:space="preserve"> the questions in the Structured Clinical Interview for DSM-IV (First, Spitzer, Gibbon, &amp; Williams, 1996) in order to determine the diagnosis of hypochondriasis. Those that satisfied this diagnosis </w:t>
      </w:r>
      <w:proofErr w:type="gramStart"/>
      <w:r>
        <w:t>were asked</w:t>
      </w:r>
      <w:proofErr w:type="gramEnd"/>
      <w:r>
        <w:t xml:space="preserve"> for written consent to take part and baseline assessments completed. This, </w:t>
      </w:r>
      <w:r>
        <w:lastRenderedPageBreak/>
        <w:t xml:space="preserve">through necessity, involved a standard explanation of the nature and significance of health anxiety and so constituted a small intervention in all patients who entered the trial. After baseline assessment, randomisation </w:t>
      </w:r>
      <w:proofErr w:type="gramStart"/>
      <w:r>
        <w:t>was carried out</w:t>
      </w:r>
      <w:proofErr w:type="gramEnd"/>
      <w:r>
        <w:t xml:space="preserve"> by an independently operated computerised system</w:t>
      </w:r>
      <w:r>
        <w:t>.</w:t>
      </w:r>
    </w:p>
    <w:p w:rsidR="000F1516" w:rsidRDefault="000F1516">
      <w:r>
        <w:t>Interventions</w:t>
      </w:r>
    </w:p>
    <w:p w:rsidR="000F1516" w:rsidRDefault="000F1516">
      <w:r>
        <w:t xml:space="preserve"> Each patient in the CBT-HA arm of the trial </w:t>
      </w:r>
      <w:proofErr w:type="gramStart"/>
      <w:r>
        <w:t>was offered</w:t>
      </w:r>
      <w:proofErr w:type="gramEnd"/>
      <w:r>
        <w:t xml:space="preserve"> between 5 and 10 sessions of treatment initially but booster sessions were also allowed, though few were taken up. Each therapist </w:t>
      </w:r>
      <w:proofErr w:type="gramStart"/>
      <w:r>
        <w:t>was supervised</w:t>
      </w:r>
      <w:proofErr w:type="gramEnd"/>
      <w:r>
        <w:t xml:space="preserve"> at least at 2–4 week intervals during treatment to ensure consistency in treatment. Possible bias in follow-up assessments </w:t>
      </w:r>
      <w:proofErr w:type="gramStart"/>
      <w:r>
        <w:t>was reduced</w:t>
      </w:r>
      <w:proofErr w:type="gramEnd"/>
      <w:r>
        <w:t xml:space="preserve"> by replacing the research assessor with another research assistant if at any time they were unwittingly informed about the patient’s allocation status.</w:t>
      </w:r>
    </w:p>
    <w:p w:rsidR="000F1516" w:rsidRDefault="000F1516">
      <w:r>
        <w:t>Traini</w:t>
      </w:r>
      <w:r>
        <w:t>ng and fidelity of intervention</w:t>
      </w:r>
    </w:p>
    <w:p w:rsidR="000F1516" w:rsidRDefault="000F1516">
      <w:r>
        <w:t xml:space="preserve">Four senior members of the CHAMP team trained the therapists at two workshops </w:t>
      </w:r>
      <w:proofErr w:type="gramStart"/>
      <w:r>
        <w:t>and also</w:t>
      </w:r>
      <w:proofErr w:type="gramEnd"/>
      <w:r>
        <w:t xml:space="preserve"> assessed treatment fidelity. Fifty percent of all treatment sessions were audio recorded. Fidelity </w:t>
      </w:r>
      <w:proofErr w:type="gramStart"/>
      <w:r>
        <w:t>was tested</w:t>
      </w:r>
      <w:proofErr w:type="gramEnd"/>
      <w:r>
        <w:t xml:space="preserve"> using the health anxiety modification of the Cognitive Therapy Rating Scale (CTRS-HAV) (</w:t>
      </w:r>
      <w:proofErr w:type="spellStart"/>
      <w:r>
        <w:t>Tyrer</w:t>
      </w:r>
      <w:proofErr w:type="spellEnd"/>
      <w:r>
        <w:t xml:space="preserve"> et al., 2017). </w:t>
      </w:r>
      <w:proofErr w:type="gramStart"/>
      <w:r>
        <w:t>Recordings were assessed by the local supervisor</w:t>
      </w:r>
      <w:proofErr w:type="gramEnd"/>
      <w:r>
        <w:t xml:space="preserve"> and a random sample sent to a supervisor at a different site to assess the level of agreement, with further training ending only when an agreement level of 0.80 κ was reached. An independent assessor involved in the development of the original treatment (Hilary Warwick) assessed any discordant ratings. Only one of the 17 therapists failed to reach the level of competence; this person saw only five patients (</w:t>
      </w:r>
      <w:proofErr w:type="spellStart"/>
      <w:r>
        <w:t>Tyrer</w:t>
      </w:r>
      <w:proofErr w:type="spellEnd"/>
      <w:r>
        <w:t xml:space="preserve"> et al., 2014). The </w:t>
      </w:r>
      <w:proofErr w:type="gramStart"/>
      <w:r>
        <w:t>study was approved by the North Nottingham Ethics Committee (08/H0403/56) before data collection started, and for the extension period</w:t>
      </w:r>
      <w:proofErr w:type="gramEnd"/>
      <w:r>
        <w:t>.</w:t>
      </w:r>
    </w:p>
    <w:p w:rsidR="000F1516" w:rsidRDefault="000F1516">
      <w:r>
        <w:t>Inclusion and exclusion criteria</w:t>
      </w:r>
    </w:p>
    <w:p w:rsidR="000F1516" w:rsidRDefault="000F1516">
      <w:proofErr w:type="gramStart"/>
      <w:r>
        <w:t>Those who satisfied the criteria for excessive health anxiety above were included if they were (</w:t>
      </w:r>
      <w:proofErr w:type="spellStart"/>
      <w:r>
        <w:t>i</w:t>
      </w:r>
      <w:proofErr w:type="spellEnd"/>
      <w:r>
        <w:t>) aged between 16 and 75 years, (ii) permanent resident in the area, (iii) had sufficient understanding of English to read and complete study questionnaires and (iv) gave written consent for the interviews, audio-taping of 50% of treatment sessions and for access to their medical records.</w:t>
      </w:r>
      <w:proofErr w:type="gramEnd"/>
      <w:r>
        <w:t xml:space="preserve"> The presence of existing medical pathology, provided it was not a new diagnosis requiring further investigation, was not an exclusion criterion. Those with continuing major pathology that </w:t>
      </w:r>
      <w:proofErr w:type="gramStart"/>
      <w:r>
        <w:t>was considered</w:t>
      </w:r>
      <w:proofErr w:type="gramEnd"/>
      <w:r>
        <w:t xml:space="preserve"> too severe for them to take part in the study, including progressive cognitive impairment, terminal disorders and any major comorbid pathology that would interfere with psychological treatment, and those currently under psychiatric care were also excluded.</w:t>
      </w:r>
    </w:p>
    <w:p w:rsidR="000F1516" w:rsidRDefault="000F1516"/>
    <w:p w:rsidR="000F1516" w:rsidRDefault="000F1516">
      <w:r>
        <w:t>Assessments at base</w:t>
      </w:r>
      <w:r>
        <w:t>line and at intervals to 8 years.</w:t>
      </w:r>
    </w:p>
    <w:p w:rsidR="000F1516" w:rsidRDefault="000F1516">
      <w:r>
        <w:t xml:space="preserve">Over the course of the </w:t>
      </w:r>
      <w:proofErr w:type="gramStart"/>
      <w:r>
        <w:t>8 year</w:t>
      </w:r>
      <w:proofErr w:type="gramEnd"/>
      <w:r>
        <w:t xml:space="preserve"> follow–up, a standard set of assessments was carried out by research assistants unaware of treatment</w:t>
      </w:r>
      <w:r>
        <w:t xml:space="preserve"> </w:t>
      </w:r>
      <w:r>
        <w:t xml:space="preserve">allocation. This </w:t>
      </w:r>
      <w:proofErr w:type="gramStart"/>
      <w:r>
        <w:t>was administered</w:t>
      </w:r>
      <w:proofErr w:type="gramEnd"/>
      <w:r>
        <w:t xml:space="preserve"> at baseline, 6 months, 12 months, 24 months, 5 years and 8 years. Some others, particularly linked to cost-effectiveness, could not be included at </w:t>
      </w:r>
      <w:proofErr w:type="spellStart"/>
      <w:r>
        <w:t>all time</w:t>
      </w:r>
      <w:proofErr w:type="spellEnd"/>
      <w:r>
        <w:t xml:space="preserve"> points. Health anxiety (SHAI) (</w:t>
      </w:r>
      <w:proofErr w:type="spellStart"/>
      <w:r>
        <w:t>Salkovskis</w:t>
      </w:r>
      <w:proofErr w:type="spellEnd"/>
      <w:r>
        <w:t xml:space="preserve"> et al., 2002), anxiety and depression (Hospital Anxiety and Depression Scale, HADS) (</w:t>
      </w:r>
      <w:proofErr w:type="spellStart"/>
      <w:r>
        <w:t>Zigmond</w:t>
      </w:r>
      <w:proofErr w:type="spellEnd"/>
      <w:r>
        <w:t xml:space="preserve"> &amp; </w:t>
      </w:r>
      <w:proofErr w:type="spellStart"/>
      <w:r>
        <w:t>Snaith</w:t>
      </w:r>
      <w:proofErr w:type="spellEnd"/>
      <w:r>
        <w:t>, 1983) and social function (SFQ) (</w:t>
      </w:r>
      <w:proofErr w:type="spellStart"/>
      <w:r>
        <w:t>Tyrer</w:t>
      </w:r>
      <w:proofErr w:type="spellEnd"/>
      <w:r>
        <w:t xml:space="preserve"> et al., 2005) were selected as the standard assessment set; all of these were self-ratings. The component of the study primarily reported here was the 8-year follow-up, and </w:t>
      </w:r>
      <w:proofErr w:type="gramStart"/>
      <w:r>
        <w:t>was given</w:t>
      </w:r>
      <w:proofErr w:type="gramEnd"/>
      <w:r>
        <w:t xml:space="preserve"> extra weight by the fact that CBT-HA was not generally available in the NHS so that none of the patients in standard care received this particular treatment over the 8-year period. The original trial recruited 444 patients (219 to CBT-HA and 225 to standard care) between October 2008 and July 2010 from </w:t>
      </w:r>
      <w:r>
        <w:lastRenderedPageBreak/>
        <w:t>cardiology, endocrinology, gastroenterology, neurology and respiratory medicine clinics in five general hospitals in England. The difference between the mean score on the short form of the Health Anxiety Inventory (SHAI) between baseline and 8 years was the primary outcome in this follow-up study, as indeed it was at all previous times of assessment. Secondary outcomes included (</w:t>
      </w:r>
      <w:proofErr w:type="spellStart"/>
      <w:r>
        <w:t>i</w:t>
      </w:r>
      <w:proofErr w:type="spellEnd"/>
      <w:r>
        <w:t>) changes between scores in the two groups at 8 years and (ii) for changes in the HAI, HADS, and SFQ scores at 8 years and overall.</w:t>
      </w:r>
    </w:p>
    <w:p w:rsidR="000F1516" w:rsidRDefault="000F1516">
      <w:r>
        <w:t>St</w:t>
      </w:r>
      <w:r>
        <w:t>atistical measures and outcomes</w:t>
      </w:r>
    </w:p>
    <w:p w:rsidR="000F1516" w:rsidRDefault="000F1516">
      <w:r>
        <w:t xml:space="preserve">The primary endpoint was analysed using a mixed model with time, treatment and </w:t>
      </w:r>
      <w:proofErr w:type="gramStart"/>
      <w:r>
        <w:t>time × treatment interaction</w:t>
      </w:r>
      <w:proofErr w:type="gramEnd"/>
      <w:r>
        <w:t xml:space="preserve"> as fixed effects, baseline measurement as covariate, and patient as random effect. Missing data </w:t>
      </w:r>
      <w:proofErr w:type="gramStart"/>
      <w:r>
        <w:t>were treated</w:t>
      </w:r>
      <w:proofErr w:type="gramEnd"/>
      <w:r>
        <w:t xml:space="preserve"> as missing at random in the mixed model analysis. To assess the sensitivity of the result to missing values, the last observation carried forward strategy </w:t>
      </w:r>
      <w:proofErr w:type="gramStart"/>
      <w:r>
        <w:t>was used</w:t>
      </w:r>
      <w:proofErr w:type="gramEnd"/>
      <w:r>
        <w:t xml:space="preserve"> to compute the missing HAI at the follow-up visits. Other assessments were analysed in a similar way. In addition, covariate-adjusted analysis </w:t>
      </w:r>
      <w:proofErr w:type="gramStart"/>
      <w:r>
        <w:t>was performed</w:t>
      </w:r>
      <w:proofErr w:type="gramEnd"/>
      <w:r>
        <w:t xml:space="preserve"> on the primary outcome analysis by a mixed model controlling for three </w:t>
      </w:r>
      <w:proofErr w:type="spellStart"/>
      <w:r>
        <w:t>prespecified</w:t>
      </w:r>
      <w:proofErr w:type="spellEnd"/>
      <w:r>
        <w:t xml:space="preserve"> potential covariates for primary endpoint (clinic type, site and age).</w:t>
      </w:r>
    </w:p>
    <w:p w:rsidR="000F1516" w:rsidRDefault="000F1516">
      <w:r>
        <w:t xml:space="preserve">To compare the effects of the main therapy groups (nurses v. standard care, graduates and assistant psychologists), we used a mixed model which includes time, group (standard care, nurses, graduates and assistant psychologists) and time × group interaction as fixed effects, baseline measurement as covariate, and patient as random effect. From this model, the differences between nurses and other therapists (assistant psychologists and graduates) </w:t>
      </w:r>
      <w:proofErr w:type="gramStart"/>
      <w:r>
        <w:t>were derived</w:t>
      </w:r>
      <w:proofErr w:type="gramEnd"/>
      <w:r>
        <w:t xml:space="preserve">. All statistical analyses </w:t>
      </w:r>
      <w:proofErr w:type="gramStart"/>
      <w:r>
        <w:t>were based</w:t>
      </w:r>
      <w:proofErr w:type="gramEnd"/>
      <w:r>
        <w:t xml:space="preserve"> on the intention-to-treat principle using the statistical package SAS 9.3. Deaths </w:t>
      </w:r>
      <w:proofErr w:type="gramStart"/>
      <w:r>
        <w:t>were reported</w:t>
      </w:r>
      <w:proofErr w:type="gramEnd"/>
      <w:r>
        <w:t xml:space="preserve"> separately for each group. The CONSORT procedure </w:t>
      </w:r>
      <w:proofErr w:type="gramStart"/>
      <w:r>
        <w:t>was used</w:t>
      </w:r>
      <w:proofErr w:type="gramEnd"/>
      <w:r>
        <w:t xml:space="preserve"> for reporting patient flow through the trial and has been published previously (</w:t>
      </w:r>
      <w:proofErr w:type="spellStart"/>
      <w:r>
        <w:t>Tyrer</w:t>
      </w:r>
      <w:proofErr w:type="spellEnd"/>
      <w:r>
        <w:t xml:space="preserve"> et al., 2017)</w:t>
      </w:r>
    </w:p>
    <w:p w:rsidR="000F1516" w:rsidRDefault="000F1516">
      <w:r>
        <w:t>Results</w:t>
      </w:r>
    </w:p>
    <w:p w:rsidR="000F1516" w:rsidRDefault="000F1516">
      <w:r>
        <w:t xml:space="preserve">In total, 219 patients </w:t>
      </w:r>
      <w:proofErr w:type="gramStart"/>
      <w:r>
        <w:t>were randomised</w:t>
      </w:r>
      <w:proofErr w:type="gramEnd"/>
      <w:r>
        <w:t xml:space="preserve"> to CBT-HA and 225 to standard care. In total, 77% had an established physical diagnosis at baseline. In total, 103 (23.2%) of the 444 patients had no medical illness at baseline, with the percentage distributions by clinic</w:t>
      </w:r>
      <w:proofErr w:type="gramStart"/>
      <w:r>
        <w:t>;</w:t>
      </w:r>
      <w:proofErr w:type="gramEnd"/>
      <w:r>
        <w:t xml:space="preserve"> cardiac (17%), endocrinology (4%), gastroenterology (31%), neurology (41%) and respiratory medicine (31%). Patients were not randomised to therapists and were allocated </w:t>
      </w:r>
      <w:proofErr w:type="gramStart"/>
      <w:r>
        <w:t>on the basis of</w:t>
      </w:r>
      <w:proofErr w:type="gramEnd"/>
      <w:r>
        <w:t xml:space="preserve"> availability. Attrition rates and follow-up using the CONSORT procedure at 5 years have been reported earlier (</w:t>
      </w:r>
      <w:proofErr w:type="spellStart"/>
      <w:r>
        <w:t>Tyrer</w:t>
      </w:r>
      <w:proofErr w:type="spellEnd"/>
      <w:r>
        <w:t xml:space="preserve"> et al., 2017) when 308 patients provided data.</w:t>
      </w:r>
    </w:p>
    <w:p w:rsidR="000F1516" w:rsidRDefault="000F1516">
      <w:r>
        <w:t>Clinic and site differences</w:t>
      </w:r>
    </w:p>
    <w:p w:rsidR="000F1516" w:rsidRDefault="000F1516">
      <w:r>
        <w:t xml:space="preserve">Table 1 shows the baseline data; the patients </w:t>
      </w:r>
      <w:proofErr w:type="gramStart"/>
      <w:r>
        <w:t>were evenly distributed</w:t>
      </w:r>
      <w:proofErr w:type="gramEnd"/>
      <w:r>
        <w:t xml:space="preserve"> by gender, with most coming from cardiology and gastroenterology clinics. Neurology clinics, which had the highest proportion of participants with no medical illness at baseline, only began recruitment late in the study so their numbers were smaller. The distribution of therapists varied greatly. In one site (King’s Mill Hospital, Nottinghamshire), only nurses </w:t>
      </w:r>
      <w:proofErr w:type="gramStart"/>
      <w:r>
        <w:t>were employed</w:t>
      </w:r>
      <w:proofErr w:type="gramEnd"/>
      <w:r>
        <w:t xml:space="preserve"> as therapists, and no other sites had nurse therapists.</w:t>
      </w:r>
    </w:p>
    <w:p w:rsidR="000F1516" w:rsidRDefault="000F1516">
      <w:r>
        <w:t>Treatment differences</w:t>
      </w:r>
    </w:p>
    <w:p w:rsidR="000F1516" w:rsidRDefault="000F1516">
      <w:r>
        <w:t>At 8 years, there were 36 deaths, 20 in the CBT-HA group (mean age at death: 61.1 years) and 16 in the standard care one (mean age at death: 60.1 years). The number of treatment sessions with CBTHA was set originally at six but extra sessions were given if agreed by the therapist and supervisor, and overall a mean of 6.0 sessions (range: 0–22) was given. The complete results at 2 years have been reported previously (</w:t>
      </w:r>
      <w:proofErr w:type="spellStart"/>
      <w:r>
        <w:t>Tyrer</w:t>
      </w:r>
      <w:proofErr w:type="spellEnd"/>
      <w:r>
        <w:t xml:space="preserve"> et al. 2014); for the primary outcome (HAI score </w:t>
      </w:r>
      <w:r>
        <w:lastRenderedPageBreak/>
        <w:t xml:space="preserve">difference between groups at 1 year) the reduction in health anxiety scores was 2.97 points more in the CBT-HA group than those in standard care ( p &lt; 0.0001). These differences </w:t>
      </w:r>
      <w:proofErr w:type="gramStart"/>
      <w:r>
        <w:t>were maintained</w:t>
      </w:r>
      <w:proofErr w:type="gramEnd"/>
      <w:r>
        <w:t xml:space="preserve"> throughout the follow-up. After 8 years, there was still a clear significant difference in the adjusted HAI score in favour of CBT-HA over standard care [1.83, 95% confidence interval (CI) 0.25–3.40, p = 0.023] (Table 2), with no loss of efficacy between 2 and 8 years (Fig. 1). </w:t>
      </w:r>
      <w:proofErr w:type="gramStart"/>
      <w:r>
        <w:t>The findings between groups for generalised anxiety using the HADS anxiety scale were not significant after 8 years (0.54, 95% CI −0.29 to 1.36, p = 0.20, ns) (except in endocrinology patients) but HADS depression scores showed a mean gain of 1.22 points in those treated with CBT-HA compared with standard care (1.22, 95% CI 0.42–2.01, p &lt; 0.003); this was mainly due to an increase in depression scores in those in standard care (Table 2).</w:t>
      </w:r>
      <w:proofErr w:type="gramEnd"/>
      <w:r>
        <w:t xml:space="preserve"> The mean score for HADS depression at 8 years in those allocated to standard care was 9.6, well within the category of clinical depression (Cameron et al., 2011) (Fig. 2). Over the whole </w:t>
      </w:r>
      <w:proofErr w:type="gramStart"/>
      <w:r>
        <w:t>8 year</w:t>
      </w:r>
      <w:proofErr w:type="gramEnd"/>
      <w:r>
        <w:t xml:space="preserve"> period, scores for both generalised anxiety and depression were significantly lower in the</w:t>
      </w:r>
      <w:r>
        <w:t xml:space="preserve"> </w:t>
      </w:r>
      <w:r>
        <w:t>CBT-HA group compared with standard care (Table 2). Social functioning showed little difference between groups except at 8 years with evidence of benefit appearing in those allocated to CBT-HA at 8 years (mean difference: 0.53, 95% CI −0.04 to 1.11, p &lt; 0.07) (Table 2). Table 3 displays the results from the mixed model analysis of clinical outcomes at 5 and 8 years after the imputation of missing outcomes using the last observation forward strategy. The results remain similar to those from crude and adjusted analysis shown in Table 1. The findings remained similar after using multiple imputation by means of PROC MI in the SAS package.</w:t>
      </w:r>
    </w:p>
    <w:p w:rsidR="000F1516" w:rsidRDefault="000F1516">
      <w:r>
        <w:t>Clinic differences</w:t>
      </w:r>
    </w:p>
    <w:p w:rsidR="000F1516" w:rsidRDefault="000F1516">
      <w:r>
        <w:t xml:space="preserve">The outcome measured by change in SHAI scores separated by age and clinic type </w:t>
      </w:r>
      <w:proofErr w:type="gramStart"/>
      <w:r>
        <w:t>is shown</w:t>
      </w:r>
      <w:proofErr w:type="gramEnd"/>
      <w:r>
        <w:t xml:space="preserve"> in Table 4. Older patients in general responded better to CBT-HA than younger ones and patients seen at cardiology, neurology and gastroenterology clinics showed the largest differences at 8 year follow-up (although this was not significant for neurology as the numbers were lower). The presence of pre-existing illness did not affect response to CBT-HA, with the largest difference in SHAI scores between groups (5.17) </w:t>
      </w:r>
      <w:proofErr w:type="gramStart"/>
      <w:r>
        <w:t>( p</w:t>
      </w:r>
      <w:proofErr w:type="gramEnd"/>
      <w:r>
        <w:t xml:space="preserve"> = 0.0002) found in cardiology patients where 82% had a pre-existing medical disorder.</w:t>
      </w:r>
    </w:p>
    <w:p w:rsidR="000F1516" w:rsidRDefault="000F1516">
      <w:r>
        <w:t>Therapist differences</w:t>
      </w:r>
    </w:p>
    <w:p w:rsidR="000F1516" w:rsidRDefault="000F1516">
      <w:r>
        <w:t xml:space="preserve">Seventeen therapists were involved in treatment; of the 219 patients allocated to CBT-HA, </w:t>
      </w:r>
      <w:proofErr w:type="gramStart"/>
      <w:r>
        <w:t>87 were seen by assistant psychologists, 66 to</w:t>
      </w:r>
      <w:r>
        <w:t xml:space="preserve"> </w:t>
      </w:r>
      <w:r>
        <w:t>other health professional graduates and 66 to general nurses who had received no previous training in cognitive behaviour therapy</w:t>
      </w:r>
      <w:proofErr w:type="gramEnd"/>
      <w:r>
        <w:t xml:space="preserve">. After 8 years, 128 patients in the CBT-HA group </w:t>
      </w:r>
      <w:proofErr w:type="gramStart"/>
      <w:r>
        <w:t>were assessed</w:t>
      </w:r>
      <w:proofErr w:type="gramEnd"/>
      <w:r>
        <w:t>, but 20 had died, all from natural causes. Sixty (69%) (</w:t>
      </w:r>
      <w:proofErr w:type="gramStart"/>
      <w:r>
        <w:t>excluding</w:t>
      </w:r>
      <w:proofErr w:type="gramEnd"/>
      <w:r>
        <w:t xml:space="preserve"> 10 deaths) of those treated by assistant psychologists,</w:t>
      </w:r>
      <w:r>
        <w:t xml:space="preserve"> </w:t>
      </w:r>
      <w:r>
        <w:t>35 (53%) (</w:t>
      </w:r>
      <w:proofErr w:type="gramStart"/>
      <w:r>
        <w:t>excluding</w:t>
      </w:r>
      <w:proofErr w:type="gramEnd"/>
      <w:r>
        <w:t xml:space="preserve"> three deaths) by graduate therapists and 33 (50%) (</w:t>
      </w:r>
      <w:proofErr w:type="gramStart"/>
      <w:r>
        <w:t>excluding</w:t>
      </w:r>
      <w:proofErr w:type="gramEnd"/>
      <w:r>
        <w:t xml:space="preserve"> seven deaths) by nurses. The outcome by therapist type for changes in SHAI scores showed greater reduction in SHAI scores over the </w:t>
      </w:r>
      <w:proofErr w:type="gramStart"/>
      <w:r>
        <w:t>8 year</w:t>
      </w:r>
      <w:proofErr w:type="gramEnd"/>
      <w:r>
        <w:t xml:space="preserve"> period, with the largest ones being shown at 5 and 8 years (Table 5). Additional analyses showed</w:t>
      </w:r>
      <w:r>
        <w:t xml:space="preserve"> </w:t>
      </w:r>
      <w:r>
        <w:t xml:space="preserve">similar and statistically significant differences between nurse therapists and other groups for generalised anxiety (mean improvement: 2.67, 95% CI 1.07–4.28, p = 0.0011), depression (mean improvement: 1.75, 95% CI 0.10–3.40, p = 0.038) and social functioning scores (mean improvement: 1.22, 95% CI 0.04–2.41, p = 0.043). More treatment sessions were given by the nurses than by other groups (a mean of 2.5 more; </w:t>
      </w:r>
      <w:proofErr w:type="spellStart"/>
      <w:r>
        <w:t>Tyrer</w:t>
      </w:r>
      <w:proofErr w:type="spellEnd"/>
      <w:r>
        <w:t xml:space="preserve"> et al., 2015) and this was associated with fewer </w:t>
      </w:r>
      <w:proofErr w:type="gramStart"/>
      <w:r>
        <w:t>drop-outs</w:t>
      </w:r>
      <w:proofErr w:type="gramEnd"/>
      <w:r>
        <w:t xml:space="preserve"> in this group</w:t>
      </w:r>
      <w:r>
        <w:t>.</w:t>
      </w:r>
    </w:p>
    <w:p w:rsidR="000F1516" w:rsidRDefault="000F1516">
      <w:r>
        <w:t xml:space="preserve">Possible confounders by </w:t>
      </w:r>
      <w:r>
        <w:t>nurses only working in one site</w:t>
      </w:r>
    </w:p>
    <w:p w:rsidR="000F1516" w:rsidRDefault="000F1516">
      <w:r>
        <w:t xml:space="preserve">Because of the imbalance in therapists and site, and the better outcome with nurse therapists, it </w:t>
      </w:r>
      <w:proofErr w:type="gramStart"/>
      <w:r>
        <w:t>could be argued</w:t>
      </w:r>
      <w:proofErr w:type="gramEnd"/>
      <w:r>
        <w:t xml:space="preserve"> that the differences between the outcomes in each clinic could be explained </w:t>
      </w:r>
      <w:r>
        <w:lastRenderedPageBreak/>
        <w:t>entirely by nurse therapists treating more patients in gastroenterology and cardiology groups. The tables provided in the online Supplementary Material section show that this could not be the case. Only eight patients in gastroenterology clinics were treated by nurses, and at 8</w:t>
      </w:r>
      <w:r>
        <w:t xml:space="preserve"> </w:t>
      </w:r>
      <w:r>
        <w:t xml:space="preserve">years the numbers (four) were too </w:t>
      </w:r>
      <w:proofErr w:type="spellStart"/>
      <w:r>
        <w:t>smallfor</w:t>
      </w:r>
      <w:proofErr w:type="spellEnd"/>
      <w:r>
        <w:t xml:space="preserve"> analysis, so the better outcome in the gastroenterology group (n = 78) is explained by other therapists. The tables provided in the online Supplementary Material section also show that the benefits for patients treated by nurse therapists compared with others were more marked at 5 and 8 years, suggesting greater consolidation over time.</w:t>
      </w:r>
    </w:p>
    <w:p w:rsidR="000F1516" w:rsidRDefault="000F1516">
      <w:r>
        <w:t>Adverse events</w:t>
      </w:r>
    </w:p>
    <w:p w:rsidR="000F1516" w:rsidRDefault="000F1516">
      <w:r>
        <w:t>All the 36 deaths occurred during the trial (20 CBT-HA and 16 standard care) were from natural causes; one patient in standard care made a serious suicide attempt 6 months after randomisation.</w:t>
      </w:r>
    </w:p>
    <w:p w:rsidR="000F1516" w:rsidRDefault="000F1516">
      <w:r>
        <w:t>Discussion</w:t>
      </w:r>
    </w:p>
    <w:p w:rsidR="000F1516" w:rsidRDefault="000F1516">
      <w:r>
        <w:t>The results of this trial demonstrate a sustained benefit for a brief psychological treatment given for a mean of only six sessions. This finding is robust and does not allow for any other explanation</w:t>
      </w:r>
      <w:r>
        <w:t xml:space="preserve"> </w:t>
      </w:r>
      <w:r>
        <w:t xml:space="preserve">apart from continued efficacy, and </w:t>
      </w:r>
      <w:proofErr w:type="gramStart"/>
      <w:r>
        <w:t>is confirmed</w:t>
      </w:r>
      <w:proofErr w:type="gramEnd"/>
      <w:r>
        <w:t xml:space="preserve"> by appropriate statistical adjustment. Although the reasons for the maintenance of significant differences between CBT-HA and standard care cannot be determined </w:t>
      </w:r>
      <w:proofErr w:type="gramStart"/>
      <w:r>
        <w:t>formally</w:t>
      </w:r>
      <w:proofErr w:type="gramEnd"/>
      <w:r>
        <w:t xml:space="preserve"> it is possible, and may be likely, that standard care has a negative influence on health anxiety, as the normal resolution of untreated anxiety in long-term trials was not shown. The results also suggest that, unlike other forms of anxiety, untreated health anxiety persists. One reason for this is that in ordinary practice health anxiety is likely to be continually reinforced by a combination of reassurance and continued tests, which are mainly unnecessary but still promote the belief that the hospital staff must think there is an underlying disease. As a score on the SHAI of 10 can be regarded as normal (as it is wise to have some concern for your health), and one of 20 is pathological, the 2 point difference between scores at 8 years is likely to be clinically as well as statistically meaningful. The increase in depressive symptoms in the standard care group over the long follow-up also suggests that untreated health anxiety is a disabling disorder. The findings here </w:t>
      </w:r>
      <w:proofErr w:type="gramStart"/>
      <w:r>
        <w:t>were not predicted</w:t>
      </w:r>
      <w:proofErr w:type="gramEnd"/>
      <w:r>
        <w:t xml:space="preserve"> in our original hypotheses, as we predicted that, as depression is often found with hypochondriasis, there might be some initial improvement in these symptoms. What was surprising was the steady increase in depressive symptoms from year 2 of follow-up onwards in the standard care group (Fig. 2), suggesting that the repeated strain of taking responsibility for your health takes its toll in the longer term. The finding that the mean score for depression in the standard care group was 9.6 (well above the accepted score of 9 for clinical depression; Cameron et al., 2011), suggests that untreated health anxiety and </w:t>
      </w:r>
      <w:proofErr w:type="gramStart"/>
      <w:r>
        <w:t>should be treated</w:t>
      </w:r>
      <w:proofErr w:type="gramEnd"/>
      <w:r>
        <w:t xml:space="preserve"> actively. Anxiety disorders are also associated with a three-fold increase in suicidal behaviour (</w:t>
      </w:r>
      <w:proofErr w:type="spellStart"/>
      <w:r>
        <w:t>Kanwar</w:t>
      </w:r>
      <w:proofErr w:type="spellEnd"/>
      <w:r>
        <w:t xml:space="preserve"> et al., 2010) and the persistence of symptoms makes such behaviour more likely. There may also be other medical consequences of persistent health anxiety. Anxiety disorders in general</w:t>
      </w:r>
      <w:r>
        <w:t xml:space="preserve"> </w:t>
      </w:r>
      <w:r>
        <w:t xml:space="preserve">lead to premature mortality, and this includes those who have excessive health anxiety after cardiac events (Van </w:t>
      </w:r>
      <w:proofErr w:type="spellStart"/>
      <w:r>
        <w:t>Beek</w:t>
      </w:r>
      <w:proofErr w:type="spellEnd"/>
      <w:r>
        <w:t xml:space="preserve"> et al., 2016). The reason for the better outcomes in patients attending cardiovascular clinics </w:t>
      </w:r>
      <w:proofErr w:type="gramStart"/>
      <w:r>
        <w:t>may be related</w:t>
      </w:r>
      <w:proofErr w:type="gramEnd"/>
      <w:r>
        <w:t xml:space="preserve"> to advice given to those with cardiac symptoms, especially chest pain, to consult as soon as possible, and for A&amp;E clinics to give such patients preference when they arrive. This advice is likely to promote health anxiety in susceptible patients and further reinforce symptoms. In the case of gastroenterology there is considerable concern about the high level of health anxiety associated with conditions such as the irritable bowel syndrome and the negative value of reassurance has been noted (</w:t>
      </w:r>
      <w:proofErr w:type="spellStart"/>
      <w:r>
        <w:t>Gasteiger</w:t>
      </w:r>
      <w:proofErr w:type="spellEnd"/>
      <w:r>
        <w:t xml:space="preserve"> et al., 2018). There is also evidence that the rates of health anxiety in gastroenterology clinics are increasing (</w:t>
      </w:r>
      <w:proofErr w:type="spellStart"/>
      <w:r>
        <w:t>Tyrer</w:t>
      </w:r>
      <w:proofErr w:type="spellEnd"/>
      <w:r>
        <w:t xml:space="preserve">, Cooper, </w:t>
      </w:r>
      <w:proofErr w:type="spellStart"/>
      <w:r>
        <w:t>Tyrer</w:t>
      </w:r>
      <w:proofErr w:type="spellEnd"/>
      <w:r>
        <w:t>, Wang, &amp; Bassett, 2019), possibly provoked by Internet browsing for health worries (</w:t>
      </w:r>
      <w:proofErr w:type="spellStart"/>
      <w:r>
        <w:t>cyberchondria</w:t>
      </w:r>
      <w:proofErr w:type="spellEnd"/>
      <w:r>
        <w:t>) (</w:t>
      </w:r>
      <w:proofErr w:type="spellStart"/>
      <w:r>
        <w:t>Te</w:t>
      </w:r>
      <w:proofErr w:type="spellEnd"/>
      <w:r>
        <w:t xml:space="preserve"> </w:t>
      </w:r>
      <w:proofErr w:type="spellStart"/>
      <w:r>
        <w:t>Poel</w:t>
      </w:r>
      <w:proofErr w:type="spellEnd"/>
      <w:r>
        <w:t xml:space="preserve">, Baumgartner, Hartmann, &amp; Tanis, 2016; </w:t>
      </w:r>
      <w:proofErr w:type="spellStart"/>
      <w:r>
        <w:t>Mathes</w:t>
      </w:r>
      <w:proofErr w:type="spellEnd"/>
      <w:r>
        <w:t xml:space="preserve">, </w:t>
      </w:r>
      <w:proofErr w:type="spellStart"/>
      <w:r>
        <w:t>Norr</w:t>
      </w:r>
      <w:proofErr w:type="spellEnd"/>
      <w:r>
        <w:t xml:space="preserve">, Allan, Albanese, and Schmidt, 2018) and </w:t>
      </w:r>
      <w:proofErr w:type="gramStart"/>
      <w:r>
        <w:t>are also</w:t>
      </w:r>
      <w:proofErr w:type="gramEnd"/>
      <w:r>
        <w:t xml:space="preserve"> likely to be a factor in </w:t>
      </w:r>
      <w:r>
        <w:lastRenderedPageBreak/>
        <w:t xml:space="preserve">preventing improvement. The better outcome in patients allocated to nurse therapists, in all clinics (see online Supplementary Material) was not expected at the outset and the design of the study does not allow a complete explanation as therapists were not randomised. Nurses </w:t>
      </w:r>
      <w:proofErr w:type="gramStart"/>
      <w:r>
        <w:t>may have been seen</w:t>
      </w:r>
      <w:proofErr w:type="gramEnd"/>
      <w:r>
        <w:t xml:space="preserve"> as more appropriate therapists than others because of their training and perceived greater knowledge of medicine, and this may have improved their therapeutic relationships. If this was true, </w:t>
      </w:r>
      <w:proofErr w:type="gramStart"/>
      <w:r>
        <w:t>patients may be more appropriately treated by suitably trained nurses</w:t>
      </w:r>
      <w:proofErr w:type="gramEnd"/>
      <w:r>
        <w:t xml:space="preserve"> than psychologists or other professionals. The main limitation of the findings is the selective nature of the participants in the trial. Only 444 were recruited out of 5224 screened, and most of the remaining 4780 were likely to have been eligible after excluding those who did not satisfy the trial criteria. This suggests that a large proportion of people who </w:t>
      </w:r>
      <w:proofErr w:type="gramStart"/>
      <w:r>
        <w:t>might be helped</w:t>
      </w:r>
      <w:proofErr w:type="gramEnd"/>
      <w:r>
        <w:t xml:space="preserve"> by this treatment are reluctant to try it. We can only guess what proportion of these reluctant patients</w:t>
      </w:r>
      <w:r>
        <w:t xml:space="preserve"> </w:t>
      </w:r>
      <w:r>
        <w:t>might be helped, but the excellent response of those who did take part suggests that if there was better awareness of the value of this intervention, it would represent an important opportunity to expand a successful treatment. A similar study in general practice and hospital settings of repeat users of unscheduled care, using very similar methodology to CHAMP, recruited 33% of eligible patients and demonstrated very similar results at both 6 months and 1 year (</w:t>
      </w:r>
      <w:proofErr w:type="spellStart"/>
      <w:r>
        <w:t>Morriss</w:t>
      </w:r>
      <w:proofErr w:type="spellEnd"/>
      <w:r>
        <w:t xml:space="preserve"> et al., 2019). This suggests that our results are reasonably representative of the population at risk. The fact that patients with pre-existing medical conditions were included did not seem to have a major impact on the results. In many cases, the medical problem was long-standing and the health anxiety was completely independent, and even when </w:t>
      </w:r>
      <w:proofErr w:type="gramStart"/>
      <w:r>
        <w:t>not independent</w:t>
      </w:r>
      <w:proofErr w:type="gramEnd"/>
      <w:r>
        <w:t xml:space="preserve"> (e.g. worry over cardiac function after being fitted with a stent successfully), the past medical history is highly germane to the development of health anxiety. The only clinic showing no better improvement with CBT-HA was the respiratory one, but even in this setting the nurse therapists were highly effective (online Supplementary Information). There is a need for better awareness of health anxiety and its associated symptoms. This is not difficult to achieve, especially as our evidence suggests that the necessary expertise can be taught in general hospitals, not only to nurses </w:t>
      </w:r>
      <w:proofErr w:type="gramStart"/>
      <w:r>
        <w:t>but</w:t>
      </w:r>
      <w:proofErr w:type="gramEnd"/>
      <w:r>
        <w:t xml:space="preserve"> to all relevant staff. Because so many of the people who attend with these problems want answers from their physicians and nursing colleagues, these staff are best placed to both identify the problem and offer solutions, with mental health providers helping as secondary agencies.</w:t>
      </w:r>
      <w:r>
        <w:t xml:space="preserve"> </w:t>
      </w:r>
      <w:bookmarkStart w:id="0" w:name="_GoBack"/>
      <w:bookmarkEnd w:id="0"/>
    </w:p>
    <w:p w:rsidR="000F1516" w:rsidRDefault="000F1516"/>
    <w:sectPr w:rsidR="000F15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516"/>
    <w:rsid w:val="000F1516"/>
    <w:rsid w:val="00772D24"/>
    <w:rsid w:val="00F11F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2CC70"/>
  <w15:chartTrackingRefBased/>
  <w15:docId w15:val="{6E248146-686E-49B3-9F55-FA97C4A03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3887</Words>
  <Characters>22159</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Liverpool School of Tropical Medicine</Company>
  <LinksUpToDate>false</LinksUpToDate>
  <CharactersWithSpaces>25995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Murtagh</dc:creator>
  <cp:keywords/>
  <dc:description/>
  <cp:lastModifiedBy>Stacy Murtagh</cp:lastModifiedBy>
  <cp:revision>1</cp:revision>
  <dcterms:created xsi:type="dcterms:W3CDTF">2020-05-04T10:40:00Z</dcterms:created>
  <dcterms:modified xsi:type="dcterms:W3CDTF">2020-05-04T10:46:00Z</dcterms:modified>
</cp:coreProperties>
</file>