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A1FE4" w14:textId="77777777" w:rsidR="006E06CC" w:rsidRPr="006C540D" w:rsidRDefault="006E06CC" w:rsidP="006C540D">
      <w:pPr>
        <w:pStyle w:val="MDPI11articletype"/>
      </w:pPr>
      <w:r w:rsidRPr="006C540D">
        <w:t>Article</w:t>
      </w:r>
    </w:p>
    <w:p w14:paraId="1DD6548F" w14:textId="01B413CD" w:rsidR="004D00D1" w:rsidRPr="006C540D" w:rsidRDefault="004D00D1" w:rsidP="006C540D">
      <w:pPr>
        <w:pStyle w:val="MDPI12title"/>
      </w:pPr>
      <w:r w:rsidRPr="006C540D">
        <w:t xml:space="preserve">Exploring </w:t>
      </w:r>
      <w:r w:rsidR="005C5C9C" w:rsidRPr="006C540D">
        <w:t xml:space="preserve">the </w:t>
      </w:r>
      <w:r w:rsidR="006C540D" w:rsidRPr="006C540D">
        <w:t>M</w:t>
      </w:r>
      <w:r w:rsidRPr="006C540D">
        <w:t xml:space="preserve">echanisms of </w:t>
      </w:r>
      <w:r w:rsidR="006C540D" w:rsidRPr="006C540D">
        <w:t>M</w:t>
      </w:r>
      <w:r w:rsidRPr="006C540D">
        <w:t xml:space="preserve">ultiple </w:t>
      </w:r>
      <w:r w:rsidR="006C540D" w:rsidRPr="006C540D">
        <w:t>I</w:t>
      </w:r>
      <w:r w:rsidRPr="006C540D">
        <w:t xml:space="preserve">nsecticide </w:t>
      </w:r>
      <w:r w:rsidR="006C540D" w:rsidRPr="006C540D">
        <w:t>R</w:t>
      </w:r>
      <w:r w:rsidRPr="006C540D">
        <w:t xml:space="preserve">esistance in a </w:t>
      </w:r>
      <w:r w:rsidR="006C540D" w:rsidRPr="006C540D">
        <w:t>H</w:t>
      </w:r>
      <w:r w:rsidRPr="006C540D">
        <w:t xml:space="preserve">ighly </w:t>
      </w:r>
      <w:r w:rsidRPr="006C540D">
        <w:rPr>
          <w:i/>
        </w:rPr>
        <w:t>Plasmodium</w:t>
      </w:r>
      <w:r w:rsidRPr="006C540D">
        <w:t>-</w:t>
      </w:r>
      <w:r w:rsidR="006C540D" w:rsidRPr="006C540D">
        <w:t>I</w:t>
      </w:r>
      <w:r w:rsidRPr="006C540D">
        <w:t xml:space="preserve">nfected </w:t>
      </w:r>
      <w:r w:rsidR="006C540D" w:rsidRPr="006C540D">
        <w:t>M</w:t>
      </w:r>
      <w:r w:rsidRPr="006C540D">
        <w:t xml:space="preserve">alaria </w:t>
      </w:r>
      <w:r w:rsidR="006C540D" w:rsidRPr="006C540D">
        <w:t>V</w:t>
      </w:r>
      <w:r w:rsidRPr="006C540D">
        <w:t xml:space="preserve">ector </w:t>
      </w:r>
      <w:r w:rsidRPr="006C540D">
        <w:rPr>
          <w:i/>
        </w:rPr>
        <w:t xml:space="preserve">Anopheles </w:t>
      </w:r>
      <w:proofErr w:type="spellStart"/>
      <w:r w:rsidR="006C540D" w:rsidRPr="006C540D">
        <w:rPr>
          <w:i/>
        </w:rPr>
        <w:t>F</w:t>
      </w:r>
      <w:r w:rsidRPr="006C540D">
        <w:rPr>
          <w:i/>
        </w:rPr>
        <w:t>unestus</w:t>
      </w:r>
      <w:proofErr w:type="spellEnd"/>
      <w:r w:rsidRPr="006C540D">
        <w:rPr>
          <w:i/>
        </w:rPr>
        <w:t xml:space="preserve"> </w:t>
      </w:r>
      <w:proofErr w:type="spellStart"/>
      <w:r w:rsidR="006C540D" w:rsidRPr="006C540D">
        <w:t>S</w:t>
      </w:r>
      <w:r w:rsidRPr="006C540D">
        <w:t>ensu</w:t>
      </w:r>
      <w:proofErr w:type="spellEnd"/>
      <w:r w:rsidRPr="006C540D">
        <w:t xml:space="preserve"> </w:t>
      </w:r>
      <w:proofErr w:type="spellStart"/>
      <w:r w:rsidR="006C540D" w:rsidRPr="006C540D">
        <w:t>S</w:t>
      </w:r>
      <w:r w:rsidRPr="006C540D">
        <w:t>tricto</w:t>
      </w:r>
      <w:proofErr w:type="spellEnd"/>
      <w:r w:rsidRPr="006C540D">
        <w:t xml:space="preserve"> from Sahel of </w:t>
      </w:r>
      <w:r w:rsidR="006C540D" w:rsidRPr="006C540D">
        <w:t>N</w:t>
      </w:r>
      <w:r w:rsidRPr="006C540D">
        <w:t>orthern Nigeria</w:t>
      </w:r>
    </w:p>
    <w:p w14:paraId="5CE03654" w14:textId="7AEAC137" w:rsidR="004D00D1" w:rsidRPr="006C540D" w:rsidRDefault="004D00D1" w:rsidP="00901C6A">
      <w:pPr>
        <w:pStyle w:val="MDPI13authornames"/>
        <w:rPr>
          <w:vertAlign w:val="superscript"/>
        </w:rPr>
      </w:pPr>
      <w:r w:rsidRPr="000349CB">
        <w:t>Sulaiman S. Ibrahim</w:t>
      </w:r>
      <w:r w:rsidR="00901C6A" w:rsidRPr="000349CB">
        <w:t xml:space="preserve"> </w:t>
      </w:r>
      <w:r w:rsidRPr="000349CB">
        <w:rPr>
          <w:vertAlign w:val="superscript"/>
        </w:rPr>
        <w:t>1,</w:t>
      </w:r>
      <w:r w:rsidRPr="006C540D">
        <w:rPr>
          <w:vertAlign w:val="superscript"/>
        </w:rPr>
        <w:t>2,</w:t>
      </w:r>
      <w:proofErr w:type="gramStart"/>
      <w:r w:rsidRPr="006C540D">
        <w:rPr>
          <w:vertAlign w:val="superscript"/>
        </w:rPr>
        <w:t>3</w:t>
      </w:r>
      <w:r w:rsidR="00901C6A">
        <w:rPr>
          <w:vertAlign w:val="superscript"/>
        </w:rPr>
        <w:t>,</w:t>
      </w:r>
      <w:r w:rsidRPr="00901C6A">
        <w:t>*</w:t>
      </w:r>
      <w:proofErr w:type="gramEnd"/>
      <w:r w:rsidRPr="006C540D">
        <w:t>, Muhammad M. Mukhtar</w:t>
      </w:r>
      <w:r w:rsidR="00901C6A">
        <w:t xml:space="preserve"> </w:t>
      </w:r>
      <w:r w:rsidRPr="006C540D">
        <w:rPr>
          <w:vertAlign w:val="superscript"/>
        </w:rPr>
        <w:t>2</w:t>
      </w:r>
      <w:r w:rsidRPr="006C540D">
        <w:t>, Helen Irving</w:t>
      </w:r>
      <w:r w:rsidRPr="006C540D">
        <w:rPr>
          <w:vertAlign w:val="superscript"/>
        </w:rPr>
        <w:t>1</w:t>
      </w:r>
      <w:r w:rsidRPr="006C540D">
        <w:t>, Jacob M. Riveron</w:t>
      </w:r>
      <w:r w:rsidR="00901C6A">
        <w:t xml:space="preserve"> </w:t>
      </w:r>
      <w:r w:rsidRPr="006C540D">
        <w:rPr>
          <w:vertAlign w:val="superscript"/>
        </w:rPr>
        <w:t>3</w:t>
      </w:r>
      <w:r w:rsidRPr="006C540D">
        <w:t xml:space="preserve">, </w:t>
      </w:r>
      <w:r w:rsidR="00901C6A">
        <w:br/>
      </w:r>
      <w:r w:rsidRPr="006C540D">
        <w:t>Amen N. Fadel</w:t>
      </w:r>
      <w:r w:rsidR="00901C6A">
        <w:t xml:space="preserve"> </w:t>
      </w:r>
      <w:r w:rsidRPr="006C540D">
        <w:rPr>
          <w:vertAlign w:val="superscript"/>
        </w:rPr>
        <w:t>3</w:t>
      </w:r>
      <w:r w:rsidRPr="006C540D">
        <w:t>, William</w:t>
      </w:r>
      <w:r w:rsidR="007D055A" w:rsidRPr="006C540D">
        <w:t>s</w:t>
      </w:r>
      <w:r w:rsidRPr="006C540D">
        <w:t xml:space="preserve"> Tchapga</w:t>
      </w:r>
      <w:r w:rsidR="00901C6A">
        <w:t xml:space="preserve"> </w:t>
      </w:r>
      <w:r w:rsidRPr="006C540D">
        <w:rPr>
          <w:vertAlign w:val="superscript"/>
        </w:rPr>
        <w:t>3</w:t>
      </w:r>
      <w:r w:rsidRPr="006C540D">
        <w:t>, Jack Hearn</w:t>
      </w:r>
      <w:r w:rsidR="00901C6A">
        <w:t xml:space="preserve"> </w:t>
      </w:r>
      <w:r w:rsidRPr="006C540D">
        <w:rPr>
          <w:vertAlign w:val="superscript"/>
        </w:rPr>
        <w:t>1</w:t>
      </w:r>
      <w:r w:rsidRPr="006C540D">
        <w:t>, Abdullahi Muhammad</w:t>
      </w:r>
      <w:r w:rsidR="00901C6A">
        <w:t xml:space="preserve"> </w:t>
      </w:r>
      <w:r w:rsidRPr="006C540D">
        <w:rPr>
          <w:vertAlign w:val="superscript"/>
        </w:rPr>
        <w:t>1,4</w:t>
      </w:r>
      <w:r w:rsidRPr="006C540D">
        <w:t>, Faruk Sarkinfada</w:t>
      </w:r>
      <w:r w:rsidR="00901C6A">
        <w:t xml:space="preserve"> </w:t>
      </w:r>
      <w:r w:rsidRPr="006C540D">
        <w:rPr>
          <w:vertAlign w:val="superscript"/>
        </w:rPr>
        <w:t xml:space="preserve">5 </w:t>
      </w:r>
      <w:r w:rsidRPr="006C540D">
        <w:t>and Charles S. Wondji</w:t>
      </w:r>
      <w:r w:rsidR="00901C6A">
        <w:t xml:space="preserve"> </w:t>
      </w:r>
      <w:r w:rsidRPr="006C540D">
        <w:rPr>
          <w:vertAlign w:val="superscript"/>
        </w:rPr>
        <w:t>1,3</w:t>
      </w:r>
    </w:p>
    <w:p w14:paraId="20911CD1" w14:textId="5B61EF53" w:rsidR="004D00D1" w:rsidRPr="006C540D" w:rsidRDefault="00901C6A" w:rsidP="00901C6A">
      <w:pPr>
        <w:pStyle w:val="MDPI16affiliation"/>
        <w:rPr>
          <w:b/>
        </w:rPr>
      </w:pPr>
      <w:r w:rsidRPr="00901C6A">
        <w:rPr>
          <w:vertAlign w:val="superscript"/>
        </w:rPr>
        <w:t>1</w:t>
      </w:r>
      <w:r w:rsidRPr="00901C6A">
        <w:tab/>
      </w:r>
      <w:r w:rsidR="004D00D1" w:rsidRPr="006C540D">
        <w:t>Vector Biology Department, Liverpool School of Tropical Medicine (LSTM), Liverpool L3 5QA, UK</w:t>
      </w:r>
      <w:r w:rsidR="002165DB">
        <w:t xml:space="preserve">; </w:t>
      </w:r>
      <w:r w:rsidR="002165DB" w:rsidRPr="001416FF">
        <w:t>Helen.Irving@lstmed.ac.uk</w:t>
      </w:r>
      <w:r w:rsidR="002165DB">
        <w:t xml:space="preserve"> (H.I.); </w:t>
      </w:r>
      <w:r w:rsidR="002165DB" w:rsidRPr="001416FF">
        <w:t>jack.hearn@lstmed.ac.uk</w:t>
      </w:r>
      <w:r w:rsidR="002165DB">
        <w:t xml:space="preserve"> (J.H.); </w:t>
      </w:r>
      <w:r w:rsidR="002165DB">
        <w:br/>
      </w:r>
      <w:r w:rsidR="002165DB" w:rsidRPr="001416FF">
        <w:t>Abdullahi.Muhammad@lstmed.ac.uk</w:t>
      </w:r>
      <w:r w:rsidR="002165DB">
        <w:t xml:space="preserve"> (A.M.); </w:t>
      </w:r>
      <w:r w:rsidR="002165DB" w:rsidRPr="001416FF">
        <w:t>charles.wondji@lstmed.ac.uk</w:t>
      </w:r>
      <w:r w:rsidR="002165DB">
        <w:t xml:space="preserve"> (C.S.W.)</w:t>
      </w:r>
    </w:p>
    <w:p w14:paraId="7A0B51C4" w14:textId="1DD1C327" w:rsidR="004D00D1" w:rsidRPr="006C540D" w:rsidRDefault="00901C6A" w:rsidP="00901C6A">
      <w:pPr>
        <w:pStyle w:val="MDPI16affiliation"/>
        <w:rPr>
          <w:b/>
        </w:rPr>
      </w:pPr>
      <w:r w:rsidRPr="00901C6A">
        <w:rPr>
          <w:vertAlign w:val="superscript"/>
        </w:rPr>
        <w:t>2</w:t>
      </w:r>
      <w:r w:rsidRPr="00901C6A">
        <w:tab/>
      </w:r>
      <w:r w:rsidR="004D00D1" w:rsidRPr="006C540D">
        <w:t xml:space="preserve">Department of Biochemistry, </w:t>
      </w:r>
      <w:proofErr w:type="spellStart"/>
      <w:r w:rsidR="004D00D1" w:rsidRPr="006C540D">
        <w:t>Bayero</w:t>
      </w:r>
      <w:proofErr w:type="spellEnd"/>
      <w:r w:rsidR="004D00D1" w:rsidRPr="006C540D">
        <w:t xml:space="preserve"> University, PMB 3011, Kano, Nigeria</w:t>
      </w:r>
      <w:r w:rsidR="002165DB">
        <w:t xml:space="preserve">; </w:t>
      </w:r>
      <w:r w:rsidR="002165DB" w:rsidRPr="001416FF">
        <w:t>muhammadmahemukhtar@gmail.com</w:t>
      </w:r>
    </w:p>
    <w:p w14:paraId="1F4CD639" w14:textId="7D36DD72" w:rsidR="004D00D1" w:rsidRPr="006C540D" w:rsidRDefault="00901C6A" w:rsidP="00901C6A">
      <w:pPr>
        <w:pStyle w:val="MDPI16affiliation"/>
        <w:rPr>
          <w:b/>
        </w:rPr>
      </w:pPr>
      <w:r w:rsidRPr="00901C6A">
        <w:rPr>
          <w:vertAlign w:val="superscript"/>
        </w:rPr>
        <w:t>3</w:t>
      </w:r>
      <w:r w:rsidRPr="00901C6A">
        <w:tab/>
      </w:r>
      <w:r w:rsidR="004D00D1" w:rsidRPr="006C540D">
        <w:t>LSTM Research Unit, Centre for Research in Infectious Diseases (CRID), P.O. Box 13591, Yaoundé, Cameroon</w:t>
      </w:r>
      <w:r w:rsidR="002165DB">
        <w:t xml:space="preserve">; </w:t>
      </w:r>
      <w:r w:rsidR="002165DB" w:rsidRPr="001416FF">
        <w:t>Jacob.Riveron_Miranda@syngenta.com</w:t>
      </w:r>
      <w:r w:rsidR="002165DB">
        <w:t xml:space="preserve"> (J.M.R.); </w:t>
      </w:r>
      <w:r w:rsidR="002165DB" w:rsidRPr="001416FF">
        <w:t>amen.fadel@crid-cam.net</w:t>
      </w:r>
      <w:r w:rsidR="002165DB">
        <w:t xml:space="preserve"> (A.N.F.); </w:t>
      </w:r>
      <w:r w:rsidR="002165DB" w:rsidRPr="001416FF">
        <w:t>williams.tchapga@crid-cam.net</w:t>
      </w:r>
      <w:r w:rsidR="002165DB">
        <w:t xml:space="preserve"> (W.T.)</w:t>
      </w:r>
    </w:p>
    <w:p w14:paraId="61C312A9" w14:textId="04654911" w:rsidR="004D00D1" w:rsidRPr="006C540D" w:rsidRDefault="00901C6A" w:rsidP="00901C6A">
      <w:pPr>
        <w:pStyle w:val="MDPI16affiliation"/>
        <w:rPr>
          <w:b/>
        </w:rPr>
      </w:pPr>
      <w:r w:rsidRPr="00901C6A">
        <w:rPr>
          <w:vertAlign w:val="superscript"/>
        </w:rPr>
        <w:t>4</w:t>
      </w:r>
      <w:r w:rsidRPr="00901C6A">
        <w:tab/>
      </w:r>
      <w:r w:rsidR="004D00D1" w:rsidRPr="006C540D">
        <w:t xml:space="preserve">Centre for Biotechnology Research, </w:t>
      </w:r>
      <w:proofErr w:type="spellStart"/>
      <w:r w:rsidR="004D00D1" w:rsidRPr="006C540D">
        <w:t>Bayero</w:t>
      </w:r>
      <w:proofErr w:type="spellEnd"/>
      <w:r w:rsidR="004D00D1" w:rsidRPr="006C540D">
        <w:t xml:space="preserve"> University, PMB 3011, Kano, Nigeria</w:t>
      </w:r>
    </w:p>
    <w:p w14:paraId="13AFC1F4" w14:textId="7FA9722C" w:rsidR="004D00D1" w:rsidRPr="006C540D" w:rsidRDefault="00901C6A" w:rsidP="00901C6A">
      <w:pPr>
        <w:pStyle w:val="MDPI16affiliation"/>
        <w:rPr>
          <w:b/>
        </w:rPr>
      </w:pPr>
      <w:r w:rsidRPr="00901C6A">
        <w:rPr>
          <w:vertAlign w:val="superscript"/>
        </w:rPr>
        <w:t>5</w:t>
      </w:r>
      <w:r w:rsidRPr="00901C6A">
        <w:tab/>
      </w:r>
      <w:r w:rsidR="004D00D1" w:rsidRPr="006C540D">
        <w:t xml:space="preserve">Department of Medical Microbiology, </w:t>
      </w:r>
      <w:proofErr w:type="spellStart"/>
      <w:r w:rsidR="004D00D1" w:rsidRPr="006C540D">
        <w:t>Bayero</w:t>
      </w:r>
      <w:proofErr w:type="spellEnd"/>
      <w:r w:rsidR="004D00D1" w:rsidRPr="006C540D">
        <w:t xml:space="preserve"> University, PMB 3011, Kano, Nigeria</w:t>
      </w:r>
      <w:r w:rsidR="002165DB">
        <w:t xml:space="preserve">; </w:t>
      </w:r>
      <w:r w:rsidR="002165DB" w:rsidRPr="001416FF">
        <w:t>fsfada.mcp@buk.edu.ng</w:t>
      </w:r>
    </w:p>
    <w:p w14:paraId="002BDD5A" w14:textId="7759DF30" w:rsidR="004D00D1" w:rsidRPr="006C540D" w:rsidRDefault="00901C6A" w:rsidP="00901C6A">
      <w:pPr>
        <w:pStyle w:val="MDPI16affiliation"/>
      </w:pPr>
      <w:r w:rsidRPr="00901C6A">
        <w:t>*</w:t>
      </w:r>
      <w:r w:rsidRPr="00901C6A">
        <w:tab/>
      </w:r>
      <w:r w:rsidR="004D00D1" w:rsidRPr="006C540D">
        <w:t xml:space="preserve">Correspondence: </w:t>
      </w:r>
      <w:proofErr w:type="spellStart"/>
      <w:proofErr w:type="gramStart"/>
      <w:r w:rsidR="00C108AA" w:rsidRPr="001416FF">
        <w:rPr>
          <w:rStyle w:val="Hyperlink"/>
          <w:bCs/>
        </w:rPr>
        <w:t>sulaimansadi.ibrahim@crid-cam.net</w:t>
      </w:r>
      <w:r w:rsidR="00C108AA" w:rsidRPr="006C540D">
        <w:t>;</w:t>
      </w:r>
      <w:r w:rsidR="004D00D1" w:rsidRPr="006C540D">
        <w:t>Tel</w:t>
      </w:r>
      <w:proofErr w:type="spellEnd"/>
      <w:r w:rsidR="004D00D1" w:rsidRPr="006C540D">
        <w:t>.</w:t>
      </w:r>
      <w:proofErr w:type="gramEnd"/>
      <w:r w:rsidR="004D00D1" w:rsidRPr="006C540D">
        <w:t>: +44-74-4044-3871</w:t>
      </w:r>
    </w:p>
    <w:p w14:paraId="3EDA5873" w14:textId="251ED60A" w:rsidR="006E06CC" w:rsidRPr="006C540D" w:rsidRDefault="006E06CC" w:rsidP="006C540D">
      <w:pPr>
        <w:pStyle w:val="MDPI14history"/>
      </w:pPr>
      <w:r w:rsidRPr="006C540D">
        <w:t xml:space="preserve">Received: </w:t>
      </w:r>
      <w:r w:rsidR="001D31BD">
        <w:t>17 March 2020</w:t>
      </w:r>
      <w:r w:rsidRPr="006C540D">
        <w:t xml:space="preserve">; Accepted: </w:t>
      </w:r>
      <w:r w:rsidR="009122BE">
        <w:t>20 A</w:t>
      </w:r>
      <w:r w:rsidR="009122BE" w:rsidRPr="009122BE">
        <w:t>pril 2020</w:t>
      </w:r>
      <w:r w:rsidRPr="006C540D">
        <w:t>; Published: date</w:t>
      </w:r>
    </w:p>
    <w:p w14:paraId="21C7EA5D" w14:textId="4265CE75" w:rsidR="004D00D1" w:rsidRPr="006C540D" w:rsidRDefault="006E06CC" w:rsidP="006C540D">
      <w:pPr>
        <w:pStyle w:val="MDPI17abstract"/>
        <w:rPr>
          <w:iCs/>
        </w:rPr>
      </w:pPr>
      <w:r w:rsidRPr="006C540D">
        <w:rPr>
          <w:b/>
        </w:rPr>
        <w:t>Abstract:</w:t>
      </w:r>
      <w:r w:rsidR="004D00D1" w:rsidRPr="006C540D">
        <w:rPr>
          <w:b/>
        </w:rPr>
        <w:t xml:space="preserve"> </w:t>
      </w:r>
      <w:r w:rsidR="00E2467E" w:rsidRPr="006C540D">
        <w:t xml:space="preserve">The </w:t>
      </w:r>
      <w:r w:rsidR="004D00D1" w:rsidRPr="006C540D">
        <w:t xml:space="preserve">Nigerian Government is scaling up </w:t>
      </w:r>
      <w:r w:rsidR="0043305E">
        <w:t xml:space="preserve">the </w:t>
      </w:r>
      <w:r w:rsidR="004D00D1" w:rsidRPr="006C540D">
        <w:t>distribution of insecticide</w:t>
      </w:r>
      <w:r w:rsidR="00E267AE" w:rsidRPr="006C540D">
        <w:t>-</w:t>
      </w:r>
      <w:r w:rsidR="004D00D1" w:rsidRPr="006C540D">
        <w:t>treated bed</w:t>
      </w:r>
      <w:r w:rsidR="000844AD" w:rsidRPr="006C540D">
        <w:t xml:space="preserve"> </w:t>
      </w:r>
      <w:r w:rsidR="004D00D1" w:rsidRPr="006C540D">
        <w:t>nets for malaria control</w:t>
      </w:r>
      <w:r w:rsidR="00B51BB4" w:rsidRPr="006C540D">
        <w:t>, b</w:t>
      </w:r>
      <w:r w:rsidR="004D00D1" w:rsidRPr="006C540D">
        <w:t xml:space="preserve">ut </w:t>
      </w:r>
      <w:r w:rsidR="0043305E">
        <w:t xml:space="preserve">the </w:t>
      </w:r>
      <w:r w:rsidR="004D00D1" w:rsidRPr="006C540D">
        <w:t>lack of surveillance data</w:t>
      </w:r>
      <w:r w:rsidR="0043305E">
        <w:t>,</w:t>
      </w:r>
      <w:r w:rsidR="00E2467E" w:rsidRPr="006C540D">
        <w:t xml:space="preserve"> especially</w:t>
      </w:r>
      <w:r w:rsidR="004D00D1" w:rsidRPr="006C540D">
        <w:t xml:space="preserve"> in the </w:t>
      </w:r>
      <w:r w:rsidR="00B51BB4" w:rsidRPr="006C540D">
        <w:t>Sudan/</w:t>
      </w:r>
      <w:r w:rsidR="004D00D1" w:rsidRPr="006C540D">
        <w:t>Sahel region of the country</w:t>
      </w:r>
      <w:r w:rsidR="0043305E">
        <w:t>,</w:t>
      </w:r>
      <w:r w:rsidR="004D00D1" w:rsidRPr="006C540D">
        <w:t xml:space="preserve"> may </w:t>
      </w:r>
      <w:r w:rsidR="00B51BB4" w:rsidRPr="006C540D">
        <w:t>hinder</w:t>
      </w:r>
      <w:r w:rsidR="004D00D1" w:rsidRPr="006C540D">
        <w:t xml:space="preserve"> targeting priority populations. Here, </w:t>
      </w:r>
      <w:r w:rsidR="0043305E">
        <w:t xml:space="preserve">the </w:t>
      </w:r>
      <w:proofErr w:type="spellStart"/>
      <w:r w:rsidR="004D00D1" w:rsidRPr="006C540D">
        <w:t>vectorial</w:t>
      </w:r>
      <w:proofErr w:type="spellEnd"/>
      <w:r w:rsidR="004D00D1" w:rsidRPr="006C540D">
        <w:t xml:space="preserve"> role and insecticide resistance </w:t>
      </w:r>
      <w:r w:rsidR="00980535" w:rsidRPr="006C540D">
        <w:t xml:space="preserve">profile </w:t>
      </w:r>
      <w:r w:rsidR="004D00D1" w:rsidRPr="006C540D">
        <w:t>of a</w:t>
      </w:r>
      <w:r w:rsidR="00D22833" w:rsidRPr="006C540D">
        <w:t xml:space="preserve"> </w:t>
      </w:r>
      <w:r w:rsidR="004D00D1" w:rsidRPr="006C540D">
        <w:t xml:space="preserve">population of </w:t>
      </w:r>
      <w:r w:rsidR="00D22833" w:rsidRPr="006C540D">
        <w:t>a</w:t>
      </w:r>
      <w:r w:rsidR="004D00D1" w:rsidRPr="006C540D">
        <w:t xml:space="preserve"> major malaria vector </w:t>
      </w:r>
      <w:r w:rsidR="004D00D1" w:rsidRPr="006C540D">
        <w:rPr>
          <w:i/>
        </w:rPr>
        <w:t xml:space="preserve">Anopheles </w:t>
      </w:r>
      <w:proofErr w:type="spellStart"/>
      <w:r w:rsidR="004D00D1" w:rsidRPr="006C540D">
        <w:rPr>
          <w:i/>
        </w:rPr>
        <w:t>funestus</w:t>
      </w:r>
      <w:proofErr w:type="spellEnd"/>
      <w:r w:rsidR="004D00D1" w:rsidRPr="006C540D">
        <w:rPr>
          <w:i/>
        </w:rPr>
        <w:t xml:space="preserve"> </w:t>
      </w:r>
      <w:proofErr w:type="spellStart"/>
      <w:r w:rsidR="004D00D1" w:rsidRPr="006C540D">
        <w:t>sensu</w:t>
      </w:r>
      <w:proofErr w:type="spellEnd"/>
      <w:r w:rsidR="004D00D1" w:rsidRPr="006C540D">
        <w:t xml:space="preserve"> </w:t>
      </w:r>
      <w:proofErr w:type="spellStart"/>
      <w:r w:rsidR="004D00D1" w:rsidRPr="006C540D">
        <w:t>stricto</w:t>
      </w:r>
      <w:proofErr w:type="spellEnd"/>
      <w:r w:rsidR="004D00D1" w:rsidRPr="006C540D">
        <w:t xml:space="preserve"> </w:t>
      </w:r>
      <w:r w:rsidR="004D00D1" w:rsidRPr="006C540D">
        <w:rPr>
          <w:iCs/>
        </w:rPr>
        <w:t>fro</w:t>
      </w:r>
      <w:r w:rsidR="00E2467E" w:rsidRPr="006C540D">
        <w:rPr>
          <w:iCs/>
        </w:rPr>
        <w:t>m</w:t>
      </w:r>
      <w:r w:rsidR="004D00D1" w:rsidRPr="006C540D">
        <w:rPr>
          <w:iCs/>
        </w:rPr>
        <w:t xml:space="preserve"> Sahel of Nigeria</w:t>
      </w:r>
      <w:r w:rsidR="00B51BB4" w:rsidRPr="006C540D">
        <w:rPr>
          <w:iCs/>
        </w:rPr>
        <w:t xml:space="preserve"> was </w:t>
      </w:r>
      <w:proofErr w:type="spellStart"/>
      <w:r w:rsidR="00B51BB4" w:rsidRPr="006C540D">
        <w:rPr>
          <w:iCs/>
        </w:rPr>
        <w:t>characterised</w:t>
      </w:r>
      <w:proofErr w:type="spellEnd"/>
      <w:r w:rsidR="004D00D1" w:rsidRPr="006C540D">
        <w:rPr>
          <w:iCs/>
        </w:rPr>
        <w:t xml:space="preserve">. </w:t>
      </w:r>
      <w:r w:rsidR="004D00D1" w:rsidRPr="006C540D">
        <w:rPr>
          <w:i/>
        </w:rPr>
        <w:t>An</w:t>
      </w:r>
      <w:r w:rsidR="00501BC8" w:rsidRPr="006C540D">
        <w:rPr>
          <w:i/>
        </w:rPr>
        <w:t>.</w:t>
      </w:r>
      <w:r w:rsidR="004D00D1" w:rsidRPr="006C540D">
        <w:rPr>
          <w:i/>
        </w:rPr>
        <w:t xml:space="preserve"> </w:t>
      </w:r>
      <w:proofErr w:type="spellStart"/>
      <w:r w:rsidR="004D00D1" w:rsidRPr="006C540D">
        <w:rPr>
          <w:i/>
        </w:rPr>
        <w:t>funestus</w:t>
      </w:r>
      <w:proofErr w:type="spellEnd"/>
      <w:r w:rsidR="004D00D1" w:rsidRPr="006C540D">
        <w:rPr>
          <w:i/>
        </w:rPr>
        <w:t xml:space="preserve"> </w:t>
      </w:r>
      <w:proofErr w:type="spellStart"/>
      <w:r w:rsidR="004D00D1" w:rsidRPr="006C540D">
        <w:t>s.s.</w:t>
      </w:r>
      <w:proofErr w:type="spellEnd"/>
      <w:r w:rsidR="004D00D1" w:rsidRPr="006C540D">
        <w:t xml:space="preserve"> was the only vector found, with a high human blood index (100%) and a biting rate of 5.3/person/night. High </w:t>
      </w:r>
      <w:r w:rsidR="004D00D1" w:rsidRPr="006C540D">
        <w:rPr>
          <w:i/>
        </w:rPr>
        <w:t>Plasmodium falciparum</w:t>
      </w:r>
      <w:r w:rsidR="004D00D1" w:rsidRPr="006C540D">
        <w:t xml:space="preserve"> infection was discovered (sporozoite rate</w:t>
      </w:r>
      <w:r w:rsidR="00E267AE" w:rsidRPr="006C540D">
        <w:t xml:space="preserve"> </w:t>
      </w:r>
      <w:r w:rsidR="004D00D1" w:rsidRPr="006C540D">
        <w:t>=</w:t>
      </w:r>
      <w:r w:rsidR="00E267AE" w:rsidRPr="006C540D">
        <w:t xml:space="preserve"> </w:t>
      </w:r>
      <w:r w:rsidR="004D00D1" w:rsidRPr="006C540D">
        <w:t xml:space="preserve">54.55%). The population </w:t>
      </w:r>
      <w:r w:rsidR="00980535" w:rsidRPr="006C540D">
        <w:t>is</w:t>
      </w:r>
      <w:r w:rsidR="00B51BB4" w:rsidRPr="006C540D">
        <w:t xml:space="preserve"> </w:t>
      </w:r>
      <w:r w:rsidR="004D00D1" w:rsidRPr="006C540D">
        <w:t>resistan</w:t>
      </w:r>
      <w:r w:rsidR="00E2467E" w:rsidRPr="006C540D">
        <w:t xml:space="preserve">t to </w:t>
      </w:r>
      <w:r w:rsidR="004D00D1" w:rsidRPr="006C540D">
        <w:t>permethrin</w:t>
      </w:r>
      <w:r w:rsidR="00E267AE" w:rsidRPr="006C540D">
        <w:t xml:space="preserve"> (mortality = 48.30%, LT</w:t>
      </w:r>
      <w:r w:rsidR="00E267AE" w:rsidRPr="006C540D">
        <w:rPr>
          <w:vertAlign w:val="subscript"/>
        </w:rPr>
        <w:t xml:space="preserve">50 </w:t>
      </w:r>
      <w:r w:rsidR="00E267AE" w:rsidRPr="006C540D">
        <w:t>= 65.76 min),</w:t>
      </w:r>
      <w:r w:rsidR="004D00D1" w:rsidRPr="006C540D">
        <w:t xml:space="preserve"> </w:t>
      </w:r>
      <w:r w:rsidR="00E267AE" w:rsidRPr="006C540D">
        <w:t>deltamethrin, DDT</w:t>
      </w:r>
      <w:r w:rsidR="005C4CF0">
        <w:t xml:space="preserve"> (dichlorodiphenyltrichloroethane)</w:t>
      </w:r>
      <w:r w:rsidR="00E267AE" w:rsidRPr="006C540D">
        <w:t xml:space="preserve"> and bendiocarb</w:t>
      </w:r>
      <w:r w:rsidR="0043305E">
        <w:t>,</w:t>
      </w:r>
      <w:r w:rsidR="00E267AE" w:rsidRPr="006C540D">
        <w:t xml:space="preserve"> with mortalities of 29.44%, 56.34% and 54.05%, respectively. </w:t>
      </w:r>
      <w:r w:rsidR="004D00D1" w:rsidRPr="006C540D">
        <w:t xml:space="preserve">Cone-bioassays established loss of efficacy of the pyrethroid-only </w:t>
      </w:r>
      <w:r w:rsidR="0043305E" w:rsidRPr="006C540D">
        <w:t xml:space="preserve">long-lasting insecticidal nets </w:t>
      </w:r>
      <w:r w:rsidR="0043305E">
        <w:t>(</w:t>
      </w:r>
      <w:r w:rsidR="004D00D1" w:rsidRPr="006C540D">
        <w:t>LLINs</w:t>
      </w:r>
      <w:r w:rsidR="0043305E">
        <w:t>)</w:t>
      </w:r>
      <w:r w:rsidR="004D00D1" w:rsidRPr="006C540D">
        <w:t>; but 100% recovery of susceptibility was obtained for piperonylbutoxide (PBO)-containing PermaNet®3.0. Synergist bioassays with PBO and diethyl maleate recovered susceptibility</w:t>
      </w:r>
      <w:r w:rsidR="00D22833" w:rsidRPr="006C540D">
        <w:t>,</w:t>
      </w:r>
      <w:r w:rsidR="004D00D1" w:rsidRPr="006C540D">
        <w:t xml:space="preserve"> implicating CYP450s (permethrin mortality</w:t>
      </w:r>
      <w:r w:rsidR="00E267AE" w:rsidRPr="006C540D">
        <w:t xml:space="preserve"> </w:t>
      </w:r>
      <w:r w:rsidR="004D00D1" w:rsidRPr="006C540D">
        <w:t>=</w:t>
      </w:r>
      <w:r w:rsidR="00E267AE" w:rsidRPr="006C540D">
        <w:t xml:space="preserve"> </w:t>
      </w:r>
      <w:r w:rsidR="004D00D1" w:rsidRPr="006C540D">
        <w:t xml:space="preserve">78.73%, </w:t>
      </w:r>
      <w:r w:rsidR="004D00D1" w:rsidRPr="009122BE">
        <w:t>χ</w:t>
      </w:r>
      <w:r w:rsidR="004D00D1" w:rsidRPr="009122BE">
        <w:rPr>
          <w:vertAlign w:val="superscript"/>
        </w:rPr>
        <w:t>2</w:t>
      </w:r>
      <w:r w:rsidR="00E267AE" w:rsidRPr="006C540D">
        <w:rPr>
          <w:vertAlign w:val="superscript"/>
        </w:rPr>
        <w:t xml:space="preserve"> </w:t>
      </w:r>
      <w:r w:rsidR="004D00D1" w:rsidRPr="006C540D">
        <w:t>=</w:t>
      </w:r>
      <w:r w:rsidR="00E267AE" w:rsidRPr="006C540D">
        <w:t xml:space="preserve"> </w:t>
      </w:r>
      <w:r w:rsidR="004D00D1" w:rsidRPr="006C540D">
        <w:t xml:space="preserve">22.33, </w:t>
      </w:r>
      <w:r w:rsidR="004D00D1" w:rsidRPr="006C540D">
        <w:rPr>
          <w:i/>
        </w:rPr>
        <w:t>P</w:t>
      </w:r>
      <w:r w:rsidR="00565A0B">
        <w:rPr>
          <w:i/>
        </w:rPr>
        <w:t xml:space="preserve"> </w:t>
      </w:r>
      <w:r w:rsidR="004D00D1" w:rsidRPr="006C540D">
        <w:t>&lt;</w:t>
      </w:r>
      <w:r w:rsidR="00565A0B">
        <w:t xml:space="preserve"> </w:t>
      </w:r>
      <w:r w:rsidR="004D00D1" w:rsidRPr="006C540D">
        <w:t>0.0001) and</w:t>
      </w:r>
      <w:r w:rsidR="00CB30BB" w:rsidRPr="006C540D">
        <w:t xml:space="preserve"> </w:t>
      </w:r>
      <w:r w:rsidR="004D00D1" w:rsidRPr="006C540D">
        <w:t>GSTs (DDT mortality</w:t>
      </w:r>
      <w:r w:rsidR="00E267AE" w:rsidRPr="006C540D">
        <w:t xml:space="preserve"> </w:t>
      </w:r>
      <w:r w:rsidR="004D00D1" w:rsidRPr="006C540D">
        <w:t>=</w:t>
      </w:r>
      <w:r w:rsidR="00E267AE" w:rsidRPr="006C540D">
        <w:t xml:space="preserve"> </w:t>
      </w:r>
      <w:r w:rsidR="004D00D1" w:rsidRPr="006C540D">
        <w:t xml:space="preserve">81.44%, </w:t>
      </w:r>
      <w:r w:rsidR="004D00D1" w:rsidRPr="009122BE">
        <w:t>χ</w:t>
      </w:r>
      <w:r w:rsidR="004D00D1" w:rsidRPr="009122BE">
        <w:rPr>
          <w:vertAlign w:val="superscript"/>
        </w:rPr>
        <w:t>2</w:t>
      </w:r>
      <w:r w:rsidR="00E267AE" w:rsidRPr="006C540D">
        <w:rPr>
          <w:vertAlign w:val="superscript"/>
        </w:rPr>
        <w:t xml:space="preserve"> </w:t>
      </w:r>
      <w:r w:rsidR="004D00D1" w:rsidRPr="006C540D">
        <w:t>=</w:t>
      </w:r>
      <w:r w:rsidR="00E267AE" w:rsidRPr="006C540D">
        <w:t xml:space="preserve"> </w:t>
      </w:r>
      <w:r w:rsidR="004D00D1" w:rsidRPr="006C540D">
        <w:t xml:space="preserve">19.12, </w:t>
      </w:r>
      <w:r w:rsidR="004D00D1" w:rsidRPr="006C540D">
        <w:rPr>
          <w:i/>
        </w:rPr>
        <w:t>P</w:t>
      </w:r>
      <w:r w:rsidR="00565A0B">
        <w:rPr>
          <w:i/>
        </w:rPr>
        <w:t xml:space="preserve"> </w:t>
      </w:r>
      <w:r w:rsidR="009E4E22" w:rsidRPr="006C540D">
        <w:t>&lt;</w:t>
      </w:r>
      <w:r w:rsidR="00565A0B">
        <w:t xml:space="preserve"> </w:t>
      </w:r>
      <w:r w:rsidR="004D00D1" w:rsidRPr="006C540D">
        <w:t>0.0</w:t>
      </w:r>
      <w:r w:rsidR="009E4E22" w:rsidRPr="006C540D">
        <w:t>001</w:t>
      </w:r>
      <w:r w:rsidR="004D00D1" w:rsidRPr="006C540D">
        <w:t xml:space="preserve">). </w:t>
      </w:r>
      <w:r w:rsidR="005C4FBF">
        <w:t>A h</w:t>
      </w:r>
      <w:r w:rsidR="004D00D1" w:rsidRPr="006C540D">
        <w:t xml:space="preserve">igh frequency of 119F </w:t>
      </w:r>
      <w:r w:rsidR="004D00D1" w:rsidRPr="006C540D">
        <w:rPr>
          <w:i/>
        </w:rPr>
        <w:t>GSTe2</w:t>
      </w:r>
      <w:r w:rsidR="004D00D1" w:rsidRPr="006C540D">
        <w:t xml:space="preserve"> mutation (0.84) </w:t>
      </w:r>
      <w:r w:rsidR="00CB30BB" w:rsidRPr="006C540D">
        <w:t xml:space="preserve">was observed </w:t>
      </w:r>
      <w:r w:rsidR="004D00D1" w:rsidRPr="006C540D">
        <w:t>(OR</w:t>
      </w:r>
      <w:r w:rsidR="00E267AE" w:rsidRPr="006C540D">
        <w:t xml:space="preserve"> </w:t>
      </w:r>
      <w:r w:rsidR="004D00D1" w:rsidRPr="006C540D">
        <w:t>=</w:t>
      </w:r>
      <w:r w:rsidR="00E267AE" w:rsidRPr="006C540D">
        <w:t xml:space="preserve"> </w:t>
      </w:r>
      <w:r w:rsidR="004D00D1" w:rsidRPr="006C540D">
        <w:t xml:space="preserve">16, </w:t>
      </w:r>
      <w:r w:rsidR="004D00D1" w:rsidRPr="009122BE">
        <w:t>χ</w:t>
      </w:r>
      <w:r w:rsidR="004D00D1" w:rsidRPr="009122BE">
        <w:rPr>
          <w:vertAlign w:val="superscript"/>
        </w:rPr>
        <w:t>2</w:t>
      </w:r>
      <w:r w:rsidR="00E267AE" w:rsidRPr="006C540D">
        <w:rPr>
          <w:vertAlign w:val="superscript"/>
        </w:rPr>
        <w:t xml:space="preserve"> </w:t>
      </w:r>
      <w:r w:rsidR="004D00D1" w:rsidRPr="006C540D">
        <w:t>=</w:t>
      </w:r>
      <w:r w:rsidR="00E267AE" w:rsidRPr="006C540D">
        <w:t xml:space="preserve"> </w:t>
      </w:r>
      <w:r w:rsidR="004D00D1" w:rsidRPr="006C540D">
        <w:t xml:space="preserve">3.40, </w:t>
      </w:r>
      <w:r w:rsidR="004D00D1" w:rsidRPr="006C540D">
        <w:rPr>
          <w:i/>
        </w:rPr>
        <w:t>P</w:t>
      </w:r>
      <w:r w:rsidR="00565A0B">
        <w:rPr>
          <w:i/>
        </w:rPr>
        <w:t xml:space="preserve"> </w:t>
      </w:r>
      <w:r w:rsidR="004D00D1" w:rsidRPr="006C540D">
        <w:t>=</w:t>
      </w:r>
      <w:r w:rsidR="00565A0B">
        <w:t xml:space="preserve"> </w:t>
      </w:r>
      <w:r w:rsidR="004D00D1" w:rsidRPr="006C540D">
        <w:t>0.05)</w:t>
      </w:r>
      <w:r w:rsidR="005C4FBF">
        <w:t>,</w:t>
      </w:r>
      <w:r w:rsidR="00980535" w:rsidRPr="006C540D">
        <w:t xml:space="preserve"> </w:t>
      </w:r>
      <w:r w:rsidR="00CB30BB" w:rsidRPr="006C540D">
        <w:t>suggesting</w:t>
      </w:r>
      <w:r w:rsidR="00980535" w:rsidRPr="006C540D">
        <w:t xml:space="preserve"> </w:t>
      </w:r>
      <w:r w:rsidR="005C4FBF">
        <w:t xml:space="preserve">the </w:t>
      </w:r>
      <w:r w:rsidR="00980535" w:rsidRPr="006C540D">
        <w:t>preeminent role of metabolic resistance</w:t>
      </w:r>
      <w:bookmarkStart w:id="0" w:name="_Hlk29559456"/>
      <w:r w:rsidR="00DF2D9A" w:rsidRPr="006C540D">
        <w:t xml:space="preserve">. </w:t>
      </w:r>
      <w:bookmarkEnd w:id="0"/>
      <w:r w:rsidR="004D00D1" w:rsidRPr="006C540D">
        <w:t>The</w:t>
      </w:r>
      <w:r w:rsidR="00E2467E" w:rsidRPr="006C540D">
        <w:t>se</w:t>
      </w:r>
      <w:r w:rsidR="00B51BB4" w:rsidRPr="006C540D">
        <w:t xml:space="preserve"> finding</w:t>
      </w:r>
      <w:r w:rsidR="00E2467E" w:rsidRPr="006C540D">
        <w:t>s</w:t>
      </w:r>
      <w:r w:rsidR="004D00D1" w:rsidRPr="006C540D">
        <w:t xml:space="preserve"> highlight challenges associated with deployment of LLINs and </w:t>
      </w:r>
      <w:r w:rsidR="0043305E" w:rsidRPr="006C540D">
        <w:t xml:space="preserve">indoor residual spraying </w:t>
      </w:r>
      <w:r w:rsidR="0043305E">
        <w:t>(</w:t>
      </w:r>
      <w:r w:rsidR="004D00D1" w:rsidRPr="006C540D">
        <w:t>IRS</w:t>
      </w:r>
      <w:r w:rsidR="0043305E">
        <w:t>)</w:t>
      </w:r>
      <w:r w:rsidR="004D00D1" w:rsidRPr="006C540D">
        <w:t xml:space="preserve"> in Nigeria.</w:t>
      </w:r>
      <w:r w:rsidR="00B51BB4" w:rsidRPr="006C540D">
        <w:t xml:space="preserve"> </w:t>
      </w:r>
    </w:p>
    <w:p w14:paraId="0D76BC58" w14:textId="35D01208" w:rsidR="006E06CC" w:rsidRPr="006C540D" w:rsidRDefault="009122BE" w:rsidP="009122BE">
      <w:pPr>
        <w:pStyle w:val="MDPI18keywords"/>
      </w:pPr>
      <w:r w:rsidRPr="009122BE">
        <w:rPr>
          <w:b/>
        </w:rPr>
        <w:t>Keywords:</w:t>
      </w:r>
      <w:r w:rsidR="004D00D1" w:rsidRPr="009122BE">
        <w:rPr>
          <w:b/>
        </w:rPr>
        <w:t xml:space="preserve"> </w:t>
      </w:r>
      <w:r w:rsidR="004D00D1" w:rsidRPr="006C540D">
        <w:rPr>
          <w:i/>
        </w:rPr>
        <w:t xml:space="preserve">Anopheles </w:t>
      </w:r>
      <w:proofErr w:type="spellStart"/>
      <w:r w:rsidR="004D00D1" w:rsidRPr="006C540D">
        <w:rPr>
          <w:i/>
        </w:rPr>
        <w:t>funestus</w:t>
      </w:r>
      <w:proofErr w:type="spellEnd"/>
      <w:r w:rsidR="004D00D1" w:rsidRPr="006C540D">
        <w:t>; resistance;</w:t>
      </w:r>
      <w:r w:rsidR="0099081C" w:rsidRPr="006C540D">
        <w:t xml:space="preserve"> metabolic; 119F mutation; </w:t>
      </w:r>
      <w:r w:rsidR="0099081C" w:rsidRPr="006C540D">
        <w:rPr>
          <w:i/>
        </w:rPr>
        <w:t>GSTe2</w:t>
      </w:r>
      <w:r w:rsidR="0099081C" w:rsidRPr="006C540D">
        <w:t xml:space="preserve">; </w:t>
      </w:r>
      <w:r w:rsidR="0099081C" w:rsidRPr="006C540D">
        <w:rPr>
          <w:i/>
        </w:rPr>
        <w:t>Plasmodium</w:t>
      </w:r>
      <w:r w:rsidR="0099081C" w:rsidRPr="006C540D">
        <w:t xml:space="preserve"> </w:t>
      </w:r>
      <w:r w:rsidR="0099081C" w:rsidRPr="006C540D">
        <w:rPr>
          <w:i/>
        </w:rPr>
        <w:t>falciparum</w:t>
      </w:r>
      <w:r w:rsidR="0099081C" w:rsidRPr="006C540D">
        <w:t>; malaria</w:t>
      </w:r>
    </w:p>
    <w:p w14:paraId="1F24252F" w14:textId="77777777" w:rsidR="006E06CC" w:rsidRPr="006C540D" w:rsidRDefault="006E06CC" w:rsidP="009122BE">
      <w:pPr>
        <w:pStyle w:val="MDPI19line"/>
        <w:pBdr>
          <w:bottom w:val="single" w:sz="4" w:space="1" w:color="000000"/>
        </w:pBdr>
        <w:adjustRightInd w:val="0"/>
        <w:snapToGrid w:val="0"/>
        <w:spacing w:after="480"/>
      </w:pPr>
    </w:p>
    <w:p w14:paraId="4CDFD0C7" w14:textId="77777777" w:rsidR="00565A0B" w:rsidRDefault="00565A0B" w:rsidP="006C540D">
      <w:pPr>
        <w:pStyle w:val="MDPI21heading1"/>
        <w:rPr>
          <w:lang w:eastAsia="zh-CN"/>
        </w:rPr>
      </w:pPr>
      <w:r>
        <w:rPr>
          <w:lang w:eastAsia="zh-CN"/>
        </w:rPr>
        <w:br w:type="page"/>
      </w:r>
    </w:p>
    <w:p w14:paraId="48B32BCE" w14:textId="21248422" w:rsidR="006E06CC" w:rsidRPr="006C540D" w:rsidRDefault="009122BE" w:rsidP="009122BE">
      <w:pPr>
        <w:pStyle w:val="MDPI21heading1"/>
      </w:pPr>
      <w:r>
        <w:rPr>
          <w:lang w:eastAsia="zh-CN"/>
        </w:rPr>
        <w:lastRenderedPageBreak/>
        <w:t xml:space="preserve">1. </w:t>
      </w:r>
      <w:r w:rsidR="006E06CC" w:rsidRPr="006C540D">
        <w:t>Introduction</w:t>
      </w:r>
    </w:p>
    <w:p w14:paraId="1CA44C5D" w14:textId="6F3EB396" w:rsidR="0099081C" w:rsidRPr="006C540D" w:rsidRDefault="0099081C" w:rsidP="009122BE">
      <w:pPr>
        <w:pStyle w:val="MDPI31text"/>
      </w:pPr>
      <w:bookmarkStart w:id="1" w:name="OLE_LINK1"/>
      <w:bookmarkStart w:id="2" w:name="OLE_LINK2"/>
      <w:r w:rsidRPr="006C540D">
        <w:t xml:space="preserve">Nigeria tops the list of the countries with the highest burden of malaria, accounting for ~25% of all malaria cases worldwide and 19% of the 435,000 malaria-related deaths </w:t>
      </w:r>
      <w:r w:rsidR="00CB09C4" w:rsidRPr="006C540D">
        <w:t>[1]</w:t>
      </w:r>
      <w:r w:rsidRPr="006C540D">
        <w:t xml:space="preserve">. Though the WHO African Region accounted for 88% of the 172,000 fewer global malaria deaths reported in 2017 compared to 2010 </w:t>
      </w:r>
      <w:r w:rsidR="00CB09C4" w:rsidRPr="006C540D">
        <w:t>[1]</w:t>
      </w:r>
      <w:r w:rsidRPr="006C540D">
        <w:t xml:space="preserve">, </w:t>
      </w:r>
      <w:r w:rsidR="005C4FBF">
        <w:t xml:space="preserve">the </w:t>
      </w:r>
      <w:r w:rsidRPr="006C540D">
        <w:t xml:space="preserve">reduction in malaria cases stalled between 2015–2017 </w:t>
      </w:r>
      <w:r w:rsidR="00CB09C4" w:rsidRPr="006C540D">
        <w:t>[1,2]</w:t>
      </w:r>
      <w:r w:rsidR="005C4FBF">
        <w:t>,</w:t>
      </w:r>
      <w:r w:rsidRPr="006C540D">
        <w:t xml:space="preserve"> due to lack of progress in countries like Nigeria</w:t>
      </w:r>
      <w:r w:rsidR="005C4FBF">
        <w:t>,</w:t>
      </w:r>
      <w:r w:rsidRPr="006C540D">
        <w:t xml:space="preserve"> which reported increased cases of more than half a million in 2017, compared with 2016 </w:t>
      </w:r>
      <w:r w:rsidR="00CB09C4" w:rsidRPr="006C540D">
        <w:t>[1]</w:t>
      </w:r>
      <w:r w:rsidRPr="006C540D">
        <w:t xml:space="preserve">. With </w:t>
      </w:r>
      <w:r w:rsidRPr="006C540D">
        <w:rPr>
          <w:i/>
        </w:rPr>
        <w:t>Anopheles gambiae</w:t>
      </w:r>
      <w:r w:rsidRPr="006C540D">
        <w:t xml:space="preserve"> </w:t>
      </w:r>
      <w:proofErr w:type="spellStart"/>
      <w:r w:rsidRPr="006C540D">
        <w:t>sensu</w:t>
      </w:r>
      <w:proofErr w:type="spellEnd"/>
      <w:r w:rsidRPr="006C540D">
        <w:t xml:space="preserve"> </w:t>
      </w:r>
      <w:proofErr w:type="spellStart"/>
      <w:r w:rsidRPr="006C540D">
        <w:t>lato</w:t>
      </w:r>
      <w:proofErr w:type="spellEnd"/>
      <w:r w:rsidRPr="006C540D">
        <w:t xml:space="preserve"> and </w:t>
      </w:r>
      <w:r w:rsidRPr="006C540D">
        <w:rPr>
          <w:i/>
        </w:rPr>
        <w:t xml:space="preserve">Anopheles </w:t>
      </w:r>
      <w:proofErr w:type="spellStart"/>
      <w:r w:rsidRPr="006C540D">
        <w:rPr>
          <w:i/>
        </w:rPr>
        <w:t>funestus</w:t>
      </w:r>
      <w:proofErr w:type="spellEnd"/>
      <w:r w:rsidRPr="006C540D">
        <w:t xml:space="preserve"> </w:t>
      </w:r>
      <w:proofErr w:type="spellStart"/>
      <w:r w:rsidRPr="006C540D">
        <w:t>sensu</w:t>
      </w:r>
      <w:proofErr w:type="spellEnd"/>
      <w:r w:rsidRPr="006C540D">
        <w:t xml:space="preserve"> </w:t>
      </w:r>
      <w:proofErr w:type="spellStart"/>
      <w:r w:rsidRPr="006C540D">
        <w:t>stricto</w:t>
      </w:r>
      <w:proofErr w:type="spellEnd"/>
      <w:r w:rsidRPr="006C540D">
        <w:t xml:space="preserve"> (</w:t>
      </w:r>
      <w:r w:rsidRPr="006C540D">
        <w:rPr>
          <w:i/>
        </w:rPr>
        <w:t xml:space="preserve">An. </w:t>
      </w:r>
      <w:proofErr w:type="spellStart"/>
      <w:r w:rsidRPr="006C540D">
        <w:rPr>
          <w:i/>
        </w:rPr>
        <w:t>funestus</w:t>
      </w:r>
      <w:proofErr w:type="spellEnd"/>
      <w:r w:rsidRPr="006C540D">
        <w:t>) as the major malaria vectors</w:t>
      </w:r>
      <w:r w:rsidR="005C4FBF">
        <w:t>,</w:t>
      </w:r>
      <w:r w:rsidRPr="006C540D">
        <w:t xml:space="preserve"> and </w:t>
      </w:r>
      <w:r w:rsidRPr="006C540D">
        <w:rPr>
          <w:i/>
        </w:rPr>
        <w:t>Plasmodium falciparum</w:t>
      </w:r>
      <w:r w:rsidRPr="006C540D">
        <w:t xml:space="preserve"> as the major malaria-causing species (100% of all cases in 2017), it is not surprising that this disease accounts for ~60% of outpatient visits to health facilities and 30% of child mortality in Nigeria </w:t>
      </w:r>
      <w:r w:rsidR="00CB09C4" w:rsidRPr="006C540D">
        <w:t>[3]</w:t>
      </w:r>
      <w:r w:rsidRPr="006C540D">
        <w:t xml:space="preserve">. The lack of progress towards malaria pre-elimination in Nigeria is partly due to insufficient and/or discordant entomological and active case surveillance data </w:t>
      </w:r>
      <w:r w:rsidR="00CB09C4" w:rsidRPr="006C540D">
        <w:t>[4]</w:t>
      </w:r>
      <w:r w:rsidR="000F23D8">
        <w:t>,</w:t>
      </w:r>
      <w:r w:rsidRPr="006C540D">
        <w:t xml:space="preserve"> which are important guides to identify priority areas and the most vulnerable populations to implement data-driven decisions. In stark contrast to </w:t>
      </w:r>
      <w:r w:rsidRPr="006C540D">
        <w:rPr>
          <w:i/>
        </w:rPr>
        <w:t>An. gambiae</w:t>
      </w:r>
      <w:r w:rsidRPr="006C540D">
        <w:t xml:space="preserve"> </w:t>
      </w:r>
      <w:proofErr w:type="spellStart"/>
      <w:r w:rsidRPr="006C540D">
        <w:t>s.l.</w:t>
      </w:r>
      <w:proofErr w:type="spellEnd"/>
      <w:r w:rsidRPr="006C540D">
        <w:t xml:space="preserve"> </w:t>
      </w:r>
      <w:r w:rsidR="00CB09C4" w:rsidRPr="006C540D">
        <w:t>[5</w:t>
      </w:r>
      <w:r w:rsidR="00A964D1">
        <w:t>–</w:t>
      </w:r>
      <w:r w:rsidR="00CB09C4" w:rsidRPr="006C540D">
        <w:t>7]</w:t>
      </w:r>
      <w:r w:rsidRPr="006C540D">
        <w:t xml:space="preserve">, the major malaria vector </w:t>
      </w:r>
      <w:r w:rsidRPr="006C540D">
        <w:rPr>
          <w:i/>
        </w:rPr>
        <w:t xml:space="preserve">An. </w:t>
      </w:r>
      <w:proofErr w:type="spellStart"/>
      <w:r w:rsidRPr="006C540D">
        <w:rPr>
          <w:i/>
        </w:rPr>
        <w:t>funestus</w:t>
      </w:r>
      <w:proofErr w:type="spellEnd"/>
      <w:r w:rsidRPr="006C540D">
        <w:t xml:space="preserve"> from </w:t>
      </w:r>
      <w:r w:rsidR="000F23D8">
        <w:t xml:space="preserve">the </w:t>
      </w:r>
      <w:r w:rsidRPr="006C540D">
        <w:t>Sudan/Sahel savannah of northern Nigeria has been neglected for decades</w:t>
      </w:r>
      <w:r w:rsidR="000F23D8">
        <w:t>,</w:t>
      </w:r>
      <w:r w:rsidRPr="006C540D">
        <w:t xml:space="preserve"> after comprehensive works conducted by several pioneers</w:t>
      </w:r>
      <w:r w:rsidR="00C0366D" w:rsidRPr="006C540D">
        <w:t>,</w:t>
      </w:r>
      <w:r w:rsidRPr="006C540D">
        <w:t xml:space="preserve"> before 1960. These almost seven decades old studies include (</w:t>
      </w:r>
      <w:proofErr w:type="spellStart"/>
      <w:r w:rsidRPr="006C540D">
        <w:t>i</w:t>
      </w:r>
      <w:proofErr w:type="spellEnd"/>
      <w:r w:rsidRPr="006C540D">
        <w:t xml:space="preserve">) </w:t>
      </w:r>
      <w:r w:rsidR="000F23D8">
        <w:t xml:space="preserve">the </w:t>
      </w:r>
      <w:r w:rsidRPr="006C540D">
        <w:t>work of Bruce-</w:t>
      </w:r>
      <w:proofErr w:type="spellStart"/>
      <w:r w:rsidRPr="006C540D">
        <w:t>Chwatt</w:t>
      </w:r>
      <w:proofErr w:type="spellEnd"/>
      <w:r w:rsidRPr="006C540D">
        <w:t xml:space="preserve"> and Haworth (carried out in 1955</w:t>
      </w:r>
      <w:r w:rsidR="006C540D">
        <w:t>–</w:t>
      </w:r>
      <w:r w:rsidRPr="006C540D">
        <w:t>56)</w:t>
      </w:r>
      <w:r w:rsidR="000F23D8">
        <w:t>,</w:t>
      </w:r>
      <w:r w:rsidRPr="006C540D">
        <w:t xml:space="preserve"> which described </w:t>
      </w:r>
      <w:r w:rsidRPr="006C540D">
        <w:rPr>
          <w:i/>
        </w:rPr>
        <w:t xml:space="preserve">An. </w:t>
      </w:r>
      <w:proofErr w:type="spellStart"/>
      <w:r w:rsidRPr="006C540D">
        <w:rPr>
          <w:i/>
        </w:rPr>
        <w:t>funestus</w:t>
      </w:r>
      <w:proofErr w:type="spellEnd"/>
      <w:r w:rsidRPr="006C540D">
        <w:t xml:space="preserve"> populations from Sokoto, north-western Nigeria, highly resistant to DDT</w:t>
      </w:r>
      <w:r w:rsidR="005C4CF0">
        <w:t xml:space="preserve"> (dichlorodiphenyltrichloroethane)</w:t>
      </w:r>
      <w:r w:rsidRPr="006C540D">
        <w:t>, dieldrin</w:t>
      </w:r>
      <w:r w:rsidR="000F23D8">
        <w:t>,</w:t>
      </w:r>
      <w:r w:rsidRPr="006C540D">
        <w:t xml:space="preserve"> and benzene hexachloride </w:t>
      </w:r>
      <w:r w:rsidR="00CB09C4" w:rsidRPr="006C540D">
        <w:t>[8]</w:t>
      </w:r>
      <w:r w:rsidRPr="006C540D">
        <w:t xml:space="preserve">; (ii) a detailed examination of </w:t>
      </w:r>
      <w:r w:rsidRPr="006C540D">
        <w:rPr>
          <w:i/>
        </w:rPr>
        <w:t xml:space="preserve">An. </w:t>
      </w:r>
      <w:proofErr w:type="spellStart"/>
      <w:r w:rsidRPr="006C540D">
        <w:rPr>
          <w:i/>
        </w:rPr>
        <w:t>funestus</w:t>
      </w:r>
      <w:proofErr w:type="spellEnd"/>
      <w:r w:rsidRPr="006C540D">
        <w:t xml:space="preserve"> species, published in 1959 by W.M. Service </w:t>
      </w:r>
      <w:r w:rsidR="00CB09C4" w:rsidRPr="006C540D">
        <w:t>[9]</w:t>
      </w:r>
      <w:r w:rsidRPr="006C540D">
        <w:t xml:space="preserve"> and its role in transmission in northern Nigeria </w:t>
      </w:r>
      <w:r w:rsidR="00CB09C4" w:rsidRPr="006C540D">
        <w:t>[10]</w:t>
      </w:r>
      <w:r w:rsidRPr="006C540D">
        <w:t xml:space="preserve">; as well as (iii) a 1964 small-scale hut trials to establish impact of DDT and malathion exposure on </w:t>
      </w:r>
      <w:proofErr w:type="spellStart"/>
      <w:r w:rsidRPr="006C540D">
        <w:t>behaviour</w:t>
      </w:r>
      <w:proofErr w:type="spellEnd"/>
      <w:r w:rsidRPr="006C540D">
        <w:t xml:space="preserve"> of </w:t>
      </w:r>
      <w:r w:rsidRPr="006C540D">
        <w:rPr>
          <w:i/>
        </w:rPr>
        <w:t xml:space="preserve">An. </w:t>
      </w:r>
      <w:proofErr w:type="spellStart"/>
      <w:r w:rsidRPr="006C540D">
        <w:rPr>
          <w:i/>
        </w:rPr>
        <w:t>funestus</w:t>
      </w:r>
      <w:proofErr w:type="spellEnd"/>
      <w:r w:rsidRPr="006C540D">
        <w:t xml:space="preserve"> and </w:t>
      </w:r>
      <w:r w:rsidRPr="006C540D">
        <w:rPr>
          <w:i/>
        </w:rPr>
        <w:t>An. gambiae</w:t>
      </w:r>
      <w:r w:rsidRPr="006C540D">
        <w:t xml:space="preserve"> </w:t>
      </w:r>
      <w:r w:rsidR="00CB09C4" w:rsidRPr="006C540D">
        <w:t>[11]</w:t>
      </w:r>
      <w:r w:rsidRPr="006C540D">
        <w:t xml:space="preserve">. After the </w:t>
      </w:r>
      <w:proofErr w:type="spellStart"/>
      <w:r w:rsidRPr="006C540D">
        <w:t>Garki</w:t>
      </w:r>
      <w:proofErr w:type="spellEnd"/>
      <w:r w:rsidRPr="006C540D">
        <w:t xml:space="preserve"> Project (1960</w:t>
      </w:r>
      <w:r w:rsidR="006C540D">
        <w:t>–</w:t>
      </w:r>
      <w:r w:rsidRPr="006C540D">
        <w:t xml:space="preserve">1970) </w:t>
      </w:r>
      <w:r w:rsidR="00CB09C4" w:rsidRPr="006C540D">
        <w:t>[12]</w:t>
      </w:r>
      <w:r w:rsidR="000F23D8">
        <w:t>,</w:t>
      </w:r>
      <w:r w:rsidRPr="006C540D">
        <w:t xml:space="preserve"> interest in </w:t>
      </w:r>
      <w:r w:rsidRPr="006C540D">
        <w:rPr>
          <w:i/>
        </w:rPr>
        <w:t xml:space="preserve">An. </w:t>
      </w:r>
      <w:proofErr w:type="spellStart"/>
      <w:r w:rsidRPr="006C540D">
        <w:rPr>
          <w:i/>
        </w:rPr>
        <w:t>funestus</w:t>
      </w:r>
      <w:proofErr w:type="spellEnd"/>
      <w:r w:rsidRPr="006C540D">
        <w:rPr>
          <w:i/>
        </w:rPr>
        <w:t xml:space="preserve"> </w:t>
      </w:r>
      <w:r w:rsidRPr="006C540D">
        <w:t xml:space="preserve">waned in northern Nigeria, though it is the chief vector in the dry season </w:t>
      </w:r>
      <w:r w:rsidR="00CB09C4" w:rsidRPr="006C540D">
        <w:t>[13]</w:t>
      </w:r>
      <w:r w:rsidRPr="006C540D">
        <w:t xml:space="preserve">, extending </w:t>
      </w:r>
      <w:r w:rsidR="000F23D8">
        <w:t xml:space="preserve">the </w:t>
      </w:r>
      <w:r w:rsidRPr="006C540D">
        <w:t xml:space="preserve">period of malaria transmission when densities of </w:t>
      </w:r>
      <w:r w:rsidRPr="006C540D">
        <w:rPr>
          <w:i/>
        </w:rPr>
        <w:t xml:space="preserve">An. gambiae </w:t>
      </w:r>
      <w:proofErr w:type="spellStart"/>
      <w:r w:rsidRPr="006C540D">
        <w:t>s.l.</w:t>
      </w:r>
      <w:proofErr w:type="spellEnd"/>
      <w:r w:rsidRPr="006C540D">
        <w:t xml:space="preserve"> ha</w:t>
      </w:r>
      <w:r w:rsidR="000F23D8">
        <w:t>ve</w:t>
      </w:r>
      <w:r w:rsidRPr="006C540D">
        <w:t xml:space="preserve"> declined </w:t>
      </w:r>
      <w:r w:rsidR="00CB09C4" w:rsidRPr="006C540D">
        <w:t>[14]</w:t>
      </w:r>
      <w:r w:rsidRPr="006C540D">
        <w:t xml:space="preserve">. Due to its high </w:t>
      </w:r>
      <w:proofErr w:type="spellStart"/>
      <w:r w:rsidRPr="006C540D">
        <w:t>vectorial</w:t>
      </w:r>
      <w:proofErr w:type="spellEnd"/>
      <w:r w:rsidRPr="006C540D">
        <w:t xml:space="preserve"> capacity</w:t>
      </w:r>
      <w:r w:rsidR="000F23D8">
        <w:t>,</w:t>
      </w:r>
      <w:r w:rsidRPr="006C540D">
        <w:t xml:space="preserve"> conferred by its unusually high anthropophilic and endophilic </w:t>
      </w:r>
      <w:proofErr w:type="spellStart"/>
      <w:r w:rsidRPr="006C540D">
        <w:t>behaviour</w:t>
      </w:r>
      <w:proofErr w:type="spellEnd"/>
      <w:r w:rsidRPr="006C540D">
        <w:t xml:space="preserve"> </w:t>
      </w:r>
      <w:r w:rsidR="00CB09C4" w:rsidRPr="006C540D">
        <w:t>[14,15]</w:t>
      </w:r>
      <w:r w:rsidR="000F23D8">
        <w:t>,</w:t>
      </w:r>
      <w:r w:rsidRPr="006C540D">
        <w:t xml:space="preserve"> this species is very important target</w:t>
      </w:r>
      <w:r w:rsidR="000F23D8">
        <w:t>,</w:t>
      </w:r>
      <w:r w:rsidRPr="006C540D">
        <w:t xml:space="preserve"> which should not be neglected if the ambitious target of the WHO to reduce global malaria case incidence by 90% is to be </w:t>
      </w:r>
      <w:proofErr w:type="spellStart"/>
      <w:r w:rsidRPr="006C540D">
        <w:t>realised</w:t>
      </w:r>
      <w:proofErr w:type="spellEnd"/>
      <w:r w:rsidRPr="006C540D">
        <w:t xml:space="preserve"> </w:t>
      </w:r>
      <w:r w:rsidR="00CB09C4" w:rsidRPr="006C540D">
        <w:t>[16]</w:t>
      </w:r>
      <w:r w:rsidRPr="006C540D">
        <w:t xml:space="preserve">. Contrary to the north, several studies have </w:t>
      </w:r>
      <w:proofErr w:type="spellStart"/>
      <w:r w:rsidRPr="006C540D">
        <w:t>characterised</w:t>
      </w:r>
      <w:proofErr w:type="spellEnd"/>
      <w:r w:rsidRPr="006C540D">
        <w:t xml:space="preserve"> </w:t>
      </w:r>
      <w:r w:rsidRPr="006C540D">
        <w:rPr>
          <w:i/>
        </w:rPr>
        <w:t xml:space="preserve">An. </w:t>
      </w:r>
      <w:proofErr w:type="spellStart"/>
      <w:r w:rsidRPr="006C540D">
        <w:rPr>
          <w:i/>
        </w:rPr>
        <w:t>funestus</w:t>
      </w:r>
      <w:proofErr w:type="spellEnd"/>
      <w:r w:rsidRPr="006C540D">
        <w:t xml:space="preserve"> populations from southern Nigeria. For example, the role of this vector in malaria transmission was established in populations from four sites in southwest Nigeria </w:t>
      </w:r>
      <w:r w:rsidR="00CB09C4" w:rsidRPr="006C540D">
        <w:t>[17]</w:t>
      </w:r>
      <w:r w:rsidRPr="006C540D">
        <w:t xml:space="preserve">, and recently its role in transmission and insecticide resistance profile was investigated by </w:t>
      </w:r>
      <w:proofErr w:type="spellStart"/>
      <w:r w:rsidRPr="006C540D">
        <w:t>Djouaka</w:t>
      </w:r>
      <w:proofErr w:type="spellEnd"/>
      <w:r w:rsidRPr="006C540D">
        <w:t xml:space="preserve"> and colleagues </w:t>
      </w:r>
      <w:r w:rsidR="00CB09C4" w:rsidRPr="006C540D">
        <w:t>[18]</w:t>
      </w:r>
      <w:r w:rsidRPr="006C540D">
        <w:t>. Unfortunately, information on this vector species from southern Nigeria cannot be extrapolated to the north</w:t>
      </w:r>
      <w:r w:rsidR="000F23D8">
        <w:t>,</w:t>
      </w:r>
      <w:r w:rsidRPr="006C540D">
        <w:t xml:space="preserve"> because Nigeria has five ecological zones which define intensity and seasonality of transmission and heterogeneity in mosquito vector compositions </w:t>
      </w:r>
      <w:r w:rsidR="00CB09C4" w:rsidRPr="006C540D">
        <w:t>[19]</w:t>
      </w:r>
      <w:r w:rsidRPr="006C540D">
        <w:t xml:space="preserve">. </w:t>
      </w:r>
    </w:p>
    <w:p w14:paraId="66124D0C" w14:textId="110C2E9E" w:rsidR="0099081C" w:rsidRPr="006C540D" w:rsidRDefault="0099081C" w:rsidP="006C540D">
      <w:pPr>
        <w:pStyle w:val="MDPI31text"/>
      </w:pPr>
      <w:r w:rsidRPr="006C540D">
        <w:t xml:space="preserve">Here, a primary data from study of the major malaria vector </w:t>
      </w:r>
      <w:r w:rsidRPr="006C540D">
        <w:rPr>
          <w:i/>
        </w:rPr>
        <w:t xml:space="preserve">An. </w:t>
      </w:r>
      <w:proofErr w:type="spellStart"/>
      <w:r w:rsidRPr="006C540D">
        <w:rPr>
          <w:i/>
        </w:rPr>
        <w:t>funestus</w:t>
      </w:r>
      <w:proofErr w:type="spellEnd"/>
      <w:r w:rsidRPr="006C540D">
        <w:t xml:space="preserve"> is presented. The role of this vector from Sahel of northern Nigeria in malaria transmission was investigated, and its resistance status to the major public health insecticides in use for bed nets and indoor-residual spraying established. The possible mechanisms driving metabolic resistance in the field were also investigated using the synergist bioassays and TaqMan genotyping for the 119F glutathione S-transferase (</w:t>
      </w:r>
      <w:r w:rsidRPr="006C540D">
        <w:rPr>
          <w:i/>
        </w:rPr>
        <w:t>GSTe2</w:t>
      </w:r>
      <w:r w:rsidRPr="006C540D">
        <w:t>) mutation</w:t>
      </w:r>
      <w:r w:rsidR="000F23D8">
        <w:t>,</w:t>
      </w:r>
      <w:r w:rsidRPr="006C540D">
        <w:t xml:space="preserve"> which confers resistance to DDT and pyrethroids </w:t>
      </w:r>
      <w:r w:rsidR="00CB09C4" w:rsidRPr="006C540D">
        <w:t>[20]</w:t>
      </w:r>
      <w:r w:rsidRPr="006C540D">
        <w:t xml:space="preserve">. </w:t>
      </w:r>
      <w:r w:rsidR="000F23D8">
        <w:t>The p</w:t>
      </w:r>
      <w:r w:rsidRPr="006C540D">
        <w:t>resence of the 1014F/S knockdown resistance (</w:t>
      </w:r>
      <w:proofErr w:type="spellStart"/>
      <w:r w:rsidRPr="006C540D">
        <w:rPr>
          <w:i/>
        </w:rPr>
        <w:t>kdr</w:t>
      </w:r>
      <w:proofErr w:type="spellEnd"/>
      <w:r w:rsidRPr="006C540D">
        <w:t xml:space="preserve">) mutations previously associated with pyrethroid resistance </w:t>
      </w:r>
      <w:r w:rsidR="00CB09C4" w:rsidRPr="006C540D">
        <w:t>[21,22]</w:t>
      </w:r>
      <w:r w:rsidR="000F23D8">
        <w:t>,</w:t>
      </w:r>
      <w:r w:rsidRPr="006C540D">
        <w:t xml:space="preserve"> and the </w:t>
      </w:r>
      <w:r w:rsidRPr="006C540D">
        <w:rPr>
          <w:i/>
        </w:rPr>
        <w:t>acetylcholinesterase-1</w:t>
      </w:r>
      <w:r w:rsidRPr="006C540D">
        <w:t xml:space="preserve"> (</w:t>
      </w:r>
      <w:r w:rsidRPr="006C540D">
        <w:rPr>
          <w:i/>
        </w:rPr>
        <w:t>ace-1</w:t>
      </w:r>
      <w:r w:rsidRPr="006C540D">
        <w:t xml:space="preserve">) G119S </w:t>
      </w:r>
      <w:r w:rsidR="00CB09C4" w:rsidRPr="006C540D">
        <w:t>[23]</w:t>
      </w:r>
      <w:r w:rsidRPr="006C540D">
        <w:t xml:space="preserve"> and N485I </w:t>
      </w:r>
      <w:r w:rsidR="00CB09C4" w:rsidRPr="006C540D">
        <w:t>[24]</w:t>
      </w:r>
      <w:r w:rsidRPr="006C540D">
        <w:t xml:space="preserve"> mutations associated with carbamate/organophosphate resistance</w:t>
      </w:r>
      <w:r w:rsidR="000F23D8">
        <w:t>,</w:t>
      </w:r>
      <w:r w:rsidRPr="006C540D">
        <w:t xml:space="preserve"> was also assessed through sequencing. Findings of this study could guide the Nigerian National Malaria Elimination Program to implement evidence-based resistance management and malaria control measures in northern Nigeria as it scales up distribution of insecticide treated net (ITNs) as part of the goals of the National Malaria Strategic Plan (NMSP) 2014</w:t>
      </w:r>
      <w:r w:rsidR="000F23D8">
        <w:t>–</w:t>
      </w:r>
      <w:r w:rsidRPr="006C540D">
        <w:t xml:space="preserve">2020 </w:t>
      </w:r>
      <w:r w:rsidR="00CB09C4" w:rsidRPr="006C540D">
        <w:t>[25]</w:t>
      </w:r>
      <w:r w:rsidRPr="006C540D">
        <w:t>.</w:t>
      </w:r>
    </w:p>
    <w:bookmarkEnd w:id="1"/>
    <w:bookmarkEnd w:id="2"/>
    <w:p w14:paraId="3775CB5D" w14:textId="09D88250" w:rsidR="006E06CC" w:rsidRPr="006C540D" w:rsidRDefault="00761CE6" w:rsidP="006C540D">
      <w:pPr>
        <w:pStyle w:val="MDPI21heading1"/>
      </w:pPr>
      <w:r w:rsidRPr="006C540D">
        <w:rPr>
          <w:lang w:eastAsia="zh-CN"/>
        </w:rPr>
        <w:t xml:space="preserve">2. </w:t>
      </w:r>
      <w:r w:rsidR="006E06CC" w:rsidRPr="006C540D">
        <w:t xml:space="preserve">Materials and Methods </w:t>
      </w:r>
    </w:p>
    <w:p w14:paraId="3D077538" w14:textId="6D96E421" w:rsidR="00C0366D" w:rsidRPr="006C540D" w:rsidRDefault="00761CE6" w:rsidP="006C540D">
      <w:pPr>
        <w:pStyle w:val="MDPI22heading2"/>
        <w:rPr>
          <w:noProof w:val="0"/>
        </w:rPr>
      </w:pPr>
      <w:r w:rsidRPr="006C540D">
        <w:rPr>
          <w:noProof w:val="0"/>
        </w:rPr>
        <w:t xml:space="preserve">2.1. </w:t>
      </w:r>
      <w:r w:rsidR="00C0366D" w:rsidRPr="006C540D">
        <w:rPr>
          <w:noProof w:val="0"/>
        </w:rPr>
        <w:t>Study Site and Mosquito Sampling</w:t>
      </w:r>
    </w:p>
    <w:p w14:paraId="6228B54A" w14:textId="3E11FA3C" w:rsidR="00C0366D" w:rsidRPr="006C540D" w:rsidRDefault="00C0366D" w:rsidP="006C540D">
      <w:pPr>
        <w:pStyle w:val="MDPI31text"/>
      </w:pPr>
      <w:r w:rsidRPr="006C540D">
        <w:t>Blood</w:t>
      </w:r>
      <w:r w:rsidR="000F23D8">
        <w:t>-</w:t>
      </w:r>
      <w:r w:rsidRPr="006C540D">
        <w:t>fed female</w:t>
      </w:r>
      <w:r w:rsidR="006C540D">
        <w:t xml:space="preserve"> </w:t>
      </w:r>
      <w:r w:rsidRPr="006C540D">
        <w:rPr>
          <w:i/>
          <w:iCs/>
        </w:rPr>
        <w:t>Anopheles</w:t>
      </w:r>
      <w:r w:rsidR="006C540D">
        <w:t xml:space="preserve"> </w:t>
      </w:r>
      <w:r w:rsidRPr="006C540D">
        <w:t>mosquitoes resting indoor</w:t>
      </w:r>
      <w:r w:rsidR="000F23D8">
        <w:t>s</w:t>
      </w:r>
      <w:r w:rsidRPr="006C540D">
        <w:t xml:space="preserve"> were collected between 17</w:t>
      </w:r>
      <w:r w:rsidR="006C540D">
        <w:t>–</w:t>
      </w:r>
      <w:r w:rsidRPr="006C540D">
        <w:t xml:space="preserve">20 November 2018 using battery-operated aspirators (John. W. Hock, Florida, USA). Collection was done in eight </w:t>
      </w:r>
      <w:r w:rsidRPr="006C540D">
        <w:lastRenderedPageBreak/>
        <w:t>randomly selected houses (among those who consented), in the morning hours (6:00</w:t>
      </w:r>
      <w:r w:rsidR="006C540D">
        <w:t>–</w:t>
      </w:r>
      <w:r w:rsidRPr="006C540D">
        <w:t>7:00</w:t>
      </w:r>
      <w:r w:rsidR="00DF2D9A" w:rsidRPr="006C540D">
        <w:t xml:space="preserve"> </w:t>
      </w:r>
      <w:r w:rsidRPr="006C540D">
        <w:t xml:space="preserve">am) at </w:t>
      </w:r>
      <w:proofErr w:type="spellStart"/>
      <w:r w:rsidRPr="006C540D">
        <w:t>Gajerar</w:t>
      </w:r>
      <w:proofErr w:type="spellEnd"/>
      <w:r w:rsidRPr="006C540D">
        <w:t xml:space="preserve"> </w:t>
      </w:r>
      <w:proofErr w:type="spellStart"/>
      <w:r w:rsidRPr="006C540D">
        <w:t>Giwa</w:t>
      </w:r>
      <w:proofErr w:type="spellEnd"/>
      <w:r w:rsidRPr="006C540D">
        <w:t xml:space="preserve"> (13°11'57.1"N 7°45'53.5"E), a village in Katsina State, north-western Nigeria. Located in the semi-arid savannah, </w:t>
      </w:r>
      <w:proofErr w:type="spellStart"/>
      <w:r w:rsidRPr="006C540D">
        <w:t>Gajerar</w:t>
      </w:r>
      <w:proofErr w:type="spellEnd"/>
      <w:r w:rsidRPr="006C540D">
        <w:t xml:space="preserve"> </w:t>
      </w:r>
      <w:proofErr w:type="spellStart"/>
      <w:r w:rsidRPr="006C540D">
        <w:t>Giwa</w:t>
      </w:r>
      <w:proofErr w:type="spellEnd"/>
      <w:r w:rsidRPr="006C540D">
        <w:t xml:space="preserve"> (Fig</w:t>
      </w:r>
      <w:r w:rsidR="006C540D">
        <w:t>ure</w:t>
      </w:r>
      <w:r w:rsidRPr="006C540D">
        <w:t xml:space="preserve"> 1) </w:t>
      </w:r>
      <w:r w:rsidR="00DF2D9A" w:rsidRPr="006C540D">
        <w:t>neighbors</w:t>
      </w:r>
      <w:r w:rsidRPr="006C540D">
        <w:t xml:space="preserve"> </w:t>
      </w:r>
      <w:proofErr w:type="spellStart"/>
      <w:r w:rsidRPr="006C540D">
        <w:t>Ajiwa</w:t>
      </w:r>
      <w:proofErr w:type="spellEnd"/>
      <w:r w:rsidRPr="006C540D">
        <w:t xml:space="preserve"> Dam, built in 1975 and </w:t>
      </w:r>
      <w:r w:rsidR="00146C30" w:rsidRPr="006C540D">
        <w:t xml:space="preserve">is </w:t>
      </w:r>
      <w:r w:rsidRPr="006C540D">
        <w:t>used by</w:t>
      </w:r>
      <w:r w:rsidR="00146C30" w:rsidRPr="006C540D">
        <w:t xml:space="preserve"> nearby</w:t>
      </w:r>
      <w:r w:rsidRPr="006C540D">
        <w:t xml:space="preserve"> communities, for domestic purposes, fishing</w:t>
      </w:r>
      <w:r w:rsidR="005C699D">
        <w:t>,</w:t>
      </w:r>
      <w:r w:rsidRPr="006C540D">
        <w:t xml:space="preserve"> and </w:t>
      </w:r>
      <w:r w:rsidR="005C699D">
        <w:t xml:space="preserve">the </w:t>
      </w:r>
      <w:r w:rsidRPr="006C540D">
        <w:t xml:space="preserve">year-round irrigation of vegetables, including tomato, lettuce, pepper, etc. Farmers apply quantities of pesticides mainly organophosphate-based, as well as pyrethroids and carbamates for </w:t>
      </w:r>
      <w:r w:rsidR="008931CE">
        <w:t xml:space="preserve">the </w:t>
      </w:r>
      <w:r w:rsidRPr="006C540D">
        <w:t>control of insect pests,</w:t>
      </w:r>
      <w:r w:rsidR="006C540D">
        <w:t xml:space="preserve"> </w:t>
      </w:r>
      <w:r w:rsidRPr="006C540D">
        <w:t>undesirable</w:t>
      </w:r>
      <w:r w:rsidR="005C4CF0">
        <w:t> </w:t>
      </w:r>
      <w:r w:rsidRPr="006C540D">
        <w:t>herbs</w:t>
      </w:r>
      <w:r w:rsidR="005C4CF0">
        <w:t> </w:t>
      </w:r>
      <w:r w:rsidRPr="006C540D">
        <w:t>and</w:t>
      </w:r>
      <w:r w:rsidR="005C4CF0">
        <w:t> </w:t>
      </w:r>
      <w:r w:rsidRPr="006C540D">
        <w:t>fungi</w:t>
      </w:r>
      <w:r w:rsidR="005C4CF0">
        <w:t> </w:t>
      </w:r>
      <w:r w:rsidRPr="00A964D1">
        <w:t>(</w:t>
      </w:r>
      <w:r w:rsidRPr="00A964D1">
        <w:rPr>
          <w:szCs w:val="16"/>
        </w:rPr>
        <w:t>http://documents.worldbank.org/curated/pt/244751486100486129/pdf/SFG2945-EA-P148616-Box402883B-PUBLIC-Disclosed-1-31-2017.pdf</w:t>
      </w:r>
      <w:r w:rsidRPr="00A964D1">
        <w:t>).</w:t>
      </w:r>
    </w:p>
    <w:p w14:paraId="2FBAC236" w14:textId="55B45120" w:rsidR="00C0366D" w:rsidRPr="006C540D" w:rsidRDefault="00501BC8" w:rsidP="006C540D">
      <w:pPr>
        <w:pStyle w:val="MDPI52figure"/>
        <w:rPr>
          <w:szCs w:val="16"/>
        </w:rPr>
      </w:pPr>
      <w:r w:rsidRPr="006C540D">
        <w:rPr>
          <w:noProof/>
          <w:lang w:eastAsia="zh-CN" w:bidi="ar-SA"/>
        </w:rPr>
        <w:drawing>
          <wp:inline distT="0" distB="0" distL="0" distR="0" wp14:anchorId="20A50D24" wp14:editId="25F67928">
            <wp:extent cx="5303520" cy="37687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3358" cy="3782822"/>
                    </a:xfrm>
                    <a:prstGeom prst="rect">
                      <a:avLst/>
                    </a:prstGeom>
                    <a:noFill/>
                    <a:ln>
                      <a:noFill/>
                    </a:ln>
                  </pic:spPr>
                </pic:pic>
              </a:graphicData>
            </a:graphic>
          </wp:inline>
        </w:drawing>
      </w:r>
    </w:p>
    <w:p w14:paraId="2AB954C1" w14:textId="786008A8" w:rsidR="00C0366D" w:rsidRPr="006C540D" w:rsidRDefault="00761CE6" w:rsidP="006C540D">
      <w:pPr>
        <w:pStyle w:val="MDPI51figurecaption"/>
        <w:jc w:val="center"/>
      </w:pPr>
      <w:r w:rsidRPr="006C540D">
        <w:rPr>
          <w:b/>
          <w:bCs/>
        </w:rPr>
        <w:t>Figure 1.</w:t>
      </w:r>
      <w:r w:rsidR="00C0366D" w:rsidRPr="006C540D">
        <w:rPr>
          <w:b/>
          <w:bCs/>
        </w:rPr>
        <w:t xml:space="preserve"> </w:t>
      </w:r>
      <w:r w:rsidR="00C0366D" w:rsidRPr="006C540D">
        <w:t>A map showing the sampling locality (</w:t>
      </w:r>
      <w:proofErr w:type="spellStart"/>
      <w:r w:rsidR="00C0366D" w:rsidRPr="006C540D">
        <w:t>Gajerar</w:t>
      </w:r>
      <w:proofErr w:type="spellEnd"/>
      <w:r w:rsidR="00C0366D" w:rsidRPr="006C540D">
        <w:t xml:space="preserve"> </w:t>
      </w:r>
      <w:proofErr w:type="spellStart"/>
      <w:r w:rsidR="00C0366D" w:rsidRPr="006C540D">
        <w:t>Giwa</w:t>
      </w:r>
      <w:proofErr w:type="spellEnd"/>
      <w:r w:rsidR="00C0366D" w:rsidRPr="006C540D">
        <w:t>) in the Sahel of northern Nigeria.</w:t>
      </w:r>
    </w:p>
    <w:p w14:paraId="35B2F7DE" w14:textId="2865B0F3" w:rsidR="003B557B" w:rsidRPr="006C540D" w:rsidRDefault="003B557B" w:rsidP="006C540D">
      <w:pPr>
        <w:pStyle w:val="MDPI31text"/>
      </w:pPr>
      <w:bookmarkStart w:id="3" w:name="_Hlk22640046"/>
      <w:r w:rsidRPr="006C540D">
        <w:t xml:space="preserve">Clearance for indoor collection previously obtained from Operational Research Advisory Committee, Ministry of Health (with reference number MOH/off/797/TI/402) </w:t>
      </w:r>
      <w:bookmarkEnd w:id="3"/>
      <w:r w:rsidRPr="006C540D">
        <w:t>was used. The blood fed females obtained were maintained on 10% sugar at 25</w:t>
      </w:r>
      <w:r w:rsidR="006C540D">
        <w:t xml:space="preserve"> </w:t>
      </w:r>
      <w:r w:rsidRPr="006C540D">
        <w:t>°C ±</w:t>
      </w:r>
      <w:r w:rsidR="006C540D">
        <w:t xml:space="preserve"> </w:t>
      </w:r>
      <w:r w:rsidRPr="006C540D">
        <w:t>2 and 70</w:t>
      </w:r>
      <w:r w:rsidR="006C540D">
        <w:t>–</w:t>
      </w:r>
      <w:r w:rsidRPr="006C540D">
        <w:t xml:space="preserve">80% relative humidity for </w:t>
      </w:r>
      <w:r w:rsidR="007E47B6" w:rsidRPr="006C540D">
        <w:t>6</w:t>
      </w:r>
      <w:r w:rsidR="006C540D">
        <w:t>–</w:t>
      </w:r>
      <w:r w:rsidRPr="006C540D">
        <w:t xml:space="preserve">7 d. Gravid females were transferred into 1.5 ml tubes individually and forced to lay eggs, using established protocols </w:t>
      </w:r>
      <w:r w:rsidR="00CB09C4" w:rsidRPr="006C540D">
        <w:t>[26]</w:t>
      </w:r>
      <w:r w:rsidRPr="006C540D">
        <w:t>. The F</w:t>
      </w:r>
      <w:r w:rsidRPr="006C540D">
        <w:rPr>
          <w:vertAlign w:val="subscript"/>
        </w:rPr>
        <w:t>0</w:t>
      </w:r>
      <w:r w:rsidR="006C540D">
        <w:t xml:space="preserve"> </w:t>
      </w:r>
      <w:r w:rsidRPr="006C540D">
        <w:t>parents were identified as belonging to</w:t>
      </w:r>
      <w:r w:rsidR="006C540D">
        <w:t xml:space="preserve"> </w:t>
      </w:r>
      <w:r w:rsidR="005C699D">
        <w:t xml:space="preserve">the </w:t>
      </w:r>
      <w:r w:rsidRPr="006C540D">
        <w:rPr>
          <w:i/>
          <w:iCs/>
        </w:rPr>
        <w:t>An</w:t>
      </w:r>
      <w:r w:rsidRPr="006C540D">
        <w:t>.</w:t>
      </w:r>
      <w:r w:rsidR="006C540D">
        <w:t xml:space="preserve"> </w:t>
      </w:r>
      <w:proofErr w:type="spellStart"/>
      <w:r w:rsidRPr="006C540D">
        <w:rPr>
          <w:i/>
          <w:iCs/>
        </w:rPr>
        <w:t>funestus</w:t>
      </w:r>
      <w:proofErr w:type="spellEnd"/>
      <w:r w:rsidRPr="006C540D">
        <w:rPr>
          <w:i/>
          <w:iCs/>
        </w:rPr>
        <w:t xml:space="preserve"> </w:t>
      </w:r>
      <w:r w:rsidR="005C699D">
        <w:rPr>
          <w:iCs/>
        </w:rPr>
        <w:t>g</w:t>
      </w:r>
      <w:r w:rsidRPr="006C540D">
        <w:rPr>
          <w:iCs/>
        </w:rPr>
        <w:t>roup</w:t>
      </w:r>
      <w:r w:rsidRPr="006C540D">
        <w:t xml:space="preserve"> using morphological keys </w:t>
      </w:r>
      <w:r w:rsidR="00CB09C4" w:rsidRPr="006C540D">
        <w:t>[27]</w:t>
      </w:r>
      <w:r w:rsidRPr="006C540D">
        <w:t xml:space="preserve"> and confirmed as </w:t>
      </w:r>
      <w:r w:rsidRPr="006C540D">
        <w:rPr>
          <w:i/>
        </w:rPr>
        <w:t xml:space="preserve">An. </w:t>
      </w:r>
      <w:proofErr w:type="spellStart"/>
      <w:r w:rsidRPr="006C540D">
        <w:rPr>
          <w:i/>
        </w:rPr>
        <w:t>funestus</w:t>
      </w:r>
      <w:proofErr w:type="spellEnd"/>
      <w:r w:rsidRPr="006C540D">
        <w:rPr>
          <w:i/>
        </w:rPr>
        <w:t xml:space="preserve"> </w:t>
      </w:r>
      <w:proofErr w:type="spellStart"/>
      <w:r w:rsidRPr="006C540D">
        <w:t>s.s.</w:t>
      </w:r>
      <w:proofErr w:type="spellEnd"/>
      <w:r w:rsidRPr="006C540D">
        <w:t xml:space="preserve"> using the cocktail</w:t>
      </w:r>
      <w:r w:rsidR="005C4CF0">
        <w:t xml:space="preserve"> polymerase chain reaction</w:t>
      </w:r>
      <w:r w:rsidRPr="006C540D">
        <w:t xml:space="preserve"> PCR </w:t>
      </w:r>
      <w:r w:rsidR="00CB09C4" w:rsidRPr="006C540D">
        <w:t>[28]</w:t>
      </w:r>
      <w:r w:rsidRPr="006C540D">
        <w:t xml:space="preserve">. Egg batches were transferred into paper cups for hatching in the insectary located at </w:t>
      </w:r>
      <w:proofErr w:type="spellStart"/>
      <w:r w:rsidRPr="006C540D">
        <w:t>Bayero</w:t>
      </w:r>
      <w:proofErr w:type="spellEnd"/>
      <w:r w:rsidRPr="006C540D">
        <w:t xml:space="preserve"> University Kano, Nigeria. Eggs that hatched were pooled into bowls and supplemented with </w:t>
      </w:r>
      <w:proofErr w:type="spellStart"/>
      <w:r w:rsidRPr="006C540D">
        <w:t>Tetramin</w:t>
      </w:r>
      <w:r w:rsidRPr="006C540D">
        <w:rPr>
          <w:vertAlign w:val="superscript"/>
        </w:rPr>
        <w:t>TM</w:t>
      </w:r>
      <w:proofErr w:type="spellEnd"/>
      <w:r w:rsidR="006C540D">
        <w:t xml:space="preserve"> </w:t>
      </w:r>
      <w:r w:rsidRPr="006C540D">
        <w:t xml:space="preserve">baby fish food. </w:t>
      </w:r>
      <w:r w:rsidR="005C699D">
        <w:t xml:space="preserve">The </w:t>
      </w:r>
      <w:r w:rsidRPr="006C540D">
        <w:t>3- to 4-days old F</w:t>
      </w:r>
      <w:r w:rsidRPr="006C540D">
        <w:rPr>
          <w:vertAlign w:val="subscript"/>
        </w:rPr>
        <w:t>1</w:t>
      </w:r>
      <w:r w:rsidR="006C540D">
        <w:t xml:space="preserve"> </w:t>
      </w:r>
      <w:r w:rsidRPr="006C540D">
        <w:t>females that emerged were mixed in cages and used for bioassays. DNA extracted from all F</w:t>
      </w:r>
      <w:r w:rsidRPr="006C540D">
        <w:rPr>
          <w:vertAlign w:val="subscript"/>
        </w:rPr>
        <w:t>0</w:t>
      </w:r>
      <w:r w:rsidRPr="006C540D">
        <w:t xml:space="preserve"> and F</w:t>
      </w:r>
      <w:r w:rsidRPr="006C540D">
        <w:rPr>
          <w:vertAlign w:val="subscript"/>
        </w:rPr>
        <w:t>1</w:t>
      </w:r>
      <w:r w:rsidRPr="006C540D">
        <w:t xml:space="preserve"> females and to be used for molecular analyses were transported to the Liverpool School of Tropical Medicine (LSTM), UK, under the DEFRA license (PATH/125/2012, UK). To establish </w:t>
      </w:r>
      <w:r w:rsidR="005C699D">
        <w:t xml:space="preserve">the </w:t>
      </w:r>
      <w:r w:rsidRPr="006C540D">
        <w:t xml:space="preserve">indoor resting densities of the </w:t>
      </w:r>
      <w:r w:rsidRPr="006C540D">
        <w:rPr>
          <w:i/>
        </w:rPr>
        <w:t xml:space="preserve">An. </w:t>
      </w:r>
      <w:proofErr w:type="spellStart"/>
      <w:r w:rsidRPr="006C540D">
        <w:rPr>
          <w:i/>
        </w:rPr>
        <w:t>funestus</w:t>
      </w:r>
      <w:proofErr w:type="spellEnd"/>
      <w:r w:rsidRPr="006C540D">
        <w:t xml:space="preserve"> and </w:t>
      </w:r>
      <w:r w:rsidR="005C699D">
        <w:t xml:space="preserve">the </w:t>
      </w:r>
      <w:r w:rsidRPr="006C540D">
        <w:t xml:space="preserve">source of blood meal, a pyrethrum spray collection was conducted indoor in the eight houses on 21 November 2018. </w:t>
      </w:r>
    </w:p>
    <w:p w14:paraId="64B23369" w14:textId="0B3BDE3E" w:rsidR="003B557B" w:rsidRPr="006C540D" w:rsidRDefault="00761CE6" w:rsidP="006C540D">
      <w:pPr>
        <w:pStyle w:val="MDPI22heading2"/>
        <w:rPr>
          <w:noProof w:val="0"/>
        </w:rPr>
      </w:pPr>
      <w:r w:rsidRPr="006C540D">
        <w:rPr>
          <w:noProof w:val="0"/>
        </w:rPr>
        <w:t xml:space="preserve">2.2. </w:t>
      </w:r>
      <w:r w:rsidR="003B557B" w:rsidRPr="006C540D">
        <w:rPr>
          <w:noProof w:val="0"/>
        </w:rPr>
        <w:t xml:space="preserve">Molecular </w:t>
      </w:r>
      <w:r w:rsidR="006C540D">
        <w:rPr>
          <w:noProof w:val="0"/>
        </w:rPr>
        <w:t>I</w:t>
      </w:r>
      <w:r w:rsidR="003B557B" w:rsidRPr="006C540D">
        <w:rPr>
          <w:noProof w:val="0"/>
        </w:rPr>
        <w:t xml:space="preserve">dentification of </w:t>
      </w:r>
      <w:r w:rsidR="006C540D">
        <w:rPr>
          <w:noProof w:val="0"/>
        </w:rPr>
        <w:t>M</w:t>
      </w:r>
      <w:r w:rsidR="003B557B" w:rsidRPr="006C540D">
        <w:rPr>
          <w:noProof w:val="0"/>
        </w:rPr>
        <w:t xml:space="preserve">osquito </w:t>
      </w:r>
      <w:r w:rsidR="006C540D">
        <w:rPr>
          <w:noProof w:val="0"/>
        </w:rPr>
        <w:t>S</w:t>
      </w:r>
      <w:r w:rsidR="003B557B" w:rsidRPr="006C540D">
        <w:rPr>
          <w:noProof w:val="0"/>
        </w:rPr>
        <w:t>pecies</w:t>
      </w:r>
    </w:p>
    <w:p w14:paraId="236B2BAC" w14:textId="6BB86423" w:rsidR="003B557B" w:rsidRPr="006C540D" w:rsidRDefault="003B557B" w:rsidP="006C540D">
      <w:pPr>
        <w:pStyle w:val="MDPI31text"/>
      </w:pPr>
      <w:r w:rsidRPr="006C540D">
        <w:t xml:space="preserve">Genomic DNA (gDNA) was extracted from the females which laid eggs, using the </w:t>
      </w:r>
      <w:proofErr w:type="spellStart"/>
      <w:r w:rsidRPr="006C540D">
        <w:t>Livak</w:t>
      </w:r>
      <w:proofErr w:type="spellEnd"/>
      <w:r w:rsidRPr="006C540D">
        <w:t xml:space="preserve"> protocol </w:t>
      </w:r>
      <w:r w:rsidR="00CB09C4" w:rsidRPr="006C540D">
        <w:t>[29]</w:t>
      </w:r>
      <w:bookmarkStart w:id="4" w:name="_Hlk535587494"/>
      <w:r w:rsidR="005C699D">
        <w:t>,</w:t>
      </w:r>
      <w:r w:rsidRPr="006C540D">
        <w:t xml:space="preserve"> and the mosquitoes identified to species using the cocktail PCR of Koekemoer</w:t>
      </w:r>
      <w:r w:rsidRPr="006C540D">
        <w:rPr>
          <w:i/>
        </w:rPr>
        <w:t xml:space="preserve"> </w:t>
      </w:r>
      <w:bookmarkEnd w:id="4"/>
      <w:r w:rsidRPr="006C540D">
        <w:rPr>
          <w:i/>
        </w:rPr>
        <w:t xml:space="preserve">et al. </w:t>
      </w:r>
      <w:r w:rsidR="00CB09C4" w:rsidRPr="006C540D">
        <w:t>[28]</w:t>
      </w:r>
      <w:r w:rsidRPr="006C540D">
        <w:t xml:space="preserve">. These include all the females from the first 3 days of collections, as well as all the females collected </w:t>
      </w:r>
      <w:r w:rsidR="005C699D">
        <w:lastRenderedPageBreak/>
        <w:t>o</w:t>
      </w:r>
      <w:r w:rsidRPr="006C540D">
        <w:t xml:space="preserve">n day 4, which were used for </w:t>
      </w:r>
      <w:r w:rsidR="005C699D">
        <w:t xml:space="preserve">the </w:t>
      </w:r>
      <w:r w:rsidRPr="006C540D">
        <w:t xml:space="preserve">estimation of indoor resting density and identification of blood meal source. </w:t>
      </w:r>
    </w:p>
    <w:p w14:paraId="33416D4E" w14:textId="6027723D" w:rsidR="003B557B" w:rsidRPr="006C540D" w:rsidRDefault="00761CE6" w:rsidP="006C540D">
      <w:pPr>
        <w:pStyle w:val="MDPI22heading2"/>
        <w:rPr>
          <w:noProof w:val="0"/>
        </w:rPr>
      </w:pPr>
      <w:r w:rsidRPr="006C540D">
        <w:rPr>
          <w:noProof w:val="0"/>
        </w:rPr>
        <w:t xml:space="preserve">2.3. </w:t>
      </w:r>
      <w:r w:rsidR="003B557B" w:rsidRPr="006C540D">
        <w:rPr>
          <w:noProof w:val="0"/>
        </w:rPr>
        <w:t xml:space="preserve">Estimation of </w:t>
      </w:r>
      <w:r w:rsidR="006C540D">
        <w:rPr>
          <w:noProof w:val="0"/>
        </w:rPr>
        <w:t>E</w:t>
      </w:r>
      <w:r w:rsidR="003B557B" w:rsidRPr="006C540D">
        <w:rPr>
          <w:noProof w:val="0"/>
        </w:rPr>
        <w:t xml:space="preserve">ntomological and </w:t>
      </w:r>
      <w:r w:rsidR="006C540D">
        <w:rPr>
          <w:noProof w:val="0"/>
        </w:rPr>
        <w:t>P</w:t>
      </w:r>
      <w:r w:rsidR="003B557B" w:rsidRPr="006C540D">
        <w:rPr>
          <w:noProof w:val="0"/>
        </w:rPr>
        <w:t xml:space="preserve">arasitological </w:t>
      </w:r>
      <w:r w:rsidR="006C540D">
        <w:rPr>
          <w:noProof w:val="0"/>
        </w:rPr>
        <w:t>P</w:t>
      </w:r>
      <w:r w:rsidR="003B557B" w:rsidRPr="006C540D">
        <w:rPr>
          <w:noProof w:val="0"/>
        </w:rPr>
        <w:t>arameters</w:t>
      </w:r>
    </w:p>
    <w:p w14:paraId="741540C1" w14:textId="78975A40" w:rsidR="003B557B" w:rsidRPr="006C540D" w:rsidRDefault="00761CE6" w:rsidP="006C540D">
      <w:pPr>
        <w:pStyle w:val="MDPI23heading3"/>
      </w:pPr>
      <w:r w:rsidRPr="006C540D">
        <w:t xml:space="preserve">2.3.1. </w:t>
      </w:r>
      <w:r w:rsidR="003B557B" w:rsidRPr="006C540D">
        <w:t xml:space="preserve">Estimation of </w:t>
      </w:r>
      <w:r w:rsidR="006C540D">
        <w:t>I</w:t>
      </w:r>
      <w:r w:rsidR="003B557B" w:rsidRPr="006C540D">
        <w:t xml:space="preserve">ndoor </w:t>
      </w:r>
      <w:r w:rsidR="006C540D">
        <w:t>R</w:t>
      </w:r>
      <w:r w:rsidR="003B557B" w:rsidRPr="006C540D">
        <w:t xml:space="preserve">esting </w:t>
      </w:r>
      <w:r w:rsidR="006C540D">
        <w:t>D</w:t>
      </w:r>
      <w:r w:rsidR="003B557B" w:rsidRPr="006C540D">
        <w:t xml:space="preserve">ensity, </w:t>
      </w:r>
      <w:r w:rsidR="006C540D">
        <w:t>H</w:t>
      </w:r>
      <w:r w:rsidR="003B557B" w:rsidRPr="006C540D">
        <w:t xml:space="preserve">uman </w:t>
      </w:r>
      <w:r w:rsidR="006C540D">
        <w:t>B</w:t>
      </w:r>
      <w:r w:rsidR="003B557B" w:rsidRPr="006C540D">
        <w:t xml:space="preserve">lood </w:t>
      </w:r>
      <w:r w:rsidR="006C540D">
        <w:t>I</w:t>
      </w:r>
      <w:r w:rsidR="003B557B" w:rsidRPr="006C540D">
        <w:t xml:space="preserve">ndex and </w:t>
      </w:r>
      <w:r w:rsidR="006C540D">
        <w:t>B</w:t>
      </w:r>
      <w:r w:rsidR="003B557B" w:rsidRPr="006C540D">
        <w:t xml:space="preserve">iting </w:t>
      </w:r>
      <w:r w:rsidR="006C540D">
        <w:t>R</w:t>
      </w:r>
      <w:r w:rsidR="003B557B" w:rsidRPr="006C540D">
        <w:t>ate</w:t>
      </w:r>
    </w:p>
    <w:p w14:paraId="6E621409" w14:textId="685833EA" w:rsidR="003B557B" w:rsidRPr="006C540D" w:rsidRDefault="003B557B" w:rsidP="006C540D">
      <w:pPr>
        <w:pStyle w:val="MDPI31text"/>
      </w:pPr>
      <w:r w:rsidRPr="006C540D">
        <w:t>The</w:t>
      </w:r>
      <w:r w:rsidRPr="006C540D">
        <w:rPr>
          <w:i/>
        </w:rPr>
        <w:t xml:space="preserve"> </w:t>
      </w:r>
      <w:r w:rsidRPr="006C540D">
        <w:t xml:space="preserve">indoor resting density (IRD) was calculated from the number of </w:t>
      </w:r>
      <w:r w:rsidRPr="006C540D">
        <w:rPr>
          <w:i/>
        </w:rPr>
        <w:t xml:space="preserve">An. </w:t>
      </w:r>
      <w:proofErr w:type="spellStart"/>
      <w:r w:rsidRPr="006C540D">
        <w:rPr>
          <w:i/>
        </w:rPr>
        <w:t>funestus</w:t>
      </w:r>
      <w:proofErr w:type="spellEnd"/>
      <w:r w:rsidRPr="006C540D">
        <w:rPr>
          <w:i/>
        </w:rPr>
        <w:t xml:space="preserve"> </w:t>
      </w:r>
      <w:r w:rsidRPr="006C540D">
        <w:t>collected on the 4th d</w:t>
      </w:r>
      <w:r w:rsidR="005C699D">
        <w:t>,</w:t>
      </w:r>
      <w:r w:rsidRPr="006C540D">
        <w:t xml:space="preserve"> relative to the number of houses assessed</w:t>
      </w:r>
      <w:r w:rsidR="005C699D">
        <w:t>,</w:t>
      </w:r>
      <w:r w:rsidRPr="006C540D">
        <w:t xml:space="preserve"> as advised by the WHO </w:t>
      </w:r>
      <w:r w:rsidR="00CB09C4" w:rsidRPr="006C540D">
        <w:t>[30,31]</w:t>
      </w:r>
      <w:r w:rsidRPr="006C540D">
        <w:t xml:space="preserve">. </w:t>
      </w:r>
      <w:r w:rsidR="005C699D">
        <w:t xml:space="preserve">A total of </w:t>
      </w:r>
      <w:r w:rsidRPr="006C540D">
        <w:t>112 blood-fed females were dissected &lt;48 h after collection</w:t>
      </w:r>
      <w:r w:rsidR="005C699D">
        <w:t>,</w:t>
      </w:r>
      <w:r w:rsidRPr="006C540D">
        <w:t xml:space="preserve"> separating heads/thoraces from the abdomens. The abdomens were used for gDNA extraction as outlined in WHO guidelines </w:t>
      </w:r>
      <w:r w:rsidR="00CB09C4" w:rsidRPr="006C540D">
        <w:t>[30]</w:t>
      </w:r>
      <w:r w:rsidRPr="006C540D">
        <w:t xml:space="preserve"> using the </w:t>
      </w:r>
      <w:proofErr w:type="spellStart"/>
      <w:r w:rsidRPr="006C540D">
        <w:t>DNeasy</w:t>
      </w:r>
      <w:proofErr w:type="spellEnd"/>
      <w:r w:rsidRPr="006C540D">
        <w:t xml:space="preserve"> Blood and Tissue Kit (QIAGEN, Hilden, Germany)</w:t>
      </w:r>
      <w:r w:rsidR="005C699D">
        <w:t>,</w:t>
      </w:r>
      <w:r w:rsidRPr="006C540D">
        <w:t xml:space="preserve"> according to manufacturer’s protocol. Identification of the source of blood was conducted using the cocktail PCR of Kent </w:t>
      </w:r>
      <w:r w:rsidRPr="006C540D">
        <w:rPr>
          <w:i/>
        </w:rPr>
        <w:t xml:space="preserve">et al. </w:t>
      </w:r>
      <w:r w:rsidR="00CB09C4" w:rsidRPr="006C540D">
        <w:t>[32]</w:t>
      </w:r>
      <w:r w:rsidRPr="006C540D">
        <w:t xml:space="preserve">. </w:t>
      </w:r>
      <w:r w:rsidR="005C699D">
        <w:t>The h</w:t>
      </w:r>
      <w:r w:rsidRPr="006C540D">
        <w:t>uman blood index was calculated from the number of females that have fed on humans</w:t>
      </w:r>
      <w:r w:rsidR="005C699D">
        <w:t>,</w:t>
      </w:r>
      <w:r w:rsidRPr="006C540D">
        <w:t xml:space="preserve"> relative to the</w:t>
      </w:r>
      <w:r w:rsidR="006C540D">
        <w:t xml:space="preserve"> total number of females caught</w:t>
      </w:r>
      <w:r w:rsidRPr="006C540D">
        <w:t xml:space="preserve"> </w:t>
      </w:r>
      <w:r w:rsidR="00CB09C4" w:rsidRPr="006C540D">
        <w:t>[30,31]</w:t>
      </w:r>
      <w:r w:rsidRPr="006C540D">
        <w:t xml:space="preserve">. </w:t>
      </w:r>
      <w:r w:rsidR="005C699D">
        <w:t>The h</w:t>
      </w:r>
      <w:r w:rsidRPr="006C540D">
        <w:t>uman biting rate was estimated from the number of the females that have fed on humans</w:t>
      </w:r>
      <w:r w:rsidR="005C699D">
        <w:t>,</w:t>
      </w:r>
      <w:r w:rsidRPr="006C540D">
        <w:t xml:space="preserve"> relative to the total number of people in the houses sampled. </w:t>
      </w:r>
    </w:p>
    <w:p w14:paraId="0FF500D8" w14:textId="2B51FB1D" w:rsidR="003B557B" w:rsidRPr="006C540D" w:rsidRDefault="00761CE6" w:rsidP="006C540D">
      <w:pPr>
        <w:pStyle w:val="MDPI23heading3"/>
      </w:pPr>
      <w:r w:rsidRPr="006C540D">
        <w:t xml:space="preserve">2.3.2. </w:t>
      </w:r>
      <w:r w:rsidR="003B557B" w:rsidRPr="006C540D">
        <w:t xml:space="preserve">Estimation of </w:t>
      </w:r>
      <w:r w:rsidR="006C540D">
        <w:t>S</w:t>
      </w:r>
      <w:r w:rsidR="003B557B" w:rsidRPr="006C540D">
        <w:t xml:space="preserve">porozoite </w:t>
      </w:r>
      <w:r w:rsidR="006C540D">
        <w:t>R</w:t>
      </w:r>
      <w:r w:rsidR="003B557B" w:rsidRPr="006C540D">
        <w:t>ate</w:t>
      </w:r>
    </w:p>
    <w:p w14:paraId="452E293F" w14:textId="2D561EC9" w:rsidR="003B557B" w:rsidRPr="006C540D" w:rsidRDefault="003B557B" w:rsidP="006C540D">
      <w:pPr>
        <w:pStyle w:val="MDPI31text"/>
      </w:pPr>
      <w:r w:rsidRPr="006C540D">
        <w:t xml:space="preserve">Sixty-six females (22 individuals randomly selected from each of the three days of indoor collection) which laid eggs successfully were dissected, </w:t>
      </w:r>
      <w:r w:rsidR="005C699D">
        <w:t xml:space="preserve">and the </w:t>
      </w:r>
      <w:r w:rsidRPr="006C540D">
        <w:t xml:space="preserve">heads/thoraces separated from the abdomens immediately, as explained above. </w:t>
      </w:r>
      <w:r w:rsidR="005C699D">
        <w:t>The p</w:t>
      </w:r>
      <w:r w:rsidRPr="006C540D">
        <w:t>resence of sporozoite was investigated using a TaqMan genotyping protocol</w:t>
      </w:r>
      <w:r w:rsidR="005C699D">
        <w:t>,</w:t>
      </w:r>
      <w:r w:rsidRPr="006C540D">
        <w:t xml:space="preserve"> established by Bass and colleagues </w:t>
      </w:r>
      <w:r w:rsidR="00CB09C4" w:rsidRPr="006C540D">
        <w:t>[33]</w:t>
      </w:r>
      <w:r w:rsidRPr="006C540D">
        <w:t xml:space="preserve">. Real-time PCR MX 3005 (Agilent, Santa Clara, USA) was used for the amplification. </w:t>
      </w:r>
      <w:r w:rsidR="005C699D">
        <w:t xml:space="preserve">A total of </w:t>
      </w:r>
      <w:r w:rsidRPr="006C540D">
        <w:t>1</w:t>
      </w:r>
      <w:r w:rsidR="007E47B6" w:rsidRPr="006C540D">
        <w:t xml:space="preserve"> </w:t>
      </w:r>
      <w:proofErr w:type="spellStart"/>
      <w:r w:rsidRPr="006C540D">
        <w:t>μl</w:t>
      </w:r>
      <w:proofErr w:type="spellEnd"/>
      <w:r w:rsidRPr="006C540D">
        <w:t xml:space="preserve"> of gDNA</w:t>
      </w:r>
      <w:r w:rsidR="005C699D">
        <w:t>,</w:t>
      </w:r>
      <w:r w:rsidRPr="006C540D">
        <w:t xml:space="preserve"> extracted from each female head/thorax</w:t>
      </w:r>
      <w:r w:rsidR="005C699D">
        <w:t>,</w:t>
      </w:r>
      <w:r w:rsidRPr="006C540D">
        <w:t xml:space="preserve"> was used for PCR, with an initial denaturation at 95</w:t>
      </w:r>
      <w:r w:rsidR="007E47B6" w:rsidRPr="006C540D">
        <w:t xml:space="preserve"> </w:t>
      </w:r>
      <w:r w:rsidRPr="006C540D">
        <w:t>°C for 10</w:t>
      </w:r>
      <w:r w:rsidR="007E47B6" w:rsidRPr="006C540D">
        <w:t xml:space="preserve"> </w:t>
      </w:r>
      <w:r w:rsidRPr="006C540D">
        <w:t>min, followed by 40 cycles each</w:t>
      </w:r>
      <w:r w:rsidR="006C540D">
        <w:t xml:space="preserve"> </w:t>
      </w:r>
      <w:r w:rsidRPr="006C540D">
        <w:t>of</w:t>
      </w:r>
      <w:r w:rsidR="006C540D">
        <w:t xml:space="preserve"> </w:t>
      </w:r>
      <w:r w:rsidRPr="006C540D">
        <w:t>15</w:t>
      </w:r>
      <w:r w:rsidR="007E47B6" w:rsidRPr="006C540D">
        <w:t xml:space="preserve"> </w:t>
      </w:r>
      <w:r w:rsidRPr="006C540D">
        <w:t>s</w:t>
      </w:r>
      <w:r w:rsidR="006C540D">
        <w:t xml:space="preserve"> </w:t>
      </w:r>
      <w:r w:rsidRPr="006C540D">
        <w:t>at</w:t>
      </w:r>
      <w:r w:rsidR="006C540D">
        <w:t xml:space="preserve"> </w:t>
      </w:r>
      <w:r w:rsidRPr="006C540D">
        <w:t>95</w:t>
      </w:r>
      <w:r w:rsidR="006C540D">
        <w:t xml:space="preserve"> </w:t>
      </w:r>
      <w:r w:rsidRPr="006C540D">
        <w:t>°C</w:t>
      </w:r>
      <w:r w:rsidR="006C540D">
        <w:t xml:space="preserve"> </w:t>
      </w:r>
      <w:r w:rsidRPr="006C540D">
        <w:t>and</w:t>
      </w:r>
      <w:r w:rsidR="006C540D">
        <w:t xml:space="preserve"> </w:t>
      </w:r>
      <w:r w:rsidRPr="006C540D">
        <w:t>1</w:t>
      </w:r>
      <w:r w:rsidR="006C540D">
        <w:t xml:space="preserve"> </w:t>
      </w:r>
      <w:r w:rsidRPr="006C540D">
        <w:t>min</w:t>
      </w:r>
      <w:r w:rsidR="006C540D">
        <w:t xml:space="preserve"> </w:t>
      </w:r>
      <w:r w:rsidRPr="006C540D">
        <w:t>at</w:t>
      </w:r>
      <w:r w:rsidR="006C540D">
        <w:t xml:space="preserve"> </w:t>
      </w:r>
      <w:r w:rsidRPr="006C540D">
        <w:t>60</w:t>
      </w:r>
      <w:r w:rsidR="006C540D">
        <w:t xml:space="preserve"> </w:t>
      </w:r>
      <w:r w:rsidRPr="006C540D">
        <w:t>°C.</w:t>
      </w:r>
      <w:r w:rsidR="006C540D">
        <w:t xml:space="preserve"> </w:t>
      </w:r>
      <w:r w:rsidRPr="006C540D">
        <w:t>Primers</w:t>
      </w:r>
      <w:r w:rsidR="006C540D">
        <w:t xml:space="preserve"> </w:t>
      </w:r>
      <w:r w:rsidRPr="006C540D">
        <w:t>described</w:t>
      </w:r>
      <w:r w:rsidR="006C540D">
        <w:t xml:space="preserve"> </w:t>
      </w:r>
      <w:r w:rsidRPr="006C540D">
        <w:t>by</w:t>
      </w:r>
      <w:r w:rsidR="006C540D">
        <w:t xml:space="preserve"> </w:t>
      </w:r>
      <w:r w:rsidRPr="006C540D">
        <w:t>Bass</w:t>
      </w:r>
      <w:r w:rsidR="006C540D">
        <w:t xml:space="preserve"> </w:t>
      </w:r>
      <w:r w:rsidRPr="006C540D">
        <w:t>(</w:t>
      </w:r>
      <w:proofErr w:type="spellStart"/>
      <w:r w:rsidRPr="006C540D">
        <w:t>PlasF_GCTTAGTTACGATTAATAGGAGTAGCTTG</w:t>
      </w:r>
      <w:proofErr w:type="spellEnd"/>
      <w:r w:rsidR="006C540D">
        <w:t xml:space="preserve"> </w:t>
      </w:r>
      <w:r w:rsidRPr="006C540D">
        <w:t>and</w:t>
      </w:r>
      <w:r w:rsidR="006C540D">
        <w:t xml:space="preserve"> </w:t>
      </w:r>
      <w:proofErr w:type="spellStart"/>
      <w:r w:rsidRPr="006C540D">
        <w:t>PlasR_GAAAATCTAAGAATTTCACCTCTGACA</w:t>
      </w:r>
      <w:proofErr w:type="spellEnd"/>
      <w:r w:rsidRPr="006C540D">
        <w:t>) were used</w:t>
      </w:r>
      <w:r w:rsidR="005C699D">
        <w:t>,</w:t>
      </w:r>
      <w:r w:rsidRPr="006C540D">
        <w:t xml:space="preserve"> together with two probes labelled with fluorophores</w:t>
      </w:r>
      <w:r w:rsidRPr="006C540D">
        <w:rPr>
          <w:lang w:eastAsia="en-GB"/>
        </w:rPr>
        <w:t xml:space="preserve">, FAM </w:t>
      </w:r>
      <w:r w:rsidRPr="006C540D">
        <w:t>(</w:t>
      </w:r>
      <w:proofErr w:type="spellStart"/>
      <w:r w:rsidRPr="006C540D">
        <w:t>Falcip</w:t>
      </w:r>
      <w:proofErr w:type="spellEnd"/>
      <w:r w:rsidRPr="006C540D">
        <w:t>+_TCTGAATACGAATGTC)</w:t>
      </w:r>
      <w:r w:rsidRPr="006C540D">
        <w:rPr>
          <w:lang w:eastAsia="en-GB"/>
        </w:rPr>
        <w:t xml:space="preserve"> to detect </w:t>
      </w:r>
      <w:r w:rsidRPr="006C540D">
        <w:rPr>
          <w:i/>
          <w:lang w:eastAsia="en-GB"/>
        </w:rPr>
        <w:t>Plasmodium falciparum</w:t>
      </w:r>
      <w:r w:rsidRPr="006C540D">
        <w:rPr>
          <w:lang w:eastAsia="en-GB"/>
        </w:rPr>
        <w:t xml:space="preserve">, and HEX </w:t>
      </w:r>
      <w:r w:rsidRPr="006C540D">
        <w:t>(OVM+_CTGAATACAAATGCC)</w:t>
      </w:r>
      <w:r w:rsidRPr="006C540D">
        <w:rPr>
          <w:lang w:eastAsia="en-GB"/>
        </w:rPr>
        <w:t xml:space="preserve"> to detect </w:t>
      </w:r>
      <w:r w:rsidR="005C699D">
        <w:rPr>
          <w:lang w:eastAsia="en-GB"/>
        </w:rPr>
        <w:t xml:space="preserve">the </w:t>
      </w:r>
      <w:r w:rsidRPr="006C540D">
        <w:rPr>
          <w:lang w:eastAsia="en-GB"/>
        </w:rPr>
        <w:t xml:space="preserve">combination of </w:t>
      </w:r>
      <w:r w:rsidRPr="006C540D">
        <w:rPr>
          <w:i/>
          <w:lang w:eastAsia="en-GB"/>
        </w:rPr>
        <w:t xml:space="preserve">P. </w:t>
      </w:r>
      <w:proofErr w:type="spellStart"/>
      <w:r w:rsidRPr="006C540D">
        <w:rPr>
          <w:i/>
          <w:lang w:eastAsia="en-GB"/>
        </w:rPr>
        <w:t>ovale</w:t>
      </w:r>
      <w:proofErr w:type="spellEnd"/>
      <w:r w:rsidRPr="006C540D">
        <w:rPr>
          <w:i/>
          <w:lang w:eastAsia="en-GB"/>
        </w:rPr>
        <w:t xml:space="preserve">, P. vivax </w:t>
      </w:r>
      <w:r w:rsidRPr="006C540D">
        <w:rPr>
          <w:lang w:eastAsia="en-GB"/>
        </w:rPr>
        <w:t xml:space="preserve">and </w:t>
      </w:r>
      <w:r w:rsidRPr="006C540D">
        <w:rPr>
          <w:i/>
          <w:lang w:eastAsia="en-GB"/>
        </w:rPr>
        <w:t xml:space="preserve">P. </w:t>
      </w:r>
      <w:proofErr w:type="spellStart"/>
      <w:r w:rsidRPr="006C540D">
        <w:rPr>
          <w:i/>
          <w:lang w:eastAsia="en-GB"/>
        </w:rPr>
        <w:t>malariae</w:t>
      </w:r>
      <w:proofErr w:type="spellEnd"/>
      <w:r w:rsidRPr="006C540D">
        <w:rPr>
          <w:lang w:eastAsia="en-GB"/>
        </w:rPr>
        <w:t xml:space="preserve">. </w:t>
      </w:r>
      <w:r w:rsidRPr="006C540D">
        <w:t>Positive controls (known FAM+ and OVM+) were used</w:t>
      </w:r>
      <w:r w:rsidR="005C699D">
        <w:t>,</w:t>
      </w:r>
      <w:r w:rsidRPr="006C540D">
        <w:t xml:space="preserve"> in addition to a negative control</w:t>
      </w:r>
      <w:r w:rsidR="005C699D">
        <w:t>,</w:t>
      </w:r>
      <w:r w:rsidRPr="006C540D">
        <w:t xml:space="preserve"> in which 1</w:t>
      </w:r>
      <w:r w:rsidR="007E47B6" w:rsidRPr="006C540D">
        <w:t xml:space="preserve"> </w:t>
      </w:r>
      <w:proofErr w:type="spellStart"/>
      <w:r w:rsidRPr="006C540D">
        <w:t>μl</w:t>
      </w:r>
      <w:proofErr w:type="spellEnd"/>
      <w:r w:rsidRPr="006C540D">
        <w:t xml:space="preserve"> of ddH</w:t>
      </w:r>
      <w:r w:rsidRPr="006C540D">
        <w:rPr>
          <w:vertAlign w:val="subscript"/>
        </w:rPr>
        <w:t>2</w:t>
      </w:r>
      <w:r w:rsidRPr="006C540D">
        <w:t xml:space="preserve">0 was added. To validate findings of the TaqMan assay, a nested PCR of </w:t>
      </w:r>
      <w:proofErr w:type="spellStart"/>
      <w:r w:rsidRPr="006C540D">
        <w:t>Snounou</w:t>
      </w:r>
      <w:proofErr w:type="spellEnd"/>
      <w:r w:rsidRPr="006C540D">
        <w:t xml:space="preserve"> </w:t>
      </w:r>
      <w:r w:rsidRPr="006C540D">
        <w:rPr>
          <w:i/>
        </w:rPr>
        <w:t>et al.</w:t>
      </w:r>
      <w:r w:rsidRPr="006C540D">
        <w:t xml:space="preserve"> </w:t>
      </w:r>
      <w:r w:rsidR="00CB09C4" w:rsidRPr="006C540D">
        <w:t>[34]</w:t>
      </w:r>
      <w:r w:rsidRPr="006C540D">
        <w:t xml:space="preserve"> was carried out</w:t>
      </w:r>
      <w:r w:rsidR="005C699D">
        <w:t>,</w:t>
      </w:r>
      <w:r w:rsidRPr="006C540D">
        <w:t xml:space="preserve"> using all the samples that tested positive with TaqMan. </w:t>
      </w:r>
      <w:r w:rsidR="005C699D">
        <w:t>The s</w:t>
      </w:r>
      <w:r w:rsidRPr="006C540D">
        <w:t>porozoite rate was calculated as</w:t>
      </w:r>
      <w:r w:rsidR="005C699D">
        <w:t xml:space="preserve"> the</w:t>
      </w:r>
      <w:r w:rsidRPr="006C540D">
        <w:t xml:space="preserve"> percentage of females positive</w:t>
      </w:r>
      <w:r w:rsidR="005C699D">
        <w:t>,</w:t>
      </w:r>
      <w:r w:rsidRPr="006C540D">
        <w:t xml:space="preserve"> relative to the total number of the females examined </w:t>
      </w:r>
      <w:r w:rsidR="00CB09C4" w:rsidRPr="006C540D">
        <w:t>[30]</w:t>
      </w:r>
      <w:r w:rsidRPr="006C540D">
        <w:t xml:space="preserve">. </w:t>
      </w:r>
    </w:p>
    <w:p w14:paraId="3F58F1E1" w14:textId="26700F05" w:rsidR="003B557B" w:rsidRPr="006C540D" w:rsidRDefault="00761CE6" w:rsidP="006C540D">
      <w:pPr>
        <w:pStyle w:val="MDPI22heading2"/>
        <w:rPr>
          <w:noProof w:val="0"/>
        </w:rPr>
      </w:pPr>
      <w:r w:rsidRPr="006C540D">
        <w:rPr>
          <w:noProof w:val="0"/>
        </w:rPr>
        <w:t xml:space="preserve">2.4. </w:t>
      </w:r>
      <w:r w:rsidR="003B557B" w:rsidRPr="006C540D">
        <w:rPr>
          <w:noProof w:val="0"/>
        </w:rPr>
        <w:t>WHO Insecticides Susceptibility Tests</w:t>
      </w:r>
    </w:p>
    <w:p w14:paraId="18CEF707" w14:textId="5A00BB03" w:rsidR="0063211D" w:rsidRPr="006C540D" w:rsidRDefault="003B557B" w:rsidP="006C540D">
      <w:pPr>
        <w:pStyle w:val="MDPI31text"/>
      </w:pPr>
      <w:r w:rsidRPr="006C540D">
        <w:t>The</w:t>
      </w:r>
      <w:bookmarkStart w:id="5" w:name="_Hlk535587666"/>
      <w:r w:rsidRPr="006C540D">
        <w:rPr>
          <w:rFonts w:eastAsiaTheme="minorEastAsia"/>
          <w:color w:val="auto"/>
          <w:sz w:val="22"/>
          <w:lang w:eastAsia="en-US"/>
        </w:rPr>
        <w:t xml:space="preserve"> </w:t>
      </w:r>
      <w:r w:rsidR="007E47B6" w:rsidRPr="006C540D">
        <w:t>b</w:t>
      </w:r>
      <w:r w:rsidRPr="006C540D">
        <w:t>ioassays were performed following the protocol of WHO</w:t>
      </w:r>
      <w:bookmarkEnd w:id="5"/>
      <w:r w:rsidRPr="006C540D">
        <w:t xml:space="preserve"> </w:t>
      </w:r>
      <w:r w:rsidR="00CB09C4" w:rsidRPr="006C540D">
        <w:t>[35]</w:t>
      </w:r>
      <w:r w:rsidR="005C699D">
        <w:t>,</w:t>
      </w:r>
      <w:r w:rsidRPr="006C540D">
        <w:t xml:space="preserve"> with various insecticides from four major public health classes. </w:t>
      </w:r>
      <w:bookmarkStart w:id="6" w:name="_Hlk535587682"/>
      <w:r w:rsidRPr="006C540D">
        <w:t>These include (</w:t>
      </w:r>
      <w:r w:rsidRPr="00A964D1">
        <w:rPr>
          <w:rFonts w:ascii="SimSun" w:eastAsia="SimSun" w:hAnsi="SimSun" w:cs="SimSun" w:hint="eastAsia"/>
        </w:rPr>
        <w:t>ⅰ</w:t>
      </w:r>
      <w:r w:rsidRPr="006C540D">
        <w:t xml:space="preserve">) the type </w:t>
      </w:r>
      <w:r w:rsidRPr="006C540D">
        <w:rPr>
          <w:rFonts w:ascii="SimSun" w:eastAsia="SimSun" w:hAnsi="SimSun" w:cs="SimSun" w:hint="eastAsia"/>
        </w:rPr>
        <w:t>Ⅰ</w:t>
      </w:r>
      <w:r w:rsidRPr="006C540D">
        <w:t xml:space="preserve"> pyrethroid: permethrin (0.75%); (</w:t>
      </w:r>
      <w:r w:rsidRPr="006C540D">
        <w:rPr>
          <w:rFonts w:ascii="SimSun" w:eastAsia="SimSun" w:hAnsi="SimSun" w:cs="SimSun" w:hint="eastAsia"/>
        </w:rPr>
        <w:t>ⅱ</w:t>
      </w:r>
      <w:r w:rsidRPr="006C540D">
        <w:t xml:space="preserve">) the type </w:t>
      </w:r>
      <w:r w:rsidRPr="006C540D">
        <w:rPr>
          <w:rFonts w:ascii="SimSun" w:eastAsia="SimSun" w:hAnsi="SimSun" w:cs="SimSun" w:hint="eastAsia"/>
        </w:rPr>
        <w:t>Ⅱ</w:t>
      </w:r>
      <w:r w:rsidRPr="006C540D">
        <w:t xml:space="preserve"> pyrethroid: deltamethrin (0.05%); (</w:t>
      </w:r>
      <w:r w:rsidRPr="006C540D">
        <w:rPr>
          <w:rFonts w:ascii="SimSun" w:eastAsia="SimSun" w:hAnsi="SimSun" w:cs="SimSun" w:hint="eastAsia"/>
        </w:rPr>
        <w:t>ⅲ</w:t>
      </w:r>
      <w:r w:rsidRPr="006C540D">
        <w:t>) the organochloride: DDT (4%); (</w:t>
      </w:r>
      <w:r w:rsidRPr="006C540D">
        <w:rPr>
          <w:rFonts w:ascii="SimSun" w:eastAsia="SimSun" w:hAnsi="SimSun" w:cs="SimSun" w:hint="eastAsia"/>
        </w:rPr>
        <w:t>ⅳ</w:t>
      </w:r>
      <w:r w:rsidRPr="006C540D">
        <w:t>) the carbamate: bendiocarb (0.1%); and (</w:t>
      </w:r>
      <w:r w:rsidRPr="006C540D">
        <w:rPr>
          <w:rFonts w:ascii="SimSun" w:eastAsia="SimSun" w:hAnsi="SimSun" w:cs="SimSun" w:hint="eastAsia"/>
        </w:rPr>
        <w:t>ⅴ</w:t>
      </w:r>
      <w:r w:rsidRPr="006C540D">
        <w:t>) the organophosphate: fenitrothion (1%).</w:t>
      </w:r>
      <w:bookmarkEnd w:id="6"/>
      <w:r w:rsidRPr="006C540D">
        <w:t xml:space="preserve"> </w:t>
      </w:r>
      <w:bookmarkStart w:id="7" w:name="_Hlk16492571"/>
      <w:r w:rsidRPr="006C540D">
        <w:t xml:space="preserve">All insecticide impregnated papers (reference: WHO/VBC/81.806) were sourced from the WHO/Vector Control Research Unit (VCRU) of University of </w:t>
      </w:r>
      <w:proofErr w:type="spellStart"/>
      <w:r w:rsidRPr="006C540D">
        <w:t>Sains</w:t>
      </w:r>
      <w:proofErr w:type="spellEnd"/>
      <w:r w:rsidRPr="006C540D">
        <w:t xml:space="preserve"> Malaysia (Penang, Malaysia</w:t>
      </w:r>
      <w:bookmarkEnd w:id="7"/>
      <w:r w:rsidRPr="006C540D">
        <w:t>). Four replicates of 24</w:t>
      </w:r>
      <w:r w:rsidR="006C540D">
        <w:t>–</w:t>
      </w:r>
      <w:r w:rsidRPr="006C540D">
        <w:t>26 F</w:t>
      </w:r>
      <w:r w:rsidRPr="006C540D">
        <w:rPr>
          <w:vertAlign w:val="subscript"/>
        </w:rPr>
        <w:t>1</w:t>
      </w:r>
      <w:r w:rsidRPr="006C540D">
        <w:t xml:space="preserve"> females (3</w:t>
      </w:r>
      <w:r w:rsidR="006C540D">
        <w:t>–</w:t>
      </w:r>
      <w:r w:rsidRPr="006C540D">
        <w:t xml:space="preserve">4 d old) per tube were used for each insecticide. </w:t>
      </w:r>
      <w:r w:rsidR="005C699D">
        <w:t>The m</w:t>
      </w:r>
      <w:r w:rsidRPr="006C540D">
        <w:t>osquitoes were transferred to tubes lined with insecticide papers and exposed for 1 h, after which they were transferred back to</w:t>
      </w:r>
      <w:r w:rsidR="005C699D">
        <w:t xml:space="preserve"> the</w:t>
      </w:r>
      <w:r w:rsidRPr="006C540D">
        <w:t xml:space="preserve"> holding tubes, supplied with 10% sugar, and mortality recorded at 24 h. For each bioassay, one replicate of 20</w:t>
      </w:r>
      <w:r w:rsidR="006C540D">
        <w:t>–</w:t>
      </w:r>
      <w:r w:rsidRPr="006C540D">
        <w:t xml:space="preserve">25 females unexposed to any insecticides were used as </w:t>
      </w:r>
      <w:r w:rsidR="008931CE">
        <w:t xml:space="preserve">a </w:t>
      </w:r>
      <w:r w:rsidRPr="006C540D">
        <w:t xml:space="preserve">control. The fully susceptible </w:t>
      </w:r>
      <w:r w:rsidRPr="006C540D">
        <w:rPr>
          <w:i/>
        </w:rPr>
        <w:t xml:space="preserve">An. </w:t>
      </w:r>
      <w:proofErr w:type="spellStart"/>
      <w:r w:rsidRPr="006C540D">
        <w:rPr>
          <w:i/>
        </w:rPr>
        <w:t>funestus</w:t>
      </w:r>
      <w:proofErr w:type="spellEnd"/>
      <w:r w:rsidRPr="006C540D">
        <w:t xml:space="preserve"> (FANG colony) </w:t>
      </w:r>
      <w:r w:rsidR="00CB09C4" w:rsidRPr="006C540D">
        <w:t>[36]</w:t>
      </w:r>
      <w:r w:rsidRPr="006C540D">
        <w:t xml:space="preserve"> was tested</w:t>
      </w:r>
      <w:r w:rsidR="005C699D">
        <w:t>,</w:t>
      </w:r>
      <w:r w:rsidRPr="006C540D">
        <w:t xml:space="preserve"> alongside the field populations, for the pyrethroid papers to ascertain the potency of the papers. </w:t>
      </w:r>
      <w:r w:rsidR="005C699D">
        <w:t>The m</w:t>
      </w:r>
      <w:r w:rsidRPr="006C540D">
        <w:t>osquitoes were deemed susceptible to an insecticide where mortality was &gt; 98%, suspected to be moderately resistant where mortality is between 90</w:t>
      </w:r>
      <w:r w:rsidR="006C540D">
        <w:t>–</w:t>
      </w:r>
      <w:r w:rsidRPr="006C540D">
        <w:t xml:space="preserve">98%, and </w:t>
      </w:r>
      <w:r w:rsidR="006C540D">
        <w:t>resistant where mortality was &lt;</w:t>
      </w:r>
      <w:r w:rsidRPr="006C540D">
        <w:t xml:space="preserve">90% </w:t>
      </w:r>
      <w:r w:rsidR="00CB09C4" w:rsidRPr="006C540D">
        <w:t>[35]</w:t>
      </w:r>
      <w:r w:rsidRPr="006C540D">
        <w:t>. Figures were prepared using GraphPad Prism 7.02 (GraphPad Inc., La Jolla, CA, USA).</w:t>
      </w:r>
    </w:p>
    <w:p w14:paraId="4C9B8B78" w14:textId="77777777" w:rsidR="00A964D1" w:rsidRDefault="00A964D1" w:rsidP="006C540D">
      <w:pPr>
        <w:pStyle w:val="MDPI22heading2"/>
        <w:rPr>
          <w:noProof w:val="0"/>
        </w:rPr>
      </w:pPr>
      <w:r>
        <w:rPr>
          <w:noProof w:val="0"/>
        </w:rPr>
        <w:br w:type="page"/>
      </w:r>
    </w:p>
    <w:p w14:paraId="0CD6D8EB" w14:textId="42BFA14B" w:rsidR="003B557B" w:rsidRPr="006C540D" w:rsidRDefault="00761CE6" w:rsidP="006C540D">
      <w:pPr>
        <w:pStyle w:val="MDPI22heading2"/>
        <w:rPr>
          <w:noProof w:val="0"/>
        </w:rPr>
      </w:pPr>
      <w:r w:rsidRPr="006C540D">
        <w:rPr>
          <w:noProof w:val="0"/>
        </w:rPr>
        <w:lastRenderedPageBreak/>
        <w:t xml:space="preserve">2.5. </w:t>
      </w:r>
      <w:r w:rsidR="00D1024F" w:rsidRPr="006C540D">
        <w:rPr>
          <w:noProof w:val="0"/>
        </w:rPr>
        <w:t>Estimation of Resistance Intensity with Time-Course Bioassay</w:t>
      </w:r>
    </w:p>
    <w:p w14:paraId="78FB6B25" w14:textId="321A207A" w:rsidR="00095190" w:rsidRPr="006C540D" w:rsidRDefault="003B557B" w:rsidP="006C540D">
      <w:pPr>
        <w:pStyle w:val="MDPI31text"/>
      </w:pPr>
      <w:r w:rsidRPr="006C540D">
        <w:t xml:space="preserve">To establish </w:t>
      </w:r>
      <w:r w:rsidR="008931CE">
        <w:t xml:space="preserve">the </w:t>
      </w:r>
      <w:r w:rsidRPr="006C540D">
        <w:t>strength of pyrethroid resistance with time, additional bioassays were performed</w:t>
      </w:r>
      <w:r w:rsidR="008931CE">
        <w:t>,</w:t>
      </w:r>
      <w:r w:rsidRPr="006C540D">
        <w:t xml:space="preserve"> with 0.75% permethrin, </w:t>
      </w:r>
      <w:r w:rsidR="008931CE">
        <w:t xml:space="preserve">at </w:t>
      </w:r>
      <w:r w:rsidRPr="006C540D">
        <w:t>varying times of exposure. Four replicates of 20</w:t>
      </w:r>
      <w:r w:rsidR="006C540D">
        <w:t>–</w:t>
      </w:r>
      <w:r w:rsidRPr="006C540D">
        <w:t>25 F</w:t>
      </w:r>
      <w:r w:rsidRPr="006C540D">
        <w:rPr>
          <w:vertAlign w:val="subscript"/>
        </w:rPr>
        <w:t xml:space="preserve">1 </w:t>
      </w:r>
      <w:r w:rsidRPr="006C540D">
        <w:t>females were exposed in time-course spanning 60, 120, 180, 240 and 300</w:t>
      </w:r>
      <w:r w:rsidR="007E47B6" w:rsidRPr="006C540D">
        <w:t xml:space="preserve"> </w:t>
      </w:r>
      <w:r w:rsidRPr="006C540D">
        <w:t>min, to establish the time required to kill 50% of them (LT</w:t>
      </w:r>
      <w:r w:rsidRPr="006C540D">
        <w:rPr>
          <w:vertAlign w:val="subscript"/>
        </w:rPr>
        <w:t>50</w:t>
      </w:r>
      <w:r w:rsidRPr="006C540D">
        <w:t>). Protocol was as described above in conventional bioassays, except for variation in time. Resistance intensity was established by comparing the LT</w:t>
      </w:r>
      <w:r w:rsidRPr="006C540D">
        <w:rPr>
          <w:vertAlign w:val="subscript"/>
        </w:rPr>
        <w:t>50</w:t>
      </w:r>
      <w:r w:rsidRPr="006C540D">
        <w:t xml:space="preserve"> from the </w:t>
      </w:r>
      <w:proofErr w:type="spellStart"/>
      <w:r w:rsidRPr="006C540D">
        <w:t>Gajerar</w:t>
      </w:r>
      <w:proofErr w:type="spellEnd"/>
      <w:r w:rsidRPr="006C540D">
        <w:t xml:space="preserve"> </w:t>
      </w:r>
      <w:proofErr w:type="spellStart"/>
      <w:r w:rsidRPr="006C540D">
        <w:t>Giwa</w:t>
      </w:r>
      <w:proofErr w:type="spellEnd"/>
      <w:r w:rsidRPr="006C540D">
        <w:t xml:space="preserve"> </w:t>
      </w:r>
      <w:r w:rsidRPr="006C540D">
        <w:rPr>
          <w:i/>
        </w:rPr>
        <w:t xml:space="preserve">An. </w:t>
      </w:r>
      <w:proofErr w:type="spellStart"/>
      <w:r w:rsidRPr="006C540D">
        <w:rPr>
          <w:i/>
        </w:rPr>
        <w:t>funestus</w:t>
      </w:r>
      <w:proofErr w:type="spellEnd"/>
      <w:r w:rsidRPr="006C540D">
        <w:rPr>
          <w:i/>
        </w:rPr>
        <w:t xml:space="preserve"> </w:t>
      </w:r>
      <w:r w:rsidRPr="006C540D">
        <w:t>populations to the LT</w:t>
      </w:r>
      <w:r w:rsidRPr="006C540D">
        <w:rPr>
          <w:vertAlign w:val="subscript"/>
        </w:rPr>
        <w:t>50</w:t>
      </w:r>
      <w:r w:rsidRPr="006C540D">
        <w:t xml:space="preserve"> previously established for the fully susceptible </w:t>
      </w:r>
      <w:r w:rsidRPr="006C540D">
        <w:rPr>
          <w:i/>
        </w:rPr>
        <w:t xml:space="preserve">Anopheles </w:t>
      </w:r>
      <w:proofErr w:type="spellStart"/>
      <w:r w:rsidRPr="006C540D">
        <w:rPr>
          <w:i/>
        </w:rPr>
        <w:t>coluzzii</w:t>
      </w:r>
      <w:proofErr w:type="spellEnd"/>
      <w:r w:rsidRPr="006C540D">
        <w:t xml:space="preserve"> lab colony </w:t>
      </w:r>
      <w:r w:rsidR="00CB09C4" w:rsidRPr="006C540D">
        <w:t>[5]</w:t>
      </w:r>
      <w:r w:rsidRPr="006C540D">
        <w:t>.</w:t>
      </w:r>
      <w:r w:rsidR="00782D72" w:rsidRPr="006C540D">
        <w:t xml:space="preserve"> This type of inter-species comparison of </w:t>
      </w:r>
      <w:r w:rsidR="00C42882" w:rsidRPr="006C540D">
        <w:t xml:space="preserve">using </w:t>
      </w:r>
      <w:r w:rsidR="00C42882" w:rsidRPr="006C540D">
        <w:rPr>
          <w:i/>
          <w:iCs/>
        </w:rPr>
        <w:t>An. gambiae</w:t>
      </w:r>
      <w:r w:rsidR="00C42882" w:rsidRPr="006C540D">
        <w:t xml:space="preserve"> (Kisumu colony) </w:t>
      </w:r>
      <w:r w:rsidR="00782D72" w:rsidRPr="006C540D">
        <w:t>LT</w:t>
      </w:r>
      <w:r w:rsidR="00782D72" w:rsidRPr="006C540D">
        <w:rPr>
          <w:vertAlign w:val="subscript"/>
        </w:rPr>
        <w:t>50</w:t>
      </w:r>
      <w:r w:rsidR="00782D72" w:rsidRPr="006C540D">
        <w:t>s had been done before in the absence of LT</w:t>
      </w:r>
      <w:r w:rsidR="00782D72" w:rsidRPr="006C540D">
        <w:rPr>
          <w:vertAlign w:val="subscript"/>
        </w:rPr>
        <w:t>50</w:t>
      </w:r>
      <w:r w:rsidR="00782D72" w:rsidRPr="006C540D">
        <w:t xml:space="preserve"> data from FANG colony [37]</w:t>
      </w:r>
      <w:r w:rsidR="00C42882" w:rsidRPr="006C540D">
        <w:t>.</w:t>
      </w:r>
      <w:r w:rsidR="00782D72" w:rsidRPr="006C540D">
        <w:t xml:space="preserve"> </w:t>
      </w:r>
    </w:p>
    <w:p w14:paraId="3CA27E14" w14:textId="543E9891" w:rsidR="003B557B" w:rsidRPr="006C540D" w:rsidRDefault="00761CE6" w:rsidP="006C540D">
      <w:pPr>
        <w:pStyle w:val="MDPI22heading2"/>
        <w:rPr>
          <w:noProof w:val="0"/>
        </w:rPr>
      </w:pPr>
      <w:r w:rsidRPr="006C540D">
        <w:rPr>
          <w:noProof w:val="0"/>
        </w:rPr>
        <w:t xml:space="preserve">2.6. </w:t>
      </w:r>
      <w:r w:rsidR="00D1024F" w:rsidRPr="006C540D">
        <w:rPr>
          <w:noProof w:val="0"/>
        </w:rPr>
        <w:t>Determination of LLIN Efficacy with Cone Bioassays</w:t>
      </w:r>
      <w:r w:rsidR="00D1024F" w:rsidRPr="006C540D">
        <w:rPr>
          <w:rFonts w:cs="Arial"/>
          <w:noProof w:val="0"/>
        </w:rPr>
        <w:t xml:space="preserve"> </w:t>
      </w:r>
    </w:p>
    <w:p w14:paraId="6069CC0C" w14:textId="21D2374D" w:rsidR="00D1024F" w:rsidRPr="006C540D" w:rsidRDefault="003B557B" w:rsidP="006C540D">
      <w:pPr>
        <w:pStyle w:val="MDPI31text"/>
      </w:pPr>
      <w:r w:rsidRPr="006C540D">
        <w:t xml:space="preserve">To investigate the efficacy of commonly distributed </w:t>
      </w:r>
      <w:r w:rsidR="0043305E" w:rsidRPr="006C540D">
        <w:t xml:space="preserve">long-lasting insecticidal nets </w:t>
      </w:r>
      <w:r w:rsidR="0043305E">
        <w:t>(</w:t>
      </w:r>
      <w:r w:rsidRPr="006C540D">
        <w:t>LLINs</w:t>
      </w:r>
      <w:r w:rsidR="0043305E">
        <w:t>)</w:t>
      </w:r>
      <w:r w:rsidRPr="006C540D">
        <w:t>, cone bioassays were conducted following the WHO protocol [36]</w:t>
      </w:r>
      <w:r w:rsidR="008931CE">
        <w:t>,</w:t>
      </w:r>
      <w:r w:rsidRPr="006C540D">
        <w:t xml:space="preserve"> using 3</w:t>
      </w:r>
      <w:r w:rsidR="006C540D">
        <w:t>–4 d</w:t>
      </w:r>
      <w:r w:rsidRPr="006C540D">
        <w:t xml:space="preserve"> old F</w:t>
      </w:r>
      <w:r w:rsidRPr="006C540D">
        <w:rPr>
          <w:vertAlign w:val="subscript"/>
        </w:rPr>
        <w:t>1</w:t>
      </w:r>
      <w:r w:rsidRPr="006C540D">
        <w:t xml:space="preserve"> females. Five replicates of 9</w:t>
      </w:r>
      <w:r w:rsidR="006C540D">
        <w:t>–</w:t>
      </w:r>
      <w:r w:rsidRPr="006C540D">
        <w:t xml:space="preserve">12 mosquitoes were placed in </w:t>
      </w:r>
      <w:r w:rsidR="008931CE">
        <w:t xml:space="preserve">a </w:t>
      </w:r>
      <w:r w:rsidRPr="006C540D">
        <w:t xml:space="preserve">plastic cone attached to a fresh insecticide-containing bed net and tested. The LLINs include: the </w:t>
      </w:r>
      <w:proofErr w:type="spellStart"/>
      <w:r w:rsidRPr="006C540D">
        <w:t>Olyset®Net</w:t>
      </w:r>
      <w:proofErr w:type="spellEnd"/>
      <w:r w:rsidRPr="006C540D">
        <w:t xml:space="preserve"> (containing 2% permethrin), </w:t>
      </w:r>
      <w:proofErr w:type="spellStart"/>
      <w:r w:rsidRPr="006C540D">
        <w:t>Olyset®Plus</w:t>
      </w:r>
      <w:proofErr w:type="spellEnd"/>
      <w:r w:rsidRPr="006C540D">
        <w:t xml:space="preserve"> (containing 2% permethrin combined with 1</w:t>
      </w:r>
      <w:r w:rsidR="007E47B6" w:rsidRPr="006C540D">
        <w:t xml:space="preserve"> </w:t>
      </w:r>
      <w:r w:rsidRPr="006C540D">
        <w:t xml:space="preserve">% of the synergist, </w:t>
      </w:r>
      <w:proofErr w:type="spellStart"/>
      <w:r w:rsidRPr="006C540D">
        <w:t>piperonyl</w:t>
      </w:r>
      <w:proofErr w:type="spellEnd"/>
      <w:r w:rsidRPr="006C540D">
        <w:t xml:space="preserve"> butoxide, PBO), PermaNet®2.0 (containing 1.4</w:t>
      </w:r>
      <w:r w:rsidR="006C540D">
        <w:t>–</w:t>
      </w:r>
      <w:r w:rsidRPr="006C540D">
        <w:t>1.8 g/kg ± 25% deltamethrin), PermaNet®3.0 side panel (containing 2.1</w:t>
      </w:r>
      <w:r w:rsidR="006C540D">
        <w:t>–</w:t>
      </w:r>
      <w:r w:rsidRPr="006C540D">
        <w:t>2.8 g/kg ± 25% deltamethrin), and PermaNet®3.0 roof (containing 4.0 g/kg ± 25% deltamethrin, combined with 25 g/kg ± 25% of PBO). For each experiment</w:t>
      </w:r>
      <w:r w:rsidR="008931CE">
        <w:t>,</w:t>
      </w:r>
      <w:r w:rsidRPr="006C540D">
        <w:t xml:space="preserve"> five different pieces cut from a</w:t>
      </w:r>
      <w:r w:rsidR="008931CE">
        <w:t>n</w:t>
      </w:r>
      <w:r w:rsidRPr="006C540D">
        <w:t xml:space="preserve"> LLIN brand were used for the five technical replicates. Mosquitoes were exposed for 3 min and immediately transferred to paper cups. They were supplied with 10% sucrose and mortalities recorded after 24 h. For </w:t>
      </w:r>
      <w:r w:rsidR="008931CE">
        <w:t xml:space="preserve">the </w:t>
      </w:r>
      <w:r w:rsidRPr="006C540D">
        <w:t>control, five replicates of ten mosquitoes were exposed to untreated net.</w:t>
      </w:r>
      <w:bookmarkStart w:id="8" w:name="_Hlk535587715"/>
    </w:p>
    <w:p w14:paraId="1ECEEF2B" w14:textId="7E905FCD" w:rsidR="003B557B" w:rsidRPr="006C540D" w:rsidRDefault="00761CE6" w:rsidP="006C540D">
      <w:pPr>
        <w:pStyle w:val="MDPI22heading2"/>
        <w:rPr>
          <w:rFonts w:cs="Arial"/>
          <w:noProof w:val="0"/>
        </w:rPr>
      </w:pPr>
      <w:r w:rsidRPr="006C540D">
        <w:rPr>
          <w:noProof w:val="0"/>
        </w:rPr>
        <w:t xml:space="preserve">2.7. </w:t>
      </w:r>
      <w:r w:rsidR="003B557B" w:rsidRPr="006C540D">
        <w:rPr>
          <w:noProof w:val="0"/>
        </w:rPr>
        <w:t xml:space="preserve">Synergist Bioassay with </w:t>
      </w:r>
      <w:proofErr w:type="spellStart"/>
      <w:r w:rsidR="003B557B" w:rsidRPr="006C540D">
        <w:rPr>
          <w:noProof w:val="0"/>
        </w:rPr>
        <w:t>Piperonyl</w:t>
      </w:r>
      <w:proofErr w:type="spellEnd"/>
      <w:r w:rsidR="003B557B" w:rsidRPr="006C540D">
        <w:rPr>
          <w:noProof w:val="0"/>
        </w:rPr>
        <w:t xml:space="preserve"> Butoxide (PBO) and Diethyl Maleate</w:t>
      </w:r>
    </w:p>
    <w:p w14:paraId="112D6039" w14:textId="22B0C07E" w:rsidR="003B557B" w:rsidRPr="006C540D" w:rsidRDefault="003B557B" w:rsidP="006C540D">
      <w:pPr>
        <w:pStyle w:val="MDPI31text"/>
      </w:pPr>
      <w:bookmarkStart w:id="9" w:name="_Hlk535587739"/>
      <w:r w:rsidRPr="006C540D">
        <w:t xml:space="preserve">To investigate the potential role of P450 monooxygenases in pyrethroid resistance, </w:t>
      </w:r>
      <w:r w:rsidR="00C368A0">
        <w:t xml:space="preserve">a </w:t>
      </w:r>
      <w:r w:rsidRPr="006C540D">
        <w:t xml:space="preserve">synergist bioassay was carried out using 4% PBO [an inhibitor of CYP450s </w:t>
      </w:r>
      <w:r w:rsidR="00782D72" w:rsidRPr="006C540D">
        <w:t>[38]</w:t>
      </w:r>
      <w:r w:rsidRPr="006C540D">
        <w:t>] against permethrin.</w:t>
      </w:r>
      <w:bookmarkStart w:id="10" w:name="_Hlk16493400"/>
      <w:r w:rsidRPr="006C540D">
        <w:t xml:space="preserve"> </w:t>
      </w:r>
      <w:r w:rsidR="00C368A0">
        <w:t>T</w:t>
      </w:r>
      <w:r w:rsidRPr="006C540D">
        <w:t xml:space="preserve">he role of glutathione S-transferases (GSTs) in DDT resistance was also investigated by pre-exposure to 8% diethyl maleate (DEM). The insecticides and the synergists PBO were sourced from the WHO/Vector Control Research Unit (VCRU) of </w:t>
      </w:r>
      <w:r w:rsidR="00C368A0">
        <w:t xml:space="preserve">the </w:t>
      </w:r>
      <w:r w:rsidRPr="006C540D">
        <w:t xml:space="preserve">University of </w:t>
      </w:r>
      <w:proofErr w:type="spellStart"/>
      <w:r w:rsidRPr="006C540D">
        <w:t>Sains</w:t>
      </w:r>
      <w:proofErr w:type="spellEnd"/>
      <w:r w:rsidRPr="006C540D">
        <w:t xml:space="preserve"> Malaysia (Penang, Malaysia).</w:t>
      </w:r>
      <w:bookmarkEnd w:id="10"/>
      <w:r w:rsidRPr="006C540D">
        <w:t xml:space="preserve"> Four replicates of</w:t>
      </w:r>
      <w:bookmarkEnd w:id="9"/>
      <w:r w:rsidRPr="006C540D">
        <w:t xml:space="preserve"> 22</w:t>
      </w:r>
      <w:r w:rsidR="00B17311">
        <w:t>–</w:t>
      </w:r>
      <w:r w:rsidRPr="006C540D">
        <w:t>26 F</w:t>
      </w:r>
      <w:r w:rsidRPr="006C540D">
        <w:rPr>
          <w:vertAlign w:val="subscript"/>
        </w:rPr>
        <w:t>1</w:t>
      </w:r>
      <w:r w:rsidRPr="006C540D">
        <w:t xml:space="preserve"> females (3</w:t>
      </w:r>
      <w:r w:rsidR="00B17311">
        <w:t>–</w:t>
      </w:r>
      <w:r w:rsidRPr="006C540D">
        <w:t>4 d old) were pre-exposed to PBO or DEM for 1 h</w:t>
      </w:r>
      <w:r w:rsidR="00C368A0">
        <w:t>,</w:t>
      </w:r>
      <w:r w:rsidRPr="006C540D">
        <w:t xml:space="preserve"> and then transferred to tubes containing permethrin </w:t>
      </w:r>
      <w:r w:rsidR="00CB09C4" w:rsidRPr="006C540D">
        <w:t>[35]</w:t>
      </w:r>
      <w:r w:rsidRPr="006C540D">
        <w:t xml:space="preserve"> or DDT, respectively. Mosquitoes were treated as in the WHO bioassays described above</w:t>
      </w:r>
      <w:r w:rsidR="00C368A0">
        <w:t>,</w:t>
      </w:r>
      <w:r w:rsidRPr="006C540D">
        <w:t xml:space="preserve"> and mortalities scored after 24 h. Two replicates of 25 females each were exposed to PBO only, as </w:t>
      </w:r>
      <w:r w:rsidR="008931CE">
        <w:t xml:space="preserve">a </w:t>
      </w:r>
      <w:r w:rsidRPr="006C540D">
        <w:t>control.</w:t>
      </w:r>
      <w:bookmarkEnd w:id="8"/>
    </w:p>
    <w:p w14:paraId="34EA4979" w14:textId="43044737" w:rsidR="003B557B" w:rsidRPr="006C540D" w:rsidRDefault="00761CE6" w:rsidP="006C540D">
      <w:pPr>
        <w:pStyle w:val="MDPI22heading2"/>
        <w:rPr>
          <w:noProof w:val="0"/>
        </w:rPr>
      </w:pPr>
      <w:r w:rsidRPr="006C540D">
        <w:rPr>
          <w:noProof w:val="0"/>
        </w:rPr>
        <w:t xml:space="preserve">2.8. </w:t>
      </w:r>
      <w:r w:rsidR="003B557B" w:rsidRPr="006C540D">
        <w:rPr>
          <w:noProof w:val="0"/>
        </w:rPr>
        <w:t xml:space="preserve">Genotyping of L119F Glutathione S-transferase (GSTe2) Mutation Associated with DDT/Permethrin Resistance </w:t>
      </w:r>
    </w:p>
    <w:p w14:paraId="07143FFA" w14:textId="44375356" w:rsidR="003B557B" w:rsidRPr="006C540D" w:rsidRDefault="003B557B" w:rsidP="006C540D">
      <w:pPr>
        <w:pStyle w:val="MDPI31text"/>
      </w:pPr>
      <w:r w:rsidRPr="006C540D">
        <w:t xml:space="preserve">To detect the L119F </w:t>
      </w:r>
      <w:r w:rsidRPr="006C540D">
        <w:rPr>
          <w:i/>
        </w:rPr>
        <w:t xml:space="preserve">GSTe2 </w:t>
      </w:r>
      <w:r w:rsidRPr="006C540D">
        <w:t xml:space="preserve">mutation previously linked to DDT/pyrethroid metabolic resistance </w:t>
      </w:r>
      <w:r w:rsidR="00CB09C4" w:rsidRPr="006C540D">
        <w:t>[20]</w:t>
      </w:r>
      <w:r w:rsidR="00C368A0">
        <w:t>,</w:t>
      </w:r>
      <w:r w:rsidRPr="006C540D">
        <w:t xml:space="preserve"> TaqMan genotyping was conducted using 44 F</w:t>
      </w:r>
      <w:r w:rsidRPr="006C540D">
        <w:rPr>
          <w:vertAlign w:val="subscript"/>
        </w:rPr>
        <w:t>0</w:t>
      </w:r>
      <w:r w:rsidRPr="006C540D">
        <w:t xml:space="preserve"> females collected from the field. This was carried out using a real-time PCR thermocycler (Agilent Mx3005) following an established protocol </w:t>
      </w:r>
      <w:r w:rsidR="00CB09C4" w:rsidRPr="006C540D">
        <w:t>[20]</w:t>
      </w:r>
      <w:r w:rsidRPr="006C540D">
        <w:t>.</w:t>
      </w:r>
      <w:r w:rsidR="006C540D">
        <w:t xml:space="preserve"> </w:t>
      </w:r>
      <w:r w:rsidRPr="006C540D">
        <w:t>The</w:t>
      </w:r>
      <w:r w:rsidR="006C540D">
        <w:t xml:space="preserve"> </w:t>
      </w:r>
      <w:r w:rsidRPr="006C540D">
        <w:t>primers</w:t>
      </w:r>
      <w:r w:rsidR="006C540D">
        <w:t xml:space="preserve"> </w:t>
      </w:r>
      <w:r w:rsidRPr="006C540D">
        <w:t>L119F_</w:t>
      </w:r>
      <w:r w:rsidRPr="006C540D">
        <w:rPr>
          <w:i/>
        </w:rPr>
        <w:t>GSTe2</w:t>
      </w:r>
      <w:r w:rsidRPr="006C540D">
        <w:t>F</w:t>
      </w:r>
      <w:r w:rsidR="006C540D">
        <w:t xml:space="preserve"> </w:t>
      </w:r>
      <w:r w:rsidRPr="006C540D">
        <w:t>(5'</w:t>
      </w:r>
      <w:r w:rsidRPr="006C540D">
        <w:noBreakHyphen/>
        <w:t>AACAATTTTTCATTTCTTATTCTCATTTAC</w:t>
      </w:r>
      <w:r w:rsidRPr="006C540D">
        <w:noBreakHyphen/>
        <w:t>3')</w:t>
      </w:r>
      <w:r w:rsidR="006C540D">
        <w:t xml:space="preserve"> </w:t>
      </w:r>
      <w:r w:rsidRPr="006C540D">
        <w:t>and</w:t>
      </w:r>
      <w:r w:rsidR="006C540D">
        <w:t xml:space="preserve"> </w:t>
      </w:r>
      <w:r w:rsidRPr="006C540D">
        <w:t>L119F_</w:t>
      </w:r>
      <w:r w:rsidRPr="006C540D">
        <w:rPr>
          <w:i/>
        </w:rPr>
        <w:t>GSTe2</w:t>
      </w:r>
      <w:r w:rsidRPr="006C540D">
        <w:t>R</w:t>
      </w:r>
      <w:r w:rsidR="006C540D">
        <w:t xml:space="preserve"> </w:t>
      </w:r>
      <w:r w:rsidRPr="006C540D">
        <w:t>(5'-</w:t>
      </w:r>
      <w:r w:rsidR="006C540D">
        <w:t xml:space="preserve"> </w:t>
      </w:r>
      <w:r w:rsidRPr="006C540D">
        <w:t>CGACTCGATCTTCGGGAATGTC</w:t>
      </w:r>
      <w:r w:rsidRPr="006C540D">
        <w:noBreakHyphen/>
        <w:t>3')</w:t>
      </w:r>
      <w:r w:rsidR="006C540D">
        <w:t xml:space="preserve"> </w:t>
      </w:r>
      <w:r w:rsidRPr="006C540D">
        <w:t>were</w:t>
      </w:r>
      <w:r w:rsidR="006C540D">
        <w:t xml:space="preserve"> </w:t>
      </w:r>
      <w:proofErr w:type="spellStart"/>
      <w:r w:rsidRPr="006C540D">
        <w:t>utilised</w:t>
      </w:r>
      <w:proofErr w:type="spellEnd"/>
      <w:r w:rsidR="006C540D">
        <w:t xml:space="preserve"> </w:t>
      </w:r>
      <w:r w:rsidRPr="006C540D">
        <w:t>with</w:t>
      </w:r>
      <w:r w:rsidR="006C540D">
        <w:t xml:space="preserve"> </w:t>
      </w:r>
      <w:r w:rsidRPr="006C540D">
        <w:t>the</w:t>
      </w:r>
      <w:r w:rsidR="006C540D">
        <w:t xml:space="preserve"> </w:t>
      </w:r>
      <w:r w:rsidRPr="006C540D">
        <w:t>following</w:t>
      </w:r>
      <w:r w:rsidR="006C540D">
        <w:t xml:space="preserve"> </w:t>
      </w:r>
      <w:r w:rsidRPr="006C540D">
        <w:t>probes:</w:t>
      </w:r>
      <w:r w:rsidR="006C540D">
        <w:t xml:space="preserve"> </w:t>
      </w:r>
      <w:r w:rsidRPr="006C540D">
        <w:t>reporter</w:t>
      </w:r>
      <w:r w:rsidR="006C540D">
        <w:t xml:space="preserve"> </w:t>
      </w:r>
      <w:r w:rsidRPr="006C540D">
        <w:t>L119</w:t>
      </w:r>
      <w:r w:rsidR="006C540D">
        <w:t xml:space="preserve"> </w:t>
      </w:r>
      <w:r w:rsidRPr="006C540D">
        <w:t>(VIC_AGGAGCGTATTCTTTTCTA) to detect the susceptibility allele, and reporter 119F (FAM_AGGAGCGTATTTTTTTCTA) for the resistance allele. The assay was performed in a 10 µ</w:t>
      </w:r>
      <w:r w:rsidR="00B17311">
        <w:t>L</w:t>
      </w:r>
      <w:r w:rsidRPr="006C540D">
        <w:t xml:space="preserve"> final volume comprise of 5 µl of 1x </w:t>
      </w:r>
      <w:proofErr w:type="spellStart"/>
      <w:r w:rsidRPr="006C540D">
        <w:t>Sensimix</w:t>
      </w:r>
      <w:proofErr w:type="spellEnd"/>
      <w:r w:rsidRPr="006C540D">
        <w:t xml:space="preserve"> (</w:t>
      </w:r>
      <w:proofErr w:type="spellStart"/>
      <w:r w:rsidRPr="006C540D">
        <w:t>Bioline</w:t>
      </w:r>
      <w:proofErr w:type="spellEnd"/>
      <w:r w:rsidRPr="006C540D">
        <w:t>, London, UK), 800</w:t>
      </w:r>
      <w:r w:rsidR="00FB1487" w:rsidRPr="006C540D">
        <w:t xml:space="preserve"> </w:t>
      </w:r>
      <w:proofErr w:type="spellStart"/>
      <w:r w:rsidRPr="006C540D">
        <w:t>nM</w:t>
      </w:r>
      <w:proofErr w:type="spellEnd"/>
      <w:r w:rsidRPr="006C540D">
        <w:t xml:space="preserve"> each of primer, 200</w:t>
      </w:r>
      <w:r w:rsidR="00FB1487" w:rsidRPr="006C540D">
        <w:t xml:space="preserve"> </w:t>
      </w:r>
      <w:proofErr w:type="spellStart"/>
      <w:r w:rsidRPr="006C540D">
        <w:t>nM</w:t>
      </w:r>
      <w:proofErr w:type="spellEnd"/>
      <w:r w:rsidRPr="006C540D">
        <w:t xml:space="preserve"> of each probe, and 1 µ</w:t>
      </w:r>
      <w:r w:rsidR="00B17311">
        <w:t>L</w:t>
      </w:r>
      <w:r w:rsidRPr="006C540D">
        <w:t xml:space="preserve"> of gDNA. Thermocycling conditions were initial denaturation of 10 min at 95 </w:t>
      </w:r>
      <w:r w:rsidR="00C368A0" w:rsidRPr="006C540D">
        <w:t>°C</w:t>
      </w:r>
      <w:r w:rsidRPr="006C540D">
        <w:t xml:space="preserve">, followed by 40 cycles each of 92 </w:t>
      </w:r>
      <w:r w:rsidR="00C368A0" w:rsidRPr="006C540D">
        <w:t>°C</w:t>
      </w:r>
      <w:r w:rsidRPr="006C540D">
        <w:t xml:space="preserve"> for 10 s, and 60 </w:t>
      </w:r>
      <w:r w:rsidR="00C368A0" w:rsidRPr="006C540D">
        <w:t>°C</w:t>
      </w:r>
      <w:r w:rsidRPr="006C540D">
        <w:t xml:space="preserve"> for 45 s. Genotypes were scored from scatter plots of results produced by the Mx3005 v4.10 software (Agilent, Santa Clara, CA, USA). Three positive samples of known genotypes </w:t>
      </w:r>
      <w:r w:rsidR="00CB09C4" w:rsidRPr="006C540D">
        <w:t>[20]</w:t>
      </w:r>
      <w:r w:rsidR="00C368A0">
        <w:t>—</w:t>
      </w:r>
      <w:r w:rsidRPr="006C540D">
        <w:t>(</w:t>
      </w:r>
      <w:r w:rsidRPr="006C540D">
        <w:rPr>
          <w:rFonts w:ascii="SimSun" w:eastAsia="SimSun" w:hAnsi="SimSun" w:cs="SimSun" w:hint="eastAsia"/>
        </w:rPr>
        <w:t>ⅰ</w:t>
      </w:r>
      <w:r w:rsidRPr="006C540D">
        <w:t>) homozygote resistant 1014F/1014F; (</w:t>
      </w:r>
      <w:r w:rsidRPr="006C540D">
        <w:rPr>
          <w:rFonts w:ascii="SimSun" w:eastAsia="SimSun" w:hAnsi="SimSun" w:cs="SimSun" w:hint="eastAsia"/>
        </w:rPr>
        <w:t>ⅱ</w:t>
      </w:r>
      <w:r w:rsidRPr="006C540D">
        <w:t>) heterozygote L1014/1014F; and (</w:t>
      </w:r>
      <w:r w:rsidRPr="006C540D">
        <w:rPr>
          <w:rFonts w:ascii="SimSun" w:eastAsia="SimSun" w:hAnsi="SimSun" w:cs="SimSun" w:hint="eastAsia"/>
        </w:rPr>
        <w:t>ⅲ</w:t>
      </w:r>
      <w:r w:rsidRPr="006C540D">
        <w:t>) susceptible L1014/L1014</w:t>
      </w:r>
      <w:r w:rsidR="00C368A0">
        <w:t>—</w:t>
      </w:r>
      <w:r w:rsidRPr="006C540D">
        <w:t xml:space="preserve">were used as positive controls. For </w:t>
      </w:r>
      <w:r w:rsidR="00C368A0">
        <w:t xml:space="preserve">the </w:t>
      </w:r>
      <w:r w:rsidRPr="006C540D">
        <w:t>negative control</w:t>
      </w:r>
      <w:r w:rsidR="00C368A0">
        <w:t>,</w:t>
      </w:r>
      <w:r w:rsidRPr="006C540D">
        <w:t xml:space="preserve"> 1 µ</w:t>
      </w:r>
      <w:r w:rsidR="00B17311">
        <w:t>L</w:t>
      </w:r>
      <w:r w:rsidRPr="006C540D">
        <w:t xml:space="preserve"> of ddH</w:t>
      </w:r>
      <w:r w:rsidRPr="006C540D">
        <w:rPr>
          <w:vertAlign w:val="subscript"/>
        </w:rPr>
        <w:t>2</w:t>
      </w:r>
      <w:r w:rsidRPr="006C540D">
        <w:t>O was incorporated into the control well. To assess</w:t>
      </w:r>
      <w:r w:rsidR="00C368A0">
        <w:t xml:space="preserve"> the</w:t>
      </w:r>
      <w:r w:rsidRPr="006C540D">
        <w:t xml:space="preserve"> correlation between the presence of </w:t>
      </w:r>
      <w:r w:rsidR="00C368A0">
        <w:t xml:space="preserve">the </w:t>
      </w:r>
      <w:r w:rsidRPr="006C540D">
        <w:t>119F mutation and</w:t>
      </w:r>
      <w:r w:rsidR="00C368A0">
        <w:t xml:space="preserve"> the</w:t>
      </w:r>
      <w:r w:rsidRPr="006C540D">
        <w:t xml:space="preserve"> resistance phenotype</w:t>
      </w:r>
      <w:r w:rsidR="00C368A0">
        <w:t>,</w:t>
      </w:r>
      <w:r w:rsidRPr="006C540D">
        <w:t xml:space="preserve"> 12 each of DDT-alive and -</w:t>
      </w:r>
      <w:r w:rsidRPr="006C540D">
        <w:lastRenderedPageBreak/>
        <w:t>dead females were genotyped using the above protocol. In addition, these 12 alive and 12 dead females were also screened</w:t>
      </w:r>
      <w:r w:rsidR="00C368A0">
        <w:t>,</w:t>
      </w:r>
      <w:r w:rsidRPr="006C540D">
        <w:t xml:space="preserve"> using the recently established allele-specific PCR </w:t>
      </w:r>
      <w:r w:rsidR="00782D72" w:rsidRPr="006C540D">
        <w:t>[39]</w:t>
      </w:r>
      <w:r w:rsidRPr="006C540D">
        <w:t>.</w:t>
      </w:r>
    </w:p>
    <w:p w14:paraId="734BD361" w14:textId="2E948519" w:rsidR="003B557B" w:rsidRPr="006C540D" w:rsidRDefault="00761CE6" w:rsidP="006C540D">
      <w:pPr>
        <w:pStyle w:val="MDPI22heading2"/>
        <w:rPr>
          <w:noProof w:val="0"/>
        </w:rPr>
      </w:pPr>
      <w:r w:rsidRPr="006C540D">
        <w:rPr>
          <w:noProof w:val="0"/>
        </w:rPr>
        <w:t xml:space="preserve">2.9. </w:t>
      </w:r>
      <w:r w:rsidR="003B557B" w:rsidRPr="006C540D">
        <w:rPr>
          <w:noProof w:val="0"/>
        </w:rPr>
        <w:t xml:space="preserve">Polymorphism Analysis of Acetylcholinesterase-1 (ace-1) for G119S and N485I Target-Site Mutations </w:t>
      </w:r>
    </w:p>
    <w:p w14:paraId="76B90855" w14:textId="4BF40D72" w:rsidR="003B557B" w:rsidRPr="006C540D" w:rsidRDefault="003B557B" w:rsidP="006C540D">
      <w:pPr>
        <w:pStyle w:val="MDPI31text"/>
      </w:pPr>
      <w:bookmarkStart w:id="11" w:name="_Hlk535587808"/>
      <w:r w:rsidRPr="006C540D">
        <w:t xml:space="preserve">To detect </w:t>
      </w:r>
      <w:r w:rsidR="00C368A0">
        <w:t xml:space="preserve">the </w:t>
      </w:r>
      <w:r w:rsidRPr="006C540D">
        <w:t xml:space="preserve">119S </w:t>
      </w:r>
      <w:r w:rsidRPr="006C540D">
        <w:rPr>
          <w:i/>
        </w:rPr>
        <w:t>ace-1</w:t>
      </w:r>
      <w:r w:rsidRPr="006C540D">
        <w:t xml:space="preserve"> mutation linked to bendiocarb/organophosphate resistance </w:t>
      </w:r>
      <w:r w:rsidR="00CB09C4" w:rsidRPr="006C540D">
        <w:t>[23]</w:t>
      </w:r>
      <w:r w:rsidRPr="006C540D">
        <w:t xml:space="preserve"> a fragment of the gene spanning exon</w:t>
      </w:r>
      <w:r w:rsidR="00FB1487" w:rsidRPr="006C540D">
        <w:t>s</w:t>
      </w:r>
      <w:r w:rsidRPr="006C540D">
        <w:t xml:space="preserve"> 4 to 5 was amplified from 12 bendiocarb-alive and -12 dead females.</w:t>
      </w:r>
      <w:bookmarkEnd w:id="11"/>
      <w:r w:rsidRPr="006C540D">
        <w:t xml:space="preserve"> The following primers spanning exon 4, through intron 4_5 and exon 5: </w:t>
      </w:r>
      <w:r w:rsidRPr="006C540D">
        <w:rPr>
          <w:bCs/>
        </w:rPr>
        <w:t>AFUNace1_ex4-5F:</w:t>
      </w:r>
      <w:r w:rsidR="006C540D">
        <w:t xml:space="preserve"> </w:t>
      </w:r>
      <w:r w:rsidRPr="006C540D">
        <w:t>5’-ACGCTAACGATAATGATCCGCT-3’</w:t>
      </w:r>
      <w:r w:rsidR="006C540D">
        <w:t xml:space="preserve"> </w:t>
      </w:r>
      <w:r w:rsidRPr="006C540D">
        <w:t>and</w:t>
      </w:r>
      <w:r w:rsidR="006C540D">
        <w:t xml:space="preserve"> </w:t>
      </w:r>
      <w:r w:rsidRPr="006C540D">
        <w:rPr>
          <w:bCs/>
        </w:rPr>
        <w:t>AFUNace1_ex4-5R</w:t>
      </w:r>
      <w:r w:rsidRPr="006C540D">
        <w:t xml:space="preserve">:5’AGTAGCTTCTTCGCGTGATA CA-3’ were </w:t>
      </w:r>
      <w:proofErr w:type="spellStart"/>
      <w:r w:rsidRPr="006C540D">
        <w:t>utilised</w:t>
      </w:r>
      <w:proofErr w:type="spellEnd"/>
      <w:r w:rsidRPr="006C540D">
        <w:t xml:space="preserve">. A 12.5 </w:t>
      </w:r>
      <w:proofErr w:type="spellStart"/>
      <w:r w:rsidRPr="006C540D">
        <w:t>μ</w:t>
      </w:r>
      <w:r w:rsidR="00A964D1">
        <w:t>L</w:t>
      </w:r>
      <w:proofErr w:type="spellEnd"/>
      <w:r w:rsidRPr="006C540D">
        <w:t xml:space="preserve"> premix comprise of 2x </w:t>
      </w:r>
      <w:proofErr w:type="spellStart"/>
      <w:r w:rsidRPr="006C540D">
        <w:t>AccuStar</w:t>
      </w:r>
      <w:proofErr w:type="spellEnd"/>
      <w:r w:rsidRPr="006C540D">
        <w:t xml:space="preserve"> II PCR </w:t>
      </w:r>
      <w:proofErr w:type="spellStart"/>
      <w:r w:rsidRPr="006C540D">
        <w:t>SuperMix</w:t>
      </w:r>
      <w:proofErr w:type="spellEnd"/>
      <w:r w:rsidRPr="006C540D">
        <w:t xml:space="preserve"> (</w:t>
      </w:r>
      <w:proofErr w:type="spellStart"/>
      <w:r w:rsidRPr="006C540D">
        <w:t>QuantaBio</w:t>
      </w:r>
      <w:proofErr w:type="spellEnd"/>
      <w:r w:rsidRPr="006C540D">
        <w:t xml:space="preserve">, Beverly, Massachusetts, USA), containing </w:t>
      </w:r>
      <w:proofErr w:type="spellStart"/>
      <w:r w:rsidRPr="006C540D">
        <w:t>optimised</w:t>
      </w:r>
      <w:proofErr w:type="spellEnd"/>
      <w:r w:rsidRPr="006C540D">
        <w:t xml:space="preserve"> concentrations of MgCl</w:t>
      </w:r>
      <w:r w:rsidRPr="006C540D">
        <w:rPr>
          <w:vertAlign w:val="subscript"/>
        </w:rPr>
        <w:t>2</w:t>
      </w:r>
      <w:r w:rsidRPr="006C540D">
        <w:t xml:space="preserve"> and dNTPs, 0.2 </w:t>
      </w:r>
      <w:proofErr w:type="spellStart"/>
      <w:r w:rsidRPr="006C540D">
        <w:t>μmol</w:t>
      </w:r>
      <w:proofErr w:type="spellEnd"/>
      <w:r w:rsidRPr="006C540D">
        <w:t xml:space="preserve">/L each of the forward and reverse primer was prepared. </w:t>
      </w:r>
      <w:r w:rsidR="00C368A0">
        <w:t xml:space="preserve">A total of </w:t>
      </w:r>
      <w:r w:rsidRPr="006C540D">
        <w:t xml:space="preserve">1 </w:t>
      </w:r>
      <w:proofErr w:type="spellStart"/>
      <w:r w:rsidRPr="006C540D">
        <w:t>μ</w:t>
      </w:r>
      <w:r w:rsidR="00B17311">
        <w:t>L</w:t>
      </w:r>
      <w:proofErr w:type="spellEnd"/>
      <w:r w:rsidRPr="006C540D">
        <w:t xml:space="preserve"> gDNA from individual female mosquitoes was added, followed by 10.5 </w:t>
      </w:r>
      <w:proofErr w:type="spellStart"/>
      <w:r w:rsidRPr="006C540D">
        <w:t>μ</w:t>
      </w:r>
      <w:r w:rsidR="00B17311">
        <w:t>L</w:t>
      </w:r>
      <w:proofErr w:type="spellEnd"/>
      <w:r w:rsidRPr="006C540D">
        <w:t xml:space="preserve"> of ddH</w:t>
      </w:r>
      <w:r w:rsidRPr="006C540D">
        <w:rPr>
          <w:vertAlign w:val="subscript"/>
        </w:rPr>
        <w:t>2</w:t>
      </w:r>
      <w:r w:rsidRPr="006C540D">
        <w:t xml:space="preserve">0 (final volume = 25 </w:t>
      </w:r>
      <w:proofErr w:type="spellStart"/>
      <w:r w:rsidRPr="006C540D">
        <w:t>μ</w:t>
      </w:r>
      <w:r w:rsidR="00B17311">
        <w:t>L</w:t>
      </w:r>
      <w:proofErr w:type="spellEnd"/>
      <w:r w:rsidRPr="006C540D">
        <w:t>). Amplification was carried out using the following condition: initial denaturation of 1 cycle at 94 °C for 3 min; followed by 35 cycles each of 94 °C for 30 s (denaturation)</w:t>
      </w:r>
      <w:r w:rsidR="00C368A0">
        <w:t>;</w:t>
      </w:r>
      <w:r w:rsidRPr="006C540D">
        <w:t xml:space="preserve"> 60 °C for 30 s (annealing)</w:t>
      </w:r>
      <w:r w:rsidR="00C368A0">
        <w:t>;</w:t>
      </w:r>
      <w:r w:rsidRPr="006C540D">
        <w:t xml:space="preserve"> extension at 72 °C for 1min; and final elongation </w:t>
      </w:r>
      <w:r w:rsidR="00C368A0">
        <w:t xml:space="preserve">of </w:t>
      </w:r>
      <w:r w:rsidRPr="006C540D">
        <w:t xml:space="preserve">one cycle at 72 °C for 5 min. PCR products were cleaned with </w:t>
      </w:r>
      <w:proofErr w:type="spellStart"/>
      <w:r w:rsidRPr="006C540D">
        <w:t>QIAquick</w:t>
      </w:r>
      <w:proofErr w:type="spellEnd"/>
      <w:r w:rsidRPr="006C540D">
        <w:rPr>
          <w:vertAlign w:val="superscript"/>
        </w:rPr>
        <w:t>®</w:t>
      </w:r>
      <w:r w:rsidRPr="006C540D">
        <w:t xml:space="preserve"> PCR Purification Kit (QIAGEN, Hilden, Germany) and sequenced on both strands, using the above primers. </w:t>
      </w:r>
    </w:p>
    <w:p w14:paraId="33819A5E" w14:textId="737224E9" w:rsidR="003B557B" w:rsidRPr="006C540D" w:rsidRDefault="003B557B" w:rsidP="006C540D">
      <w:pPr>
        <w:pStyle w:val="MDPI31text"/>
      </w:pPr>
      <w:r w:rsidRPr="006C540D">
        <w:t xml:space="preserve">For the N485I mutation the same samples as above were used. A forward primer AfunExon6-7ace_F: 5’-AACAATGTATACATGTACCT-3’ was </w:t>
      </w:r>
      <w:proofErr w:type="spellStart"/>
      <w:r w:rsidRPr="006C540D">
        <w:t>utilised</w:t>
      </w:r>
      <w:proofErr w:type="spellEnd"/>
      <w:r w:rsidRPr="006C540D">
        <w:t xml:space="preserve"> together with a previously described reverse primer AfunExon4-7ace R: 5’-TGACACTAGCAGCACAACCA-3’</w:t>
      </w:r>
      <w:r w:rsidR="006C540D">
        <w:t xml:space="preserve"> </w:t>
      </w:r>
      <w:r w:rsidR="00CB09C4" w:rsidRPr="006C540D">
        <w:t>[24]</w:t>
      </w:r>
      <w:r w:rsidRPr="006C540D">
        <w:t xml:space="preserve"> to amplify a fragment spanning exons 6</w:t>
      </w:r>
      <w:r w:rsidR="00C368A0">
        <w:t>–</w:t>
      </w:r>
      <w:r w:rsidRPr="006C540D">
        <w:t xml:space="preserve">7. Thermocycling condition was as described above. </w:t>
      </w:r>
    </w:p>
    <w:p w14:paraId="0E0BDACC" w14:textId="58D5384A" w:rsidR="003B557B" w:rsidRPr="006C540D" w:rsidRDefault="003B557B" w:rsidP="006C540D">
      <w:pPr>
        <w:pStyle w:val="MDPI31text"/>
      </w:pPr>
      <w:r w:rsidRPr="006C540D">
        <w:t xml:space="preserve">Polymorphisms were detected through manual examination of sequence traces using </w:t>
      </w:r>
      <w:proofErr w:type="spellStart"/>
      <w:r w:rsidRPr="006C540D">
        <w:t>BioEdit</w:t>
      </w:r>
      <w:proofErr w:type="spellEnd"/>
      <w:r w:rsidRPr="006C540D">
        <w:t xml:space="preserve"> version 7.2.3</w:t>
      </w:r>
      <w:r w:rsidRPr="00A964D1">
        <w:t>.0 (</w:t>
      </w:r>
      <w:r w:rsidRPr="00A964D1">
        <w:rPr>
          <w:rFonts w:cs="Arial"/>
        </w:rPr>
        <w:t>http://www.mbio.ncsu.edu/BioEdit/bioedit.html</w:t>
      </w:r>
      <w:r w:rsidRPr="00A964D1">
        <w:t xml:space="preserve">) </w:t>
      </w:r>
      <w:r w:rsidR="00782D72" w:rsidRPr="00A964D1">
        <w:t>[40]</w:t>
      </w:r>
      <w:r w:rsidR="00C368A0" w:rsidRPr="00A964D1">
        <w:t>,</w:t>
      </w:r>
      <w:r w:rsidRPr="00A964D1">
        <w:t xml:space="preserve"> and</w:t>
      </w:r>
      <w:r w:rsidRPr="006C540D">
        <w:t xml:space="preserve"> analyses of genetic parameters of polymorphism</w:t>
      </w:r>
      <w:r w:rsidR="00C368A0">
        <w:t xml:space="preserve"> were</w:t>
      </w:r>
      <w:r w:rsidRPr="006C540D">
        <w:t xml:space="preserve"> done using the </w:t>
      </w:r>
      <w:proofErr w:type="spellStart"/>
      <w:r w:rsidRPr="006C540D">
        <w:t>DnaSP</w:t>
      </w:r>
      <w:proofErr w:type="spellEnd"/>
      <w:r w:rsidRPr="006C540D">
        <w:t xml:space="preserve"> 5.10 </w:t>
      </w:r>
      <w:r w:rsidR="00782D72" w:rsidRPr="006C540D">
        <w:t>[41]</w:t>
      </w:r>
      <w:r w:rsidRPr="006C540D">
        <w:t xml:space="preserve">. Different sequences were compared by constructing a maximum likelihood phylogenetic tree using MEGA 6.0 </w:t>
      </w:r>
      <w:r w:rsidR="00782D72" w:rsidRPr="006C540D">
        <w:t>[42]</w:t>
      </w:r>
      <w:r w:rsidRPr="006C540D">
        <w:t xml:space="preserve">. All DNA sequences from the alive and dead females </w:t>
      </w:r>
      <w:r w:rsidR="00FB1487" w:rsidRPr="006C540D">
        <w:t>are provided in File S1.</w:t>
      </w:r>
    </w:p>
    <w:p w14:paraId="59C6B5B2" w14:textId="6EEF598A" w:rsidR="003B557B" w:rsidRPr="006C540D" w:rsidRDefault="00761CE6" w:rsidP="006C540D">
      <w:pPr>
        <w:pStyle w:val="MDPI22heading2"/>
        <w:rPr>
          <w:noProof w:val="0"/>
        </w:rPr>
      </w:pPr>
      <w:r w:rsidRPr="006C540D">
        <w:rPr>
          <w:noProof w:val="0"/>
        </w:rPr>
        <w:t xml:space="preserve">2.10. </w:t>
      </w:r>
      <w:r w:rsidR="003B557B" w:rsidRPr="006C540D">
        <w:rPr>
          <w:noProof w:val="0"/>
        </w:rPr>
        <w:t xml:space="preserve">Polymorphism Analysis of Voltage-gated Sodium Channel Gene Spanning the 1014 </w:t>
      </w:r>
      <w:proofErr w:type="spellStart"/>
      <w:r w:rsidR="003B557B" w:rsidRPr="006C540D">
        <w:rPr>
          <w:noProof w:val="0"/>
        </w:rPr>
        <w:t>kdr</w:t>
      </w:r>
      <w:proofErr w:type="spellEnd"/>
      <w:r w:rsidR="003B557B" w:rsidRPr="006C540D">
        <w:rPr>
          <w:noProof w:val="0"/>
        </w:rPr>
        <w:t xml:space="preserve"> Locus</w:t>
      </w:r>
    </w:p>
    <w:p w14:paraId="128EEB55" w14:textId="06915EAB" w:rsidR="003B557B" w:rsidRPr="006C540D" w:rsidRDefault="003B557B" w:rsidP="006C540D">
      <w:pPr>
        <w:pStyle w:val="MDPI31text"/>
      </w:pPr>
      <w:r w:rsidRPr="006C540D">
        <w:t>A fragment of voltage-gated sodium channel spanning intron 19 and the exon 20 containing the 1014F/S mutations associated with knockdown resistance (</w:t>
      </w:r>
      <w:proofErr w:type="spellStart"/>
      <w:r w:rsidRPr="006C540D">
        <w:rPr>
          <w:i/>
        </w:rPr>
        <w:t>kdr</w:t>
      </w:r>
      <w:proofErr w:type="spellEnd"/>
      <w:r w:rsidRPr="006C540D">
        <w:t xml:space="preserve">) in </w:t>
      </w:r>
      <w:r w:rsidRPr="006C540D">
        <w:rPr>
          <w:i/>
        </w:rPr>
        <w:t>An. gambiae</w:t>
      </w:r>
      <w:r w:rsidRPr="006C540D">
        <w:t xml:space="preserve"> </w:t>
      </w:r>
      <w:r w:rsidR="00CB09C4" w:rsidRPr="006C540D">
        <w:t>[21,22]</w:t>
      </w:r>
      <w:r w:rsidRPr="006C540D">
        <w:t xml:space="preserve"> was amplified and sequenced. This was done with DNA extracted from 30 F</w:t>
      </w:r>
      <w:r w:rsidRPr="006C540D">
        <w:rPr>
          <w:vertAlign w:val="subscript"/>
        </w:rPr>
        <w:t>0</w:t>
      </w:r>
      <w:r w:rsidRPr="006C540D">
        <w:t xml:space="preserve"> females that laid eggs successfully. PCR was carried using primers: </w:t>
      </w:r>
      <w:r w:rsidRPr="006C540D">
        <w:rPr>
          <w:bCs/>
        </w:rPr>
        <w:t>AfunkdrExon19-20F:</w:t>
      </w:r>
      <w:r w:rsidR="006C540D">
        <w:t xml:space="preserve"> </w:t>
      </w:r>
      <w:r w:rsidRPr="006C540D">
        <w:t xml:space="preserve">GTTCAATGAAGCCCCTCAAA and </w:t>
      </w:r>
      <w:proofErr w:type="spellStart"/>
      <w:r w:rsidRPr="006C540D">
        <w:rPr>
          <w:bCs/>
        </w:rPr>
        <w:t>Afunkdr</w:t>
      </w:r>
      <w:proofErr w:type="spellEnd"/>
      <w:r w:rsidRPr="006C540D">
        <w:rPr>
          <w:bCs/>
        </w:rPr>
        <w:t xml:space="preserve"> Exon19-20R:</w:t>
      </w:r>
      <w:r w:rsidR="006C540D">
        <w:rPr>
          <w:bCs/>
        </w:rPr>
        <w:t xml:space="preserve"> </w:t>
      </w:r>
      <w:r w:rsidRPr="006C540D">
        <w:t>CCGAAATTTGACAAAAGCAAA</w:t>
      </w:r>
      <w:r w:rsidR="00C368A0">
        <w:t>, as</w:t>
      </w:r>
      <w:r w:rsidRPr="006C540D">
        <w:t xml:space="preserve"> described in previous works </w:t>
      </w:r>
      <w:r w:rsidR="00782D72" w:rsidRPr="006C540D">
        <w:t>[43]</w:t>
      </w:r>
      <w:r w:rsidRPr="006C540D">
        <w:t xml:space="preserve">. The PCR products were purified using the </w:t>
      </w:r>
      <w:proofErr w:type="spellStart"/>
      <w:r w:rsidRPr="006C540D">
        <w:t>Qiaquick</w:t>
      </w:r>
      <w:proofErr w:type="spellEnd"/>
      <w:r w:rsidRPr="006C540D">
        <w:t xml:space="preserve"> Purification Kit (QIAGEN, Hilden, Germany), sequenced and aligned using </w:t>
      </w:r>
      <w:proofErr w:type="spellStart"/>
      <w:r w:rsidRPr="006C540D">
        <w:t>BioEdit</w:t>
      </w:r>
      <w:proofErr w:type="spellEnd"/>
      <w:r w:rsidRPr="006C540D">
        <w:t xml:space="preserve">. Polymorphisms analysis and maximum likelihood phylogenetic tree construction were as described above. All DNA sequences from the alive and dead females </w:t>
      </w:r>
      <w:r w:rsidR="00FB1487" w:rsidRPr="006C540D">
        <w:t>are provided in File S1</w:t>
      </w:r>
      <w:r w:rsidRPr="006C540D">
        <w:t>.</w:t>
      </w:r>
    </w:p>
    <w:p w14:paraId="23B672DB" w14:textId="1EBF87DF" w:rsidR="003B557B" w:rsidRPr="006C540D" w:rsidRDefault="00761CE6" w:rsidP="006C540D">
      <w:pPr>
        <w:pStyle w:val="MDPI22heading2"/>
        <w:rPr>
          <w:noProof w:val="0"/>
        </w:rPr>
      </w:pPr>
      <w:r w:rsidRPr="006C540D">
        <w:rPr>
          <w:noProof w:val="0"/>
        </w:rPr>
        <w:t xml:space="preserve">2.11. </w:t>
      </w:r>
      <w:r w:rsidR="003B557B" w:rsidRPr="006C540D">
        <w:rPr>
          <w:noProof w:val="0"/>
        </w:rPr>
        <w:t xml:space="preserve">Data </w:t>
      </w:r>
      <w:r w:rsidR="00B17311">
        <w:rPr>
          <w:noProof w:val="0"/>
        </w:rPr>
        <w:t>A</w:t>
      </w:r>
      <w:r w:rsidR="003B557B" w:rsidRPr="006C540D">
        <w:rPr>
          <w:noProof w:val="0"/>
        </w:rPr>
        <w:t>nalysis</w:t>
      </w:r>
    </w:p>
    <w:p w14:paraId="080C6EF1" w14:textId="36CEE5EE" w:rsidR="003B557B" w:rsidRDefault="003B557B" w:rsidP="006C540D">
      <w:pPr>
        <w:pStyle w:val="MDPI31text"/>
        <w:ind w:firstLine="360"/>
        <w:rPr>
          <w:rFonts w:cs="Arial"/>
        </w:rPr>
      </w:pPr>
      <w:r w:rsidRPr="006C540D">
        <w:rPr>
          <w:rFonts w:cs="Arial"/>
        </w:rPr>
        <w:t>The results of bioassays were interpreted as continuous variables</w:t>
      </w:r>
      <w:r w:rsidR="00C368A0">
        <w:rPr>
          <w:rFonts w:cs="Arial"/>
        </w:rPr>
        <w:t>,</w:t>
      </w:r>
      <w:r w:rsidRPr="006C540D">
        <w:rPr>
          <w:rFonts w:cs="Arial"/>
        </w:rPr>
        <w:t xml:space="preserve"> with normal distributions and percentage mortalities ± standard error of mean (SEM) calculated</w:t>
      </w:r>
      <w:r w:rsidR="00C368A0">
        <w:rPr>
          <w:rFonts w:cs="Arial"/>
        </w:rPr>
        <w:t>,</w:t>
      </w:r>
      <w:r w:rsidRPr="006C540D">
        <w:rPr>
          <w:rFonts w:cs="Arial"/>
        </w:rPr>
        <w:t xml:space="preserve"> based on the WHO protocol </w:t>
      </w:r>
      <w:r w:rsidR="00CB09C4" w:rsidRPr="006C540D">
        <w:rPr>
          <w:rFonts w:cs="Arial"/>
        </w:rPr>
        <w:t>[35]</w:t>
      </w:r>
      <w:r w:rsidRPr="006C540D">
        <w:rPr>
          <w:rFonts w:cs="Arial"/>
        </w:rPr>
        <w:t xml:space="preserve">. Results of mortalities from synergist-pyrethroid exposure were compared with values obtained from exposure to pyrethroid alone using a two-tailed Chi-Square test of independence, with </w:t>
      </w:r>
      <w:r w:rsidR="00C368A0">
        <w:rPr>
          <w:rFonts w:cs="Arial"/>
        </w:rPr>
        <w:t xml:space="preserve">the </w:t>
      </w:r>
      <w:r w:rsidRPr="006C540D">
        <w:rPr>
          <w:rFonts w:cs="Arial"/>
        </w:rPr>
        <w:t xml:space="preserve">level of significance pegged as </w:t>
      </w:r>
      <w:r w:rsidRPr="006C540D">
        <w:rPr>
          <w:rFonts w:cs="Arial"/>
          <w:i/>
        </w:rPr>
        <w:t>P</w:t>
      </w:r>
      <w:r w:rsidRPr="006C540D">
        <w:rPr>
          <w:rFonts w:cs="Arial"/>
        </w:rPr>
        <w:t xml:space="preserve"> &lt; 0.05, as implemented in GraphPad Prism 7.02 (GraphPad Inc., La Jolla, CA, USA). For genotyping of 119F</w:t>
      </w:r>
      <w:r w:rsidRPr="006C540D">
        <w:rPr>
          <w:rFonts w:cs="Arial"/>
          <w:i/>
        </w:rPr>
        <w:t xml:space="preserve"> GSTe2</w:t>
      </w:r>
      <w:r w:rsidRPr="006C540D">
        <w:rPr>
          <w:rFonts w:cs="Arial"/>
        </w:rPr>
        <w:t xml:space="preserve"> mutation allele frequency was calculated using the formula f(R) = (2×RR+RS)/2</w:t>
      </w:r>
      <w:r w:rsidRPr="006C540D">
        <w:rPr>
          <w:rFonts w:cs="Arial"/>
          <w:i/>
        </w:rPr>
        <w:t xml:space="preserve">N </w:t>
      </w:r>
      <w:r w:rsidRPr="006C540D">
        <w:rPr>
          <w:rFonts w:cs="Arial"/>
        </w:rPr>
        <w:t xml:space="preserve">for individuals carrying the mutations, and f(S)=1-f(R) for the susceptible individuals; where RR = total number of homozygote resistant; RS = total number heterozygote resistant; </w:t>
      </w:r>
      <w:r w:rsidRPr="006C540D">
        <w:rPr>
          <w:rFonts w:cs="Arial"/>
          <w:i/>
        </w:rPr>
        <w:t>N</w:t>
      </w:r>
      <w:r w:rsidRPr="006C540D">
        <w:rPr>
          <w:rFonts w:cs="Arial"/>
        </w:rPr>
        <w:t xml:space="preserve">, total number of individuals investigated. Genotype frequency was calculated as relative frequencies of the homozygote resistant and heterozygote resistant individuals. </w:t>
      </w:r>
      <w:r w:rsidR="007872F2">
        <w:rPr>
          <w:rFonts w:cs="Arial"/>
        </w:rPr>
        <w:t>The c</w:t>
      </w:r>
      <w:r w:rsidRPr="006C540D">
        <w:rPr>
          <w:rFonts w:cs="Arial"/>
        </w:rPr>
        <w:t xml:space="preserve">orrelation between the genotypes and resistance phenotypes was estimated by estimating the odds ratio using </w:t>
      </w:r>
      <w:r w:rsidR="007872F2">
        <w:rPr>
          <w:rFonts w:cs="Arial"/>
        </w:rPr>
        <w:t xml:space="preserve">the </w:t>
      </w:r>
      <w:proofErr w:type="spellStart"/>
      <w:r w:rsidRPr="006C540D">
        <w:rPr>
          <w:rFonts w:cs="Arial"/>
        </w:rPr>
        <w:t>epiR</w:t>
      </w:r>
      <w:proofErr w:type="spellEnd"/>
      <w:r w:rsidRPr="006C540D">
        <w:rPr>
          <w:rFonts w:cs="Arial"/>
        </w:rPr>
        <w:t xml:space="preserve"> package [R version 3</w:t>
      </w:r>
      <w:r w:rsidRPr="00A964D1">
        <w:rPr>
          <w:rFonts w:cs="Arial"/>
        </w:rPr>
        <w:t>.5.0 (https://cran.r-project.org/bin/windows/base/)] with statistical</w:t>
      </w:r>
      <w:r w:rsidRPr="006C540D">
        <w:rPr>
          <w:rFonts w:cs="Arial"/>
        </w:rPr>
        <w:t xml:space="preserve"> </w:t>
      </w:r>
      <w:r w:rsidRPr="006C540D">
        <w:rPr>
          <w:rFonts w:cs="Arial"/>
        </w:rPr>
        <w:lastRenderedPageBreak/>
        <w:t>significance established based on the Fisher’s exact probability test (</w:t>
      </w:r>
      <w:r w:rsidRPr="00B17311">
        <w:rPr>
          <w:rFonts w:cs="Arial"/>
          <w:i/>
        </w:rPr>
        <w:t>P</w:t>
      </w:r>
      <w:r w:rsidRPr="006C540D">
        <w:rPr>
          <w:rFonts w:cs="Arial"/>
        </w:rPr>
        <w:t xml:space="preserve"> &lt; 0.05). For the estimation of LT</w:t>
      </w:r>
      <w:r w:rsidRPr="006C540D">
        <w:rPr>
          <w:rFonts w:cs="Arial"/>
          <w:vertAlign w:val="subscript"/>
        </w:rPr>
        <w:t>50</w:t>
      </w:r>
      <w:r w:rsidR="007872F2">
        <w:rPr>
          <w:rFonts w:cs="Arial"/>
        </w:rPr>
        <w:t>, a</w:t>
      </w:r>
      <w:r w:rsidRPr="006C540D">
        <w:rPr>
          <w:rFonts w:cs="Arial"/>
        </w:rPr>
        <w:t xml:space="preserve"> </w:t>
      </w:r>
      <w:proofErr w:type="spellStart"/>
      <w:r w:rsidRPr="006C540D">
        <w:rPr>
          <w:rFonts w:cs="Arial"/>
        </w:rPr>
        <w:t>probit</w:t>
      </w:r>
      <w:proofErr w:type="spellEnd"/>
      <w:r w:rsidRPr="006C540D">
        <w:rPr>
          <w:rFonts w:cs="Arial"/>
        </w:rPr>
        <w:t xml:space="preserve"> analysis was carried out using </w:t>
      </w:r>
      <w:proofErr w:type="spellStart"/>
      <w:r w:rsidRPr="006C540D">
        <w:rPr>
          <w:rFonts w:cs="Arial"/>
        </w:rPr>
        <w:t>glm</w:t>
      </w:r>
      <w:proofErr w:type="spellEnd"/>
      <w:r w:rsidRPr="006C540D">
        <w:rPr>
          <w:rFonts w:cs="Arial"/>
        </w:rPr>
        <w:t xml:space="preserve"> with </w:t>
      </w:r>
      <w:r w:rsidR="007872F2">
        <w:rPr>
          <w:rFonts w:cs="Arial"/>
        </w:rPr>
        <w:t xml:space="preserve">a </w:t>
      </w:r>
      <w:r w:rsidRPr="006C540D">
        <w:rPr>
          <w:rFonts w:cs="Arial"/>
        </w:rPr>
        <w:t xml:space="preserve">MASS package of R </w:t>
      </w:r>
      <w:r w:rsidR="00782D72" w:rsidRPr="006C540D">
        <w:rPr>
          <w:rFonts w:cs="Arial"/>
        </w:rPr>
        <w:t>[44]</w:t>
      </w:r>
      <w:r w:rsidRPr="006C540D">
        <w:rPr>
          <w:rFonts w:cs="Arial"/>
        </w:rPr>
        <w:t>.</w:t>
      </w:r>
    </w:p>
    <w:p w14:paraId="3A57A112" w14:textId="0F82575C" w:rsidR="005C4CF0" w:rsidRDefault="005C4CF0" w:rsidP="006C540D">
      <w:pPr>
        <w:pStyle w:val="MDPI31text"/>
        <w:ind w:firstLine="360"/>
        <w:rPr>
          <w:rFonts w:cs="Arial"/>
        </w:rPr>
      </w:pPr>
    </w:p>
    <w:p w14:paraId="352EC88D" w14:textId="77777777" w:rsidR="005C4CF0" w:rsidRPr="006C540D" w:rsidRDefault="005C4CF0" w:rsidP="005C4CF0">
      <w:pPr>
        <w:pStyle w:val="MDPI62Acknowledgments"/>
      </w:pPr>
      <w:r w:rsidRPr="000349CB">
        <w:rPr>
          <w:b/>
        </w:rPr>
        <w:t>Ethical Approval:</w:t>
      </w:r>
      <w:r w:rsidRPr="000349CB">
        <w:rPr>
          <w:rFonts w:eastAsiaTheme="minorEastAsia"/>
          <w:color w:val="auto"/>
          <w:sz w:val="22"/>
          <w:szCs w:val="22"/>
          <w:lang w:eastAsia="en-US"/>
        </w:rPr>
        <w:t xml:space="preserve"> </w:t>
      </w:r>
      <w:r w:rsidRPr="000349CB">
        <w:t xml:space="preserve">Clearance for indoor collection previously obtained on 12/01/2017 from Operational Research Advisory Committee, Ministry of Health (with reference number MOH/off/797/TI/402), Kano state was used. A meeting was held with the village head and household members at </w:t>
      </w:r>
      <w:proofErr w:type="spellStart"/>
      <w:r w:rsidRPr="000349CB">
        <w:t>Gajerar</w:t>
      </w:r>
      <w:proofErr w:type="spellEnd"/>
      <w:r w:rsidRPr="000349CB">
        <w:t xml:space="preserve"> </w:t>
      </w:r>
      <w:proofErr w:type="spellStart"/>
      <w:r w:rsidRPr="000349CB">
        <w:t>Giwa</w:t>
      </w:r>
      <w:proofErr w:type="spellEnd"/>
      <w:r w:rsidRPr="000349CB">
        <w:t>; the scope of the study and its benefits to malaria control was explained. A written and signed informed consent was obtained from individuals who agreed to indoor collection in their houses. All communication was carried out in the local language (Hausa).</w:t>
      </w:r>
      <w:r w:rsidRPr="006C540D">
        <w:t xml:space="preserve"> </w:t>
      </w:r>
    </w:p>
    <w:p w14:paraId="165E27EF" w14:textId="77777777" w:rsidR="005C4CF0" w:rsidRPr="006C540D" w:rsidRDefault="005C4CF0" w:rsidP="006C540D">
      <w:pPr>
        <w:pStyle w:val="MDPI31text"/>
        <w:ind w:firstLine="360"/>
        <w:rPr>
          <w:rFonts w:cs="Arial"/>
        </w:rPr>
      </w:pPr>
    </w:p>
    <w:p w14:paraId="4ED0464C" w14:textId="50542E37" w:rsidR="001901EC" w:rsidRPr="006C540D" w:rsidRDefault="00761CE6" w:rsidP="006C540D">
      <w:pPr>
        <w:pStyle w:val="MDPI21heading1"/>
      </w:pPr>
      <w:r w:rsidRPr="006C540D">
        <w:t xml:space="preserve">3. </w:t>
      </w:r>
      <w:r w:rsidR="006E06CC" w:rsidRPr="006C540D">
        <w:t>Results</w:t>
      </w:r>
    </w:p>
    <w:p w14:paraId="2725AADA" w14:textId="3E451696" w:rsidR="00052F43" w:rsidRPr="006C540D" w:rsidRDefault="00761CE6" w:rsidP="006C540D">
      <w:pPr>
        <w:pStyle w:val="MDPI22heading2"/>
        <w:rPr>
          <w:noProof w:val="0"/>
        </w:rPr>
      </w:pPr>
      <w:r w:rsidRPr="006C540D">
        <w:rPr>
          <w:noProof w:val="0"/>
        </w:rPr>
        <w:t xml:space="preserve">3.1. </w:t>
      </w:r>
      <w:r w:rsidR="00052F43" w:rsidRPr="006C540D">
        <w:rPr>
          <w:noProof w:val="0"/>
        </w:rPr>
        <w:t xml:space="preserve">Composition of the </w:t>
      </w:r>
      <w:r w:rsidR="002F4937" w:rsidRPr="006C540D">
        <w:rPr>
          <w:noProof w:val="0"/>
        </w:rPr>
        <w:t>M</w:t>
      </w:r>
      <w:r w:rsidR="00052F43" w:rsidRPr="006C540D">
        <w:rPr>
          <w:noProof w:val="0"/>
        </w:rPr>
        <w:t xml:space="preserve">osquito </w:t>
      </w:r>
      <w:r w:rsidR="002F4937" w:rsidRPr="006C540D">
        <w:rPr>
          <w:noProof w:val="0"/>
        </w:rPr>
        <w:t>S</w:t>
      </w:r>
      <w:r w:rsidR="00052F43" w:rsidRPr="006C540D">
        <w:rPr>
          <w:noProof w:val="0"/>
        </w:rPr>
        <w:t xml:space="preserve">pecies </w:t>
      </w:r>
      <w:r w:rsidR="002F4937" w:rsidRPr="006C540D">
        <w:rPr>
          <w:noProof w:val="0"/>
        </w:rPr>
        <w:t>C</w:t>
      </w:r>
      <w:r w:rsidR="00052F43" w:rsidRPr="006C540D">
        <w:rPr>
          <w:noProof w:val="0"/>
        </w:rPr>
        <w:t xml:space="preserve">ollected </w:t>
      </w:r>
      <w:r w:rsidR="002F4937" w:rsidRPr="006C540D">
        <w:rPr>
          <w:noProof w:val="0"/>
        </w:rPr>
        <w:t>I</w:t>
      </w:r>
      <w:r w:rsidR="00052F43" w:rsidRPr="006C540D">
        <w:rPr>
          <w:noProof w:val="0"/>
        </w:rPr>
        <w:t>ndoor</w:t>
      </w:r>
    </w:p>
    <w:p w14:paraId="6B182D7B" w14:textId="4084FB94" w:rsidR="00052F43" w:rsidRPr="006C540D" w:rsidRDefault="00052F43" w:rsidP="006C540D">
      <w:pPr>
        <w:pStyle w:val="MDPI31text"/>
      </w:pPr>
      <w:r w:rsidRPr="006C540D">
        <w:rPr>
          <w:i/>
        </w:rPr>
        <w:t xml:space="preserve">Anopheles </w:t>
      </w:r>
      <w:proofErr w:type="spellStart"/>
      <w:r w:rsidRPr="006C540D">
        <w:rPr>
          <w:i/>
        </w:rPr>
        <w:t>funestus</w:t>
      </w:r>
      <w:proofErr w:type="spellEnd"/>
      <w:r w:rsidRPr="006C540D">
        <w:t xml:space="preserve"> is the only mosquito species caught, a total of 721 in 4 d. Out of these, 590 were caught in the first 3 d (52</w:t>
      </w:r>
      <w:r w:rsidR="00FB1487" w:rsidRPr="006C540D">
        <w:t xml:space="preserve"> </w:t>
      </w:r>
      <w:r w:rsidRPr="006C540D">
        <w:rPr>
          <w:rFonts w:ascii="Segoe UI Symbol" w:hAnsi="Segoe UI Symbol" w:cs="Segoe UI Symbol"/>
        </w:rPr>
        <w:t>♂</w:t>
      </w:r>
      <w:r w:rsidRPr="006C540D">
        <w:t>, 538</w:t>
      </w:r>
      <w:r w:rsidR="00FB1487" w:rsidRPr="006C540D">
        <w:t xml:space="preserve"> </w:t>
      </w:r>
      <w:r w:rsidRPr="006C540D">
        <w:rPr>
          <w:rFonts w:ascii="Segoe UI Symbol" w:hAnsi="Segoe UI Symbol" w:cs="Segoe UI Symbol"/>
        </w:rPr>
        <w:t>♀</w:t>
      </w:r>
      <w:r w:rsidRPr="006C540D">
        <w:t xml:space="preserve"> [487 blood fed and 51 unfed]). </w:t>
      </w:r>
      <w:r w:rsidR="007872F2">
        <w:t xml:space="preserve">A total of </w:t>
      </w:r>
      <w:r w:rsidRPr="006C540D">
        <w:t>312</w:t>
      </w:r>
      <w:r w:rsidR="00FB1487" w:rsidRPr="006C540D">
        <w:t xml:space="preserve"> </w:t>
      </w:r>
      <w:r w:rsidRPr="006C540D">
        <w:rPr>
          <w:rFonts w:ascii="Segoe UI Symbol" w:hAnsi="Segoe UI Symbol" w:cs="Segoe UI Symbol"/>
        </w:rPr>
        <w:t>♀</w:t>
      </w:r>
      <w:r w:rsidRPr="006C540D">
        <w:t xml:space="preserve"> laid eggs and 288 egg batches hatched successfully. </w:t>
      </w:r>
      <w:r w:rsidR="007872F2">
        <w:t xml:space="preserve">A total of </w:t>
      </w:r>
      <w:r w:rsidRPr="006C540D">
        <w:t>131 mosquitoes were caught on the 4</w:t>
      </w:r>
      <w:r w:rsidRPr="006C540D">
        <w:rPr>
          <w:vertAlign w:val="superscript"/>
        </w:rPr>
        <w:t>th</w:t>
      </w:r>
      <w:r w:rsidRPr="006C540D">
        <w:t xml:space="preserve"> day: 12</w:t>
      </w:r>
      <w:r w:rsidR="00FB1487" w:rsidRPr="006C540D">
        <w:t xml:space="preserve"> </w:t>
      </w:r>
      <w:r w:rsidRPr="006C540D">
        <w:rPr>
          <w:rFonts w:ascii="Segoe UI Symbol" w:hAnsi="Segoe UI Symbol" w:cs="Segoe UI Symbol"/>
        </w:rPr>
        <w:t>♂</w:t>
      </w:r>
      <w:r w:rsidRPr="006C540D">
        <w:t xml:space="preserve"> and 119</w:t>
      </w:r>
      <w:r w:rsidR="00FB1487" w:rsidRPr="006C540D">
        <w:t xml:space="preserve"> </w:t>
      </w:r>
      <w:r w:rsidRPr="006C540D">
        <w:rPr>
          <w:rFonts w:ascii="Segoe UI Symbol" w:hAnsi="Segoe UI Symbol" w:cs="Segoe UI Symbol"/>
        </w:rPr>
        <w:t>♀</w:t>
      </w:r>
      <w:r w:rsidRPr="006C540D">
        <w:t xml:space="preserve"> (112 of them blood fed and 7 unfed). </w:t>
      </w:r>
    </w:p>
    <w:p w14:paraId="2141EB4D" w14:textId="58F81B7F" w:rsidR="00052F43" w:rsidRPr="006C540D" w:rsidRDefault="00761CE6" w:rsidP="006C540D">
      <w:pPr>
        <w:pStyle w:val="MDPI22heading2"/>
        <w:rPr>
          <w:noProof w:val="0"/>
        </w:rPr>
      </w:pPr>
      <w:r w:rsidRPr="006C540D">
        <w:rPr>
          <w:noProof w:val="0"/>
        </w:rPr>
        <w:t xml:space="preserve">3.2. </w:t>
      </w:r>
      <w:r w:rsidR="00052F43" w:rsidRPr="006C540D">
        <w:rPr>
          <w:noProof w:val="0"/>
        </w:rPr>
        <w:t xml:space="preserve">Entomological and </w:t>
      </w:r>
      <w:r w:rsidR="002F4937" w:rsidRPr="006C540D">
        <w:rPr>
          <w:noProof w:val="0"/>
        </w:rPr>
        <w:t>P</w:t>
      </w:r>
      <w:r w:rsidR="00052F43" w:rsidRPr="006C540D">
        <w:rPr>
          <w:noProof w:val="0"/>
        </w:rPr>
        <w:t xml:space="preserve">arasitological </w:t>
      </w:r>
      <w:r w:rsidR="002F4937" w:rsidRPr="006C540D">
        <w:rPr>
          <w:noProof w:val="0"/>
        </w:rPr>
        <w:t>P</w:t>
      </w:r>
      <w:r w:rsidR="00052F43" w:rsidRPr="006C540D">
        <w:rPr>
          <w:noProof w:val="0"/>
        </w:rPr>
        <w:t xml:space="preserve">arameters of </w:t>
      </w:r>
      <w:r w:rsidR="002F4937" w:rsidRPr="006C540D">
        <w:rPr>
          <w:noProof w:val="0"/>
        </w:rPr>
        <w:t>T</w:t>
      </w:r>
      <w:r w:rsidR="00052F43" w:rsidRPr="006C540D">
        <w:rPr>
          <w:noProof w:val="0"/>
        </w:rPr>
        <w:t>ransmission</w:t>
      </w:r>
    </w:p>
    <w:p w14:paraId="78ECB180" w14:textId="3075628D" w:rsidR="00052F43" w:rsidRPr="006C540D" w:rsidRDefault="00761CE6" w:rsidP="006C540D">
      <w:pPr>
        <w:pStyle w:val="MDPI23heading3"/>
      </w:pPr>
      <w:r w:rsidRPr="006C540D">
        <w:t xml:space="preserve">3.2.1. </w:t>
      </w:r>
      <w:r w:rsidR="00052F43" w:rsidRPr="006C540D">
        <w:t xml:space="preserve">Indoor </w:t>
      </w:r>
      <w:r w:rsidR="00B17311">
        <w:t>R</w:t>
      </w:r>
      <w:r w:rsidR="00052F43" w:rsidRPr="006C540D">
        <w:t xml:space="preserve">esting </w:t>
      </w:r>
      <w:r w:rsidR="00B17311">
        <w:t>D</w:t>
      </w:r>
      <w:r w:rsidR="00052F43" w:rsidRPr="006C540D">
        <w:t xml:space="preserve">ensity, </w:t>
      </w:r>
      <w:r w:rsidR="00B17311">
        <w:t>H</w:t>
      </w:r>
      <w:r w:rsidR="00052F43" w:rsidRPr="006C540D">
        <w:t xml:space="preserve">uman </w:t>
      </w:r>
      <w:r w:rsidR="00B17311">
        <w:t>B</w:t>
      </w:r>
      <w:r w:rsidR="00052F43" w:rsidRPr="006C540D">
        <w:t xml:space="preserve">lood </w:t>
      </w:r>
      <w:r w:rsidR="00B17311">
        <w:t>I</w:t>
      </w:r>
      <w:r w:rsidR="00052F43" w:rsidRPr="006C540D">
        <w:t xml:space="preserve">ndex and </w:t>
      </w:r>
      <w:r w:rsidR="00B17311">
        <w:t>B</w:t>
      </w:r>
      <w:r w:rsidR="00052F43" w:rsidRPr="006C540D">
        <w:t xml:space="preserve">iting </w:t>
      </w:r>
      <w:r w:rsidR="00B17311">
        <w:t>R</w:t>
      </w:r>
      <w:r w:rsidR="00052F43" w:rsidRPr="006C540D">
        <w:t>ate</w:t>
      </w:r>
    </w:p>
    <w:p w14:paraId="02960AB3" w14:textId="1F4B5F85" w:rsidR="0063211D" w:rsidRPr="006C540D" w:rsidRDefault="007872F2" w:rsidP="006C540D">
      <w:pPr>
        <w:pStyle w:val="MDPI31text"/>
        <w:rPr>
          <w:i/>
        </w:rPr>
      </w:pPr>
      <w:r>
        <w:t>The i</w:t>
      </w:r>
      <w:r w:rsidR="00052F43" w:rsidRPr="006C540D">
        <w:t>ndoor resting density of</w:t>
      </w:r>
      <w:bookmarkStart w:id="12" w:name="_Hlk508291929"/>
      <w:r w:rsidR="00052F43" w:rsidRPr="006C540D">
        <w:t xml:space="preserve"> the </w:t>
      </w:r>
      <w:r w:rsidR="00052F43" w:rsidRPr="006C540D">
        <w:rPr>
          <w:i/>
        </w:rPr>
        <w:t xml:space="preserve">An. </w:t>
      </w:r>
      <w:proofErr w:type="spellStart"/>
      <w:r w:rsidR="00052F43" w:rsidRPr="006C540D">
        <w:rPr>
          <w:i/>
        </w:rPr>
        <w:t>funestus</w:t>
      </w:r>
      <w:proofErr w:type="spellEnd"/>
      <w:r w:rsidR="00052F43" w:rsidRPr="006C540D">
        <w:t xml:space="preserve"> </w:t>
      </w:r>
      <w:bookmarkEnd w:id="12"/>
      <w:r w:rsidR="00052F43" w:rsidRPr="006C540D">
        <w:t xml:space="preserve">was estimated as 14 from the 112 blood females collected in </w:t>
      </w:r>
      <w:r>
        <w:t>eight</w:t>
      </w:r>
      <w:r w:rsidR="00052F43" w:rsidRPr="006C540D">
        <w:t xml:space="preserve"> houses. Analysis of the blood source of these 112 females by PCR revealed that they all fed on human blood, leading to</w:t>
      </w:r>
      <w:r>
        <w:t xml:space="preserve"> a</w:t>
      </w:r>
      <w:r w:rsidR="00052F43" w:rsidRPr="006C540D">
        <w:t xml:space="preserve"> human blood index of 100</w:t>
      </w:r>
      <w:r w:rsidR="00FB1487" w:rsidRPr="006C540D">
        <w:t xml:space="preserve"> </w:t>
      </w:r>
      <w:r w:rsidR="00052F43" w:rsidRPr="006C540D">
        <w:t xml:space="preserve">%. </w:t>
      </w:r>
      <w:r>
        <w:t>The h</w:t>
      </w:r>
      <w:r w:rsidR="00052F43" w:rsidRPr="006C540D">
        <w:t>uman biting rate was estimated as ~</w:t>
      </w:r>
      <w:r w:rsidR="00FB1487" w:rsidRPr="006C540D">
        <w:t xml:space="preserve"> </w:t>
      </w:r>
      <w:r w:rsidR="00052F43" w:rsidRPr="006C540D">
        <w:t xml:space="preserve">5.3 bites per person per night (CI: 4.91-5.69). </w:t>
      </w:r>
    </w:p>
    <w:p w14:paraId="51251E50" w14:textId="35A9F1E4" w:rsidR="00052F43" w:rsidRPr="006C540D" w:rsidRDefault="00761CE6" w:rsidP="006C540D">
      <w:pPr>
        <w:pStyle w:val="MDPI23heading3"/>
      </w:pPr>
      <w:r w:rsidRPr="006C540D">
        <w:t xml:space="preserve">3.2.2. </w:t>
      </w:r>
      <w:r w:rsidR="00052F43" w:rsidRPr="006C540D">
        <w:t xml:space="preserve">Estimation of </w:t>
      </w:r>
      <w:r w:rsidR="00B17311">
        <w:t>S</w:t>
      </w:r>
      <w:r w:rsidR="00052F43" w:rsidRPr="006C540D">
        <w:t xml:space="preserve">porozoite </w:t>
      </w:r>
      <w:r w:rsidR="00B17311">
        <w:t>I</w:t>
      </w:r>
      <w:r w:rsidR="00052F43" w:rsidRPr="006C540D">
        <w:t xml:space="preserve">nfection </w:t>
      </w:r>
      <w:r w:rsidR="00B17311">
        <w:t>R</w:t>
      </w:r>
      <w:r w:rsidR="00052F43" w:rsidRPr="006C540D">
        <w:t xml:space="preserve">ate </w:t>
      </w:r>
    </w:p>
    <w:p w14:paraId="1808C021" w14:textId="1883CB8D" w:rsidR="00052F43" w:rsidRPr="006C540D" w:rsidRDefault="00052F43" w:rsidP="006C540D">
      <w:pPr>
        <w:pStyle w:val="MDPI31text"/>
        <w:rPr>
          <w:iCs/>
        </w:rPr>
      </w:pPr>
      <w:r w:rsidRPr="006C540D">
        <w:t>A total of 36 out of 66 heads/thoraces were positive for</w:t>
      </w:r>
      <w:r w:rsidRPr="006C540D">
        <w:rPr>
          <w:iCs/>
        </w:rPr>
        <w:t xml:space="preserve"> </w:t>
      </w:r>
      <w:r w:rsidRPr="006C540D">
        <w:rPr>
          <w:i/>
        </w:rPr>
        <w:t>P. falciparum</w:t>
      </w:r>
      <w:r w:rsidRPr="006C540D">
        <w:t xml:space="preserve"> (F</w:t>
      </w:r>
      <w:r w:rsidRPr="006C540D">
        <w:rPr>
          <w:vertAlign w:val="subscript"/>
        </w:rPr>
        <w:t>+</w:t>
      </w:r>
      <w:r w:rsidRPr="006C540D">
        <w:t xml:space="preserve"> = 36), corresponding to an unusually high sporozoite rate of 54.55% ± 13.63. Validation of the TaqMan results using nested PCR </w:t>
      </w:r>
      <w:r w:rsidR="00CB09C4" w:rsidRPr="006C540D">
        <w:t>[34]</w:t>
      </w:r>
      <w:r w:rsidRPr="006C540D">
        <w:t xml:space="preserve"> confirmed the</w:t>
      </w:r>
      <w:r w:rsidRPr="006C540D">
        <w:rPr>
          <w:iCs/>
        </w:rPr>
        <w:t xml:space="preserve"> </w:t>
      </w:r>
      <w:r w:rsidRPr="006C540D">
        <w:rPr>
          <w:i/>
        </w:rPr>
        <w:t>P. falciparum</w:t>
      </w:r>
      <w:r w:rsidRPr="006C540D">
        <w:rPr>
          <w:iCs/>
        </w:rPr>
        <w:t xml:space="preserve"> </w:t>
      </w:r>
      <w:r w:rsidRPr="006C540D">
        <w:t>infection in the 36 samples.</w:t>
      </w:r>
      <w:r w:rsidRPr="006C540D">
        <w:rPr>
          <w:iCs/>
        </w:rPr>
        <w:t xml:space="preserve"> </w:t>
      </w:r>
    </w:p>
    <w:p w14:paraId="24C6AAD8" w14:textId="13AE8B72" w:rsidR="00052F43" w:rsidRPr="006C540D" w:rsidRDefault="00761CE6" w:rsidP="006C540D">
      <w:pPr>
        <w:pStyle w:val="MDPI22heading2"/>
        <w:rPr>
          <w:noProof w:val="0"/>
        </w:rPr>
      </w:pPr>
      <w:r w:rsidRPr="006C540D">
        <w:rPr>
          <w:noProof w:val="0"/>
        </w:rPr>
        <w:t xml:space="preserve">3.3. </w:t>
      </w:r>
      <w:r w:rsidR="00052F43" w:rsidRPr="006C540D">
        <w:rPr>
          <w:noProof w:val="0"/>
        </w:rPr>
        <w:t xml:space="preserve">Insecticide </w:t>
      </w:r>
      <w:r w:rsidR="002F4937" w:rsidRPr="006C540D">
        <w:rPr>
          <w:noProof w:val="0"/>
        </w:rPr>
        <w:t>R</w:t>
      </w:r>
      <w:r w:rsidR="00052F43" w:rsidRPr="006C540D">
        <w:rPr>
          <w:noProof w:val="0"/>
        </w:rPr>
        <w:t xml:space="preserve">esistance </w:t>
      </w:r>
      <w:r w:rsidR="002F4937" w:rsidRPr="006C540D">
        <w:rPr>
          <w:noProof w:val="0"/>
        </w:rPr>
        <w:t>P</w:t>
      </w:r>
      <w:r w:rsidR="00052F43" w:rsidRPr="006C540D">
        <w:rPr>
          <w:noProof w:val="0"/>
        </w:rPr>
        <w:t xml:space="preserve">rofile of An. </w:t>
      </w:r>
      <w:proofErr w:type="spellStart"/>
      <w:r w:rsidR="00052F43" w:rsidRPr="006C540D">
        <w:rPr>
          <w:noProof w:val="0"/>
        </w:rPr>
        <w:t>funestus</w:t>
      </w:r>
      <w:proofErr w:type="spellEnd"/>
      <w:r w:rsidR="00052F43" w:rsidRPr="006C540D">
        <w:rPr>
          <w:noProof w:val="0"/>
        </w:rPr>
        <w:t xml:space="preserve"> </w:t>
      </w:r>
      <w:r w:rsidR="002F4937" w:rsidRPr="006C540D">
        <w:rPr>
          <w:noProof w:val="0"/>
        </w:rPr>
        <w:t>P</w:t>
      </w:r>
      <w:r w:rsidR="00052F43" w:rsidRPr="006C540D">
        <w:rPr>
          <w:noProof w:val="0"/>
        </w:rPr>
        <w:t>opulation</w:t>
      </w:r>
    </w:p>
    <w:p w14:paraId="7494D943" w14:textId="008E402C" w:rsidR="0063211D" w:rsidRDefault="00052F43" w:rsidP="006C540D">
      <w:pPr>
        <w:pStyle w:val="MDPI31text"/>
        <w:rPr>
          <w:iCs/>
        </w:rPr>
      </w:pPr>
      <w:r w:rsidRPr="006C540D">
        <w:t>The</w:t>
      </w:r>
      <w:r w:rsidRPr="006C540D">
        <w:rPr>
          <w:iCs/>
        </w:rPr>
        <w:t xml:space="preserve"> </w:t>
      </w:r>
      <w:r w:rsidRPr="006C540D">
        <w:rPr>
          <w:i/>
        </w:rPr>
        <w:t xml:space="preserve">An. </w:t>
      </w:r>
      <w:proofErr w:type="spellStart"/>
      <w:r w:rsidRPr="006C540D">
        <w:rPr>
          <w:i/>
        </w:rPr>
        <w:t>funestus</w:t>
      </w:r>
      <w:proofErr w:type="spellEnd"/>
      <w:r w:rsidRPr="006C540D">
        <w:rPr>
          <w:iCs/>
        </w:rPr>
        <w:t xml:space="preserve"> </w:t>
      </w:r>
      <w:r w:rsidRPr="006C540D">
        <w:t>population demonstrated high knockdown resistance, with ~</w:t>
      </w:r>
      <w:r w:rsidR="00FB1487" w:rsidRPr="006C540D">
        <w:t xml:space="preserve"> </w:t>
      </w:r>
      <w:r w:rsidRPr="006C540D">
        <w:t>5% of them knocked down at 1</w:t>
      </w:r>
      <w:r w:rsidR="00FB1487" w:rsidRPr="006C540D">
        <w:t xml:space="preserve"> </w:t>
      </w:r>
      <w:r w:rsidRPr="006C540D">
        <w:t>h exposure with deltamethrin and DDT (Fig</w:t>
      </w:r>
      <w:r w:rsidR="00B17311">
        <w:t>ure</w:t>
      </w:r>
      <w:r w:rsidRPr="006C540D">
        <w:t xml:space="preserve"> S1), and ~</w:t>
      </w:r>
      <w:r w:rsidR="00FB1487" w:rsidRPr="006C540D">
        <w:t xml:space="preserve"> </w:t>
      </w:r>
      <w:r w:rsidRPr="006C540D">
        <w:t>10% knocked down after 1</w:t>
      </w:r>
      <w:r w:rsidR="00FB1487" w:rsidRPr="006C540D">
        <w:t xml:space="preserve"> </w:t>
      </w:r>
      <w:r w:rsidRPr="006C540D">
        <w:t>h exposure with permethrin. High resistance was observed towards the pyrethroids</w:t>
      </w:r>
      <w:r w:rsidR="007872F2">
        <w:t>,</w:t>
      </w:r>
      <w:r w:rsidRPr="006C540D">
        <w:t xml:space="preserve"> with </w:t>
      </w:r>
      <w:r w:rsidR="007872F2">
        <w:t xml:space="preserve">a </w:t>
      </w:r>
      <w:r w:rsidRPr="006C540D">
        <w:t>higher mortality of 48.30% (</w:t>
      </w:r>
      <w:r w:rsidRPr="006C540D">
        <w:rPr>
          <w:iCs/>
        </w:rPr>
        <w:t>95% CI</w:t>
      </w:r>
      <w:r w:rsidRPr="006C540D">
        <w:t>: 41–55)</w:t>
      </w:r>
      <w:r w:rsidRPr="006C540D">
        <w:rPr>
          <w:iCs/>
        </w:rPr>
        <w:t xml:space="preserve"> </w:t>
      </w:r>
      <w:r w:rsidRPr="006C540D">
        <w:t>for permethrin, compared with 29.44% (</w:t>
      </w:r>
      <w:r w:rsidRPr="006C540D">
        <w:rPr>
          <w:iCs/>
        </w:rPr>
        <w:t xml:space="preserve">95% CI: </w:t>
      </w:r>
      <w:r w:rsidRPr="006C540D">
        <w:t>24-34) for deltamethrin (Fig</w:t>
      </w:r>
      <w:r w:rsidR="00B17311">
        <w:t>ure</w:t>
      </w:r>
      <w:r w:rsidRPr="006C540D">
        <w:t xml:space="preserve"> 2a).</w:t>
      </w:r>
      <w:r w:rsidRPr="006C540D">
        <w:rPr>
          <w:iCs/>
        </w:rPr>
        <w:t xml:space="preserve"> </w:t>
      </w:r>
      <w:r w:rsidR="007872F2">
        <w:rPr>
          <w:iCs/>
        </w:rPr>
        <w:t xml:space="preserve">A </w:t>
      </w:r>
      <w:r w:rsidRPr="006C540D">
        <w:t xml:space="preserve">100% mortality </w:t>
      </w:r>
      <w:r w:rsidR="007872F2">
        <w:t xml:space="preserve">rate </w:t>
      </w:r>
      <w:r w:rsidRPr="006C540D">
        <w:t xml:space="preserve">was obtained </w:t>
      </w:r>
      <w:r w:rsidR="007872F2">
        <w:t>in</w:t>
      </w:r>
      <w:r w:rsidR="007872F2" w:rsidRPr="006C540D">
        <w:t xml:space="preserve"> </w:t>
      </w:r>
      <w:r w:rsidRPr="006C540D">
        <w:t>the</w:t>
      </w:r>
      <w:r w:rsidRPr="006C540D">
        <w:rPr>
          <w:iCs/>
        </w:rPr>
        <w:t xml:space="preserve"> FANG </w:t>
      </w:r>
      <w:r w:rsidRPr="006C540D">
        <w:t>susceptible colony.</w:t>
      </w:r>
      <w:r w:rsidRPr="006C540D">
        <w:rPr>
          <w:iCs/>
        </w:rPr>
        <w:t xml:space="preserve"> </w:t>
      </w:r>
      <w:r w:rsidRPr="006C540D">
        <w:t>Significant resistance was also observed towards DDT and bendiocarb</w:t>
      </w:r>
      <w:r w:rsidR="007872F2">
        <w:t>,</w:t>
      </w:r>
      <w:r w:rsidRPr="006C540D">
        <w:t xml:space="preserve"> with mortalities of 56.34% (</w:t>
      </w:r>
      <w:r w:rsidRPr="006C540D">
        <w:rPr>
          <w:iCs/>
        </w:rPr>
        <w:t xml:space="preserve">95% CI: </w:t>
      </w:r>
      <w:r w:rsidRPr="006C540D">
        <w:t>51</w:t>
      </w:r>
      <w:r w:rsidR="00B17311">
        <w:t>–</w:t>
      </w:r>
      <w:r w:rsidRPr="006C540D">
        <w:t>62) and 54.05% (</w:t>
      </w:r>
      <w:r w:rsidRPr="006C540D">
        <w:rPr>
          <w:iCs/>
        </w:rPr>
        <w:t>95% CI: 49-59</w:t>
      </w:r>
      <w:r w:rsidRPr="006C540D">
        <w:t>), respectively. Moderate resistance was observed from exposure to fenitrothion with mortality of 94.22% (</w:t>
      </w:r>
      <w:r w:rsidRPr="006C540D">
        <w:rPr>
          <w:iCs/>
        </w:rPr>
        <w:t>95% CI: 88</w:t>
      </w:r>
      <w:r w:rsidR="00A964D1">
        <w:rPr>
          <w:iCs/>
        </w:rPr>
        <w:t>–</w:t>
      </w:r>
      <w:r w:rsidRPr="006C540D">
        <w:rPr>
          <w:iCs/>
        </w:rPr>
        <w:t>101</w:t>
      </w:r>
      <w:r w:rsidRPr="006C540D">
        <w:t>)</w:t>
      </w:r>
      <w:r w:rsidRPr="006C540D">
        <w:rPr>
          <w:iCs/>
        </w:rPr>
        <w:t xml:space="preserve">. </w:t>
      </w:r>
    </w:p>
    <w:p w14:paraId="74DB5408" w14:textId="77777777" w:rsidR="00A964D1" w:rsidRPr="006C540D" w:rsidRDefault="00A964D1" w:rsidP="00A964D1">
      <w:pPr>
        <w:pStyle w:val="MDPI22heading2"/>
        <w:rPr>
          <w:noProof w:val="0"/>
        </w:rPr>
      </w:pPr>
      <w:r w:rsidRPr="006C540D">
        <w:rPr>
          <w:noProof w:val="0"/>
        </w:rPr>
        <w:t xml:space="preserve">3.4. Pyrethroid Resistance Intensity </w:t>
      </w:r>
    </w:p>
    <w:p w14:paraId="1D33ACFF" w14:textId="77777777" w:rsidR="00A964D1" w:rsidRPr="006C540D" w:rsidRDefault="00A964D1" w:rsidP="00A964D1">
      <w:pPr>
        <w:pStyle w:val="MDPI31text"/>
        <w:rPr>
          <w:iCs/>
        </w:rPr>
      </w:pPr>
      <w:r w:rsidRPr="006C540D">
        <w:t>The LT</w:t>
      </w:r>
      <w:r w:rsidRPr="006C540D">
        <w:rPr>
          <w:vertAlign w:val="subscript"/>
        </w:rPr>
        <w:t>50</w:t>
      </w:r>
      <w:r>
        <w:t xml:space="preserve"> </w:t>
      </w:r>
      <w:r w:rsidRPr="006C540D">
        <w:t>for permethrin was estimated as 64.76 min [</w:t>
      </w:r>
      <w:r w:rsidRPr="006C540D">
        <w:rPr>
          <w:iCs/>
        </w:rPr>
        <w:t xml:space="preserve">95% CI: </w:t>
      </w:r>
      <w:r w:rsidRPr="006C540D">
        <w:t>59.17–70.35,</w:t>
      </w:r>
      <w:r w:rsidRPr="006C540D">
        <w:rPr>
          <w:iCs/>
        </w:rPr>
        <w:t xml:space="preserve"> </w:t>
      </w:r>
      <w:r w:rsidRPr="006C540D">
        <w:t>Fiducial]</w:t>
      </w:r>
      <w:r w:rsidRPr="006C540D">
        <w:rPr>
          <w:iCs/>
        </w:rPr>
        <w:t xml:space="preserve"> </w:t>
      </w:r>
      <w:r w:rsidRPr="006C540D">
        <w:t>(Fig</w:t>
      </w:r>
      <w:r>
        <w:t>ure</w:t>
      </w:r>
      <w:r w:rsidRPr="006C540D">
        <w:t xml:space="preserve"> 2d) after assessing mortality from 30 to 300 min exposure. To calculate the resistance intensity</w:t>
      </w:r>
      <w:r>
        <w:t>,</w:t>
      </w:r>
      <w:r w:rsidRPr="006C540D">
        <w:t xml:space="preserve"> the LT</w:t>
      </w:r>
      <w:r w:rsidRPr="006C540D">
        <w:rPr>
          <w:vertAlign w:val="subscript"/>
        </w:rPr>
        <w:t>50</w:t>
      </w:r>
      <w:r>
        <w:t xml:space="preserve"> </w:t>
      </w:r>
      <w:r w:rsidRPr="006C540D">
        <w:t xml:space="preserve">from </w:t>
      </w:r>
      <w:proofErr w:type="spellStart"/>
      <w:r w:rsidRPr="006C540D">
        <w:t>Gajerar</w:t>
      </w:r>
      <w:proofErr w:type="spellEnd"/>
      <w:r w:rsidRPr="006C540D">
        <w:t xml:space="preserve"> </w:t>
      </w:r>
      <w:proofErr w:type="spellStart"/>
      <w:r w:rsidRPr="006C540D">
        <w:t>Giwa</w:t>
      </w:r>
      <w:proofErr w:type="spellEnd"/>
      <w:r w:rsidRPr="006C540D">
        <w:t xml:space="preserve"> </w:t>
      </w:r>
      <w:r w:rsidRPr="006C540D">
        <w:rPr>
          <w:i/>
        </w:rPr>
        <w:t xml:space="preserve">An. </w:t>
      </w:r>
      <w:proofErr w:type="spellStart"/>
      <w:r w:rsidRPr="006C540D">
        <w:rPr>
          <w:i/>
        </w:rPr>
        <w:t>funestus</w:t>
      </w:r>
      <w:proofErr w:type="spellEnd"/>
      <w:r w:rsidRPr="006C540D">
        <w:rPr>
          <w:iCs/>
        </w:rPr>
        <w:t xml:space="preserve"> </w:t>
      </w:r>
      <w:r w:rsidRPr="006C540D">
        <w:t>was compared to LT</w:t>
      </w:r>
      <w:r w:rsidRPr="006C540D">
        <w:rPr>
          <w:vertAlign w:val="subscript"/>
        </w:rPr>
        <w:t>50</w:t>
      </w:r>
      <w:r w:rsidRPr="006C540D">
        <w:t xml:space="preserve"> (3.320 min)</w:t>
      </w:r>
      <w:r>
        <w:t>,</w:t>
      </w:r>
      <w:r w:rsidRPr="006C540D">
        <w:t xml:space="preserve"> previously established for the fully susceptible </w:t>
      </w:r>
      <w:r w:rsidRPr="006C540D">
        <w:rPr>
          <w:i/>
        </w:rPr>
        <w:t xml:space="preserve">An. </w:t>
      </w:r>
      <w:proofErr w:type="spellStart"/>
      <w:r w:rsidRPr="006C540D">
        <w:rPr>
          <w:i/>
        </w:rPr>
        <w:t>coluzzii</w:t>
      </w:r>
      <w:proofErr w:type="spellEnd"/>
      <w:r w:rsidRPr="006C540D">
        <w:t xml:space="preserve"> </w:t>
      </w:r>
      <w:proofErr w:type="spellStart"/>
      <w:r w:rsidRPr="006C540D">
        <w:t>Ngoussou</w:t>
      </w:r>
      <w:proofErr w:type="spellEnd"/>
      <w:r w:rsidRPr="006C540D">
        <w:t xml:space="preserve"> lab colony [5]. The resistance ratio was estimated as 19.51.</w:t>
      </w:r>
      <w:r w:rsidRPr="006C540D">
        <w:rPr>
          <w:iCs/>
        </w:rPr>
        <w:t xml:space="preserve"> </w:t>
      </w:r>
    </w:p>
    <w:p w14:paraId="6280704D" w14:textId="77777777" w:rsidR="00A964D1" w:rsidRPr="006C540D" w:rsidRDefault="00A964D1" w:rsidP="00A964D1">
      <w:pPr>
        <w:pStyle w:val="MDPI22heading2"/>
        <w:rPr>
          <w:noProof w:val="0"/>
        </w:rPr>
      </w:pPr>
      <w:r w:rsidRPr="006C540D">
        <w:rPr>
          <w:noProof w:val="0"/>
        </w:rPr>
        <w:t>3.5. Bed net Efficacy using Cone Bioassay</w:t>
      </w:r>
    </w:p>
    <w:p w14:paraId="7461269E" w14:textId="77777777" w:rsidR="00A964D1" w:rsidRPr="006C540D" w:rsidRDefault="00A964D1" w:rsidP="00A964D1">
      <w:pPr>
        <w:pStyle w:val="MDPI31text"/>
        <w:rPr>
          <w:i/>
        </w:rPr>
      </w:pPr>
      <w:r w:rsidRPr="006C540D">
        <w:t xml:space="preserve">A low efficacy was observed with the pyrethroid-based </w:t>
      </w:r>
      <w:proofErr w:type="spellStart"/>
      <w:r w:rsidRPr="006C540D">
        <w:t>Olyset</w:t>
      </w:r>
      <w:bookmarkStart w:id="13" w:name="_Hlk12011865"/>
      <w:r w:rsidRPr="006C540D">
        <w:t>®</w:t>
      </w:r>
      <w:bookmarkEnd w:id="13"/>
      <w:r w:rsidRPr="006C540D">
        <w:t>Net</w:t>
      </w:r>
      <w:proofErr w:type="spellEnd"/>
      <w:r w:rsidRPr="006C540D">
        <w:t xml:space="preserve"> (mortality = 22.22,</w:t>
      </w:r>
      <w:r w:rsidRPr="006C540D">
        <w:rPr>
          <w:iCs/>
        </w:rPr>
        <w:t xml:space="preserve"> 95% CI: </w:t>
      </w:r>
      <w:r w:rsidRPr="006C540D">
        <w:t>14.37–30.07) and the Perma®Net2.0 (mortality = 38.05%,</w:t>
      </w:r>
      <w:r w:rsidRPr="006C540D">
        <w:rPr>
          <w:iCs/>
        </w:rPr>
        <w:t xml:space="preserve"> CI: </w:t>
      </w:r>
      <w:r w:rsidRPr="006C540D">
        <w:t>19.12–56.98) (Fig</w:t>
      </w:r>
      <w:r>
        <w:t>ure</w:t>
      </w:r>
      <w:r w:rsidRPr="006C540D">
        <w:t xml:space="preserve"> 2b). The side panels </w:t>
      </w:r>
      <w:r w:rsidRPr="006C540D">
        <w:lastRenderedPageBreak/>
        <w:t>of PermaNet®3.0 induced higher mortality of 67.41% (</w:t>
      </w:r>
      <w:r w:rsidRPr="006C540D">
        <w:rPr>
          <w:iCs/>
        </w:rPr>
        <w:t xml:space="preserve">CI: </w:t>
      </w:r>
      <w:r w:rsidRPr="006C540D">
        <w:t>44.87–89.95).</w:t>
      </w:r>
      <w:r w:rsidRPr="006C540D">
        <w:rPr>
          <w:iCs/>
        </w:rPr>
        <w:t xml:space="preserve"> </w:t>
      </w:r>
      <w:r w:rsidRPr="006C540D">
        <w:t xml:space="preserve">This is more than the mortality observed with the PBO-containing </w:t>
      </w:r>
      <w:proofErr w:type="spellStart"/>
      <w:r w:rsidRPr="006C540D">
        <w:t>Olyset®Plus</w:t>
      </w:r>
      <w:proofErr w:type="spellEnd"/>
      <w:r w:rsidRPr="006C540D">
        <w:t xml:space="preserve"> (mortality = 52.31%,</w:t>
      </w:r>
      <w:r w:rsidRPr="006C540D">
        <w:rPr>
          <w:iCs/>
        </w:rPr>
        <w:t xml:space="preserve"> CI: </w:t>
      </w:r>
      <w:r w:rsidRPr="006C540D">
        <w:t>41.85–62.78).</w:t>
      </w:r>
      <w:r>
        <w:t xml:space="preserve"> A</w:t>
      </w:r>
      <w:r w:rsidRPr="006C540D">
        <w:t xml:space="preserve"> 100% mortality </w:t>
      </w:r>
      <w:r>
        <w:t xml:space="preserve">rate </w:t>
      </w:r>
      <w:r w:rsidRPr="006C540D">
        <w:t>was seen from exposure to the roof of PermaNet®3.0 (containing PBO). No mortality was obtained from the control populations</w:t>
      </w:r>
      <w:r>
        <w:t>,</w:t>
      </w:r>
      <w:r w:rsidRPr="006C540D">
        <w:t xml:space="preserve"> which were exposed to untreated nets.</w:t>
      </w:r>
    </w:p>
    <w:p w14:paraId="0D0E6617" w14:textId="4F0CE561" w:rsidR="007C017B" w:rsidRPr="006C540D" w:rsidRDefault="007C017B" w:rsidP="00B17311">
      <w:pPr>
        <w:pStyle w:val="MDPI52figure"/>
      </w:pPr>
      <w:r w:rsidRPr="006C540D">
        <w:rPr>
          <w:noProof/>
          <w:lang w:eastAsia="zh-CN" w:bidi="ar-SA"/>
        </w:rPr>
        <w:drawing>
          <wp:inline distT="0" distB="0" distL="0" distR="0" wp14:anchorId="0EB2542A" wp14:editId="0F5C6F82">
            <wp:extent cx="5661328" cy="3768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451" cy="3836708"/>
                    </a:xfrm>
                    <a:prstGeom prst="rect">
                      <a:avLst/>
                    </a:prstGeom>
                    <a:noFill/>
                    <a:ln>
                      <a:noFill/>
                    </a:ln>
                  </pic:spPr>
                </pic:pic>
              </a:graphicData>
            </a:graphic>
          </wp:inline>
        </w:drawing>
      </w:r>
    </w:p>
    <w:p w14:paraId="5C911835" w14:textId="55B85608" w:rsidR="00761CE6" w:rsidRPr="006C540D" w:rsidRDefault="00B17311" w:rsidP="00B17311">
      <w:pPr>
        <w:pStyle w:val="MDPI51figurecaption"/>
        <w:rPr>
          <w:b/>
          <w:bCs/>
          <w:i/>
        </w:rPr>
      </w:pPr>
      <w:r w:rsidRPr="00B17311">
        <w:rPr>
          <w:b/>
          <w:bCs/>
        </w:rPr>
        <w:t>Figure 2.</w:t>
      </w:r>
      <w:r w:rsidR="00052F43" w:rsidRPr="00B17311">
        <w:rPr>
          <w:b/>
          <w:bCs/>
        </w:rPr>
        <w:t xml:space="preserve"> </w:t>
      </w:r>
      <w:r w:rsidR="00052F43" w:rsidRPr="00B17311">
        <w:rPr>
          <w:bCs/>
        </w:rPr>
        <w:t>Resistance profiles of F</w:t>
      </w:r>
      <w:r w:rsidR="00052F43" w:rsidRPr="00B17311">
        <w:rPr>
          <w:bCs/>
          <w:vertAlign w:val="subscript"/>
        </w:rPr>
        <w:t>1</w:t>
      </w:r>
      <w:r w:rsidR="00052F43" w:rsidRPr="00B17311">
        <w:rPr>
          <w:bCs/>
          <w:iCs/>
        </w:rPr>
        <w:t xml:space="preserve"> </w:t>
      </w:r>
      <w:r w:rsidR="00052F43" w:rsidRPr="00B17311">
        <w:rPr>
          <w:i/>
        </w:rPr>
        <w:t xml:space="preserve">An. </w:t>
      </w:r>
      <w:proofErr w:type="spellStart"/>
      <w:r w:rsidR="00052F43" w:rsidRPr="00B17311">
        <w:rPr>
          <w:i/>
        </w:rPr>
        <w:t>funestus</w:t>
      </w:r>
      <w:proofErr w:type="spellEnd"/>
      <w:r w:rsidR="00052F43" w:rsidRPr="00B17311">
        <w:rPr>
          <w:bCs/>
          <w:iCs/>
        </w:rPr>
        <w:t xml:space="preserve"> </w:t>
      </w:r>
      <w:r w:rsidR="00052F43" w:rsidRPr="00B17311">
        <w:rPr>
          <w:bCs/>
        </w:rPr>
        <w:t xml:space="preserve">females. a. </w:t>
      </w:r>
      <w:r w:rsidR="00052F43" w:rsidRPr="00B17311">
        <w:t xml:space="preserve">Results of WHO susceptibility bioassays with various insecticides. Results are </w:t>
      </w:r>
      <w:r w:rsidR="007872F2">
        <w:t xml:space="preserve">the </w:t>
      </w:r>
      <w:r w:rsidR="00052F43" w:rsidRPr="00B17311">
        <w:t>average of percentage mortalities</w:t>
      </w:r>
      <w:r w:rsidR="00052F43" w:rsidRPr="006C540D">
        <w:t xml:space="preserve"> from four replicates each ± </w:t>
      </w:r>
      <w:r w:rsidR="007872F2" w:rsidRPr="006C540D">
        <w:rPr>
          <w:rFonts w:cs="Arial"/>
        </w:rPr>
        <w:t xml:space="preserve">standard error of mean </w:t>
      </w:r>
      <w:r w:rsidR="007872F2">
        <w:rPr>
          <w:rFonts w:cs="Arial"/>
        </w:rPr>
        <w:t>(</w:t>
      </w:r>
      <w:r w:rsidR="00052F43" w:rsidRPr="006C540D">
        <w:t>SEM</w:t>
      </w:r>
      <w:r w:rsidR="007872F2">
        <w:t>)</w:t>
      </w:r>
      <w:r w:rsidR="00052F43" w:rsidRPr="006C540D">
        <w:t xml:space="preserve">; </w:t>
      </w:r>
      <w:r w:rsidR="00052F43" w:rsidRPr="006C540D">
        <w:rPr>
          <w:b/>
          <w:bCs/>
        </w:rPr>
        <w:t xml:space="preserve">b. </w:t>
      </w:r>
      <w:r w:rsidR="00052F43" w:rsidRPr="006C540D">
        <w:t xml:space="preserve">Results of </w:t>
      </w:r>
      <w:r w:rsidR="007872F2">
        <w:t xml:space="preserve">the </w:t>
      </w:r>
      <w:r w:rsidR="00052F43" w:rsidRPr="006C540D">
        <w:t xml:space="preserve">cone bioassays with PermaNet®3.0 (side and roof), PermaNet®2.0, </w:t>
      </w:r>
      <w:proofErr w:type="spellStart"/>
      <w:r w:rsidR="00052F43" w:rsidRPr="006C540D">
        <w:t>Olyset®Plus</w:t>
      </w:r>
      <w:proofErr w:type="spellEnd"/>
      <w:r w:rsidR="00052F43" w:rsidRPr="006C540D">
        <w:t xml:space="preserve"> and </w:t>
      </w:r>
      <w:proofErr w:type="spellStart"/>
      <w:r w:rsidR="00052F43" w:rsidRPr="006C540D">
        <w:t>Olyset®Net</w:t>
      </w:r>
      <w:proofErr w:type="spellEnd"/>
      <w:r w:rsidR="00052F43" w:rsidRPr="006C540D">
        <w:t>. Results are</w:t>
      </w:r>
      <w:r w:rsidR="007872F2">
        <w:t xml:space="preserve"> the</w:t>
      </w:r>
      <w:r w:rsidR="00052F43" w:rsidRPr="006C540D">
        <w:t xml:space="preserve"> average of percentage mortalities ± SEM of five replicates;</w:t>
      </w:r>
      <w:r w:rsidR="00052F43" w:rsidRPr="006C540D">
        <w:rPr>
          <w:b/>
          <w:bCs/>
        </w:rPr>
        <w:t xml:space="preserve"> c. </w:t>
      </w:r>
      <w:r w:rsidR="00052F43" w:rsidRPr="006C540D">
        <w:t xml:space="preserve">Effect of pre-exposure of synergist </w:t>
      </w:r>
      <w:r w:rsidR="007872F2" w:rsidRPr="006C540D">
        <w:t xml:space="preserve">piperonylbutoxide </w:t>
      </w:r>
      <w:r w:rsidR="007872F2">
        <w:t>(</w:t>
      </w:r>
      <w:r w:rsidR="00052F43" w:rsidRPr="006C540D">
        <w:t>PBO</w:t>
      </w:r>
      <w:r w:rsidR="007872F2">
        <w:t>)</w:t>
      </w:r>
      <w:r w:rsidR="00052F43" w:rsidRPr="006C540D">
        <w:t xml:space="preserve"> against permethrin and </w:t>
      </w:r>
      <w:r w:rsidR="007872F2" w:rsidRPr="006C540D">
        <w:t xml:space="preserve">diethyl maleate </w:t>
      </w:r>
      <w:r w:rsidR="007872F2">
        <w:t>(</w:t>
      </w:r>
      <w:r w:rsidR="00052F43" w:rsidRPr="006C540D">
        <w:t>DEM</w:t>
      </w:r>
      <w:r w:rsidR="007872F2">
        <w:t>)</w:t>
      </w:r>
      <w:r w:rsidR="00052F43" w:rsidRPr="006C540D">
        <w:t xml:space="preserve"> against DDT. Results are </w:t>
      </w:r>
      <w:r w:rsidR="007872F2">
        <w:t xml:space="preserve">the </w:t>
      </w:r>
      <w:r w:rsidR="00052F43" w:rsidRPr="006C540D">
        <w:t xml:space="preserve">average of percentage mortalities from four replicates each ± SEM. **** = statistically significant at </w:t>
      </w:r>
      <w:r w:rsidR="00052F43" w:rsidRPr="00A964D1">
        <w:rPr>
          <w:i/>
        </w:rPr>
        <w:t>P</w:t>
      </w:r>
      <w:r w:rsidR="00052F43" w:rsidRPr="006C540D">
        <w:t xml:space="preserve"> &lt; 0.0001, in a two-tailed Chi-square test between results from </w:t>
      </w:r>
      <w:proofErr w:type="spellStart"/>
      <w:r w:rsidR="00052F43" w:rsidRPr="006C540D">
        <w:t>synergised</w:t>
      </w:r>
      <w:proofErr w:type="spellEnd"/>
      <w:r w:rsidR="00052F43" w:rsidRPr="006C540D">
        <w:t xml:space="preserve"> bioassay and conventional bioassays; </w:t>
      </w:r>
      <w:r w:rsidR="00052F43" w:rsidRPr="006C540D">
        <w:rPr>
          <w:b/>
          <w:bCs/>
        </w:rPr>
        <w:t xml:space="preserve">d. </w:t>
      </w:r>
      <w:r w:rsidR="00052F43" w:rsidRPr="006C540D">
        <w:t>Time-course bioassay for LT</w:t>
      </w:r>
      <w:r w:rsidR="00052F43" w:rsidRPr="006C540D">
        <w:rPr>
          <w:vertAlign w:val="subscript"/>
        </w:rPr>
        <w:t xml:space="preserve">50 </w:t>
      </w:r>
      <w:r w:rsidR="00052F43" w:rsidRPr="006C540D">
        <w:t>estimation/test for strength of permethrin resistance.</w:t>
      </w:r>
    </w:p>
    <w:p w14:paraId="40278454" w14:textId="62576946" w:rsidR="00052F43" w:rsidRPr="006C540D" w:rsidRDefault="00761CE6" w:rsidP="006C540D">
      <w:pPr>
        <w:pStyle w:val="MDPI22heading2"/>
        <w:rPr>
          <w:noProof w:val="0"/>
        </w:rPr>
      </w:pPr>
      <w:r w:rsidRPr="006C540D">
        <w:rPr>
          <w:noProof w:val="0"/>
        </w:rPr>
        <w:t xml:space="preserve">3.6. </w:t>
      </w:r>
      <w:r w:rsidR="00052F43" w:rsidRPr="006C540D">
        <w:rPr>
          <w:noProof w:val="0"/>
        </w:rPr>
        <w:t xml:space="preserve">Investigating the role of Metabolic Resistance using Synergist Bioassays </w:t>
      </w:r>
    </w:p>
    <w:p w14:paraId="470C6554" w14:textId="050C6E7D" w:rsidR="00052F43" w:rsidRDefault="00052F43" w:rsidP="006C540D">
      <w:pPr>
        <w:pStyle w:val="MDPI31text"/>
        <w:rPr>
          <w:iCs/>
        </w:rPr>
      </w:pPr>
      <w:r w:rsidRPr="006C540D">
        <w:t>Pre-exposure to PBO and DEM recovered some susceptibility to both permethrin and DDT, respectively (Fig</w:t>
      </w:r>
      <w:r w:rsidR="00B17311">
        <w:t>ure</w:t>
      </w:r>
      <w:r w:rsidRPr="006C540D">
        <w:t xml:space="preserve"> 2c). </w:t>
      </w:r>
      <w:r w:rsidR="007872F2">
        <w:t>A s</w:t>
      </w:r>
      <w:r w:rsidRPr="006C540D">
        <w:t>ignificant increase in mortality was observed when comparing results of a repeat conventional bioassay with permethrin [mortality = 43.9% (</w:t>
      </w:r>
      <w:r w:rsidRPr="006C540D">
        <w:rPr>
          <w:iCs/>
        </w:rPr>
        <w:t>95% CI</w:t>
      </w:r>
      <w:r w:rsidRPr="006C540D">
        <w:t>: 40.93</w:t>
      </w:r>
      <w:r w:rsidR="00B17311" w:rsidRPr="006C540D">
        <w:t>–</w:t>
      </w:r>
      <w:r w:rsidRPr="006C540D">
        <w:t>46.90)] to the results from</w:t>
      </w:r>
      <w:r w:rsidR="007872F2">
        <w:t xml:space="preserve"> the</w:t>
      </w:r>
      <w:r w:rsidRPr="006C540D">
        <w:t xml:space="preserve"> PBO-</w:t>
      </w:r>
      <w:proofErr w:type="spellStart"/>
      <w:r w:rsidRPr="006C540D">
        <w:t>synergised</w:t>
      </w:r>
      <w:proofErr w:type="spellEnd"/>
      <w:r w:rsidRPr="006C540D">
        <w:t xml:space="preserve"> bioassay </w:t>
      </w:r>
      <w:bookmarkStart w:id="14" w:name="OLE_LINK4"/>
      <w:r w:rsidRPr="006C540D">
        <w:t>[mortality = 78.73% (</w:t>
      </w:r>
      <w:r w:rsidRPr="006C540D">
        <w:rPr>
          <w:iCs/>
        </w:rPr>
        <w:t>95</w:t>
      </w:r>
      <w:r w:rsidR="00526F76" w:rsidRPr="006C540D">
        <w:rPr>
          <w:iCs/>
        </w:rPr>
        <w:t xml:space="preserve"> </w:t>
      </w:r>
      <w:r w:rsidRPr="006C540D">
        <w:rPr>
          <w:iCs/>
        </w:rPr>
        <w:t>% CI</w:t>
      </w:r>
      <w:r w:rsidRPr="006C540D">
        <w:t>: 69.53</w:t>
      </w:r>
      <w:r w:rsidR="00B17311" w:rsidRPr="006C540D">
        <w:t>–</w:t>
      </w:r>
      <w:r w:rsidRPr="006C540D">
        <w:t>87.94), χ</w:t>
      </w:r>
      <w:r w:rsidRPr="006C540D">
        <w:rPr>
          <w:vertAlign w:val="superscript"/>
        </w:rPr>
        <w:t>2</w:t>
      </w:r>
      <w:r w:rsidRPr="006C540D">
        <w:t xml:space="preserve"> = 22.33, df =1, </w:t>
      </w:r>
      <w:r w:rsidRPr="00B17311">
        <w:rPr>
          <w:i/>
        </w:rPr>
        <w:t>P</w:t>
      </w:r>
      <w:r w:rsidRPr="006C540D">
        <w:t xml:space="preserve"> &lt; 0.0001].</w:t>
      </w:r>
      <w:r w:rsidRPr="006C540D">
        <w:rPr>
          <w:iCs/>
        </w:rPr>
        <w:t xml:space="preserve"> </w:t>
      </w:r>
      <w:bookmarkEnd w:id="14"/>
      <w:r w:rsidRPr="006C540D">
        <w:t>Pre-exposure to DEM recovered DDT susceptibility as well, with repeat exposure to DDT producing mortality of 49.82% (</w:t>
      </w:r>
      <w:r w:rsidRPr="006C540D">
        <w:rPr>
          <w:iCs/>
        </w:rPr>
        <w:t>95% CI</w:t>
      </w:r>
      <w:r w:rsidRPr="006C540D">
        <w:t>: 45.54</w:t>
      </w:r>
      <w:r w:rsidR="00B17311" w:rsidRPr="006C540D">
        <w:t>–</w:t>
      </w:r>
      <w:r w:rsidRPr="006C540D">
        <w:t xml:space="preserve">54.9), compared to a </w:t>
      </w:r>
      <w:proofErr w:type="spellStart"/>
      <w:r w:rsidRPr="006C540D">
        <w:t>synergised</w:t>
      </w:r>
      <w:proofErr w:type="spellEnd"/>
      <w:r w:rsidRPr="006C540D">
        <w:t xml:space="preserve"> experiment with a mortality of 81.44% (</w:t>
      </w:r>
      <w:r w:rsidRPr="006C540D">
        <w:rPr>
          <w:iCs/>
        </w:rPr>
        <w:t xml:space="preserve">95% CI: </w:t>
      </w:r>
      <w:r w:rsidRPr="006C540D">
        <w:t>74.36</w:t>
      </w:r>
      <w:r w:rsidR="00B17311" w:rsidRPr="006C540D">
        <w:t>–</w:t>
      </w:r>
      <w:r w:rsidRPr="006C540D">
        <w:t>88.52, χ</w:t>
      </w:r>
      <w:r w:rsidRPr="006C540D">
        <w:rPr>
          <w:vertAlign w:val="superscript"/>
        </w:rPr>
        <w:t>2</w:t>
      </w:r>
      <w:r w:rsidRPr="006C540D">
        <w:t xml:space="preserve"> = 19.12, df =1, </w:t>
      </w:r>
      <w:r w:rsidRPr="00B17311">
        <w:rPr>
          <w:i/>
        </w:rPr>
        <w:t>P</w:t>
      </w:r>
      <w:r w:rsidRPr="006C540D">
        <w:t xml:space="preserve"> &lt; 0.0001). In both cases, </w:t>
      </w:r>
      <w:r w:rsidR="007872F2">
        <w:t xml:space="preserve">the </w:t>
      </w:r>
      <w:r w:rsidRPr="006C540D">
        <w:t>doubling of mortalities from synergist pre-exposure suggests the possible role of cytochrome P450s and GSTs</w:t>
      </w:r>
      <w:r w:rsidR="007872F2">
        <w:t>,</w:t>
      </w:r>
      <w:r w:rsidRPr="006C540D">
        <w:t xml:space="preserve"> respectively, in the observed permethrin and DDT resistance. No mortality was obtained from the control individuals.</w:t>
      </w:r>
      <w:r w:rsidRPr="006C540D">
        <w:rPr>
          <w:iCs/>
        </w:rPr>
        <w:t xml:space="preserve"> </w:t>
      </w:r>
    </w:p>
    <w:p w14:paraId="48F76470" w14:textId="55D4EAE9" w:rsidR="005C4CF0" w:rsidRDefault="005C4CF0" w:rsidP="006C540D">
      <w:pPr>
        <w:pStyle w:val="MDPI31text"/>
        <w:rPr>
          <w:iCs/>
        </w:rPr>
      </w:pPr>
    </w:p>
    <w:p w14:paraId="6444DEC2" w14:textId="4122AAD1" w:rsidR="005C4CF0" w:rsidRDefault="005C4CF0" w:rsidP="006C540D">
      <w:pPr>
        <w:pStyle w:val="MDPI31text"/>
        <w:rPr>
          <w:iCs/>
        </w:rPr>
      </w:pPr>
    </w:p>
    <w:p w14:paraId="69FFF4CE" w14:textId="77777777" w:rsidR="005C4CF0" w:rsidRPr="006C540D" w:rsidRDefault="005C4CF0" w:rsidP="006C540D">
      <w:pPr>
        <w:pStyle w:val="MDPI31text"/>
        <w:rPr>
          <w:iCs/>
        </w:rPr>
      </w:pPr>
    </w:p>
    <w:p w14:paraId="051EE7E8" w14:textId="7E5395F0" w:rsidR="00052F43" w:rsidRPr="006C540D" w:rsidRDefault="00761CE6" w:rsidP="006C540D">
      <w:pPr>
        <w:pStyle w:val="MDPI22heading2"/>
        <w:rPr>
          <w:noProof w:val="0"/>
        </w:rPr>
      </w:pPr>
      <w:r w:rsidRPr="006C540D">
        <w:rPr>
          <w:noProof w:val="0"/>
        </w:rPr>
        <w:lastRenderedPageBreak/>
        <w:t xml:space="preserve">3.7. </w:t>
      </w:r>
      <w:r w:rsidR="00052F43" w:rsidRPr="006C540D">
        <w:rPr>
          <w:noProof w:val="0"/>
        </w:rPr>
        <w:t xml:space="preserve">Investigating the Role of L119F-GSTe2 Mutation in DDT Resistance </w:t>
      </w:r>
    </w:p>
    <w:p w14:paraId="0DB35C04" w14:textId="321F8CFF" w:rsidR="00052F43" w:rsidRPr="006C540D" w:rsidRDefault="00052F43" w:rsidP="006C540D">
      <w:pPr>
        <w:pStyle w:val="MDPI31text"/>
        <w:rPr>
          <w:i/>
        </w:rPr>
      </w:pPr>
      <w:r w:rsidRPr="006C540D">
        <w:t>Initial genotyping of 43 F</w:t>
      </w:r>
      <w:r w:rsidRPr="006C540D">
        <w:rPr>
          <w:vertAlign w:val="subscript"/>
        </w:rPr>
        <w:t>0</w:t>
      </w:r>
      <w:r w:rsidRPr="006C540D">
        <w:t xml:space="preserve"> females revealed a high frequency of the L119F-GST</w:t>
      </w:r>
      <w:r w:rsidR="009479AD" w:rsidRPr="006C540D">
        <w:t>e2</w:t>
      </w:r>
      <w:r w:rsidRPr="006C540D">
        <w:t xml:space="preserve"> mutation with 30.2% (13 individuals) heterozygotes (RS, L119/F119), 32.6% (14 individuals) homozygote resistant (RR, 119F/119F)</w:t>
      </w:r>
      <w:r w:rsidR="007872F2">
        <w:t>,</w:t>
      </w:r>
      <w:r w:rsidRPr="006C540D">
        <w:t xml:space="preserve"> and 16.3% (7 individuals) homozygote susceptible (SS, L119/L119) (Fig</w:t>
      </w:r>
      <w:r w:rsidR="00B17311">
        <w:t>ure</w:t>
      </w:r>
      <w:r w:rsidRPr="006C540D">
        <w:t xml:space="preserve"> 3a). </w:t>
      </w:r>
    </w:p>
    <w:p w14:paraId="34DDC9CA" w14:textId="598F5C42" w:rsidR="009479AD" w:rsidRPr="006C540D" w:rsidRDefault="00501BC8" w:rsidP="006C540D">
      <w:pPr>
        <w:pStyle w:val="MDPI52figure"/>
      </w:pPr>
      <w:r w:rsidRPr="006C540D">
        <w:rPr>
          <w:noProof/>
          <w:lang w:eastAsia="zh-CN" w:bidi="ar-SA"/>
        </w:rPr>
        <w:drawing>
          <wp:inline distT="0" distB="0" distL="0" distR="0" wp14:anchorId="523266B4" wp14:editId="493AB15D">
            <wp:extent cx="4912360" cy="3252083"/>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5953" cy="3267702"/>
                    </a:xfrm>
                    <a:prstGeom prst="rect">
                      <a:avLst/>
                    </a:prstGeom>
                    <a:noFill/>
                    <a:ln>
                      <a:noFill/>
                    </a:ln>
                  </pic:spPr>
                </pic:pic>
              </a:graphicData>
            </a:graphic>
          </wp:inline>
        </w:drawing>
      </w:r>
    </w:p>
    <w:p w14:paraId="3B931709" w14:textId="78434415" w:rsidR="00052F43" w:rsidRPr="006C540D" w:rsidRDefault="00B17311" w:rsidP="00B17311">
      <w:pPr>
        <w:pStyle w:val="MDPI51figurecaption"/>
        <w:rPr>
          <w:i/>
        </w:rPr>
      </w:pPr>
      <w:r w:rsidRPr="00B17311">
        <w:rPr>
          <w:b/>
          <w:bCs/>
        </w:rPr>
        <w:t>Figure 3</w:t>
      </w:r>
      <w:r w:rsidRPr="00B17311">
        <w:rPr>
          <w:b/>
          <w:bCs/>
          <w:i/>
        </w:rPr>
        <w:t>.</w:t>
      </w:r>
      <w:r w:rsidR="00052F43" w:rsidRPr="00B17311">
        <w:rPr>
          <w:b/>
          <w:bCs/>
        </w:rPr>
        <w:t xml:space="preserve"> </w:t>
      </w:r>
      <w:r w:rsidR="00052F43" w:rsidRPr="00B17311">
        <w:rPr>
          <w:bCs/>
        </w:rPr>
        <w:t xml:space="preserve">Genotyping of L119F </w:t>
      </w:r>
      <w:r w:rsidR="00052F43" w:rsidRPr="00B17311">
        <w:rPr>
          <w:bCs/>
          <w:iCs/>
        </w:rPr>
        <w:t>GSTe2</w:t>
      </w:r>
      <w:r w:rsidR="00052F43" w:rsidRPr="00B17311">
        <w:rPr>
          <w:bCs/>
        </w:rPr>
        <w:t xml:space="preserve"> mutation</w:t>
      </w:r>
      <w:r w:rsidR="00052F43" w:rsidRPr="00B17311">
        <w:t xml:space="preserve">. </w:t>
      </w:r>
      <w:r w:rsidR="00052F43" w:rsidRPr="00B17311">
        <w:rPr>
          <w:b/>
          <w:bCs/>
        </w:rPr>
        <w:t>a</w:t>
      </w:r>
      <w:r w:rsidR="00052F43" w:rsidRPr="00B17311">
        <w:rPr>
          <w:bCs/>
        </w:rPr>
        <w:t>:</w:t>
      </w:r>
      <w:r w:rsidR="00052F43" w:rsidRPr="006C540D">
        <w:t xml:space="preserve"> distribution of the 119F mutation among the 44 randomly selected F</w:t>
      </w:r>
      <w:r w:rsidR="00052F43" w:rsidRPr="006C540D">
        <w:rPr>
          <w:vertAlign w:val="subscript"/>
        </w:rPr>
        <w:t>0</w:t>
      </w:r>
      <w:r w:rsidR="00052F43" w:rsidRPr="006C540D">
        <w:t xml:space="preserve"> females;</w:t>
      </w:r>
      <w:r w:rsidR="00052F43" w:rsidRPr="006C540D">
        <w:rPr>
          <w:b/>
          <w:bCs/>
        </w:rPr>
        <w:t xml:space="preserve"> b: </w:t>
      </w:r>
      <w:r w:rsidR="007872F2">
        <w:rPr>
          <w:b/>
          <w:bCs/>
        </w:rPr>
        <w:t xml:space="preserve">the </w:t>
      </w:r>
      <w:r w:rsidR="00052F43" w:rsidRPr="006C540D">
        <w:t>119F mutation genotype for 12 each of DDT-alive and -dead F</w:t>
      </w:r>
      <w:r w:rsidR="00052F43" w:rsidRPr="006C540D">
        <w:rPr>
          <w:vertAlign w:val="subscript"/>
        </w:rPr>
        <w:t>1</w:t>
      </w:r>
      <w:r w:rsidR="00052F43" w:rsidRPr="006C540D">
        <w:t xml:space="preserve"> females, RR = homozygote resistant, RS = heterozygote resistant, and SS = susceptible; </w:t>
      </w:r>
      <w:r w:rsidR="00052F43" w:rsidRPr="006C540D">
        <w:rPr>
          <w:b/>
          <w:bCs/>
        </w:rPr>
        <w:t>c:</w:t>
      </w:r>
      <w:r w:rsidR="00052F43" w:rsidRPr="006C540D">
        <w:t xml:space="preserve"> agarose-gel showing the L119F genotype distribution from </w:t>
      </w:r>
      <w:r w:rsidR="005C4CF0">
        <w:t>allele-specific PCR (</w:t>
      </w:r>
      <w:r w:rsidR="00052F43" w:rsidRPr="006C540D">
        <w:t>AS-PCR</w:t>
      </w:r>
      <w:r w:rsidR="005C4CF0">
        <w:t>)</w:t>
      </w:r>
      <w:r w:rsidR="00052F43" w:rsidRPr="006C540D">
        <w:t>, top panel: 12 DDT-alive F</w:t>
      </w:r>
      <w:r w:rsidR="00052F43" w:rsidRPr="006C540D">
        <w:rPr>
          <w:vertAlign w:val="subscript"/>
        </w:rPr>
        <w:t>1</w:t>
      </w:r>
      <w:r w:rsidR="00052F43" w:rsidRPr="006C540D">
        <w:t xml:space="preserve"> females (2, 3, 6, and 8-12 are RR, 1, 4, 5 and 7 are RS), bottom panel: 12 DDT-dead F</w:t>
      </w:r>
      <w:r w:rsidR="00052F43" w:rsidRPr="006C540D">
        <w:rPr>
          <w:vertAlign w:val="subscript"/>
        </w:rPr>
        <w:t xml:space="preserve">1 </w:t>
      </w:r>
      <w:r w:rsidR="00052F43" w:rsidRPr="006C540D">
        <w:t>females (13,</w:t>
      </w:r>
      <w:r w:rsidR="007872F2">
        <w:t xml:space="preserve"> </w:t>
      </w:r>
      <w:r w:rsidR="00052F43" w:rsidRPr="006C540D">
        <w:t>14, 15, 17,</w:t>
      </w:r>
      <w:r w:rsidR="007872F2">
        <w:t xml:space="preserve"> </w:t>
      </w:r>
      <w:r w:rsidR="00052F43" w:rsidRPr="006C540D">
        <w:t>19, 21</w:t>
      </w:r>
      <w:r w:rsidR="007872F2">
        <w:t>–</w:t>
      </w:r>
      <w:r w:rsidR="00052F43" w:rsidRPr="006C540D">
        <w:t>24 are RS, 16 and 18 are SS, and 20 failed).</w:t>
      </w:r>
    </w:p>
    <w:p w14:paraId="402DB378" w14:textId="2450B760" w:rsidR="004A3E45" w:rsidRPr="006C540D" w:rsidRDefault="00052F43" w:rsidP="006C540D">
      <w:pPr>
        <w:pStyle w:val="MDPI31text"/>
        <w:rPr>
          <w:iCs/>
        </w:rPr>
      </w:pPr>
      <w:r w:rsidRPr="006C540D">
        <w:t>The 119F allele frequency f(R) was calculated as ~0.84. 12 each of DDT-alive and -dead F</w:t>
      </w:r>
      <w:r w:rsidRPr="006C540D">
        <w:rPr>
          <w:vertAlign w:val="subscript"/>
        </w:rPr>
        <w:t>1</w:t>
      </w:r>
      <w:r w:rsidRPr="006C540D">
        <w:t xml:space="preserve"> females were used for allele-specific PCR to detect the L119F </w:t>
      </w:r>
      <w:r w:rsidRPr="006C540D">
        <w:rPr>
          <w:iCs/>
        </w:rPr>
        <w:t>GSTe2</w:t>
      </w:r>
      <w:r w:rsidRPr="006C540D">
        <w:t xml:space="preserve"> mutation. 8 of the DDT-alive (8/12, 66.66%) were homozygote resistant (RR) for the mutation (Fig</w:t>
      </w:r>
      <w:r w:rsidR="00B17311">
        <w:t>ure</w:t>
      </w:r>
      <w:r w:rsidRPr="006C540D">
        <w:t xml:space="preserve"> 3b</w:t>
      </w:r>
      <w:r w:rsidR="007872F2">
        <w:t>,</w:t>
      </w:r>
      <w:r w:rsidR="005C4CF0">
        <w:t xml:space="preserve"> -</w:t>
      </w:r>
      <w:r w:rsidRPr="006C540D">
        <w:t>c), and 4 females (4/12, 33.33%) were heterozygote resistant. From the dead females</w:t>
      </w:r>
      <w:r w:rsidR="00D60A2C">
        <w:t>,</w:t>
      </w:r>
      <w:r w:rsidRPr="006C540D">
        <w:t xml:space="preserve"> one sample failed (Fig</w:t>
      </w:r>
      <w:r w:rsidR="00B17311">
        <w:t>ure</w:t>
      </w:r>
      <w:r w:rsidRPr="006C540D">
        <w:t xml:space="preserve"> 3c), only one female was homozygote resistant (1/11, 9.09%), 8 were heterozygotes (8/11, 72.72%)</w:t>
      </w:r>
      <w:r w:rsidR="00D60A2C">
        <w:t>,</w:t>
      </w:r>
      <w:r w:rsidRPr="006C540D">
        <w:t xml:space="preserve"> and 2 were susceptible (2/11, 18.18%). A</w:t>
      </w:r>
      <w:r w:rsidR="009E4E22" w:rsidRPr="006C540D">
        <w:t xml:space="preserve"> difference</w:t>
      </w:r>
      <w:r w:rsidRPr="006C540D">
        <w:t xml:space="preserve"> was observed </w:t>
      </w:r>
      <w:r w:rsidR="009E4E22" w:rsidRPr="006C540D">
        <w:t xml:space="preserve">in the distribution of the 119F mutation </w:t>
      </w:r>
      <w:r w:rsidRPr="006C540D">
        <w:t>[Odds Ratio of 16.00 (</w:t>
      </w:r>
      <w:r w:rsidRPr="006C540D">
        <w:rPr>
          <w:iCs/>
        </w:rPr>
        <w:t>95% CI</w:t>
      </w:r>
      <w:r w:rsidRPr="006C540D">
        <w:t xml:space="preserve">: </w:t>
      </w:r>
      <w:r w:rsidR="004C433A" w:rsidRPr="006C540D">
        <w:t>6</w:t>
      </w:r>
      <w:r w:rsidRPr="006C540D">
        <w:t>.67</w:t>
      </w:r>
      <w:r w:rsidR="00B17311" w:rsidRPr="006C540D">
        <w:t>–</w:t>
      </w:r>
      <w:r w:rsidRPr="006C540D">
        <w:t>38</w:t>
      </w:r>
      <w:r w:rsidR="004C433A" w:rsidRPr="006C540D">
        <w:t>.</w:t>
      </w:r>
      <w:r w:rsidRPr="006C540D">
        <w:t>3, χ</w:t>
      </w:r>
      <w:r w:rsidRPr="006C540D">
        <w:rPr>
          <w:vertAlign w:val="superscript"/>
        </w:rPr>
        <w:t>2</w:t>
      </w:r>
      <w:r w:rsidRPr="006C540D">
        <w:t> = 3.</w:t>
      </w:r>
      <w:r w:rsidR="004C433A" w:rsidRPr="006C540D">
        <w:t>7</w:t>
      </w:r>
      <w:r w:rsidRPr="006C540D">
        <w:t xml:space="preserve">0, </w:t>
      </w:r>
      <w:r w:rsidRPr="00B17311">
        <w:rPr>
          <w:i/>
        </w:rPr>
        <w:t>p</w:t>
      </w:r>
      <w:r w:rsidRPr="006C540D">
        <w:t> = 0.05)] when comparing the frequency of the homozygote resistant allele (RR) with susceptible allele (SS) in the alive and dead females.</w:t>
      </w:r>
      <w:r w:rsidRPr="006C540D">
        <w:rPr>
          <w:iCs/>
        </w:rPr>
        <w:t xml:space="preserve"> </w:t>
      </w:r>
      <w:r w:rsidR="00D60A2C">
        <w:rPr>
          <w:iCs/>
        </w:rPr>
        <w:t xml:space="preserve">A </w:t>
      </w:r>
      <w:r w:rsidR="00D60A2C">
        <w:t>c</w:t>
      </w:r>
      <w:r w:rsidRPr="006C540D">
        <w:t>omparison of all resistant (RR</w:t>
      </w:r>
      <w:r w:rsidR="00B17311">
        <w:t xml:space="preserve"> </w:t>
      </w:r>
      <w:r w:rsidRPr="006C540D">
        <w:t>+</w:t>
      </w:r>
      <w:r w:rsidR="00B17311">
        <w:t xml:space="preserve"> </w:t>
      </w:r>
      <w:r w:rsidRPr="006C540D">
        <w:t>RS) with susceptible (SS) individuals from alive and dead females revealed no genotype-phenotype association [OR = 0.49 (</w:t>
      </w:r>
      <w:r w:rsidRPr="006C540D">
        <w:rPr>
          <w:iCs/>
        </w:rPr>
        <w:t>CI</w:t>
      </w:r>
      <w:r w:rsidRPr="006C540D">
        <w:t>: 0.19</w:t>
      </w:r>
      <w:r w:rsidR="00B17311" w:rsidRPr="006C540D">
        <w:t>–</w:t>
      </w:r>
      <w:r w:rsidRPr="006C540D">
        <w:t>3.15, χ</w:t>
      </w:r>
      <w:r w:rsidRPr="006C540D">
        <w:rPr>
          <w:vertAlign w:val="superscript"/>
        </w:rPr>
        <w:t>2</w:t>
      </w:r>
      <w:r w:rsidRPr="006C540D">
        <w:t xml:space="preserve"> = 1.2, </w:t>
      </w:r>
      <w:r w:rsidRPr="00B17311">
        <w:rPr>
          <w:i/>
        </w:rPr>
        <w:t>p</w:t>
      </w:r>
      <w:r w:rsidRPr="006C540D">
        <w:t> = 0.27)].</w:t>
      </w:r>
      <w:r w:rsidRPr="006C540D">
        <w:rPr>
          <w:iCs/>
        </w:rPr>
        <w:t xml:space="preserve"> </w:t>
      </w:r>
      <w:r w:rsidRPr="006C540D">
        <w:t>No association was observed when comparing the heterozygote individuals (RS) from both alive and dead to the susceptible (SS) [OR = 2.44 (</w:t>
      </w:r>
      <w:r w:rsidRPr="006C540D">
        <w:rPr>
          <w:iCs/>
        </w:rPr>
        <w:t>CI</w:t>
      </w:r>
      <w:r w:rsidRPr="006C540D">
        <w:t>:</w:t>
      </w:r>
      <w:r w:rsidRPr="006C540D">
        <w:rPr>
          <w:iCs/>
        </w:rPr>
        <w:t xml:space="preserve"> </w:t>
      </w:r>
      <w:r w:rsidRPr="006C540D">
        <w:t>0.9</w:t>
      </w:r>
      <w:r w:rsidR="00B17311" w:rsidRPr="006C540D">
        <w:t>–</w:t>
      </w:r>
      <w:r w:rsidRPr="006C540D">
        <w:t>13.53, χ</w:t>
      </w:r>
      <w:r w:rsidRPr="006C540D">
        <w:rPr>
          <w:vertAlign w:val="superscript"/>
        </w:rPr>
        <w:t>2</w:t>
      </w:r>
      <w:r w:rsidRPr="006C540D">
        <w:t xml:space="preserve"> = 0.49, </w:t>
      </w:r>
      <w:r w:rsidRPr="00B17311">
        <w:rPr>
          <w:i/>
        </w:rPr>
        <w:t>p</w:t>
      </w:r>
      <w:r w:rsidRPr="006C540D">
        <w:t> = 0.48)].</w:t>
      </w:r>
      <w:r w:rsidRPr="006C540D">
        <w:rPr>
          <w:iCs/>
        </w:rPr>
        <w:t xml:space="preserve"> </w:t>
      </w:r>
    </w:p>
    <w:p w14:paraId="6413BF4A" w14:textId="68D4A1A8" w:rsidR="00052F43" w:rsidRPr="006C540D" w:rsidRDefault="00761CE6" w:rsidP="006C540D">
      <w:pPr>
        <w:pStyle w:val="MDPI22heading2"/>
        <w:rPr>
          <w:noProof w:val="0"/>
        </w:rPr>
      </w:pPr>
      <w:r w:rsidRPr="006C540D">
        <w:rPr>
          <w:noProof w:val="0"/>
        </w:rPr>
        <w:t xml:space="preserve">3.8. </w:t>
      </w:r>
      <w:r w:rsidR="00052F43" w:rsidRPr="006C540D">
        <w:rPr>
          <w:noProof w:val="0"/>
        </w:rPr>
        <w:t xml:space="preserve">Polymorphism Analysis of the ace-1 Fragment </w:t>
      </w:r>
      <w:r w:rsidR="002F4937" w:rsidRPr="006C540D">
        <w:rPr>
          <w:noProof w:val="0"/>
        </w:rPr>
        <w:t>e</w:t>
      </w:r>
      <w:r w:rsidR="00052F43" w:rsidRPr="006C540D">
        <w:rPr>
          <w:noProof w:val="0"/>
        </w:rPr>
        <w:t>ncompassing the G119S and N485I Resistance Mutations</w:t>
      </w:r>
    </w:p>
    <w:p w14:paraId="649E5A3D" w14:textId="17A73953" w:rsidR="00052F43" w:rsidRPr="006C540D" w:rsidRDefault="00052F43" w:rsidP="006C540D">
      <w:pPr>
        <w:pStyle w:val="MDPI31text"/>
        <w:rPr>
          <w:i/>
        </w:rPr>
      </w:pPr>
      <w:r w:rsidRPr="006C540D">
        <w:t>A</w:t>
      </w:r>
      <w:r w:rsidR="00D60A2C">
        <w:t>n</w:t>
      </w:r>
      <w:r w:rsidRPr="006C540D">
        <w:t xml:space="preserve"> 806</w:t>
      </w:r>
      <w:r w:rsidR="00526F76" w:rsidRPr="006C540D">
        <w:t xml:space="preserve"> </w:t>
      </w:r>
      <w:r w:rsidRPr="006C540D">
        <w:t xml:space="preserve">bp fragment of </w:t>
      </w:r>
      <w:r w:rsidRPr="006C540D">
        <w:rPr>
          <w:i/>
        </w:rPr>
        <w:t>ace-1</w:t>
      </w:r>
      <w:r w:rsidRPr="006C540D">
        <w:t xml:space="preserve"> gene encompassing exon</w:t>
      </w:r>
      <w:r w:rsidR="00526F76" w:rsidRPr="006C540D">
        <w:t>s</w:t>
      </w:r>
      <w:r w:rsidRPr="006C540D">
        <w:t xml:space="preserve"> 4</w:t>
      </w:r>
      <w:r w:rsidR="00D60A2C">
        <w:t>–</w:t>
      </w:r>
      <w:r w:rsidRPr="006C540D">
        <w:t>5 was successfully sequenced. Analysis of this fragment reveals absence of the G119S mutation in 12 bendiocarb-alive and 12 -dead females (wild type codon GGA found).</w:t>
      </w:r>
      <w:r w:rsidRPr="006C540D">
        <w:rPr>
          <w:iCs/>
        </w:rPr>
        <w:t xml:space="preserve"> </w:t>
      </w:r>
      <w:r w:rsidRPr="006C540D">
        <w:t>The</w:t>
      </w:r>
      <w:r w:rsidRPr="006C540D">
        <w:rPr>
          <w:iCs/>
        </w:rPr>
        <w:t xml:space="preserve"> </w:t>
      </w:r>
      <w:r w:rsidRPr="006C540D">
        <w:rPr>
          <w:i/>
        </w:rPr>
        <w:t>ace-1</w:t>
      </w:r>
      <w:r w:rsidRPr="006C540D">
        <w:rPr>
          <w:iCs/>
        </w:rPr>
        <w:t xml:space="preserve"> </w:t>
      </w:r>
      <w:r w:rsidRPr="006C540D">
        <w:t>fragment was found to be highly polymorphic</w:t>
      </w:r>
      <w:r w:rsidR="00D60A2C">
        <w:t>,</w:t>
      </w:r>
      <w:r w:rsidRPr="006C540D">
        <w:t xml:space="preserve"> with up to 17 haplotypes from 24 sequences, 23 polymorphic sites</w:t>
      </w:r>
      <w:r w:rsidR="00D60A2C">
        <w:t>,</w:t>
      </w:r>
      <w:r w:rsidRPr="006C540D">
        <w:t xml:space="preserve"> and a high haplotype diversity of 0.95 (Fig</w:t>
      </w:r>
      <w:r w:rsidR="00D60A2C">
        <w:t>ure</w:t>
      </w:r>
      <w:r w:rsidRPr="006C540D">
        <w:t xml:space="preserve"> S2a, Table S1).</w:t>
      </w:r>
      <w:r w:rsidRPr="006C540D">
        <w:rPr>
          <w:iCs/>
        </w:rPr>
        <w:t xml:space="preserve"> </w:t>
      </w:r>
      <w:r w:rsidRPr="006C540D">
        <w:t>Only two non-synonymous mutations were seen in a single sequence from one dead female (a G</w:t>
      </w:r>
      <w:r w:rsidR="00526F76" w:rsidRPr="006C540D">
        <w:t xml:space="preserve"> </w:t>
      </w:r>
      <w:r w:rsidRPr="006C540D">
        <w:t>-&gt;</w:t>
      </w:r>
      <w:r w:rsidR="00526F76" w:rsidRPr="006C540D">
        <w:t xml:space="preserve"> </w:t>
      </w:r>
      <w:r w:rsidRPr="006C540D">
        <w:t xml:space="preserve">T substitution in nucleotide number 800 leading to replacement of glutamic acid with </w:t>
      </w:r>
      <w:r w:rsidRPr="006C540D">
        <w:lastRenderedPageBreak/>
        <w:t>lysine, and a G</w:t>
      </w:r>
      <w:r w:rsidR="00526F76" w:rsidRPr="006C540D">
        <w:t xml:space="preserve"> </w:t>
      </w:r>
      <w:r w:rsidRPr="006C540D">
        <w:t>-&gt;</w:t>
      </w:r>
      <w:r w:rsidR="00526F76" w:rsidRPr="006C540D">
        <w:t xml:space="preserve"> </w:t>
      </w:r>
      <w:r w:rsidRPr="006C540D">
        <w:t>A nucleotide substitution in nucleotide number 803 leading to replacement of alanine to threonine). Also, the sequences did not cluster according to their phenotype in a maximum likelihood phylogenetic tree (Fig</w:t>
      </w:r>
      <w:r w:rsidR="00B17311">
        <w:t>ure</w:t>
      </w:r>
      <w:r w:rsidRPr="006C540D">
        <w:t xml:space="preserve"> S2b). All sequences </w:t>
      </w:r>
      <w:r w:rsidR="00D60A2C">
        <w:t>are</w:t>
      </w:r>
      <w:r w:rsidRPr="006C540D">
        <w:t xml:space="preserve"> provided in File S1.</w:t>
      </w:r>
    </w:p>
    <w:p w14:paraId="29F8C6A1" w14:textId="3E1FF785" w:rsidR="00052F43" w:rsidRPr="006C540D" w:rsidRDefault="00052F43" w:rsidP="006C540D">
      <w:pPr>
        <w:pStyle w:val="MDPI31text"/>
        <w:rPr>
          <w:i/>
        </w:rPr>
      </w:pPr>
      <w:r w:rsidRPr="006C540D">
        <w:t>The 485I</w:t>
      </w:r>
      <w:r w:rsidRPr="006C540D">
        <w:rPr>
          <w:iCs/>
        </w:rPr>
        <w:t xml:space="preserve"> </w:t>
      </w:r>
      <w:r w:rsidRPr="006C540D">
        <w:rPr>
          <w:i/>
        </w:rPr>
        <w:t>ace-1</w:t>
      </w:r>
      <w:r w:rsidRPr="006C540D">
        <w:t xml:space="preserve"> mutation was also </w:t>
      </w:r>
      <w:r w:rsidR="009479AD" w:rsidRPr="006C540D">
        <w:t>absent</w:t>
      </w:r>
      <w:r w:rsidRPr="006C540D">
        <w:t xml:space="preserve"> in the 12 bendiocarb-alive and 12 -dead females (AAC codon for asparagine was found in all sequences). </w:t>
      </w:r>
      <w:r w:rsidR="00D60A2C">
        <w:t>The</w:t>
      </w:r>
      <w:r w:rsidRPr="006C540D">
        <w:t xml:space="preserve"> 609</w:t>
      </w:r>
      <w:r w:rsidR="00526F76" w:rsidRPr="006C540D">
        <w:t xml:space="preserve"> </w:t>
      </w:r>
      <w:r w:rsidRPr="006C540D">
        <w:t>bp fragment</w:t>
      </w:r>
      <w:r w:rsidR="00526F76" w:rsidRPr="006C540D">
        <w:t>s</w:t>
      </w:r>
      <w:r w:rsidRPr="006C540D">
        <w:t xml:space="preserve"> spanning exons 6</w:t>
      </w:r>
      <w:r w:rsidR="00B17311" w:rsidRPr="006C540D">
        <w:t>–</w:t>
      </w:r>
      <w:r w:rsidRPr="006C540D">
        <w:t xml:space="preserve">9 were </w:t>
      </w:r>
      <w:proofErr w:type="spellStart"/>
      <w:r w:rsidRPr="006C540D">
        <w:t>analysed</w:t>
      </w:r>
      <w:proofErr w:type="spellEnd"/>
      <w:r w:rsidRPr="006C540D">
        <w:t xml:space="preserve"> from all sequences and found to be highly polymorphic</w:t>
      </w:r>
      <w:r w:rsidR="00D60A2C">
        <w:t>,</w:t>
      </w:r>
      <w:r w:rsidRPr="006C540D">
        <w:t xml:space="preserve"> with 23 haplotypes, 23 polymorphic sites</w:t>
      </w:r>
      <w:r w:rsidR="00D60A2C">
        <w:t>,</w:t>
      </w:r>
      <w:r w:rsidRPr="006C540D">
        <w:t xml:space="preserve"> and a very high haplotype diversity of 0.98 (Fig</w:t>
      </w:r>
      <w:r w:rsidR="00B17311">
        <w:t>ure</w:t>
      </w:r>
      <w:r w:rsidRPr="006C540D">
        <w:t xml:space="preserve"> S3a, Table S2).</w:t>
      </w:r>
      <w:r w:rsidRPr="006C540D">
        <w:rPr>
          <w:iCs/>
        </w:rPr>
        <w:t xml:space="preserve"> </w:t>
      </w:r>
      <w:r w:rsidRPr="006C540D">
        <w:t>No non-synonymous polymorphism was discovered in all sequences. These sequences also did not cluster according to phenotypes in the maximum likelihood phylogenetic tree (Fig</w:t>
      </w:r>
      <w:r w:rsidR="00B17311">
        <w:t>ure</w:t>
      </w:r>
      <w:r w:rsidRPr="006C540D">
        <w:t xml:space="preserve"> S3b). These sequences </w:t>
      </w:r>
      <w:r w:rsidR="00D60A2C">
        <w:t>are</w:t>
      </w:r>
      <w:r w:rsidRPr="006C540D">
        <w:t xml:space="preserve"> provided in File S1.</w:t>
      </w:r>
    </w:p>
    <w:p w14:paraId="4B17A7DB" w14:textId="0C34EE54" w:rsidR="00052F43" w:rsidRPr="006C540D" w:rsidRDefault="00761CE6" w:rsidP="006C540D">
      <w:pPr>
        <w:pStyle w:val="MDPI22heading2"/>
        <w:rPr>
          <w:noProof w:val="0"/>
        </w:rPr>
      </w:pPr>
      <w:r w:rsidRPr="006C540D">
        <w:rPr>
          <w:noProof w:val="0"/>
        </w:rPr>
        <w:t xml:space="preserve">3.9. </w:t>
      </w:r>
      <w:r w:rsidR="00052F43" w:rsidRPr="006C540D">
        <w:rPr>
          <w:noProof w:val="0"/>
        </w:rPr>
        <w:t xml:space="preserve">Polymorphism Analysis of the Voltage-gated Sodium Channel </w:t>
      </w:r>
      <w:r w:rsidR="002F4937" w:rsidRPr="006C540D">
        <w:rPr>
          <w:noProof w:val="0"/>
        </w:rPr>
        <w:t>e</w:t>
      </w:r>
      <w:r w:rsidR="00052F43" w:rsidRPr="006C540D">
        <w:rPr>
          <w:noProof w:val="0"/>
        </w:rPr>
        <w:t>ncompassing the L1014F/S Knockdown Resistance Mutation</w:t>
      </w:r>
    </w:p>
    <w:p w14:paraId="44EA1022" w14:textId="7CB7EBDB" w:rsidR="00052F43" w:rsidRPr="006C540D" w:rsidRDefault="00052F43" w:rsidP="006C540D">
      <w:pPr>
        <w:pStyle w:val="MDPI31text"/>
        <w:rPr>
          <w:i/>
        </w:rPr>
      </w:pPr>
      <w:r w:rsidRPr="006C540D">
        <w:t>Analysis of the 907</w:t>
      </w:r>
      <w:r w:rsidR="00526F76" w:rsidRPr="006C540D">
        <w:t xml:space="preserve"> </w:t>
      </w:r>
      <w:r w:rsidRPr="006C540D">
        <w:t xml:space="preserve">bp fragment spanning the 1014 codon established </w:t>
      </w:r>
      <w:r w:rsidR="00D60A2C">
        <w:t xml:space="preserve">the </w:t>
      </w:r>
      <w:r w:rsidRPr="006C540D">
        <w:t xml:space="preserve">absence of the 1014F/S </w:t>
      </w:r>
      <w:proofErr w:type="spellStart"/>
      <w:r w:rsidRPr="006C540D">
        <w:rPr>
          <w:i/>
        </w:rPr>
        <w:t>kdr</w:t>
      </w:r>
      <w:proofErr w:type="spellEnd"/>
      <w:r w:rsidRPr="006C540D">
        <w:rPr>
          <w:iCs/>
        </w:rPr>
        <w:t xml:space="preserve"> </w:t>
      </w:r>
      <w:r w:rsidRPr="006C540D">
        <w:t>mutation in exon 20 from 30 field-collected females. The 30 sequences share 25 haplotypes (Fig</w:t>
      </w:r>
      <w:r w:rsidR="00D60A2C">
        <w:t>ure</w:t>
      </w:r>
      <w:r w:rsidRPr="006C540D">
        <w:t xml:space="preserve"> S4a, Table S3), with 43 polymorphic sites</w:t>
      </w:r>
      <w:r w:rsidR="00D60A2C">
        <w:t>,</w:t>
      </w:r>
      <w:r w:rsidRPr="006C540D">
        <w:t xml:space="preserve"> and a very high haplotype diversity of 0.97. All sequences have the TTA codon for leucine in the 1014 position. No other mutations were found in the coding region. Sequences are highly heterogenous</w:t>
      </w:r>
      <w:r w:rsidR="00D60A2C">
        <w:t>,</w:t>
      </w:r>
      <w:r w:rsidRPr="006C540D">
        <w:t xml:space="preserve"> as eviden</w:t>
      </w:r>
      <w:r w:rsidR="00D60A2C">
        <w:t>ced</w:t>
      </w:r>
      <w:r w:rsidRPr="006C540D">
        <w:t xml:space="preserve"> in the maximum likelihood phylogenetic tree. The sequences have been provided in File S1.</w:t>
      </w:r>
    </w:p>
    <w:p w14:paraId="6279D2BF" w14:textId="37DE1EDE" w:rsidR="006E06CC" w:rsidRPr="006C540D" w:rsidRDefault="00761CE6" w:rsidP="006C540D">
      <w:pPr>
        <w:pStyle w:val="MDPI21heading1"/>
      </w:pPr>
      <w:r w:rsidRPr="006C540D">
        <w:t xml:space="preserve">4. </w:t>
      </w:r>
      <w:r w:rsidR="006E06CC" w:rsidRPr="006C540D">
        <w:t>Discussion</w:t>
      </w:r>
    </w:p>
    <w:p w14:paraId="7696E6E3" w14:textId="69CB177F" w:rsidR="00AC412C" w:rsidRPr="006C540D" w:rsidRDefault="00D60A2C" w:rsidP="006C540D">
      <w:pPr>
        <w:pStyle w:val="MDPI31text"/>
      </w:pPr>
      <w:r>
        <w:t>The s</w:t>
      </w:r>
      <w:r w:rsidR="00AC412C" w:rsidRPr="006C540D">
        <w:t xml:space="preserve">uccessful control and pre-elimination of malaria in Nigeria will benefit greatly from </w:t>
      </w:r>
      <w:r>
        <w:t xml:space="preserve">the </w:t>
      </w:r>
      <w:r w:rsidR="00AC412C" w:rsidRPr="006C540D">
        <w:t>entomological surveillance of the major malaria vectors in the heterogenous regions of the country (with different eco-climatic attributes), their role in transmission</w:t>
      </w:r>
      <w:r>
        <w:t>,</w:t>
      </w:r>
      <w:r w:rsidR="00AC412C" w:rsidRPr="006C540D">
        <w:t xml:space="preserve"> and their resistance profiles. This is especially important for the major malaria vector </w:t>
      </w:r>
      <w:r w:rsidR="00AC412C" w:rsidRPr="006C540D">
        <w:rPr>
          <w:i/>
        </w:rPr>
        <w:t xml:space="preserve">An. </w:t>
      </w:r>
      <w:proofErr w:type="spellStart"/>
      <w:r w:rsidR="005C4CF0">
        <w:rPr>
          <w:i/>
        </w:rPr>
        <w:t>f</w:t>
      </w:r>
      <w:r w:rsidR="00AC412C" w:rsidRPr="006C540D">
        <w:rPr>
          <w:i/>
        </w:rPr>
        <w:t>unestus</w:t>
      </w:r>
      <w:proofErr w:type="spellEnd"/>
      <w:r>
        <w:rPr>
          <w:iCs/>
        </w:rPr>
        <w:t>,</w:t>
      </w:r>
      <w:r w:rsidR="00AC412C" w:rsidRPr="006C540D">
        <w:rPr>
          <w:i/>
        </w:rPr>
        <w:t xml:space="preserve"> </w:t>
      </w:r>
      <w:r w:rsidR="00AC412C" w:rsidRPr="006C540D">
        <w:t xml:space="preserve">which has been neglected in the country. To facilitate </w:t>
      </w:r>
      <w:r>
        <w:t xml:space="preserve">the </w:t>
      </w:r>
      <w:r w:rsidR="00AC412C" w:rsidRPr="006C540D">
        <w:t>control of malaria in the Sahel of northern Nigeria</w:t>
      </w:r>
      <w:r>
        <w:t>,</w:t>
      </w:r>
      <w:r w:rsidR="00AC412C" w:rsidRPr="006C540D">
        <w:t xml:space="preserve"> the role of a population of </w:t>
      </w:r>
      <w:r w:rsidR="00AC412C" w:rsidRPr="006C540D">
        <w:rPr>
          <w:i/>
        </w:rPr>
        <w:t xml:space="preserve">An. </w:t>
      </w:r>
      <w:proofErr w:type="spellStart"/>
      <w:r w:rsidR="00AC412C" w:rsidRPr="006C540D">
        <w:rPr>
          <w:i/>
        </w:rPr>
        <w:t>funestus</w:t>
      </w:r>
      <w:proofErr w:type="spellEnd"/>
      <w:r w:rsidR="00AC412C" w:rsidRPr="006C540D">
        <w:t xml:space="preserve"> in transmission of </w:t>
      </w:r>
      <w:r w:rsidR="00AC412C" w:rsidRPr="006C540D">
        <w:rPr>
          <w:i/>
        </w:rPr>
        <w:t>Plasmodiu</w:t>
      </w:r>
      <w:r w:rsidR="00AC412C" w:rsidRPr="00BE077E">
        <w:rPr>
          <w:i/>
          <w:iCs/>
        </w:rPr>
        <w:t>m</w:t>
      </w:r>
      <w:r w:rsidR="00AC412C" w:rsidRPr="006C540D">
        <w:t xml:space="preserve"> and its resistance profile was </w:t>
      </w:r>
      <w:proofErr w:type="spellStart"/>
      <w:r w:rsidR="00AC412C" w:rsidRPr="006C540D">
        <w:t>characterised</w:t>
      </w:r>
      <w:proofErr w:type="spellEnd"/>
      <w:r w:rsidR="00AC412C" w:rsidRPr="006C540D">
        <w:t xml:space="preserve">. The possible molecular mechanisms driving the resistance were also investigated. </w:t>
      </w:r>
    </w:p>
    <w:p w14:paraId="15888B85" w14:textId="1ECAF4B4" w:rsidR="00AC412C" w:rsidRPr="006C540D" w:rsidRDefault="00761CE6" w:rsidP="006C540D">
      <w:pPr>
        <w:pStyle w:val="MDPI22heading2"/>
        <w:rPr>
          <w:noProof w:val="0"/>
          <w:snapToGrid/>
        </w:rPr>
      </w:pPr>
      <w:r w:rsidRPr="006C540D">
        <w:rPr>
          <w:noProof w:val="0"/>
          <w:snapToGrid/>
        </w:rPr>
        <w:t xml:space="preserve">4.1. </w:t>
      </w:r>
      <w:r w:rsidR="00AC412C" w:rsidRPr="006C540D">
        <w:rPr>
          <w:noProof w:val="0"/>
          <w:snapToGrid/>
        </w:rPr>
        <w:t xml:space="preserve">Evidence of Unusually High Transmission Capability by </w:t>
      </w:r>
      <w:proofErr w:type="spellStart"/>
      <w:r w:rsidR="00AC412C" w:rsidRPr="006C540D">
        <w:rPr>
          <w:noProof w:val="0"/>
          <w:snapToGrid/>
        </w:rPr>
        <w:t>Gajerar</w:t>
      </w:r>
      <w:proofErr w:type="spellEnd"/>
      <w:r w:rsidR="00AC412C" w:rsidRPr="006C540D">
        <w:rPr>
          <w:noProof w:val="0"/>
          <w:snapToGrid/>
        </w:rPr>
        <w:t xml:space="preserve"> </w:t>
      </w:r>
      <w:proofErr w:type="spellStart"/>
      <w:r w:rsidR="00AC412C" w:rsidRPr="006C540D">
        <w:rPr>
          <w:noProof w:val="0"/>
          <w:snapToGrid/>
        </w:rPr>
        <w:t>Giwa</w:t>
      </w:r>
      <w:proofErr w:type="spellEnd"/>
      <w:r w:rsidR="00AC412C" w:rsidRPr="006C540D">
        <w:rPr>
          <w:noProof w:val="0"/>
          <w:snapToGrid/>
        </w:rPr>
        <w:t xml:space="preserve"> An. </w:t>
      </w:r>
      <w:proofErr w:type="spellStart"/>
      <w:r w:rsidR="00AC412C" w:rsidRPr="006C540D">
        <w:rPr>
          <w:noProof w:val="0"/>
          <w:snapToGrid/>
        </w:rPr>
        <w:t>funestus</w:t>
      </w:r>
      <w:proofErr w:type="spellEnd"/>
      <w:r w:rsidR="00AC412C" w:rsidRPr="006C540D">
        <w:rPr>
          <w:noProof w:val="0"/>
          <w:snapToGrid/>
        </w:rPr>
        <w:t xml:space="preserve"> </w:t>
      </w:r>
    </w:p>
    <w:p w14:paraId="3DD34E79" w14:textId="6CF3D441" w:rsidR="00AC412C" w:rsidRPr="006C540D" w:rsidRDefault="00AC412C" w:rsidP="006C540D">
      <w:pPr>
        <w:pStyle w:val="MDPI31text"/>
      </w:pPr>
      <w:r w:rsidRPr="006C540D">
        <w:t xml:space="preserve">The finding of </w:t>
      </w:r>
      <w:r w:rsidRPr="006C540D">
        <w:rPr>
          <w:i/>
        </w:rPr>
        <w:t xml:space="preserve">An. </w:t>
      </w:r>
      <w:proofErr w:type="spellStart"/>
      <w:r w:rsidRPr="006C540D">
        <w:rPr>
          <w:i/>
        </w:rPr>
        <w:t>funestus</w:t>
      </w:r>
      <w:proofErr w:type="spellEnd"/>
      <w:r w:rsidRPr="006C540D">
        <w:t xml:space="preserve"> as the only malaria vector in the dry season at </w:t>
      </w:r>
      <w:proofErr w:type="spellStart"/>
      <w:r w:rsidRPr="006C540D">
        <w:t>Gajerar</w:t>
      </w:r>
      <w:proofErr w:type="spellEnd"/>
      <w:r w:rsidRPr="006C540D">
        <w:t xml:space="preserve"> </w:t>
      </w:r>
      <w:proofErr w:type="spellStart"/>
      <w:r w:rsidRPr="006C540D">
        <w:t>Giwa</w:t>
      </w:r>
      <w:proofErr w:type="spellEnd"/>
      <w:r w:rsidRPr="006C540D">
        <w:t xml:space="preserve"> is in agreement with previous observations that the density of this species peak in the dry season </w:t>
      </w:r>
      <w:r w:rsidR="00CB09C4" w:rsidRPr="006C540D">
        <w:t>[13,18]</w:t>
      </w:r>
      <w:r w:rsidR="00D60A2C">
        <w:t>,</w:t>
      </w:r>
      <w:r w:rsidRPr="006C540D">
        <w:t xml:space="preserve"> allowing it to extend </w:t>
      </w:r>
      <w:r w:rsidR="00D60A2C">
        <w:t xml:space="preserve">the </w:t>
      </w:r>
      <w:r w:rsidRPr="006C540D">
        <w:t xml:space="preserve">period of malaria transmission when </w:t>
      </w:r>
      <w:r w:rsidR="00D60A2C">
        <w:t xml:space="preserve">the </w:t>
      </w:r>
      <w:r w:rsidRPr="006C540D">
        <w:t xml:space="preserve">densities of </w:t>
      </w:r>
      <w:r w:rsidRPr="006C540D">
        <w:rPr>
          <w:i/>
        </w:rPr>
        <w:t xml:space="preserve">An. gambiae </w:t>
      </w:r>
      <w:proofErr w:type="spellStart"/>
      <w:r w:rsidRPr="006C540D">
        <w:t>s.l.</w:t>
      </w:r>
      <w:proofErr w:type="spellEnd"/>
      <w:r w:rsidRPr="006C540D">
        <w:t xml:space="preserve"> ha</w:t>
      </w:r>
      <w:r w:rsidR="00D60A2C">
        <w:t>ve</w:t>
      </w:r>
      <w:r w:rsidRPr="006C540D">
        <w:t xml:space="preserve"> declined </w:t>
      </w:r>
      <w:r w:rsidR="00CB09C4" w:rsidRPr="006C540D">
        <w:t>[14]</w:t>
      </w:r>
      <w:r w:rsidRPr="006C540D">
        <w:t xml:space="preserve">. The high anthropophilic and endophilic </w:t>
      </w:r>
      <w:proofErr w:type="spellStart"/>
      <w:r w:rsidRPr="006C540D">
        <w:t>behaviour</w:t>
      </w:r>
      <w:proofErr w:type="spellEnd"/>
      <w:r w:rsidRPr="006C540D">
        <w:t xml:space="preserve"> of this species </w:t>
      </w:r>
      <w:r w:rsidR="00CB09C4" w:rsidRPr="006C540D">
        <w:t>[14,15]</w:t>
      </w:r>
      <w:r w:rsidRPr="006C540D">
        <w:t xml:space="preserve"> probably explain the high indoor resting densities observed in this study</w:t>
      </w:r>
      <w:r w:rsidR="00D60A2C">
        <w:t>,</w:t>
      </w:r>
      <w:r w:rsidRPr="006C540D">
        <w:t xml:space="preserve"> compared to previous observations </w:t>
      </w:r>
      <w:r w:rsidR="00CB09C4" w:rsidRPr="006C540D">
        <w:t>[12]</w:t>
      </w:r>
      <w:r w:rsidRPr="006C540D">
        <w:t xml:space="preserve">, and the 100% preference for human blood, with the latter probably augmented by lack of insecticide treated bed nets in </w:t>
      </w:r>
      <w:proofErr w:type="spellStart"/>
      <w:r w:rsidRPr="006C540D">
        <w:t>Gajerar</w:t>
      </w:r>
      <w:proofErr w:type="spellEnd"/>
      <w:r w:rsidRPr="006C540D">
        <w:t xml:space="preserve"> </w:t>
      </w:r>
      <w:proofErr w:type="spellStart"/>
      <w:r w:rsidRPr="006C540D">
        <w:t>Giwa</w:t>
      </w:r>
      <w:proofErr w:type="spellEnd"/>
      <w:r w:rsidRPr="006C540D">
        <w:t>. Indeed</w:t>
      </w:r>
      <w:r w:rsidR="00D60A2C">
        <w:t>,</w:t>
      </w:r>
      <w:r w:rsidRPr="006C540D">
        <w:t xml:space="preserve"> several studies </w:t>
      </w:r>
      <w:r w:rsidR="00782D72" w:rsidRPr="006C540D">
        <w:t>[45]</w:t>
      </w:r>
      <w:r w:rsidRPr="006C540D">
        <w:t xml:space="preserve">, including </w:t>
      </w:r>
      <w:r w:rsidR="00D60A2C">
        <w:t xml:space="preserve">one </w:t>
      </w:r>
      <w:r w:rsidRPr="006C540D">
        <w:t xml:space="preserve">from southern Nigeria </w:t>
      </w:r>
      <w:r w:rsidR="00CB09C4" w:rsidRPr="006C540D">
        <w:t>[17]</w:t>
      </w:r>
      <w:r w:rsidR="00D60A2C">
        <w:t>,</w:t>
      </w:r>
      <w:r w:rsidRPr="006C540D">
        <w:t xml:space="preserve"> have documented a very high human blood index in </w:t>
      </w:r>
      <w:r w:rsidRPr="006C540D">
        <w:rPr>
          <w:i/>
        </w:rPr>
        <w:t xml:space="preserve">An. </w:t>
      </w:r>
      <w:proofErr w:type="spellStart"/>
      <w:r w:rsidRPr="006C540D">
        <w:rPr>
          <w:i/>
        </w:rPr>
        <w:t>funestus</w:t>
      </w:r>
      <w:proofErr w:type="spellEnd"/>
      <w:r w:rsidRPr="006C540D">
        <w:t xml:space="preserve">. Initial studies carried out in Nigeria have described a sporozoite rate of less than 5% for this species. These include the comprehensive work carried out at </w:t>
      </w:r>
      <w:proofErr w:type="spellStart"/>
      <w:r w:rsidRPr="006C540D">
        <w:t>Garki</w:t>
      </w:r>
      <w:proofErr w:type="spellEnd"/>
      <w:r w:rsidRPr="006C540D">
        <w:t xml:space="preserve"> </w:t>
      </w:r>
      <w:r w:rsidR="00CB09C4" w:rsidRPr="006C540D">
        <w:t>[12]</w:t>
      </w:r>
      <w:r w:rsidRPr="006C540D">
        <w:t>, and the work of Leonard and Bruce-</w:t>
      </w:r>
      <w:proofErr w:type="spellStart"/>
      <w:r w:rsidRPr="006C540D">
        <w:t>Chwatt</w:t>
      </w:r>
      <w:proofErr w:type="spellEnd"/>
      <w:r w:rsidRPr="006C540D">
        <w:t xml:space="preserve"> in 1951 </w:t>
      </w:r>
      <w:r w:rsidR="00CB09C4" w:rsidRPr="006C540D">
        <w:t>[13]</w:t>
      </w:r>
      <w:r w:rsidRPr="006C540D">
        <w:t xml:space="preserve">, as well as the 2005 report by </w:t>
      </w:r>
      <w:proofErr w:type="spellStart"/>
      <w:r w:rsidRPr="006C540D">
        <w:t>Awolola</w:t>
      </w:r>
      <w:proofErr w:type="spellEnd"/>
      <w:r w:rsidRPr="006C540D">
        <w:t xml:space="preserve"> on this species from southern Nigeria </w:t>
      </w:r>
      <w:r w:rsidR="00CB09C4" w:rsidRPr="006C540D">
        <w:t>[17]</w:t>
      </w:r>
      <w:r w:rsidRPr="006C540D">
        <w:t>. The transmission capability of this species has skyrocketed since then</w:t>
      </w:r>
      <w:r w:rsidR="00D60A2C">
        <w:t>,</w:t>
      </w:r>
      <w:r w:rsidRPr="006C540D">
        <w:t xml:space="preserve"> with</w:t>
      </w:r>
      <w:r w:rsidR="00D60A2C">
        <w:t xml:space="preserve"> a</w:t>
      </w:r>
      <w:r w:rsidRPr="006C540D">
        <w:t xml:space="preserve"> </w:t>
      </w:r>
      <w:r w:rsidRPr="006C540D">
        <w:rPr>
          <w:i/>
        </w:rPr>
        <w:t xml:space="preserve">P. falciparum </w:t>
      </w:r>
      <w:r w:rsidRPr="006C540D">
        <w:t>sporozoite rate of ~</w:t>
      </w:r>
      <w:r w:rsidR="00526F76" w:rsidRPr="006C540D">
        <w:t xml:space="preserve"> </w:t>
      </w:r>
      <w:r w:rsidRPr="006C540D">
        <w:t xml:space="preserve">55% found in this study, which is comparable to the 57% obtained by Magellan and colleagues on the same species from northern Cameroon, although at the oocyst stage </w:t>
      </w:r>
      <w:r w:rsidR="00782D72" w:rsidRPr="006C540D">
        <w:t>[39]</w:t>
      </w:r>
      <w:r w:rsidRPr="006C540D">
        <w:t xml:space="preserve">. However, a study has described lower sporozoite rates of ~8% for this species but from southern Nigeria </w:t>
      </w:r>
      <w:r w:rsidR="00CB09C4" w:rsidRPr="006C540D">
        <w:t>[18]</w:t>
      </w:r>
      <w:r w:rsidRPr="006C540D">
        <w:t xml:space="preserve">. This high infection rate possibly explains the high burden of malaria seen in Nigeria, especially as seen in the Sahel region, in non-rainy season, when malaria transmission is supposed to be at its lowest. </w:t>
      </w:r>
    </w:p>
    <w:p w14:paraId="4C24312B" w14:textId="7A21471C" w:rsidR="00AC412C" w:rsidRPr="006C540D" w:rsidRDefault="00761CE6" w:rsidP="006C540D">
      <w:pPr>
        <w:pStyle w:val="MDPI22heading2"/>
        <w:rPr>
          <w:noProof w:val="0"/>
          <w:snapToGrid/>
        </w:rPr>
      </w:pPr>
      <w:r w:rsidRPr="006C540D">
        <w:rPr>
          <w:noProof w:val="0"/>
          <w:snapToGrid/>
        </w:rPr>
        <w:t xml:space="preserve">4.2. </w:t>
      </w:r>
      <w:r w:rsidR="00AC412C" w:rsidRPr="006C540D">
        <w:rPr>
          <w:noProof w:val="0"/>
          <w:snapToGrid/>
        </w:rPr>
        <w:t xml:space="preserve">Evidence of Multiple Resistance in the </w:t>
      </w:r>
      <w:proofErr w:type="spellStart"/>
      <w:r w:rsidR="00AC412C" w:rsidRPr="006C540D">
        <w:rPr>
          <w:noProof w:val="0"/>
          <w:snapToGrid/>
        </w:rPr>
        <w:t>Gajerar</w:t>
      </w:r>
      <w:proofErr w:type="spellEnd"/>
      <w:r w:rsidR="00AC412C" w:rsidRPr="006C540D">
        <w:rPr>
          <w:noProof w:val="0"/>
          <w:snapToGrid/>
        </w:rPr>
        <w:t xml:space="preserve"> </w:t>
      </w:r>
      <w:proofErr w:type="spellStart"/>
      <w:r w:rsidR="00AC412C" w:rsidRPr="006C540D">
        <w:rPr>
          <w:noProof w:val="0"/>
          <w:snapToGrid/>
        </w:rPr>
        <w:t>Giwa</w:t>
      </w:r>
      <w:proofErr w:type="spellEnd"/>
      <w:r w:rsidR="00AC412C" w:rsidRPr="006C540D">
        <w:rPr>
          <w:noProof w:val="0"/>
          <w:snapToGrid/>
        </w:rPr>
        <w:t xml:space="preserve"> An. </w:t>
      </w:r>
      <w:proofErr w:type="spellStart"/>
      <w:r w:rsidR="002F4937" w:rsidRPr="006C540D">
        <w:rPr>
          <w:noProof w:val="0"/>
          <w:snapToGrid/>
        </w:rPr>
        <w:t>f</w:t>
      </w:r>
      <w:r w:rsidR="00AC412C" w:rsidRPr="006C540D">
        <w:rPr>
          <w:noProof w:val="0"/>
          <w:snapToGrid/>
        </w:rPr>
        <w:t>unestus</w:t>
      </w:r>
      <w:proofErr w:type="spellEnd"/>
    </w:p>
    <w:p w14:paraId="5FA623D8" w14:textId="708A9AFA" w:rsidR="00AC412C" w:rsidRPr="006C540D" w:rsidRDefault="00AC412C" w:rsidP="006C540D">
      <w:pPr>
        <w:pStyle w:val="MDPI31text"/>
      </w:pPr>
      <w:r w:rsidRPr="006C540D">
        <w:t xml:space="preserve">The multiple insecticide resistance seen in the </w:t>
      </w:r>
      <w:r w:rsidRPr="006C540D">
        <w:rPr>
          <w:i/>
        </w:rPr>
        <w:t xml:space="preserve">An. </w:t>
      </w:r>
      <w:proofErr w:type="spellStart"/>
      <w:r w:rsidRPr="006C540D">
        <w:rPr>
          <w:i/>
        </w:rPr>
        <w:t>funestus</w:t>
      </w:r>
      <w:proofErr w:type="spellEnd"/>
      <w:r w:rsidRPr="006C540D">
        <w:t xml:space="preserve"> in this study is in line with reported data from several studies across Africa </w:t>
      </w:r>
      <w:r w:rsidR="00782D72" w:rsidRPr="006C540D">
        <w:t>[20,46-48]</w:t>
      </w:r>
      <w:r w:rsidRPr="006C540D">
        <w:t xml:space="preserve">, though with the intensity of the resistance higher </w:t>
      </w:r>
      <w:r w:rsidRPr="006C540D">
        <w:lastRenderedPageBreak/>
        <w:t xml:space="preserve">in southern Africa. However, the level of pyrethroid resistance observed in this study was higher than reported in the same species from southern Nigeria by </w:t>
      </w:r>
      <w:proofErr w:type="spellStart"/>
      <w:r w:rsidRPr="006C540D">
        <w:t>Djouaka</w:t>
      </w:r>
      <w:proofErr w:type="spellEnd"/>
      <w:r w:rsidRPr="006C540D">
        <w:t xml:space="preserve"> </w:t>
      </w:r>
      <w:r w:rsidRPr="006C540D">
        <w:rPr>
          <w:i/>
        </w:rPr>
        <w:t xml:space="preserve">et al. </w:t>
      </w:r>
      <w:r w:rsidR="00CB09C4" w:rsidRPr="006C540D">
        <w:t>[18]</w:t>
      </w:r>
      <w:r w:rsidRPr="006C540D">
        <w:t>, especially for deltamethrin</w:t>
      </w:r>
      <w:r w:rsidR="00081DCD">
        <w:t>,</w:t>
      </w:r>
      <w:r w:rsidRPr="006C540D">
        <w:t xml:space="preserve"> where mortalities in </w:t>
      </w:r>
      <w:r w:rsidR="00081DCD">
        <w:t xml:space="preserve">the </w:t>
      </w:r>
      <w:r w:rsidRPr="006C540D">
        <w:t xml:space="preserve">population from southern Nigeria was on average three times lower compared </w:t>
      </w:r>
      <w:r w:rsidR="00081DCD">
        <w:t>to the</w:t>
      </w:r>
      <w:r w:rsidR="00081DCD" w:rsidRPr="006C540D">
        <w:t xml:space="preserve"> </w:t>
      </w:r>
      <w:proofErr w:type="spellStart"/>
      <w:r w:rsidRPr="006C540D">
        <w:t>Gajerar</w:t>
      </w:r>
      <w:proofErr w:type="spellEnd"/>
      <w:r w:rsidRPr="006C540D">
        <w:t xml:space="preserve"> </w:t>
      </w:r>
      <w:proofErr w:type="spellStart"/>
      <w:r w:rsidRPr="006C540D">
        <w:t>Giwa</w:t>
      </w:r>
      <w:proofErr w:type="spellEnd"/>
      <w:r w:rsidRPr="006C540D">
        <w:t xml:space="preserve"> population. In contrast</w:t>
      </w:r>
      <w:r w:rsidR="00677262" w:rsidRPr="006C540D">
        <w:t>,</w:t>
      </w:r>
      <w:r w:rsidRPr="006C540D">
        <w:t xml:space="preserve"> the extremely high DDT resistance reported in southern Nigeria </w:t>
      </w:r>
      <w:r w:rsidR="00CB09C4" w:rsidRPr="006C540D">
        <w:t>[18]</w:t>
      </w:r>
      <w:r w:rsidRPr="006C540D">
        <w:t xml:space="preserve"> was not seen in </w:t>
      </w:r>
      <w:r w:rsidR="00081DCD">
        <w:t xml:space="preserve">the </w:t>
      </w:r>
      <w:proofErr w:type="spellStart"/>
      <w:r w:rsidRPr="006C540D">
        <w:t>Gajerar</w:t>
      </w:r>
      <w:proofErr w:type="spellEnd"/>
      <w:r w:rsidRPr="006C540D">
        <w:t xml:space="preserve"> </w:t>
      </w:r>
      <w:proofErr w:type="spellStart"/>
      <w:r w:rsidRPr="006C540D">
        <w:t>Giwa</w:t>
      </w:r>
      <w:proofErr w:type="spellEnd"/>
      <w:r w:rsidRPr="006C540D">
        <w:t xml:space="preserve"> population, though the DDT resistance is higher compared to </w:t>
      </w:r>
      <w:r w:rsidR="00081DCD">
        <w:t xml:space="preserve">the </w:t>
      </w:r>
      <w:r w:rsidRPr="006C540D">
        <w:t xml:space="preserve">values reported for the same species in Sahel of northern Senegal </w:t>
      </w:r>
      <w:r w:rsidR="00782D72" w:rsidRPr="006C540D">
        <w:t>[48]</w:t>
      </w:r>
      <w:r w:rsidRPr="006C540D">
        <w:t xml:space="preserve">. The high bendiocarb resistance seen in </w:t>
      </w:r>
      <w:r w:rsidR="00081DCD">
        <w:t xml:space="preserve">the </w:t>
      </w:r>
      <w:proofErr w:type="spellStart"/>
      <w:r w:rsidRPr="006C540D">
        <w:t>Gajerar</w:t>
      </w:r>
      <w:proofErr w:type="spellEnd"/>
      <w:r w:rsidRPr="006C540D">
        <w:t xml:space="preserve"> </w:t>
      </w:r>
      <w:proofErr w:type="spellStart"/>
      <w:r w:rsidRPr="006C540D">
        <w:t>Giwa</w:t>
      </w:r>
      <w:proofErr w:type="spellEnd"/>
      <w:r w:rsidRPr="006C540D">
        <w:t xml:space="preserve"> population (54% mortality) is lower than carbamate resistance in southern African populations (30</w:t>
      </w:r>
      <w:r w:rsidR="00081DCD">
        <w:t>%</w:t>
      </w:r>
      <w:r w:rsidR="00B17311" w:rsidRPr="006C540D">
        <w:t>–</w:t>
      </w:r>
      <w:r w:rsidRPr="006C540D">
        <w:t xml:space="preserve">42% mortality) </w:t>
      </w:r>
      <w:r w:rsidR="00782D72" w:rsidRPr="006C540D">
        <w:t>[37,46]</w:t>
      </w:r>
      <w:r w:rsidR="00081DCD">
        <w:t>,</w:t>
      </w:r>
      <w:r w:rsidRPr="006C540D">
        <w:t xml:space="preserve"> where carbamate resistance is established to be very high. However, the bendiocarb resistance in the </w:t>
      </w:r>
      <w:proofErr w:type="spellStart"/>
      <w:r w:rsidRPr="006C540D">
        <w:t>Gajerar</w:t>
      </w:r>
      <w:proofErr w:type="spellEnd"/>
      <w:r w:rsidRPr="006C540D">
        <w:t xml:space="preserve"> </w:t>
      </w:r>
      <w:proofErr w:type="spellStart"/>
      <w:r w:rsidRPr="006C540D">
        <w:t>Giwa</w:t>
      </w:r>
      <w:proofErr w:type="spellEnd"/>
      <w:r w:rsidRPr="006C540D">
        <w:t xml:space="preserve"> is higher than what was reported for</w:t>
      </w:r>
      <w:r w:rsidR="00081DCD">
        <w:t xml:space="preserve"> the</w:t>
      </w:r>
      <w:r w:rsidRPr="006C540D">
        <w:t xml:space="preserve"> southern Nigerian population of </w:t>
      </w:r>
      <w:r w:rsidRPr="006C540D">
        <w:rPr>
          <w:i/>
        </w:rPr>
        <w:t xml:space="preserve">An. </w:t>
      </w:r>
      <w:proofErr w:type="spellStart"/>
      <w:r w:rsidRPr="006C540D">
        <w:rPr>
          <w:i/>
        </w:rPr>
        <w:t>funestus</w:t>
      </w:r>
      <w:proofErr w:type="spellEnd"/>
      <w:r w:rsidRPr="006C540D">
        <w:t xml:space="preserve"> (84% mortality) </w:t>
      </w:r>
      <w:r w:rsidR="00CB09C4" w:rsidRPr="006C540D">
        <w:t>[18]</w:t>
      </w:r>
      <w:r w:rsidR="00081DCD">
        <w:t>,</w:t>
      </w:r>
      <w:r w:rsidRPr="006C540D">
        <w:t xml:space="preserve"> or the population from Senegal (94% mortality) </w:t>
      </w:r>
      <w:r w:rsidR="00782D72" w:rsidRPr="006C540D">
        <w:t>[48]</w:t>
      </w:r>
      <w:r w:rsidRPr="006C540D">
        <w:t xml:space="preserve">, and even in northern Cameroon (89% mortality) </w:t>
      </w:r>
      <w:r w:rsidR="004A3E45" w:rsidRPr="006C540D">
        <w:t>[49]</w:t>
      </w:r>
      <w:r w:rsidRPr="006C540D">
        <w:t xml:space="preserve">. The </w:t>
      </w:r>
      <w:proofErr w:type="spellStart"/>
      <w:r w:rsidRPr="006C540D">
        <w:t>Gajerar</w:t>
      </w:r>
      <w:proofErr w:type="spellEnd"/>
      <w:r w:rsidRPr="006C540D">
        <w:t xml:space="preserve"> </w:t>
      </w:r>
      <w:proofErr w:type="spellStart"/>
      <w:r w:rsidRPr="006C540D">
        <w:t>Giwa</w:t>
      </w:r>
      <w:proofErr w:type="spellEnd"/>
      <w:r w:rsidRPr="006C540D">
        <w:t xml:space="preserve"> </w:t>
      </w:r>
      <w:r w:rsidR="00677262" w:rsidRPr="006C540D">
        <w:rPr>
          <w:i/>
          <w:iCs/>
        </w:rPr>
        <w:t xml:space="preserve">An. </w:t>
      </w:r>
      <w:proofErr w:type="spellStart"/>
      <w:r w:rsidR="00677262" w:rsidRPr="006C540D">
        <w:rPr>
          <w:i/>
          <w:iCs/>
        </w:rPr>
        <w:t>funestus</w:t>
      </w:r>
      <w:proofErr w:type="spellEnd"/>
      <w:r w:rsidR="00677262" w:rsidRPr="006C540D">
        <w:t xml:space="preserve"> </w:t>
      </w:r>
      <w:r w:rsidRPr="006C540D">
        <w:t>population exhibit</w:t>
      </w:r>
      <w:r w:rsidR="00677262" w:rsidRPr="006C540D">
        <w:t>ed</w:t>
      </w:r>
      <w:r w:rsidRPr="006C540D">
        <w:t xml:space="preserve"> a high LT</w:t>
      </w:r>
      <w:r w:rsidRPr="006C540D">
        <w:rPr>
          <w:vertAlign w:val="subscript"/>
        </w:rPr>
        <w:t xml:space="preserve">50 </w:t>
      </w:r>
      <w:r w:rsidRPr="006C540D">
        <w:t xml:space="preserve">for permethrin, </w:t>
      </w:r>
      <w:r w:rsidR="00677262" w:rsidRPr="006C540D">
        <w:t xml:space="preserve">reflecting high resistance intensity, </w:t>
      </w:r>
      <w:r w:rsidRPr="006C540D">
        <w:t xml:space="preserve">though on average less than half of what was documented for the southern African populations </w:t>
      </w:r>
      <w:r w:rsidR="00782D72" w:rsidRPr="006C540D">
        <w:t>[37,46]</w:t>
      </w:r>
      <w:r w:rsidRPr="006C540D">
        <w:t xml:space="preserve">. </w:t>
      </w:r>
    </w:p>
    <w:p w14:paraId="13B9065A" w14:textId="7B172DB3" w:rsidR="00AC412C" w:rsidRPr="006C540D" w:rsidRDefault="00761CE6" w:rsidP="006C540D">
      <w:pPr>
        <w:pStyle w:val="MDPI22heading2"/>
        <w:rPr>
          <w:noProof w:val="0"/>
          <w:snapToGrid/>
        </w:rPr>
      </w:pPr>
      <w:r w:rsidRPr="006C540D">
        <w:rPr>
          <w:noProof w:val="0"/>
          <w:snapToGrid/>
        </w:rPr>
        <w:t xml:space="preserve">4.3. </w:t>
      </w:r>
      <w:r w:rsidR="00AC412C" w:rsidRPr="006C540D">
        <w:rPr>
          <w:noProof w:val="0"/>
          <w:snapToGrid/>
        </w:rPr>
        <w:t xml:space="preserve">A Low-Efficacy of Long-Lasting Insecticidal Nets Is a Serious Challenge to Malaria Control </w:t>
      </w:r>
    </w:p>
    <w:p w14:paraId="661A1346" w14:textId="254C399F" w:rsidR="00AC412C" w:rsidRPr="006C540D" w:rsidRDefault="00AC412C" w:rsidP="006C540D">
      <w:pPr>
        <w:pStyle w:val="MDPI31text"/>
      </w:pPr>
      <w:r w:rsidRPr="006C540D">
        <w:t xml:space="preserve">The high pyrethroid resistance was also evident in the low efficacy of insecticide-treated bed nets, most especially the </w:t>
      </w:r>
      <w:proofErr w:type="spellStart"/>
      <w:r w:rsidRPr="006C540D">
        <w:t>Olyset®Net</w:t>
      </w:r>
      <w:proofErr w:type="spellEnd"/>
      <w:r w:rsidRPr="006C540D">
        <w:t xml:space="preserve"> and the PermaNet®3.0 (the side panel). Except for PermaNet®3.0, profoundly lower efficacies were seen with all the nets</w:t>
      </w:r>
      <w:r w:rsidR="00081DCD">
        <w:t>,</w:t>
      </w:r>
      <w:r w:rsidRPr="006C540D">
        <w:t xml:space="preserve"> in line with observation</w:t>
      </w:r>
      <w:r w:rsidR="00081DCD">
        <w:t>s</w:t>
      </w:r>
      <w:r w:rsidRPr="006C540D">
        <w:t xml:space="preserve"> in same species from southern Africa </w:t>
      </w:r>
      <w:r w:rsidR="00782D72" w:rsidRPr="006C540D">
        <w:t>[46]</w:t>
      </w:r>
      <w:r w:rsidR="00677262" w:rsidRPr="006C540D">
        <w:t>,</w:t>
      </w:r>
      <w:r w:rsidR="00047508" w:rsidRPr="006C540D">
        <w:t xml:space="preserve"> a</w:t>
      </w:r>
      <w:r w:rsidR="00677262" w:rsidRPr="006C540D">
        <w:t>nd a</w:t>
      </w:r>
      <w:r w:rsidR="00047508" w:rsidRPr="006C540D">
        <w:t xml:space="preserve"> recent </w:t>
      </w:r>
      <w:r w:rsidR="00677262" w:rsidRPr="006C540D">
        <w:t>report</w:t>
      </w:r>
      <w:r w:rsidR="00047508" w:rsidRPr="006C540D">
        <w:t xml:space="preserve"> from northern Cameroon [50]</w:t>
      </w:r>
      <w:r w:rsidRPr="006C540D">
        <w:t xml:space="preserve">. The recovery of susceptibilities from exposure to the roof of PermaNet®3.0 and the PBO-synergist bioassays suggest the preeminent role of CYP450s in the pyrethroid resistance in this population. This agrees with several studies carried out across Africa </w:t>
      </w:r>
      <w:r w:rsidR="00782D72" w:rsidRPr="006C540D">
        <w:t>[46,51,52]</w:t>
      </w:r>
      <w:r w:rsidRPr="006C540D">
        <w:t xml:space="preserve">. Low efficacy seen with </w:t>
      </w:r>
      <w:proofErr w:type="spellStart"/>
      <w:r w:rsidRPr="006C540D">
        <w:t>Olyset®Plus</w:t>
      </w:r>
      <w:proofErr w:type="spellEnd"/>
      <w:r w:rsidRPr="006C540D">
        <w:t xml:space="preserve"> net have been described in several studies with both </w:t>
      </w:r>
      <w:r w:rsidRPr="006C540D">
        <w:rPr>
          <w:i/>
        </w:rPr>
        <w:t xml:space="preserve">An. </w:t>
      </w:r>
      <w:proofErr w:type="spellStart"/>
      <w:r w:rsidRPr="006C540D">
        <w:rPr>
          <w:i/>
        </w:rPr>
        <w:t>funestus</w:t>
      </w:r>
      <w:proofErr w:type="spellEnd"/>
      <w:r w:rsidRPr="006C540D">
        <w:t xml:space="preserve"> and </w:t>
      </w:r>
      <w:r w:rsidRPr="006C540D">
        <w:rPr>
          <w:i/>
        </w:rPr>
        <w:t xml:space="preserve">An. </w:t>
      </w:r>
      <w:proofErr w:type="spellStart"/>
      <w:r w:rsidRPr="006C540D">
        <w:rPr>
          <w:i/>
        </w:rPr>
        <w:t>coluzzii</w:t>
      </w:r>
      <w:proofErr w:type="spellEnd"/>
      <w:r w:rsidRPr="006C540D">
        <w:t xml:space="preserve"> </w:t>
      </w:r>
      <w:r w:rsidR="008104A1" w:rsidRPr="006C540D">
        <w:t>[50-53]</w:t>
      </w:r>
      <w:r w:rsidRPr="006C540D">
        <w:t>.</w:t>
      </w:r>
    </w:p>
    <w:p w14:paraId="06B5ACC9" w14:textId="68E1E2A1" w:rsidR="00AC412C" w:rsidRPr="006C540D" w:rsidRDefault="00761CE6" w:rsidP="006C540D">
      <w:pPr>
        <w:pStyle w:val="MDPI22heading2"/>
        <w:rPr>
          <w:noProof w:val="0"/>
          <w:snapToGrid/>
        </w:rPr>
      </w:pPr>
      <w:r w:rsidRPr="006C540D">
        <w:rPr>
          <w:noProof w:val="0"/>
          <w:snapToGrid/>
        </w:rPr>
        <w:t xml:space="preserve">4.4. </w:t>
      </w:r>
      <w:r w:rsidR="00AC412C" w:rsidRPr="006C540D">
        <w:rPr>
          <w:noProof w:val="0"/>
          <w:snapToGrid/>
        </w:rPr>
        <w:t xml:space="preserve">Insecticide Resistance Mechanism is Driven by Metabolic Resistance Mechanisms in </w:t>
      </w:r>
      <w:proofErr w:type="spellStart"/>
      <w:r w:rsidR="00AC412C" w:rsidRPr="006C540D">
        <w:rPr>
          <w:noProof w:val="0"/>
          <w:snapToGrid/>
        </w:rPr>
        <w:t>Gajerar</w:t>
      </w:r>
      <w:proofErr w:type="spellEnd"/>
      <w:r w:rsidR="00AC412C" w:rsidRPr="006C540D">
        <w:rPr>
          <w:noProof w:val="0"/>
          <w:snapToGrid/>
        </w:rPr>
        <w:t xml:space="preserve"> </w:t>
      </w:r>
      <w:proofErr w:type="spellStart"/>
      <w:r w:rsidR="00AC412C" w:rsidRPr="006C540D">
        <w:rPr>
          <w:noProof w:val="0"/>
          <w:snapToGrid/>
        </w:rPr>
        <w:t>Giwa</w:t>
      </w:r>
      <w:proofErr w:type="spellEnd"/>
      <w:r w:rsidR="00AC412C" w:rsidRPr="006C540D">
        <w:rPr>
          <w:noProof w:val="0"/>
          <w:snapToGrid/>
        </w:rPr>
        <w:t xml:space="preserve"> An. </w:t>
      </w:r>
      <w:proofErr w:type="spellStart"/>
      <w:r w:rsidR="00AC412C" w:rsidRPr="006C540D">
        <w:rPr>
          <w:noProof w:val="0"/>
          <w:snapToGrid/>
        </w:rPr>
        <w:t>funestus</w:t>
      </w:r>
      <w:proofErr w:type="spellEnd"/>
      <w:r w:rsidR="00AC412C" w:rsidRPr="006C540D">
        <w:rPr>
          <w:noProof w:val="0"/>
          <w:snapToGrid/>
        </w:rPr>
        <w:t xml:space="preserve"> Population </w:t>
      </w:r>
    </w:p>
    <w:p w14:paraId="0EA5225D" w14:textId="61CA7FE8" w:rsidR="00AC412C" w:rsidRPr="006C540D" w:rsidRDefault="00AC412C" w:rsidP="006C540D">
      <w:pPr>
        <w:pStyle w:val="MDPI31text"/>
      </w:pPr>
      <w:r w:rsidRPr="006C540D">
        <w:t>The recovery of susceptibilities from pre-exposure to PBO and DEM suggests the preeminent role of CYP450s and GSTs in pyrethroid and DDT resistance</w:t>
      </w:r>
      <w:r w:rsidR="00081DCD">
        <w:t>, respectively</w:t>
      </w:r>
      <w:r w:rsidRPr="006C540D">
        <w:t xml:space="preserve">. Indeed, several studies have used these synergists to establish the potential role of the above metabolic enzymes in resistance in </w:t>
      </w:r>
      <w:r w:rsidRPr="006C540D">
        <w:rPr>
          <w:i/>
        </w:rPr>
        <w:t xml:space="preserve">An. </w:t>
      </w:r>
      <w:proofErr w:type="spellStart"/>
      <w:r w:rsidRPr="006C540D">
        <w:rPr>
          <w:i/>
        </w:rPr>
        <w:t>funestus</w:t>
      </w:r>
      <w:proofErr w:type="spellEnd"/>
      <w:r w:rsidRPr="006C540D">
        <w:t xml:space="preserve"> </w:t>
      </w:r>
      <w:r w:rsidR="00047508" w:rsidRPr="006C540D">
        <w:t>[51,52,54]</w:t>
      </w:r>
      <w:r w:rsidRPr="006C540D">
        <w:t>. The role of metabolic resistance is strengthened by (</w:t>
      </w:r>
      <w:proofErr w:type="spellStart"/>
      <w:r w:rsidRPr="006C540D">
        <w:t>i</w:t>
      </w:r>
      <w:proofErr w:type="spellEnd"/>
      <w:r w:rsidRPr="006C540D">
        <w:t>) the finding of high frequency of the 119F-</w:t>
      </w:r>
      <w:r w:rsidRPr="006C540D">
        <w:rPr>
          <w:i/>
        </w:rPr>
        <w:t>GSTe2</w:t>
      </w:r>
      <w:r w:rsidRPr="006C540D">
        <w:t xml:space="preserve"> mutation in</w:t>
      </w:r>
      <w:r w:rsidR="00081DCD">
        <w:t xml:space="preserve"> the</w:t>
      </w:r>
      <w:r w:rsidRPr="006C540D">
        <w:t xml:space="preserve"> </w:t>
      </w:r>
      <w:proofErr w:type="spellStart"/>
      <w:r w:rsidRPr="006C540D">
        <w:t>Gajerar</w:t>
      </w:r>
      <w:proofErr w:type="spellEnd"/>
      <w:r w:rsidRPr="006C540D">
        <w:t xml:space="preserve"> </w:t>
      </w:r>
      <w:proofErr w:type="spellStart"/>
      <w:r w:rsidRPr="006C540D">
        <w:t>Giwa</w:t>
      </w:r>
      <w:proofErr w:type="spellEnd"/>
      <w:r w:rsidRPr="006C540D">
        <w:t xml:space="preserve"> population and its </w:t>
      </w:r>
      <w:r w:rsidR="00A80805" w:rsidRPr="006C540D">
        <w:t>possible link</w:t>
      </w:r>
      <w:r w:rsidRPr="006C540D">
        <w:t xml:space="preserve"> to DDT resistance, as documented in several studies </w:t>
      </w:r>
      <w:r w:rsidR="00782D72" w:rsidRPr="006C540D">
        <w:t>[20,47,51,54]</w:t>
      </w:r>
      <w:r w:rsidRPr="006C540D">
        <w:t xml:space="preserve">; (ii) the absence of the G119S and N485I mutations in the acetylcholinesterase gene; and (iii) the absence of the 1014F/S </w:t>
      </w:r>
      <w:proofErr w:type="spellStart"/>
      <w:r w:rsidRPr="006C540D">
        <w:rPr>
          <w:i/>
        </w:rPr>
        <w:t>kdr</w:t>
      </w:r>
      <w:proofErr w:type="spellEnd"/>
      <w:r w:rsidRPr="006C540D">
        <w:rPr>
          <w:i/>
        </w:rPr>
        <w:t xml:space="preserve"> </w:t>
      </w:r>
      <w:r w:rsidRPr="006C540D">
        <w:t xml:space="preserve">mutation in the voltage-gated sodium channel from the </w:t>
      </w:r>
      <w:proofErr w:type="spellStart"/>
      <w:r w:rsidRPr="006C540D">
        <w:t>Gajerar</w:t>
      </w:r>
      <w:proofErr w:type="spellEnd"/>
      <w:r w:rsidRPr="006C540D">
        <w:t xml:space="preserve"> </w:t>
      </w:r>
      <w:proofErr w:type="spellStart"/>
      <w:r w:rsidRPr="006C540D">
        <w:t>Giwa</w:t>
      </w:r>
      <w:proofErr w:type="spellEnd"/>
      <w:r w:rsidRPr="006C540D">
        <w:t xml:space="preserve"> population, in line with the observations across Africa </w:t>
      </w:r>
      <w:r w:rsidR="00782D72" w:rsidRPr="006C540D">
        <w:t>[37,52,55]</w:t>
      </w:r>
      <w:r w:rsidRPr="006C540D">
        <w:t xml:space="preserve">. The high diversity seen in the fragment spanning the exon 20 of the VGSC suggests lack of reduced diversity due to absence of selection.  </w:t>
      </w:r>
    </w:p>
    <w:p w14:paraId="7023F638" w14:textId="04FC10F0" w:rsidR="00AC412C" w:rsidRPr="006C540D" w:rsidRDefault="00AC412C" w:rsidP="006C540D">
      <w:pPr>
        <w:pStyle w:val="MDPI31text"/>
      </w:pPr>
      <w:r w:rsidRPr="006C540D">
        <w:t xml:space="preserve">The high bendiocarb resistance prompted sequencing of the </w:t>
      </w:r>
      <w:r w:rsidRPr="006C540D">
        <w:rPr>
          <w:i/>
        </w:rPr>
        <w:t>ace-1</w:t>
      </w:r>
      <w:r w:rsidRPr="006C540D">
        <w:t xml:space="preserve"> fragment for the G119S and N485I mutations previously associated with carbamate/organophosphate resistance. The absence of these mutations in the highly bendiocarb-resistant </w:t>
      </w:r>
      <w:proofErr w:type="spellStart"/>
      <w:r w:rsidRPr="006C540D">
        <w:t>Gajerar</w:t>
      </w:r>
      <w:proofErr w:type="spellEnd"/>
      <w:r w:rsidRPr="006C540D">
        <w:t xml:space="preserve"> </w:t>
      </w:r>
      <w:proofErr w:type="spellStart"/>
      <w:r w:rsidRPr="006C540D">
        <w:t>Giwa</w:t>
      </w:r>
      <w:proofErr w:type="spellEnd"/>
      <w:r w:rsidRPr="006C540D">
        <w:t xml:space="preserve"> populations</w:t>
      </w:r>
      <w:r w:rsidR="00081DCD">
        <w:t>,</w:t>
      </w:r>
      <w:r w:rsidRPr="006C540D">
        <w:t xml:space="preserve"> and the observed relative fenitrothion susceptibility</w:t>
      </w:r>
      <w:r w:rsidR="00081DCD">
        <w:t>,</w:t>
      </w:r>
      <w:r w:rsidRPr="006C540D">
        <w:t xml:space="preserve"> suggests no cross resistance</w:t>
      </w:r>
      <w:r w:rsidR="00081DCD">
        <w:t>,</w:t>
      </w:r>
      <w:r w:rsidRPr="006C540D">
        <w:t xml:space="preserve"> and point</w:t>
      </w:r>
      <w:r w:rsidR="00081DCD">
        <w:t>s</w:t>
      </w:r>
      <w:r w:rsidRPr="006C540D">
        <w:t xml:space="preserve"> to metabolic mechanism responsible for the bendiocarb resistance. Several studies have reported absence of the G119S mutation in various populations of </w:t>
      </w:r>
      <w:r w:rsidRPr="006C540D">
        <w:rPr>
          <w:i/>
        </w:rPr>
        <w:t xml:space="preserve">An. </w:t>
      </w:r>
      <w:proofErr w:type="spellStart"/>
      <w:r w:rsidRPr="006C540D">
        <w:rPr>
          <w:i/>
        </w:rPr>
        <w:t>funestus</w:t>
      </w:r>
      <w:proofErr w:type="spellEnd"/>
      <w:r w:rsidRPr="006C540D">
        <w:t xml:space="preserve"> across Africa </w:t>
      </w:r>
      <w:r w:rsidR="00782D72" w:rsidRPr="006C540D">
        <w:t>[24,43,52]</w:t>
      </w:r>
      <w:r w:rsidRPr="006C540D">
        <w:t xml:space="preserve">. </w:t>
      </w:r>
      <w:bookmarkStart w:id="15" w:name="_Hlk17973806"/>
      <w:r w:rsidRPr="006C540D">
        <w:t xml:space="preserve">The high diversity seen in the </w:t>
      </w:r>
      <w:r w:rsidRPr="006C540D">
        <w:rPr>
          <w:i/>
        </w:rPr>
        <w:t>ace-1</w:t>
      </w:r>
      <w:r w:rsidRPr="006C540D">
        <w:t xml:space="preserve"> fragment suggests </w:t>
      </w:r>
      <w:r w:rsidR="00081DCD">
        <w:t xml:space="preserve">a </w:t>
      </w:r>
      <w:r w:rsidRPr="006C540D">
        <w:t xml:space="preserve">lack of selection in the gene. However, with only 12 females (low sample size) each of alive and dead used, </w:t>
      </w:r>
      <w:r w:rsidR="00081DCD">
        <w:t xml:space="preserve">the </w:t>
      </w:r>
      <w:r w:rsidRPr="006C540D">
        <w:t>presence of this mutation at a low frequency cannot be ruled out.</w:t>
      </w:r>
      <w:bookmarkEnd w:id="15"/>
      <w:r w:rsidRPr="006C540D">
        <w:t xml:space="preserve"> </w:t>
      </w:r>
    </w:p>
    <w:p w14:paraId="2EA9A82C" w14:textId="2F168C30" w:rsidR="00AC412C" w:rsidRPr="006C540D" w:rsidRDefault="00AC412C" w:rsidP="006C540D">
      <w:pPr>
        <w:pStyle w:val="MDPI31text"/>
      </w:pPr>
      <w:r w:rsidRPr="006C540D">
        <w:t xml:space="preserve">The absence of the N485I mutation in </w:t>
      </w:r>
      <w:proofErr w:type="spellStart"/>
      <w:r w:rsidRPr="006C540D">
        <w:t>Gajerar</w:t>
      </w:r>
      <w:proofErr w:type="spellEnd"/>
      <w:r w:rsidRPr="006C540D">
        <w:t xml:space="preserve"> </w:t>
      </w:r>
      <w:proofErr w:type="spellStart"/>
      <w:r w:rsidRPr="006C540D">
        <w:t>Giwa</w:t>
      </w:r>
      <w:proofErr w:type="spellEnd"/>
      <w:r w:rsidRPr="006C540D">
        <w:t xml:space="preserve"> populations confirmed previous observation</w:t>
      </w:r>
      <w:r w:rsidR="00081DCD">
        <w:t>s</w:t>
      </w:r>
      <w:r w:rsidRPr="006C540D">
        <w:t xml:space="preserve"> of the mutation present only in southern African populations </w:t>
      </w:r>
      <w:r w:rsidR="00782D72" w:rsidRPr="006C540D">
        <w:t>[24,46]</w:t>
      </w:r>
      <w:r w:rsidRPr="006C540D">
        <w:t>. However, with 12 females each of the alive and dead used</w:t>
      </w:r>
      <w:r w:rsidR="00081DCD">
        <w:t>, the</w:t>
      </w:r>
      <w:r w:rsidRPr="006C540D">
        <w:t xml:space="preserve"> presence of these mutations or others at a low frequency cannot be ruled out. </w:t>
      </w:r>
    </w:p>
    <w:p w14:paraId="0F64EF28" w14:textId="1D75D776" w:rsidR="006E06CC" w:rsidRPr="006C540D" w:rsidRDefault="00761CE6" w:rsidP="006C540D">
      <w:pPr>
        <w:pStyle w:val="MDPI21heading1"/>
      </w:pPr>
      <w:r w:rsidRPr="006C540D">
        <w:lastRenderedPageBreak/>
        <w:t xml:space="preserve">5. </w:t>
      </w:r>
      <w:r w:rsidR="006E06CC" w:rsidRPr="006C540D">
        <w:t>Conclusions</w:t>
      </w:r>
    </w:p>
    <w:p w14:paraId="2E378ADA" w14:textId="5462C867" w:rsidR="00AC412C" w:rsidRPr="006C540D" w:rsidRDefault="00AC412C" w:rsidP="006C540D">
      <w:pPr>
        <w:pStyle w:val="MDPI31text"/>
      </w:pPr>
      <w:r w:rsidRPr="006C540D">
        <w:t xml:space="preserve">This study discovered a disproportionately high </w:t>
      </w:r>
      <w:r w:rsidRPr="006C540D">
        <w:rPr>
          <w:i/>
        </w:rPr>
        <w:t xml:space="preserve">Plasmodium </w:t>
      </w:r>
      <w:r w:rsidRPr="006C540D">
        <w:t xml:space="preserve">infection in a major malaria vector </w:t>
      </w:r>
      <w:r w:rsidRPr="006C540D">
        <w:rPr>
          <w:i/>
        </w:rPr>
        <w:t xml:space="preserve">An. </w:t>
      </w:r>
      <w:proofErr w:type="spellStart"/>
      <w:r w:rsidRPr="006C540D">
        <w:rPr>
          <w:i/>
        </w:rPr>
        <w:t>funestus</w:t>
      </w:r>
      <w:proofErr w:type="spellEnd"/>
      <w:r w:rsidRPr="006C540D">
        <w:t xml:space="preserve"> from Nigeria, which will pose </w:t>
      </w:r>
      <w:r w:rsidR="00081DCD">
        <w:t xml:space="preserve">a </w:t>
      </w:r>
      <w:r w:rsidRPr="006C540D">
        <w:t>serious threat to malaria control</w:t>
      </w:r>
      <w:r w:rsidR="00081DCD">
        <w:t>,</w:t>
      </w:r>
      <w:r w:rsidRPr="006C540D">
        <w:t xml:space="preserve"> and </w:t>
      </w:r>
      <w:r w:rsidR="00A80805" w:rsidRPr="006C540D">
        <w:t>highlight</w:t>
      </w:r>
      <w:r w:rsidR="00081DCD">
        <w:t>s</w:t>
      </w:r>
      <w:r w:rsidRPr="006C540D">
        <w:t xml:space="preserve"> the extent of the efforts needed to reach </w:t>
      </w:r>
      <w:r w:rsidR="00081DCD">
        <w:t xml:space="preserve">the </w:t>
      </w:r>
      <w:r w:rsidRPr="006C540D">
        <w:t xml:space="preserve">pre-elimination stage in this region of Nigeria. Pyrethroid and DDT resistance was seen at high levels which could compromise control tools using the LLINs and </w:t>
      </w:r>
      <w:r w:rsidR="0043305E" w:rsidRPr="006C540D">
        <w:t xml:space="preserve">indoor residual spraying </w:t>
      </w:r>
      <w:r w:rsidR="0043305E">
        <w:t>(</w:t>
      </w:r>
      <w:r w:rsidRPr="006C540D">
        <w:t>IRS</w:t>
      </w:r>
      <w:r w:rsidR="0043305E">
        <w:t>)</w:t>
      </w:r>
      <w:r w:rsidRPr="006C540D">
        <w:t xml:space="preserve">. The high bendiocarb resistance observed in the field populations of this vector may affect the future control measures in northern Nigeria, using the carbamate-based IRS. However, </w:t>
      </w:r>
      <w:r w:rsidR="00081DCD">
        <w:t xml:space="preserve">the </w:t>
      </w:r>
      <w:r w:rsidRPr="006C540D">
        <w:t xml:space="preserve">PBO-containing combination bed net PermaNet®3.0 was found to be still effective in killing this species. The discovery of </w:t>
      </w:r>
      <w:r w:rsidR="00081DCD">
        <w:t xml:space="preserve">a </w:t>
      </w:r>
      <w:r w:rsidRPr="006C540D">
        <w:t xml:space="preserve">high susceptibility to fenitrothion suggests that organophosphates could also be alternatives for IRS. Finally, all evidences pointed to the preeminent role of metabolic mechanisms in the multiple resistance in this populations of </w:t>
      </w:r>
      <w:r w:rsidRPr="006C540D">
        <w:rPr>
          <w:i/>
        </w:rPr>
        <w:t xml:space="preserve">An. </w:t>
      </w:r>
      <w:proofErr w:type="spellStart"/>
      <w:r w:rsidRPr="006C540D">
        <w:rPr>
          <w:i/>
        </w:rPr>
        <w:t>funestus</w:t>
      </w:r>
      <w:proofErr w:type="spellEnd"/>
      <w:r w:rsidRPr="006C540D">
        <w:t xml:space="preserve">. This should be considered by Nigeria’s National Malaria Elimination Program when deploying control tools/interventions into this area. </w:t>
      </w:r>
    </w:p>
    <w:p w14:paraId="7C90B8EA" w14:textId="0F5E8D34" w:rsidR="00863B26" w:rsidRDefault="00863B26" w:rsidP="006C540D">
      <w:pPr>
        <w:pStyle w:val="MDPI61Supplementary"/>
        <w:adjustRightInd w:val="0"/>
        <w:snapToGrid w:val="0"/>
        <w:rPr>
          <w:sz w:val="20"/>
        </w:rPr>
      </w:pPr>
      <w:r w:rsidRPr="006C540D">
        <w:rPr>
          <w:b/>
          <w:sz w:val="20"/>
        </w:rPr>
        <w:t>Supplementary Materials:</w:t>
      </w:r>
      <w:r w:rsidRPr="006C540D">
        <w:rPr>
          <w:sz w:val="20"/>
        </w:rPr>
        <w:t xml:space="preserve"> The following are available </w:t>
      </w:r>
      <w:r w:rsidRPr="00F55E11">
        <w:rPr>
          <w:sz w:val="20"/>
        </w:rPr>
        <w:t xml:space="preserve">online at </w:t>
      </w:r>
      <w:r w:rsidR="0059315A" w:rsidRPr="00F55E11">
        <w:rPr>
          <w:sz w:val="20"/>
        </w:rPr>
        <w:t>www.mdpi.com/xxx/s1</w:t>
      </w:r>
      <w:r w:rsidRPr="00F55E11">
        <w:rPr>
          <w:sz w:val="20"/>
        </w:rPr>
        <w:t>, Fig</w:t>
      </w:r>
      <w:r w:rsidR="00D60A2C" w:rsidRPr="00F55E11">
        <w:rPr>
          <w:sz w:val="20"/>
        </w:rPr>
        <w:t>ure</w:t>
      </w:r>
      <w:r w:rsidRPr="00F55E11">
        <w:rPr>
          <w:sz w:val="20"/>
        </w:rPr>
        <w:t xml:space="preserve"> S1: </w:t>
      </w:r>
      <w:r w:rsidR="00AC412C" w:rsidRPr="00F55E11">
        <w:rPr>
          <w:rFonts w:eastAsia="+mn-ea" w:cs="+mn-cs"/>
          <w:kern w:val="24"/>
          <w:sz w:val="20"/>
        </w:rPr>
        <w:t xml:space="preserve">Knockdown profiles of </w:t>
      </w:r>
      <w:r w:rsidR="00AC412C" w:rsidRPr="00F55E11">
        <w:rPr>
          <w:rFonts w:eastAsia="+mn-ea" w:cs="+mn-cs"/>
          <w:i/>
          <w:iCs/>
          <w:kern w:val="24"/>
          <w:sz w:val="20"/>
        </w:rPr>
        <w:t xml:space="preserve">An. </w:t>
      </w:r>
      <w:proofErr w:type="spellStart"/>
      <w:r w:rsidR="00AC412C" w:rsidRPr="00F55E11">
        <w:rPr>
          <w:rFonts w:eastAsia="+mn-ea" w:cs="+mn-cs"/>
          <w:i/>
          <w:iCs/>
          <w:kern w:val="24"/>
          <w:sz w:val="20"/>
        </w:rPr>
        <w:t>funestus</w:t>
      </w:r>
      <w:proofErr w:type="spellEnd"/>
      <w:r w:rsidR="00AC412C" w:rsidRPr="00F55E11">
        <w:rPr>
          <w:rFonts w:eastAsia="+mn-ea" w:cs="+mn-cs"/>
          <w:i/>
          <w:iCs/>
          <w:kern w:val="24"/>
          <w:sz w:val="20"/>
        </w:rPr>
        <w:t xml:space="preserve"> </w:t>
      </w:r>
      <w:r w:rsidR="00AC412C" w:rsidRPr="00F55E11">
        <w:rPr>
          <w:rFonts w:eastAsia="+mn-ea" w:cs="+mn-cs"/>
          <w:kern w:val="24"/>
          <w:sz w:val="20"/>
        </w:rPr>
        <w:t>females exposed to pyrethroids and DDT. Each bar</w:t>
      </w:r>
      <w:r w:rsidR="00AC412C" w:rsidRPr="006C540D">
        <w:rPr>
          <w:rFonts w:eastAsia="+mn-ea" w:cs="+mn-cs"/>
          <w:kern w:val="24"/>
          <w:sz w:val="20"/>
        </w:rPr>
        <w:t xml:space="preserve"> is a percentage knockdown of values from </w:t>
      </w:r>
      <w:r w:rsidR="00081DCD">
        <w:rPr>
          <w:rFonts w:eastAsia="+mn-ea" w:cs="+mn-cs"/>
          <w:kern w:val="24"/>
          <w:sz w:val="20"/>
        </w:rPr>
        <w:t>four</w:t>
      </w:r>
      <w:r w:rsidR="00AC412C" w:rsidRPr="006C540D">
        <w:rPr>
          <w:rFonts w:eastAsia="+mn-ea" w:cs="+mn-cs"/>
          <w:kern w:val="24"/>
          <w:sz w:val="20"/>
        </w:rPr>
        <w:t xml:space="preserve"> different replicates from bioassays at different time points</w:t>
      </w:r>
      <w:r w:rsidRPr="006C540D">
        <w:rPr>
          <w:sz w:val="20"/>
        </w:rPr>
        <w:t xml:space="preserve">, </w:t>
      </w:r>
      <w:r w:rsidR="00754D6F" w:rsidRPr="006C540D">
        <w:rPr>
          <w:sz w:val="20"/>
        </w:rPr>
        <w:t>Fig</w:t>
      </w:r>
      <w:r w:rsidR="00B17311">
        <w:rPr>
          <w:sz w:val="20"/>
        </w:rPr>
        <w:t>ure</w:t>
      </w:r>
      <w:r w:rsidR="00754D6F" w:rsidRPr="006C540D">
        <w:rPr>
          <w:sz w:val="20"/>
        </w:rPr>
        <w:t xml:space="preserve"> S2:</w:t>
      </w:r>
      <w:r w:rsidR="00754D6F" w:rsidRPr="006C540D">
        <w:rPr>
          <w:rFonts w:eastAsia="+mn-ea" w:cs="+mn-cs"/>
          <w:kern w:val="24"/>
          <w:sz w:val="20"/>
        </w:rPr>
        <w:t xml:space="preserve"> Analysis of the </w:t>
      </w:r>
      <w:r w:rsidR="00754D6F" w:rsidRPr="006C540D">
        <w:rPr>
          <w:rFonts w:eastAsia="+mn-ea" w:cs="+mn-cs"/>
          <w:i/>
          <w:iCs/>
          <w:kern w:val="24"/>
          <w:sz w:val="20"/>
        </w:rPr>
        <w:t>ace-1</w:t>
      </w:r>
      <w:r w:rsidR="00754D6F" w:rsidRPr="006C540D">
        <w:rPr>
          <w:rFonts w:eastAsia="+mn-ea" w:cs="+mn-cs"/>
          <w:kern w:val="24"/>
          <w:sz w:val="20"/>
        </w:rPr>
        <w:t xml:space="preserve"> fragment encompassing the 119 codon. </w:t>
      </w:r>
      <w:r w:rsidR="00754D6F" w:rsidRPr="006C540D">
        <w:rPr>
          <w:rFonts w:eastAsia="+mn-ea" w:cs="+mn-cs"/>
          <w:b/>
          <w:bCs/>
          <w:kern w:val="24"/>
          <w:sz w:val="20"/>
        </w:rPr>
        <w:t xml:space="preserve">a. </w:t>
      </w:r>
      <w:r w:rsidR="00754D6F" w:rsidRPr="006C540D">
        <w:rPr>
          <w:rFonts w:eastAsia="+mn-ea" w:cs="+mn-cs"/>
          <w:kern w:val="24"/>
          <w:sz w:val="20"/>
        </w:rPr>
        <w:t xml:space="preserve">pattern of genetic variability of sequences from 12 bendiocarb-alive and -12 dead females; </w:t>
      </w:r>
      <w:r w:rsidR="00754D6F" w:rsidRPr="006C540D">
        <w:rPr>
          <w:rFonts w:eastAsia="+mn-ea" w:cs="+mn-cs"/>
          <w:b/>
          <w:bCs/>
          <w:kern w:val="24"/>
          <w:sz w:val="20"/>
        </w:rPr>
        <w:t>b.</w:t>
      </w:r>
      <w:r w:rsidR="00754D6F" w:rsidRPr="006C540D">
        <w:rPr>
          <w:rFonts w:eastAsia="+mn-ea" w:cs="+mn-cs"/>
          <w:kern w:val="24"/>
          <w:sz w:val="20"/>
        </w:rPr>
        <w:t xml:space="preserve"> a maximum likelihood phylogenetic tree of the sequences., Fig</w:t>
      </w:r>
      <w:r w:rsidR="00B17311">
        <w:rPr>
          <w:rFonts w:eastAsia="+mn-ea" w:cs="+mn-cs"/>
          <w:kern w:val="24"/>
          <w:sz w:val="20"/>
        </w:rPr>
        <w:t>ure</w:t>
      </w:r>
      <w:r w:rsidR="00754D6F" w:rsidRPr="006C540D">
        <w:rPr>
          <w:rFonts w:eastAsia="+mn-ea" w:cs="+mn-cs"/>
          <w:kern w:val="24"/>
          <w:sz w:val="20"/>
        </w:rPr>
        <w:t xml:space="preserve"> S3: Analysis of the </w:t>
      </w:r>
      <w:r w:rsidR="00754D6F" w:rsidRPr="006C540D">
        <w:rPr>
          <w:rFonts w:eastAsia="+mn-ea" w:cs="+mn-cs"/>
          <w:i/>
          <w:iCs/>
          <w:kern w:val="24"/>
          <w:sz w:val="20"/>
        </w:rPr>
        <w:t>ace-1</w:t>
      </w:r>
      <w:r w:rsidR="00754D6F" w:rsidRPr="006C540D">
        <w:rPr>
          <w:rFonts w:eastAsia="+mn-ea" w:cs="+mn-cs"/>
          <w:kern w:val="24"/>
          <w:sz w:val="20"/>
        </w:rPr>
        <w:t xml:space="preserve"> fragment encompassing the 485 codon</w:t>
      </w:r>
      <w:r w:rsidR="00754D6F" w:rsidRPr="006C540D">
        <w:rPr>
          <w:rFonts w:eastAsia="+mn-ea" w:cs="+mn-cs"/>
          <w:b/>
          <w:bCs/>
          <w:kern w:val="24"/>
          <w:sz w:val="20"/>
        </w:rPr>
        <w:t>. a.</w:t>
      </w:r>
      <w:r w:rsidR="00754D6F" w:rsidRPr="006C540D">
        <w:rPr>
          <w:rFonts w:eastAsia="+mn-ea" w:cs="+mn-cs"/>
          <w:kern w:val="24"/>
          <w:sz w:val="20"/>
        </w:rPr>
        <w:t xml:space="preserve"> pattern of genetic variability of sequences from 12 bendiocarb-alive and -12 dead females; </w:t>
      </w:r>
      <w:r w:rsidR="00754D6F" w:rsidRPr="006C540D">
        <w:rPr>
          <w:rFonts w:eastAsia="+mn-ea" w:cs="+mn-cs"/>
          <w:b/>
          <w:bCs/>
          <w:kern w:val="24"/>
          <w:sz w:val="20"/>
        </w:rPr>
        <w:t>b.</w:t>
      </w:r>
      <w:r w:rsidR="00754D6F" w:rsidRPr="006C540D">
        <w:rPr>
          <w:rFonts w:eastAsia="+mn-ea" w:cs="+mn-cs"/>
          <w:kern w:val="24"/>
          <w:sz w:val="20"/>
        </w:rPr>
        <w:t xml:space="preserve"> a maximum likelihood phylogenetic tree of the sequences., Fig</w:t>
      </w:r>
      <w:r w:rsidR="00D60A2C">
        <w:rPr>
          <w:rFonts w:eastAsia="+mn-ea" w:cs="+mn-cs"/>
          <w:kern w:val="24"/>
          <w:sz w:val="20"/>
        </w:rPr>
        <w:t>ure</w:t>
      </w:r>
      <w:r w:rsidR="00754D6F" w:rsidRPr="006C540D">
        <w:rPr>
          <w:rFonts w:eastAsia="+mn-ea" w:cs="+mn-cs"/>
          <w:kern w:val="24"/>
          <w:sz w:val="20"/>
        </w:rPr>
        <w:t xml:space="preserve"> S4: Analysis of the </w:t>
      </w:r>
      <w:r w:rsidR="00754D6F" w:rsidRPr="006C540D">
        <w:rPr>
          <w:rFonts w:eastAsia="+mn-ea" w:cs="+mn-cs"/>
          <w:i/>
          <w:iCs/>
          <w:kern w:val="24"/>
          <w:sz w:val="20"/>
        </w:rPr>
        <w:t>VGSC</w:t>
      </w:r>
      <w:r w:rsidR="00754D6F" w:rsidRPr="006C540D">
        <w:rPr>
          <w:rFonts w:eastAsia="+mn-ea" w:cs="+mn-cs"/>
          <w:kern w:val="24"/>
          <w:sz w:val="20"/>
        </w:rPr>
        <w:t xml:space="preserve"> fragment encompassing the 1014 </w:t>
      </w:r>
      <w:proofErr w:type="spellStart"/>
      <w:r w:rsidR="00754D6F" w:rsidRPr="006C540D">
        <w:rPr>
          <w:rFonts w:eastAsia="+mn-ea" w:cs="+mn-cs"/>
          <w:i/>
          <w:iCs/>
          <w:kern w:val="24"/>
          <w:sz w:val="20"/>
        </w:rPr>
        <w:t>kdr</w:t>
      </w:r>
      <w:proofErr w:type="spellEnd"/>
      <w:r w:rsidR="00754D6F" w:rsidRPr="006C540D">
        <w:rPr>
          <w:rFonts w:eastAsia="+mn-ea" w:cs="+mn-cs"/>
          <w:i/>
          <w:iCs/>
          <w:kern w:val="24"/>
          <w:sz w:val="20"/>
        </w:rPr>
        <w:t xml:space="preserve"> </w:t>
      </w:r>
      <w:r w:rsidR="00754D6F" w:rsidRPr="006C540D">
        <w:rPr>
          <w:rFonts w:eastAsia="+mn-ea" w:cs="+mn-cs"/>
          <w:kern w:val="24"/>
          <w:sz w:val="20"/>
        </w:rPr>
        <w:t xml:space="preserve">mutation codon. </w:t>
      </w:r>
      <w:r w:rsidR="00754D6F" w:rsidRPr="006C540D">
        <w:rPr>
          <w:rFonts w:eastAsia="+mn-ea" w:cs="+mn-cs"/>
          <w:b/>
          <w:bCs/>
          <w:kern w:val="24"/>
          <w:sz w:val="20"/>
        </w:rPr>
        <w:t>a.</w:t>
      </w:r>
      <w:r w:rsidR="00754D6F" w:rsidRPr="006C540D">
        <w:rPr>
          <w:rFonts w:eastAsia="+mn-ea" w:cs="+mn-cs"/>
          <w:kern w:val="24"/>
          <w:sz w:val="20"/>
        </w:rPr>
        <w:t xml:space="preserve"> pattern of genetic variability of 30 sequences from randomly selected F</w:t>
      </w:r>
      <w:r w:rsidR="00754D6F" w:rsidRPr="006C540D">
        <w:rPr>
          <w:rFonts w:eastAsia="+mn-ea" w:cs="+mn-cs"/>
          <w:kern w:val="24"/>
          <w:sz w:val="20"/>
          <w:vertAlign w:val="subscript"/>
        </w:rPr>
        <w:t>0</w:t>
      </w:r>
      <w:r w:rsidR="00754D6F" w:rsidRPr="006C540D">
        <w:rPr>
          <w:rFonts w:eastAsia="+mn-ea" w:cs="+mn-cs"/>
          <w:kern w:val="24"/>
          <w:sz w:val="20"/>
        </w:rPr>
        <w:t xml:space="preserve"> females; </w:t>
      </w:r>
      <w:r w:rsidR="00754D6F" w:rsidRPr="006C540D">
        <w:rPr>
          <w:rFonts w:eastAsia="+mn-ea" w:cs="+mn-cs"/>
          <w:b/>
          <w:bCs/>
          <w:kern w:val="24"/>
          <w:sz w:val="20"/>
        </w:rPr>
        <w:t>b.</w:t>
      </w:r>
      <w:r w:rsidR="00754D6F" w:rsidRPr="006C540D">
        <w:rPr>
          <w:rFonts w:eastAsia="+mn-ea" w:cs="+mn-cs"/>
          <w:kern w:val="24"/>
          <w:sz w:val="20"/>
        </w:rPr>
        <w:t xml:space="preserve"> a maximum likelihood phylogenetic tree of the sequences., </w:t>
      </w:r>
      <w:r w:rsidRPr="006C540D">
        <w:rPr>
          <w:sz w:val="20"/>
        </w:rPr>
        <w:t xml:space="preserve">Table S1: </w:t>
      </w:r>
      <w:r w:rsidR="00754D6F" w:rsidRPr="006C540D">
        <w:rPr>
          <w:bCs/>
          <w:sz w:val="20"/>
        </w:rPr>
        <w:t xml:space="preserve">Summary statistics for polymorphism of a fragment of </w:t>
      </w:r>
      <w:r w:rsidR="00754D6F" w:rsidRPr="006C540D">
        <w:rPr>
          <w:bCs/>
          <w:i/>
          <w:sz w:val="20"/>
        </w:rPr>
        <w:t>acetylcholinesterase</w:t>
      </w:r>
      <w:r w:rsidR="00754D6F" w:rsidRPr="006C540D">
        <w:rPr>
          <w:bCs/>
          <w:sz w:val="20"/>
        </w:rPr>
        <w:t>-1 encompassing the 119 codon for alive and dead mosquitoes</w:t>
      </w:r>
      <w:r w:rsidRPr="006C540D">
        <w:rPr>
          <w:bCs/>
          <w:sz w:val="20"/>
        </w:rPr>
        <w:t xml:space="preserve">, </w:t>
      </w:r>
      <w:r w:rsidR="00754D6F" w:rsidRPr="006C540D">
        <w:rPr>
          <w:bCs/>
          <w:sz w:val="20"/>
        </w:rPr>
        <w:t xml:space="preserve">Table S2: </w:t>
      </w:r>
      <w:r w:rsidR="00754D6F" w:rsidRPr="006C540D">
        <w:rPr>
          <w:sz w:val="20"/>
        </w:rPr>
        <w:t xml:space="preserve">Summary statistics for polymorphism of a fragment of </w:t>
      </w:r>
      <w:r w:rsidR="00754D6F" w:rsidRPr="006C540D">
        <w:rPr>
          <w:i/>
          <w:sz w:val="20"/>
        </w:rPr>
        <w:t>acetylcholinesterase</w:t>
      </w:r>
      <w:r w:rsidR="00754D6F" w:rsidRPr="006C540D">
        <w:rPr>
          <w:sz w:val="20"/>
        </w:rPr>
        <w:t xml:space="preserve">-1 encompassing the 485 codon for alive and dead mosquitoes, Table S3: </w:t>
      </w:r>
      <w:r w:rsidR="00754D6F" w:rsidRPr="006C540D">
        <w:rPr>
          <w:bCs/>
          <w:sz w:val="20"/>
        </w:rPr>
        <w:t>Summary statistics for polymorphism of a fragment of voltage-gated sodium channel encompassing the 1014 codon for the field F</w:t>
      </w:r>
      <w:r w:rsidR="00754D6F" w:rsidRPr="006C540D">
        <w:rPr>
          <w:bCs/>
          <w:sz w:val="20"/>
          <w:vertAlign w:val="subscript"/>
        </w:rPr>
        <w:t>0</w:t>
      </w:r>
      <w:r w:rsidR="00754D6F" w:rsidRPr="006C540D">
        <w:rPr>
          <w:bCs/>
          <w:sz w:val="20"/>
        </w:rPr>
        <w:t xml:space="preserve"> females, File S1: Analyzed sequences (gDNA partial fragments) from encompassing the G119S and N485I of </w:t>
      </w:r>
      <w:r w:rsidR="00754D6F" w:rsidRPr="006C540D">
        <w:rPr>
          <w:bCs/>
          <w:i/>
          <w:iCs/>
          <w:sz w:val="20"/>
        </w:rPr>
        <w:t>acetylcholinesterase-</w:t>
      </w:r>
      <w:r w:rsidR="00754D6F" w:rsidRPr="006C540D">
        <w:rPr>
          <w:bCs/>
          <w:sz w:val="20"/>
        </w:rPr>
        <w:t xml:space="preserve">1 gene and sequences from the </w:t>
      </w:r>
      <w:r w:rsidR="00F6210D" w:rsidRPr="006C540D">
        <w:rPr>
          <w:bCs/>
          <w:sz w:val="20"/>
        </w:rPr>
        <w:t>partial fragment of the voltage-gated sodium channel spanning the 1014</w:t>
      </w:r>
      <w:r w:rsidR="00F6210D" w:rsidRPr="009122BE">
        <w:rPr>
          <w:bCs/>
          <w:sz w:val="20"/>
        </w:rPr>
        <w:t>th</w:t>
      </w:r>
      <w:r w:rsidR="00F6210D" w:rsidRPr="006C540D">
        <w:rPr>
          <w:bCs/>
          <w:sz w:val="20"/>
        </w:rPr>
        <w:t xml:space="preserve"> codon</w:t>
      </w:r>
      <w:r w:rsidRPr="006C540D">
        <w:rPr>
          <w:sz w:val="20"/>
        </w:rPr>
        <w:t xml:space="preserve">. </w:t>
      </w:r>
    </w:p>
    <w:p w14:paraId="086D5244" w14:textId="5FEB4E95" w:rsidR="00050B61" w:rsidRPr="006C540D" w:rsidRDefault="00E84CEA" w:rsidP="006C540D">
      <w:pPr>
        <w:pStyle w:val="MDPI62Acknowledgments"/>
      </w:pPr>
      <w:r w:rsidRPr="006C540D">
        <w:rPr>
          <w:b/>
        </w:rPr>
        <w:t xml:space="preserve">Author Contributions: </w:t>
      </w:r>
      <w:r w:rsidR="00C30683" w:rsidRPr="006C540D">
        <w:t xml:space="preserve">Conceptualization, </w:t>
      </w:r>
      <w:r w:rsidR="00901C6A">
        <w:t>S.I.S.</w:t>
      </w:r>
      <w:r w:rsidR="00C30683" w:rsidRPr="006C540D">
        <w:t xml:space="preserve"> and </w:t>
      </w:r>
      <w:r w:rsidR="00901C6A">
        <w:t>C.S.W.</w:t>
      </w:r>
      <w:r w:rsidR="00C30683" w:rsidRPr="006C540D">
        <w:t xml:space="preserve">; Data curation, </w:t>
      </w:r>
      <w:r w:rsidR="00901C6A">
        <w:t>S.I.S.</w:t>
      </w:r>
      <w:r w:rsidR="00C30683" w:rsidRPr="006C540D">
        <w:t xml:space="preserve">; Formal analysis, </w:t>
      </w:r>
      <w:r w:rsidR="00901C6A">
        <w:t>S.I.S.</w:t>
      </w:r>
      <w:r w:rsidR="00C30683" w:rsidRPr="006C540D">
        <w:t xml:space="preserve">, </w:t>
      </w:r>
      <w:r w:rsidR="00901C6A">
        <w:t>J.M.R.</w:t>
      </w:r>
      <w:r w:rsidR="00C30683" w:rsidRPr="006C540D">
        <w:t xml:space="preserve">, </w:t>
      </w:r>
      <w:r w:rsidR="00901C6A">
        <w:t>A.N.F.</w:t>
      </w:r>
      <w:r w:rsidR="00C30683" w:rsidRPr="006C540D">
        <w:t xml:space="preserve">, </w:t>
      </w:r>
      <w:r w:rsidR="00901C6A">
        <w:t>W.T.</w:t>
      </w:r>
      <w:r w:rsidR="00C30683" w:rsidRPr="006C540D">
        <w:t xml:space="preserve"> and </w:t>
      </w:r>
      <w:r w:rsidR="00901C6A">
        <w:t>J.H.</w:t>
      </w:r>
      <w:r w:rsidR="00C30683" w:rsidRPr="006C540D">
        <w:t xml:space="preserve">; Funding acquisition, </w:t>
      </w:r>
      <w:r w:rsidR="00901C6A">
        <w:t>S.I.S.</w:t>
      </w:r>
      <w:r w:rsidR="00C30683" w:rsidRPr="006C540D">
        <w:t xml:space="preserve">; Investigation, </w:t>
      </w:r>
      <w:r w:rsidR="00901C6A">
        <w:t>S.I.S.</w:t>
      </w:r>
      <w:r w:rsidR="00C30683" w:rsidRPr="006C540D">
        <w:t xml:space="preserve">, </w:t>
      </w:r>
      <w:r w:rsidR="00901C6A">
        <w:t>M.M.M.</w:t>
      </w:r>
      <w:r w:rsidR="00C30683" w:rsidRPr="006C540D">
        <w:t xml:space="preserve">, </w:t>
      </w:r>
      <w:r w:rsidR="00901C6A">
        <w:t>H.I.</w:t>
      </w:r>
      <w:r w:rsidR="00C30683" w:rsidRPr="006C540D">
        <w:t xml:space="preserve">, </w:t>
      </w:r>
      <w:r w:rsidR="00901C6A">
        <w:t>A.N.F.</w:t>
      </w:r>
      <w:r w:rsidR="00C30683" w:rsidRPr="006C540D">
        <w:t xml:space="preserve">, </w:t>
      </w:r>
      <w:r w:rsidR="00901C6A">
        <w:t>W.T.</w:t>
      </w:r>
      <w:r w:rsidR="00C30683" w:rsidRPr="006C540D">
        <w:t xml:space="preserve"> and </w:t>
      </w:r>
      <w:r w:rsidR="00901C6A">
        <w:t>A.M.</w:t>
      </w:r>
      <w:r w:rsidR="00C30683" w:rsidRPr="006C540D">
        <w:t xml:space="preserve">; Methodology, </w:t>
      </w:r>
      <w:r w:rsidR="00901C6A">
        <w:t>S.I.S.</w:t>
      </w:r>
      <w:r w:rsidR="00C30683" w:rsidRPr="006C540D">
        <w:t xml:space="preserve">, </w:t>
      </w:r>
      <w:r w:rsidR="00901C6A">
        <w:t>H.I.</w:t>
      </w:r>
      <w:r w:rsidR="00C30683" w:rsidRPr="006C540D">
        <w:t xml:space="preserve">, </w:t>
      </w:r>
      <w:r w:rsidR="00901C6A">
        <w:t>J.M.R.</w:t>
      </w:r>
      <w:r w:rsidR="00C30683" w:rsidRPr="006C540D">
        <w:t xml:space="preserve">, </w:t>
      </w:r>
      <w:r w:rsidR="00901C6A">
        <w:t>F.S.</w:t>
      </w:r>
      <w:r w:rsidR="00C30683" w:rsidRPr="006C540D">
        <w:t xml:space="preserve"> and </w:t>
      </w:r>
      <w:r w:rsidR="00901C6A">
        <w:t>C.S.W.</w:t>
      </w:r>
      <w:r w:rsidR="00C30683" w:rsidRPr="006C540D">
        <w:t xml:space="preserve">; Project administration, </w:t>
      </w:r>
      <w:r w:rsidR="00901C6A">
        <w:t>S.S.I.</w:t>
      </w:r>
      <w:r w:rsidR="00C30683" w:rsidRPr="006C540D">
        <w:t xml:space="preserve"> and </w:t>
      </w:r>
      <w:r w:rsidR="00901C6A">
        <w:t>C.S.W.</w:t>
      </w:r>
      <w:r w:rsidR="00C30683" w:rsidRPr="006C540D">
        <w:t xml:space="preserve">; Resources, </w:t>
      </w:r>
      <w:r w:rsidR="00901C6A">
        <w:t>S.I.S.</w:t>
      </w:r>
      <w:r w:rsidR="00C30683" w:rsidRPr="006C540D">
        <w:t xml:space="preserve">, </w:t>
      </w:r>
      <w:r w:rsidR="00901C6A">
        <w:t>F.S.</w:t>
      </w:r>
      <w:r w:rsidR="00C30683" w:rsidRPr="006C540D">
        <w:t xml:space="preserve"> and </w:t>
      </w:r>
      <w:r w:rsidR="00901C6A">
        <w:t>C.S.W.</w:t>
      </w:r>
      <w:r w:rsidR="00C30683" w:rsidRPr="006C540D">
        <w:t xml:space="preserve">; Supervision, </w:t>
      </w:r>
      <w:r w:rsidR="00901C6A">
        <w:t>C.S.W.</w:t>
      </w:r>
      <w:r w:rsidR="00C30683" w:rsidRPr="006C540D">
        <w:t xml:space="preserve">; Validation, </w:t>
      </w:r>
      <w:r w:rsidR="00901C6A">
        <w:t>J.M.R.</w:t>
      </w:r>
      <w:r w:rsidR="00C30683" w:rsidRPr="006C540D">
        <w:t xml:space="preserve">, </w:t>
      </w:r>
      <w:r w:rsidR="00901C6A">
        <w:t>J.H.</w:t>
      </w:r>
      <w:r w:rsidR="00C30683" w:rsidRPr="006C540D">
        <w:t xml:space="preserve"> and </w:t>
      </w:r>
      <w:r w:rsidR="00901C6A">
        <w:t>C.S.W.</w:t>
      </w:r>
      <w:r w:rsidR="00C30683" w:rsidRPr="006C540D">
        <w:t>; Visualization,</w:t>
      </w:r>
      <w:r w:rsidR="00901C6A">
        <w:t xml:space="preserve"> S.S.I.; Writing–</w:t>
      </w:r>
      <w:r w:rsidR="00C30683" w:rsidRPr="006C540D">
        <w:t xml:space="preserve">original draft, </w:t>
      </w:r>
      <w:r w:rsidR="00901C6A">
        <w:t>S.I.S.; Writing–</w:t>
      </w:r>
      <w:r w:rsidR="00C30683" w:rsidRPr="006C540D">
        <w:t xml:space="preserve">review &amp; editing, </w:t>
      </w:r>
      <w:r w:rsidR="00901C6A">
        <w:t>S.I.S.</w:t>
      </w:r>
      <w:r w:rsidR="00C30683" w:rsidRPr="006C540D">
        <w:t xml:space="preserve">, </w:t>
      </w:r>
      <w:r w:rsidR="00901C6A">
        <w:t>J.M.R.</w:t>
      </w:r>
      <w:r w:rsidR="00C30683" w:rsidRPr="006C540D">
        <w:t xml:space="preserve">, </w:t>
      </w:r>
      <w:r w:rsidR="00901C6A">
        <w:t>J.H.</w:t>
      </w:r>
      <w:r w:rsidR="00C30683" w:rsidRPr="006C540D">
        <w:t xml:space="preserve">, </w:t>
      </w:r>
      <w:r w:rsidR="00901C6A">
        <w:t>F.S.</w:t>
      </w:r>
      <w:r w:rsidR="00C30683" w:rsidRPr="006C540D">
        <w:t xml:space="preserve"> and </w:t>
      </w:r>
      <w:r w:rsidR="00901C6A">
        <w:t>C.S.W.</w:t>
      </w:r>
      <w:r w:rsidR="00C30683" w:rsidRPr="006C540D">
        <w:t>.</w:t>
      </w:r>
    </w:p>
    <w:p w14:paraId="5A3A0545" w14:textId="4600F299" w:rsidR="00CE673E" w:rsidRPr="006C540D" w:rsidRDefault="00CE673E" w:rsidP="006C540D">
      <w:pPr>
        <w:pStyle w:val="MDPI62Acknowledgments"/>
      </w:pPr>
      <w:r w:rsidRPr="006C540D">
        <w:rPr>
          <w:b/>
        </w:rPr>
        <w:t xml:space="preserve">Funding: </w:t>
      </w:r>
      <w:r w:rsidRPr="006C540D">
        <w:t xml:space="preserve">This research was funded by </w:t>
      </w:r>
      <w:proofErr w:type="spellStart"/>
      <w:r w:rsidR="00050B61" w:rsidRPr="006C540D">
        <w:t>Wellcome</w:t>
      </w:r>
      <w:proofErr w:type="spellEnd"/>
      <w:r w:rsidR="00050B61" w:rsidRPr="006C540D">
        <w:t xml:space="preserve"> </w:t>
      </w:r>
      <w:r w:rsidR="00050B61" w:rsidRPr="009122BE">
        <w:t>Trust (</w:t>
      </w:r>
      <w:r w:rsidR="00050B61" w:rsidRPr="001416FF">
        <w:t>https://wellcome.ac.uk/</w:t>
      </w:r>
      <w:r w:rsidR="00050B61" w:rsidRPr="009122BE">
        <w:t>), grant</w:t>
      </w:r>
      <w:r w:rsidR="00050B61" w:rsidRPr="006C540D">
        <w:t xml:space="preserve"> number WT201918/Z/16/Z and the APC was funded by the </w:t>
      </w:r>
      <w:proofErr w:type="spellStart"/>
      <w:r w:rsidR="00050B61" w:rsidRPr="006C540D">
        <w:t>Wellcome</w:t>
      </w:r>
      <w:proofErr w:type="spellEnd"/>
      <w:r w:rsidR="00050B61" w:rsidRPr="006C540D">
        <w:t xml:space="preserve"> Trust.</w:t>
      </w:r>
    </w:p>
    <w:p w14:paraId="7EE904F9" w14:textId="77777777" w:rsidR="00863B26" w:rsidRPr="006C540D" w:rsidRDefault="0069077C" w:rsidP="006C540D">
      <w:pPr>
        <w:pStyle w:val="MDPI62Acknowledgments"/>
      </w:pPr>
      <w:r w:rsidRPr="006C540D">
        <w:rPr>
          <w:b/>
        </w:rPr>
        <w:t>Acknowledgments:</w:t>
      </w:r>
      <w:r w:rsidRPr="006C540D">
        <w:t xml:space="preserve"> </w:t>
      </w:r>
      <w:r w:rsidR="00050B61" w:rsidRPr="006C540D">
        <w:t>Not Applicable</w:t>
      </w:r>
    </w:p>
    <w:p w14:paraId="1E8E49A0" w14:textId="13DEEC36" w:rsidR="00863B26" w:rsidRPr="006C540D" w:rsidRDefault="00863B26" w:rsidP="006C540D">
      <w:pPr>
        <w:pStyle w:val="MDPI64CoI"/>
      </w:pPr>
      <w:r w:rsidRPr="006C540D">
        <w:rPr>
          <w:b/>
        </w:rPr>
        <w:t>Conflicts of Interest</w:t>
      </w:r>
      <w:r w:rsidR="00050B61" w:rsidRPr="006C540D">
        <w:rPr>
          <w:b/>
        </w:rPr>
        <w:t>:</w:t>
      </w:r>
      <w:r w:rsidRPr="006C540D">
        <w:t xml:space="preserve"> The authors declare no conflict of interest.</w:t>
      </w:r>
      <w:r w:rsidR="00050B61" w:rsidRPr="006C540D">
        <w:t xml:space="preserve"> </w:t>
      </w:r>
      <w:r w:rsidRPr="006C540D">
        <w:t xml:space="preserve">The </w:t>
      </w:r>
      <w:r w:rsidR="00C1077A" w:rsidRPr="006C540D">
        <w:t>funders</w:t>
      </w:r>
      <w:r w:rsidRPr="006C540D">
        <w:t xml:space="preserve"> had no role in the design of the study; in the collection, analyses, or interpretation of data; in the writing of the </w:t>
      </w:r>
      <w:r w:rsidR="00D9589C" w:rsidRPr="006C540D">
        <w:t xml:space="preserve">manuscript, or in the </w:t>
      </w:r>
      <w:r w:rsidRPr="006C540D">
        <w:t>decision to publish the results.</w:t>
      </w:r>
    </w:p>
    <w:p w14:paraId="6B5C1D1F" w14:textId="77777777" w:rsidR="00050B61" w:rsidRPr="006C540D" w:rsidRDefault="006E06CC" w:rsidP="006C540D">
      <w:pPr>
        <w:pStyle w:val="MDPI21heading1"/>
      </w:pPr>
      <w:r w:rsidRPr="006C540D">
        <w:t>References</w:t>
      </w:r>
    </w:p>
    <w:p w14:paraId="368F2542"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Pr>
          <w:rFonts w:ascii="Palatino Linotype" w:eastAsia="Times New Roman" w:hAnsi="Palatino Linotype"/>
          <w:iCs/>
          <w:sz w:val="18"/>
          <w:szCs w:val="18"/>
          <w:lang w:eastAsia="zh-CN"/>
        </w:rPr>
        <w:t xml:space="preserve">WHO. </w:t>
      </w:r>
      <w:r w:rsidRPr="0012274F">
        <w:rPr>
          <w:rFonts w:ascii="Palatino Linotype" w:eastAsia="Times New Roman" w:hAnsi="Palatino Linotype"/>
          <w:i/>
          <w:iCs/>
          <w:sz w:val="18"/>
          <w:szCs w:val="18"/>
          <w:lang w:eastAsia="zh-CN"/>
        </w:rPr>
        <w:t>World Malaria Report</w:t>
      </w:r>
      <w:r w:rsidRPr="0012274F">
        <w:rPr>
          <w:rFonts w:ascii="Palatino Linotype" w:hAnsi="Palatino Linotype"/>
          <w:sz w:val="18"/>
          <w:szCs w:val="18"/>
          <w:lang w:eastAsia="zh-CN"/>
        </w:rPr>
        <w:t>; World Health Organization: Geneva, Switzerland, 2011.</w:t>
      </w:r>
    </w:p>
    <w:p w14:paraId="2C951A5D"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Alonso, P.; Noor, A.M. The global fight against malaria is at crossroads. </w:t>
      </w:r>
      <w:r w:rsidRPr="0012274F">
        <w:rPr>
          <w:rFonts w:ascii="Palatino Linotype" w:hAnsi="Palatino Linotype"/>
          <w:i/>
          <w:iCs/>
          <w:sz w:val="18"/>
          <w:szCs w:val="18"/>
          <w:lang w:eastAsia="zh-CN"/>
        </w:rPr>
        <w:t>Lancet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2017</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390</w:t>
      </w:r>
      <w:r w:rsidRPr="0012274F">
        <w:rPr>
          <w:rFonts w:ascii="Palatino Linotype" w:hAnsi="Palatino Linotype"/>
          <w:sz w:val="18"/>
          <w:szCs w:val="18"/>
          <w:lang w:eastAsia="zh-CN"/>
        </w:rPr>
        <w:t>, 2532–2534, doi:10.1016/s0140-6736(17)33080-5.</w:t>
      </w:r>
    </w:p>
    <w:p w14:paraId="6F211CE7"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WHO. </w:t>
      </w:r>
      <w:r w:rsidRPr="00AF4406">
        <w:rPr>
          <w:rFonts w:ascii="Palatino Linotype" w:hAnsi="Palatino Linotype"/>
          <w:i/>
          <w:sz w:val="18"/>
          <w:szCs w:val="18"/>
          <w:lang w:eastAsia="zh-CN"/>
        </w:rPr>
        <w:t>World Malaria Report</w:t>
      </w:r>
      <w:r>
        <w:rPr>
          <w:rFonts w:ascii="Palatino Linotype" w:hAnsi="Palatino Linotype"/>
          <w:sz w:val="18"/>
          <w:szCs w:val="18"/>
          <w:lang w:eastAsia="zh-CN"/>
        </w:rPr>
        <w:t>;</w:t>
      </w:r>
      <w:r w:rsidRPr="0012274F">
        <w:rPr>
          <w:rFonts w:ascii="Palatino Linotype" w:hAnsi="Palatino Linotype"/>
          <w:sz w:val="18"/>
          <w:szCs w:val="18"/>
          <w:lang w:eastAsia="zh-CN"/>
        </w:rPr>
        <w:t xml:space="preserve"> World Health Organisation</w:t>
      </w:r>
      <w:r>
        <w:rPr>
          <w:rFonts w:ascii="Palatino Linotype" w:hAnsi="Palatino Linotype"/>
          <w:sz w:val="18"/>
          <w:szCs w:val="18"/>
          <w:lang w:eastAsia="zh-CN"/>
        </w:rPr>
        <w:t>:</w:t>
      </w:r>
      <w:r w:rsidRPr="0012274F">
        <w:rPr>
          <w:rFonts w:ascii="Palatino Linotype" w:hAnsi="Palatino Linotype"/>
          <w:sz w:val="18"/>
          <w:szCs w:val="18"/>
          <w:lang w:eastAsia="zh-CN"/>
        </w:rPr>
        <w:t xml:space="preserve"> Geneva, Switzerland, 2017</w:t>
      </w:r>
      <w:r>
        <w:rPr>
          <w:rFonts w:ascii="Palatino Linotype" w:hAnsi="Palatino Linotype"/>
          <w:sz w:val="18"/>
          <w:szCs w:val="18"/>
          <w:lang w:eastAsia="zh-CN"/>
        </w:rPr>
        <w:t>;</w:t>
      </w:r>
      <w:r w:rsidRPr="0012274F">
        <w:rPr>
          <w:rFonts w:ascii="Palatino Linotype" w:hAnsi="Palatino Linotype"/>
          <w:sz w:val="18"/>
          <w:szCs w:val="18"/>
          <w:lang w:eastAsia="zh-CN"/>
        </w:rPr>
        <w:t xml:space="preserve"> ISBN 978-92-4-156552-3.</w:t>
      </w:r>
    </w:p>
    <w:p w14:paraId="645EAFD2"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Ohiri</w:t>
      </w:r>
      <w:proofErr w:type="spellEnd"/>
      <w:r w:rsidRPr="0012274F">
        <w:rPr>
          <w:rFonts w:ascii="Palatino Linotype" w:hAnsi="Palatino Linotype"/>
          <w:sz w:val="18"/>
          <w:szCs w:val="18"/>
          <w:lang w:eastAsia="zh-CN"/>
        </w:rPr>
        <w:t xml:space="preserve">, K.; </w:t>
      </w:r>
      <w:proofErr w:type="spellStart"/>
      <w:r w:rsidRPr="0012274F">
        <w:rPr>
          <w:rFonts w:ascii="Palatino Linotype" w:hAnsi="Palatino Linotype"/>
          <w:sz w:val="18"/>
          <w:szCs w:val="18"/>
          <w:lang w:eastAsia="zh-CN"/>
        </w:rPr>
        <w:t>Ukoha</w:t>
      </w:r>
      <w:proofErr w:type="spellEnd"/>
      <w:r w:rsidRPr="0012274F">
        <w:rPr>
          <w:rFonts w:ascii="Palatino Linotype" w:hAnsi="Palatino Linotype"/>
          <w:sz w:val="18"/>
          <w:szCs w:val="18"/>
          <w:lang w:eastAsia="zh-CN"/>
        </w:rPr>
        <w:t xml:space="preserve">, N.K.; </w:t>
      </w:r>
      <w:proofErr w:type="spellStart"/>
      <w:r w:rsidRPr="0012274F">
        <w:rPr>
          <w:rFonts w:ascii="Palatino Linotype" w:hAnsi="Palatino Linotype"/>
          <w:sz w:val="18"/>
          <w:szCs w:val="18"/>
          <w:lang w:eastAsia="zh-CN"/>
        </w:rPr>
        <w:t>Nwangwu</w:t>
      </w:r>
      <w:proofErr w:type="spellEnd"/>
      <w:r w:rsidRPr="0012274F">
        <w:rPr>
          <w:rFonts w:ascii="Palatino Linotype" w:hAnsi="Palatino Linotype"/>
          <w:sz w:val="18"/>
          <w:szCs w:val="18"/>
          <w:lang w:eastAsia="zh-CN"/>
        </w:rPr>
        <w:t xml:space="preserve">, C.W.; </w:t>
      </w:r>
      <w:proofErr w:type="spellStart"/>
      <w:r w:rsidRPr="0012274F">
        <w:rPr>
          <w:rFonts w:ascii="Palatino Linotype" w:hAnsi="Palatino Linotype"/>
          <w:sz w:val="18"/>
          <w:szCs w:val="18"/>
          <w:lang w:eastAsia="zh-CN"/>
        </w:rPr>
        <w:t>Chima</w:t>
      </w:r>
      <w:proofErr w:type="spellEnd"/>
      <w:r w:rsidRPr="0012274F">
        <w:rPr>
          <w:rFonts w:ascii="Palatino Linotype" w:hAnsi="Palatino Linotype"/>
          <w:sz w:val="18"/>
          <w:szCs w:val="18"/>
          <w:lang w:eastAsia="zh-CN"/>
        </w:rPr>
        <w:t xml:space="preserve">, C.C.; </w:t>
      </w:r>
      <w:proofErr w:type="spellStart"/>
      <w:r w:rsidRPr="0012274F">
        <w:rPr>
          <w:rFonts w:ascii="Palatino Linotype" w:hAnsi="Palatino Linotype"/>
          <w:sz w:val="18"/>
          <w:szCs w:val="18"/>
          <w:lang w:eastAsia="zh-CN"/>
        </w:rPr>
        <w:t>Ogundeji</w:t>
      </w:r>
      <w:proofErr w:type="spellEnd"/>
      <w:r w:rsidRPr="0012274F">
        <w:rPr>
          <w:rFonts w:ascii="Palatino Linotype" w:hAnsi="Palatino Linotype"/>
          <w:sz w:val="18"/>
          <w:szCs w:val="18"/>
          <w:lang w:eastAsia="zh-CN"/>
        </w:rPr>
        <w:t xml:space="preserve">, Y.K.; </w:t>
      </w:r>
      <w:proofErr w:type="spellStart"/>
      <w:r w:rsidRPr="0012274F">
        <w:rPr>
          <w:rFonts w:ascii="Palatino Linotype" w:hAnsi="Palatino Linotype"/>
          <w:sz w:val="18"/>
          <w:szCs w:val="18"/>
          <w:lang w:eastAsia="zh-CN"/>
        </w:rPr>
        <w:t>Rone</w:t>
      </w:r>
      <w:proofErr w:type="spellEnd"/>
      <w:r w:rsidRPr="0012274F">
        <w:rPr>
          <w:rFonts w:ascii="Palatino Linotype" w:hAnsi="Palatino Linotype"/>
          <w:sz w:val="18"/>
          <w:szCs w:val="18"/>
          <w:lang w:eastAsia="zh-CN"/>
        </w:rPr>
        <w:t xml:space="preserve">, A.; Reich, M.R. An Assessment of Data Availability, Quality, and Use in Malaria Program Decision Making in Nigeria. </w:t>
      </w:r>
      <w:r w:rsidRPr="0012274F">
        <w:rPr>
          <w:rFonts w:ascii="Palatino Linotype" w:hAnsi="Palatino Linotype"/>
          <w:i/>
          <w:iCs/>
          <w:sz w:val="18"/>
          <w:szCs w:val="18"/>
          <w:lang w:eastAsia="zh-CN"/>
        </w:rPr>
        <w:t>Heal. Syst. Reform</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lastRenderedPageBreak/>
        <w:t>2016</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2</w:t>
      </w:r>
      <w:r w:rsidRPr="0012274F">
        <w:rPr>
          <w:rFonts w:ascii="Palatino Linotype" w:hAnsi="Palatino Linotype"/>
          <w:sz w:val="18"/>
          <w:szCs w:val="18"/>
          <w:lang w:eastAsia="zh-CN"/>
        </w:rPr>
        <w:t>, 319–330, doi:10.1080/23288604.2016.1234864.</w:t>
      </w:r>
    </w:p>
    <w:p w14:paraId="1F8BE654"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Ibrahim, S.S.; Mukhtar, M.M.; </w:t>
      </w:r>
      <w:proofErr w:type="spellStart"/>
      <w:r w:rsidRPr="0012274F">
        <w:rPr>
          <w:rFonts w:ascii="Palatino Linotype" w:hAnsi="Palatino Linotype"/>
          <w:sz w:val="18"/>
          <w:szCs w:val="18"/>
          <w:lang w:eastAsia="zh-CN"/>
        </w:rPr>
        <w:t>Datti</w:t>
      </w:r>
      <w:proofErr w:type="spellEnd"/>
      <w:r w:rsidRPr="0012274F">
        <w:rPr>
          <w:rFonts w:ascii="Palatino Linotype" w:hAnsi="Palatino Linotype"/>
          <w:sz w:val="18"/>
          <w:szCs w:val="18"/>
          <w:lang w:eastAsia="zh-CN"/>
        </w:rPr>
        <w:t xml:space="preserve">, J.A.; Irving, H.; Kusimo, M.O.; Tchapga, W.; Lawal, N.; Sambo, F.I.; Wondji, C.S. Temporal escalation of Pyrethroid Resistance in the major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coluzzii</w:t>
      </w:r>
      <w:proofErr w:type="spellEnd"/>
      <w:r w:rsidRPr="0012274F">
        <w:rPr>
          <w:rFonts w:ascii="Palatino Linotype" w:hAnsi="Palatino Linotype"/>
          <w:sz w:val="18"/>
          <w:szCs w:val="18"/>
          <w:lang w:eastAsia="zh-CN"/>
        </w:rPr>
        <w:t xml:space="preserve"> from Sahelo-</w:t>
      </w:r>
      <w:proofErr w:type="spellStart"/>
      <w:r w:rsidRPr="0012274F">
        <w:rPr>
          <w:rFonts w:ascii="Palatino Linotype" w:hAnsi="Palatino Linotype"/>
          <w:sz w:val="18"/>
          <w:szCs w:val="18"/>
          <w:lang w:eastAsia="zh-CN"/>
        </w:rPr>
        <w:t>Sudanian</w:t>
      </w:r>
      <w:proofErr w:type="spellEnd"/>
      <w:r w:rsidRPr="0012274F">
        <w:rPr>
          <w:rFonts w:ascii="Palatino Linotype" w:hAnsi="Palatino Linotype"/>
          <w:sz w:val="18"/>
          <w:szCs w:val="18"/>
          <w:lang w:eastAsia="zh-CN"/>
        </w:rPr>
        <w:t xml:space="preserve"> Region of northern Nigeria. </w:t>
      </w:r>
      <w:r w:rsidRPr="0012274F">
        <w:rPr>
          <w:rFonts w:ascii="Palatino Linotype" w:hAnsi="Palatino Linotype"/>
          <w:i/>
          <w:iCs/>
          <w:sz w:val="18"/>
          <w:szCs w:val="18"/>
          <w:lang w:eastAsia="zh-CN"/>
        </w:rPr>
        <w:t>Sci. Rep.</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2019</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9</w:t>
      </w:r>
      <w:r w:rsidRPr="0012274F">
        <w:rPr>
          <w:rFonts w:ascii="Palatino Linotype" w:hAnsi="Palatino Linotype"/>
          <w:sz w:val="18"/>
          <w:szCs w:val="18"/>
          <w:lang w:eastAsia="zh-CN"/>
        </w:rPr>
        <w:t>, 7395, doi:10.1038/s41598-019-43634-4.</w:t>
      </w:r>
    </w:p>
    <w:p w14:paraId="550FF297"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Ibrahim, S.S.; Manu, Y.A</w:t>
      </w:r>
      <w:r>
        <w:rPr>
          <w:rFonts w:ascii="Palatino Linotype" w:hAnsi="Palatino Linotype"/>
          <w:sz w:val="18"/>
          <w:szCs w:val="18"/>
          <w:lang w:eastAsia="zh-CN"/>
        </w:rPr>
        <w:t>.</w:t>
      </w:r>
      <w:r w:rsidRPr="0012274F">
        <w:rPr>
          <w:rFonts w:ascii="Palatino Linotype" w:hAnsi="Palatino Linotype"/>
          <w:sz w:val="18"/>
          <w:szCs w:val="18"/>
          <w:lang w:eastAsia="zh-CN"/>
        </w:rPr>
        <w:t xml:space="preserve">; Tukur, Z.; Irving, H.; Wondji, C.S. High frequency of </w:t>
      </w:r>
      <w:proofErr w:type="spellStart"/>
      <w:r w:rsidRPr="0012274F">
        <w:rPr>
          <w:rFonts w:ascii="Palatino Linotype" w:hAnsi="Palatino Linotype"/>
          <w:sz w:val="18"/>
          <w:szCs w:val="18"/>
          <w:lang w:eastAsia="zh-CN"/>
        </w:rPr>
        <w:t>kdr</w:t>
      </w:r>
      <w:proofErr w:type="spellEnd"/>
      <w:r w:rsidRPr="0012274F">
        <w:rPr>
          <w:rFonts w:ascii="Palatino Linotype" w:hAnsi="Palatino Linotype"/>
          <w:sz w:val="18"/>
          <w:szCs w:val="18"/>
          <w:lang w:eastAsia="zh-CN"/>
        </w:rPr>
        <w:t xml:space="preserve"> L1014F is associated with pyrethroid resistance in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coluzzii</w:t>
      </w:r>
      <w:proofErr w:type="spellEnd"/>
      <w:r w:rsidRPr="0012274F">
        <w:rPr>
          <w:rFonts w:ascii="Palatino Linotype" w:hAnsi="Palatino Linotype"/>
          <w:sz w:val="18"/>
          <w:szCs w:val="18"/>
          <w:lang w:eastAsia="zh-CN"/>
        </w:rPr>
        <w:t xml:space="preserve"> in Sudan savannah of northern Nigeria. </w:t>
      </w:r>
      <w:r w:rsidRPr="0012274F">
        <w:rPr>
          <w:rFonts w:ascii="Palatino Linotype" w:hAnsi="Palatino Linotype"/>
          <w:i/>
          <w:iCs/>
          <w:sz w:val="18"/>
          <w:szCs w:val="18"/>
          <w:lang w:eastAsia="zh-CN"/>
        </w:rPr>
        <w:t>BMC Infect. Dis.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2014</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14</w:t>
      </w:r>
      <w:r w:rsidRPr="0012274F">
        <w:rPr>
          <w:rFonts w:ascii="Palatino Linotype" w:hAnsi="Palatino Linotype"/>
          <w:sz w:val="18"/>
          <w:szCs w:val="18"/>
          <w:lang w:eastAsia="zh-CN"/>
        </w:rPr>
        <w:t>, 441, doi:10.1186/1471-2334-14-441.</w:t>
      </w:r>
    </w:p>
    <w:p w14:paraId="5FDA6F08"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Oduola</w:t>
      </w:r>
      <w:proofErr w:type="spellEnd"/>
      <w:r w:rsidRPr="0012274F">
        <w:rPr>
          <w:rFonts w:ascii="Palatino Linotype" w:hAnsi="Palatino Linotype"/>
          <w:sz w:val="18"/>
          <w:szCs w:val="18"/>
          <w:lang w:eastAsia="zh-CN"/>
        </w:rPr>
        <w:t xml:space="preserve">, A.O.; Abba, E.; </w:t>
      </w:r>
      <w:proofErr w:type="spellStart"/>
      <w:r w:rsidRPr="0012274F">
        <w:rPr>
          <w:rFonts w:ascii="Palatino Linotype" w:hAnsi="Palatino Linotype"/>
          <w:sz w:val="18"/>
          <w:szCs w:val="18"/>
          <w:lang w:eastAsia="zh-CN"/>
        </w:rPr>
        <w:t>Adelaja</w:t>
      </w:r>
      <w:proofErr w:type="spellEnd"/>
      <w:r w:rsidRPr="0012274F">
        <w:rPr>
          <w:rFonts w:ascii="Palatino Linotype" w:hAnsi="Palatino Linotype"/>
          <w:sz w:val="18"/>
          <w:szCs w:val="18"/>
          <w:lang w:eastAsia="zh-CN"/>
        </w:rPr>
        <w:t>, O.; Taiwo-</w:t>
      </w:r>
      <w:proofErr w:type="spellStart"/>
      <w:r w:rsidRPr="0012274F">
        <w:rPr>
          <w:rFonts w:ascii="Palatino Linotype" w:hAnsi="Palatino Linotype"/>
          <w:sz w:val="18"/>
          <w:szCs w:val="18"/>
          <w:lang w:eastAsia="zh-CN"/>
        </w:rPr>
        <w:t>Ande</w:t>
      </w:r>
      <w:proofErr w:type="spellEnd"/>
      <w:r w:rsidRPr="0012274F">
        <w:rPr>
          <w:rFonts w:ascii="Palatino Linotype" w:hAnsi="Palatino Linotype"/>
          <w:sz w:val="18"/>
          <w:szCs w:val="18"/>
          <w:lang w:eastAsia="zh-CN"/>
        </w:rPr>
        <w:t xml:space="preserve">, A.; </w:t>
      </w:r>
      <w:proofErr w:type="spellStart"/>
      <w:r w:rsidRPr="0012274F">
        <w:rPr>
          <w:rFonts w:ascii="Palatino Linotype" w:hAnsi="Palatino Linotype"/>
          <w:sz w:val="18"/>
          <w:szCs w:val="18"/>
          <w:lang w:eastAsia="zh-CN"/>
        </w:rPr>
        <w:t>Poloma-Yoriyo</w:t>
      </w:r>
      <w:proofErr w:type="spellEnd"/>
      <w:r w:rsidRPr="0012274F">
        <w:rPr>
          <w:rFonts w:ascii="Palatino Linotype" w:hAnsi="Palatino Linotype"/>
          <w:sz w:val="18"/>
          <w:szCs w:val="18"/>
          <w:lang w:eastAsia="zh-CN"/>
        </w:rPr>
        <w:t>, K.; Samson-</w:t>
      </w:r>
      <w:proofErr w:type="spellStart"/>
      <w:r w:rsidRPr="0012274F">
        <w:rPr>
          <w:rFonts w:ascii="Palatino Linotype" w:hAnsi="Palatino Linotype"/>
          <w:sz w:val="18"/>
          <w:szCs w:val="18"/>
          <w:lang w:eastAsia="zh-CN"/>
        </w:rPr>
        <w:t>Awolola</w:t>
      </w:r>
      <w:proofErr w:type="spellEnd"/>
      <w:r w:rsidRPr="0012274F">
        <w:rPr>
          <w:rFonts w:ascii="Palatino Linotype" w:hAnsi="Palatino Linotype"/>
          <w:sz w:val="18"/>
          <w:szCs w:val="18"/>
          <w:lang w:eastAsia="zh-CN"/>
        </w:rPr>
        <w:t xml:space="preserve">, T. Widespread Report of Multiple Insecticide Resistance in Anopheles gambiae </w:t>
      </w:r>
      <w:proofErr w:type="spellStart"/>
      <w:r w:rsidRPr="0012274F">
        <w:rPr>
          <w:rFonts w:ascii="Palatino Linotype" w:hAnsi="Palatino Linotype"/>
          <w:sz w:val="18"/>
          <w:szCs w:val="18"/>
          <w:lang w:eastAsia="zh-CN"/>
        </w:rPr>
        <w:t>s.l.</w:t>
      </w:r>
      <w:proofErr w:type="spellEnd"/>
      <w:r w:rsidRPr="0012274F">
        <w:rPr>
          <w:rFonts w:ascii="Palatino Linotype" w:hAnsi="Palatino Linotype"/>
          <w:sz w:val="18"/>
          <w:szCs w:val="18"/>
          <w:lang w:eastAsia="zh-CN"/>
        </w:rPr>
        <w:t xml:space="preserve"> Mosquitoes in Eight Communities in Southern Gombe, North-Eastern Nigeria. </w:t>
      </w:r>
      <w:r w:rsidRPr="0012274F">
        <w:rPr>
          <w:rFonts w:ascii="Palatino Linotype" w:hAnsi="Palatino Linotype"/>
          <w:i/>
          <w:iCs/>
          <w:sz w:val="18"/>
          <w:szCs w:val="18"/>
          <w:lang w:eastAsia="zh-CN"/>
        </w:rPr>
        <w:t>J. Arthropod-Borne Dis.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2019</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13</w:t>
      </w:r>
      <w:r w:rsidRPr="0012274F">
        <w:rPr>
          <w:rFonts w:ascii="Palatino Linotype" w:hAnsi="Palatino Linotype"/>
          <w:sz w:val="18"/>
          <w:szCs w:val="18"/>
          <w:lang w:eastAsia="zh-CN"/>
        </w:rPr>
        <w:t>, 50–61, doi:10.18502/</w:t>
      </w:r>
      <w:proofErr w:type="gramStart"/>
      <w:r w:rsidRPr="0012274F">
        <w:rPr>
          <w:rFonts w:ascii="Palatino Linotype" w:hAnsi="Palatino Linotype"/>
          <w:sz w:val="18"/>
          <w:szCs w:val="18"/>
          <w:lang w:eastAsia="zh-CN"/>
        </w:rPr>
        <w:t>jad.v</w:t>
      </w:r>
      <w:proofErr w:type="gramEnd"/>
      <w:r w:rsidRPr="0012274F">
        <w:rPr>
          <w:rFonts w:ascii="Palatino Linotype" w:hAnsi="Palatino Linotype"/>
          <w:sz w:val="18"/>
          <w:szCs w:val="18"/>
          <w:lang w:eastAsia="zh-CN"/>
        </w:rPr>
        <w:t>13i1.932.</w:t>
      </w:r>
    </w:p>
    <w:p w14:paraId="59E2807D"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Bruce-</w:t>
      </w:r>
      <w:proofErr w:type="spellStart"/>
      <w:r w:rsidRPr="0012274F">
        <w:rPr>
          <w:rFonts w:ascii="Palatino Linotype" w:hAnsi="Palatino Linotype"/>
          <w:sz w:val="18"/>
          <w:szCs w:val="18"/>
          <w:lang w:eastAsia="zh-CN"/>
        </w:rPr>
        <w:t>Chwatt</w:t>
      </w:r>
      <w:proofErr w:type="spellEnd"/>
      <w:r w:rsidRPr="0012274F">
        <w:rPr>
          <w:rFonts w:ascii="Palatino Linotype" w:hAnsi="Palatino Linotype"/>
          <w:sz w:val="18"/>
          <w:szCs w:val="18"/>
          <w:lang w:eastAsia="zh-CN"/>
        </w:rPr>
        <w:t xml:space="preserve">, L.; Haworth, J. Annual Report of the Malarial Control Pilot Project in Western Sokoto (Northern Nigeria) 1955–56. </w:t>
      </w:r>
      <w:r w:rsidRPr="00AF4406">
        <w:rPr>
          <w:rFonts w:ascii="Palatino Linotype" w:hAnsi="Palatino Linotype"/>
          <w:i/>
          <w:sz w:val="18"/>
          <w:szCs w:val="18"/>
          <w:lang w:eastAsia="zh-CN"/>
        </w:rPr>
        <w:t xml:space="preserve">Int. J. Pest </w:t>
      </w:r>
      <w:proofErr w:type="spellStart"/>
      <w:r w:rsidRPr="00AF4406">
        <w:rPr>
          <w:rFonts w:ascii="Palatino Linotype" w:hAnsi="Palatino Linotype"/>
          <w:i/>
          <w:sz w:val="18"/>
          <w:szCs w:val="18"/>
          <w:lang w:eastAsia="zh-CN"/>
        </w:rPr>
        <w:t>Manag</w:t>
      </w:r>
      <w:proofErr w:type="spellEnd"/>
      <w:r w:rsidRPr="00AF4406">
        <w:rPr>
          <w:rFonts w:ascii="Palatino Linotype" w:hAnsi="Palatino Linotype"/>
          <w:i/>
          <w:sz w:val="18"/>
          <w:szCs w:val="18"/>
          <w:lang w:eastAsia="zh-CN"/>
        </w:rPr>
        <w:t>. A</w:t>
      </w:r>
      <w:r w:rsidRPr="0012274F">
        <w:rPr>
          <w:rFonts w:ascii="Palatino Linotype" w:hAnsi="Palatino Linotype"/>
          <w:sz w:val="18"/>
          <w:szCs w:val="18"/>
          <w:lang w:eastAsia="zh-CN"/>
        </w:rPr>
        <w:t xml:space="preserve"> </w:t>
      </w:r>
      <w:r w:rsidRPr="00AF4406">
        <w:rPr>
          <w:rFonts w:ascii="Palatino Linotype" w:hAnsi="Palatino Linotype"/>
          <w:b/>
          <w:sz w:val="18"/>
          <w:szCs w:val="18"/>
          <w:lang w:eastAsia="zh-CN"/>
        </w:rPr>
        <w:t>1957</w:t>
      </w:r>
      <w:r w:rsidRPr="0012274F">
        <w:rPr>
          <w:rFonts w:ascii="Palatino Linotype" w:hAnsi="Palatino Linotype"/>
          <w:sz w:val="18"/>
          <w:szCs w:val="18"/>
          <w:lang w:eastAsia="zh-CN"/>
        </w:rPr>
        <w:t xml:space="preserve">, </w:t>
      </w:r>
      <w:r w:rsidRPr="00AF4406">
        <w:rPr>
          <w:rFonts w:ascii="Palatino Linotype" w:hAnsi="Palatino Linotype"/>
          <w:i/>
          <w:sz w:val="18"/>
          <w:szCs w:val="18"/>
          <w:lang w:eastAsia="zh-CN"/>
        </w:rPr>
        <w:t>3</w:t>
      </w:r>
      <w:r w:rsidRPr="0012274F">
        <w:rPr>
          <w:rFonts w:ascii="Palatino Linotype" w:hAnsi="Palatino Linotype"/>
          <w:sz w:val="18"/>
          <w:szCs w:val="18"/>
          <w:lang w:eastAsia="zh-CN"/>
        </w:rPr>
        <w:t>, 18</w:t>
      </w:r>
      <w:r>
        <w:rPr>
          <w:rFonts w:ascii="Palatino Linotype" w:hAnsi="Palatino Linotype"/>
          <w:sz w:val="18"/>
          <w:szCs w:val="18"/>
          <w:lang w:eastAsia="zh-CN"/>
        </w:rPr>
        <w:t>–</w:t>
      </w:r>
      <w:r w:rsidRPr="0012274F">
        <w:rPr>
          <w:rFonts w:ascii="Palatino Linotype" w:hAnsi="Palatino Linotype"/>
          <w:sz w:val="18"/>
          <w:szCs w:val="18"/>
          <w:lang w:eastAsia="zh-CN"/>
        </w:rPr>
        <w:t>22.</w:t>
      </w:r>
    </w:p>
    <w:p w14:paraId="61681B8B" w14:textId="4892CC0B"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WHO. </w:t>
      </w:r>
      <w:r w:rsidRPr="00AF4406">
        <w:rPr>
          <w:rFonts w:ascii="Palatino Linotype" w:hAnsi="Palatino Linotype"/>
          <w:i/>
          <w:sz w:val="18"/>
          <w:szCs w:val="18"/>
          <w:lang w:eastAsia="zh-CN"/>
        </w:rPr>
        <w:t xml:space="preserve">A Detailed Examination of An. </w:t>
      </w:r>
      <w:proofErr w:type="spellStart"/>
      <w:r w:rsidR="002C3BCE">
        <w:rPr>
          <w:rFonts w:ascii="Palatino Linotype" w:hAnsi="Palatino Linotype"/>
          <w:i/>
          <w:sz w:val="18"/>
          <w:szCs w:val="18"/>
          <w:lang w:eastAsia="zh-CN"/>
        </w:rPr>
        <w:t>f</w:t>
      </w:r>
      <w:r w:rsidRPr="00AF4406">
        <w:rPr>
          <w:rFonts w:ascii="Palatino Linotype" w:hAnsi="Palatino Linotype"/>
          <w:i/>
          <w:sz w:val="18"/>
          <w:szCs w:val="18"/>
          <w:lang w:eastAsia="zh-CN"/>
        </w:rPr>
        <w:t>unestus</w:t>
      </w:r>
      <w:proofErr w:type="spellEnd"/>
      <w:r w:rsidRPr="00AF4406">
        <w:rPr>
          <w:rFonts w:ascii="Palatino Linotype" w:hAnsi="Palatino Linotype"/>
          <w:i/>
          <w:sz w:val="18"/>
          <w:szCs w:val="18"/>
          <w:lang w:eastAsia="zh-CN"/>
        </w:rPr>
        <w:t xml:space="preserve"> from Southern and Northern Nigeria</w:t>
      </w:r>
      <w:r>
        <w:rPr>
          <w:rFonts w:ascii="Palatino Linotype" w:hAnsi="Palatino Linotype"/>
          <w:sz w:val="18"/>
          <w:szCs w:val="18"/>
          <w:lang w:eastAsia="zh-CN"/>
        </w:rPr>
        <w:t>;</w:t>
      </w:r>
      <w:r w:rsidRPr="0012274F">
        <w:rPr>
          <w:rFonts w:ascii="Palatino Linotype" w:hAnsi="Palatino Linotype"/>
          <w:sz w:val="18"/>
          <w:szCs w:val="18"/>
          <w:lang w:eastAsia="zh-CN"/>
        </w:rPr>
        <w:t xml:space="preserve"> World Health Organization</w:t>
      </w:r>
      <w:r>
        <w:rPr>
          <w:rFonts w:ascii="Palatino Linotype" w:hAnsi="Palatino Linotype"/>
          <w:sz w:val="18"/>
          <w:szCs w:val="18"/>
          <w:lang w:eastAsia="zh-CN"/>
        </w:rPr>
        <w:t>:</w:t>
      </w:r>
      <w:r w:rsidRPr="0012274F">
        <w:rPr>
          <w:rFonts w:ascii="Palatino Linotype" w:hAnsi="Palatino Linotype"/>
          <w:sz w:val="18"/>
          <w:szCs w:val="18"/>
          <w:lang w:eastAsia="zh-CN"/>
        </w:rPr>
        <w:t xml:space="preserve"> Geneva</w:t>
      </w:r>
      <w:r>
        <w:rPr>
          <w:rFonts w:ascii="Palatino Linotype" w:hAnsi="Palatino Linotype"/>
          <w:sz w:val="18"/>
          <w:szCs w:val="18"/>
          <w:lang w:eastAsia="zh-CN"/>
        </w:rPr>
        <w:t xml:space="preserve">, </w:t>
      </w:r>
      <w:r w:rsidRPr="0012274F">
        <w:rPr>
          <w:rFonts w:ascii="Palatino Linotype" w:hAnsi="Palatino Linotype"/>
          <w:sz w:val="18"/>
          <w:szCs w:val="18"/>
          <w:lang w:eastAsia="zh-CN"/>
        </w:rPr>
        <w:t>Switzerland, 1959.</w:t>
      </w:r>
    </w:p>
    <w:p w14:paraId="71F57F0E"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Service, M. Some basic entomological factors concerned with the transmission and control of malaria in Northern Nigeria. </w:t>
      </w:r>
      <w:r w:rsidRPr="0012274F">
        <w:rPr>
          <w:rFonts w:ascii="Palatino Linotype" w:hAnsi="Palatino Linotype"/>
          <w:i/>
          <w:iCs/>
          <w:sz w:val="18"/>
          <w:szCs w:val="18"/>
          <w:lang w:eastAsia="zh-CN"/>
        </w:rPr>
        <w:t xml:space="preserve">Trans. R. Soc. Trop. Med. </w:t>
      </w:r>
      <w:proofErr w:type="spellStart"/>
      <w:r w:rsidRPr="0012274F">
        <w:rPr>
          <w:rFonts w:ascii="Palatino Linotype" w:hAnsi="Palatino Linotype"/>
          <w:i/>
          <w:iCs/>
          <w:sz w:val="18"/>
          <w:szCs w:val="18"/>
          <w:lang w:eastAsia="zh-CN"/>
        </w:rPr>
        <w:t>Hyg</w:t>
      </w:r>
      <w:proofErr w:type="spellEnd"/>
      <w:r w:rsidRPr="0012274F">
        <w:rPr>
          <w:rFonts w:ascii="Palatino Linotype" w:hAnsi="Palatino Linotype"/>
          <w:i/>
          <w:iCs/>
          <w:sz w:val="18"/>
          <w:szCs w:val="18"/>
          <w:lang w:eastAsia="zh-CN"/>
        </w:rPr>
        <w: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1965</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59</w:t>
      </w:r>
      <w:r w:rsidRPr="0012274F">
        <w:rPr>
          <w:rFonts w:ascii="Palatino Linotype" w:hAnsi="Palatino Linotype"/>
          <w:sz w:val="18"/>
          <w:szCs w:val="18"/>
          <w:lang w:eastAsia="zh-CN"/>
        </w:rPr>
        <w:t>, 291–296, doi:10.1016/0035-9203(65)90010-6.</w:t>
      </w:r>
    </w:p>
    <w:p w14:paraId="72183AF0"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Service, M.W. The behaviour of malaria vectors in huts sprayed with DDT and with a mixture of DDT and malathion in Northern Nigeria. </w:t>
      </w:r>
      <w:r w:rsidRPr="0012274F">
        <w:rPr>
          <w:rFonts w:ascii="Palatino Linotype" w:hAnsi="Palatino Linotype"/>
          <w:i/>
          <w:iCs/>
          <w:sz w:val="18"/>
          <w:szCs w:val="18"/>
          <w:lang w:eastAsia="zh-CN"/>
        </w:rPr>
        <w:t xml:space="preserve">Trans. R. Soc. Trop. Med. </w:t>
      </w:r>
      <w:proofErr w:type="spellStart"/>
      <w:r w:rsidRPr="0012274F">
        <w:rPr>
          <w:rFonts w:ascii="Palatino Linotype" w:hAnsi="Palatino Linotype"/>
          <w:i/>
          <w:iCs/>
          <w:sz w:val="18"/>
          <w:szCs w:val="18"/>
          <w:lang w:eastAsia="zh-CN"/>
        </w:rPr>
        <w:t>Hyg</w:t>
      </w:r>
      <w:proofErr w:type="spellEnd"/>
      <w:r w:rsidRPr="0012274F">
        <w:rPr>
          <w:rFonts w:ascii="Palatino Linotype" w:hAnsi="Palatino Linotype"/>
          <w:i/>
          <w:iCs/>
          <w:sz w:val="18"/>
          <w:szCs w:val="18"/>
          <w:lang w:eastAsia="zh-CN"/>
        </w:rPr>
        <w: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1964</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58</w:t>
      </w:r>
      <w:r w:rsidRPr="0012274F">
        <w:rPr>
          <w:rFonts w:ascii="Palatino Linotype" w:hAnsi="Palatino Linotype"/>
          <w:sz w:val="18"/>
          <w:szCs w:val="18"/>
          <w:lang w:eastAsia="zh-CN"/>
        </w:rPr>
        <w:t>, 72–79, doi:10.1016/0035-9203(64)90072-0.</w:t>
      </w:r>
    </w:p>
    <w:p w14:paraId="2699F6F6"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Molineaux</w:t>
      </w:r>
      <w:proofErr w:type="spellEnd"/>
      <w:r w:rsidRPr="0012274F">
        <w:rPr>
          <w:rFonts w:ascii="Palatino Linotype" w:hAnsi="Palatino Linotype"/>
          <w:sz w:val="18"/>
          <w:szCs w:val="18"/>
          <w:lang w:eastAsia="zh-CN"/>
        </w:rPr>
        <w:t xml:space="preserve">, L.; </w:t>
      </w:r>
      <w:proofErr w:type="spellStart"/>
      <w:r w:rsidRPr="0012274F">
        <w:rPr>
          <w:rFonts w:ascii="Palatino Linotype" w:hAnsi="Palatino Linotype"/>
          <w:sz w:val="18"/>
          <w:szCs w:val="18"/>
          <w:lang w:eastAsia="zh-CN"/>
        </w:rPr>
        <w:t>Gramiccia</w:t>
      </w:r>
      <w:proofErr w:type="spellEnd"/>
      <w:r w:rsidRPr="0012274F">
        <w:rPr>
          <w:rFonts w:ascii="Palatino Linotype" w:hAnsi="Palatino Linotype"/>
          <w:sz w:val="18"/>
          <w:szCs w:val="18"/>
          <w:lang w:eastAsia="zh-CN"/>
        </w:rPr>
        <w:t xml:space="preserve">, G. </w:t>
      </w:r>
      <w:r w:rsidRPr="00AF4406">
        <w:rPr>
          <w:rFonts w:ascii="Palatino Linotype" w:hAnsi="Palatino Linotype"/>
          <w:i/>
          <w:sz w:val="18"/>
          <w:szCs w:val="18"/>
          <w:lang w:eastAsia="zh-CN"/>
        </w:rPr>
        <w:t xml:space="preserve">The </w:t>
      </w:r>
      <w:proofErr w:type="spellStart"/>
      <w:r w:rsidRPr="00AF4406">
        <w:rPr>
          <w:rFonts w:ascii="Palatino Linotype" w:hAnsi="Palatino Linotype"/>
          <w:i/>
          <w:sz w:val="18"/>
          <w:szCs w:val="18"/>
          <w:lang w:eastAsia="zh-CN"/>
        </w:rPr>
        <w:t>Garki</w:t>
      </w:r>
      <w:proofErr w:type="spellEnd"/>
      <w:r w:rsidRPr="00AF4406">
        <w:rPr>
          <w:rFonts w:ascii="Palatino Linotype" w:hAnsi="Palatino Linotype"/>
          <w:i/>
          <w:sz w:val="18"/>
          <w:szCs w:val="18"/>
          <w:lang w:eastAsia="zh-CN"/>
        </w:rPr>
        <w:t xml:space="preserve"> Project: Research on the Epidemiology and Control of Malaria in the Sudan Savanna of West Africa</w:t>
      </w:r>
      <w:r>
        <w:rPr>
          <w:rFonts w:ascii="Palatino Linotype" w:hAnsi="Palatino Linotype"/>
          <w:sz w:val="18"/>
          <w:szCs w:val="18"/>
          <w:lang w:eastAsia="zh-CN"/>
        </w:rPr>
        <w:t>;</w:t>
      </w:r>
      <w:r w:rsidRPr="0012274F">
        <w:rPr>
          <w:rFonts w:ascii="Palatino Linotype" w:hAnsi="Palatino Linotype"/>
          <w:sz w:val="18"/>
          <w:szCs w:val="18"/>
          <w:lang w:eastAsia="zh-CN"/>
        </w:rPr>
        <w:t xml:space="preserve"> World Health Organisation</w:t>
      </w:r>
      <w:r>
        <w:rPr>
          <w:rFonts w:ascii="Palatino Linotype" w:hAnsi="Palatino Linotype"/>
          <w:sz w:val="18"/>
          <w:szCs w:val="18"/>
          <w:lang w:eastAsia="zh-CN"/>
        </w:rPr>
        <w:t>,</w:t>
      </w:r>
      <w:r w:rsidRPr="0012274F">
        <w:rPr>
          <w:rFonts w:ascii="Palatino Linotype" w:hAnsi="Palatino Linotype"/>
          <w:sz w:val="18"/>
          <w:szCs w:val="18"/>
          <w:lang w:eastAsia="zh-CN"/>
        </w:rPr>
        <w:t xml:space="preserve"> Ed.</w:t>
      </w:r>
      <w:r>
        <w:rPr>
          <w:rFonts w:ascii="Palatino Linotype" w:hAnsi="Palatino Linotype"/>
          <w:sz w:val="18"/>
          <w:szCs w:val="18"/>
          <w:lang w:eastAsia="zh-CN"/>
        </w:rPr>
        <w:t>;</w:t>
      </w:r>
      <w:r w:rsidRPr="0012274F">
        <w:rPr>
          <w:rFonts w:ascii="Palatino Linotype" w:hAnsi="Palatino Linotype"/>
          <w:sz w:val="18"/>
          <w:szCs w:val="18"/>
          <w:lang w:eastAsia="zh-CN"/>
        </w:rPr>
        <w:t xml:space="preserve"> Geneva, Switzerland, 1980.</w:t>
      </w:r>
    </w:p>
    <w:p w14:paraId="7BA3F2E3"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Bruce-</w:t>
      </w:r>
      <w:proofErr w:type="spellStart"/>
      <w:r w:rsidRPr="0012274F">
        <w:rPr>
          <w:rFonts w:ascii="Palatino Linotype" w:hAnsi="Palatino Linotype"/>
          <w:sz w:val="18"/>
          <w:szCs w:val="18"/>
          <w:lang w:eastAsia="zh-CN"/>
        </w:rPr>
        <w:t>Chwatt</w:t>
      </w:r>
      <w:proofErr w:type="spellEnd"/>
      <w:r w:rsidRPr="0012274F">
        <w:rPr>
          <w:rFonts w:ascii="Palatino Linotype" w:hAnsi="Palatino Linotype"/>
          <w:sz w:val="18"/>
          <w:szCs w:val="18"/>
          <w:lang w:eastAsia="zh-CN"/>
        </w:rPr>
        <w:t xml:space="preserve">, L.J. </w:t>
      </w:r>
      <w:r w:rsidRPr="00995B89">
        <w:rPr>
          <w:rFonts w:ascii="Palatino Linotype" w:hAnsi="Palatino Linotype"/>
          <w:sz w:val="18"/>
          <w:szCs w:val="18"/>
          <w:lang w:eastAsia="zh-CN"/>
        </w:rPr>
        <w:t>Malaria in Nigeria</w:t>
      </w:r>
      <w:r>
        <w:rPr>
          <w:rFonts w:ascii="Palatino Linotype" w:hAnsi="Palatino Linotype"/>
          <w:sz w:val="18"/>
          <w:szCs w:val="18"/>
          <w:lang w:eastAsia="zh-CN"/>
        </w:rPr>
        <w:t>.</w:t>
      </w:r>
      <w:r w:rsidRPr="0012274F">
        <w:rPr>
          <w:rFonts w:ascii="Palatino Linotype" w:hAnsi="Palatino Linotype"/>
          <w:sz w:val="18"/>
          <w:szCs w:val="18"/>
          <w:lang w:eastAsia="zh-CN"/>
        </w:rPr>
        <w:t xml:space="preserve"> </w:t>
      </w:r>
      <w:r w:rsidRPr="00995B89">
        <w:rPr>
          <w:rFonts w:ascii="Palatino Linotype" w:hAnsi="Palatino Linotype"/>
          <w:i/>
          <w:sz w:val="18"/>
          <w:szCs w:val="18"/>
          <w:lang w:eastAsia="zh-CN"/>
        </w:rPr>
        <w:t>Bull. World Health Organ.</w:t>
      </w:r>
      <w:r w:rsidRPr="0012274F">
        <w:rPr>
          <w:rFonts w:ascii="Palatino Linotype" w:hAnsi="Palatino Linotype"/>
          <w:sz w:val="18"/>
          <w:szCs w:val="18"/>
          <w:lang w:eastAsia="zh-CN"/>
        </w:rPr>
        <w:t xml:space="preserve"> </w:t>
      </w:r>
      <w:r w:rsidRPr="00995B89">
        <w:rPr>
          <w:rFonts w:ascii="Palatino Linotype" w:hAnsi="Palatino Linotype"/>
          <w:b/>
          <w:sz w:val="18"/>
          <w:szCs w:val="18"/>
          <w:lang w:eastAsia="zh-CN"/>
        </w:rPr>
        <w:t>1951</w:t>
      </w:r>
      <w:r w:rsidRPr="0012274F">
        <w:rPr>
          <w:rFonts w:ascii="Palatino Linotype" w:hAnsi="Palatino Linotype"/>
          <w:sz w:val="18"/>
          <w:szCs w:val="18"/>
          <w:lang w:eastAsia="zh-CN"/>
        </w:rPr>
        <w:t xml:space="preserve">, </w:t>
      </w:r>
      <w:r w:rsidRPr="00995B89">
        <w:rPr>
          <w:rFonts w:ascii="Palatino Linotype" w:hAnsi="Palatino Linotype"/>
          <w:i/>
          <w:sz w:val="18"/>
          <w:szCs w:val="18"/>
          <w:lang w:eastAsia="zh-CN"/>
        </w:rPr>
        <w:t>4</w:t>
      </w:r>
      <w:r w:rsidRPr="0012274F">
        <w:rPr>
          <w:rFonts w:ascii="Palatino Linotype" w:hAnsi="Palatino Linotype"/>
          <w:sz w:val="18"/>
          <w:szCs w:val="18"/>
          <w:lang w:eastAsia="zh-CN"/>
        </w:rPr>
        <w:t>, 301.</w:t>
      </w:r>
    </w:p>
    <w:p w14:paraId="5BA9DF28" w14:textId="69F4B4FE"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Gillies, M.T.; De </w:t>
      </w:r>
      <w:proofErr w:type="spellStart"/>
      <w:r w:rsidRPr="0012274F">
        <w:rPr>
          <w:rFonts w:ascii="Palatino Linotype" w:hAnsi="Palatino Linotype"/>
          <w:sz w:val="18"/>
          <w:szCs w:val="18"/>
          <w:lang w:eastAsia="zh-CN"/>
        </w:rPr>
        <w:t>Meillon</w:t>
      </w:r>
      <w:proofErr w:type="spellEnd"/>
      <w:r w:rsidRPr="0012274F">
        <w:rPr>
          <w:rFonts w:ascii="Palatino Linotype" w:hAnsi="Palatino Linotype"/>
          <w:sz w:val="18"/>
          <w:szCs w:val="18"/>
          <w:lang w:eastAsia="zh-CN"/>
        </w:rPr>
        <w:t xml:space="preserve">, B. The </w:t>
      </w:r>
      <w:proofErr w:type="spellStart"/>
      <w:r w:rsidRPr="0012274F">
        <w:rPr>
          <w:rFonts w:ascii="Palatino Linotype" w:hAnsi="Palatino Linotype"/>
          <w:sz w:val="18"/>
          <w:szCs w:val="18"/>
          <w:lang w:eastAsia="zh-CN"/>
        </w:rPr>
        <w:t>Anophelinae</w:t>
      </w:r>
      <w:proofErr w:type="spellEnd"/>
      <w:r w:rsidRPr="0012274F">
        <w:rPr>
          <w:rFonts w:ascii="Palatino Linotype" w:hAnsi="Palatino Linotype"/>
          <w:sz w:val="18"/>
          <w:szCs w:val="18"/>
          <w:lang w:eastAsia="zh-CN"/>
        </w:rPr>
        <w:t xml:space="preserve"> of Africa south of the Sahara (Ethiopian zoogeographical region). </w:t>
      </w:r>
      <w:r w:rsidRPr="00995B89">
        <w:rPr>
          <w:rFonts w:ascii="Palatino Linotype" w:hAnsi="Palatino Linotype"/>
          <w:i/>
          <w:sz w:val="18"/>
          <w:szCs w:val="18"/>
          <w:lang w:eastAsia="zh-CN"/>
        </w:rPr>
        <w:t>S. Afr. Inst. Med. Res.</w:t>
      </w:r>
      <w:r w:rsidRPr="0012274F">
        <w:rPr>
          <w:rFonts w:ascii="Palatino Linotype" w:hAnsi="Palatino Linotype"/>
          <w:sz w:val="18"/>
          <w:szCs w:val="18"/>
          <w:lang w:eastAsia="zh-CN"/>
        </w:rPr>
        <w:t xml:space="preserve"> </w:t>
      </w:r>
      <w:r w:rsidRPr="000349CB">
        <w:rPr>
          <w:rFonts w:ascii="Palatino Linotype" w:hAnsi="Palatino Linotype"/>
          <w:b/>
          <w:sz w:val="18"/>
          <w:szCs w:val="18"/>
          <w:lang w:eastAsia="zh-CN"/>
        </w:rPr>
        <w:t xml:space="preserve">1968, </w:t>
      </w:r>
      <w:r w:rsidR="005C4CF0" w:rsidRPr="000349CB">
        <w:rPr>
          <w:rFonts w:ascii="Palatino Linotype" w:hAnsi="Palatino Linotype"/>
          <w:i/>
          <w:sz w:val="18"/>
          <w:szCs w:val="18"/>
          <w:lang w:eastAsia="zh-CN"/>
        </w:rPr>
        <w:t>54</w:t>
      </w:r>
      <w:r w:rsidRPr="000349CB">
        <w:rPr>
          <w:rFonts w:ascii="Palatino Linotype" w:hAnsi="Palatino Linotype"/>
          <w:i/>
          <w:sz w:val="18"/>
          <w:szCs w:val="18"/>
          <w:lang w:eastAsia="zh-CN"/>
        </w:rPr>
        <w:t>l</w:t>
      </w:r>
      <w:r w:rsidRPr="000349CB">
        <w:rPr>
          <w:rFonts w:ascii="Palatino Linotype" w:hAnsi="Palatino Linotype"/>
          <w:sz w:val="18"/>
          <w:szCs w:val="18"/>
          <w:lang w:eastAsia="zh-CN"/>
        </w:rPr>
        <w:t>,</w:t>
      </w:r>
      <w:r w:rsidRPr="000349CB">
        <w:rPr>
          <w:rFonts w:ascii="Palatino Linotype" w:hAnsi="Palatino Linotype"/>
          <w:b/>
          <w:sz w:val="18"/>
          <w:szCs w:val="18"/>
          <w:lang w:eastAsia="zh-CN"/>
        </w:rPr>
        <w:t xml:space="preserve"> </w:t>
      </w:r>
      <w:r w:rsidR="005C4CF0" w:rsidRPr="000349CB">
        <w:rPr>
          <w:rFonts w:ascii="Palatino Linotype" w:hAnsi="Palatino Linotype"/>
          <w:sz w:val="18"/>
          <w:szCs w:val="18"/>
          <w:lang w:eastAsia="zh-CN"/>
        </w:rPr>
        <w:t>1-343</w:t>
      </w:r>
      <w:r w:rsidRPr="000349CB">
        <w:rPr>
          <w:rFonts w:ascii="Palatino Linotype" w:hAnsi="Palatino Linotype"/>
          <w:sz w:val="18"/>
          <w:szCs w:val="18"/>
          <w:lang w:eastAsia="zh-CN"/>
        </w:rPr>
        <w:t>.</w:t>
      </w:r>
    </w:p>
    <w:p w14:paraId="1EE2E291"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Coetzee, M.; </w:t>
      </w:r>
      <w:proofErr w:type="spellStart"/>
      <w:r w:rsidRPr="0012274F">
        <w:rPr>
          <w:rFonts w:ascii="Palatino Linotype" w:hAnsi="Palatino Linotype"/>
          <w:sz w:val="18"/>
          <w:szCs w:val="18"/>
          <w:lang w:eastAsia="zh-CN"/>
        </w:rPr>
        <w:t>Fontenille</w:t>
      </w:r>
      <w:proofErr w:type="spellEnd"/>
      <w:r w:rsidRPr="0012274F">
        <w:rPr>
          <w:rFonts w:ascii="Palatino Linotype" w:hAnsi="Palatino Linotype"/>
          <w:sz w:val="18"/>
          <w:szCs w:val="18"/>
          <w:lang w:eastAsia="zh-CN"/>
        </w:rPr>
        <w:t xml:space="preserve">, D. Advances in the study of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a major vector of malaria in Africa. </w:t>
      </w:r>
      <w:r w:rsidRPr="0012274F">
        <w:rPr>
          <w:rFonts w:ascii="Palatino Linotype" w:hAnsi="Palatino Linotype"/>
          <w:i/>
          <w:iCs/>
          <w:sz w:val="18"/>
          <w:szCs w:val="18"/>
          <w:lang w:eastAsia="zh-CN"/>
        </w:rPr>
        <w:t xml:space="preserve">Insect </w:t>
      </w:r>
      <w:proofErr w:type="spellStart"/>
      <w:r w:rsidRPr="0012274F">
        <w:rPr>
          <w:rFonts w:ascii="Palatino Linotype" w:hAnsi="Palatino Linotype"/>
          <w:i/>
          <w:iCs/>
          <w:sz w:val="18"/>
          <w:szCs w:val="18"/>
          <w:lang w:eastAsia="zh-CN"/>
        </w:rPr>
        <w:t>Biochem</w:t>
      </w:r>
      <w:proofErr w:type="spellEnd"/>
      <w:r w:rsidRPr="0012274F">
        <w:rPr>
          <w:rFonts w:ascii="Palatino Linotype" w:hAnsi="Palatino Linotype"/>
          <w:i/>
          <w:iCs/>
          <w:sz w:val="18"/>
          <w:szCs w:val="18"/>
          <w:lang w:eastAsia="zh-CN"/>
        </w:rPr>
        <w:t>. Mol. Boil.</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2004</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34</w:t>
      </w:r>
      <w:r w:rsidRPr="0012274F">
        <w:rPr>
          <w:rFonts w:ascii="Palatino Linotype" w:hAnsi="Palatino Linotype"/>
          <w:sz w:val="18"/>
          <w:szCs w:val="18"/>
          <w:lang w:eastAsia="zh-CN"/>
        </w:rPr>
        <w:t xml:space="preserve">, 599–605, </w:t>
      </w:r>
      <w:proofErr w:type="gramStart"/>
      <w:r w:rsidRPr="0012274F">
        <w:rPr>
          <w:rFonts w:ascii="Palatino Linotype" w:hAnsi="Palatino Linotype"/>
          <w:sz w:val="18"/>
          <w:szCs w:val="18"/>
          <w:lang w:eastAsia="zh-CN"/>
        </w:rPr>
        <w:t>doi:10.1016/j.ibmb</w:t>
      </w:r>
      <w:proofErr w:type="gramEnd"/>
      <w:r w:rsidRPr="0012274F">
        <w:rPr>
          <w:rFonts w:ascii="Palatino Linotype" w:hAnsi="Palatino Linotype"/>
          <w:sz w:val="18"/>
          <w:szCs w:val="18"/>
          <w:lang w:eastAsia="zh-CN"/>
        </w:rPr>
        <w:t>.2004.03.012.</w:t>
      </w:r>
    </w:p>
    <w:p w14:paraId="011A90C6" w14:textId="77777777" w:rsidR="009122BE" w:rsidRPr="00930FA6"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930FA6">
        <w:rPr>
          <w:rFonts w:ascii="Palatino Linotype" w:hAnsi="Palatino Linotype"/>
          <w:sz w:val="18"/>
          <w:szCs w:val="18"/>
        </w:rPr>
        <w:t xml:space="preserve">WHO. </w:t>
      </w:r>
      <w:r w:rsidRPr="00930FA6">
        <w:rPr>
          <w:rFonts w:ascii="Palatino Linotype" w:hAnsi="Palatino Linotype"/>
          <w:i/>
          <w:sz w:val="18"/>
          <w:szCs w:val="18"/>
        </w:rPr>
        <w:t>Global Technical Strategy for Malaria 2016-2030</w:t>
      </w:r>
      <w:r>
        <w:rPr>
          <w:rFonts w:ascii="Palatino Linotype" w:hAnsi="Palatino Linotype"/>
          <w:sz w:val="18"/>
          <w:szCs w:val="18"/>
        </w:rPr>
        <w:t>;</w:t>
      </w:r>
      <w:r w:rsidRPr="00930FA6">
        <w:rPr>
          <w:rFonts w:ascii="Palatino Linotype" w:hAnsi="Palatino Linotype"/>
          <w:sz w:val="18"/>
          <w:szCs w:val="18"/>
        </w:rPr>
        <w:t xml:space="preserve"> World Health Organisation</w:t>
      </w:r>
      <w:r>
        <w:rPr>
          <w:rFonts w:ascii="Palatino Linotype" w:hAnsi="Palatino Linotype"/>
          <w:sz w:val="18"/>
          <w:szCs w:val="18"/>
        </w:rPr>
        <w:t>:</w:t>
      </w:r>
      <w:r w:rsidRPr="00930FA6">
        <w:rPr>
          <w:rFonts w:ascii="Palatino Linotype" w:hAnsi="Palatino Linotype"/>
          <w:sz w:val="18"/>
          <w:szCs w:val="18"/>
        </w:rPr>
        <w:t xml:space="preserve"> Geneva, Switzerland</w:t>
      </w:r>
      <w:r>
        <w:rPr>
          <w:rFonts w:ascii="Palatino Linotype" w:hAnsi="Palatino Linotype"/>
          <w:sz w:val="18"/>
          <w:szCs w:val="18"/>
        </w:rPr>
        <w:t>,</w:t>
      </w:r>
      <w:r w:rsidRPr="00930FA6">
        <w:rPr>
          <w:rFonts w:ascii="Palatino Linotype" w:hAnsi="Palatino Linotype"/>
          <w:sz w:val="18"/>
          <w:szCs w:val="18"/>
        </w:rPr>
        <w:t xml:space="preserve"> 2015</w:t>
      </w:r>
      <w:r>
        <w:rPr>
          <w:rFonts w:ascii="Palatino Linotype" w:hAnsi="Palatino Linotype"/>
          <w:sz w:val="18"/>
          <w:szCs w:val="18"/>
        </w:rPr>
        <w:t>;</w:t>
      </w:r>
      <w:r w:rsidRPr="00930FA6">
        <w:rPr>
          <w:rFonts w:ascii="Palatino Linotype" w:hAnsi="Palatino Linotype"/>
          <w:sz w:val="18"/>
          <w:szCs w:val="18"/>
        </w:rPr>
        <w:t xml:space="preserve"> ISBN 978 92 4 156499 1.</w:t>
      </w:r>
    </w:p>
    <w:p w14:paraId="7330A2F7"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Awolola</w:t>
      </w:r>
      <w:proofErr w:type="spellEnd"/>
      <w:r w:rsidRPr="0012274F">
        <w:rPr>
          <w:rFonts w:ascii="Palatino Linotype" w:hAnsi="Palatino Linotype"/>
          <w:sz w:val="18"/>
          <w:szCs w:val="18"/>
          <w:lang w:eastAsia="zh-CN"/>
        </w:rPr>
        <w:t xml:space="preserve">, T.S.; </w:t>
      </w:r>
      <w:proofErr w:type="spellStart"/>
      <w:r w:rsidRPr="0012274F">
        <w:rPr>
          <w:rFonts w:ascii="Palatino Linotype" w:hAnsi="Palatino Linotype"/>
          <w:sz w:val="18"/>
          <w:szCs w:val="18"/>
          <w:lang w:eastAsia="zh-CN"/>
        </w:rPr>
        <w:t>Oyewole</w:t>
      </w:r>
      <w:proofErr w:type="spellEnd"/>
      <w:r w:rsidRPr="0012274F">
        <w:rPr>
          <w:rFonts w:ascii="Palatino Linotype" w:hAnsi="Palatino Linotype"/>
          <w:sz w:val="18"/>
          <w:szCs w:val="18"/>
          <w:lang w:eastAsia="zh-CN"/>
        </w:rPr>
        <w:t xml:space="preserve">, I.; Koekemoer, L.; Coetzee, M. Identification of three members of the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w:t>
      </w:r>
      <w:proofErr w:type="spellStart"/>
      <w:r w:rsidRPr="0012274F">
        <w:rPr>
          <w:rFonts w:ascii="Palatino Linotype" w:hAnsi="Palatino Linotype"/>
          <w:sz w:val="18"/>
          <w:szCs w:val="18"/>
          <w:lang w:eastAsia="zh-CN"/>
        </w:rPr>
        <w:t>Diptera</w:t>
      </w:r>
      <w:proofErr w:type="spellEnd"/>
      <w:r w:rsidRPr="0012274F">
        <w:rPr>
          <w:rFonts w:ascii="Palatino Linotype" w:hAnsi="Palatino Linotype"/>
          <w:sz w:val="18"/>
          <w:szCs w:val="18"/>
          <w:lang w:eastAsia="zh-CN"/>
        </w:rPr>
        <w:t xml:space="preserve">: Culicidae) group and their role in malaria transmission in two ecological zones in Nigeria. </w:t>
      </w:r>
      <w:r w:rsidRPr="0012274F">
        <w:rPr>
          <w:rFonts w:ascii="Palatino Linotype" w:hAnsi="Palatino Linotype"/>
          <w:i/>
          <w:iCs/>
          <w:sz w:val="18"/>
          <w:szCs w:val="18"/>
          <w:lang w:eastAsia="zh-CN"/>
        </w:rPr>
        <w:t xml:space="preserve">Trans. R. Soc. Trop. Med. </w:t>
      </w:r>
      <w:proofErr w:type="spellStart"/>
      <w:r w:rsidRPr="0012274F">
        <w:rPr>
          <w:rFonts w:ascii="Palatino Linotype" w:hAnsi="Palatino Linotype"/>
          <w:i/>
          <w:iCs/>
          <w:sz w:val="18"/>
          <w:szCs w:val="18"/>
          <w:lang w:eastAsia="zh-CN"/>
        </w:rPr>
        <w:t>Hyg</w:t>
      </w:r>
      <w:proofErr w:type="spellEnd"/>
      <w:r w:rsidRPr="0012274F">
        <w:rPr>
          <w:rFonts w:ascii="Palatino Linotype" w:hAnsi="Palatino Linotype"/>
          <w:i/>
          <w:iCs/>
          <w:sz w:val="18"/>
          <w:szCs w:val="18"/>
          <w:lang w:eastAsia="zh-CN"/>
        </w:rPr>
        <w: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2005</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99</w:t>
      </w:r>
      <w:r w:rsidRPr="0012274F">
        <w:rPr>
          <w:rFonts w:ascii="Palatino Linotype" w:hAnsi="Palatino Linotype"/>
          <w:sz w:val="18"/>
          <w:szCs w:val="18"/>
          <w:lang w:eastAsia="zh-CN"/>
        </w:rPr>
        <w:t xml:space="preserve">, 525–531, </w:t>
      </w:r>
      <w:proofErr w:type="gramStart"/>
      <w:r w:rsidRPr="0012274F">
        <w:rPr>
          <w:rFonts w:ascii="Palatino Linotype" w:hAnsi="Palatino Linotype"/>
          <w:sz w:val="18"/>
          <w:szCs w:val="18"/>
          <w:lang w:eastAsia="zh-CN"/>
        </w:rPr>
        <w:t>doi:10.1016/j.trstmh</w:t>
      </w:r>
      <w:proofErr w:type="gramEnd"/>
      <w:r w:rsidRPr="0012274F">
        <w:rPr>
          <w:rFonts w:ascii="Palatino Linotype" w:hAnsi="Palatino Linotype"/>
          <w:sz w:val="18"/>
          <w:szCs w:val="18"/>
          <w:lang w:eastAsia="zh-CN"/>
        </w:rPr>
        <w:t>.2004.12.003.</w:t>
      </w:r>
    </w:p>
    <w:p w14:paraId="2BE8CFED"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Djouaka</w:t>
      </w:r>
      <w:proofErr w:type="spellEnd"/>
      <w:r w:rsidRPr="0012274F">
        <w:rPr>
          <w:rFonts w:ascii="Palatino Linotype" w:hAnsi="Palatino Linotype"/>
          <w:sz w:val="18"/>
          <w:szCs w:val="18"/>
          <w:lang w:eastAsia="zh-CN"/>
        </w:rPr>
        <w:t xml:space="preserve">, R.; </w:t>
      </w:r>
      <w:proofErr w:type="spellStart"/>
      <w:r w:rsidRPr="0012274F">
        <w:rPr>
          <w:rFonts w:ascii="Palatino Linotype" w:hAnsi="Palatino Linotype"/>
          <w:sz w:val="18"/>
          <w:szCs w:val="18"/>
          <w:lang w:eastAsia="zh-CN"/>
        </w:rPr>
        <w:t>Atoyebi</w:t>
      </w:r>
      <w:proofErr w:type="spellEnd"/>
      <w:r w:rsidRPr="0012274F">
        <w:rPr>
          <w:rFonts w:ascii="Palatino Linotype" w:hAnsi="Palatino Linotype"/>
          <w:sz w:val="18"/>
          <w:szCs w:val="18"/>
          <w:lang w:eastAsia="zh-CN"/>
        </w:rPr>
        <w:t xml:space="preserve">, S.; </w:t>
      </w:r>
      <w:proofErr w:type="spellStart"/>
      <w:r w:rsidRPr="0012274F">
        <w:rPr>
          <w:rFonts w:ascii="Palatino Linotype" w:hAnsi="Palatino Linotype"/>
          <w:sz w:val="18"/>
          <w:szCs w:val="18"/>
          <w:lang w:eastAsia="zh-CN"/>
        </w:rPr>
        <w:t>Tchigossou</w:t>
      </w:r>
      <w:proofErr w:type="spellEnd"/>
      <w:r w:rsidRPr="0012274F">
        <w:rPr>
          <w:rFonts w:ascii="Palatino Linotype" w:hAnsi="Palatino Linotype"/>
          <w:sz w:val="18"/>
          <w:szCs w:val="18"/>
          <w:lang w:eastAsia="zh-CN"/>
        </w:rPr>
        <w:t xml:space="preserve">, G.M.; Riveron, J.M.; Irving, H.; </w:t>
      </w:r>
      <w:proofErr w:type="spellStart"/>
      <w:r w:rsidRPr="0012274F">
        <w:rPr>
          <w:rFonts w:ascii="Palatino Linotype" w:hAnsi="Palatino Linotype"/>
          <w:sz w:val="18"/>
          <w:szCs w:val="18"/>
          <w:lang w:eastAsia="zh-CN"/>
        </w:rPr>
        <w:t>Akoton</w:t>
      </w:r>
      <w:proofErr w:type="spellEnd"/>
      <w:r w:rsidRPr="0012274F">
        <w:rPr>
          <w:rFonts w:ascii="Palatino Linotype" w:hAnsi="Palatino Linotype"/>
          <w:sz w:val="18"/>
          <w:szCs w:val="18"/>
          <w:lang w:eastAsia="zh-CN"/>
        </w:rPr>
        <w:t xml:space="preserve">, R.; Kusimo, M.O.; Bakare, A.A.; Wondji, C.S. Evidence of a multiple insecticide resistance in the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in South West Nigeria. </w:t>
      </w:r>
      <w:r w:rsidRPr="0012274F">
        <w:rPr>
          <w:rFonts w:ascii="Palatino Linotype" w:hAnsi="Palatino Linotype"/>
          <w:i/>
          <w:iCs/>
          <w:sz w:val="18"/>
          <w:szCs w:val="18"/>
          <w:lang w:eastAsia="zh-CN"/>
        </w:rPr>
        <w:t>Malar. J.</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2016</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15</w:t>
      </w:r>
      <w:r w:rsidRPr="0012274F">
        <w:rPr>
          <w:rFonts w:ascii="Palatino Linotype" w:hAnsi="Palatino Linotype"/>
          <w:sz w:val="18"/>
          <w:szCs w:val="18"/>
          <w:lang w:eastAsia="zh-CN"/>
        </w:rPr>
        <w:t>, 565, doi:10.1186/s12936-016-1615-9.</w:t>
      </w:r>
    </w:p>
    <w:p w14:paraId="1D7D6F39"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President’s Malaria Initiative. Seventh Annual Report to Congress. </w:t>
      </w:r>
      <w:proofErr w:type="spellStart"/>
      <w:r w:rsidRPr="0012274F">
        <w:rPr>
          <w:rFonts w:ascii="Palatino Linotype" w:hAnsi="Palatino Linotype"/>
          <w:sz w:val="18"/>
          <w:szCs w:val="18"/>
          <w:lang w:eastAsia="zh-CN"/>
        </w:rPr>
        <w:t>Availabe</w:t>
      </w:r>
      <w:proofErr w:type="spellEnd"/>
      <w:r w:rsidRPr="0012274F">
        <w:rPr>
          <w:rFonts w:ascii="Palatino Linotype" w:hAnsi="Palatino Linotype"/>
          <w:sz w:val="18"/>
          <w:szCs w:val="18"/>
          <w:lang w:eastAsia="zh-CN"/>
        </w:rPr>
        <w:t xml:space="preserve"> online: http://pmi.gov/countries/mops/fy13/nigeria_mop-fy13.pdf (accessed on 25</w:t>
      </w:r>
      <w:r>
        <w:rPr>
          <w:rFonts w:ascii="Palatino Linotype" w:hAnsi="Palatino Linotype"/>
          <w:sz w:val="18"/>
          <w:szCs w:val="18"/>
          <w:lang w:eastAsia="zh-CN"/>
        </w:rPr>
        <w:t xml:space="preserve"> October </w:t>
      </w:r>
      <w:r w:rsidRPr="0012274F">
        <w:rPr>
          <w:rFonts w:ascii="Palatino Linotype" w:hAnsi="Palatino Linotype"/>
          <w:sz w:val="18"/>
          <w:szCs w:val="18"/>
          <w:lang w:eastAsia="zh-CN"/>
        </w:rPr>
        <w:t>2018).</w:t>
      </w:r>
    </w:p>
    <w:p w14:paraId="7020930E"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Riveron, J.M.; </w:t>
      </w:r>
      <w:proofErr w:type="spellStart"/>
      <w:r w:rsidRPr="0012274F">
        <w:rPr>
          <w:rFonts w:ascii="Palatino Linotype" w:hAnsi="Palatino Linotype"/>
          <w:sz w:val="18"/>
          <w:szCs w:val="18"/>
          <w:lang w:eastAsia="zh-CN"/>
        </w:rPr>
        <w:t>Yunta</w:t>
      </w:r>
      <w:proofErr w:type="spellEnd"/>
      <w:r w:rsidRPr="0012274F">
        <w:rPr>
          <w:rFonts w:ascii="Palatino Linotype" w:hAnsi="Palatino Linotype"/>
          <w:sz w:val="18"/>
          <w:szCs w:val="18"/>
          <w:lang w:eastAsia="zh-CN"/>
        </w:rPr>
        <w:t xml:space="preserve">, C.; Ibrahim, S.S.; </w:t>
      </w:r>
      <w:proofErr w:type="spellStart"/>
      <w:r w:rsidRPr="0012274F">
        <w:rPr>
          <w:rFonts w:ascii="Palatino Linotype" w:hAnsi="Palatino Linotype"/>
          <w:sz w:val="18"/>
          <w:szCs w:val="18"/>
          <w:lang w:eastAsia="zh-CN"/>
        </w:rPr>
        <w:t>Djouaka</w:t>
      </w:r>
      <w:proofErr w:type="spellEnd"/>
      <w:r w:rsidRPr="0012274F">
        <w:rPr>
          <w:rFonts w:ascii="Palatino Linotype" w:hAnsi="Palatino Linotype"/>
          <w:sz w:val="18"/>
          <w:szCs w:val="18"/>
          <w:lang w:eastAsia="zh-CN"/>
        </w:rPr>
        <w:t xml:space="preserve">, R.; Irving, H.; </w:t>
      </w:r>
      <w:proofErr w:type="spellStart"/>
      <w:r w:rsidRPr="0012274F">
        <w:rPr>
          <w:rFonts w:ascii="Palatino Linotype" w:hAnsi="Palatino Linotype"/>
          <w:sz w:val="18"/>
          <w:szCs w:val="18"/>
          <w:lang w:eastAsia="zh-CN"/>
        </w:rPr>
        <w:t>Menze</w:t>
      </w:r>
      <w:proofErr w:type="spellEnd"/>
      <w:r w:rsidRPr="0012274F">
        <w:rPr>
          <w:rFonts w:ascii="Palatino Linotype" w:hAnsi="Palatino Linotype"/>
          <w:sz w:val="18"/>
          <w:szCs w:val="18"/>
          <w:lang w:eastAsia="zh-CN"/>
        </w:rPr>
        <w:t xml:space="preserve">, B.D.; Ismail, H.; Hemingway, J.; </w:t>
      </w:r>
      <w:proofErr w:type="spellStart"/>
      <w:r w:rsidRPr="0012274F">
        <w:rPr>
          <w:rFonts w:ascii="Palatino Linotype" w:hAnsi="Palatino Linotype"/>
          <w:sz w:val="18"/>
          <w:szCs w:val="18"/>
          <w:lang w:eastAsia="zh-CN"/>
        </w:rPr>
        <w:t>Ranson</w:t>
      </w:r>
      <w:proofErr w:type="spellEnd"/>
      <w:r w:rsidRPr="0012274F">
        <w:rPr>
          <w:rFonts w:ascii="Palatino Linotype" w:hAnsi="Palatino Linotype"/>
          <w:sz w:val="18"/>
          <w:szCs w:val="18"/>
          <w:lang w:eastAsia="zh-CN"/>
        </w:rPr>
        <w:t xml:space="preserve">, H.; Albert, A.; et al. A single mutation in the GSTe2 gene allows tracking of metabolically based insecticide resistance in a major malaria vector. </w:t>
      </w:r>
      <w:r w:rsidRPr="0012274F">
        <w:rPr>
          <w:rFonts w:ascii="Palatino Linotype" w:hAnsi="Palatino Linotype"/>
          <w:i/>
          <w:iCs/>
          <w:sz w:val="18"/>
          <w:szCs w:val="18"/>
          <w:lang w:eastAsia="zh-CN"/>
        </w:rPr>
        <w:t>Genome Boil.</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2014</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15</w:t>
      </w:r>
      <w:r w:rsidRPr="0012274F">
        <w:rPr>
          <w:rFonts w:ascii="Palatino Linotype" w:hAnsi="Palatino Linotype"/>
          <w:sz w:val="18"/>
          <w:szCs w:val="18"/>
          <w:lang w:eastAsia="zh-CN"/>
        </w:rPr>
        <w:t>, R27, doi:10.1186/gb-2014-15-2-r27.</w:t>
      </w:r>
    </w:p>
    <w:p w14:paraId="2CB66684"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Martínez-Torres, D.; </w:t>
      </w:r>
      <w:proofErr w:type="spellStart"/>
      <w:r w:rsidRPr="0012274F">
        <w:rPr>
          <w:rFonts w:ascii="Palatino Linotype" w:hAnsi="Palatino Linotype"/>
          <w:sz w:val="18"/>
          <w:szCs w:val="18"/>
          <w:lang w:eastAsia="zh-CN"/>
        </w:rPr>
        <w:t>Chandre</w:t>
      </w:r>
      <w:proofErr w:type="spellEnd"/>
      <w:r w:rsidRPr="0012274F">
        <w:rPr>
          <w:rFonts w:ascii="Palatino Linotype" w:hAnsi="Palatino Linotype"/>
          <w:sz w:val="18"/>
          <w:szCs w:val="18"/>
          <w:lang w:eastAsia="zh-CN"/>
        </w:rPr>
        <w:t xml:space="preserve">, F.; Williamson, M.S.; </w:t>
      </w:r>
      <w:proofErr w:type="spellStart"/>
      <w:r w:rsidRPr="0012274F">
        <w:rPr>
          <w:rFonts w:ascii="Palatino Linotype" w:hAnsi="Palatino Linotype"/>
          <w:sz w:val="18"/>
          <w:szCs w:val="18"/>
          <w:lang w:eastAsia="zh-CN"/>
        </w:rPr>
        <w:t>Darriet</w:t>
      </w:r>
      <w:proofErr w:type="spellEnd"/>
      <w:r w:rsidRPr="0012274F">
        <w:rPr>
          <w:rFonts w:ascii="Palatino Linotype" w:hAnsi="Palatino Linotype"/>
          <w:sz w:val="18"/>
          <w:szCs w:val="18"/>
          <w:lang w:eastAsia="zh-CN"/>
        </w:rPr>
        <w:t xml:space="preserve">, F.; </w:t>
      </w:r>
      <w:proofErr w:type="spellStart"/>
      <w:r w:rsidRPr="0012274F">
        <w:rPr>
          <w:rFonts w:ascii="Palatino Linotype" w:hAnsi="Palatino Linotype"/>
          <w:sz w:val="18"/>
          <w:szCs w:val="18"/>
          <w:lang w:eastAsia="zh-CN"/>
        </w:rPr>
        <w:t>Bergé</w:t>
      </w:r>
      <w:proofErr w:type="spellEnd"/>
      <w:r w:rsidRPr="0012274F">
        <w:rPr>
          <w:rFonts w:ascii="Palatino Linotype" w:hAnsi="Palatino Linotype"/>
          <w:sz w:val="18"/>
          <w:szCs w:val="18"/>
          <w:lang w:eastAsia="zh-CN"/>
        </w:rPr>
        <w:t xml:space="preserve">, J.B.; Devonshire, A.L.; </w:t>
      </w:r>
      <w:proofErr w:type="spellStart"/>
      <w:r w:rsidRPr="0012274F">
        <w:rPr>
          <w:rFonts w:ascii="Palatino Linotype" w:hAnsi="Palatino Linotype"/>
          <w:sz w:val="18"/>
          <w:szCs w:val="18"/>
          <w:lang w:eastAsia="zh-CN"/>
        </w:rPr>
        <w:t>Guillet</w:t>
      </w:r>
      <w:proofErr w:type="spellEnd"/>
      <w:r w:rsidRPr="0012274F">
        <w:rPr>
          <w:rFonts w:ascii="Palatino Linotype" w:hAnsi="Palatino Linotype"/>
          <w:sz w:val="18"/>
          <w:szCs w:val="18"/>
          <w:lang w:eastAsia="zh-CN"/>
        </w:rPr>
        <w:t xml:space="preserve">, P.; Pasteur, N.; </w:t>
      </w:r>
      <w:proofErr w:type="spellStart"/>
      <w:r w:rsidRPr="0012274F">
        <w:rPr>
          <w:rFonts w:ascii="Palatino Linotype" w:hAnsi="Palatino Linotype"/>
          <w:sz w:val="18"/>
          <w:szCs w:val="18"/>
          <w:lang w:eastAsia="zh-CN"/>
        </w:rPr>
        <w:t>Pauron</w:t>
      </w:r>
      <w:proofErr w:type="spellEnd"/>
      <w:r w:rsidRPr="0012274F">
        <w:rPr>
          <w:rFonts w:ascii="Palatino Linotype" w:hAnsi="Palatino Linotype"/>
          <w:sz w:val="18"/>
          <w:szCs w:val="18"/>
          <w:lang w:eastAsia="zh-CN"/>
        </w:rPr>
        <w:t>, D. Molecular characterization of pyrethroid knockdown resistance (</w:t>
      </w:r>
      <w:proofErr w:type="spellStart"/>
      <w:r w:rsidRPr="0012274F">
        <w:rPr>
          <w:rFonts w:ascii="Palatino Linotype" w:hAnsi="Palatino Linotype"/>
          <w:sz w:val="18"/>
          <w:szCs w:val="18"/>
          <w:lang w:eastAsia="zh-CN"/>
        </w:rPr>
        <w:t>kdr</w:t>
      </w:r>
      <w:proofErr w:type="spellEnd"/>
      <w:r w:rsidRPr="0012274F">
        <w:rPr>
          <w:rFonts w:ascii="Palatino Linotype" w:hAnsi="Palatino Linotype"/>
          <w:sz w:val="18"/>
          <w:szCs w:val="18"/>
          <w:lang w:eastAsia="zh-CN"/>
        </w:rPr>
        <w:t xml:space="preserve">) in the major malaria vector </w:t>
      </w:r>
      <w:r w:rsidRPr="000349CB">
        <w:rPr>
          <w:rFonts w:ascii="Palatino Linotype" w:hAnsi="Palatino Linotype"/>
          <w:i/>
          <w:iCs/>
          <w:sz w:val="18"/>
          <w:szCs w:val="18"/>
          <w:lang w:eastAsia="zh-CN"/>
        </w:rPr>
        <w:t>Anopheles gambiae</w:t>
      </w:r>
      <w:r w:rsidRPr="0012274F">
        <w:rPr>
          <w:rFonts w:ascii="Palatino Linotype" w:hAnsi="Palatino Linotype"/>
          <w:sz w:val="18"/>
          <w:szCs w:val="18"/>
          <w:lang w:eastAsia="zh-CN"/>
        </w:rPr>
        <w:t xml:space="preserve"> </w:t>
      </w:r>
      <w:proofErr w:type="spellStart"/>
      <w:r w:rsidRPr="0012274F">
        <w:rPr>
          <w:rFonts w:ascii="Palatino Linotype" w:hAnsi="Palatino Linotype"/>
          <w:sz w:val="18"/>
          <w:szCs w:val="18"/>
          <w:lang w:eastAsia="zh-CN"/>
        </w:rPr>
        <w:t>s.s.</w:t>
      </w:r>
      <w:proofErr w:type="spellEnd"/>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Insect Mol. Boil.</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1998</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7</w:t>
      </w:r>
      <w:r w:rsidRPr="0012274F">
        <w:rPr>
          <w:rFonts w:ascii="Palatino Linotype" w:hAnsi="Palatino Linotype"/>
          <w:sz w:val="18"/>
          <w:szCs w:val="18"/>
          <w:lang w:eastAsia="zh-CN"/>
        </w:rPr>
        <w:t>, 179–184, doi:10.1046/j.1365-2583.1998.</w:t>
      </w:r>
      <w:proofErr w:type="gramStart"/>
      <w:r w:rsidRPr="0012274F">
        <w:rPr>
          <w:rFonts w:ascii="Palatino Linotype" w:hAnsi="Palatino Linotype"/>
          <w:sz w:val="18"/>
          <w:szCs w:val="18"/>
          <w:lang w:eastAsia="zh-CN"/>
        </w:rPr>
        <w:t>72062.x.</w:t>
      </w:r>
      <w:proofErr w:type="gramEnd"/>
    </w:p>
    <w:p w14:paraId="6C87951E"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Ranson</w:t>
      </w:r>
      <w:proofErr w:type="spellEnd"/>
      <w:r w:rsidRPr="0012274F">
        <w:rPr>
          <w:rFonts w:ascii="Palatino Linotype" w:hAnsi="Palatino Linotype"/>
          <w:sz w:val="18"/>
          <w:szCs w:val="18"/>
          <w:lang w:eastAsia="zh-CN"/>
        </w:rPr>
        <w:t xml:space="preserve">, H.; Jensen, B.; </w:t>
      </w:r>
      <w:proofErr w:type="spellStart"/>
      <w:r w:rsidRPr="0012274F">
        <w:rPr>
          <w:rFonts w:ascii="Palatino Linotype" w:hAnsi="Palatino Linotype"/>
          <w:sz w:val="18"/>
          <w:szCs w:val="18"/>
          <w:lang w:eastAsia="zh-CN"/>
        </w:rPr>
        <w:t>Vulule</w:t>
      </w:r>
      <w:proofErr w:type="spellEnd"/>
      <w:r w:rsidRPr="0012274F">
        <w:rPr>
          <w:rFonts w:ascii="Palatino Linotype" w:hAnsi="Palatino Linotype"/>
          <w:sz w:val="18"/>
          <w:szCs w:val="18"/>
          <w:lang w:eastAsia="zh-CN"/>
        </w:rPr>
        <w:t xml:space="preserve">, J.M.; Wang, X.; Hemingway, J.; Collins, F. Identification of a point mutation in the voltage-gated sodium channel gene of Kenyan </w:t>
      </w:r>
      <w:r w:rsidRPr="000349CB">
        <w:rPr>
          <w:rFonts w:ascii="Palatino Linotype" w:hAnsi="Palatino Linotype"/>
          <w:i/>
          <w:iCs/>
          <w:sz w:val="18"/>
          <w:szCs w:val="18"/>
          <w:lang w:eastAsia="zh-CN"/>
        </w:rPr>
        <w:t>Anopheles gambiae</w:t>
      </w:r>
      <w:r w:rsidRPr="0012274F">
        <w:rPr>
          <w:rFonts w:ascii="Palatino Linotype" w:hAnsi="Palatino Linotype"/>
          <w:sz w:val="18"/>
          <w:szCs w:val="18"/>
          <w:lang w:eastAsia="zh-CN"/>
        </w:rPr>
        <w:t xml:space="preserve"> associated with resistance to DDT and pyrethroids. </w:t>
      </w:r>
      <w:r w:rsidRPr="0012274F">
        <w:rPr>
          <w:rFonts w:ascii="Palatino Linotype" w:hAnsi="Palatino Linotype"/>
          <w:i/>
          <w:iCs/>
          <w:sz w:val="18"/>
          <w:szCs w:val="18"/>
          <w:lang w:eastAsia="zh-CN"/>
        </w:rPr>
        <w:t>Insect Mol. Boil.</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2000</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9</w:t>
      </w:r>
      <w:r w:rsidRPr="0012274F">
        <w:rPr>
          <w:rFonts w:ascii="Palatino Linotype" w:hAnsi="Palatino Linotype"/>
          <w:sz w:val="18"/>
          <w:szCs w:val="18"/>
          <w:lang w:eastAsia="zh-CN"/>
        </w:rPr>
        <w:t>, 491–497, doi:10.1046/j.1365-2583.2000.</w:t>
      </w:r>
      <w:proofErr w:type="gramStart"/>
      <w:r w:rsidRPr="0012274F">
        <w:rPr>
          <w:rFonts w:ascii="Palatino Linotype" w:hAnsi="Palatino Linotype"/>
          <w:sz w:val="18"/>
          <w:szCs w:val="18"/>
          <w:lang w:eastAsia="zh-CN"/>
        </w:rPr>
        <w:t>00209.x.</w:t>
      </w:r>
      <w:proofErr w:type="gramEnd"/>
    </w:p>
    <w:p w14:paraId="28707E76"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Weill, M.; Malcolm, C.; </w:t>
      </w:r>
      <w:proofErr w:type="spellStart"/>
      <w:r w:rsidRPr="0012274F">
        <w:rPr>
          <w:rFonts w:ascii="Palatino Linotype" w:hAnsi="Palatino Linotype"/>
          <w:sz w:val="18"/>
          <w:szCs w:val="18"/>
          <w:lang w:eastAsia="zh-CN"/>
        </w:rPr>
        <w:t>Chandre</w:t>
      </w:r>
      <w:proofErr w:type="spellEnd"/>
      <w:r w:rsidRPr="0012274F">
        <w:rPr>
          <w:rFonts w:ascii="Palatino Linotype" w:hAnsi="Palatino Linotype"/>
          <w:sz w:val="18"/>
          <w:szCs w:val="18"/>
          <w:lang w:eastAsia="zh-CN"/>
        </w:rPr>
        <w:t xml:space="preserve">, F.; </w:t>
      </w:r>
      <w:proofErr w:type="spellStart"/>
      <w:r w:rsidRPr="0012274F">
        <w:rPr>
          <w:rFonts w:ascii="Palatino Linotype" w:hAnsi="Palatino Linotype"/>
          <w:sz w:val="18"/>
          <w:szCs w:val="18"/>
          <w:lang w:eastAsia="zh-CN"/>
        </w:rPr>
        <w:t>Mogensen</w:t>
      </w:r>
      <w:proofErr w:type="spellEnd"/>
      <w:r w:rsidRPr="0012274F">
        <w:rPr>
          <w:rFonts w:ascii="Palatino Linotype" w:hAnsi="Palatino Linotype"/>
          <w:sz w:val="18"/>
          <w:szCs w:val="18"/>
          <w:lang w:eastAsia="zh-CN"/>
        </w:rPr>
        <w:t xml:space="preserve">, K.; </w:t>
      </w:r>
      <w:proofErr w:type="spellStart"/>
      <w:r w:rsidRPr="0012274F">
        <w:rPr>
          <w:rFonts w:ascii="Palatino Linotype" w:hAnsi="Palatino Linotype"/>
          <w:sz w:val="18"/>
          <w:szCs w:val="18"/>
          <w:lang w:eastAsia="zh-CN"/>
        </w:rPr>
        <w:t>Berthomieu</w:t>
      </w:r>
      <w:proofErr w:type="spellEnd"/>
      <w:r w:rsidRPr="0012274F">
        <w:rPr>
          <w:rFonts w:ascii="Palatino Linotype" w:hAnsi="Palatino Linotype"/>
          <w:sz w:val="18"/>
          <w:szCs w:val="18"/>
          <w:lang w:eastAsia="zh-CN"/>
        </w:rPr>
        <w:t xml:space="preserve">, A.; </w:t>
      </w:r>
      <w:proofErr w:type="spellStart"/>
      <w:r w:rsidRPr="0012274F">
        <w:rPr>
          <w:rFonts w:ascii="Palatino Linotype" w:hAnsi="Palatino Linotype"/>
          <w:sz w:val="18"/>
          <w:szCs w:val="18"/>
          <w:lang w:eastAsia="zh-CN"/>
        </w:rPr>
        <w:t>Marquine</w:t>
      </w:r>
      <w:proofErr w:type="spellEnd"/>
      <w:r w:rsidRPr="0012274F">
        <w:rPr>
          <w:rFonts w:ascii="Palatino Linotype" w:hAnsi="Palatino Linotype"/>
          <w:sz w:val="18"/>
          <w:szCs w:val="18"/>
          <w:lang w:eastAsia="zh-CN"/>
        </w:rPr>
        <w:t xml:space="preserve">, M.; Raymond, M. The unique mutation in ace-1 giving high insecticide resistance is easily detectable in mosquito vectors. </w:t>
      </w:r>
      <w:r w:rsidRPr="0012274F">
        <w:rPr>
          <w:rFonts w:ascii="Palatino Linotype" w:hAnsi="Palatino Linotype"/>
          <w:i/>
          <w:iCs/>
          <w:sz w:val="18"/>
          <w:szCs w:val="18"/>
          <w:lang w:eastAsia="zh-CN"/>
        </w:rPr>
        <w:t>Insect Mol. Boil.</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2004</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13</w:t>
      </w:r>
      <w:r w:rsidRPr="0012274F">
        <w:rPr>
          <w:rFonts w:ascii="Palatino Linotype" w:hAnsi="Palatino Linotype"/>
          <w:sz w:val="18"/>
          <w:szCs w:val="18"/>
          <w:lang w:eastAsia="zh-CN"/>
        </w:rPr>
        <w:t>, 1–7, doi:10.1111/j.1365-2583.2004.</w:t>
      </w:r>
      <w:proofErr w:type="gramStart"/>
      <w:r w:rsidRPr="0012274F">
        <w:rPr>
          <w:rFonts w:ascii="Palatino Linotype" w:hAnsi="Palatino Linotype"/>
          <w:sz w:val="18"/>
          <w:szCs w:val="18"/>
          <w:lang w:eastAsia="zh-CN"/>
        </w:rPr>
        <w:t>00452.x.</w:t>
      </w:r>
      <w:proofErr w:type="gramEnd"/>
    </w:p>
    <w:p w14:paraId="7EB03155"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Ibrahim, S.S.; </w:t>
      </w:r>
      <w:proofErr w:type="spellStart"/>
      <w:r w:rsidRPr="0012274F">
        <w:rPr>
          <w:rFonts w:ascii="Palatino Linotype" w:hAnsi="Palatino Linotype"/>
          <w:sz w:val="18"/>
          <w:szCs w:val="18"/>
          <w:lang w:eastAsia="zh-CN"/>
        </w:rPr>
        <w:t>Ndula</w:t>
      </w:r>
      <w:proofErr w:type="spellEnd"/>
      <w:r w:rsidRPr="0012274F">
        <w:rPr>
          <w:rFonts w:ascii="Palatino Linotype" w:hAnsi="Palatino Linotype"/>
          <w:sz w:val="18"/>
          <w:szCs w:val="18"/>
          <w:lang w:eastAsia="zh-CN"/>
        </w:rPr>
        <w:t xml:space="preserve">, M.; Riveron, J.M.; Irving, H.; Wondji, C.S. The P450 CYP6Z1 confers carbamate/pyrethroid cross‐resistance in a major African malaria vector beside a novel carbamate‐insensitive N485I acetylcholinesterase‐1 mutation. </w:t>
      </w:r>
      <w:r w:rsidRPr="0012274F">
        <w:rPr>
          <w:rFonts w:ascii="Palatino Linotype" w:hAnsi="Palatino Linotype"/>
          <w:i/>
          <w:iCs/>
          <w:sz w:val="18"/>
          <w:szCs w:val="18"/>
          <w:lang w:eastAsia="zh-CN"/>
        </w:rPr>
        <w:t>Mol. Ecol.</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2016</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25</w:t>
      </w:r>
      <w:r w:rsidRPr="0012274F">
        <w:rPr>
          <w:rFonts w:ascii="Palatino Linotype" w:hAnsi="Palatino Linotype"/>
          <w:sz w:val="18"/>
          <w:szCs w:val="18"/>
          <w:lang w:eastAsia="zh-CN"/>
        </w:rPr>
        <w:t>, 3436–3452, doi:10.1111/mec.13673.</w:t>
      </w:r>
    </w:p>
    <w:p w14:paraId="48617A1F"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Andrada</w:t>
      </w:r>
      <w:proofErr w:type="spellEnd"/>
      <w:r w:rsidRPr="0012274F">
        <w:rPr>
          <w:rFonts w:ascii="Palatino Linotype" w:hAnsi="Palatino Linotype"/>
          <w:sz w:val="18"/>
          <w:szCs w:val="18"/>
          <w:lang w:eastAsia="zh-CN"/>
        </w:rPr>
        <w:t xml:space="preserve">, A.; Herrera, S.; Inyang, U.; Mohammed, A.B.; </w:t>
      </w:r>
      <w:proofErr w:type="spellStart"/>
      <w:r w:rsidRPr="0012274F">
        <w:rPr>
          <w:rFonts w:ascii="Palatino Linotype" w:hAnsi="Palatino Linotype"/>
          <w:sz w:val="18"/>
          <w:szCs w:val="18"/>
          <w:lang w:eastAsia="zh-CN"/>
        </w:rPr>
        <w:t>Uhomoibhi</w:t>
      </w:r>
      <w:proofErr w:type="spellEnd"/>
      <w:r w:rsidRPr="0012274F">
        <w:rPr>
          <w:rFonts w:ascii="Palatino Linotype" w:hAnsi="Palatino Linotype"/>
          <w:sz w:val="18"/>
          <w:szCs w:val="18"/>
          <w:lang w:eastAsia="zh-CN"/>
        </w:rPr>
        <w:t xml:space="preserve">, P.; </w:t>
      </w:r>
      <w:proofErr w:type="spellStart"/>
      <w:r w:rsidRPr="0012274F">
        <w:rPr>
          <w:rFonts w:ascii="Palatino Linotype" w:hAnsi="Palatino Linotype"/>
          <w:sz w:val="18"/>
          <w:szCs w:val="18"/>
          <w:lang w:eastAsia="zh-CN"/>
        </w:rPr>
        <w:t>Yé</w:t>
      </w:r>
      <w:proofErr w:type="spellEnd"/>
      <w:r w:rsidRPr="0012274F">
        <w:rPr>
          <w:rFonts w:ascii="Palatino Linotype" w:hAnsi="Palatino Linotype"/>
          <w:sz w:val="18"/>
          <w:szCs w:val="18"/>
          <w:lang w:eastAsia="zh-CN"/>
        </w:rPr>
        <w:t xml:space="preserve">, Y. A subnational profiling analysis reveals regional differences as the main predictor of ITN ownership and use in Nigeria. </w:t>
      </w:r>
      <w:r w:rsidRPr="0012274F">
        <w:rPr>
          <w:rFonts w:ascii="Palatino Linotype" w:hAnsi="Palatino Linotype"/>
          <w:i/>
          <w:iCs/>
          <w:sz w:val="18"/>
          <w:szCs w:val="18"/>
          <w:lang w:eastAsia="zh-CN"/>
        </w:rPr>
        <w:t>Malar. J.</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2019</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18</w:t>
      </w:r>
      <w:r w:rsidRPr="0012274F">
        <w:rPr>
          <w:rFonts w:ascii="Palatino Linotype" w:hAnsi="Palatino Linotype"/>
          <w:sz w:val="18"/>
          <w:szCs w:val="18"/>
          <w:lang w:eastAsia="zh-CN"/>
        </w:rPr>
        <w:t>, 185, doi:10.1186/s12936-019-2816-9.</w:t>
      </w:r>
    </w:p>
    <w:p w14:paraId="5E96D4FF"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lastRenderedPageBreak/>
        <w:t xml:space="preserve">Morgan, J.C.; Irving, H.; </w:t>
      </w:r>
      <w:proofErr w:type="spellStart"/>
      <w:r w:rsidRPr="0012274F">
        <w:rPr>
          <w:rFonts w:ascii="Palatino Linotype" w:hAnsi="Palatino Linotype"/>
          <w:sz w:val="18"/>
          <w:szCs w:val="18"/>
          <w:lang w:eastAsia="zh-CN"/>
        </w:rPr>
        <w:t>Okedi</w:t>
      </w:r>
      <w:proofErr w:type="spellEnd"/>
      <w:r w:rsidRPr="0012274F">
        <w:rPr>
          <w:rFonts w:ascii="Palatino Linotype" w:hAnsi="Palatino Linotype"/>
          <w:sz w:val="18"/>
          <w:szCs w:val="18"/>
          <w:lang w:eastAsia="zh-CN"/>
        </w:rPr>
        <w:t xml:space="preserve">, L.M.; Steven, A.; Wondji, C.S. Pyrethroid Resistance in an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Population from Uganda. </w:t>
      </w:r>
      <w:proofErr w:type="spellStart"/>
      <w:r w:rsidRPr="0012274F">
        <w:rPr>
          <w:rFonts w:ascii="Palatino Linotype" w:hAnsi="Palatino Linotype"/>
          <w:i/>
          <w:iCs/>
          <w:sz w:val="18"/>
          <w:szCs w:val="18"/>
          <w:lang w:eastAsia="zh-CN"/>
        </w:rPr>
        <w:t>PL</w:t>
      </w:r>
      <w:r>
        <w:rPr>
          <w:rFonts w:ascii="Palatino Linotype" w:hAnsi="Palatino Linotype"/>
          <w:i/>
          <w:iCs/>
          <w:sz w:val="18"/>
          <w:szCs w:val="18"/>
          <w:lang w:eastAsia="zh-CN"/>
        </w:rPr>
        <w:t>o</w:t>
      </w:r>
      <w:r w:rsidRPr="0012274F">
        <w:rPr>
          <w:rFonts w:ascii="Palatino Linotype" w:hAnsi="Palatino Linotype"/>
          <w:i/>
          <w:iCs/>
          <w:sz w:val="18"/>
          <w:szCs w:val="18"/>
          <w:lang w:eastAsia="zh-CN"/>
        </w:rPr>
        <w:t>S</w:t>
      </w:r>
      <w:proofErr w:type="spellEnd"/>
      <w:r w:rsidRPr="0012274F">
        <w:rPr>
          <w:rFonts w:ascii="Palatino Linotype" w:hAnsi="Palatino Linotype"/>
          <w:i/>
          <w:iCs/>
          <w:sz w:val="18"/>
          <w:szCs w:val="18"/>
          <w:lang w:eastAsia="zh-CN"/>
        </w:rPr>
        <w:t xml:space="preserve"> ONE</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2010</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5</w:t>
      </w:r>
      <w:r w:rsidRPr="0012274F">
        <w:rPr>
          <w:rFonts w:ascii="Palatino Linotype" w:hAnsi="Palatino Linotype"/>
          <w:sz w:val="18"/>
          <w:szCs w:val="18"/>
          <w:lang w:eastAsia="zh-CN"/>
        </w:rPr>
        <w:t xml:space="preserve">, e11872, </w:t>
      </w:r>
      <w:proofErr w:type="gramStart"/>
      <w:r w:rsidRPr="0012274F">
        <w:rPr>
          <w:rFonts w:ascii="Palatino Linotype" w:hAnsi="Palatino Linotype"/>
          <w:sz w:val="18"/>
          <w:szCs w:val="18"/>
          <w:lang w:eastAsia="zh-CN"/>
        </w:rPr>
        <w:t>doi:10.1371/journal.pone</w:t>
      </w:r>
      <w:proofErr w:type="gramEnd"/>
      <w:r w:rsidRPr="0012274F">
        <w:rPr>
          <w:rFonts w:ascii="Palatino Linotype" w:hAnsi="Palatino Linotype"/>
          <w:sz w:val="18"/>
          <w:szCs w:val="18"/>
          <w:lang w:eastAsia="zh-CN"/>
        </w:rPr>
        <w:t>.0011872.</w:t>
      </w:r>
    </w:p>
    <w:p w14:paraId="5B761D64"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Gillies, M.</w:t>
      </w:r>
      <w:r>
        <w:rPr>
          <w:rFonts w:ascii="Palatino Linotype" w:hAnsi="Palatino Linotype"/>
          <w:sz w:val="18"/>
          <w:szCs w:val="18"/>
          <w:lang w:eastAsia="zh-CN"/>
        </w:rPr>
        <w:t>;</w:t>
      </w:r>
      <w:r w:rsidRPr="0012274F">
        <w:rPr>
          <w:rFonts w:ascii="Palatino Linotype" w:hAnsi="Palatino Linotype"/>
          <w:sz w:val="18"/>
          <w:szCs w:val="18"/>
          <w:lang w:eastAsia="zh-CN"/>
        </w:rPr>
        <w:t xml:space="preserve"> Coetzee, M. A supplement to </w:t>
      </w:r>
      <w:proofErr w:type="spellStart"/>
      <w:r w:rsidRPr="0012274F">
        <w:rPr>
          <w:rFonts w:ascii="Palatino Linotype" w:hAnsi="Palatino Linotype"/>
          <w:sz w:val="18"/>
          <w:szCs w:val="18"/>
          <w:lang w:eastAsia="zh-CN"/>
        </w:rPr>
        <w:t>anophelinae</w:t>
      </w:r>
      <w:proofErr w:type="spellEnd"/>
      <w:r w:rsidRPr="0012274F">
        <w:rPr>
          <w:rFonts w:ascii="Palatino Linotype" w:hAnsi="Palatino Linotype"/>
          <w:sz w:val="18"/>
          <w:szCs w:val="18"/>
          <w:lang w:eastAsia="zh-CN"/>
        </w:rPr>
        <w:t xml:space="preserve"> of Africa south of Sahara (Afro-tropical region). </w:t>
      </w:r>
      <w:r w:rsidRPr="000349CB">
        <w:rPr>
          <w:rFonts w:ascii="Palatino Linotype" w:hAnsi="Palatino Linotype"/>
          <w:i/>
          <w:sz w:val="18"/>
          <w:szCs w:val="18"/>
          <w:lang w:eastAsia="zh-CN"/>
        </w:rPr>
        <w:t>S. Afr. Inst. Med. Res.</w:t>
      </w:r>
      <w:r w:rsidRPr="000349CB">
        <w:rPr>
          <w:rFonts w:ascii="Palatino Linotype" w:hAnsi="Palatino Linotype"/>
          <w:sz w:val="18"/>
          <w:szCs w:val="18"/>
          <w:lang w:eastAsia="zh-CN"/>
        </w:rPr>
        <w:t xml:space="preserve"> </w:t>
      </w:r>
      <w:r w:rsidRPr="000349CB">
        <w:rPr>
          <w:rFonts w:ascii="Palatino Linotype" w:hAnsi="Palatino Linotype"/>
          <w:b/>
          <w:sz w:val="18"/>
          <w:szCs w:val="18"/>
          <w:lang w:eastAsia="zh-CN"/>
        </w:rPr>
        <w:t>1987</w:t>
      </w:r>
      <w:r w:rsidRPr="000349CB">
        <w:rPr>
          <w:rFonts w:ascii="Palatino Linotype" w:hAnsi="Palatino Linotype"/>
          <w:sz w:val="18"/>
          <w:szCs w:val="18"/>
          <w:lang w:eastAsia="zh-CN"/>
        </w:rPr>
        <w:t xml:space="preserve">, </w:t>
      </w:r>
      <w:r w:rsidRPr="000349CB">
        <w:rPr>
          <w:rFonts w:ascii="Palatino Linotype" w:hAnsi="Palatino Linotype"/>
          <w:i/>
          <w:sz w:val="18"/>
          <w:szCs w:val="18"/>
          <w:lang w:eastAsia="zh-CN"/>
        </w:rPr>
        <w:t>55</w:t>
      </w:r>
      <w:r w:rsidRPr="000349CB">
        <w:rPr>
          <w:rFonts w:ascii="Palatino Linotype" w:hAnsi="Palatino Linotype"/>
          <w:sz w:val="18"/>
          <w:szCs w:val="18"/>
          <w:lang w:eastAsia="zh-CN"/>
        </w:rPr>
        <w:t>, 1–143.</w:t>
      </w:r>
    </w:p>
    <w:p w14:paraId="5D526E9A"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Koekemoer, L.L.; Kamau, L.; Coetzee, M.; Hunt, R.H. A cocktail polymerase chain reaction assay to identify members of the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w:t>
      </w:r>
      <w:proofErr w:type="spellStart"/>
      <w:r w:rsidRPr="0012274F">
        <w:rPr>
          <w:rFonts w:ascii="Palatino Linotype" w:hAnsi="Palatino Linotype"/>
          <w:sz w:val="18"/>
          <w:szCs w:val="18"/>
          <w:lang w:eastAsia="zh-CN"/>
        </w:rPr>
        <w:t>Diptera</w:t>
      </w:r>
      <w:proofErr w:type="spellEnd"/>
      <w:r w:rsidRPr="0012274F">
        <w:rPr>
          <w:rFonts w:ascii="Palatino Linotype" w:hAnsi="Palatino Linotype"/>
          <w:sz w:val="18"/>
          <w:szCs w:val="18"/>
          <w:lang w:eastAsia="zh-CN"/>
        </w:rPr>
        <w:t xml:space="preserve">: Culicidae) group. </w:t>
      </w:r>
      <w:r w:rsidRPr="0012274F">
        <w:rPr>
          <w:rFonts w:ascii="Palatino Linotype" w:hAnsi="Palatino Linotype"/>
          <w:i/>
          <w:iCs/>
          <w:sz w:val="18"/>
          <w:szCs w:val="18"/>
          <w:lang w:eastAsia="zh-CN"/>
        </w:rPr>
        <w:t xml:space="preserve">Am. J. Trop. Med. </w:t>
      </w:r>
      <w:proofErr w:type="spellStart"/>
      <w:r w:rsidRPr="0012274F">
        <w:rPr>
          <w:rFonts w:ascii="Palatino Linotype" w:hAnsi="Palatino Linotype"/>
          <w:i/>
          <w:iCs/>
          <w:sz w:val="18"/>
          <w:szCs w:val="18"/>
          <w:lang w:eastAsia="zh-CN"/>
        </w:rPr>
        <w:t>Hyg</w:t>
      </w:r>
      <w:proofErr w:type="spellEnd"/>
      <w:r w:rsidRPr="0012274F">
        <w:rPr>
          <w:rFonts w:ascii="Palatino Linotype" w:hAnsi="Palatino Linotype"/>
          <w:i/>
          <w:iCs/>
          <w:sz w:val="18"/>
          <w:szCs w:val="18"/>
          <w:lang w:eastAsia="zh-CN"/>
        </w:rPr>
        <w: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2002</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66</w:t>
      </w:r>
      <w:r w:rsidRPr="0012274F">
        <w:rPr>
          <w:rFonts w:ascii="Palatino Linotype" w:hAnsi="Palatino Linotype"/>
          <w:sz w:val="18"/>
          <w:szCs w:val="18"/>
          <w:lang w:eastAsia="zh-CN"/>
        </w:rPr>
        <w:t>, 804–811, doi:10.4269/ajtmh.2002.66.804.</w:t>
      </w:r>
    </w:p>
    <w:p w14:paraId="3E69EBA7" w14:textId="77777777" w:rsidR="009122BE" w:rsidRPr="00DF5956"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DF5956">
        <w:rPr>
          <w:rFonts w:ascii="Palatino Linotype" w:hAnsi="Palatino Linotype"/>
          <w:sz w:val="18"/>
          <w:szCs w:val="18"/>
        </w:rPr>
        <w:t>Livak</w:t>
      </w:r>
      <w:proofErr w:type="spellEnd"/>
      <w:r w:rsidRPr="00DF5956">
        <w:rPr>
          <w:rFonts w:ascii="Palatino Linotype" w:hAnsi="Palatino Linotype"/>
          <w:sz w:val="18"/>
          <w:szCs w:val="18"/>
        </w:rPr>
        <w:t xml:space="preserve">, K.J. Organization and mapping of a sequence on the </w:t>
      </w:r>
      <w:r w:rsidRPr="000349CB">
        <w:rPr>
          <w:rFonts w:ascii="Palatino Linotype" w:hAnsi="Palatino Linotype"/>
          <w:i/>
          <w:iCs/>
          <w:sz w:val="18"/>
          <w:szCs w:val="18"/>
        </w:rPr>
        <w:t>Drosophila melanogaster</w:t>
      </w:r>
      <w:r w:rsidRPr="00DF5956">
        <w:rPr>
          <w:rFonts w:ascii="Palatino Linotype" w:hAnsi="Palatino Linotype"/>
          <w:sz w:val="18"/>
          <w:szCs w:val="18"/>
        </w:rPr>
        <w:t xml:space="preserve"> X and Y chromosomes that is transcribed during spermatogenesis. </w:t>
      </w:r>
      <w:r w:rsidRPr="00DF5956">
        <w:rPr>
          <w:rFonts w:ascii="Palatino Linotype" w:hAnsi="Palatino Linotype"/>
          <w:i/>
          <w:sz w:val="18"/>
          <w:szCs w:val="18"/>
        </w:rPr>
        <w:t xml:space="preserve">Genetics </w:t>
      </w:r>
      <w:r w:rsidRPr="00DF5956">
        <w:rPr>
          <w:rFonts w:ascii="Palatino Linotype" w:hAnsi="Palatino Linotype"/>
          <w:b/>
          <w:sz w:val="18"/>
          <w:szCs w:val="18"/>
        </w:rPr>
        <w:t>1984</w:t>
      </w:r>
      <w:r w:rsidRPr="00DF5956">
        <w:rPr>
          <w:rFonts w:ascii="Palatino Linotype" w:hAnsi="Palatino Linotype"/>
          <w:sz w:val="18"/>
          <w:szCs w:val="18"/>
        </w:rPr>
        <w:t xml:space="preserve">, </w:t>
      </w:r>
      <w:r w:rsidRPr="00DF5956">
        <w:rPr>
          <w:rFonts w:ascii="Palatino Linotype" w:hAnsi="Palatino Linotype"/>
          <w:i/>
          <w:sz w:val="18"/>
          <w:szCs w:val="18"/>
        </w:rPr>
        <w:t>107</w:t>
      </w:r>
      <w:r w:rsidRPr="00DF5956">
        <w:rPr>
          <w:rFonts w:ascii="Palatino Linotype" w:hAnsi="Palatino Linotype"/>
          <w:sz w:val="18"/>
          <w:szCs w:val="18"/>
        </w:rPr>
        <w:t>, 611</w:t>
      </w:r>
      <w:r>
        <w:rPr>
          <w:rFonts w:ascii="Palatino Linotype" w:hAnsi="Palatino Linotype"/>
          <w:sz w:val="18"/>
          <w:szCs w:val="18"/>
        </w:rPr>
        <w:t>–</w:t>
      </w:r>
      <w:r w:rsidRPr="00DF5956">
        <w:rPr>
          <w:rFonts w:ascii="Palatino Linotype" w:hAnsi="Palatino Linotype"/>
          <w:sz w:val="18"/>
          <w:szCs w:val="18"/>
        </w:rPr>
        <w:t>634.</w:t>
      </w:r>
    </w:p>
    <w:p w14:paraId="00823A1E"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WHO. </w:t>
      </w:r>
      <w:r w:rsidRPr="003754F5">
        <w:rPr>
          <w:rFonts w:ascii="Palatino Linotype" w:hAnsi="Palatino Linotype"/>
          <w:i/>
          <w:sz w:val="18"/>
          <w:szCs w:val="18"/>
          <w:lang w:eastAsia="zh-CN"/>
        </w:rPr>
        <w:t>Malaria Entomology and Vector Control. Guide for Participants</w:t>
      </w:r>
      <w:r>
        <w:rPr>
          <w:rFonts w:ascii="Palatino Linotype" w:hAnsi="Palatino Linotype"/>
          <w:sz w:val="18"/>
          <w:szCs w:val="18"/>
          <w:lang w:eastAsia="zh-CN"/>
        </w:rPr>
        <w:t>;</w:t>
      </w:r>
      <w:r w:rsidRPr="0012274F">
        <w:rPr>
          <w:rFonts w:ascii="Palatino Linotype" w:hAnsi="Palatino Linotype"/>
          <w:sz w:val="18"/>
          <w:szCs w:val="18"/>
          <w:lang w:eastAsia="zh-CN"/>
        </w:rPr>
        <w:t xml:space="preserve"> World Health Organization</w:t>
      </w:r>
      <w:r>
        <w:rPr>
          <w:rFonts w:ascii="Palatino Linotype" w:hAnsi="Palatino Linotype"/>
          <w:sz w:val="18"/>
          <w:szCs w:val="18"/>
          <w:lang w:eastAsia="zh-CN"/>
        </w:rPr>
        <w:t>:</w:t>
      </w:r>
      <w:r w:rsidRPr="0012274F">
        <w:rPr>
          <w:rFonts w:ascii="Palatino Linotype" w:hAnsi="Palatino Linotype"/>
          <w:sz w:val="18"/>
          <w:szCs w:val="18"/>
          <w:lang w:eastAsia="zh-CN"/>
        </w:rPr>
        <w:t xml:space="preserve"> Geneva, Switzerland</w:t>
      </w:r>
      <w:r>
        <w:rPr>
          <w:rFonts w:ascii="Palatino Linotype" w:hAnsi="Palatino Linotype"/>
          <w:sz w:val="18"/>
          <w:szCs w:val="18"/>
          <w:lang w:eastAsia="zh-CN"/>
        </w:rPr>
        <w:t>,</w:t>
      </w:r>
      <w:r w:rsidRPr="0012274F">
        <w:rPr>
          <w:rFonts w:ascii="Palatino Linotype" w:hAnsi="Palatino Linotype"/>
          <w:sz w:val="18"/>
          <w:szCs w:val="18"/>
          <w:lang w:eastAsia="zh-CN"/>
        </w:rPr>
        <w:t xml:space="preserve"> 2013.</w:t>
      </w:r>
    </w:p>
    <w:p w14:paraId="1EFC3936"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WHO. </w:t>
      </w:r>
      <w:r w:rsidRPr="003754F5">
        <w:rPr>
          <w:rFonts w:ascii="Palatino Linotype" w:hAnsi="Palatino Linotype"/>
          <w:i/>
          <w:sz w:val="18"/>
          <w:szCs w:val="18"/>
          <w:lang w:eastAsia="zh-CN"/>
        </w:rPr>
        <w:t>A Toolkit for Integrated Vector Management in Sub-Saharan Africa</w:t>
      </w:r>
      <w:r>
        <w:rPr>
          <w:rFonts w:ascii="Palatino Linotype" w:hAnsi="Palatino Linotype"/>
          <w:sz w:val="18"/>
          <w:szCs w:val="18"/>
          <w:lang w:eastAsia="zh-CN"/>
        </w:rPr>
        <w:t>;</w:t>
      </w:r>
      <w:r w:rsidRPr="0012274F">
        <w:rPr>
          <w:rFonts w:ascii="Palatino Linotype" w:hAnsi="Palatino Linotype"/>
          <w:sz w:val="18"/>
          <w:szCs w:val="18"/>
          <w:lang w:eastAsia="zh-CN"/>
        </w:rPr>
        <w:t xml:space="preserve"> World Health Organization</w:t>
      </w:r>
      <w:r>
        <w:rPr>
          <w:rFonts w:ascii="Palatino Linotype" w:hAnsi="Palatino Linotype"/>
          <w:sz w:val="18"/>
          <w:szCs w:val="18"/>
          <w:lang w:eastAsia="zh-CN"/>
        </w:rPr>
        <w:t>:</w:t>
      </w:r>
      <w:r w:rsidRPr="0012274F">
        <w:rPr>
          <w:rFonts w:ascii="Palatino Linotype" w:hAnsi="Palatino Linotype"/>
          <w:sz w:val="18"/>
          <w:szCs w:val="18"/>
          <w:lang w:eastAsia="zh-CN"/>
        </w:rPr>
        <w:t xml:space="preserve"> Geneva, Switzerland</w:t>
      </w:r>
      <w:r>
        <w:rPr>
          <w:rFonts w:ascii="Palatino Linotype" w:hAnsi="Palatino Linotype"/>
          <w:sz w:val="18"/>
          <w:szCs w:val="18"/>
          <w:lang w:eastAsia="zh-CN"/>
        </w:rPr>
        <w:t>,</w:t>
      </w:r>
      <w:r w:rsidRPr="0012274F">
        <w:rPr>
          <w:rFonts w:ascii="Palatino Linotype" w:hAnsi="Palatino Linotype"/>
          <w:sz w:val="18"/>
          <w:szCs w:val="18"/>
          <w:lang w:eastAsia="zh-CN"/>
        </w:rPr>
        <w:t xml:space="preserve"> 2016.</w:t>
      </w:r>
    </w:p>
    <w:p w14:paraId="4D2B9BD1" w14:textId="6BD06EB4"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Kent, R.J.; </w:t>
      </w:r>
      <w:proofErr w:type="spellStart"/>
      <w:r w:rsidRPr="0012274F">
        <w:rPr>
          <w:rFonts w:ascii="Palatino Linotype" w:hAnsi="Palatino Linotype"/>
          <w:sz w:val="18"/>
          <w:szCs w:val="18"/>
          <w:lang w:eastAsia="zh-CN"/>
        </w:rPr>
        <w:t>Thuma</w:t>
      </w:r>
      <w:proofErr w:type="spellEnd"/>
      <w:r w:rsidRPr="0012274F">
        <w:rPr>
          <w:rFonts w:ascii="Palatino Linotype" w:hAnsi="Palatino Linotype"/>
          <w:sz w:val="18"/>
          <w:szCs w:val="18"/>
          <w:lang w:eastAsia="zh-CN"/>
        </w:rPr>
        <w:t xml:space="preserve">, P.E.; </w:t>
      </w:r>
      <w:proofErr w:type="spellStart"/>
      <w:r w:rsidRPr="0012274F">
        <w:rPr>
          <w:rFonts w:ascii="Palatino Linotype" w:hAnsi="Palatino Linotype"/>
          <w:sz w:val="18"/>
          <w:szCs w:val="18"/>
          <w:lang w:eastAsia="zh-CN"/>
        </w:rPr>
        <w:t>Mharakurwa</w:t>
      </w:r>
      <w:proofErr w:type="spellEnd"/>
      <w:r w:rsidRPr="0012274F">
        <w:rPr>
          <w:rFonts w:ascii="Palatino Linotype" w:hAnsi="Palatino Linotype"/>
          <w:sz w:val="18"/>
          <w:szCs w:val="18"/>
          <w:lang w:eastAsia="zh-CN"/>
        </w:rPr>
        <w:t xml:space="preserve">, S.; Norris, D.E. Seasonality, Blood Feeding </w:t>
      </w:r>
      <w:proofErr w:type="spellStart"/>
      <w:r w:rsidRPr="0012274F">
        <w:rPr>
          <w:rFonts w:ascii="Palatino Linotype" w:hAnsi="Palatino Linotype"/>
          <w:sz w:val="18"/>
          <w:szCs w:val="18"/>
          <w:lang w:eastAsia="zh-CN"/>
        </w:rPr>
        <w:t>Behavior</w:t>
      </w:r>
      <w:proofErr w:type="spellEnd"/>
      <w:r w:rsidRPr="0012274F">
        <w:rPr>
          <w:rFonts w:ascii="Palatino Linotype" w:hAnsi="Palatino Linotype"/>
          <w:sz w:val="18"/>
          <w:szCs w:val="18"/>
          <w:lang w:eastAsia="zh-CN"/>
        </w:rPr>
        <w:t xml:space="preserve">, and Transmission of </w:t>
      </w:r>
      <w:r w:rsidRPr="000349CB">
        <w:rPr>
          <w:rFonts w:ascii="Palatino Linotype" w:hAnsi="Palatino Linotype"/>
          <w:i/>
          <w:iCs/>
          <w:sz w:val="18"/>
          <w:szCs w:val="18"/>
          <w:lang w:eastAsia="zh-CN"/>
        </w:rPr>
        <w:t xml:space="preserve">Plasmodium </w:t>
      </w:r>
      <w:r w:rsidR="002C3BCE" w:rsidRPr="000349CB">
        <w:rPr>
          <w:rFonts w:ascii="Palatino Linotype" w:hAnsi="Palatino Linotype"/>
          <w:i/>
          <w:iCs/>
          <w:sz w:val="18"/>
          <w:szCs w:val="18"/>
          <w:lang w:eastAsia="zh-CN"/>
        </w:rPr>
        <w:t>f</w:t>
      </w:r>
      <w:r w:rsidRPr="000349CB">
        <w:rPr>
          <w:rFonts w:ascii="Palatino Linotype" w:hAnsi="Palatino Linotype"/>
          <w:i/>
          <w:iCs/>
          <w:sz w:val="18"/>
          <w:szCs w:val="18"/>
          <w:lang w:eastAsia="zh-CN"/>
        </w:rPr>
        <w:t>alciparum</w:t>
      </w:r>
      <w:r w:rsidRPr="0012274F">
        <w:rPr>
          <w:rFonts w:ascii="Palatino Linotype" w:hAnsi="Palatino Linotype"/>
          <w:sz w:val="18"/>
          <w:szCs w:val="18"/>
          <w:lang w:eastAsia="zh-CN"/>
        </w:rPr>
        <w:t xml:space="preserve"> by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Arabiensis</w:t>
      </w:r>
      <w:proofErr w:type="spellEnd"/>
      <w:r w:rsidRPr="0012274F">
        <w:rPr>
          <w:rFonts w:ascii="Palatino Linotype" w:hAnsi="Palatino Linotype"/>
          <w:sz w:val="18"/>
          <w:szCs w:val="18"/>
          <w:lang w:eastAsia="zh-CN"/>
        </w:rPr>
        <w:t xml:space="preserve"> after an Extended Drought in Southern Zambia. </w:t>
      </w:r>
      <w:r w:rsidRPr="0012274F">
        <w:rPr>
          <w:rFonts w:ascii="Palatino Linotype" w:hAnsi="Palatino Linotype"/>
          <w:i/>
          <w:iCs/>
          <w:sz w:val="18"/>
          <w:szCs w:val="18"/>
          <w:lang w:eastAsia="zh-CN"/>
        </w:rPr>
        <w:t xml:space="preserve">Am. J. Trop. Med. </w:t>
      </w:r>
      <w:proofErr w:type="spellStart"/>
      <w:r w:rsidRPr="0012274F">
        <w:rPr>
          <w:rFonts w:ascii="Palatino Linotype" w:hAnsi="Palatino Linotype"/>
          <w:i/>
          <w:iCs/>
          <w:sz w:val="18"/>
          <w:szCs w:val="18"/>
          <w:lang w:eastAsia="zh-CN"/>
        </w:rPr>
        <w:t>Hyg</w:t>
      </w:r>
      <w:proofErr w:type="spellEnd"/>
      <w:r w:rsidRPr="0012274F">
        <w:rPr>
          <w:rFonts w:ascii="Palatino Linotype" w:hAnsi="Palatino Linotype"/>
          <w:i/>
          <w:iCs/>
          <w:sz w:val="18"/>
          <w:szCs w:val="18"/>
          <w:lang w:eastAsia="zh-CN"/>
        </w:rPr>
        <w: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2007</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76</w:t>
      </w:r>
      <w:r w:rsidRPr="0012274F">
        <w:rPr>
          <w:rFonts w:ascii="Palatino Linotype" w:hAnsi="Palatino Linotype"/>
          <w:sz w:val="18"/>
          <w:szCs w:val="18"/>
          <w:lang w:eastAsia="zh-CN"/>
        </w:rPr>
        <w:t>, 267–74, doi:10.4269/ajtmh.2007.76.267.</w:t>
      </w:r>
    </w:p>
    <w:p w14:paraId="1D05860B"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Bass, C.; Nikou, D.; </w:t>
      </w:r>
      <w:proofErr w:type="spellStart"/>
      <w:r w:rsidRPr="0012274F">
        <w:rPr>
          <w:rFonts w:ascii="Palatino Linotype" w:hAnsi="Palatino Linotype"/>
          <w:sz w:val="18"/>
          <w:szCs w:val="18"/>
          <w:lang w:eastAsia="zh-CN"/>
        </w:rPr>
        <w:t>Blagborough</w:t>
      </w:r>
      <w:proofErr w:type="spellEnd"/>
      <w:r w:rsidRPr="0012274F">
        <w:rPr>
          <w:rFonts w:ascii="Palatino Linotype" w:hAnsi="Palatino Linotype"/>
          <w:sz w:val="18"/>
          <w:szCs w:val="18"/>
          <w:lang w:eastAsia="zh-CN"/>
        </w:rPr>
        <w:t xml:space="preserve">, A.M.; </w:t>
      </w:r>
      <w:proofErr w:type="spellStart"/>
      <w:r w:rsidRPr="0012274F">
        <w:rPr>
          <w:rFonts w:ascii="Palatino Linotype" w:hAnsi="Palatino Linotype"/>
          <w:sz w:val="18"/>
          <w:szCs w:val="18"/>
          <w:lang w:eastAsia="zh-CN"/>
        </w:rPr>
        <w:t>Vontas</w:t>
      </w:r>
      <w:proofErr w:type="spellEnd"/>
      <w:r w:rsidRPr="0012274F">
        <w:rPr>
          <w:rFonts w:ascii="Palatino Linotype" w:hAnsi="Palatino Linotype"/>
          <w:sz w:val="18"/>
          <w:szCs w:val="18"/>
          <w:lang w:eastAsia="zh-CN"/>
        </w:rPr>
        <w:t xml:space="preserve">, J.; </w:t>
      </w:r>
      <w:proofErr w:type="spellStart"/>
      <w:r w:rsidRPr="0012274F">
        <w:rPr>
          <w:rFonts w:ascii="Palatino Linotype" w:hAnsi="Palatino Linotype"/>
          <w:sz w:val="18"/>
          <w:szCs w:val="18"/>
          <w:lang w:eastAsia="zh-CN"/>
        </w:rPr>
        <w:t>Sinden</w:t>
      </w:r>
      <w:proofErr w:type="spellEnd"/>
      <w:r w:rsidRPr="0012274F">
        <w:rPr>
          <w:rFonts w:ascii="Palatino Linotype" w:hAnsi="Palatino Linotype"/>
          <w:sz w:val="18"/>
          <w:szCs w:val="18"/>
          <w:lang w:eastAsia="zh-CN"/>
        </w:rPr>
        <w:t>, R.; Williamson, M.S.; Field, L. PCR-based detection of Plasmodium in Anopheles mosquitoes</w:t>
      </w:r>
      <w:r w:rsidRPr="008A7066">
        <w:rPr>
          <w:rFonts w:ascii="Palatino Linotype" w:hAnsi="Palatino Linotype"/>
          <w:sz w:val="18"/>
          <w:szCs w:val="18"/>
          <w:lang w:eastAsia="zh-CN"/>
        </w:rPr>
        <w:t>: A</w:t>
      </w:r>
      <w:r w:rsidRPr="0012274F">
        <w:rPr>
          <w:rFonts w:ascii="Palatino Linotype" w:hAnsi="Palatino Linotype"/>
          <w:sz w:val="18"/>
          <w:szCs w:val="18"/>
          <w:lang w:eastAsia="zh-CN"/>
        </w:rPr>
        <w:t xml:space="preserve"> comparison of a new high-throughput assay with existing methods. </w:t>
      </w:r>
      <w:r w:rsidRPr="0012274F">
        <w:rPr>
          <w:rFonts w:ascii="Palatino Linotype" w:hAnsi="Palatino Linotype"/>
          <w:i/>
          <w:iCs/>
          <w:sz w:val="18"/>
          <w:szCs w:val="18"/>
          <w:lang w:eastAsia="zh-CN"/>
        </w:rPr>
        <w:t>Malar. J.</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2008</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7</w:t>
      </w:r>
      <w:r w:rsidRPr="0012274F">
        <w:rPr>
          <w:rFonts w:ascii="Palatino Linotype" w:hAnsi="Palatino Linotype"/>
          <w:sz w:val="18"/>
          <w:szCs w:val="18"/>
          <w:lang w:eastAsia="zh-CN"/>
        </w:rPr>
        <w:t>, 177, doi:10.1186/1475-2875-7-177.</w:t>
      </w:r>
    </w:p>
    <w:p w14:paraId="77F41F5F"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Snounou</w:t>
      </w:r>
      <w:proofErr w:type="spellEnd"/>
      <w:r w:rsidRPr="0012274F">
        <w:rPr>
          <w:rFonts w:ascii="Palatino Linotype" w:hAnsi="Palatino Linotype"/>
          <w:sz w:val="18"/>
          <w:szCs w:val="18"/>
          <w:lang w:eastAsia="zh-CN"/>
        </w:rPr>
        <w:t xml:space="preserve">, G.; </w:t>
      </w:r>
      <w:proofErr w:type="spellStart"/>
      <w:r w:rsidRPr="0012274F">
        <w:rPr>
          <w:rFonts w:ascii="Palatino Linotype" w:hAnsi="Palatino Linotype"/>
          <w:sz w:val="18"/>
          <w:szCs w:val="18"/>
          <w:lang w:eastAsia="zh-CN"/>
        </w:rPr>
        <w:t>Viriyakosol</w:t>
      </w:r>
      <w:proofErr w:type="spellEnd"/>
      <w:r w:rsidRPr="0012274F">
        <w:rPr>
          <w:rFonts w:ascii="Palatino Linotype" w:hAnsi="Palatino Linotype"/>
          <w:sz w:val="18"/>
          <w:szCs w:val="18"/>
          <w:lang w:eastAsia="zh-CN"/>
        </w:rPr>
        <w:t xml:space="preserve">, S.; Zhu, X.P.; </w:t>
      </w:r>
      <w:proofErr w:type="spellStart"/>
      <w:r w:rsidRPr="0012274F">
        <w:rPr>
          <w:rFonts w:ascii="Palatino Linotype" w:hAnsi="Palatino Linotype"/>
          <w:sz w:val="18"/>
          <w:szCs w:val="18"/>
          <w:lang w:eastAsia="zh-CN"/>
        </w:rPr>
        <w:t>Jarra</w:t>
      </w:r>
      <w:proofErr w:type="spellEnd"/>
      <w:r w:rsidRPr="0012274F">
        <w:rPr>
          <w:rFonts w:ascii="Palatino Linotype" w:hAnsi="Palatino Linotype"/>
          <w:sz w:val="18"/>
          <w:szCs w:val="18"/>
          <w:lang w:eastAsia="zh-CN"/>
        </w:rPr>
        <w:t xml:space="preserve">, W.; Pinheiro, L.; </w:t>
      </w:r>
      <w:proofErr w:type="spellStart"/>
      <w:r w:rsidRPr="0012274F">
        <w:rPr>
          <w:rFonts w:ascii="Palatino Linotype" w:hAnsi="Palatino Linotype"/>
          <w:sz w:val="18"/>
          <w:szCs w:val="18"/>
          <w:lang w:eastAsia="zh-CN"/>
        </w:rPr>
        <w:t>Rosário</w:t>
      </w:r>
      <w:proofErr w:type="spellEnd"/>
      <w:r w:rsidRPr="0012274F">
        <w:rPr>
          <w:rFonts w:ascii="Palatino Linotype" w:hAnsi="Palatino Linotype"/>
          <w:sz w:val="18"/>
          <w:szCs w:val="18"/>
          <w:lang w:eastAsia="zh-CN"/>
        </w:rPr>
        <w:t xml:space="preserve">, V.E.D.; </w:t>
      </w:r>
      <w:proofErr w:type="spellStart"/>
      <w:r w:rsidRPr="0012274F">
        <w:rPr>
          <w:rFonts w:ascii="Palatino Linotype" w:hAnsi="Palatino Linotype"/>
          <w:sz w:val="18"/>
          <w:szCs w:val="18"/>
          <w:lang w:eastAsia="zh-CN"/>
        </w:rPr>
        <w:t>Thaithong</w:t>
      </w:r>
      <w:proofErr w:type="spellEnd"/>
      <w:r w:rsidRPr="0012274F">
        <w:rPr>
          <w:rFonts w:ascii="Palatino Linotype" w:hAnsi="Palatino Linotype"/>
          <w:sz w:val="18"/>
          <w:szCs w:val="18"/>
          <w:lang w:eastAsia="zh-CN"/>
        </w:rPr>
        <w:t xml:space="preserve">, S.; Brown, K. High sensitivity of detection of human malaria parasites by the use of nested polymerase chain reaction. </w:t>
      </w:r>
      <w:r w:rsidRPr="0012274F">
        <w:rPr>
          <w:rFonts w:ascii="Palatino Linotype" w:hAnsi="Palatino Linotype"/>
          <w:i/>
          <w:iCs/>
          <w:sz w:val="18"/>
          <w:szCs w:val="18"/>
          <w:lang w:eastAsia="zh-CN"/>
        </w:rPr>
        <w:t xml:space="preserve">Mol. </w:t>
      </w:r>
      <w:proofErr w:type="spellStart"/>
      <w:r w:rsidRPr="0012274F">
        <w:rPr>
          <w:rFonts w:ascii="Palatino Linotype" w:hAnsi="Palatino Linotype"/>
          <w:i/>
          <w:iCs/>
          <w:sz w:val="18"/>
          <w:szCs w:val="18"/>
          <w:lang w:eastAsia="zh-CN"/>
        </w:rPr>
        <w:t>Biochem</w:t>
      </w:r>
      <w:proofErr w:type="spellEnd"/>
      <w:r w:rsidRPr="0012274F">
        <w:rPr>
          <w:rFonts w:ascii="Palatino Linotype" w:hAnsi="Palatino Linotype"/>
          <w:i/>
          <w:iCs/>
          <w:sz w:val="18"/>
          <w:szCs w:val="18"/>
          <w:lang w:eastAsia="zh-CN"/>
        </w:rPr>
        <w:t xml:space="preserve">. </w:t>
      </w:r>
      <w:proofErr w:type="spellStart"/>
      <w:r w:rsidRPr="0012274F">
        <w:rPr>
          <w:rFonts w:ascii="Palatino Linotype" w:hAnsi="Palatino Linotype"/>
          <w:i/>
          <w:iCs/>
          <w:sz w:val="18"/>
          <w:szCs w:val="18"/>
          <w:lang w:eastAsia="zh-CN"/>
        </w:rPr>
        <w:t>Parasitol</w:t>
      </w:r>
      <w:proofErr w:type="spellEnd"/>
      <w:r w:rsidRPr="0012274F">
        <w:rPr>
          <w:rFonts w:ascii="Palatino Linotype" w:hAnsi="Palatino Linotype"/>
          <w:i/>
          <w:iCs/>
          <w:sz w:val="18"/>
          <w:szCs w:val="18"/>
          <w:lang w:eastAsia="zh-CN"/>
        </w:rPr>
        <w: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1993</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61</w:t>
      </w:r>
      <w:r w:rsidRPr="0012274F">
        <w:rPr>
          <w:rFonts w:ascii="Palatino Linotype" w:hAnsi="Palatino Linotype"/>
          <w:sz w:val="18"/>
          <w:szCs w:val="18"/>
          <w:lang w:eastAsia="zh-CN"/>
        </w:rPr>
        <w:t>, 315–320, doi:10.1016/0166-6851(93)90077-b.</w:t>
      </w:r>
    </w:p>
    <w:p w14:paraId="6B64755F"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WHO. </w:t>
      </w:r>
      <w:r w:rsidRPr="008A7066">
        <w:rPr>
          <w:rFonts w:ascii="Palatino Linotype" w:hAnsi="Palatino Linotype"/>
          <w:i/>
          <w:sz w:val="18"/>
          <w:szCs w:val="18"/>
          <w:lang w:eastAsia="zh-CN"/>
        </w:rPr>
        <w:t>Test Procedures for Insecticide Resistance Monitoring in Malaria Vector Mosquitoes</w:t>
      </w:r>
      <w:r>
        <w:rPr>
          <w:rFonts w:ascii="Palatino Linotype" w:hAnsi="Palatino Linotype"/>
          <w:sz w:val="18"/>
          <w:szCs w:val="18"/>
          <w:lang w:eastAsia="zh-CN"/>
        </w:rPr>
        <w:t>;</w:t>
      </w:r>
      <w:r w:rsidRPr="0012274F">
        <w:rPr>
          <w:rFonts w:ascii="Palatino Linotype" w:hAnsi="Palatino Linotype"/>
          <w:sz w:val="18"/>
          <w:szCs w:val="18"/>
          <w:lang w:eastAsia="zh-CN"/>
        </w:rPr>
        <w:t xml:space="preserve"> </w:t>
      </w:r>
      <w:r w:rsidRPr="000349CB">
        <w:rPr>
          <w:rFonts w:ascii="Palatino Linotype" w:hAnsi="Palatino Linotype"/>
          <w:sz w:val="18"/>
          <w:szCs w:val="18"/>
          <w:lang w:eastAsia="zh-CN"/>
        </w:rPr>
        <w:t xml:space="preserve">World Health Organization: Geneva, Switzerland, </w:t>
      </w:r>
      <w:r w:rsidRPr="0012274F">
        <w:rPr>
          <w:rFonts w:ascii="Palatino Linotype" w:hAnsi="Palatino Linotype"/>
          <w:sz w:val="18"/>
          <w:szCs w:val="18"/>
          <w:lang w:eastAsia="zh-CN"/>
        </w:rPr>
        <w:t>2016.</w:t>
      </w:r>
    </w:p>
    <w:p w14:paraId="07F7B314"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Hunt, R.H.; Brooke, B.D.; Pillay, C.; Koekemoer, L.L.; Coetzee, M. Laboratory selection for and characteristics of pyrethroid resistance in the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 xml:space="preserve">Med </w:t>
      </w:r>
      <w:proofErr w:type="spellStart"/>
      <w:r w:rsidRPr="0012274F">
        <w:rPr>
          <w:rFonts w:ascii="Palatino Linotype" w:hAnsi="Palatino Linotype"/>
          <w:i/>
          <w:iCs/>
          <w:sz w:val="18"/>
          <w:szCs w:val="18"/>
          <w:lang w:eastAsia="zh-CN"/>
        </w:rPr>
        <w:t>Veter-Èntomol</w:t>
      </w:r>
      <w:proofErr w:type="spellEnd"/>
      <w:r w:rsidRPr="0012274F">
        <w:rPr>
          <w:rFonts w:ascii="Palatino Linotype" w:hAnsi="Palatino Linotype"/>
          <w:i/>
          <w:iCs/>
          <w:sz w:val="18"/>
          <w:szCs w:val="18"/>
          <w:lang w:eastAsia="zh-CN"/>
        </w:rPr>
        <w: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2005</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19</w:t>
      </w:r>
      <w:r w:rsidRPr="0012274F">
        <w:rPr>
          <w:rFonts w:ascii="Palatino Linotype" w:hAnsi="Palatino Linotype"/>
          <w:sz w:val="18"/>
          <w:szCs w:val="18"/>
          <w:lang w:eastAsia="zh-CN"/>
        </w:rPr>
        <w:t>, 271–275, doi:10.1111/j.1365-2915.2005.</w:t>
      </w:r>
      <w:proofErr w:type="gramStart"/>
      <w:r w:rsidRPr="0012274F">
        <w:rPr>
          <w:rFonts w:ascii="Palatino Linotype" w:hAnsi="Palatino Linotype"/>
          <w:sz w:val="18"/>
          <w:szCs w:val="18"/>
          <w:lang w:eastAsia="zh-CN"/>
        </w:rPr>
        <w:t>00574.x.</w:t>
      </w:r>
      <w:proofErr w:type="gramEnd"/>
    </w:p>
    <w:p w14:paraId="449DB997"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Riveron, J.M.; </w:t>
      </w:r>
      <w:proofErr w:type="spellStart"/>
      <w:r w:rsidRPr="0012274F">
        <w:rPr>
          <w:rFonts w:ascii="Palatino Linotype" w:hAnsi="Palatino Linotype"/>
          <w:sz w:val="18"/>
          <w:szCs w:val="18"/>
          <w:lang w:eastAsia="zh-CN"/>
        </w:rPr>
        <w:t>Chiumia</w:t>
      </w:r>
      <w:proofErr w:type="spellEnd"/>
      <w:r w:rsidRPr="0012274F">
        <w:rPr>
          <w:rFonts w:ascii="Palatino Linotype" w:hAnsi="Palatino Linotype"/>
          <w:sz w:val="18"/>
          <w:szCs w:val="18"/>
          <w:lang w:eastAsia="zh-CN"/>
        </w:rPr>
        <w:t xml:space="preserve">, M.; </w:t>
      </w:r>
      <w:proofErr w:type="spellStart"/>
      <w:r w:rsidRPr="0012274F">
        <w:rPr>
          <w:rFonts w:ascii="Palatino Linotype" w:hAnsi="Palatino Linotype"/>
          <w:sz w:val="18"/>
          <w:szCs w:val="18"/>
          <w:lang w:eastAsia="zh-CN"/>
        </w:rPr>
        <w:t>Menze</w:t>
      </w:r>
      <w:proofErr w:type="spellEnd"/>
      <w:r w:rsidRPr="0012274F">
        <w:rPr>
          <w:rFonts w:ascii="Palatino Linotype" w:hAnsi="Palatino Linotype"/>
          <w:sz w:val="18"/>
          <w:szCs w:val="18"/>
          <w:lang w:eastAsia="zh-CN"/>
        </w:rPr>
        <w:t xml:space="preserve">, B.D.; Barnes, K.G.; Irving, H.; Ibrahim, S.S.; </w:t>
      </w:r>
      <w:proofErr w:type="spellStart"/>
      <w:r w:rsidRPr="0012274F">
        <w:rPr>
          <w:rFonts w:ascii="Palatino Linotype" w:hAnsi="Palatino Linotype"/>
          <w:sz w:val="18"/>
          <w:szCs w:val="18"/>
          <w:lang w:eastAsia="zh-CN"/>
        </w:rPr>
        <w:t>Weedall</w:t>
      </w:r>
      <w:proofErr w:type="spellEnd"/>
      <w:r w:rsidRPr="0012274F">
        <w:rPr>
          <w:rFonts w:ascii="Palatino Linotype" w:hAnsi="Palatino Linotype"/>
          <w:sz w:val="18"/>
          <w:szCs w:val="18"/>
          <w:lang w:eastAsia="zh-CN"/>
        </w:rPr>
        <w:t xml:space="preserve">, G.; </w:t>
      </w:r>
      <w:proofErr w:type="spellStart"/>
      <w:r w:rsidRPr="0012274F">
        <w:rPr>
          <w:rFonts w:ascii="Palatino Linotype" w:hAnsi="Palatino Linotype"/>
          <w:sz w:val="18"/>
          <w:szCs w:val="18"/>
          <w:lang w:eastAsia="zh-CN"/>
        </w:rPr>
        <w:t>Mzilahowa</w:t>
      </w:r>
      <w:proofErr w:type="spellEnd"/>
      <w:r w:rsidRPr="0012274F">
        <w:rPr>
          <w:rFonts w:ascii="Palatino Linotype" w:hAnsi="Palatino Linotype"/>
          <w:sz w:val="18"/>
          <w:szCs w:val="18"/>
          <w:lang w:eastAsia="zh-CN"/>
        </w:rPr>
        <w:t xml:space="preserve">, T.; Wondji, C.S. Rise of multiple insecticide resistance in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in Malawi</w:t>
      </w:r>
      <w:r w:rsidRPr="008A7066">
        <w:rPr>
          <w:rFonts w:ascii="Palatino Linotype" w:hAnsi="Palatino Linotype"/>
          <w:sz w:val="18"/>
          <w:szCs w:val="18"/>
          <w:lang w:eastAsia="zh-CN"/>
        </w:rPr>
        <w:t>: A</w:t>
      </w:r>
      <w:r w:rsidRPr="0012274F">
        <w:rPr>
          <w:rFonts w:ascii="Palatino Linotype" w:hAnsi="Palatino Linotype"/>
          <w:sz w:val="18"/>
          <w:szCs w:val="18"/>
          <w:lang w:eastAsia="zh-CN"/>
        </w:rPr>
        <w:t xml:space="preserve"> major concern for malaria vector control. </w:t>
      </w:r>
      <w:r w:rsidRPr="0012274F">
        <w:rPr>
          <w:rFonts w:ascii="Palatino Linotype" w:hAnsi="Palatino Linotype"/>
          <w:i/>
          <w:iCs/>
          <w:sz w:val="18"/>
          <w:szCs w:val="18"/>
          <w:lang w:eastAsia="zh-CN"/>
        </w:rPr>
        <w:t>Malar. J.</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2015</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14</w:t>
      </w:r>
      <w:r w:rsidRPr="0012274F">
        <w:rPr>
          <w:rFonts w:ascii="Palatino Linotype" w:hAnsi="Palatino Linotype"/>
          <w:sz w:val="18"/>
          <w:szCs w:val="18"/>
          <w:lang w:eastAsia="zh-CN"/>
        </w:rPr>
        <w:t>, 344, doi:10.1186/s12936-015-0877-y.</w:t>
      </w:r>
    </w:p>
    <w:p w14:paraId="71E5BFF4"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Feyereisen</w:t>
      </w:r>
      <w:proofErr w:type="spellEnd"/>
      <w:r w:rsidRPr="0012274F">
        <w:rPr>
          <w:rFonts w:ascii="Palatino Linotype" w:hAnsi="Palatino Linotype"/>
          <w:sz w:val="18"/>
          <w:szCs w:val="18"/>
          <w:lang w:eastAsia="zh-CN"/>
        </w:rPr>
        <w:t xml:space="preserve">, R. Insect P450 inhibitors and </w:t>
      </w:r>
      <w:r w:rsidRPr="008A7066">
        <w:rPr>
          <w:rFonts w:ascii="Palatino Linotype" w:hAnsi="Palatino Linotype"/>
          <w:sz w:val="18"/>
          <w:szCs w:val="18"/>
          <w:lang w:eastAsia="zh-CN"/>
        </w:rPr>
        <w:t>insecticides: Challenges</w:t>
      </w:r>
      <w:r w:rsidRPr="0012274F">
        <w:rPr>
          <w:rFonts w:ascii="Palatino Linotype" w:hAnsi="Palatino Linotype"/>
          <w:sz w:val="18"/>
          <w:szCs w:val="18"/>
          <w:lang w:eastAsia="zh-CN"/>
        </w:rPr>
        <w:t xml:space="preserve"> and opportunities. </w:t>
      </w:r>
      <w:r w:rsidRPr="0012274F">
        <w:rPr>
          <w:rFonts w:ascii="Palatino Linotype" w:hAnsi="Palatino Linotype"/>
          <w:i/>
          <w:iCs/>
          <w:sz w:val="18"/>
          <w:szCs w:val="18"/>
          <w:lang w:eastAsia="zh-CN"/>
        </w:rPr>
        <w:t xml:space="preserve">Pest </w:t>
      </w:r>
      <w:proofErr w:type="spellStart"/>
      <w:r w:rsidRPr="0012274F">
        <w:rPr>
          <w:rFonts w:ascii="Palatino Linotype" w:hAnsi="Palatino Linotype"/>
          <w:i/>
          <w:iCs/>
          <w:sz w:val="18"/>
          <w:szCs w:val="18"/>
          <w:lang w:eastAsia="zh-CN"/>
        </w:rPr>
        <w:t>Manag</w:t>
      </w:r>
      <w:proofErr w:type="spellEnd"/>
      <w:r w:rsidRPr="0012274F">
        <w:rPr>
          <w:rFonts w:ascii="Palatino Linotype" w:hAnsi="Palatino Linotype"/>
          <w:i/>
          <w:iCs/>
          <w:sz w:val="18"/>
          <w:szCs w:val="18"/>
          <w:lang w:eastAsia="zh-CN"/>
        </w:rPr>
        <w:t>. Sci.</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2014</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71</w:t>
      </w:r>
      <w:r w:rsidRPr="0012274F">
        <w:rPr>
          <w:rFonts w:ascii="Palatino Linotype" w:hAnsi="Palatino Linotype"/>
          <w:sz w:val="18"/>
          <w:szCs w:val="18"/>
          <w:lang w:eastAsia="zh-CN"/>
        </w:rPr>
        <w:t>, 793–800, doi:10.1002/ps.3895.</w:t>
      </w:r>
    </w:p>
    <w:p w14:paraId="1601D546"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Tchouakui</w:t>
      </w:r>
      <w:proofErr w:type="spellEnd"/>
      <w:r w:rsidRPr="0012274F">
        <w:rPr>
          <w:rFonts w:ascii="Palatino Linotype" w:hAnsi="Palatino Linotype"/>
          <w:sz w:val="18"/>
          <w:szCs w:val="18"/>
          <w:lang w:eastAsia="zh-CN"/>
        </w:rPr>
        <w:t xml:space="preserve">, M.; Chiang, M.-C.; </w:t>
      </w:r>
      <w:proofErr w:type="spellStart"/>
      <w:r w:rsidRPr="0012274F">
        <w:rPr>
          <w:rFonts w:ascii="Palatino Linotype" w:hAnsi="Palatino Linotype"/>
          <w:sz w:val="18"/>
          <w:szCs w:val="18"/>
          <w:lang w:eastAsia="zh-CN"/>
        </w:rPr>
        <w:t>Ndo</w:t>
      </w:r>
      <w:proofErr w:type="spellEnd"/>
      <w:r w:rsidRPr="0012274F">
        <w:rPr>
          <w:rFonts w:ascii="Palatino Linotype" w:hAnsi="Palatino Linotype"/>
          <w:sz w:val="18"/>
          <w:szCs w:val="18"/>
          <w:lang w:eastAsia="zh-CN"/>
        </w:rPr>
        <w:t xml:space="preserve">, C.; </w:t>
      </w:r>
      <w:proofErr w:type="spellStart"/>
      <w:r w:rsidRPr="0012274F">
        <w:rPr>
          <w:rFonts w:ascii="Palatino Linotype" w:hAnsi="Palatino Linotype"/>
          <w:sz w:val="18"/>
          <w:szCs w:val="18"/>
          <w:lang w:eastAsia="zh-CN"/>
        </w:rPr>
        <w:t>Kuicheu</w:t>
      </w:r>
      <w:proofErr w:type="spellEnd"/>
      <w:r w:rsidRPr="0012274F">
        <w:rPr>
          <w:rFonts w:ascii="Palatino Linotype" w:hAnsi="Palatino Linotype"/>
          <w:sz w:val="18"/>
          <w:szCs w:val="18"/>
          <w:lang w:eastAsia="zh-CN"/>
        </w:rPr>
        <w:t xml:space="preserve">, C.K.; </w:t>
      </w:r>
      <w:proofErr w:type="spellStart"/>
      <w:r w:rsidRPr="0012274F">
        <w:rPr>
          <w:rFonts w:ascii="Palatino Linotype" w:hAnsi="Palatino Linotype"/>
          <w:sz w:val="18"/>
          <w:szCs w:val="18"/>
          <w:lang w:eastAsia="zh-CN"/>
        </w:rPr>
        <w:t>Amvongo-Adjia</w:t>
      </w:r>
      <w:proofErr w:type="spellEnd"/>
      <w:r w:rsidRPr="0012274F">
        <w:rPr>
          <w:rFonts w:ascii="Palatino Linotype" w:hAnsi="Palatino Linotype"/>
          <w:sz w:val="18"/>
          <w:szCs w:val="18"/>
          <w:lang w:eastAsia="zh-CN"/>
        </w:rPr>
        <w:t xml:space="preserve">, N.; Wondji, M.J.; </w:t>
      </w:r>
      <w:proofErr w:type="spellStart"/>
      <w:r w:rsidRPr="0012274F">
        <w:rPr>
          <w:rFonts w:ascii="Palatino Linotype" w:hAnsi="Palatino Linotype"/>
          <w:sz w:val="18"/>
          <w:szCs w:val="18"/>
          <w:lang w:eastAsia="zh-CN"/>
        </w:rPr>
        <w:t>Tchoupo</w:t>
      </w:r>
      <w:proofErr w:type="spellEnd"/>
      <w:r w:rsidRPr="0012274F">
        <w:rPr>
          <w:rFonts w:ascii="Palatino Linotype" w:hAnsi="Palatino Linotype"/>
          <w:sz w:val="18"/>
          <w:szCs w:val="18"/>
          <w:lang w:eastAsia="zh-CN"/>
        </w:rPr>
        <w:t xml:space="preserve">, M.; Kusimo, M.O.; Riveron, J.M.; Wondji, C.S. A marker of glutathione S-transferase-mediated resistance to insecticides is associated with higher Plasmodium infection in the African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Sci. Rep.</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2019</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9</w:t>
      </w:r>
      <w:r w:rsidRPr="0012274F">
        <w:rPr>
          <w:rFonts w:ascii="Palatino Linotype" w:hAnsi="Palatino Linotype"/>
          <w:sz w:val="18"/>
          <w:szCs w:val="18"/>
          <w:lang w:eastAsia="zh-CN"/>
        </w:rPr>
        <w:t>, 5772, doi:10.1038/s41598-019-42015-1.</w:t>
      </w:r>
    </w:p>
    <w:p w14:paraId="5F5FABFB"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Hall, T.A. </w:t>
      </w:r>
      <w:proofErr w:type="spellStart"/>
      <w:r w:rsidRPr="0012274F">
        <w:rPr>
          <w:rFonts w:ascii="Palatino Linotype" w:hAnsi="Palatino Linotype"/>
          <w:sz w:val="18"/>
          <w:szCs w:val="18"/>
          <w:lang w:eastAsia="zh-CN"/>
        </w:rPr>
        <w:t>BioEdit</w:t>
      </w:r>
      <w:proofErr w:type="spellEnd"/>
      <w:r w:rsidRPr="008A7066">
        <w:rPr>
          <w:rFonts w:ascii="Palatino Linotype" w:hAnsi="Palatino Linotype"/>
          <w:sz w:val="18"/>
          <w:szCs w:val="18"/>
          <w:lang w:eastAsia="zh-CN"/>
        </w:rPr>
        <w:t>: A</w:t>
      </w:r>
      <w:r w:rsidRPr="0012274F">
        <w:rPr>
          <w:rFonts w:ascii="Palatino Linotype" w:hAnsi="Palatino Linotype"/>
          <w:sz w:val="18"/>
          <w:szCs w:val="18"/>
          <w:lang w:eastAsia="zh-CN"/>
        </w:rPr>
        <w:t xml:space="preserve"> user-friendly biological sequence alignment editor and analysis program for Windows 95/98/NT. </w:t>
      </w:r>
      <w:r w:rsidRPr="000349CB">
        <w:rPr>
          <w:rFonts w:ascii="Palatino Linotype" w:hAnsi="Palatino Linotype"/>
          <w:i/>
          <w:sz w:val="18"/>
          <w:szCs w:val="18"/>
          <w:lang w:eastAsia="zh-CN"/>
        </w:rPr>
        <w:t xml:space="preserve">Nucleic Acids </w:t>
      </w:r>
      <w:proofErr w:type="spellStart"/>
      <w:r w:rsidRPr="000349CB">
        <w:rPr>
          <w:rFonts w:ascii="Palatino Linotype" w:hAnsi="Palatino Linotype"/>
          <w:i/>
          <w:sz w:val="18"/>
          <w:szCs w:val="18"/>
          <w:lang w:eastAsia="zh-CN"/>
        </w:rPr>
        <w:t>Symp</w:t>
      </w:r>
      <w:proofErr w:type="spellEnd"/>
      <w:r w:rsidRPr="000349CB">
        <w:rPr>
          <w:rFonts w:ascii="Palatino Linotype" w:hAnsi="Palatino Linotype"/>
          <w:i/>
          <w:sz w:val="18"/>
          <w:szCs w:val="18"/>
          <w:lang w:eastAsia="zh-CN"/>
        </w:rPr>
        <w:t>. Ser.</w:t>
      </w:r>
      <w:r w:rsidRPr="000349CB">
        <w:rPr>
          <w:rFonts w:ascii="Palatino Linotype" w:hAnsi="Palatino Linotype"/>
          <w:sz w:val="18"/>
          <w:szCs w:val="18"/>
          <w:lang w:eastAsia="zh-CN"/>
        </w:rPr>
        <w:t xml:space="preserve"> </w:t>
      </w:r>
      <w:r w:rsidRPr="000349CB">
        <w:rPr>
          <w:rFonts w:ascii="Palatino Linotype" w:hAnsi="Palatino Linotype"/>
          <w:b/>
          <w:sz w:val="18"/>
          <w:szCs w:val="18"/>
          <w:lang w:eastAsia="zh-CN"/>
        </w:rPr>
        <w:t>1999</w:t>
      </w:r>
      <w:r w:rsidRPr="000349CB">
        <w:rPr>
          <w:rFonts w:ascii="Palatino Linotype" w:hAnsi="Palatino Linotype"/>
          <w:sz w:val="18"/>
          <w:szCs w:val="18"/>
          <w:lang w:eastAsia="zh-CN"/>
        </w:rPr>
        <w:t>, 95–98.</w:t>
      </w:r>
    </w:p>
    <w:p w14:paraId="745595F2"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Librado</w:t>
      </w:r>
      <w:proofErr w:type="spellEnd"/>
      <w:r w:rsidRPr="0012274F">
        <w:rPr>
          <w:rFonts w:ascii="Palatino Linotype" w:hAnsi="Palatino Linotype"/>
          <w:sz w:val="18"/>
          <w:szCs w:val="18"/>
          <w:lang w:eastAsia="zh-CN"/>
        </w:rPr>
        <w:t xml:space="preserve">, P.; </w:t>
      </w:r>
      <w:proofErr w:type="spellStart"/>
      <w:r w:rsidRPr="0012274F">
        <w:rPr>
          <w:rFonts w:ascii="Palatino Linotype" w:hAnsi="Palatino Linotype"/>
          <w:sz w:val="18"/>
          <w:szCs w:val="18"/>
          <w:lang w:eastAsia="zh-CN"/>
        </w:rPr>
        <w:t>Rozas</w:t>
      </w:r>
      <w:proofErr w:type="spellEnd"/>
      <w:r w:rsidRPr="0012274F">
        <w:rPr>
          <w:rFonts w:ascii="Palatino Linotype" w:hAnsi="Palatino Linotype"/>
          <w:sz w:val="18"/>
          <w:szCs w:val="18"/>
          <w:lang w:eastAsia="zh-CN"/>
        </w:rPr>
        <w:t xml:space="preserve">, J. </w:t>
      </w:r>
      <w:proofErr w:type="spellStart"/>
      <w:r w:rsidRPr="0012274F">
        <w:rPr>
          <w:rFonts w:ascii="Palatino Linotype" w:hAnsi="Palatino Linotype"/>
          <w:sz w:val="18"/>
          <w:szCs w:val="18"/>
          <w:lang w:eastAsia="zh-CN"/>
        </w:rPr>
        <w:t>DnaSP</w:t>
      </w:r>
      <w:proofErr w:type="spellEnd"/>
      <w:r w:rsidRPr="0012274F">
        <w:rPr>
          <w:rFonts w:ascii="Palatino Linotype" w:hAnsi="Palatino Linotype"/>
          <w:sz w:val="18"/>
          <w:szCs w:val="18"/>
          <w:lang w:eastAsia="zh-CN"/>
        </w:rPr>
        <w:t xml:space="preserve"> v5</w:t>
      </w:r>
      <w:r w:rsidRPr="008A7066">
        <w:rPr>
          <w:rFonts w:ascii="Palatino Linotype" w:hAnsi="Palatino Linotype"/>
          <w:sz w:val="18"/>
          <w:szCs w:val="18"/>
          <w:lang w:eastAsia="zh-CN"/>
        </w:rPr>
        <w:t>: A</w:t>
      </w:r>
      <w:r w:rsidRPr="0012274F">
        <w:rPr>
          <w:rFonts w:ascii="Palatino Linotype" w:hAnsi="Palatino Linotype"/>
          <w:sz w:val="18"/>
          <w:szCs w:val="18"/>
          <w:lang w:eastAsia="zh-CN"/>
        </w:rPr>
        <w:t xml:space="preserve"> software for comprehensive analysis of DNA polymorphism data. </w:t>
      </w:r>
      <w:r w:rsidRPr="0012274F">
        <w:rPr>
          <w:rFonts w:ascii="Palatino Linotype" w:hAnsi="Palatino Linotype"/>
          <w:i/>
          <w:iCs/>
          <w:sz w:val="18"/>
          <w:szCs w:val="18"/>
          <w:lang w:eastAsia="zh-CN"/>
        </w:rPr>
        <w:t>Bioinform</w:t>
      </w:r>
      <w:r>
        <w:rPr>
          <w:rFonts w:ascii="Palatino Linotype" w:hAnsi="Palatino Linotype"/>
          <w:i/>
          <w:iCs/>
          <w:sz w:val="18"/>
          <w:szCs w:val="18"/>
          <w:lang w:eastAsia="zh-CN"/>
        </w:rPr>
        <w:t>atics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2009</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25</w:t>
      </w:r>
      <w:r w:rsidRPr="0012274F">
        <w:rPr>
          <w:rFonts w:ascii="Palatino Linotype" w:hAnsi="Palatino Linotype"/>
          <w:sz w:val="18"/>
          <w:szCs w:val="18"/>
          <w:lang w:eastAsia="zh-CN"/>
        </w:rPr>
        <w:t>, 1451–1452, doi:10.1093/bioinformatics/btp187.</w:t>
      </w:r>
    </w:p>
    <w:p w14:paraId="126655FC"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Tamura, K.; </w:t>
      </w:r>
      <w:proofErr w:type="spellStart"/>
      <w:r w:rsidRPr="0012274F">
        <w:rPr>
          <w:rFonts w:ascii="Palatino Linotype" w:hAnsi="Palatino Linotype"/>
          <w:sz w:val="18"/>
          <w:szCs w:val="18"/>
          <w:lang w:eastAsia="zh-CN"/>
        </w:rPr>
        <w:t>Stecher</w:t>
      </w:r>
      <w:proofErr w:type="spellEnd"/>
      <w:r w:rsidRPr="0012274F">
        <w:rPr>
          <w:rFonts w:ascii="Palatino Linotype" w:hAnsi="Palatino Linotype"/>
          <w:sz w:val="18"/>
          <w:szCs w:val="18"/>
          <w:lang w:eastAsia="zh-CN"/>
        </w:rPr>
        <w:t xml:space="preserve">, G.; Peterson, D.; </w:t>
      </w:r>
      <w:proofErr w:type="spellStart"/>
      <w:r w:rsidRPr="0012274F">
        <w:rPr>
          <w:rFonts w:ascii="Palatino Linotype" w:hAnsi="Palatino Linotype"/>
          <w:sz w:val="18"/>
          <w:szCs w:val="18"/>
          <w:lang w:eastAsia="zh-CN"/>
        </w:rPr>
        <w:t>Filipski</w:t>
      </w:r>
      <w:proofErr w:type="spellEnd"/>
      <w:r w:rsidRPr="0012274F">
        <w:rPr>
          <w:rFonts w:ascii="Palatino Linotype" w:hAnsi="Palatino Linotype"/>
          <w:sz w:val="18"/>
          <w:szCs w:val="18"/>
          <w:lang w:eastAsia="zh-CN"/>
        </w:rPr>
        <w:t xml:space="preserve">, A.; Kumar, S. MEGA6: Molecular Evolutionary Genetics Analysis version 6.0. </w:t>
      </w:r>
      <w:r w:rsidRPr="0012274F">
        <w:rPr>
          <w:rFonts w:ascii="Palatino Linotype" w:hAnsi="Palatino Linotype"/>
          <w:i/>
          <w:iCs/>
          <w:sz w:val="18"/>
          <w:szCs w:val="18"/>
          <w:lang w:eastAsia="zh-CN"/>
        </w:rPr>
        <w:t xml:space="preserve">Mol. Boil. </w:t>
      </w:r>
      <w:proofErr w:type="spellStart"/>
      <w:r w:rsidRPr="0012274F">
        <w:rPr>
          <w:rFonts w:ascii="Palatino Linotype" w:hAnsi="Palatino Linotype"/>
          <w:i/>
          <w:iCs/>
          <w:sz w:val="18"/>
          <w:szCs w:val="18"/>
          <w:lang w:eastAsia="zh-CN"/>
        </w:rPr>
        <w:t>Evol</w:t>
      </w:r>
      <w:proofErr w:type="spellEnd"/>
      <w:r w:rsidRPr="0012274F">
        <w:rPr>
          <w:rFonts w:ascii="Palatino Linotype" w:hAnsi="Palatino Linotype"/>
          <w:i/>
          <w:iCs/>
          <w:sz w:val="18"/>
          <w:szCs w:val="18"/>
          <w:lang w:eastAsia="zh-CN"/>
        </w:rPr>
        <w: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2013</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30</w:t>
      </w:r>
      <w:r w:rsidRPr="0012274F">
        <w:rPr>
          <w:rFonts w:ascii="Palatino Linotype" w:hAnsi="Palatino Linotype"/>
          <w:sz w:val="18"/>
          <w:szCs w:val="18"/>
          <w:lang w:eastAsia="zh-CN"/>
        </w:rPr>
        <w:t>, 2725–9, doi:10.1093/</w:t>
      </w:r>
      <w:proofErr w:type="spellStart"/>
      <w:r w:rsidRPr="0012274F">
        <w:rPr>
          <w:rFonts w:ascii="Palatino Linotype" w:hAnsi="Palatino Linotype"/>
          <w:sz w:val="18"/>
          <w:szCs w:val="18"/>
          <w:lang w:eastAsia="zh-CN"/>
        </w:rPr>
        <w:t>molbev</w:t>
      </w:r>
      <w:bookmarkStart w:id="16" w:name="_GoBack"/>
      <w:bookmarkEnd w:id="16"/>
      <w:proofErr w:type="spellEnd"/>
      <w:r w:rsidRPr="0012274F">
        <w:rPr>
          <w:rFonts w:ascii="Palatino Linotype" w:hAnsi="Palatino Linotype"/>
          <w:sz w:val="18"/>
          <w:szCs w:val="18"/>
          <w:lang w:eastAsia="zh-CN"/>
        </w:rPr>
        <w:t>/mst197.</w:t>
      </w:r>
    </w:p>
    <w:p w14:paraId="7AFD5BC4"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Djouaka</w:t>
      </w:r>
      <w:proofErr w:type="spellEnd"/>
      <w:r w:rsidRPr="0012274F">
        <w:rPr>
          <w:rFonts w:ascii="Palatino Linotype" w:hAnsi="Palatino Linotype"/>
          <w:sz w:val="18"/>
          <w:szCs w:val="18"/>
          <w:lang w:eastAsia="zh-CN"/>
        </w:rPr>
        <w:t xml:space="preserve">, R.; Irving, H.; Tukur, Z.; Wondji, C.S. Exploring Mechanisms of Multiple Insecticide Resistance in a Population of the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in Benin. </w:t>
      </w:r>
      <w:proofErr w:type="spellStart"/>
      <w:r w:rsidRPr="0012274F">
        <w:rPr>
          <w:rFonts w:ascii="Palatino Linotype" w:hAnsi="Palatino Linotype"/>
          <w:i/>
          <w:iCs/>
          <w:sz w:val="18"/>
          <w:szCs w:val="18"/>
          <w:lang w:eastAsia="zh-CN"/>
        </w:rPr>
        <w:t>PL</w:t>
      </w:r>
      <w:r>
        <w:rPr>
          <w:rFonts w:ascii="Palatino Linotype" w:hAnsi="Palatino Linotype"/>
          <w:i/>
          <w:iCs/>
          <w:sz w:val="18"/>
          <w:szCs w:val="18"/>
          <w:lang w:eastAsia="zh-CN"/>
        </w:rPr>
        <w:t>o</w:t>
      </w:r>
      <w:r w:rsidRPr="0012274F">
        <w:rPr>
          <w:rFonts w:ascii="Palatino Linotype" w:hAnsi="Palatino Linotype"/>
          <w:i/>
          <w:iCs/>
          <w:sz w:val="18"/>
          <w:szCs w:val="18"/>
          <w:lang w:eastAsia="zh-CN"/>
        </w:rPr>
        <w:t>S</w:t>
      </w:r>
      <w:proofErr w:type="spellEnd"/>
      <w:r w:rsidRPr="0012274F">
        <w:rPr>
          <w:rFonts w:ascii="Palatino Linotype" w:hAnsi="Palatino Linotype"/>
          <w:i/>
          <w:iCs/>
          <w:sz w:val="18"/>
          <w:szCs w:val="18"/>
          <w:lang w:eastAsia="zh-CN"/>
        </w:rPr>
        <w:t xml:space="preserve"> ONE</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2011</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6</w:t>
      </w:r>
      <w:r w:rsidRPr="0012274F">
        <w:rPr>
          <w:rFonts w:ascii="Palatino Linotype" w:hAnsi="Palatino Linotype"/>
          <w:sz w:val="18"/>
          <w:szCs w:val="18"/>
          <w:lang w:eastAsia="zh-CN"/>
        </w:rPr>
        <w:t xml:space="preserve">, e27760, </w:t>
      </w:r>
      <w:proofErr w:type="gramStart"/>
      <w:r w:rsidRPr="0012274F">
        <w:rPr>
          <w:rFonts w:ascii="Palatino Linotype" w:hAnsi="Palatino Linotype"/>
          <w:sz w:val="18"/>
          <w:szCs w:val="18"/>
          <w:lang w:eastAsia="zh-CN"/>
        </w:rPr>
        <w:t>doi:10.1371/journal.pone</w:t>
      </w:r>
      <w:proofErr w:type="gramEnd"/>
      <w:r w:rsidRPr="0012274F">
        <w:rPr>
          <w:rFonts w:ascii="Palatino Linotype" w:hAnsi="Palatino Linotype"/>
          <w:sz w:val="18"/>
          <w:szCs w:val="18"/>
          <w:lang w:eastAsia="zh-CN"/>
        </w:rPr>
        <w:t>.0027760.</w:t>
      </w:r>
    </w:p>
    <w:p w14:paraId="64B66962"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Venables, W.N.; Ripley, B.D. </w:t>
      </w:r>
      <w:r w:rsidRPr="0012274F">
        <w:rPr>
          <w:rFonts w:ascii="Palatino Linotype" w:hAnsi="Palatino Linotype"/>
          <w:i/>
          <w:iCs/>
          <w:sz w:val="18"/>
          <w:szCs w:val="18"/>
          <w:lang w:eastAsia="zh-CN"/>
        </w:rPr>
        <w:t>Modern Applied Statistics with S</w:t>
      </w:r>
      <w:r w:rsidRPr="0012274F">
        <w:rPr>
          <w:rFonts w:ascii="Palatino Linotype" w:hAnsi="Palatino Linotype"/>
          <w:sz w:val="18"/>
          <w:szCs w:val="18"/>
          <w:lang w:eastAsia="zh-CN"/>
        </w:rPr>
        <w:t>; Springer Science and Business Media LLC</w:t>
      </w:r>
      <w:r>
        <w:rPr>
          <w:rFonts w:ascii="Palatino Linotype" w:hAnsi="Palatino Linotype"/>
          <w:sz w:val="18"/>
          <w:szCs w:val="18"/>
          <w:lang w:eastAsia="zh-CN"/>
        </w:rPr>
        <w:t xml:space="preserve">: </w:t>
      </w:r>
      <w:r w:rsidRPr="000349CB">
        <w:rPr>
          <w:rFonts w:ascii="Palatino Linotype" w:hAnsi="Palatino Linotype"/>
          <w:sz w:val="18"/>
          <w:szCs w:val="18"/>
          <w:lang w:eastAsia="zh-CN"/>
        </w:rPr>
        <w:t>Berlin/Heidelberg, Germany</w:t>
      </w:r>
      <w:r>
        <w:rPr>
          <w:rFonts w:ascii="Palatino Linotype" w:hAnsi="Palatino Linotype"/>
          <w:sz w:val="18"/>
          <w:szCs w:val="18"/>
          <w:lang w:eastAsia="zh-CN"/>
        </w:rPr>
        <w:t>,</w:t>
      </w:r>
      <w:r w:rsidRPr="0012274F">
        <w:rPr>
          <w:rFonts w:ascii="Palatino Linotype" w:hAnsi="Palatino Linotype"/>
          <w:sz w:val="18"/>
          <w:szCs w:val="18"/>
          <w:lang w:eastAsia="zh-CN"/>
        </w:rPr>
        <w:t xml:space="preserve"> 2002.</w:t>
      </w:r>
    </w:p>
    <w:p w14:paraId="44F5C61E"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Orsborne</w:t>
      </w:r>
      <w:proofErr w:type="spellEnd"/>
      <w:r w:rsidRPr="0012274F">
        <w:rPr>
          <w:rFonts w:ascii="Palatino Linotype" w:hAnsi="Palatino Linotype"/>
          <w:sz w:val="18"/>
          <w:szCs w:val="18"/>
          <w:lang w:eastAsia="zh-CN"/>
        </w:rPr>
        <w:t xml:space="preserve">, J.; </w:t>
      </w:r>
      <w:proofErr w:type="spellStart"/>
      <w:r w:rsidRPr="0012274F">
        <w:rPr>
          <w:rFonts w:ascii="Palatino Linotype" w:hAnsi="Palatino Linotype"/>
          <w:sz w:val="18"/>
          <w:szCs w:val="18"/>
          <w:lang w:eastAsia="zh-CN"/>
        </w:rPr>
        <w:t>Furuya</w:t>
      </w:r>
      <w:proofErr w:type="spellEnd"/>
      <w:r w:rsidRPr="0012274F">
        <w:rPr>
          <w:rFonts w:ascii="Palatino Linotype" w:hAnsi="Palatino Linotype"/>
          <w:sz w:val="18"/>
          <w:szCs w:val="18"/>
          <w:lang w:eastAsia="zh-CN"/>
        </w:rPr>
        <w:t xml:space="preserve">-Kanamori, L.; Jeffries, C.L.; </w:t>
      </w:r>
      <w:proofErr w:type="spellStart"/>
      <w:r w:rsidRPr="0012274F">
        <w:rPr>
          <w:rFonts w:ascii="Palatino Linotype" w:hAnsi="Palatino Linotype"/>
          <w:sz w:val="18"/>
          <w:szCs w:val="18"/>
          <w:lang w:eastAsia="zh-CN"/>
        </w:rPr>
        <w:t>Kristan</w:t>
      </w:r>
      <w:proofErr w:type="spellEnd"/>
      <w:r w:rsidRPr="0012274F">
        <w:rPr>
          <w:rFonts w:ascii="Palatino Linotype" w:hAnsi="Palatino Linotype"/>
          <w:sz w:val="18"/>
          <w:szCs w:val="18"/>
          <w:lang w:eastAsia="zh-CN"/>
        </w:rPr>
        <w:t xml:space="preserve">, M.; Mohammed, A.R.; </w:t>
      </w:r>
      <w:proofErr w:type="spellStart"/>
      <w:r w:rsidRPr="0012274F">
        <w:rPr>
          <w:rFonts w:ascii="Palatino Linotype" w:hAnsi="Palatino Linotype"/>
          <w:sz w:val="18"/>
          <w:szCs w:val="18"/>
          <w:lang w:eastAsia="zh-CN"/>
        </w:rPr>
        <w:t>Afrane</w:t>
      </w:r>
      <w:proofErr w:type="spellEnd"/>
      <w:r w:rsidRPr="0012274F">
        <w:rPr>
          <w:rFonts w:ascii="Palatino Linotype" w:hAnsi="Palatino Linotype"/>
          <w:sz w:val="18"/>
          <w:szCs w:val="18"/>
          <w:lang w:eastAsia="zh-CN"/>
        </w:rPr>
        <w:t xml:space="preserve">, Y.A.; O’Reilly, K.; </w:t>
      </w:r>
      <w:proofErr w:type="spellStart"/>
      <w:r w:rsidRPr="0012274F">
        <w:rPr>
          <w:rFonts w:ascii="Palatino Linotype" w:hAnsi="Palatino Linotype"/>
          <w:sz w:val="18"/>
          <w:szCs w:val="18"/>
          <w:lang w:eastAsia="zh-CN"/>
        </w:rPr>
        <w:t>Massad</w:t>
      </w:r>
      <w:proofErr w:type="spellEnd"/>
      <w:r w:rsidRPr="0012274F">
        <w:rPr>
          <w:rFonts w:ascii="Palatino Linotype" w:hAnsi="Palatino Linotype"/>
          <w:sz w:val="18"/>
          <w:szCs w:val="18"/>
          <w:lang w:eastAsia="zh-CN"/>
        </w:rPr>
        <w:t xml:space="preserve">, E.; </w:t>
      </w:r>
      <w:proofErr w:type="spellStart"/>
      <w:r w:rsidRPr="0012274F">
        <w:rPr>
          <w:rFonts w:ascii="Palatino Linotype" w:hAnsi="Palatino Linotype"/>
          <w:sz w:val="18"/>
          <w:szCs w:val="18"/>
          <w:lang w:eastAsia="zh-CN"/>
        </w:rPr>
        <w:t>Drakeley</w:t>
      </w:r>
      <w:proofErr w:type="spellEnd"/>
      <w:r w:rsidRPr="0012274F">
        <w:rPr>
          <w:rFonts w:ascii="Palatino Linotype" w:hAnsi="Palatino Linotype"/>
          <w:sz w:val="18"/>
          <w:szCs w:val="18"/>
          <w:lang w:eastAsia="zh-CN"/>
        </w:rPr>
        <w:t xml:space="preserve">, C.; Walker, T.; et al. Using the human blood index to investigate host biting </w:t>
      </w:r>
      <w:r w:rsidRPr="005511E0">
        <w:rPr>
          <w:rFonts w:ascii="Palatino Linotype" w:hAnsi="Palatino Linotype"/>
          <w:sz w:val="18"/>
          <w:szCs w:val="18"/>
          <w:lang w:eastAsia="zh-CN"/>
        </w:rPr>
        <w:t>plasticity: A systematic</w:t>
      </w:r>
      <w:r w:rsidRPr="0012274F">
        <w:rPr>
          <w:rFonts w:ascii="Palatino Linotype" w:hAnsi="Palatino Linotype"/>
          <w:sz w:val="18"/>
          <w:szCs w:val="18"/>
          <w:lang w:eastAsia="zh-CN"/>
        </w:rPr>
        <w:t xml:space="preserve"> review and meta-regression of the three major African malaria vectors. </w:t>
      </w:r>
      <w:r w:rsidRPr="0012274F">
        <w:rPr>
          <w:rFonts w:ascii="Palatino Linotype" w:hAnsi="Palatino Linotype"/>
          <w:i/>
          <w:iCs/>
          <w:sz w:val="18"/>
          <w:szCs w:val="18"/>
          <w:lang w:eastAsia="zh-CN"/>
        </w:rPr>
        <w:t>Malar. J.</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2018</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17</w:t>
      </w:r>
      <w:r w:rsidRPr="0012274F">
        <w:rPr>
          <w:rFonts w:ascii="Palatino Linotype" w:hAnsi="Palatino Linotype"/>
          <w:sz w:val="18"/>
          <w:szCs w:val="18"/>
          <w:lang w:eastAsia="zh-CN"/>
        </w:rPr>
        <w:t>, 479, doi:10.1186/s12936-018-2632-7.</w:t>
      </w:r>
    </w:p>
    <w:p w14:paraId="23BE4DDC"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Riveron, J.M.; </w:t>
      </w:r>
      <w:proofErr w:type="spellStart"/>
      <w:r w:rsidRPr="0012274F">
        <w:rPr>
          <w:rFonts w:ascii="Palatino Linotype" w:hAnsi="Palatino Linotype"/>
          <w:sz w:val="18"/>
          <w:szCs w:val="18"/>
          <w:lang w:eastAsia="zh-CN"/>
        </w:rPr>
        <w:t>Huijben</w:t>
      </w:r>
      <w:proofErr w:type="spellEnd"/>
      <w:r w:rsidRPr="0012274F">
        <w:rPr>
          <w:rFonts w:ascii="Palatino Linotype" w:hAnsi="Palatino Linotype"/>
          <w:sz w:val="18"/>
          <w:szCs w:val="18"/>
          <w:lang w:eastAsia="zh-CN"/>
        </w:rPr>
        <w:t xml:space="preserve">, S.; Tchapga, W.; </w:t>
      </w:r>
      <w:proofErr w:type="spellStart"/>
      <w:r w:rsidRPr="0012274F">
        <w:rPr>
          <w:rFonts w:ascii="Palatino Linotype" w:hAnsi="Palatino Linotype"/>
          <w:sz w:val="18"/>
          <w:szCs w:val="18"/>
          <w:lang w:eastAsia="zh-CN"/>
        </w:rPr>
        <w:t>Tchouakui</w:t>
      </w:r>
      <w:proofErr w:type="spellEnd"/>
      <w:r w:rsidRPr="0012274F">
        <w:rPr>
          <w:rFonts w:ascii="Palatino Linotype" w:hAnsi="Palatino Linotype"/>
          <w:sz w:val="18"/>
          <w:szCs w:val="18"/>
          <w:lang w:eastAsia="zh-CN"/>
        </w:rPr>
        <w:t xml:space="preserve">, M.; Wondji, M.J.; </w:t>
      </w:r>
      <w:proofErr w:type="spellStart"/>
      <w:r w:rsidRPr="0012274F">
        <w:rPr>
          <w:rFonts w:ascii="Palatino Linotype" w:hAnsi="Palatino Linotype"/>
          <w:sz w:val="18"/>
          <w:szCs w:val="18"/>
          <w:lang w:eastAsia="zh-CN"/>
        </w:rPr>
        <w:t>Tchoupo</w:t>
      </w:r>
      <w:proofErr w:type="spellEnd"/>
      <w:r w:rsidRPr="0012274F">
        <w:rPr>
          <w:rFonts w:ascii="Palatino Linotype" w:hAnsi="Palatino Linotype"/>
          <w:sz w:val="18"/>
          <w:szCs w:val="18"/>
          <w:lang w:eastAsia="zh-CN"/>
        </w:rPr>
        <w:t xml:space="preserve">, M.; Irving, H.; </w:t>
      </w:r>
      <w:proofErr w:type="spellStart"/>
      <w:r w:rsidRPr="0012274F">
        <w:rPr>
          <w:rFonts w:ascii="Palatino Linotype" w:hAnsi="Palatino Linotype"/>
          <w:sz w:val="18"/>
          <w:szCs w:val="18"/>
          <w:lang w:eastAsia="zh-CN"/>
        </w:rPr>
        <w:t>Cuamba</w:t>
      </w:r>
      <w:proofErr w:type="spellEnd"/>
      <w:r w:rsidRPr="0012274F">
        <w:rPr>
          <w:rFonts w:ascii="Palatino Linotype" w:hAnsi="Palatino Linotype"/>
          <w:sz w:val="18"/>
          <w:szCs w:val="18"/>
          <w:lang w:eastAsia="zh-CN"/>
        </w:rPr>
        <w:t xml:space="preserve">, N.; </w:t>
      </w:r>
      <w:proofErr w:type="spellStart"/>
      <w:r w:rsidRPr="0012274F">
        <w:rPr>
          <w:rFonts w:ascii="Palatino Linotype" w:hAnsi="Palatino Linotype"/>
          <w:sz w:val="18"/>
          <w:szCs w:val="18"/>
          <w:lang w:eastAsia="zh-CN"/>
        </w:rPr>
        <w:t>Maquina</w:t>
      </w:r>
      <w:proofErr w:type="spellEnd"/>
      <w:r w:rsidRPr="0012274F">
        <w:rPr>
          <w:rFonts w:ascii="Palatino Linotype" w:hAnsi="Palatino Linotype"/>
          <w:sz w:val="18"/>
          <w:szCs w:val="18"/>
          <w:lang w:eastAsia="zh-CN"/>
        </w:rPr>
        <w:t xml:space="preserve">, M.; </w:t>
      </w:r>
      <w:proofErr w:type="spellStart"/>
      <w:r w:rsidRPr="0012274F">
        <w:rPr>
          <w:rFonts w:ascii="Palatino Linotype" w:hAnsi="Palatino Linotype"/>
          <w:sz w:val="18"/>
          <w:szCs w:val="18"/>
          <w:lang w:eastAsia="zh-CN"/>
        </w:rPr>
        <w:t>Paaijmans</w:t>
      </w:r>
      <w:proofErr w:type="spellEnd"/>
      <w:r w:rsidRPr="0012274F">
        <w:rPr>
          <w:rFonts w:ascii="Palatino Linotype" w:hAnsi="Palatino Linotype"/>
          <w:sz w:val="18"/>
          <w:szCs w:val="18"/>
          <w:lang w:eastAsia="zh-CN"/>
        </w:rPr>
        <w:t xml:space="preserve">, K.; et al. Escalation of Pyrethroid Resistance in the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Induces a Loss of Efficacy of </w:t>
      </w:r>
      <w:proofErr w:type="spellStart"/>
      <w:r w:rsidRPr="0012274F">
        <w:rPr>
          <w:rFonts w:ascii="Palatino Linotype" w:hAnsi="Palatino Linotype"/>
          <w:sz w:val="18"/>
          <w:szCs w:val="18"/>
          <w:lang w:eastAsia="zh-CN"/>
        </w:rPr>
        <w:t>Piperonyl</w:t>
      </w:r>
      <w:proofErr w:type="spellEnd"/>
      <w:r w:rsidRPr="0012274F">
        <w:rPr>
          <w:rFonts w:ascii="Palatino Linotype" w:hAnsi="Palatino Linotype"/>
          <w:sz w:val="18"/>
          <w:szCs w:val="18"/>
          <w:lang w:eastAsia="zh-CN"/>
        </w:rPr>
        <w:t xml:space="preserve"> Butoxide–Based Insecticide-Treated Nets in Mozambique. </w:t>
      </w:r>
      <w:r w:rsidRPr="0012274F">
        <w:rPr>
          <w:rFonts w:ascii="Palatino Linotype" w:hAnsi="Palatino Linotype"/>
          <w:i/>
          <w:iCs/>
          <w:sz w:val="18"/>
          <w:szCs w:val="18"/>
          <w:lang w:eastAsia="zh-CN"/>
        </w:rPr>
        <w:lastRenderedPageBreak/>
        <w:t>J. Infect. Dis.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2019</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220</w:t>
      </w:r>
      <w:r w:rsidRPr="0012274F">
        <w:rPr>
          <w:rFonts w:ascii="Palatino Linotype" w:hAnsi="Palatino Linotype"/>
          <w:sz w:val="18"/>
          <w:szCs w:val="18"/>
          <w:lang w:eastAsia="zh-CN"/>
        </w:rPr>
        <w:t>, 467–475, doi:10.1093/</w:t>
      </w:r>
      <w:proofErr w:type="spellStart"/>
      <w:r w:rsidRPr="0012274F">
        <w:rPr>
          <w:rFonts w:ascii="Palatino Linotype" w:hAnsi="Palatino Linotype"/>
          <w:sz w:val="18"/>
          <w:szCs w:val="18"/>
          <w:lang w:eastAsia="zh-CN"/>
        </w:rPr>
        <w:t>infdis</w:t>
      </w:r>
      <w:proofErr w:type="spellEnd"/>
      <w:r w:rsidRPr="0012274F">
        <w:rPr>
          <w:rFonts w:ascii="Palatino Linotype" w:hAnsi="Palatino Linotype"/>
          <w:sz w:val="18"/>
          <w:szCs w:val="18"/>
          <w:lang w:eastAsia="zh-CN"/>
        </w:rPr>
        <w:t>/jiz139.</w:t>
      </w:r>
    </w:p>
    <w:p w14:paraId="56BDA60C"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Riveron, J.M.; </w:t>
      </w:r>
      <w:proofErr w:type="spellStart"/>
      <w:r w:rsidRPr="0012274F">
        <w:rPr>
          <w:rFonts w:ascii="Palatino Linotype" w:hAnsi="Palatino Linotype"/>
          <w:sz w:val="18"/>
          <w:szCs w:val="18"/>
          <w:lang w:eastAsia="zh-CN"/>
        </w:rPr>
        <w:t>Osae</w:t>
      </w:r>
      <w:proofErr w:type="spellEnd"/>
      <w:r w:rsidRPr="0012274F">
        <w:rPr>
          <w:rFonts w:ascii="Palatino Linotype" w:hAnsi="Palatino Linotype"/>
          <w:sz w:val="18"/>
          <w:szCs w:val="18"/>
          <w:lang w:eastAsia="zh-CN"/>
        </w:rPr>
        <w:t xml:space="preserve">, M.; </w:t>
      </w:r>
      <w:proofErr w:type="spellStart"/>
      <w:r w:rsidRPr="0012274F">
        <w:rPr>
          <w:rFonts w:ascii="Palatino Linotype" w:hAnsi="Palatino Linotype"/>
          <w:sz w:val="18"/>
          <w:szCs w:val="18"/>
          <w:lang w:eastAsia="zh-CN"/>
        </w:rPr>
        <w:t>Egyir-Yawson</w:t>
      </w:r>
      <w:proofErr w:type="spellEnd"/>
      <w:r w:rsidRPr="0012274F">
        <w:rPr>
          <w:rFonts w:ascii="Palatino Linotype" w:hAnsi="Palatino Linotype"/>
          <w:sz w:val="18"/>
          <w:szCs w:val="18"/>
          <w:lang w:eastAsia="zh-CN"/>
        </w:rPr>
        <w:t xml:space="preserve">, A.; Irving, H.; Ibrahim, S.S.; Wondji, C.S. Multiple insecticide resistance in the major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in southern Ghana</w:t>
      </w:r>
      <w:r w:rsidRPr="005511E0">
        <w:rPr>
          <w:rFonts w:ascii="Palatino Linotype" w:hAnsi="Palatino Linotype"/>
          <w:sz w:val="18"/>
          <w:szCs w:val="18"/>
          <w:lang w:eastAsia="zh-CN"/>
        </w:rPr>
        <w:t>: Implications for</w:t>
      </w:r>
      <w:r w:rsidRPr="0012274F">
        <w:rPr>
          <w:rFonts w:ascii="Palatino Linotype" w:hAnsi="Palatino Linotype"/>
          <w:sz w:val="18"/>
          <w:szCs w:val="18"/>
          <w:lang w:eastAsia="zh-CN"/>
        </w:rPr>
        <w:t xml:space="preserve"> malaria control. </w:t>
      </w:r>
      <w:r w:rsidRPr="0012274F">
        <w:rPr>
          <w:rFonts w:ascii="Palatino Linotype" w:hAnsi="Palatino Linotype"/>
          <w:i/>
          <w:iCs/>
          <w:sz w:val="18"/>
          <w:szCs w:val="18"/>
          <w:lang w:eastAsia="zh-CN"/>
        </w:rPr>
        <w:t>Parasites Vectors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2016</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9</w:t>
      </w:r>
      <w:r w:rsidRPr="0012274F">
        <w:rPr>
          <w:rFonts w:ascii="Palatino Linotype" w:hAnsi="Palatino Linotype"/>
          <w:sz w:val="18"/>
          <w:szCs w:val="18"/>
          <w:lang w:eastAsia="zh-CN"/>
        </w:rPr>
        <w:t>, 504, doi:10.1186/s13071-016-1787-8.</w:t>
      </w:r>
    </w:p>
    <w:p w14:paraId="4497EBE2"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Samb</w:t>
      </w:r>
      <w:proofErr w:type="spellEnd"/>
      <w:r w:rsidRPr="0012274F">
        <w:rPr>
          <w:rFonts w:ascii="Palatino Linotype" w:hAnsi="Palatino Linotype"/>
          <w:sz w:val="18"/>
          <w:szCs w:val="18"/>
          <w:lang w:eastAsia="zh-CN"/>
        </w:rPr>
        <w:t xml:space="preserve">, B.; </w:t>
      </w:r>
      <w:proofErr w:type="spellStart"/>
      <w:r w:rsidRPr="0012274F">
        <w:rPr>
          <w:rFonts w:ascii="Palatino Linotype" w:hAnsi="Palatino Linotype"/>
          <w:sz w:val="18"/>
          <w:szCs w:val="18"/>
          <w:lang w:eastAsia="zh-CN"/>
        </w:rPr>
        <w:t>Konate</w:t>
      </w:r>
      <w:proofErr w:type="spellEnd"/>
      <w:r w:rsidRPr="0012274F">
        <w:rPr>
          <w:rFonts w:ascii="Palatino Linotype" w:hAnsi="Palatino Linotype"/>
          <w:sz w:val="18"/>
          <w:szCs w:val="18"/>
          <w:lang w:eastAsia="zh-CN"/>
        </w:rPr>
        <w:t xml:space="preserve">, L.; Irving, H.; Riveron, J.M.; </w:t>
      </w:r>
      <w:proofErr w:type="spellStart"/>
      <w:r w:rsidRPr="0012274F">
        <w:rPr>
          <w:rFonts w:ascii="Palatino Linotype" w:hAnsi="Palatino Linotype"/>
          <w:sz w:val="18"/>
          <w:szCs w:val="18"/>
          <w:lang w:eastAsia="zh-CN"/>
        </w:rPr>
        <w:t>Dia</w:t>
      </w:r>
      <w:proofErr w:type="spellEnd"/>
      <w:r w:rsidRPr="0012274F">
        <w:rPr>
          <w:rFonts w:ascii="Palatino Linotype" w:hAnsi="Palatino Linotype"/>
          <w:sz w:val="18"/>
          <w:szCs w:val="18"/>
          <w:lang w:eastAsia="zh-CN"/>
        </w:rPr>
        <w:t xml:space="preserve">, I.; Faye, O.; Wondji, C.S. Investigating molecular basis of lambda-cyhalothrin resistance in an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population from Senegal. </w:t>
      </w:r>
      <w:r w:rsidRPr="0012274F">
        <w:rPr>
          <w:rFonts w:ascii="Palatino Linotype" w:hAnsi="Palatino Linotype"/>
          <w:i/>
          <w:iCs/>
          <w:sz w:val="18"/>
          <w:szCs w:val="18"/>
          <w:lang w:eastAsia="zh-CN"/>
        </w:rPr>
        <w:t>Parasites Vectors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2016</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9</w:t>
      </w:r>
      <w:r w:rsidRPr="0012274F">
        <w:rPr>
          <w:rFonts w:ascii="Palatino Linotype" w:hAnsi="Palatino Linotype"/>
          <w:sz w:val="18"/>
          <w:szCs w:val="18"/>
          <w:lang w:eastAsia="zh-CN"/>
        </w:rPr>
        <w:t>, 449, doi:10.1186/s13071-016-1735-7.</w:t>
      </w:r>
    </w:p>
    <w:p w14:paraId="1341088F"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Menze</w:t>
      </w:r>
      <w:proofErr w:type="spellEnd"/>
      <w:r w:rsidRPr="0012274F">
        <w:rPr>
          <w:rFonts w:ascii="Palatino Linotype" w:hAnsi="Palatino Linotype"/>
          <w:sz w:val="18"/>
          <w:szCs w:val="18"/>
          <w:lang w:eastAsia="zh-CN"/>
        </w:rPr>
        <w:t>, B.D.; Riveron, J.M.; Ibrahim, S.S.; Irving, H.; Antonio-</w:t>
      </w:r>
      <w:proofErr w:type="spellStart"/>
      <w:r w:rsidRPr="0012274F">
        <w:rPr>
          <w:rFonts w:ascii="Palatino Linotype" w:hAnsi="Palatino Linotype"/>
          <w:sz w:val="18"/>
          <w:szCs w:val="18"/>
          <w:lang w:eastAsia="zh-CN"/>
        </w:rPr>
        <w:t>Nkondjio</w:t>
      </w:r>
      <w:proofErr w:type="spellEnd"/>
      <w:r w:rsidRPr="0012274F">
        <w:rPr>
          <w:rFonts w:ascii="Palatino Linotype" w:hAnsi="Palatino Linotype"/>
          <w:sz w:val="18"/>
          <w:szCs w:val="18"/>
          <w:lang w:eastAsia="zh-CN"/>
        </w:rPr>
        <w:t xml:space="preserve">, C.; </w:t>
      </w:r>
      <w:proofErr w:type="spellStart"/>
      <w:r w:rsidRPr="0012274F">
        <w:rPr>
          <w:rFonts w:ascii="Palatino Linotype" w:hAnsi="Palatino Linotype"/>
          <w:sz w:val="18"/>
          <w:szCs w:val="18"/>
          <w:lang w:eastAsia="zh-CN"/>
        </w:rPr>
        <w:t>Awono-Ambene</w:t>
      </w:r>
      <w:proofErr w:type="spellEnd"/>
      <w:r w:rsidRPr="0012274F">
        <w:rPr>
          <w:rFonts w:ascii="Palatino Linotype" w:hAnsi="Palatino Linotype"/>
          <w:sz w:val="18"/>
          <w:szCs w:val="18"/>
          <w:lang w:eastAsia="zh-CN"/>
        </w:rPr>
        <w:t xml:space="preserve">, P.H.; Wondji, C.S. Multiple Insecticide Resistance in the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from Northern Cameroon Is Mediated by Metabolic Resistance Alongside Potential Target Site Insensitivity Mutations. </w:t>
      </w:r>
      <w:proofErr w:type="spellStart"/>
      <w:r w:rsidRPr="0012274F">
        <w:rPr>
          <w:rFonts w:ascii="Palatino Linotype" w:hAnsi="Palatino Linotype"/>
          <w:i/>
          <w:iCs/>
          <w:sz w:val="18"/>
          <w:szCs w:val="18"/>
          <w:lang w:eastAsia="zh-CN"/>
        </w:rPr>
        <w:t>PL</w:t>
      </w:r>
      <w:r>
        <w:rPr>
          <w:rFonts w:ascii="Palatino Linotype" w:hAnsi="Palatino Linotype"/>
          <w:i/>
          <w:iCs/>
          <w:sz w:val="18"/>
          <w:szCs w:val="18"/>
          <w:lang w:eastAsia="zh-CN"/>
        </w:rPr>
        <w:t>o</w:t>
      </w:r>
      <w:r w:rsidRPr="0012274F">
        <w:rPr>
          <w:rFonts w:ascii="Palatino Linotype" w:hAnsi="Palatino Linotype"/>
          <w:i/>
          <w:iCs/>
          <w:sz w:val="18"/>
          <w:szCs w:val="18"/>
          <w:lang w:eastAsia="zh-CN"/>
        </w:rPr>
        <w:t>S</w:t>
      </w:r>
      <w:proofErr w:type="spellEnd"/>
      <w:r w:rsidRPr="0012274F">
        <w:rPr>
          <w:rFonts w:ascii="Palatino Linotype" w:hAnsi="Palatino Linotype"/>
          <w:i/>
          <w:iCs/>
          <w:sz w:val="18"/>
          <w:szCs w:val="18"/>
          <w:lang w:eastAsia="zh-CN"/>
        </w:rPr>
        <w:t xml:space="preserve"> ONE</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2016</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11</w:t>
      </w:r>
      <w:r w:rsidRPr="0012274F">
        <w:rPr>
          <w:rFonts w:ascii="Palatino Linotype" w:hAnsi="Palatino Linotype"/>
          <w:sz w:val="18"/>
          <w:szCs w:val="18"/>
          <w:lang w:eastAsia="zh-CN"/>
        </w:rPr>
        <w:t xml:space="preserve">, e0163261, </w:t>
      </w:r>
      <w:proofErr w:type="gramStart"/>
      <w:r w:rsidRPr="0012274F">
        <w:rPr>
          <w:rFonts w:ascii="Palatino Linotype" w:hAnsi="Palatino Linotype"/>
          <w:sz w:val="18"/>
          <w:szCs w:val="18"/>
          <w:lang w:eastAsia="zh-CN"/>
        </w:rPr>
        <w:t>doi:10.1371/journal.pone</w:t>
      </w:r>
      <w:proofErr w:type="gramEnd"/>
      <w:r w:rsidRPr="0012274F">
        <w:rPr>
          <w:rFonts w:ascii="Palatino Linotype" w:hAnsi="Palatino Linotype"/>
          <w:sz w:val="18"/>
          <w:szCs w:val="18"/>
          <w:lang w:eastAsia="zh-CN"/>
        </w:rPr>
        <w:t>.0163261.</w:t>
      </w:r>
    </w:p>
    <w:p w14:paraId="40F2060E"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Menze</w:t>
      </w:r>
      <w:proofErr w:type="spellEnd"/>
      <w:r w:rsidRPr="0012274F">
        <w:rPr>
          <w:rFonts w:ascii="Palatino Linotype" w:hAnsi="Palatino Linotype"/>
          <w:sz w:val="18"/>
          <w:szCs w:val="18"/>
          <w:lang w:eastAsia="zh-CN"/>
        </w:rPr>
        <w:t xml:space="preserve">, B.; Kouamo, M.; Wondji, M.J.; Tchapga, W.; </w:t>
      </w:r>
      <w:proofErr w:type="spellStart"/>
      <w:r w:rsidRPr="0012274F">
        <w:rPr>
          <w:rFonts w:ascii="Palatino Linotype" w:hAnsi="Palatino Linotype"/>
          <w:sz w:val="18"/>
          <w:szCs w:val="18"/>
          <w:lang w:eastAsia="zh-CN"/>
        </w:rPr>
        <w:t>Tchoupo</w:t>
      </w:r>
      <w:proofErr w:type="spellEnd"/>
      <w:r w:rsidRPr="0012274F">
        <w:rPr>
          <w:rFonts w:ascii="Palatino Linotype" w:hAnsi="Palatino Linotype"/>
          <w:sz w:val="18"/>
          <w:szCs w:val="18"/>
          <w:lang w:eastAsia="zh-CN"/>
        </w:rPr>
        <w:t xml:space="preserve">, M.; Kusimo, M.O.; </w:t>
      </w:r>
      <w:proofErr w:type="spellStart"/>
      <w:r w:rsidRPr="0012274F">
        <w:rPr>
          <w:rFonts w:ascii="Palatino Linotype" w:hAnsi="Palatino Linotype"/>
          <w:sz w:val="18"/>
          <w:szCs w:val="18"/>
          <w:lang w:eastAsia="zh-CN"/>
        </w:rPr>
        <w:t>Mouhamadou</w:t>
      </w:r>
      <w:proofErr w:type="spellEnd"/>
      <w:r w:rsidRPr="0012274F">
        <w:rPr>
          <w:rFonts w:ascii="Palatino Linotype" w:hAnsi="Palatino Linotype"/>
          <w:sz w:val="18"/>
          <w:szCs w:val="18"/>
          <w:lang w:eastAsia="zh-CN"/>
        </w:rPr>
        <w:t xml:space="preserve">, C.S.; Riveron, J.; Wondji, C.S. An Experimental Hut Evaluation of PBO-Based and Pyrethroid-Only Nets against the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Reveals a Loss of Bed Nets Efficacy Associated with GSTe2 Metabolic Resistance. </w:t>
      </w:r>
      <w:r w:rsidRPr="0012274F">
        <w:rPr>
          <w:rFonts w:ascii="Palatino Linotype" w:hAnsi="Palatino Linotype"/>
          <w:i/>
          <w:iCs/>
          <w:sz w:val="18"/>
          <w:szCs w:val="18"/>
          <w:lang w:eastAsia="zh-CN"/>
        </w:rPr>
        <w:t>Genes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2020</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11</w:t>
      </w:r>
      <w:r w:rsidRPr="0012274F">
        <w:rPr>
          <w:rFonts w:ascii="Palatino Linotype" w:hAnsi="Palatino Linotype"/>
          <w:sz w:val="18"/>
          <w:szCs w:val="18"/>
          <w:lang w:eastAsia="zh-CN"/>
        </w:rPr>
        <w:t>, 143, doi:10.3390/genes11020143.</w:t>
      </w:r>
    </w:p>
    <w:p w14:paraId="1FDF1217"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Riveron, J.M.; </w:t>
      </w:r>
      <w:proofErr w:type="spellStart"/>
      <w:r w:rsidRPr="0012274F">
        <w:rPr>
          <w:rFonts w:ascii="Palatino Linotype" w:hAnsi="Palatino Linotype"/>
          <w:sz w:val="18"/>
          <w:szCs w:val="18"/>
          <w:lang w:eastAsia="zh-CN"/>
        </w:rPr>
        <w:t>Watsenga</w:t>
      </w:r>
      <w:proofErr w:type="spellEnd"/>
      <w:r w:rsidRPr="0012274F">
        <w:rPr>
          <w:rFonts w:ascii="Palatino Linotype" w:hAnsi="Palatino Linotype"/>
          <w:sz w:val="18"/>
          <w:szCs w:val="18"/>
          <w:lang w:eastAsia="zh-CN"/>
        </w:rPr>
        <w:t xml:space="preserve">, F.; Irving, H.; Irish, S.R.; Wondji, C.S. High Plasmodium Infection Rate and Reduced Bed Net Efficacy in Multiple Insecticide-Resistant Malaria Vectors in Kinshasa, Democratic Republic of Congo. </w:t>
      </w:r>
      <w:r w:rsidRPr="0012274F">
        <w:rPr>
          <w:rFonts w:ascii="Palatino Linotype" w:hAnsi="Palatino Linotype"/>
          <w:i/>
          <w:iCs/>
          <w:sz w:val="18"/>
          <w:szCs w:val="18"/>
          <w:lang w:eastAsia="zh-CN"/>
        </w:rPr>
        <w:t>J. Infect. Dis.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2017</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217</w:t>
      </w:r>
      <w:r w:rsidRPr="0012274F">
        <w:rPr>
          <w:rFonts w:ascii="Palatino Linotype" w:hAnsi="Palatino Linotype"/>
          <w:sz w:val="18"/>
          <w:szCs w:val="18"/>
          <w:lang w:eastAsia="zh-CN"/>
        </w:rPr>
        <w:t>, 320–328, doi:10.1093/</w:t>
      </w:r>
      <w:proofErr w:type="spellStart"/>
      <w:r w:rsidRPr="0012274F">
        <w:rPr>
          <w:rFonts w:ascii="Palatino Linotype" w:hAnsi="Palatino Linotype"/>
          <w:sz w:val="18"/>
          <w:szCs w:val="18"/>
          <w:lang w:eastAsia="zh-CN"/>
        </w:rPr>
        <w:t>infdis</w:t>
      </w:r>
      <w:proofErr w:type="spellEnd"/>
      <w:r w:rsidRPr="0012274F">
        <w:rPr>
          <w:rFonts w:ascii="Palatino Linotype" w:hAnsi="Palatino Linotype"/>
          <w:sz w:val="18"/>
          <w:szCs w:val="18"/>
          <w:lang w:eastAsia="zh-CN"/>
        </w:rPr>
        <w:t>/jix570.</w:t>
      </w:r>
    </w:p>
    <w:p w14:paraId="4BC5CF60"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Menze</w:t>
      </w:r>
      <w:proofErr w:type="spellEnd"/>
      <w:r w:rsidRPr="0012274F">
        <w:rPr>
          <w:rFonts w:ascii="Palatino Linotype" w:hAnsi="Palatino Linotype"/>
          <w:sz w:val="18"/>
          <w:szCs w:val="18"/>
          <w:lang w:eastAsia="zh-CN"/>
        </w:rPr>
        <w:t xml:space="preserve">, B.D.; Wondji, M.J.; Tchapga, W.; </w:t>
      </w:r>
      <w:proofErr w:type="spellStart"/>
      <w:r w:rsidRPr="0012274F">
        <w:rPr>
          <w:rFonts w:ascii="Palatino Linotype" w:hAnsi="Palatino Linotype"/>
          <w:sz w:val="18"/>
          <w:szCs w:val="18"/>
          <w:lang w:eastAsia="zh-CN"/>
        </w:rPr>
        <w:t>Tchoupo</w:t>
      </w:r>
      <w:proofErr w:type="spellEnd"/>
      <w:r w:rsidRPr="0012274F">
        <w:rPr>
          <w:rFonts w:ascii="Palatino Linotype" w:hAnsi="Palatino Linotype"/>
          <w:sz w:val="18"/>
          <w:szCs w:val="18"/>
          <w:lang w:eastAsia="zh-CN"/>
        </w:rPr>
        <w:t xml:space="preserve">, M.; Riveron, J.M.; Wondji, C.S. Bionomics and insecticides resistance profiling of malaria vectors at a selected site for experimental hut trials in central Cameroon. </w:t>
      </w:r>
      <w:r w:rsidRPr="0012274F">
        <w:rPr>
          <w:rFonts w:ascii="Palatino Linotype" w:hAnsi="Palatino Linotype"/>
          <w:i/>
          <w:iCs/>
          <w:sz w:val="18"/>
          <w:szCs w:val="18"/>
          <w:lang w:eastAsia="zh-CN"/>
        </w:rPr>
        <w:t>Malar. J.</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2018</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17</w:t>
      </w:r>
      <w:r w:rsidRPr="0012274F">
        <w:rPr>
          <w:rFonts w:ascii="Palatino Linotype" w:hAnsi="Palatino Linotype"/>
          <w:sz w:val="18"/>
          <w:szCs w:val="18"/>
          <w:lang w:eastAsia="zh-CN"/>
        </w:rPr>
        <w:t>, 317, doi:10.1186/s12936-018-2467-2.</w:t>
      </w:r>
    </w:p>
    <w:p w14:paraId="7EB1799A"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 xml:space="preserve">Fadel, A.N.; Ibrahim, S.S.; </w:t>
      </w:r>
      <w:proofErr w:type="spellStart"/>
      <w:r w:rsidRPr="0012274F">
        <w:rPr>
          <w:rFonts w:ascii="Palatino Linotype" w:hAnsi="Palatino Linotype"/>
          <w:sz w:val="18"/>
          <w:szCs w:val="18"/>
          <w:lang w:eastAsia="zh-CN"/>
        </w:rPr>
        <w:t>Tchouakui</w:t>
      </w:r>
      <w:proofErr w:type="spellEnd"/>
      <w:r w:rsidRPr="0012274F">
        <w:rPr>
          <w:rFonts w:ascii="Palatino Linotype" w:hAnsi="Palatino Linotype"/>
          <w:sz w:val="18"/>
          <w:szCs w:val="18"/>
          <w:lang w:eastAsia="zh-CN"/>
        </w:rPr>
        <w:t xml:space="preserve">, M.; Terence, E.; Wondji, M.J.; </w:t>
      </w:r>
      <w:proofErr w:type="spellStart"/>
      <w:r w:rsidRPr="0012274F">
        <w:rPr>
          <w:rFonts w:ascii="Palatino Linotype" w:hAnsi="Palatino Linotype"/>
          <w:sz w:val="18"/>
          <w:szCs w:val="18"/>
          <w:lang w:eastAsia="zh-CN"/>
        </w:rPr>
        <w:t>Tchoupo</w:t>
      </w:r>
      <w:proofErr w:type="spellEnd"/>
      <w:r w:rsidRPr="0012274F">
        <w:rPr>
          <w:rFonts w:ascii="Palatino Linotype" w:hAnsi="Palatino Linotype"/>
          <w:sz w:val="18"/>
          <w:szCs w:val="18"/>
          <w:lang w:eastAsia="zh-CN"/>
        </w:rPr>
        <w:t xml:space="preserve">, M.; </w:t>
      </w:r>
      <w:proofErr w:type="spellStart"/>
      <w:r w:rsidRPr="0012274F">
        <w:rPr>
          <w:rFonts w:ascii="Palatino Linotype" w:hAnsi="Palatino Linotype"/>
          <w:sz w:val="18"/>
          <w:szCs w:val="18"/>
          <w:lang w:eastAsia="zh-CN"/>
        </w:rPr>
        <w:t>Wanji</w:t>
      </w:r>
      <w:proofErr w:type="spellEnd"/>
      <w:r w:rsidRPr="0012274F">
        <w:rPr>
          <w:rFonts w:ascii="Palatino Linotype" w:hAnsi="Palatino Linotype"/>
          <w:sz w:val="18"/>
          <w:szCs w:val="18"/>
          <w:lang w:eastAsia="zh-CN"/>
        </w:rPr>
        <w:t xml:space="preserve">, S.; Wondji, C.S. A combination of metabolic resistance and high frequency of the 1014F </w:t>
      </w:r>
      <w:proofErr w:type="spellStart"/>
      <w:r w:rsidRPr="0012274F">
        <w:rPr>
          <w:rFonts w:ascii="Palatino Linotype" w:hAnsi="Palatino Linotype"/>
          <w:sz w:val="18"/>
          <w:szCs w:val="18"/>
          <w:lang w:eastAsia="zh-CN"/>
        </w:rPr>
        <w:t>kdr</w:t>
      </w:r>
      <w:proofErr w:type="spellEnd"/>
      <w:r w:rsidRPr="0012274F">
        <w:rPr>
          <w:rFonts w:ascii="Palatino Linotype" w:hAnsi="Palatino Linotype"/>
          <w:sz w:val="18"/>
          <w:szCs w:val="18"/>
          <w:lang w:eastAsia="zh-CN"/>
        </w:rPr>
        <w:t xml:space="preserve"> mutation is driving pyrethroid resistance in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coluzzii</w:t>
      </w:r>
      <w:proofErr w:type="spellEnd"/>
      <w:r w:rsidRPr="0012274F">
        <w:rPr>
          <w:rFonts w:ascii="Palatino Linotype" w:hAnsi="Palatino Linotype"/>
          <w:sz w:val="18"/>
          <w:szCs w:val="18"/>
          <w:lang w:eastAsia="zh-CN"/>
        </w:rPr>
        <w:t xml:space="preserve"> population from Guinea savanna of Cameroon. </w:t>
      </w:r>
      <w:r w:rsidRPr="0012274F">
        <w:rPr>
          <w:rFonts w:ascii="Palatino Linotype" w:hAnsi="Palatino Linotype"/>
          <w:i/>
          <w:iCs/>
          <w:sz w:val="18"/>
          <w:szCs w:val="18"/>
          <w:lang w:eastAsia="zh-CN"/>
        </w:rPr>
        <w:t>Parasites Vectors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2019</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12</w:t>
      </w:r>
      <w:r w:rsidRPr="0012274F">
        <w:rPr>
          <w:rFonts w:ascii="Palatino Linotype" w:hAnsi="Palatino Linotype"/>
          <w:sz w:val="18"/>
          <w:szCs w:val="18"/>
          <w:lang w:eastAsia="zh-CN"/>
        </w:rPr>
        <w:t>, 263, doi:10.1186/s13071-019-3523-7.</w:t>
      </w:r>
    </w:p>
    <w:p w14:paraId="79930014"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proofErr w:type="spellStart"/>
      <w:r w:rsidRPr="0012274F">
        <w:rPr>
          <w:rFonts w:ascii="Palatino Linotype" w:hAnsi="Palatino Linotype"/>
          <w:sz w:val="18"/>
          <w:szCs w:val="18"/>
          <w:lang w:eastAsia="zh-CN"/>
        </w:rPr>
        <w:t>Tchouakui</w:t>
      </w:r>
      <w:proofErr w:type="spellEnd"/>
      <w:r w:rsidRPr="0012274F">
        <w:rPr>
          <w:rFonts w:ascii="Palatino Linotype" w:hAnsi="Palatino Linotype"/>
          <w:sz w:val="18"/>
          <w:szCs w:val="18"/>
          <w:lang w:eastAsia="zh-CN"/>
        </w:rPr>
        <w:t xml:space="preserve">, M.; </w:t>
      </w:r>
      <w:proofErr w:type="spellStart"/>
      <w:r w:rsidRPr="0012274F">
        <w:rPr>
          <w:rFonts w:ascii="Palatino Linotype" w:hAnsi="Palatino Linotype"/>
          <w:sz w:val="18"/>
          <w:szCs w:val="18"/>
          <w:lang w:eastAsia="zh-CN"/>
        </w:rPr>
        <w:t>Fossog</w:t>
      </w:r>
      <w:proofErr w:type="spellEnd"/>
      <w:r w:rsidRPr="0012274F">
        <w:rPr>
          <w:rFonts w:ascii="Palatino Linotype" w:hAnsi="Palatino Linotype"/>
          <w:sz w:val="18"/>
          <w:szCs w:val="18"/>
          <w:lang w:eastAsia="zh-CN"/>
        </w:rPr>
        <w:t xml:space="preserve">, B.T.; </w:t>
      </w:r>
      <w:proofErr w:type="spellStart"/>
      <w:r w:rsidRPr="0012274F">
        <w:rPr>
          <w:rFonts w:ascii="Palatino Linotype" w:hAnsi="Palatino Linotype"/>
          <w:sz w:val="18"/>
          <w:szCs w:val="18"/>
          <w:lang w:eastAsia="zh-CN"/>
        </w:rPr>
        <w:t>Ngannang</w:t>
      </w:r>
      <w:proofErr w:type="spellEnd"/>
      <w:r w:rsidRPr="0012274F">
        <w:rPr>
          <w:rFonts w:ascii="Palatino Linotype" w:hAnsi="Palatino Linotype"/>
          <w:sz w:val="18"/>
          <w:szCs w:val="18"/>
          <w:lang w:eastAsia="zh-CN"/>
        </w:rPr>
        <w:t xml:space="preserve">, V.B.; </w:t>
      </w:r>
      <w:proofErr w:type="spellStart"/>
      <w:r w:rsidRPr="0012274F">
        <w:rPr>
          <w:rFonts w:ascii="Palatino Linotype" w:hAnsi="Palatino Linotype"/>
          <w:sz w:val="18"/>
          <w:szCs w:val="18"/>
          <w:lang w:eastAsia="zh-CN"/>
        </w:rPr>
        <w:t>Djonabaye</w:t>
      </w:r>
      <w:proofErr w:type="spellEnd"/>
      <w:r w:rsidRPr="0012274F">
        <w:rPr>
          <w:rFonts w:ascii="Palatino Linotype" w:hAnsi="Palatino Linotype"/>
          <w:sz w:val="18"/>
          <w:szCs w:val="18"/>
          <w:lang w:eastAsia="zh-CN"/>
        </w:rPr>
        <w:t xml:space="preserve">, D.; Tchapga, W.; </w:t>
      </w:r>
      <w:proofErr w:type="spellStart"/>
      <w:r w:rsidRPr="0012274F">
        <w:rPr>
          <w:rFonts w:ascii="Palatino Linotype" w:hAnsi="Palatino Linotype"/>
          <w:sz w:val="18"/>
          <w:szCs w:val="18"/>
          <w:lang w:eastAsia="zh-CN"/>
        </w:rPr>
        <w:t>Njiokou</w:t>
      </w:r>
      <w:proofErr w:type="spellEnd"/>
      <w:r w:rsidRPr="0012274F">
        <w:rPr>
          <w:rFonts w:ascii="Palatino Linotype" w:hAnsi="Palatino Linotype"/>
          <w:sz w:val="18"/>
          <w:szCs w:val="18"/>
          <w:lang w:eastAsia="zh-CN"/>
        </w:rPr>
        <w:t xml:space="preserve">, F.; Wondji, C.S. Investigation of the influence of a glutathione S-transferase metabolic resistance to pyrethroids/DDT on mating competitiveness in males of the African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w:t>
      </w:r>
      <w:proofErr w:type="spellStart"/>
      <w:r w:rsidRPr="0012274F">
        <w:rPr>
          <w:rFonts w:ascii="Palatino Linotype" w:hAnsi="Palatino Linotype"/>
          <w:i/>
          <w:iCs/>
          <w:sz w:val="18"/>
          <w:szCs w:val="18"/>
          <w:lang w:eastAsia="zh-CN"/>
        </w:rPr>
        <w:t>Wellcome</w:t>
      </w:r>
      <w:proofErr w:type="spellEnd"/>
      <w:r w:rsidRPr="0012274F">
        <w:rPr>
          <w:rFonts w:ascii="Palatino Linotype" w:hAnsi="Palatino Linotype"/>
          <w:i/>
          <w:iCs/>
          <w:sz w:val="18"/>
          <w:szCs w:val="18"/>
          <w:lang w:eastAsia="zh-CN"/>
        </w:rPr>
        <w:t xml:space="preserve"> Open Res.</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2019</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4</w:t>
      </w:r>
      <w:r w:rsidRPr="0012274F">
        <w:rPr>
          <w:rFonts w:ascii="Palatino Linotype" w:hAnsi="Palatino Linotype"/>
          <w:sz w:val="18"/>
          <w:szCs w:val="18"/>
          <w:lang w:eastAsia="zh-CN"/>
        </w:rPr>
        <w:t>, 13, doi:10.12688/wellcomeopenres.15013.2.</w:t>
      </w:r>
    </w:p>
    <w:p w14:paraId="1776F847" w14:textId="77777777" w:rsidR="009122BE" w:rsidRPr="0012274F" w:rsidRDefault="009122BE" w:rsidP="009122BE">
      <w:pPr>
        <w:pStyle w:val="ListParagraph"/>
        <w:widowControl w:val="0"/>
        <w:numPr>
          <w:ilvl w:val="0"/>
          <w:numId w:val="19"/>
        </w:numPr>
        <w:adjustRightInd w:val="0"/>
        <w:snapToGrid w:val="0"/>
        <w:spacing w:after="0" w:line="260" w:lineRule="atLeast"/>
        <w:ind w:left="425" w:hanging="425"/>
        <w:contextualSpacing w:val="0"/>
        <w:jc w:val="both"/>
        <w:rPr>
          <w:rFonts w:ascii="Palatino Linotype" w:hAnsi="Palatino Linotype"/>
          <w:sz w:val="18"/>
          <w:szCs w:val="18"/>
          <w:lang w:eastAsia="zh-CN"/>
        </w:rPr>
      </w:pPr>
      <w:r w:rsidRPr="0012274F">
        <w:rPr>
          <w:rFonts w:ascii="Palatino Linotype" w:hAnsi="Palatino Linotype"/>
          <w:sz w:val="18"/>
          <w:szCs w:val="18"/>
          <w:lang w:eastAsia="zh-CN"/>
        </w:rPr>
        <w:t>Irving, H.; Wondji, C.S. Investigating knockdown resistance (</w:t>
      </w:r>
      <w:proofErr w:type="spellStart"/>
      <w:r w:rsidRPr="0012274F">
        <w:rPr>
          <w:rFonts w:ascii="Palatino Linotype" w:hAnsi="Palatino Linotype"/>
          <w:sz w:val="18"/>
          <w:szCs w:val="18"/>
          <w:lang w:eastAsia="zh-CN"/>
        </w:rPr>
        <w:t>kdr</w:t>
      </w:r>
      <w:proofErr w:type="spellEnd"/>
      <w:r w:rsidRPr="0012274F">
        <w:rPr>
          <w:rFonts w:ascii="Palatino Linotype" w:hAnsi="Palatino Linotype"/>
          <w:sz w:val="18"/>
          <w:szCs w:val="18"/>
          <w:lang w:eastAsia="zh-CN"/>
        </w:rPr>
        <w:t xml:space="preserve">) mechanism against pyrethroids/DDT in the malaria vector </w:t>
      </w:r>
      <w:r w:rsidRPr="000349CB">
        <w:rPr>
          <w:rFonts w:ascii="Palatino Linotype" w:hAnsi="Palatino Linotype"/>
          <w:i/>
          <w:iCs/>
          <w:sz w:val="18"/>
          <w:szCs w:val="18"/>
          <w:lang w:eastAsia="zh-CN"/>
        </w:rPr>
        <w:t xml:space="preserve">Anopheles </w:t>
      </w:r>
      <w:proofErr w:type="spellStart"/>
      <w:r w:rsidRPr="000349CB">
        <w:rPr>
          <w:rFonts w:ascii="Palatino Linotype" w:hAnsi="Palatino Linotype"/>
          <w:i/>
          <w:iCs/>
          <w:sz w:val="18"/>
          <w:szCs w:val="18"/>
          <w:lang w:eastAsia="zh-CN"/>
        </w:rPr>
        <w:t>funestus</w:t>
      </w:r>
      <w:proofErr w:type="spellEnd"/>
      <w:r w:rsidRPr="0012274F">
        <w:rPr>
          <w:rFonts w:ascii="Palatino Linotype" w:hAnsi="Palatino Linotype"/>
          <w:sz w:val="18"/>
          <w:szCs w:val="18"/>
          <w:lang w:eastAsia="zh-CN"/>
        </w:rPr>
        <w:t xml:space="preserve"> across Africa. </w:t>
      </w:r>
      <w:r w:rsidRPr="0012274F">
        <w:rPr>
          <w:rFonts w:ascii="Palatino Linotype" w:hAnsi="Palatino Linotype"/>
          <w:i/>
          <w:iCs/>
          <w:sz w:val="18"/>
          <w:szCs w:val="18"/>
          <w:lang w:eastAsia="zh-CN"/>
        </w:rPr>
        <w:t>BMC Genet.</w:t>
      </w:r>
      <w:r w:rsidRPr="0012274F">
        <w:rPr>
          <w:rFonts w:ascii="Palatino Linotype" w:hAnsi="Palatino Linotype"/>
          <w:sz w:val="18"/>
          <w:szCs w:val="18"/>
          <w:lang w:eastAsia="zh-CN"/>
        </w:rPr>
        <w:t xml:space="preserve"> </w:t>
      </w:r>
      <w:r w:rsidRPr="0012274F">
        <w:rPr>
          <w:rFonts w:ascii="Palatino Linotype" w:hAnsi="Palatino Linotype"/>
          <w:b/>
          <w:bCs/>
          <w:sz w:val="18"/>
          <w:szCs w:val="18"/>
          <w:lang w:eastAsia="zh-CN"/>
        </w:rPr>
        <w:t>2017</w:t>
      </w:r>
      <w:r w:rsidRPr="0012274F">
        <w:rPr>
          <w:rFonts w:ascii="Palatino Linotype" w:hAnsi="Palatino Linotype"/>
          <w:sz w:val="18"/>
          <w:szCs w:val="18"/>
          <w:lang w:eastAsia="zh-CN"/>
        </w:rPr>
        <w:t xml:space="preserve">, </w:t>
      </w:r>
      <w:r w:rsidRPr="0012274F">
        <w:rPr>
          <w:rFonts w:ascii="Palatino Linotype" w:hAnsi="Palatino Linotype"/>
          <w:i/>
          <w:iCs/>
          <w:sz w:val="18"/>
          <w:szCs w:val="18"/>
          <w:lang w:eastAsia="zh-CN"/>
        </w:rPr>
        <w:t>18</w:t>
      </w:r>
      <w:r w:rsidRPr="0012274F">
        <w:rPr>
          <w:rFonts w:ascii="Palatino Linotype" w:hAnsi="Palatino Linotype"/>
          <w:sz w:val="18"/>
          <w:szCs w:val="18"/>
          <w:lang w:eastAsia="zh-CN"/>
        </w:rPr>
        <w:t>, 76, doi:10.1186/s12863-017-0539-x.</w:t>
      </w:r>
    </w:p>
    <w:p w14:paraId="20D2DF6E" w14:textId="656730B8" w:rsidR="00F55E11" w:rsidRPr="00430DB9" w:rsidRDefault="00F55E11" w:rsidP="00F55E11">
      <w:pPr>
        <w:pStyle w:val="MDPI12title"/>
        <w:spacing w:before="120" w:after="0" w:line="260" w:lineRule="atLeast"/>
        <w:rPr>
          <w:rFonts w:eastAsia="SimSun"/>
          <w:b w:val="0"/>
          <w:sz w:val="18"/>
        </w:rPr>
      </w:pPr>
      <w:r w:rsidRPr="00430DB9">
        <w:rPr>
          <w:b w:val="0"/>
          <w:noProof/>
          <w:sz w:val="18"/>
          <w:szCs w:val="18"/>
          <w:lang w:eastAsia="zh-CN" w:bidi="ar-SA"/>
        </w:rPr>
        <w:drawing>
          <wp:anchor distT="0" distB="0" distL="114300" distR="114300" simplePos="0" relativeHeight="251659264" behindDoc="1" locked="0" layoutInCell="1" allowOverlap="1" wp14:anchorId="20CB8E81" wp14:editId="3C26BE55">
            <wp:simplePos x="0" y="0"/>
            <wp:positionH relativeFrom="margin">
              <wp:posOffset>12272</wp:posOffset>
            </wp:positionH>
            <wp:positionV relativeFrom="paragraph">
              <wp:posOffset>152092</wp:posOffset>
            </wp:positionV>
            <wp:extent cx="1000760" cy="360045"/>
            <wp:effectExtent l="0" t="0" r="0" b="0"/>
            <wp:wrapTight wrapText="bothSides">
              <wp:wrapPolygon edited="0">
                <wp:start x="0" y="0"/>
                <wp:lineTo x="0" y="20571"/>
                <wp:lineTo x="21381" y="20571"/>
                <wp:lineTo x="21381" y="0"/>
                <wp:lineTo x="0" y="0"/>
              </wp:wrapPolygon>
            </wp:wrapTight>
            <wp:docPr id="21" name="Picture 21"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layout\new template June 2014\figures\CC-BY logo original v1.wmf"/>
                    <pic:cNvPicPr>
                      <a:picLocks noChangeAspect="1" noChangeArrowheads="1"/>
                    </pic:cNvPicPr>
                  </pic:nvPicPr>
                  <pic:blipFill>
                    <a:blip r:embed="rId10" cstate="print">
                      <a:extLst>
                        <a:ext uri="{28A0092B-C50C-407E-A947-70E740481C1C}">
                          <a14:useLocalDpi xmlns:a14="http://schemas.microsoft.com/office/drawing/2010/main" val="0"/>
                        </a:ext>
                      </a:extLst>
                    </a:blip>
                    <a:srcRect l="2530" r="1488"/>
                    <a:stretch>
                      <a:fillRect/>
                    </a:stretch>
                  </pic:blipFill>
                  <pic:spPr bwMode="auto">
                    <a:xfrm>
                      <a:off x="0" y="0"/>
                      <a:ext cx="10007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DB9">
        <w:rPr>
          <w:b w:val="0"/>
          <w:sz w:val="18"/>
          <w:szCs w:val="18"/>
        </w:rPr>
        <w:t>© 2020 by the authors. Licensee MDPI, Basel, Switzerland. This article is an open access article distributed under the terms and conditions of the Creative Commons Attribution (CC BY) license (http://creativecommons.org/licenses/by/4.0/).</w:t>
      </w:r>
    </w:p>
    <w:sectPr w:rsidR="00F55E11" w:rsidRPr="00430DB9" w:rsidSect="006C540D">
      <w:headerReference w:type="even" r:id="rId11"/>
      <w:headerReference w:type="default" r:id="rId12"/>
      <w:footerReference w:type="default" r:id="rId13"/>
      <w:headerReference w:type="first" r:id="rId14"/>
      <w:footerReference w:type="first" r:id="rId15"/>
      <w:type w:val="continuous"/>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7782C" w14:textId="77777777" w:rsidR="001947F7" w:rsidRDefault="001947F7">
      <w:pPr>
        <w:spacing w:line="240" w:lineRule="auto"/>
      </w:pPr>
      <w:r>
        <w:separator/>
      </w:r>
    </w:p>
  </w:endnote>
  <w:endnote w:type="continuationSeparator" w:id="0">
    <w:p w14:paraId="657A9718" w14:textId="77777777" w:rsidR="001947F7" w:rsidRDefault="001947F7">
      <w:pPr>
        <w:spacing w:line="240" w:lineRule="auto"/>
      </w:pPr>
      <w:r>
        <w:continuationSeparator/>
      </w:r>
    </w:p>
  </w:endnote>
  <w:endnote w:type="continuationNotice" w:id="1">
    <w:p w14:paraId="39E86B6E" w14:textId="77777777" w:rsidR="001947F7" w:rsidRDefault="001947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95435" w14:textId="77777777" w:rsidR="00C8798F" w:rsidRPr="00467AEF" w:rsidRDefault="00C8798F" w:rsidP="00FA23F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BC8F" w14:textId="77777777" w:rsidR="00C8798F" w:rsidRPr="00372FCD" w:rsidRDefault="00C8798F" w:rsidP="00D00688">
    <w:pPr>
      <w:tabs>
        <w:tab w:val="right" w:pos="8844"/>
      </w:tabs>
      <w:adjustRightInd w:val="0"/>
      <w:snapToGrid w:val="0"/>
      <w:spacing w:before="120" w:line="240" w:lineRule="auto"/>
      <w:rPr>
        <w:rFonts w:ascii="Palatino Linotype" w:hAnsi="Palatino Linotype"/>
        <w:sz w:val="16"/>
        <w:szCs w:val="16"/>
        <w:lang w:val="fr-CH"/>
      </w:rPr>
    </w:pPr>
    <w:r w:rsidRPr="00FA45E7">
      <w:rPr>
        <w:rFonts w:ascii="Palatino Linotype" w:hAnsi="Palatino Linotype"/>
        <w:i/>
        <w:sz w:val="16"/>
        <w:szCs w:val="16"/>
      </w:rPr>
      <w:t>Genes</w:t>
    </w:r>
    <w:r>
      <w:rPr>
        <w:rFonts w:ascii="Palatino Linotype" w:hAnsi="Palatino Linotype"/>
        <w:i/>
        <w:sz w:val="16"/>
        <w:szCs w:val="16"/>
      </w:rPr>
      <w:t xml:space="preserve"> </w:t>
    </w:r>
    <w:r w:rsidRPr="00C169C3">
      <w:rPr>
        <w:rFonts w:ascii="Palatino Linotype" w:hAnsi="Palatino Linotype"/>
        <w:b/>
        <w:bCs/>
        <w:iCs/>
        <w:sz w:val="16"/>
        <w:szCs w:val="16"/>
      </w:rPr>
      <w:t>20</w:t>
    </w:r>
    <w:r>
      <w:rPr>
        <w:rFonts w:ascii="Palatino Linotype" w:hAnsi="Palatino Linotype"/>
        <w:b/>
        <w:bCs/>
        <w:iCs/>
        <w:sz w:val="16"/>
        <w:szCs w:val="16"/>
      </w:rPr>
      <w:t>20</w:t>
    </w:r>
    <w:r w:rsidRPr="00C169C3">
      <w:rPr>
        <w:rFonts w:ascii="Palatino Linotype" w:hAnsi="Palatino Linotype"/>
        <w:bCs/>
        <w:iCs/>
        <w:sz w:val="16"/>
        <w:szCs w:val="16"/>
      </w:rPr>
      <w:t xml:space="preserve">, </w:t>
    </w:r>
    <w:r w:rsidRPr="00C169C3">
      <w:rPr>
        <w:rFonts w:ascii="Palatino Linotype" w:hAnsi="Palatino Linotype"/>
        <w:bCs/>
        <w:i/>
        <w:iCs/>
        <w:sz w:val="16"/>
        <w:szCs w:val="16"/>
      </w:rPr>
      <w:t>1</w:t>
    </w:r>
    <w:r>
      <w:rPr>
        <w:rFonts w:ascii="Palatino Linotype" w:hAnsi="Palatino Linotype"/>
        <w:bCs/>
        <w:i/>
        <w:iCs/>
        <w:sz w:val="16"/>
        <w:szCs w:val="16"/>
      </w:rPr>
      <w:t>1</w:t>
    </w:r>
    <w:r w:rsidRPr="00C169C3">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372FCD">
      <w:rPr>
        <w:rFonts w:ascii="Palatino Linotype" w:hAnsi="Palatino Linotype"/>
        <w:sz w:val="16"/>
        <w:szCs w:val="16"/>
        <w:lang w:val="fr-CH"/>
      </w:rPr>
      <w:tab/>
      <w:t>www.mdpi.com/journal/</w:t>
    </w:r>
    <w:r w:rsidRPr="00FA45E7">
      <w:rPr>
        <w:rFonts w:ascii="Palatino Linotype" w:hAnsi="Palatino Linotype"/>
        <w:sz w:val="16"/>
        <w:szCs w:val="16"/>
      </w:rPr>
      <w:t>genes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F8371" w14:textId="77777777" w:rsidR="001947F7" w:rsidRDefault="001947F7">
      <w:pPr>
        <w:spacing w:line="240" w:lineRule="auto"/>
      </w:pPr>
      <w:r>
        <w:separator/>
      </w:r>
    </w:p>
  </w:footnote>
  <w:footnote w:type="continuationSeparator" w:id="0">
    <w:p w14:paraId="50B4061C" w14:textId="77777777" w:rsidR="001947F7" w:rsidRDefault="001947F7">
      <w:pPr>
        <w:spacing w:line="240" w:lineRule="auto"/>
      </w:pPr>
      <w:r>
        <w:continuationSeparator/>
      </w:r>
    </w:p>
  </w:footnote>
  <w:footnote w:type="continuationNotice" w:id="1">
    <w:p w14:paraId="3B7C2C58" w14:textId="77777777" w:rsidR="001947F7" w:rsidRDefault="001947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D10DF" w14:textId="77777777" w:rsidR="00C8798F" w:rsidRDefault="00C8798F" w:rsidP="00FA23F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23F42" w14:textId="6E172149" w:rsidR="00C8798F" w:rsidRPr="002F100C" w:rsidRDefault="00C8798F" w:rsidP="00D00688">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Genes </w:t>
    </w:r>
    <w:r w:rsidRPr="00C169C3">
      <w:rPr>
        <w:rFonts w:ascii="Palatino Linotype" w:hAnsi="Palatino Linotype"/>
        <w:b/>
        <w:sz w:val="16"/>
      </w:rPr>
      <w:t>20</w:t>
    </w:r>
    <w:r>
      <w:rPr>
        <w:rFonts w:ascii="Palatino Linotype" w:hAnsi="Palatino Linotype"/>
        <w:b/>
        <w:sz w:val="16"/>
      </w:rPr>
      <w:t>20</w:t>
    </w:r>
    <w:r w:rsidRPr="00C169C3">
      <w:rPr>
        <w:rFonts w:ascii="Palatino Linotype" w:hAnsi="Palatino Linotype"/>
        <w:sz w:val="16"/>
      </w:rPr>
      <w:t xml:space="preserve">, </w:t>
    </w:r>
    <w:r w:rsidRPr="00C169C3">
      <w:rPr>
        <w:rFonts w:ascii="Palatino Linotype" w:hAnsi="Palatino Linotype"/>
        <w:i/>
        <w:sz w:val="16"/>
      </w:rPr>
      <w:t>1</w:t>
    </w:r>
    <w:r>
      <w:rPr>
        <w:rFonts w:ascii="Palatino Linotype" w:hAnsi="Palatino Linotype"/>
        <w:i/>
        <w:sz w:val="16"/>
      </w:rPr>
      <w:t>1</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7C1B87">
      <w:rPr>
        <w:rFonts w:ascii="Palatino Linotype" w:hAnsi="Palatino Linotype"/>
        <w:noProof/>
        <w:sz w:val="16"/>
      </w:rPr>
      <w:t>15</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7C1B87">
      <w:rPr>
        <w:rFonts w:ascii="Palatino Linotype" w:hAnsi="Palatino Linotype"/>
        <w:noProof/>
        <w:sz w:val="16"/>
      </w:rPr>
      <w:t>15</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7CFAE" w14:textId="231B4BD5" w:rsidR="00C8798F" w:rsidRDefault="00C8798F" w:rsidP="00FA23F5">
    <w:pPr>
      <w:pStyle w:val="MDPIheaderjournallogo"/>
    </w:pPr>
    <w:r w:rsidRPr="001C7E99">
      <w:rPr>
        <w:i w:val="0"/>
        <w:noProof/>
        <w:szCs w:val="16"/>
        <w:lang w:eastAsia="zh-CN"/>
      </w:rPr>
      <mc:AlternateContent>
        <mc:Choice Requires="wps">
          <w:drawing>
            <wp:anchor distT="45720" distB="45720" distL="114300" distR="114300" simplePos="0" relativeHeight="251657728" behindDoc="1" locked="0" layoutInCell="1" allowOverlap="1" wp14:anchorId="4EAD85B0" wp14:editId="65AC6E96">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690C51EB" w14:textId="2AF96BD4" w:rsidR="00C8798F" w:rsidRDefault="00C8798F" w:rsidP="00FA23F5">
                          <w:pPr>
                            <w:pStyle w:val="MDPIheaderjournallogo"/>
                            <w:jc w:val="center"/>
                            <w:textboxTightWrap w:val="allLines"/>
                            <w:rPr>
                              <w:i w:val="0"/>
                              <w:szCs w:val="16"/>
                            </w:rPr>
                          </w:pPr>
                          <w:r w:rsidRPr="006E06CC">
                            <w:rPr>
                              <w:i w:val="0"/>
                              <w:noProof/>
                              <w:szCs w:val="16"/>
                              <w:lang w:eastAsia="zh-CN"/>
                            </w:rPr>
                            <w:drawing>
                              <wp:inline distT="0" distB="0" distL="0" distR="0" wp14:anchorId="73F27C3F" wp14:editId="36350479">
                                <wp:extent cx="538480" cy="35750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D85B0"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690C51EB" w14:textId="2AF96BD4" w:rsidR="00C8798F" w:rsidRDefault="00C8798F" w:rsidP="00FA23F5">
                    <w:pPr>
                      <w:pStyle w:val="MDPIheaderjournallogo"/>
                      <w:jc w:val="center"/>
                      <w:textboxTightWrap w:val="allLines"/>
                      <w:rPr>
                        <w:i w:val="0"/>
                        <w:szCs w:val="16"/>
                      </w:rPr>
                    </w:pPr>
                    <w:r w:rsidRPr="006E06CC">
                      <w:rPr>
                        <w:i w:val="0"/>
                        <w:noProof/>
                        <w:szCs w:val="16"/>
                        <w:lang w:eastAsia="zh-CN"/>
                      </w:rPr>
                      <w:drawing>
                        <wp:inline distT="0" distB="0" distL="0" distR="0" wp14:anchorId="73F27C3F" wp14:editId="36350479">
                          <wp:extent cx="538480" cy="35750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480" cy="35750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71EE9663" wp14:editId="0298A9DE">
          <wp:extent cx="1257300" cy="43370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4337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41974"/>
    <w:multiLevelType w:val="multilevel"/>
    <w:tmpl w:val="3AE4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C5BCA"/>
    <w:multiLevelType w:val="multilevel"/>
    <w:tmpl w:val="3202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2171B"/>
    <w:multiLevelType w:val="multilevel"/>
    <w:tmpl w:val="3F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F221B5"/>
    <w:multiLevelType w:val="hybridMultilevel"/>
    <w:tmpl w:val="33F257DC"/>
    <w:lvl w:ilvl="0" w:tplc="0D7C8ACC">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BDA7F2A"/>
    <w:multiLevelType w:val="hybridMultilevel"/>
    <w:tmpl w:val="C046D394"/>
    <w:lvl w:ilvl="0" w:tplc="C34E3482">
      <w:start w:val="1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796ACD"/>
    <w:multiLevelType w:val="multilevel"/>
    <w:tmpl w:val="FA1E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5B976EC8"/>
    <w:multiLevelType w:val="hybridMultilevel"/>
    <w:tmpl w:val="2BF6E584"/>
    <w:lvl w:ilvl="0" w:tplc="B8EE20BA">
      <w:start w:val="1"/>
      <w:numFmt w:val="decimal"/>
      <w:lvlText w:val="2.%1"/>
      <w:lvlJc w:val="left"/>
      <w:pPr>
        <w:ind w:left="360" w:hanging="360"/>
      </w:pPr>
      <w:rPr>
        <w:rFonts w:hint="default"/>
        <w:b/>
        <w:bCs/>
        <w:i/>
        <w:iCs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A57D6E"/>
    <w:multiLevelType w:val="hybridMultilevel"/>
    <w:tmpl w:val="5BEABC02"/>
    <w:lvl w:ilvl="0" w:tplc="E3585DD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1B4D60"/>
    <w:multiLevelType w:val="multilevel"/>
    <w:tmpl w:val="4782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613898"/>
    <w:multiLevelType w:val="hybridMultilevel"/>
    <w:tmpl w:val="D7E6301E"/>
    <w:lvl w:ilvl="0" w:tplc="3FFE4D40">
      <w:start w:val="1"/>
      <w:numFmt w:val="decimal"/>
      <w:lvlText w:val="%1."/>
      <w:lvlJc w:val="left"/>
      <w:pPr>
        <w:ind w:left="720" w:hanging="360"/>
      </w:pPr>
      <w:rPr>
        <w:rFonts w:hint="eastAsia"/>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5B05D1"/>
    <w:multiLevelType w:val="multilevel"/>
    <w:tmpl w:val="CA32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CA15BD"/>
    <w:multiLevelType w:val="hybridMultilevel"/>
    <w:tmpl w:val="D73471F2"/>
    <w:lvl w:ilvl="0" w:tplc="791ED8D4">
      <w:numFmt w:val="bullet"/>
      <w:lvlText w:val="-"/>
      <w:lvlJc w:val="left"/>
      <w:pPr>
        <w:ind w:left="720" w:hanging="360"/>
      </w:pPr>
      <w:rPr>
        <w:rFonts w:ascii="Palatino Linotype" w:eastAsia="Calibri"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0"/>
  </w:num>
  <w:num w:numId="7">
    <w:abstractNumId w:val="3"/>
  </w:num>
  <w:num w:numId="8">
    <w:abstractNumId w:val="6"/>
  </w:num>
  <w:num w:numId="9">
    <w:abstractNumId w:val="0"/>
  </w:num>
  <w:num w:numId="10">
    <w:abstractNumId w:val="11"/>
  </w:num>
  <w:num w:numId="11">
    <w:abstractNumId w:val="2"/>
  </w:num>
  <w:num w:numId="12">
    <w:abstractNumId w:val="13"/>
  </w:num>
  <w:num w:numId="13">
    <w:abstractNumId w:val="7"/>
  </w:num>
  <w:num w:numId="14">
    <w:abstractNumId w:val="1"/>
  </w:num>
  <w:num w:numId="15">
    <w:abstractNumId w:val="14"/>
  </w:num>
  <w:num w:numId="16">
    <w:abstractNumId w:val="5"/>
  </w:num>
  <w:num w:numId="17">
    <w:abstractNumId w:val="8"/>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 Copy&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wspvff320etle9vfk5fsay2t5wvsxaaa5z&quot;&gt;My EndNote Library-Saved Copy&lt;record-ids&gt;&lt;item&gt;4&lt;/item&gt;&lt;item&gt;5&lt;/item&gt;&lt;item&gt;7&lt;/item&gt;&lt;item&gt;20&lt;/item&gt;&lt;item&gt;21&lt;/item&gt;&lt;item&gt;26&lt;/item&gt;&lt;item&gt;31&lt;/item&gt;&lt;item&gt;32&lt;/item&gt;&lt;item&gt;46&lt;/item&gt;&lt;item&gt;77&lt;/item&gt;&lt;item&gt;84&lt;/item&gt;&lt;item&gt;85&lt;/item&gt;&lt;item&gt;86&lt;/item&gt;&lt;item&gt;209&lt;/item&gt;&lt;item&gt;215&lt;/item&gt;&lt;item&gt;437&lt;/item&gt;&lt;item&gt;449&lt;/item&gt;&lt;item&gt;518&lt;/item&gt;&lt;item&gt;520&lt;/item&gt;&lt;item&gt;543&lt;/item&gt;&lt;item&gt;556&lt;/item&gt;&lt;item&gt;561&lt;/item&gt;&lt;item&gt;562&lt;/item&gt;&lt;item&gt;563&lt;/item&gt;&lt;item&gt;565&lt;/item&gt;&lt;item&gt;566&lt;/item&gt;&lt;item&gt;567&lt;/item&gt;&lt;item&gt;569&lt;/item&gt;&lt;item&gt;581&lt;/item&gt;&lt;item&gt;630&lt;/item&gt;&lt;item&gt;631&lt;/item&gt;&lt;item&gt;634&lt;/item&gt;&lt;item&gt;643&lt;/item&gt;&lt;item&gt;685&lt;/item&gt;&lt;item&gt;686&lt;/item&gt;&lt;item&gt;688&lt;/item&gt;&lt;item&gt;691&lt;/item&gt;&lt;item&gt;694&lt;/item&gt;&lt;item&gt;697&lt;/item&gt;&lt;item&gt;698&lt;/item&gt;&lt;item&gt;699&lt;/item&gt;&lt;item&gt;701&lt;/item&gt;&lt;item&gt;702&lt;/item&gt;&lt;item&gt;703&lt;/item&gt;&lt;item&gt;704&lt;/item&gt;&lt;item&gt;705&lt;/item&gt;&lt;item&gt;706&lt;/item&gt;&lt;item&gt;708&lt;/item&gt;&lt;item&gt;710&lt;/item&gt;&lt;item&gt;711&lt;/item&gt;&lt;item&gt;712&lt;/item&gt;&lt;item&gt;714&lt;/item&gt;&lt;item&gt;715&lt;/item&gt;&lt;item&gt;716&lt;/item&gt;&lt;item&gt;717&lt;/item&gt;&lt;item&gt;769&lt;/item&gt;&lt;/record-ids&gt;&lt;/item&gt;&lt;/Libraries&gt;"/>
  </w:docVars>
  <w:rsids>
    <w:rsidRoot w:val="004D00D1"/>
    <w:rsid w:val="00011CBB"/>
    <w:rsid w:val="00013079"/>
    <w:rsid w:val="0002334D"/>
    <w:rsid w:val="000349CB"/>
    <w:rsid w:val="00047508"/>
    <w:rsid w:val="00050B61"/>
    <w:rsid w:val="00052A19"/>
    <w:rsid w:val="00052F43"/>
    <w:rsid w:val="0006287F"/>
    <w:rsid w:val="00067BDC"/>
    <w:rsid w:val="00081DCD"/>
    <w:rsid w:val="000844AD"/>
    <w:rsid w:val="00095190"/>
    <w:rsid w:val="000A29F1"/>
    <w:rsid w:val="000B49B5"/>
    <w:rsid w:val="000D1130"/>
    <w:rsid w:val="000D7B15"/>
    <w:rsid w:val="000E3EAC"/>
    <w:rsid w:val="000F23D8"/>
    <w:rsid w:val="000F48B2"/>
    <w:rsid w:val="001416FF"/>
    <w:rsid w:val="00146C30"/>
    <w:rsid w:val="0016125B"/>
    <w:rsid w:val="001871AB"/>
    <w:rsid w:val="001901EC"/>
    <w:rsid w:val="001947F7"/>
    <w:rsid w:val="001C7225"/>
    <w:rsid w:val="001D057F"/>
    <w:rsid w:val="001D31BD"/>
    <w:rsid w:val="001E2AEB"/>
    <w:rsid w:val="001E5021"/>
    <w:rsid w:val="002165DB"/>
    <w:rsid w:val="00230D88"/>
    <w:rsid w:val="002667CE"/>
    <w:rsid w:val="0029050D"/>
    <w:rsid w:val="002A3E83"/>
    <w:rsid w:val="002A3EE6"/>
    <w:rsid w:val="002B7960"/>
    <w:rsid w:val="002C3BCE"/>
    <w:rsid w:val="002D6B37"/>
    <w:rsid w:val="002F4937"/>
    <w:rsid w:val="00310A64"/>
    <w:rsid w:val="00326141"/>
    <w:rsid w:val="003610BB"/>
    <w:rsid w:val="003919CC"/>
    <w:rsid w:val="00393997"/>
    <w:rsid w:val="00397EC7"/>
    <w:rsid w:val="003B557B"/>
    <w:rsid w:val="003B77A5"/>
    <w:rsid w:val="003F6F1B"/>
    <w:rsid w:val="00401D30"/>
    <w:rsid w:val="00403AE9"/>
    <w:rsid w:val="00427D47"/>
    <w:rsid w:val="0043305E"/>
    <w:rsid w:val="00437F21"/>
    <w:rsid w:val="00440DD9"/>
    <w:rsid w:val="0045669F"/>
    <w:rsid w:val="00467692"/>
    <w:rsid w:val="00476FB6"/>
    <w:rsid w:val="004A3E45"/>
    <w:rsid w:val="004C433A"/>
    <w:rsid w:val="004C4FBD"/>
    <w:rsid w:val="004D00D1"/>
    <w:rsid w:val="004E3799"/>
    <w:rsid w:val="004F3544"/>
    <w:rsid w:val="00501BC8"/>
    <w:rsid w:val="00526F76"/>
    <w:rsid w:val="00545C5A"/>
    <w:rsid w:val="00550DEA"/>
    <w:rsid w:val="00565A0B"/>
    <w:rsid w:val="00565E17"/>
    <w:rsid w:val="00570EE7"/>
    <w:rsid w:val="005712BD"/>
    <w:rsid w:val="0059315A"/>
    <w:rsid w:val="00593D69"/>
    <w:rsid w:val="005C4CF0"/>
    <w:rsid w:val="005C4FBF"/>
    <w:rsid w:val="005C5C9C"/>
    <w:rsid w:val="005C699D"/>
    <w:rsid w:val="005E0AA6"/>
    <w:rsid w:val="005E3D3C"/>
    <w:rsid w:val="005E54EE"/>
    <w:rsid w:val="0061065B"/>
    <w:rsid w:val="00623D76"/>
    <w:rsid w:val="0063211D"/>
    <w:rsid w:val="00635C2D"/>
    <w:rsid w:val="006365E4"/>
    <w:rsid w:val="00657201"/>
    <w:rsid w:val="00670D7E"/>
    <w:rsid w:val="00671DC5"/>
    <w:rsid w:val="00677262"/>
    <w:rsid w:val="0068622D"/>
    <w:rsid w:val="00686652"/>
    <w:rsid w:val="0069077C"/>
    <w:rsid w:val="00692393"/>
    <w:rsid w:val="006B4208"/>
    <w:rsid w:val="006C540D"/>
    <w:rsid w:val="006D7060"/>
    <w:rsid w:val="006E06CC"/>
    <w:rsid w:val="00706EDF"/>
    <w:rsid w:val="00725725"/>
    <w:rsid w:val="00744E48"/>
    <w:rsid w:val="00754D6F"/>
    <w:rsid w:val="00761CE6"/>
    <w:rsid w:val="00782D72"/>
    <w:rsid w:val="007872F2"/>
    <w:rsid w:val="007939D6"/>
    <w:rsid w:val="007C017B"/>
    <w:rsid w:val="007C1B87"/>
    <w:rsid w:val="007D055A"/>
    <w:rsid w:val="007E47B6"/>
    <w:rsid w:val="00804228"/>
    <w:rsid w:val="008104A1"/>
    <w:rsid w:val="00827C7C"/>
    <w:rsid w:val="0084094A"/>
    <w:rsid w:val="008614F0"/>
    <w:rsid w:val="00863B26"/>
    <w:rsid w:val="008931CE"/>
    <w:rsid w:val="008A392C"/>
    <w:rsid w:val="008A3DE7"/>
    <w:rsid w:val="008B21BE"/>
    <w:rsid w:val="008C5662"/>
    <w:rsid w:val="008D62CE"/>
    <w:rsid w:val="00901C6A"/>
    <w:rsid w:val="009122BE"/>
    <w:rsid w:val="00922C15"/>
    <w:rsid w:val="00930542"/>
    <w:rsid w:val="009479AD"/>
    <w:rsid w:val="00966151"/>
    <w:rsid w:val="00980535"/>
    <w:rsid w:val="0099081C"/>
    <w:rsid w:val="009A0C87"/>
    <w:rsid w:val="009A3D3E"/>
    <w:rsid w:val="009B792F"/>
    <w:rsid w:val="009D0EFD"/>
    <w:rsid w:val="009E4E22"/>
    <w:rsid w:val="009F07A9"/>
    <w:rsid w:val="009F70E6"/>
    <w:rsid w:val="00A11987"/>
    <w:rsid w:val="00A32CCE"/>
    <w:rsid w:val="00A80805"/>
    <w:rsid w:val="00A91B46"/>
    <w:rsid w:val="00A964D1"/>
    <w:rsid w:val="00AA6713"/>
    <w:rsid w:val="00AC26B3"/>
    <w:rsid w:val="00AC412C"/>
    <w:rsid w:val="00B06279"/>
    <w:rsid w:val="00B17311"/>
    <w:rsid w:val="00B51BB4"/>
    <w:rsid w:val="00B577AA"/>
    <w:rsid w:val="00BA6231"/>
    <w:rsid w:val="00BB6076"/>
    <w:rsid w:val="00BC266F"/>
    <w:rsid w:val="00BC4CAD"/>
    <w:rsid w:val="00BE077E"/>
    <w:rsid w:val="00BE7CDB"/>
    <w:rsid w:val="00C0366D"/>
    <w:rsid w:val="00C1077A"/>
    <w:rsid w:val="00C108AA"/>
    <w:rsid w:val="00C12023"/>
    <w:rsid w:val="00C169C3"/>
    <w:rsid w:val="00C21CF8"/>
    <w:rsid w:val="00C24A67"/>
    <w:rsid w:val="00C267D6"/>
    <w:rsid w:val="00C30683"/>
    <w:rsid w:val="00C33AE5"/>
    <w:rsid w:val="00C368A0"/>
    <w:rsid w:val="00C42882"/>
    <w:rsid w:val="00C8798F"/>
    <w:rsid w:val="00CB09C4"/>
    <w:rsid w:val="00CB1DAD"/>
    <w:rsid w:val="00CB2D4D"/>
    <w:rsid w:val="00CB30BB"/>
    <w:rsid w:val="00CC794F"/>
    <w:rsid w:val="00CE1522"/>
    <w:rsid w:val="00CE673E"/>
    <w:rsid w:val="00D00688"/>
    <w:rsid w:val="00D1024F"/>
    <w:rsid w:val="00D14D17"/>
    <w:rsid w:val="00D16056"/>
    <w:rsid w:val="00D17C2D"/>
    <w:rsid w:val="00D22833"/>
    <w:rsid w:val="00D60A2C"/>
    <w:rsid w:val="00D87218"/>
    <w:rsid w:val="00D919E3"/>
    <w:rsid w:val="00D9589C"/>
    <w:rsid w:val="00DA1B87"/>
    <w:rsid w:val="00DE3988"/>
    <w:rsid w:val="00DF2D9A"/>
    <w:rsid w:val="00E16F27"/>
    <w:rsid w:val="00E2467E"/>
    <w:rsid w:val="00E25CD4"/>
    <w:rsid w:val="00E26679"/>
    <w:rsid w:val="00E267AE"/>
    <w:rsid w:val="00E32CBB"/>
    <w:rsid w:val="00E7234C"/>
    <w:rsid w:val="00E844F4"/>
    <w:rsid w:val="00E84CEA"/>
    <w:rsid w:val="00E915A7"/>
    <w:rsid w:val="00EA1B35"/>
    <w:rsid w:val="00EB5B07"/>
    <w:rsid w:val="00EC4B11"/>
    <w:rsid w:val="00EF07B8"/>
    <w:rsid w:val="00F1520B"/>
    <w:rsid w:val="00F3293D"/>
    <w:rsid w:val="00F55E11"/>
    <w:rsid w:val="00F6210D"/>
    <w:rsid w:val="00F9408B"/>
    <w:rsid w:val="00F95911"/>
    <w:rsid w:val="00FA23F5"/>
    <w:rsid w:val="00FB1487"/>
    <w:rsid w:val="00FD768E"/>
    <w:rsid w:val="00FF205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8E82A"/>
  <w15:chartTrackingRefBased/>
  <w15:docId w15:val="{F79948B2-055A-403C-9115-0C2F76C0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E06CC"/>
    <w:pPr>
      <w:spacing w:line="340" w:lineRule="atLeast"/>
      <w:jc w:val="both"/>
    </w:pPr>
    <w:rPr>
      <w:rFonts w:ascii="Times New Roman" w:eastAsia="Times New Roman" w:hAnsi="Times New Roman"/>
      <w:color w:val="000000"/>
      <w:sz w:val="24"/>
      <w:lang w:val="en-US" w:eastAsia="de-DE"/>
    </w:rPr>
  </w:style>
  <w:style w:type="paragraph" w:styleId="Heading1">
    <w:name w:val="heading 1"/>
    <w:basedOn w:val="Normal"/>
    <w:link w:val="Heading1Char"/>
    <w:uiPriority w:val="9"/>
    <w:qFormat/>
    <w:rsid w:val="003B557B"/>
    <w:pPr>
      <w:spacing w:before="100" w:beforeAutospacing="1" w:after="100" w:afterAutospacing="1" w:line="240" w:lineRule="auto"/>
      <w:jc w:val="left"/>
      <w:outlineLvl w:val="0"/>
    </w:pPr>
    <w:rPr>
      <w:b/>
      <w:bCs/>
      <w:color w:val="auto"/>
      <w:kern w:val="36"/>
      <w:sz w:val="48"/>
      <w:szCs w:val="48"/>
      <w:lang w:val="en-GB" w:eastAsia="en-GB"/>
    </w:rPr>
  </w:style>
  <w:style w:type="paragraph" w:styleId="Heading2">
    <w:name w:val="heading 2"/>
    <w:basedOn w:val="Normal"/>
    <w:next w:val="Normal"/>
    <w:link w:val="Heading2Char"/>
    <w:unhideWhenUsed/>
    <w:qFormat/>
    <w:rsid w:val="003B557B"/>
    <w:pPr>
      <w:keepNext/>
      <w:keepLines/>
      <w:spacing w:before="40" w:line="259" w:lineRule="auto"/>
      <w:jc w:val="left"/>
      <w:outlineLvl w:val="1"/>
    </w:pPr>
    <w:rPr>
      <w:rFonts w:ascii="Calibri Light" w:eastAsia="DengXian Light" w:hAnsi="Calibri Light"/>
      <w:color w:val="2F5496"/>
      <w:sz w:val="26"/>
      <w:szCs w:val="26"/>
      <w:lang w:val="en-GB" w:eastAsia="en-US"/>
    </w:rPr>
  </w:style>
  <w:style w:type="paragraph" w:styleId="Heading3">
    <w:name w:val="heading 3"/>
    <w:basedOn w:val="Normal"/>
    <w:next w:val="Normal"/>
    <w:link w:val="Heading3Char"/>
    <w:uiPriority w:val="9"/>
    <w:unhideWhenUsed/>
    <w:qFormat/>
    <w:rsid w:val="003B557B"/>
    <w:pPr>
      <w:keepNext/>
      <w:keepLines/>
      <w:spacing w:before="40" w:line="259" w:lineRule="auto"/>
      <w:jc w:val="left"/>
      <w:outlineLvl w:val="2"/>
    </w:pPr>
    <w:rPr>
      <w:rFonts w:ascii="Calibri Light" w:eastAsia="DengXian Light" w:hAnsi="Calibri Light"/>
      <w:color w:val="1F3763"/>
      <w:szCs w:val="24"/>
      <w:lang w:val="en-GB" w:eastAsia="en-US"/>
    </w:rPr>
  </w:style>
  <w:style w:type="paragraph" w:styleId="Heading4">
    <w:name w:val="heading 4"/>
    <w:basedOn w:val="Normal"/>
    <w:next w:val="Normal"/>
    <w:link w:val="Heading4Char"/>
    <w:uiPriority w:val="9"/>
    <w:unhideWhenUsed/>
    <w:qFormat/>
    <w:rsid w:val="003B557B"/>
    <w:pPr>
      <w:keepNext/>
      <w:keepLines/>
      <w:spacing w:before="40" w:line="259" w:lineRule="auto"/>
      <w:jc w:val="left"/>
      <w:outlineLvl w:val="3"/>
    </w:pPr>
    <w:rPr>
      <w:rFonts w:ascii="Calibri Light" w:eastAsia="DengXian Light" w:hAnsi="Calibri Light"/>
      <w:i/>
      <w:iCs/>
      <w:color w:val="2F5496"/>
      <w:sz w:val="22"/>
      <w:szCs w:val="22"/>
      <w:lang w:val="en-GB" w:eastAsia="en-US"/>
    </w:rPr>
  </w:style>
  <w:style w:type="paragraph" w:styleId="Heading5">
    <w:name w:val="heading 5"/>
    <w:basedOn w:val="Normal"/>
    <w:next w:val="Normal"/>
    <w:link w:val="Heading5Char"/>
    <w:uiPriority w:val="9"/>
    <w:semiHidden/>
    <w:unhideWhenUsed/>
    <w:qFormat/>
    <w:rsid w:val="003B557B"/>
    <w:pPr>
      <w:keepNext/>
      <w:keepLines/>
      <w:spacing w:before="40" w:line="259" w:lineRule="auto"/>
      <w:jc w:val="left"/>
      <w:outlineLvl w:val="4"/>
    </w:pPr>
    <w:rPr>
      <w:rFonts w:ascii="Calibri Light" w:eastAsia="DengXian Light" w:hAnsi="Calibri Light"/>
      <w:color w:val="2F5496"/>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57B"/>
    <w:rPr>
      <w:rFonts w:ascii="Times New Roman" w:eastAsia="Times New Roman" w:hAnsi="Times New Roman"/>
      <w:b/>
      <w:bCs/>
      <w:kern w:val="36"/>
      <w:sz w:val="48"/>
      <w:szCs w:val="48"/>
    </w:rPr>
  </w:style>
  <w:style w:type="character" w:customStyle="1" w:styleId="Heading2Char">
    <w:name w:val="Heading 2 Char"/>
    <w:basedOn w:val="DefaultParagraphFont"/>
    <w:link w:val="Heading2"/>
    <w:rsid w:val="003B557B"/>
    <w:rPr>
      <w:rFonts w:ascii="Calibri Light" w:eastAsia="DengXian Light" w:hAnsi="Calibri Light"/>
      <w:color w:val="2F5496"/>
      <w:sz w:val="26"/>
      <w:szCs w:val="26"/>
      <w:lang w:eastAsia="en-US"/>
    </w:rPr>
  </w:style>
  <w:style w:type="character" w:customStyle="1" w:styleId="Heading3Char">
    <w:name w:val="Heading 3 Char"/>
    <w:basedOn w:val="DefaultParagraphFont"/>
    <w:link w:val="Heading3"/>
    <w:uiPriority w:val="9"/>
    <w:rsid w:val="003B557B"/>
    <w:rPr>
      <w:rFonts w:ascii="Calibri Light" w:eastAsia="DengXian Light" w:hAnsi="Calibri Light"/>
      <w:color w:val="1F3763"/>
      <w:sz w:val="24"/>
      <w:szCs w:val="24"/>
      <w:lang w:eastAsia="en-US"/>
    </w:rPr>
  </w:style>
  <w:style w:type="character" w:customStyle="1" w:styleId="Heading4Char">
    <w:name w:val="Heading 4 Char"/>
    <w:basedOn w:val="DefaultParagraphFont"/>
    <w:link w:val="Heading4"/>
    <w:uiPriority w:val="9"/>
    <w:rsid w:val="003B557B"/>
    <w:rPr>
      <w:rFonts w:ascii="Calibri Light" w:eastAsia="DengXian Light" w:hAnsi="Calibri Light"/>
      <w:i/>
      <w:iCs/>
      <w:color w:val="2F5496"/>
      <w:sz w:val="22"/>
      <w:szCs w:val="22"/>
      <w:lang w:eastAsia="en-US"/>
    </w:rPr>
  </w:style>
  <w:style w:type="character" w:customStyle="1" w:styleId="Heading5Char">
    <w:name w:val="Heading 5 Char"/>
    <w:basedOn w:val="DefaultParagraphFont"/>
    <w:link w:val="Heading5"/>
    <w:uiPriority w:val="9"/>
    <w:semiHidden/>
    <w:rsid w:val="003B557B"/>
    <w:rPr>
      <w:rFonts w:ascii="Calibri Light" w:eastAsia="DengXian Light" w:hAnsi="Calibri Light"/>
      <w:color w:val="2F5496"/>
      <w:sz w:val="22"/>
      <w:szCs w:val="22"/>
      <w:lang w:eastAsia="en-US"/>
    </w:rPr>
  </w:style>
  <w:style w:type="paragraph" w:customStyle="1" w:styleId="MDPI11articletype">
    <w:name w:val="MDPI_1.1_article_type"/>
    <w:next w:val="MDPI12title"/>
    <w:qFormat/>
    <w:rsid w:val="006C540D"/>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31text">
    <w:name w:val="MDPI_3.1_text"/>
    <w:qFormat/>
    <w:rsid w:val="006C540D"/>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12title">
    <w:name w:val="MDPI_1.2_title"/>
    <w:next w:val="MDPI13authornames"/>
    <w:qFormat/>
    <w:rsid w:val="006C540D"/>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MDPI14history"/>
    <w:qFormat/>
    <w:rsid w:val="006C540D"/>
    <w:pPr>
      <w:adjustRightInd w:val="0"/>
      <w:snapToGrid w:val="0"/>
      <w:spacing w:after="12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MDPI62Acknowledgments"/>
    <w:next w:val="Normal"/>
    <w:qFormat/>
    <w:rsid w:val="006C540D"/>
    <w:pPr>
      <w:ind w:left="113"/>
      <w:jc w:val="left"/>
    </w:pPr>
    <w:rPr>
      <w:snapToGrid/>
    </w:rPr>
  </w:style>
  <w:style w:type="paragraph" w:customStyle="1" w:styleId="MDPI62Acknowledgments">
    <w:name w:val="MDPI_6.2_Acknowledgments"/>
    <w:qFormat/>
    <w:rsid w:val="006C540D"/>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16affiliation">
    <w:name w:val="MDPI_1.6_affiliation"/>
    <w:qFormat/>
    <w:rsid w:val="006C540D"/>
    <w:pPr>
      <w:adjustRightInd w:val="0"/>
      <w:snapToGrid w:val="0"/>
      <w:spacing w:line="260" w:lineRule="atLeast"/>
      <w:ind w:left="311" w:hanging="198"/>
    </w:pPr>
    <w:rPr>
      <w:rFonts w:ascii="Palatino Linotype" w:eastAsia="Times New Roman" w:hAnsi="Palatino Linotype"/>
      <w:color w:val="000000"/>
      <w:sz w:val="18"/>
      <w:szCs w:val="18"/>
      <w:lang w:val="en-US" w:eastAsia="de-DE" w:bidi="en-US"/>
    </w:rPr>
  </w:style>
  <w:style w:type="paragraph" w:customStyle="1" w:styleId="MDPI17abstract">
    <w:name w:val="MDPI_1.7_abstract"/>
    <w:next w:val="Normal"/>
    <w:qFormat/>
    <w:rsid w:val="006C540D"/>
    <w:pPr>
      <w:adjustRightInd w:val="0"/>
      <w:snapToGrid w:val="0"/>
      <w:spacing w:before="240" w:line="260" w:lineRule="atLeast"/>
      <w:ind w:left="113"/>
      <w:jc w:val="both"/>
    </w:pPr>
    <w:rPr>
      <w:rFonts w:ascii="Palatino Linotype" w:eastAsia="Times New Roman" w:hAnsi="Palatino Linotype"/>
      <w:color w:val="000000"/>
      <w:szCs w:val="22"/>
      <w:lang w:val="en-US" w:eastAsia="de-DE" w:bidi="en-US"/>
    </w:rPr>
  </w:style>
  <w:style w:type="paragraph" w:customStyle="1" w:styleId="MDPI18keywords">
    <w:name w:val="MDPI_1.8_keywords"/>
    <w:next w:val="Normal"/>
    <w:qFormat/>
    <w:rsid w:val="006C540D"/>
    <w:pPr>
      <w:adjustRightInd w:val="0"/>
      <w:snapToGrid w:val="0"/>
      <w:spacing w:before="240" w:line="260" w:lineRule="atLeast"/>
      <w:ind w:left="113"/>
      <w:jc w:val="both"/>
    </w:pPr>
    <w:rPr>
      <w:rFonts w:ascii="Palatino Linotype" w:eastAsia="Times New Roman" w:hAnsi="Palatino Linotype"/>
      <w:snapToGrid w:val="0"/>
      <w:color w:val="000000"/>
      <w:szCs w:val="22"/>
      <w:lang w:val="en-US" w:eastAsia="de-DE" w:bidi="en-US"/>
    </w:rPr>
  </w:style>
  <w:style w:type="paragraph" w:customStyle="1" w:styleId="MDPI19line">
    <w:name w:val="MDPI_1.9_line"/>
    <w:qFormat/>
    <w:rsid w:val="006C540D"/>
    <w:pPr>
      <w:pBdr>
        <w:bottom w:val="single" w:sz="6" w:space="1" w:color="auto"/>
      </w:pBdr>
      <w:spacing w:line="260" w:lineRule="atLeast"/>
      <w:jc w:val="both"/>
    </w:pPr>
    <w:rPr>
      <w:rFonts w:ascii="Palatino Linotype" w:eastAsia="Times New Roman" w:hAnsi="Palatino Linotype" w:cstheme="minorBidi"/>
      <w:color w:val="000000"/>
      <w:szCs w:val="24"/>
      <w:lang w:val="en-US" w:eastAsia="de-DE" w:bidi="en-US"/>
    </w:rPr>
  </w:style>
  <w:style w:type="table" w:customStyle="1" w:styleId="Mdeck5tablebodythreelines">
    <w:name w:val="M_deck_5_table_body_three_lines"/>
    <w:basedOn w:val="TableNormal"/>
    <w:uiPriority w:val="99"/>
    <w:rsid w:val="006E06CC"/>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6E06C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E06CC"/>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E06CC"/>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E06CC"/>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E06CC"/>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6C540D"/>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qFormat/>
    <w:rsid w:val="006C540D"/>
    <w:p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6C540D"/>
    <w:pPr>
      <w:spacing w:after="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6C540D"/>
    <w:pPr>
      <w:spacing w:after="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6C540D"/>
    <w:pPr>
      <w:spacing w:before="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6C540D"/>
    <w:pPr>
      <w:numPr>
        <w:numId w:val="16"/>
      </w:num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8bullet">
    <w:name w:val="MDPI_3.8_bullet"/>
    <w:qFormat/>
    <w:rsid w:val="006C540D"/>
    <w:pPr>
      <w:numPr>
        <w:numId w:val="17"/>
      </w:num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9equation">
    <w:name w:val="MDPI_3.9_equation"/>
    <w:qFormat/>
    <w:rsid w:val="006C540D"/>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6C540D"/>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6C540D"/>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val="en-US" w:eastAsia="de-DE" w:bidi="en-US"/>
    </w:rPr>
  </w:style>
  <w:style w:type="paragraph" w:customStyle="1" w:styleId="MDPI42tablebody">
    <w:name w:val="MDPI_4.2_table_body"/>
    <w:qFormat/>
    <w:rsid w:val="00E844F4"/>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6C540D"/>
    <w:pPr>
      <w:adjustRightInd w:val="0"/>
      <w:snapToGrid w:val="0"/>
      <w:spacing w:after="240" w:line="260" w:lineRule="atLeast"/>
      <w:jc w:val="both"/>
    </w:pPr>
    <w:rPr>
      <w:rFonts w:ascii="Palatino Linotype" w:eastAsia="Times New Roman" w:hAnsi="Palatino Linotype" w:cstheme="minorBidi"/>
      <w:color w:val="000000"/>
      <w:sz w:val="18"/>
      <w:szCs w:val="22"/>
      <w:lang w:val="en-US" w:eastAsia="de-DE" w:bidi="en-US"/>
    </w:rPr>
  </w:style>
  <w:style w:type="paragraph" w:customStyle="1" w:styleId="MDPI51figurecaption">
    <w:name w:val="MDPI_5.1_figure_caption"/>
    <w:qFormat/>
    <w:rsid w:val="006C540D"/>
    <w:pPr>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6C540D"/>
    <w:pPr>
      <w:adjustRightInd w:val="0"/>
      <w:snapToGrid w:val="0"/>
      <w:spacing w:before="240" w:after="120" w:line="260" w:lineRule="atLeast"/>
      <w:jc w:val="center"/>
    </w:pPr>
    <w:rPr>
      <w:rFonts w:ascii="Palatino Linotype" w:eastAsia="Times New Roman" w:hAnsi="Palatino Linotype"/>
      <w:snapToGrid w:val="0"/>
      <w:color w:val="000000"/>
      <w:lang w:val="en-US" w:eastAsia="de-DE" w:bidi="en-US"/>
    </w:rPr>
  </w:style>
  <w:style w:type="paragraph" w:customStyle="1" w:styleId="MDPI61Supplementary">
    <w:name w:val="MDPI_6.1_Supplementary"/>
    <w:qFormat/>
    <w:rsid w:val="006C540D"/>
    <w:pPr>
      <w:spacing w:before="240" w:line="260" w:lineRule="atLeast"/>
      <w:jc w:val="both"/>
    </w:pPr>
    <w:rPr>
      <w:rFonts w:ascii="Palatino Linotype" w:eastAsia="Times New Roman" w:hAnsi="Palatino Linotype"/>
      <w:snapToGrid w:val="0"/>
      <w:color w:val="000000"/>
      <w:sz w:val="18"/>
      <w:lang w:val="en-US" w:eastAsia="en-US" w:bidi="en-US"/>
    </w:rPr>
  </w:style>
  <w:style w:type="paragraph" w:customStyle="1" w:styleId="MDPI63AuthorContributions">
    <w:name w:val="MDPI_6.3_AuthorContributions"/>
    <w:qFormat/>
    <w:rsid w:val="006C540D"/>
    <w:pPr>
      <w:spacing w:line="260" w:lineRule="atLeast"/>
      <w:jc w:val="both"/>
    </w:pPr>
    <w:rPr>
      <w:rFonts w:ascii="Palatino Linotype" w:hAnsi="Palatino Linotype"/>
      <w:snapToGrid w:val="0"/>
      <w:sz w:val="18"/>
      <w:lang w:val="en-US" w:eastAsia="en-US" w:bidi="en-US"/>
    </w:rPr>
  </w:style>
  <w:style w:type="paragraph" w:customStyle="1" w:styleId="MDPI64CoI">
    <w:name w:val="MDPI_6.4_CoI"/>
    <w:qFormat/>
    <w:rsid w:val="006C540D"/>
    <w:pPr>
      <w:adjustRightInd w:val="0"/>
      <w:snapToGrid w:val="0"/>
      <w:spacing w:before="120" w:after="120" w:line="260" w:lineRule="atLeast"/>
      <w:jc w:val="both"/>
    </w:pPr>
    <w:rPr>
      <w:rFonts w:ascii="Palatino Linotype" w:eastAsia="Times New Roman" w:hAnsi="Palatino Linotype"/>
      <w:snapToGrid w:val="0"/>
      <w:color w:val="000000"/>
      <w:sz w:val="18"/>
      <w:lang w:val="en-US" w:eastAsia="de-DE" w:bidi="en-US"/>
    </w:rPr>
  </w:style>
  <w:style w:type="paragraph" w:customStyle="1" w:styleId="MDPI23heading3">
    <w:name w:val="MDPI_2.3_heading3"/>
    <w:qFormat/>
    <w:rsid w:val="006C540D"/>
    <w:pPr>
      <w:adjustRightInd w:val="0"/>
      <w:snapToGrid w:val="0"/>
      <w:spacing w:before="240" w:after="120" w:line="260" w:lineRule="atLeast"/>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6C540D"/>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6C540D"/>
    <w:pPr>
      <w:adjustRightInd w:val="0"/>
      <w:snapToGrid w:val="0"/>
      <w:spacing w:before="240" w:after="120" w:line="260" w:lineRule="atLeast"/>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6C540D"/>
    <w:pPr>
      <w:numPr>
        <w:numId w:val="18"/>
      </w:numPr>
      <w:spacing w:line="260" w:lineRule="atLeast"/>
      <w:jc w:val="both"/>
    </w:pPr>
    <w:rPr>
      <w:rFonts w:ascii="Palatino Linotype" w:eastAsia="Times New Roman" w:hAnsi="Palatino Linotype"/>
      <w:snapToGrid w:val="0"/>
      <w:color w:val="000000"/>
      <w:sz w:val="18"/>
      <w:lang w:val="en-US" w:eastAsia="de-DE" w:bidi="en-US"/>
    </w:rPr>
  </w:style>
  <w:style w:type="paragraph" w:styleId="BalloonText">
    <w:name w:val="Balloon Text"/>
    <w:basedOn w:val="Normal"/>
    <w:link w:val="BalloonTextChar"/>
    <w:uiPriority w:val="99"/>
    <w:semiHidden/>
    <w:unhideWhenUsed/>
    <w:rsid w:val="006E06CC"/>
    <w:pPr>
      <w:spacing w:line="240" w:lineRule="auto"/>
    </w:pPr>
    <w:rPr>
      <w:sz w:val="18"/>
      <w:szCs w:val="18"/>
    </w:rPr>
  </w:style>
  <w:style w:type="character" w:customStyle="1" w:styleId="BalloonTextChar">
    <w:name w:val="Balloon Text Char"/>
    <w:link w:val="BalloonText"/>
    <w:uiPriority w:val="99"/>
    <w:semiHidden/>
    <w:rsid w:val="006E06CC"/>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E06CC"/>
  </w:style>
  <w:style w:type="table" w:customStyle="1" w:styleId="MDPI41threelinetable">
    <w:name w:val="MDPI_4.1_three_line_table"/>
    <w:basedOn w:val="TableNormal"/>
    <w:uiPriority w:val="99"/>
    <w:rsid w:val="006C540D"/>
    <w:pPr>
      <w:adjustRightInd w:val="0"/>
      <w:snapToGrid w:val="0"/>
      <w:jc w:val="center"/>
    </w:pPr>
    <w:rPr>
      <w:rFonts w:ascii="Palatino Linotype" w:eastAsiaTheme="minorEastAsia"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2D6B37"/>
    <w:rPr>
      <w:color w:val="0563C1"/>
      <w:u w:val="single"/>
    </w:rPr>
  </w:style>
  <w:style w:type="character" w:customStyle="1" w:styleId="UnresolvedMention1">
    <w:name w:val="Unresolved Mention1"/>
    <w:uiPriority w:val="99"/>
    <w:semiHidden/>
    <w:unhideWhenUsed/>
    <w:rsid w:val="00393997"/>
    <w:rPr>
      <w:color w:val="605E5C"/>
      <w:shd w:val="clear" w:color="auto" w:fill="E1DFDD"/>
    </w:rPr>
  </w:style>
  <w:style w:type="table" w:styleId="PlainTable4">
    <w:name w:val="Plain Table 4"/>
    <w:basedOn w:val="TableNormal"/>
    <w:uiPriority w:val="44"/>
    <w:rsid w:val="00C169C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C0366D"/>
    <w:rPr>
      <w:sz w:val="16"/>
      <w:szCs w:val="16"/>
    </w:rPr>
  </w:style>
  <w:style w:type="paragraph" w:styleId="CommentText">
    <w:name w:val="annotation text"/>
    <w:basedOn w:val="Normal"/>
    <w:link w:val="CommentTextChar"/>
    <w:uiPriority w:val="99"/>
    <w:unhideWhenUsed/>
    <w:rsid w:val="00C0366D"/>
    <w:rPr>
      <w:sz w:val="20"/>
    </w:rPr>
  </w:style>
  <w:style w:type="character" w:customStyle="1" w:styleId="CommentTextChar">
    <w:name w:val="Comment Text Char"/>
    <w:basedOn w:val="DefaultParagraphFont"/>
    <w:link w:val="CommentText"/>
    <w:uiPriority w:val="99"/>
    <w:rsid w:val="00C0366D"/>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C0366D"/>
    <w:rPr>
      <w:b/>
      <w:bCs/>
    </w:rPr>
  </w:style>
  <w:style w:type="character" w:customStyle="1" w:styleId="CommentSubjectChar">
    <w:name w:val="Comment Subject Char"/>
    <w:basedOn w:val="CommentTextChar"/>
    <w:link w:val="CommentSubject"/>
    <w:uiPriority w:val="99"/>
    <w:semiHidden/>
    <w:rsid w:val="00C0366D"/>
    <w:rPr>
      <w:rFonts w:ascii="Times New Roman" w:eastAsia="Times New Roman" w:hAnsi="Times New Roman"/>
      <w:b/>
      <w:bCs/>
      <w:color w:val="000000"/>
      <w:lang w:val="en-US" w:eastAsia="de-DE"/>
    </w:rPr>
  </w:style>
  <w:style w:type="paragraph" w:customStyle="1" w:styleId="EndNoteBibliography">
    <w:name w:val="EndNote Bibliography"/>
    <w:basedOn w:val="Normal"/>
    <w:link w:val="EndNoteBibliographyChar"/>
    <w:rsid w:val="003B557B"/>
    <w:pPr>
      <w:spacing w:after="160" w:line="240" w:lineRule="auto"/>
    </w:pPr>
    <w:rPr>
      <w:rFonts w:ascii="Palatino Linotype" w:eastAsia="DengXian" w:hAnsi="Palatino Linotype"/>
      <w:noProof/>
      <w:color w:val="auto"/>
      <w:sz w:val="18"/>
      <w:szCs w:val="22"/>
      <w:lang w:eastAsia="en-US"/>
    </w:rPr>
  </w:style>
  <w:style w:type="character" w:customStyle="1" w:styleId="EndNoteBibliographyChar">
    <w:name w:val="EndNote Bibliography Char"/>
    <w:link w:val="EndNoteBibliography"/>
    <w:rsid w:val="003B557B"/>
    <w:rPr>
      <w:rFonts w:ascii="Palatino Linotype" w:eastAsia="DengXian" w:hAnsi="Palatino Linotype"/>
      <w:noProof/>
      <w:sz w:val="18"/>
      <w:szCs w:val="22"/>
      <w:lang w:val="en-US" w:eastAsia="en-US"/>
    </w:rPr>
  </w:style>
  <w:style w:type="paragraph" w:customStyle="1" w:styleId="EndNoteBibliographyTitle">
    <w:name w:val="EndNote Bibliography Title"/>
    <w:basedOn w:val="Normal"/>
    <w:link w:val="EndNoteBibliographyTitleChar"/>
    <w:rsid w:val="003B557B"/>
    <w:pPr>
      <w:spacing w:line="259" w:lineRule="auto"/>
      <w:jc w:val="center"/>
    </w:pPr>
    <w:rPr>
      <w:rFonts w:ascii="Palatino Linotype" w:eastAsia="DengXian" w:hAnsi="Palatino Linotype"/>
      <w:noProof/>
      <w:color w:val="auto"/>
      <w:sz w:val="18"/>
      <w:szCs w:val="22"/>
      <w:lang w:eastAsia="en-US"/>
    </w:rPr>
  </w:style>
  <w:style w:type="character" w:customStyle="1" w:styleId="EndNoteBibliographyTitleChar">
    <w:name w:val="EndNote Bibliography Title Char"/>
    <w:link w:val="EndNoteBibliographyTitle"/>
    <w:rsid w:val="003B557B"/>
    <w:rPr>
      <w:rFonts w:ascii="Palatino Linotype" w:eastAsia="DengXian" w:hAnsi="Palatino Linotype"/>
      <w:noProof/>
      <w:sz w:val="18"/>
      <w:szCs w:val="22"/>
      <w:lang w:val="en-US" w:eastAsia="en-US"/>
    </w:rPr>
  </w:style>
  <w:style w:type="paragraph" w:styleId="ListParagraph">
    <w:name w:val="List Paragraph"/>
    <w:basedOn w:val="Normal"/>
    <w:uiPriority w:val="34"/>
    <w:qFormat/>
    <w:rsid w:val="003B557B"/>
    <w:pPr>
      <w:spacing w:after="160" w:line="259" w:lineRule="auto"/>
      <w:ind w:left="720"/>
      <w:contextualSpacing/>
      <w:jc w:val="left"/>
    </w:pPr>
    <w:rPr>
      <w:rFonts w:ascii="Calibri" w:eastAsia="DengXian" w:hAnsi="Calibri"/>
      <w:color w:val="auto"/>
      <w:sz w:val="22"/>
      <w:szCs w:val="22"/>
      <w:lang w:val="en-GB" w:eastAsia="en-US"/>
    </w:rPr>
  </w:style>
  <w:style w:type="paragraph" w:customStyle="1" w:styleId="p">
    <w:name w:val="p"/>
    <w:basedOn w:val="Normal"/>
    <w:rsid w:val="003B557B"/>
    <w:pPr>
      <w:spacing w:before="100" w:beforeAutospacing="1" w:after="100" w:afterAutospacing="1" w:line="240" w:lineRule="auto"/>
      <w:jc w:val="left"/>
    </w:pPr>
    <w:rPr>
      <w:color w:val="auto"/>
      <w:szCs w:val="24"/>
      <w:lang w:val="en-GB" w:eastAsia="en-GB"/>
    </w:rPr>
  </w:style>
  <w:style w:type="character" w:styleId="Emphasis">
    <w:name w:val="Emphasis"/>
    <w:uiPriority w:val="20"/>
    <w:qFormat/>
    <w:rsid w:val="003B557B"/>
    <w:rPr>
      <w:i/>
      <w:iCs/>
    </w:rPr>
  </w:style>
  <w:style w:type="paragraph" w:customStyle="1" w:styleId="para">
    <w:name w:val="para"/>
    <w:basedOn w:val="Normal"/>
    <w:rsid w:val="003B557B"/>
    <w:pPr>
      <w:spacing w:before="100" w:beforeAutospacing="1" w:after="100" w:afterAutospacing="1" w:line="240" w:lineRule="auto"/>
      <w:jc w:val="left"/>
    </w:pPr>
    <w:rPr>
      <w:color w:val="auto"/>
      <w:szCs w:val="24"/>
      <w:lang w:val="en-GB" w:eastAsia="en-GB"/>
    </w:rPr>
  </w:style>
  <w:style w:type="character" w:customStyle="1" w:styleId="contentline-92">
    <w:name w:val="contentline-92"/>
    <w:rsid w:val="003B557B"/>
  </w:style>
  <w:style w:type="paragraph" w:styleId="NormalWeb">
    <w:name w:val="Normal (Web)"/>
    <w:basedOn w:val="Normal"/>
    <w:uiPriority w:val="99"/>
    <w:unhideWhenUsed/>
    <w:rsid w:val="003B557B"/>
    <w:pPr>
      <w:spacing w:before="100" w:beforeAutospacing="1" w:after="100" w:afterAutospacing="1" w:line="240" w:lineRule="auto"/>
      <w:jc w:val="left"/>
    </w:pPr>
    <w:rPr>
      <w:color w:val="auto"/>
      <w:szCs w:val="24"/>
      <w:lang w:val="en-GB" w:eastAsia="en-GB"/>
    </w:rPr>
  </w:style>
  <w:style w:type="character" w:styleId="Strong">
    <w:name w:val="Strong"/>
    <w:uiPriority w:val="22"/>
    <w:qFormat/>
    <w:rsid w:val="003B557B"/>
    <w:rPr>
      <w:b/>
      <w:bCs/>
    </w:rPr>
  </w:style>
  <w:style w:type="paragraph" w:customStyle="1" w:styleId="submit-manuscript">
    <w:name w:val="submit-manuscript"/>
    <w:basedOn w:val="Normal"/>
    <w:rsid w:val="003B557B"/>
    <w:pPr>
      <w:spacing w:before="100" w:beforeAutospacing="1" w:after="100" w:afterAutospacing="1" w:line="240" w:lineRule="auto"/>
      <w:jc w:val="left"/>
    </w:pPr>
    <w:rPr>
      <w:color w:val="auto"/>
      <w:szCs w:val="24"/>
      <w:lang w:val="en-GB" w:eastAsia="en-GB"/>
    </w:rPr>
  </w:style>
  <w:style w:type="character" w:customStyle="1" w:styleId="u-visually-hidden">
    <w:name w:val="u-visually-hidden"/>
    <w:rsid w:val="003B557B"/>
  </w:style>
  <w:style w:type="paragraph" w:customStyle="1" w:styleId="c-adlabel">
    <w:name w:val="c-ad__label"/>
    <w:basedOn w:val="Normal"/>
    <w:rsid w:val="003B557B"/>
    <w:pPr>
      <w:spacing w:before="100" w:beforeAutospacing="1" w:after="100" w:afterAutospacing="1" w:line="240" w:lineRule="auto"/>
      <w:jc w:val="left"/>
    </w:pPr>
    <w:rPr>
      <w:color w:val="auto"/>
      <w:szCs w:val="24"/>
      <w:lang w:val="en-GB" w:eastAsia="en-GB"/>
    </w:rPr>
  </w:style>
  <w:style w:type="character" w:customStyle="1" w:styleId="contentline-54">
    <w:name w:val="contentline-54"/>
    <w:rsid w:val="003B557B"/>
  </w:style>
  <w:style w:type="character" w:customStyle="1" w:styleId="mark8w5lpwum0">
    <w:name w:val="mark8w5lpwum0"/>
    <w:rsid w:val="003B557B"/>
  </w:style>
  <w:style w:type="character" w:customStyle="1" w:styleId="mark70vth7nhm">
    <w:name w:val="mark70vth7nhm"/>
    <w:rsid w:val="003B557B"/>
  </w:style>
  <w:style w:type="character" w:customStyle="1" w:styleId="markv5lsy8x8x">
    <w:name w:val="markv5lsy8x8x"/>
    <w:rsid w:val="003B557B"/>
  </w:style>
  <w:style w:type="paragraph" w:customStyle="1" w:styleId="Title1">
    <w:name w:val="Title1"/>
    <w:basedOn w:val="Normal"/>
    <w:rsid w:val="003B557B"/>
    <w:pPr>
      <w:spacing w:before="100" w:beforeAutospacing="1" w:after="100" w:afterAutospacing="1" w:line="240" w:lineRule="auto"/>
      <w:jc w:val="left"/>
    </w:pPr>
    <w:rPr>
      <w:color w:val="auto"/>
      <w:szCs w:val="24"/>
      <w:lang w:val="en-GB" w:eastAsia="en-US"/>
    </w:rPr>
  </w:style>
  <w:style w:type="paragraph" w:customStyle="1" w:styleId="desc">
    <w:name w:val="desc"/>
    <w:basedOn w:val="Normal"/>
    <w:rsid w:val="003B557B"/>
    <w:pPr>
      <w:spacing w:before="100" w:beforeAutospacing="1" w:after="100" w:afterAutospacing="1" w:line="240" w:lineRule="auto"/>
      <w:jc w:val="left"/>
    </w:pPr>
    <w:rPr>
      <w:color w:val="auto"/>
      <w:szCs w:val="24"/>
      <w:lang w:val="en-GB" w:eastAsia="en-US"/>
    </w:rPr>
  </w:style>
  <w:style w:type="paragraph" w:customStyle="1" w:styleId="details">
    <w:name w:val="details"/>
    <w:basedOn w:val="Normal"/>
    <w:rsid w:val="003B557B"/>
    <w:pPr>
      <w:spacing w:before="100" w:beforeAutospacing="1" w:after="100" w:afterAutospacing="1" w:line="240" w:lineRule="auto"/>
      <w:jc w:val="left"/>
    </w:pPr>
    <w:rPr>
      <w:color w:val="auto"/>
      <w:szCs w:val="24"/>
      <w:lang w:val="en-GB" w:eastAsia="en-US"/>
    </w:rPr>
  </w:style>
  <w:style w:type="character" w:customStyle="1" w:styleId="jrnl">
    <w:name w:val="jrnl"/>
    <w:rsid w:val="003B557B"/>
  </w:style>
  <w:style w:type="character" w:customStyle="1" w:styleId="apple-converted-space">
    <w:name w:val="apple-converted-space"/>
    <w:rsid w:val="003B557B"/>
  </w:style>
  <w:style w:type="paragraph" w:styleId="EndnoteText">
    <w:name w:val="endnote text"/>
    <w:basedOn w:val="Normal"/>
    <w:link w:val="EndnoteTextChar"/>
    <w:uiPriority w:val="99"/>
    <w:semiHidden/>
    <w:unhideWhenUsed/>
    <w:rsid w:val="003B557B"/>
    <w:pPr>
      <w:spacing w:line="240" w:lineRule="auto"/>
      <w:jc w:val="left"/>
    </w:pPr>
    <w:rPr>
      <w:rFonts w:ascii="Calibri" w:eastAsia="DengXian" w:hAnsi="Calibri"/>
      <w:color w:val="auto"/>
      <w:sz w:val="20"/>
      <w:lang w:val="en-GB" w:eastAsia="en-US"/>
    </w:rPr>
  </w:style>
  <w:style w:type="character" w:customStyle="1" w:styleId="EndnoteTextChar">
    <w:name w:val="Endnote Text Char"/>
    <w:basedOn w:val="DefaultParagraphFont"/>
    <w:link w:val="EndnoteText"/>
    <w:uiPriority w:val="99"/>
    <w:semiHidden/>
    <w:rsid w:val="003B557B"/>
    <w:rPr>
      <w:rFonts w:eastAsia="DengXian"/>
      <w:lang w:eastAsia="en-US"/>
    </w:rPr>
  </w:style>
  <w:style w:type="character" w:styleId="FollowedHyperlink">
    <w:name w:val="FollowedHyperlink"/>
    <w:basedOn w:val="DefaultParagraphFont"/>
    <w:uiPriority w:val="99"/>
    <w:semiHidden/>
    <w:unhideWhenUsed/>
    <w:rsid w:val="00F6210D"/>
    <w:rPr>
      <w:color w:val="954F72" w:themeColor="followedHyperlink"/>
      <w:u w:val="single"/>
    </w:rPr>
  </w:style>
  <w:style w:type="character" w:customStyle="1" w:styleId="UnresolvedMention2">
    <w:name w:val="Unresolved Mention2"/>
    <w:basedOn w:val="DefaultParagraphFont"/>
    <w:uiPriority w:val="99"/>
    <w:semiHidden/>
    <w:unhideWhenUsed/>
    <w:rsid w:val="004A3E45"/>
    <w:rPr>
      <w:color w:val="605E5C"/>
      <w:shd w:val="clear" w:color="auto" w:fill="E1DFDD"/>
    </w:rPr>
  </w:style>
  <w:style w:type="paragraph" w:customStyle="1" w:styleId="MDPI15academiceditor">
    <w:name w:val="MDPI_1.5_academic_editor"/>
    <w:qFormat/>
    <w:rsid w:val="006C540D"/>
    <w:pPr>
      <w:adjustRightInd w:val="0"/>
      <w:snapToGrid w:val="0"/>
      <w:spacing w:line="260" w:lineRule="atLeast"/>
      <w:ind w:left="113"/>
    </w:pPr>
    <w:rPr>
      <w:rFonts w:ascii="Palatino Linotype" w:eastAsia="Times New Roman" w:hAnsi="Palatino Linotype"/>
      <w:color w:val="000000"/>
      <w:sz w:val="18"/>
      <w:szCs w:val="22"/>
      <w:lang w:val="en-US" w:eastAsia="de-DE" w:bidi="en-US"/>
    </w:rPr>
  </w:style>
  <w:style w:type="paragraph" w:customStyle="1" w:styleId="MDPI19classification">
    <w:name w:val="MDPI_1.9_classification"/>
    <w:qFormat/>
    <w:rsid w:val="006C540D"/>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34textspacebefore">
    <w:name w:val="MDPI_3.4_text_space_before"/>
    <w:qFormat/>
    <w:rsid w:val="006C540D"/>
    <w:pPr>
      <w:spacing w:before="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411onetablecaption">
    <w:name w:val="MDPI_4.1.1_one_table_caption"/>
    <w:qFormat/>
    <w:rsid w:val="006C540D"/>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val="en-US" w:eastAsia="zh-CN" w:bidi="en-US"/>
    </w:rPr>
  </w:style>
  <w:style w:type="paragraph" w:customStyle="1" w:styleId="MDPI511onefigurecaption">
    <w:name w:val="MDPI_5.1.1_one_figure_caption"/>
    <w:qFormat/>
    <w:rsid w:val="006C540D"/>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72Copyright">
    <w:name w:val="MDPI_7.2_Copyright"/>
    <w:qFormat/>
    <w:rsid w:val="006C540D"/>
    <w:pPr>
      <w:adjustRightInd w:val="0"/>
      <w:snapToGrid w:val="0"/>
      <w:spacing w:before="400" w:line="260" w:lineRule="atLeast"/>
      <w:jc w:val="both"/>
    </w:pPr>
    <w:rPr>
      <w:rFonts w:ascii="Palatino Linotype" w:eastAsia="Times New Roman" w:hAnsi="Palatino Linotype"/>
      <w:noProof/>
      <w:snapToGrid w:val="0"/>
      <w:color w:val="000000"/>
      <w:spacing w:val="-2"/>
      <w:sz w:val="18"/>
    </w:rPr>
  </w:style>
  <w:style w:type="paragraph" w:customStyle="1" w:styleId="MDPI73CopyrightImage">
    <w:name w:val="MDPI_7.3_CopyrightImage"/>
    <w:rsid w:val="006C540D"/>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81theorem">
    <w:name w:val="MDPI_8.1_theorem"/>
    <w:qFormat/>
    <w:rsid w:val="006C540D"/>
    <w:pPr>
      <w:spacing w:line="260" w:lineRule="atLeast"/>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6C540D"/>
    <w:p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equationFram">
    <w:name w:val="MDPI_equationFram"/>
    <w:qFormat/>
    <w:rsid w:val="006C540D"/>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6C540D"/>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6C540D"/>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6C540D"/>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6C540D"/>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6C540D"/>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paragraph" w:customStyle="1" w:styleId="MDPItext">
    <w:name w:val="MDPI_text"/>
    <w:qFormat/>
    <w:rsid w:val="006C540D"/>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6C540D"/>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148547">
      <w:bodyDiv w:val="1"/>
      <w:marLeft w:val="0"/>
      <w:marRight w:val="0"/>
      <w:marTop w:val="0"/>
      <w:marBottom w:val="0"/>
      <w:divBdr>
        <w:top w:val="none" w:sz="0" w:space="0" w:color="auto"/>
        <w:left w:val="none" w:sz="0" w:space="0" w:color="auto"/>
        <w:bottom w:val="none" w:sz="0" w:space="0" w:color="auto"/>
        <w:right w:val="none" w:sz="0" w:space="0" w:color="auto"/>
      </w:divBdr>
    </w:div>
    <w:div w:id="1183671173">
      <w:bodyDiv w:val="1"/>
      <w:marLeft w:val="0"/>
      <w:marRight w:val="0"/>
      <w:marTop w:val="0"/>
      <w:marBottom w:val="0"/>
      <w:divBdr>
        <w:top w:val="none" w:sz="0" w:space="0" w:color="auto"/>
        <w:left w:val="none" w:sz="0" w:space="0" w:color="auto"/>
        <w:bottom w:val="none" w:sz="0" w:space="0" w:color="auto"/>
        <w:right w:val="none" w:sz="0" w:space="0" w:color="auto"/>
      </w:divBdr>
    </w:div>
    <w:div w:id="181209420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aiman\Downloads\gen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genes-template</Template>
  <TotalTime>1</TotalTime>
  <Pages>15</Pages>
  <Words>8401</Words>
  <Characters>47888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56177</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Sulaiman</cp:lastModifiedBy>
  <cp:revision>2</cp:revision>
  <cp:lastPrinted>2020-04-21T06:09:00Z</cp:lastPrinted>
  <dcterms:created xsi:type="dcterms:W3CDTF">2020-04-22T14:15:00Z</dcterms:created>
  <dcterms:modified xsi:type="dcterms:W3CDTF">2020-04-22T14:15:00Z</dcterms:modified>
</cp:coreProperties>
</file>