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EA080" w14:textId="1773E8DE" w:rsidR="006043D9" w:rsidRPr="00F90173" w:rsidRDefault="00C812AA">
      <w:pPr>
        <w:spacing w:line="360" w:lineRule="auto"/>
        <w:jc w:val="both"/>
        <w:rPr>
          <w:rFonts w:eastAsia="Times New Roman" w:cs="Times New Roman"/>
          <w:color w:val="000000"/>
          <w:sz w:val="21"/>
          <w:szCs w:val="21"/>
          <w:lang w:eastAsia="en-GB"/>
        </w:rPr>
      </w:pPr>
      <w:r w:rsidRPr="00F90173">
        <w:rPr>
          <w:rFonts w:eastAsia="Times New Roman" w:cs="Times New Roman"/>
          <w:color w:val="000000"/>
          <w:sz w:val="21"/>
          <w:szCs w:val="21"/>
          <w:lang w:eastAsia="en-GB"/>
        </w:rPr>
        <w:t xml:space="preserve">Title: </w:t>
      </w:r>
      <w:r w:rsidR="00F90173" w:rsidRPr="00F90173">
        <w:rPr>
          <w:rFonts w:eastAsia="Times New Roman" w:cs="Times New Roman"/>
          <w:color w:val="000000"/>
          <w:sz w:val="21"/>
          <w:szCs w:val="21"/>
          <w:lang w:eastAsia="en-GB"/>
        </w:rPr>
        <w:t xml:space="preserve"> </w:t>
      </w:r>
      <w:r w:rsidR="00D74C8D" w:rsidRPr="00F90173">
        <w:rPr>
          <w:rFonts w:eastAsia="Times New Roman" w:cs="Times New Roman"/>
          <w:b/>
          <w:bCs/>
          <w:color w:val="000000"/>
          <w:sz w:val="21"/>
          <w:szCs w:val="21"/>
          <w:lang w:eastAsia="en-GB"/>
        </w:rPr>
        <w:t>Africa faces difficult choices in responding to COVID-19</w:t>
      </w:r>
    </w:p>
    <w:p w14:paraId="61A18003" w14:textId="74C27BC5" w:rsidR="00F90173" w:rsidRDefault="00F90173">
      <w:pPr>
        <w:spacing w:line="360" w:lineRule="auto"/>
        <w:jc w:val="both"/>
        <w:rPr>
          <w:rFonts w:eastAsia="Times New Roman" w:cs="Times New Roman"/>
          <w:color w:val="000000"/>
          <w:sz w:val="21"/>
          <w:szCs w:val="21"/>
          <w:lang w:eastAsia="en-GB"/>
        </w:rPr>
      </w:pPr>
      <w:r>
        <w:rPr>
          <w:rFonts w:eastAsia="Times New Roman" w:cs="Times New Roman"/>
          <w:color w:val="000000"/>
          <w:sz w:val="21"/>
          <w:szCs w:val="21"/>
          <w:lang w:eastAsia="en-GB"/>
        </w:rPr>
        <w:t>Type: Correspondence (letter)</w:t>
      </w:r>
    </w:p>
    <w:p w14:paraId="09741F69" w14:textId="77777777" w:rsidR="00F90173" w:rsidRDefault="00F90173">
      <w:pPr>
        <w:spacing w:line="360" w:lineRule="auto"/>
        <w:jc w:val="both"/>
        <w:rPr>
          <w:rFonts w:eastAsia="Times New Roman" w:cs="Times New Roman"/>
          <w:color w:val="000000"/>
          <w:sz w:val="21"/>
          <w:szCs w:val="21"/>
          <w:lang w:eastAsia="en-GB"/>
        </w:rPr>
      </w:pPr>
    </w:p>
    <w:p w14:paraId="5B2E421E" w14:textId="54B93E8D" w:rsidR="00C812AA" w:rsidRPr="00F90173" w:rsidRDefault="00C812AA">
      <w:pPr>
        <w:spacing w:line="360" w:lineRule="auto"/>
        <w:jc w:val="both"/>
        <w:rPr>
          <w:rFonts w:eastAsia="Times New Roman" w:cs="Times New Roman"/>
          <w:color w:val="000000"/>
          <w:sz w:val="21"/>
          <w:szCs w:val="21"/>
          <w:lang w:eastAsia="en-GB"/>
        </w:rPr>
      </w:pPr>
      <w:r w:rsidRPr="00F90173">
        <w:rPr>
          <w:rFonts w:eastAsia="Times New Roman" w:cs="Times New Roman"/>
          <w:color w:val="000000"/>
          <w:sz w:val="21"/>
          <w:szCs w:val="21"/>
          <w:u w:val="single"/>
          <w:lang w:eastAsia="en-GB"/>
        </w:rPr>
        <w:t>Authors:</w:t>
      </w:r>
      <w:r w:rsidRPr="00F90173">
        <w:rPr>
          <w:rFonts w:eastAsia="Times New Roman" w:cs="Times New Roman"/>
          <w:color w:val="000000"/>
          <w:sz w:val="21"/>
          <w:szCs w:val="21"/>
          <w:lang w:eastAsia="en-GB"/>
        </w:rPr>
        <w:t xml:space="preserve"> </w:t>
      </w:r>
      <w:r w:rsidRPr="00F90173">
        <w:rPr>
          <w:rFonts w:eastAsia="Times New Roman" w:cs="Times New Roman"/>
          <w:color w:val="000000"/>
          <w:sz w:val="21"/>
          <w:szCs w:val="21"/>
          <w:lang w:eastAsia="en-GB"/>
        </w:rPr>
        <w:tab/>
        <w:t xml:space="preserve">Titus </w:t>
      </w:r>
      <w:proofErr w:type="spellStart"/>
      <w:r w:rsidRPr="00F90173">
        <w:rPr>
          <w:rFonts w:eastAsia="Times New Roman" w:cs="Times New Roman"/>
          <w:color w:val="000000"/>
          <w:sz w:val="21"/>
          <w:szCs w:val="21"/>
          <w:lang w:eastAsia="en-GB"/>
        </w:rPr>
        <w:t>Divala</w:t>
      </w:r>
      <w:proofErr w:type="spellEnd"/>
      <w:r w:rsidRPr="00F90173">
        <w:rPr>
          <w:rFonts w:eastAsia="Times New Roman" w:cs="Times New Roman"/>
          <w:color w:val="000000"/>
          <w:sz w:val="21"/>
          <w:szCs w:val="21"/>
          <w:lang w:eastAsia="en-GB"/>
        </w:rPr>
        <w:t>, MBBS (1) (2)</w:t>
      </w:r>
    </w:p>
    <w:p w14:paraId="21C6BA75" w14:textId="01BD0A3D" w:rsidR="00C812AA" w:rsidRPr="00F90173" w:rsidRDefault="00C812AA">
      <w:pPr>
        <w:spacing w:line="360" w:lineRule="auto"/>
        <w:jc w:val="both"/>
        <w:rPr>
          <w:rFonts w:eastAsia="Times New Roman" w:cs="Times New Roman"/>
          <w:color w:val="000000"/>
          <w:sz w:val="21"/>
          <w:szCs w:val="21"/>
          <w:lang w:eastAsia="en-GB"/>
        </w:rPr>
      </w:pPr>
      <w:r w:rsidRPr="00F90173">
        <w:rPr>
          <w:rFonts w:eastAsia="Times New Roman" w:cs="Times New Roman"/>
          <w:color w:val="000000"/>
          <w:sz w:val="21"/>
          <w:szCs w:val="21"/>
          <w:lang w:eastAsia="en-GB"/>
        </w:rPr>
        <w:tab/>
      </w:r>
      <w:r w:rsidRPr="00F90173">
        <w:rPr>
          <w:rFonts w:eastAsia="Times New Roman" w:cs="Times New Roman"/>
          <w:color w:val="000000"/>
          <w:sz w:val="21"/>
          <w:szCs w:val="21"/>
          <w:lang w:eastAsia="en-GB"/>
        </w:rPr>
        <w:tab/>
        <w:t xml:space="preserve">Rachael M Burke, </w:t>
      </w:r>
      <w:proofErr w:type="spellStart"/>
      <w:r w:rsidRPr="00F90173">
        <w:rPr>
          <w:rFonts w:eastAsia="Times New Roman" w:cs="Times New Roman"/>
          <w:color w:val="000000"/>
          <w:sz w:val="21"/>
          <w:szCs w:val="21"/>
          <w:lang w:eastAsia="en-GB"/>
        </w:rPr>
        <w:t>BMBCh</w:t>
      </w:r>
      <w:proofErr w:type="spellEnd"/>
      <w:r w:rsidRPr="00F90173">
        <w:rPr>
          <w:rFonts w:eastAsia="Times New Roman" w:cs="Times New Roman"/>
          <w:color w:val="000000"/>
          <w:sz w:val="21"/>
          <w:szCs w:val="21"/>
          <w:lang w:eastAsia="en-GB"/>
        </w:rPr>
        <w:t xml:space="preserve"> (2) (3)</w:t>
      </w:r>
    </w:p>
    <w:p w14:paraId="3C1950E5" w14:textId="6A79D366" w:rsidR="00C812AA" w:rsidRPr="00F90173" w:rsidRDefault="00C812AA">
      <w:pPr>
        <w:spacing w:line="360" w:lineRule="auto"/>
        <w:jc w:val="both"/>
        <w:rPr>
          <w:rFonts w:eastAsia="Times New Roman" w:cs="Times New Roman"/>
          <w:color w:val="000000"/>
          <w:sz w:val="21"/>
          <w:szCs w:val="21"/>
          <w:lang w:eastAsia="en-GB"/>
        </w:rPr>
      </w:pPr>
      <w:r w:rsidRPr="00F90173">
        <w:rPr>
          <w:rFonts w:eastAsia="Times New Roman" w:cs="Times New Roman"/>
          <w:color w:val="000000"/>
          <w:sz w:val="21"/>
          <w:szCs w:val="21"/>
          <w:lang w:eastAsia="en-GB"/>
        </w:rPr>
        <w:tab/>
      </w:r>
      <w:r w:rsidRPr="00F90173">
        <w:rPr>
          <w:rFonts w:eastAsia="Times New Roman" w:cs="Times New Roman"/>
          <w:color w:val="000000"/>
          <w:sz w:val="21"/>
          <w:szCs w:val="21"/>
          <w:lang w:eastAsia="en-GB"/>
        </w:rPr>
        <w:tab/>
        <w:t xml:space="preserve">Latif </w:t>
      </w:r>
      <w:proofErr w:type="spellStart"/>
      <w:r w:rsidRPr="00F90173">
        <w:rPr>
          <w:rFonts w:eastAsia="Times New Roman" w:cs="Times New Roman"/>
          <w:color w:val="000000"/>
          <w:sz w:val="21"/>
          <w:szCs w:val="21"/>
          <w:lang w:eastAsia="en-GB"/>
        </w:rPr>
        <w:t>Ndeketa</w:t>
      </w:r>
      <w:proofErr w:type="spellEnd"/>
      <w:r w:rsidRPr="00F90173">
        <w:rPr>
          <w:rFonts w:eastAsia="Times New Roman" w:cs="Times New Roman"/>
          <w:color w:val="000000"/>
          <w:sz w:val="21"/>
          <w:szCs w:val="21"/>
          <w:lang w:eastAsia="en-GB"/>
        </w:rPr>
        <w:t>, MBBS (2)</w:t>
      </w:r>
    </w:p>
    <w:p w14:paraId="1D1A7EB8" w14:textId="72D608CE" w:rsidR="00C812AA" w:rsidRPr="00F90173" w:rsidRDefault="00C812AA">
      <w:pPr>
        <w:spacing w:line="360" w:lineRule="auto"/>
        <w:jc w:val="both"/>
        <w:rPr>
          <w:rFonts w:eastAsia="Times New Roman" w:cs="Times New Roman"/>
          <w:color w:val="000000"/>
          <w:sz w:val="21"/>
          <w:szCs w:val="21"/>
          <w:lang w:eastAsia="en-GB"/>
        </w:rPr>
      </w:pPr>
      <w:r w:rsidRPr="00F90173">
        <w:rPr>
          <w:rFonts w:eastAsia="Times New Roman" w:cs="Times New Roman"/>
          <w:color w:val="000000"/>
          <w:sz w:val="21"/>
          <w:szCs w:val="21"/>
          <w:lang w:eastAsia="en-GB"/>
        </w:rPr>
        <w:tab/>
      </w:r>
      <w:r w:rsidRPr="00F90173">
        <w:rPr>
          <w:rFonts w:eastAsia="Times New Roman" w:cs="Times New Roman"/>
          <w:color w:val="000000"/>
          <w:sz w:val="21"/>
          <w:szCs w:val="21"/>
          <w:lang w:eastAsia="en-GB"/>
        </w:rPr>
        <w:tab/>
        <w:t>Elizabeth L Corbett, FRCP (2) (3)</w:t>
      </w:r>
    </w:p>
    <w:p w14:paraId="1BB010E3" w14:textId="4649C867" w:rsidR="00C812AA" w:rsidRPr="00F90173" w:rsidRDefault="00C812AA">
      <w:pPr>
        <w:spacing w:line="360" w:lineRule="auto"/>
        <w:jc w:val="both"/>
        <w:rPr>
          <w:rFonts w:eastAsia="Times New Roman" w:cs="Times New Roman"/>
          <w:color w:val="000000"/>
          <w:sz w:val="21"/>
          <w:szCs w:val="21"/>
          <w:lang w:eastAsia="en-GB"/>
        </w:rPr>
      </w:pPr>
      <w:r w:rsidRPr="00F90173">
        <w:rPr>
          <w:rFonts w:eastAsia="Times New Roman" w:cs="Times New Roman"/>
          <w:color w:val="000000"/>
          <w:sz w:val="21"/>
          <w:szCs w:val="21"/>
          <w:lang w:eastAsia="en-GB"/>
        </w:rPr>
        <w:tab/>
      </w:r>
      <w:r w:rsidRPr="00F90173">
        <w:rPr>
          <w:rFonts w:eastAsia="Times New Roman" w:cs="Times New Roman"/>
          <w:color w:val="000000"/>
          <w:sz w:val="21"/>
          <w:szCs w:val="21"/>
          <w:lang w:eastAsia="en-GB"/>
        </w:rPr>
        <w:tab/>
        <w:t>Peter MacPherson, PhD (2) (4)</w:t>
      </w:r>
    </w:p>
    <w:p w14:paraId="16DB2923" w14:textId="6FFCD0D4" w:rsidR="00C812AA" w:rsidRPr="00F90173" w:rsidRDefault="00C812AA">
      <w:pPr>
        <w:spacing w:line="360" w:lineRule="auto"/>
        <w:jc w:val="both"/>
        <w:rPr>
          <w:rFonts w:eastAsia="Times New Roman" w:cs="Times New Roman"/>
          <w:color w:val="000000"/>
          <w:sz w:val="21"/>
          <w:szCs w:val="21"/>
          <w:u w:val="single"/>
          <w:lang w:eastAsia="en-GB"/>
        </w:rPr>
      </w:pPr>
      <w:r w:rsidRPr="00F90173">
        <w:rPr>
          <w:rFonts w:eastAsia="Times New Roman" w:cs="Times New Roman"/>
          <w:color w:val="000000"/>
          <w:sz w:val="21"/>
          <w:szCs w:val="21"/>
          <w:u w:val="single"/>
          <w:lang w:eastAsia="en-GB"/>
        </w:rPr>
        <w:t>Affiliations:</w:t>
      </w:r>
    </w:p>
    <w:p w14:paraId="50E438AB" w14:textId="25FA2F5D" w:rsidR="00C812AA" w:rsidRPr="00F90173" w:rsidRDefault="00C812AA" w:rsidP="00C812AA">
      <w:pPr>
        <w:pStyle w:val="ListParagraph"/>
        <w:numPr>
          <w:ilvl w:val="0"/>
          <w:numId w:val="1"/>
        </w:numPr>
        <w:spacing w:line="360" w:lineRule="auto"/>
        <w:jc w:val="both"/>
        <w:rPr>
          <w:rFonts w:eastAsia="Times New Roman" w:cs="Times New Roman"/>
          <w:color w:val="000000"/>
          <w:sz w:val="21"/>
          <w:szCs w:val="21"/>
          <w:lang w:eastAsia="en-GB"/>
        </w:rPr>
      </w:pPr>
      <w:r w:rsidRPr="00F90173">
        <w:rPr>
          <w:rFonts w:eastAsia="Times New Roman" w:cs="Times New Roman"/>
          <w:color w:val="000000"/>
          <w:sz w:val="21"/>
          <w:szCs w:val="21"/>
          <w:lang w:eastAsia="en-GB"/>
        </w:rPr>
        <w:t>University of Malawi College of Medicine</w:t>
      </w:r>
    </w:p>
    <w:p w14:paraId="09F7DB5B" w14:textId="7EDDCEA6" w:rsidR="00C812AA" w:rsidRPr="00F90173" w:rsidRDefault="00C812AA" w:rsidP="00C812AA">
      <w:pPr>
        <w:pStyle w:val="ListParagraph"/>
        <w:numPr>
          <w:ilvl w:val="0"/>
          <w:numId w:val="1"/>
        </w:numPr>
        <w:spacing w:line="360" w:lineRule="auto"/>
        <w:jc w:val="both"/>
        <w:rPr>
          <w:rFonts w:eastAsia="Times New Roman" w:cs="Times New Roman"/>
          <w:color w:val="000000"/>
          <w:sz w:val="21"/>
          <w:szCs w:val="21"/>
          <w:lang w:eastAsia="en-GB"/>
        </w:rPr>
      </w:pPr>
      <w:r w:rsidRPr="00F90173">
        <w:rPr>
          <w:rFonts w:eastAsia="Times New Roman" w:cs="Times New Roman"/>
          <w:color w:val="000000"/>
          <w:sz w:val="21"/>
          <w:szCs w:val="21"/>
          <w:lang w:eastAsia="en-GB"/>
        </w:rPr>
        <w:t xml:space="preserve">Malawi Liverpool </w:t>
      </w:r>
      <w:proofErr w:type="spellStart"/>
      <w:r w:rsidRPr="00F90173">
        <w:rPr>
          <w:rFonts w:eastAsia="Times New Roman" w:cs="Times New Roman"/>
          <w:color w:val="000000"/>
          <w:sz w:val="21"/>
          <w:szCs w:val="21"/>
          <w:lang w:eastAsia="en-GB"/>
        </w:rPr>
        <w:t>Wellcome</w:t>
      </w:r>
      <w:proofErr w:type="spellEnd"/>
      <w:r w:rsidRPr="00F90173">
        <w:rPr>
          <w:rFonts w:eastAsia="Times New Roman" w:cs="Times New Roman"/>
          <w:color w:val="000000"/>
          <w:sz w:val="21"/>
          <w:szCs w:val="21"/>
          <w:lang w:eastAsia="en-GB"/>
        </w:rPr>
        <w:t xml:space="preserve"> Trust </w:t>
      </w:r>
      <w:r w:rsidR="00F90173" w:rsidRPr="00F90173">
        <w:rPr>
          <w:rFonts w:eastAsia="Times New Roman" w:cs="Times New Roman"/>
          <w:color w:val="000000"/>
          <w:sz w:val="21"/>
          <w:szCs w:val="21"/>
          <w:lang w:eastAsia="en-GB"/>
        </w:rPr>
        <w:t>Clinical Research Programme</w:t>
      </w:r>
    </w:p>
    <w:p w14:paraId="1E4DB097" w14:textId="7F793690" w:rsidR="00F90173" w:rsidRPr="00F90173" w:rsidRDefault="00F90173" w:rsidP="00C812AA">
      <w:pPr>
        <w:pStyle w:val="ListParagraph"/>
        <w:numPr>
          <w:ilvl w:val="0"/>
          <w:numId w:val="1"/>
        </w:numPr>
        <w:spacing w:line="360" w:lineRule="auto"/>
        <w:jc w:val="both"/>
        <w:rPr>
          <w:rFonts w:eastAsia="Times New Roman" w:cs="Times New Roman"/>
          <w:color w:val="000000"/>
          <w:sz w:val="21"/>
          <w:szCs w:val="21"/>
          <w:lang w:eastAsia="en-GB"/>
        </w:rPr>
      </w:pPr>
      <w:r w:rsidRPr="00F90173">
        <w:rPr>
          <w:rFonts w:eastAsia="Times New Roman" w:cs="Times New Roman"/>
          <w:color w:val="000000"/>
          <w:sz w:val="21"/>
          <w:szCs w:val="21"/>
          <w:lang w:eastAsia="en-GB"/>
        </w:rPr>
        <w:t>Faculty of Infectious and Tropical Disease, London School of Hygiene and Tropical Medicine.</w:t>
      </w:r>
    </w:p>
    <w:p w14:paraId="682F2267" w14:textId="46E5B086" w:rsidR="00F90173" w:rsidRDefault="00F90173" w:rsidP="00C812AA">
      <w:pPr>
        <w:pStyle w:val="ListParagraph"/>
        <w:numPr>
          <w:ilvl w:val="0"/>
          <w:numId w:val="1"/>
        </w:numPr>
        <w:spacing w:line="360" w:lineRule="auto"/>
        <w:jc w:val="both"/>
        <w:rPr>
          <w:rFonts w:eastAsia="Times New Roman" w:cs="Times New Roman"/>
          <w:color w:val="000000"/>
          <w:sz w:val="21"/>
          <w:szCs w:val="21"/>
          <w:lang w:eastAsia="en-GB"/>
        </w:rPr>
      </w:pPr>
      <w:r w:rsidRPr="00F90173">
        <w:rPr>
          <w:rFonts w:eastAsia="Times New Roman" w:cs="Times New Roman"/>
          <w:color w:val="000000"/>
          <w:sz w:val="21"/>
          <w:szCs w:val="21"/>
          <w:lang w:eastAsia="en-GB"/>
        </w:rPr>
        <w:t>Liverpool School of Tropical Medicine</w:t>
      </w:r>
    </w:p>
    <w:p w14:paraId="68EA4D0A" w14:textId="77777777" w:rsidR="00F90173" w:rsidRDefault="00F90173" w:rsidP="00F90173">
      <w:pPr>
        <w:spacing w:line="360" w:lineRule="auto"/>
        <w:jc w:val="both"/>
        <w:rPr>
          <w:rFonts w:eastAsia="Times New Roman" w:cs="Times New Roman"/>
          <w:color w:val="000000"/>
          <w:sz w:val="21"/>
          <w:szCs w:val="21"/>
          <w:lang w:eastAsia="en-GB"/>
        </w:rPr>
      </w:pPr>
      <w:bookmarkStart w:id="0" w:name="_GoBack"/>
      <w:bookmarkEnd w:id="0"/>
    </w:p>
    <w:p w14:paraId="35B53160" w14:textId="77777777" w:rsidR="00F90173" w:rsidRPr="00F90173" w:rsidRDefault="00F90173" w:rsidP="00F90173">
      <w:pPr>
        <w:jc w:val="both"/>
        <w:rPr>
          <w:rFonts w:eastAsia="Times New Roman" w:cs="Times New Roman"/>
          <w:color w:val="000000"/>
          <w:sz w:val="22"/>
          <w:szCs w:val="22"/>
          <w:u w:val="single"/>
          <w:lang w:eastAsia="en-GB"/>
        </w:rPr>
      </w:pPr>
      <w:r w:rsidRPr="00F90173">
        <w:rPr>
          <w:rFonts w:eastAsia="Times New Roman" w:cs="Times New Roman"/>
          <w:color w:val="000000"/>
          <w:sz w:val="22"/>
          <w:szCs w:val="22"/>
          <w:u w:val="single"/>
          <w:lang w:eastAsia="en-GB"/>
        </w:rPr>
        <w:t>Conflicts of Interest:</w:t>
      </w:r>
    </w:p>
    <w:p w14:paraId="0333EF45" w14:textId="77777777" w:rsidR="00F90173" w:rsidRPr="00F90173" w:rsidRDefault="00F90173" w:rsidP="00F90173">
      <w:pPr>
        <w:jc w:val="both"/>
        <w:rPr>
          <w:rFonts w:eastAsia="Times New Roman" w:cs="Times New Roman"/>
          <w:color w:val="000000"/>
          <w:sz w:val="22"/>
          <w:szCs w:val="22"/>
          <w:lang w:eastAsia="en-GB"/>
        </w:rPr>
      </w:pPr>
      <w:r w:rsidRPr="00F90173">
        <w:rPr>
          <w:rFonts w:eastAsia="Times New Roman" w:cs="Times New Roman"/>
          <w:color w:val="000000"/>
          <w:sz w:val="22"/>
          <w:szCs w:val="22"/>
          <w:lang w:eastAsia="en-GB"/>
        </w:rPr>
        <w:t>None declared (all authors)</w:t>
      </w:r>
    </w:p>
    <w:p w14:paraId="7A6ED0CD" w14:textId="77777777" w:rsidR="00F90173" w:rsidRPr="00F90173" w:rsidRDefault="00F90173" w:rsidP="00F90173">
      <w:pPr>
        <w:jc w:val="both"/>
        <w:rPr>
          <w:rFonts w:eastAsia="Times New Roman" w:cs="Times New Roman"/>
          <w:color w:val="000000"/>
          <w:sz w:val="22"/>
          <w:szCs w:val="22"/>
          <w:lang w:eastAsia="en-GB"/>
        </w:rPr>
      </w:pPr>
    </w:p>
    <w:p w14:paraId="084D4529" w14:textId="6413330B" w:rsidR="00F90173" w:rsidRPr="00F90173" w:rsidRDefault="00F90173" w:rsidP="00F90173">
      <w:pPr>
        <w:jc w:val="both"/>
        <w:rPr>
          <w:rFonts w:eastAsia="Times New Roman" w:cs="Times New Roman"/>
          <w:color w:val="000000"/>
          <w:sz w:val="22"/>
          <w:szCs w:val="22"/>
          <w:lang w:eastAsia="en-GB"/>
        </w:rPr>
      </w:pPr>
      <w:r w:rsidRPr="00F90173">
        <w:rPr>
          <w:rFonts w:eastAsia="Times New Roman" w:cs="Times New Roman"/>
          <w:color w:val="000000"/>
          <w:sz w:val="22"/>
          <w:szCs w:val="22"/>
          <w:u w:val="single"/>
          <w:lang w:eastAsia="en-GB"/>
        </w:rPr>
        <w:t>Contribution</w:t>
      </w:r>
      <w:r w:rsidRPr="00F90173">
        <w:rPr>
          <w:rFonts w:eastAsia="Times New Roman" w:cs="Times New Roman"/>
          <w:color w:val="000000"/>
          <w:sz w:val="22"/>
          <w:szCs w:val="22"/>
          <w:u w:val="single"/>
          <w:lang w:eastAsia="en-GB"/>
        </w:rPr>
        <w:t>s</w:t>
      </w:r>
      <w:r w:rsidRPr="00F90173">
        <w:rPr>
          <w:rFonts w:eastAsia="Times New Roman" w:cs="Times New Roman"/>
          <w:color w:val="000000"/>
          <w:sz w:val="22"/>
          <w:szCs w:val="22"/>
          <w:lang w:eastAsia="en-GB"/>
        </w:rPr>
        <w:t>:</w:t>
      </w:r>
    </w:p>
    <w:p w14:paraId="1762E3AE" w14:textId="77777777" w:rsidR="00F90173" w:rsidRPr="00F90173" w:rsidRDefault="00F90173" w:rsidP="00F90173">
      <w:pPr>
        <w:pStyle w:val="NormalWeb"/>
        <w:spacing w:before="0" w:beforeAutospacing="0" w:after="0" w:afterAutospacing="0"/>
        <w:rPr>
          <w:rFonts w:ascii="Calibri" w:hAnsi="Calibri"/>
          <w:sz w:val="22"/>
          <w:szCs w:val="22"/>
        </w:rPr>
      </w:pPr>
      <w:r w:rsidRPr="00F90173">
        <w:rPr>
          <w:rFonts w:ascii="Calibri" w:hAnsi="Calibri"/>
          <w:sz w:val="22"/>
          <w:szCs w:val="22"/>
        </w:rPr>
        <w:t>Con</w:t>
      </w:r>
      <w:r>
        <w:rPr>
          <w:rFonts w:ascii="Calibri" w:hAnsi="Calibri"/>
          <w:sz w:val="22"/>
          <w:szCs w:val="22"/>
        </w:rPr>
        <w:t>c</w:t>
      </w:r>
      <w:r w:rsidRPr="00F90173">
        <w:rPr>
          <w:rFonts w:ascii="Calibri" w:hAnsi="Calibri"/>
          <w:sz w:val="22"/>
          <w:szCs w:val="22"/>
        </w:rPr>
        <w:t>ept development PM, RMB</w:t>
      </w:r>
      <w:r w:rsidRPr="00F90173">
        <w:rPr>
          <w:rFonts w:ascii="Calibri" w:hAnsi="Calibri"/>
          <w:sz w:val="22"/>
          <w:szCs w:val="22"/>
        </w:rPr>
        <w:br/>
        <w:t>Data analysis RMB</w:t>
      </w:r>
      <w:r w:rsidRPr="00F90173">
        <w:rPr>
          <w:rFonts w:ascii="Calibri" w:hAnsi="Calibri"/>
          <w:sz w:val="22"/>
          <w:szCs w:val="22"/>
        </w:rPr>
        <w:br/>
        <w:t>Wrote first draft TD,RMB.</w:t>
      </w:r>
      <w:r w:rsidRPr="00F90173">
        <w:rPr>
          <w:rFonts w:ascii="Calibri" w:hAnsi="Calibri"/>
          <w:sz w:val="22"/>
          <w:szCs w:val="22"/>
        </w:rPr>
        <w:br/>
        <w:t xml:space="preserve">Reviewed final draft TD,RMB,LN,ELC,PM </w:t>
      </w:r>
    </w:p>
    <w:p w14:paraId="2D1C6757" w14:textId="77777777" w:rsidR="00F90173" w:rsidRDefault="00F90173" w:rsidP="00F90173">
      <w:pPr>
        <w:spacing w:line="360" w:lineRule="auto"/>
        <w:jc w:val="both"/>
        <w:rPr>
          <w:rFonts w:eastAsia="Times New Roman" w:cs="Times New Roman"/>
          <w:color w:val="000000"/>
          <w:sz w:val="21"/>
          <w:szCs w:val="21"/>
          <w:lang w:eastAsia="en-GB"/>
        </w:rPr>
      </w:pPr>
    </w:p>
    <w:p w14:paraId="7F27931D" w14:textId="77777777" w:rsidR="00C812AA" w:rsidRPr="00F90173" w:rsidRDefault="00C812AA">
      <w:pPr>
        <w:rPr>
          <w:sz w:val="21"/>
          <w:szCs w:val="21"/>
          <w:lang w:val="en-GB"/>
        </w:rPr>
      </w:pPr>
      <w:r w:rsidRPr="00F90173">
        <w:rPr>
          <w:sz w:val="21"/>
          <w:szCs w:val="21"/>
          <w:lang w:val="en-GB"/>
        </w:rPr>
        <w:br w:type="page"/>
      </w:r>
    </w:p>
    <w:p w14:paraId="36251795" w14:textId="18AB4FF8" w:rsidR="006043D9" w:rsidRDefault="00D74C8D">
      <w:pPr>
        <w:spacing w:line="360" w:lineRule="auto"/>
        <w:jc w:val="both"/>
        <w:rPr>
          <w:lang w:val="en-GB"/>
        </w:rPr>
      </w:pPr>
      <w:r>
        <w:rPr>
          <w:lang w:val="en-GB"/>
        </w:rPr>
        <w:lastRenderedPageBreak/>
        <w:t xml:space="preserve">COVID-19 is now established in Africa, with </w:t>
      </w:r>
      <w:r>
        <w:rPr>
          <w:lang w:val="en-US"/>
        </w:rPr>
        <w:t>6</w:t>
      </w:r>
      <w:r>
        <w:rPr>
          <w:lang w:val="en-US"/>
        </w:rPr>
        <w:t>1</w:t>
      </w:r>
      <w:r>
        <w:rPr>
          <w:lang w:val="en-US"/>
        </w:rPr>
        <w:t>3</w:t>
      </w:r>
      <w:r>
        <w:rPr>
          <w:lang w:val="en-US"/>
        </w:rPr>
        <w:t>5</w:t>
      </w:r>
      <w:r>
        <w:rPr>
          <w:lang w:val="en-GB"/>
        </w:rPr>
        <w:t xml:space="preserve"> cases and </w:t>
      </w:r>
      <w:r>
        <w:rPr>
          <w:lang w:val="en-US"/>
        </w:rPr>
        <w:t>2</w:t>
      </w:r>
      <w:r>
        <w:rPr>
          <w:lang w:val="en-US"/>
        </w:rPr>
        <w:t>2</w:t>
      </w:r>
      <w:r>
        <w:rPr>
          <w:lang w:val="en-US"/>
        </w:rPr>
        <w:t>1</w:t>
      </w:r>
      <w:r>
        <w:rPr>
          <w:lang w:val="en-GB"/>
        </w:rPr>
        <w:t xml:space="preserve"> deaths in 4</w:t>
      </w:r>
      <w:r>
        <w:rPr>
          <w:lang w:val="en-US"/>
        </w:rPr>
        <w:t>9</w:t>
      </w:r>
      <w:r>
        <w:rPr>
          <w:lang w:val="en-GB"/>
        </w:rPr>
        <w:t xml:space="preserve"> countries to date.  Fragile health systems leave African countries vulnerable to </w:t>
      </w:r>
      <w:r>
        <w:rPr>
          <w:lang w:val="en-GB"/>
        </w:rPr>
        <w:t xml:space="preserve">the anticipated surge in severely ill COVID-19 patients, despite much younger populations. </w:t>
      </w:r>
    </w:p>
    <w:p w14:paraId="48068359" w14:textId="77777777" w:rsidR="006043D9" w:rsidRDefault="006043D9">
      <w:pPr>
        <w:spacing w:line="360" w:lineRule="auto"/>
        <w:jc w:val="both"/>
        <w:rPr>
          <w:lang w:val="en-GB"/>
        </w:rPr>
      </w:pPr>
    </w:p>
    <w:p w14:paraId="3CE9CD77" w14:textId="38BE13F3" w:rsidR="006043D9" w:rsidRDefault="00D74C8D">
      <w:pPr>
        <w:spacing w:line="360" w:lineRule="auto"/>
        <w:jc w:val="both"/>
        <w:rPr>
          <w:lang w:val="en-GB"/>
        </w:rPr>
      </w:pPr>
      <w:r>
        <w:rPr>
          <w:lang w:val="en-GB"/>
        </w:rPr>
        <w:t>To “flatten</w:t>
      </w:r>
      <w:r>
        <w:rPr>
          <w:lang w:val="en-GB"/>
        </w:rPr>
        <w:t xml:space="preserve"> the curve”, African governments have imposed stringent public health measures (“lockdown”) based on physical distancing to reduce transmission.</w:t>
      </w:r>
      <w:r w:rsidR="006342BE">
        <w:rPr>
          <w:lang w:val="en-GB"/>
        </w:rPr>
        <w:t xml:space="preserve"> </w:t>
      </w:r>
      <w:r>
        <w:rPr>
          <w:lang w:val="en-GB"/>
        </w:rPr>
        <w:t xml:space="preserve"> Howe</w:t>
      </w:r>
      <w:r>
        <w:rPr>
          <w:lang w:val="en-GB"/>
        </w:rPr>
        <w:t>ver, the safety of this approach in poor communities has not been evaluated, and it is plausible that lives lost to lockdown could exceed those saved from COVID-19.  Potentially fatal unintended consequences include widespread economic disruption and hunge</w:t>
      </w:r>
      <w:r>
        <w:rPr>
          <w:lang w:val="en-GB"/>
        </w:rPr>
        <w:t>r, worsening food insecurity if harvesting is disrupted, and increased domestic and state actor violence. Large numbers of African HIV and TB patients depend on functional health services, with substantial individual and public health consequences if treat</w:t>
      </w:r>
      <w:r>
        <w:rPr>
          <w:lang w:val="en-GB"/>
        </w:rPr>
        <w:t>ment access is disrupted.</w:t>
      </w:r>
      <w:r w:rsidR="00B85A89">
        <w:rPr>
          <w:rStyle w:val="EndnoteReference"/>
          <w:lang w:val="en-GB"/>
        </w:rPr>
        <w:endnoteReference w:id="1"/>
      </w:r>
      <w:r>
        <w:rPr>
          <w:lang w:val="en-GB"/>
        </w:rPr>
        <w:t xml:space="preserve">  Although anticipated by national programmes, some treatment interruptions are inevitable during prolonged lockdown. </w:t>
      </w:r>
    </w:p>
    <w:p w14:paraId="707C29CA" w14:textId="77777777" w:rsidR="006043D9" w:rsidRDefault="006043D9">
      <w:pPr>
        <w:spacing w:line="360" w:lineRule="auto"/>
        <w:jc w:val="both"/>
        <w:rPr>
          <w:lang w:val="en-GB"/>
        </w:rPr>
      </w:pPr>
    </w:p>
    <w:p w14:paraId="665C293C" w14:textId="6F101589" w:rsidR="006043D9" w:rsidRDefault="00D74C8D">
      <w:pPr>
        <w:spacing w:line="360" w:lineRule="auto"/>
        <w:jc w:val="both"/>
        <w:rPr>
          <w:lang w:val="en-GB"/>
        </w:rPr>
      </w:pPr>
      <w:r>
        <w:rPr>
          <w:lang w:val="en-GB"/>
        </w:rPr>
        <w:t xml:space="preserve">With clear understanding of risk, governments can make informed decisions about harms and benefits.  We used </w:t>
      </w:r>
      <w:proofErr w:type="spellStart"/>
      <w:r>
        <w:rPr>
          <w:lang w:val="en-GB"/>
        </w:rPr>
        <w:t>Sp</w:t>
      </w:r>
      <w:r>
        <w:rPr>
          <w:lang w:val="en-GB"/>
        </w:rPr>
        <w:t>iegelhalter’s</w:t>
      </w:r>
      <w:proofErr w:type="spellEnd"/>
      <w:r>
        <w:rPr>
          <w:lang w:val="en-GB"/>
        </w:rPr>
        <w:t xml:space="preserve"> approach</w:t>
      </w:r>
      <w:r w:rsidR="00B85A89">
        <w:rPr>
          <w:lang w:val="en-GB"/>
        </w:rPr>
        <w:t xml:space="preserve"> </w:t>
      </w:r>
      <w:r>
        <w:rPr>
          <w:lang w:val="en-GB"/>
        </w:rPr>
        <w:t>to compare age</w:t>
      </w:r>
      <w:r>
        <w:rPr>
          <w:lang w:val="en-GB"/>
        </w:rPr>
        <w:t>-group</w:t>
      </w:r>
      <w:r>
        <w:rPr>
          <w:lang w:val="en-GB"/>
        </w:rPr>
        <w:t xml:space="preserve"> specific infection fatality ratio</w:t>
      </w:r>
      <w:r>
        <w:rPr>
          <w:lang w:val="en-GB"/>
        </w:rPr>
        <w:t>s</w:t>
      </w:r>
      <w:r>
        <w:rPr>
          <w:lang w:val="en-GB"/>
        </w:rPr>
        <w:t xml:space="preserve"> (IFR) from COVID-</w:t>
      </w:r>
      <w:proofErr w:type="gramStart"/>
      <w:r>
        <w:rPr>
          <w:lang w:val="en-GB"/>
        </w:rPr>
        <w:t>19</w:t>
      </w:r>
      <w:r w:rsidR="00B85A89">
        <w:rPr>
          <w:lang w:val="en-GB"/>
        </w:rPr>
        <w:t xml:space="preserve"> </w:t>
      </w:r>
      <w:r>
        <w:rPr>
          <w:lang w:val="en-GB"/>
        </w:rPr>
        <w:t xml:space="preserve"> to</w:t>
      </w:r>
      <w:proofErr w:type="gramEnd"/>
      <w:r>
        <w:rPr>
          <w:lang w:val="en-GB"/>
        </w:rPr>
        <w:t xml:space="preserve"> background (non-COVID) mortality risk in Malawi, South Africa, UK and India.</w:t>
      </w:r>
      <w:r w:rsidR="00B85A89">
        <w:rPr>
          <w:rStyle w:val="EndnoteReference"/>
          <w:lang w:val="en-GB"/>
        </w:rPr>
        <w:endnoteReference w:id="2"/>
      </w:r>
      <w:r w:rsidR="00B85A89">
        <w:rPr>
          <w:lang w:val="en-GB"/>
        </w:rPr>
        <w:t xml:space="preserve"> </w:t>
      </w:r>
      <w:r w:rsidR="00B85A89">
        <w:rPr>
          <w:rStyle w:val="EndnoteReference"/>
          <w:lang w:val="en-GB"/>
        </w:rPr>
        <w:endnoteReference w:id="3"/>
      </w:r>
      <w:r w:rsidR="00B85A89">
        <w:rPr>
          <w:lang w:val="en-GB"/>
        </w:rPr>
        <w:t xml:space="preserve"> </w:t>
      </w:r>
      <w:r w:rsidR="00B85A89">
        <w:rPr>
          <w:rStyle w:val="EndnoteReference"/>
          <w:lang w:val="en-GB"/>
        </w:rPr>
        <w:endnoteReference w:id="4"/>
      </w:r>
      <w:r w:rsidR="00C93F72">
        <w:rPr>
          <w:lang w:val="en-GB"/>
        </w:rPr>
        <w:t xml:space="preserve"> </w:t>
      </w:r>
      <w:r>
        <w:rPr>
          <w:lang w:val="en-GB"/>
        </w:rPr>
        <w:t>This assumes COVID-19 IFRs similar to China</w:t>
      </w:r>
      <w:r>
        <w:rPr>
          <w:lang w:val="en-GB"/>
        </w:rPr>
        <w:t xml:space="preserve">; </w:t>
      </w:r>
      <w:r>
        <w:rPr>
          <w:lang w:val="en-GB"/>
        </w:rPr>
        <w:t xml:space="preserve"> true age-specific c</w:t>
      </w:r>
      <w:r>
        <w:rPr>
          <w:lang w:val="en-GB"/>
        </w:rPr>
        <w:t>ase-fatality rates may be higher with fragile health systems.  For context, Malawi has not yet triggered lockdown, whereas UK, South Africa and India have.  We estimate that while in the UK being infected with COVID19 confers risk of death equivalent to ap</w:t>
      </w:r>
      <w:r>
        <w:rPr>
          <w:lang w:val="en-GB"/>
        </w:rPr>
        <w:t>proximately 12 months background mortality risk at any given age, in Malawi this risk is equivalent to four months of background mortality. This reflects higher background mortality rates in Malawi, underscoring the fragility of health under normal circums</w:t>
      </w:r>
      <w:r>
        <w:rPr>
          <w:lang w:val="en-GB"/>
        </w:rPr>
        <w:t xml:space="preserve">tances.   </w:t>
      </w:r>
    </w:p>
    <w:p w14:paraId="78A6D090" w14:textId="77777777" w:rsidR="006043D9" w:rsidRDefault="006043D9">
      <w:pPr>
        <w:spacing w:line="360" w:lineRule="auto"/>
        <w:jc w:val="both"/>
        <w:rPr>
          <w:lang w:val="en-GB"/>
        </w:rPr>
      </w:pPr>
    </w:p>
    <w:p w14:paraId="329C287D" w14:textId="3C15D2C5" w:rsidR="006043D9" w:rsidRDefault="00D74C8D">
      <w:pPr>
        <w:spacing w:line="360" w:lineRule="auto"/>
        <w:jc w:val="both"/>
        <w:rPr>
          <w:lang w:val="en-GB"/>
        </w:rPr>
      </w:pPr>
      <w:r>
        <w:rPr>
          <w:lang w:val="en-GB"/>
        </w:rPr>
        <w:t>Malawi (median age 17 years) also has relatively few older citizens, with 6.6% over 60. This makes alternative strategies potentially safer and more feasible than lockdown, for instance community-led approaches to support</w:t>
      </w:r>
      <w:r>
        <w:rPr>
          <w:lang w:val="en-GB"/>
        </w:rPr>
        <w:t xml:space="preserve"> older people to sel</w:t>
      </w:r>
      <w:r>
        <w:rPr>
          <w:lang w:val="en-GB"/>
        </w:rPr>
        <w:t>f-isolate with provision of food, medicine and wellbeing support.</w:t>
      </w:r>
      <w:r w:rsidR="00C93F72">
        <w:rPr>
          <w:lang w:val="en-GB"/>
        </w:rPr>
        <w:t xml:space="preserve"> </w:t>
      </w:r>
      <w:r w:rsidR="00C93F72">
        <w:rPr>
          <w:rStyle w:val="EndnoteReference"/>
          <w:lang w:val="en-GB"/>
        </w:rPr>
        <w:endnoteReference w:id="5"/>
      </w:r>
      <w:r>
        <w:rPr>
          <w:lang w:val="en-GB"/>
        </w:rPr>
        <w:t xml:space="preserve"> </w:t>
      </w:r>
    </w:p>
    <w:p w14:paraId="2BCA06C6" w14:textId="77777777" w:rsidR="006043D9" w:rsidRDefault="006043D9">
      <w:pPr>
        <w:spacing w:line="360" w:lineRule="auto"/>
        <w:jc w:val="both"/>
        <w:rPr>
          <w:lang w:val="en-GB"/>
        </w:rPr>
      </w:pPr>
    </w:p>
    <w:p w14:paraId="007298B9" w14:textId="6555B9C4" w:rsidR="006043D9" w:rsidRDefault="00D74C8D">
      <w:pPr>
        <w:spacing w:line="360" w:lineRule="auto"/>
        <w:jc w:val="both"/>
        <w:rPr>
          <w:lang w:val="en-GB"/>
        </w:rPr>
      </w:pPr>
      <w:r>
        <w:rPr>
          <w:lang w:val="en-GB"/>
        </w:rPr>
        <w:lastRenderedPageBreak/>
        <w:t>While we fully agree that macroeconomic arguments against lockdown cannot justify widespread loss of life in Europe and Asia, the considerations are very different in Africa where lockdown</w:t>
      </w:r>
      <w:r>
        <w:rPr>
          <w:lang w:val="en-GB"/>
        </w:rPr>
        <w:t xml:space="preserve"> may itself cost many lives.  We urge African governments to carefully contextualise safe physical distancing policies in order to maximise likely benefits.  Without a context specific, ethical approach to physical distancing, unintended harms from stringe</w:t>
      </w:r>
      <w:r>
        <w:rPr>
          <w:lang w:val="en-GB"/>
        </w:rPr>
        <w:t>nt lockdown may pose more harm than the direct effects of COVID-19 itself.</w:t>
      </w:r>
    </w:p>
    <w:p w14:paraId="24C47D08" w14:textId="20FD53CE" w:rsidR="00F90173" w:rsidRDefault="00F90173">
      <w:pPr>
        <w:spacing w:line="360" w:lineRule="auto"/>
        <w:jc w:val="both"/>
        <w:rPr>
          <w:lang w:val="en-GB"/>
        </w:rPr>
      </w:pPr>
    </w:p>
    <w:p w14:paraId="69D3C8E8" w14:textId="77777777" w:rsidR="00F90173" w:rsidRPr="00F90173" w:rsidRDefault="00F90173" w:rsidP="00F90173">
      <w:pPr>
        <w:spacing w:line="360" w:lineRule="auto"/>
        <w:jc w:val="both"/>
        <w:rPr>
          <w:rFonts w:eastAsia="Times New Roman" w:cs="Times New Roman"/>
          <w:color w:val="000000"/>
          <w:sz w:val="21"/>
          <w:szCs w:val="21"/>
          <w:lang w:eastAsia="en-GB"/>
        </w:rPr>
      </w:pPr>
    </w:p>
    <w:p w14:paraId="7CCF5720" w14:textId="77777777" w:rsidR="00F90173" w:rsidRPr="00F90173" w:rsidRDefault="00F90173" w:rsidP="00F90173">
      <w:pPr>
        <w:spacing w:line="360" w:lineRule="auto"/>
        <w:jc w:val="both"/>
        <w:rPr>
          <w:sz w:val="21"/>
          <w:szCs w:val="21"/>
          <w:lang w:val="en-GB"/>
        </w:rPr>
      </w:pPr>
    </w:p>
    <w:p w14:paraId="3184CCA5" w14:textId="77777777" w:rsidR="00F90173" w:rsidRDefault="00F90173">
      <w:pPr>
        <w:spacing w:line="360" w:lineRule="auto"/>
        <w:jc w:val="both"/>
        <w:rPr>
          <w:lang w:val="en-GB"/>
        </w:rPr>
      </w:pPr>
    </w:p>
    <w:sectPr w:rsidR="00F90173">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E642F" w14:textId="77777777" w:rsidR="00D74C8D" w:rsidRDefault="00D74C8D" w:rsidP="006342BE">
      <w:r>
        <w:separator/>
      </w:r>
    </w:p>
  </w:endnote>
  <w:endnote w:type="continuationSeparator" w:id="0">
    <w:p w14:paraId="664505BE" w14:textId="77777777" w:rsidR="00D74C8D" w:rsidRDefault="00D74C8D" w:rsidP="006342BE">
      <w:r>
        <w:continuationSeparator/>
      </w:r>
    </w:p>
  </w:endnote>
  <w:endnote w:id="1">
    <w:p w14:paraId="45D31178" w14:textId="0BB3D66B" w:rsidR="00B85A89" w:rsidRPr="00C93F72" w:rsidRDefault="00B85A89" w:rsidP="00C93F72">
      <w:pPr>
        <w:pStyle w:val="Heading1"/>
        <w:shd w:val="clear" w:color="auto" w:fill="FCFCFC"/>
        <w:rPr>
          <w:rFonts w:ascii="Calibri" w:hAnsi="Calibri"/>
          <w:color w:val="000000" w:themeColor="text1"/>
          <w:sz w:val="20"/>
          <w:szCs w:val="20"/>
        </w:rPr>
      </w:pPr>
      <w:r w:rsidRPr="00C93F72">
        <w:rPr>
          <w:rStyle w:val="EndnoteReference"/>
          <w:rFonts w:ascii="Calibri" w:hAnsi="Calibri"/>
          <w:color w:val="000000" w:themeColor="text1"/>
          <w:sz w:val="20"/>
          <w:szCs w:val="20"/>
        </w:rPr>
        <w:endnoteRef/>
      </w:r>
      <w:r w:rsidRPr="00C93F72">
        <w:rPr>
          <w:rFonts w:ascii="Calibri" w:hAnsi="Calibri"/>
          <w:color w:val="000000" w:themeColor="text1"/>
          <w:sz w:val="20"/>
          <w:szCs w:val="20"/>
          <w:lang w:val="en-GB"/>
        </w:rPr>
        <w:t xml:space="preserve"> Pai, M.  “</w:t>
      </w:r>
      <w:r w:rsidRPr="00C93F72">
        <w:rPr>
          <w:rFonts w:ascii="Calibri" w:hAnsi="Calibri"/>
          <w:color w:val="000000" w:themeColor="text1"/>
          <w:sz w:val="20"/>
          <w:szCs w:val="20"/>
        </w:rPr>
        <w:t>AIDS, TB And Malaria: Coronavirus Threatens The Endgame</w:t>
      </w:r>
      <w:r w:rsidRPr="00C93F72">
        <w:rPr>
          <w:rFonts w:ascii="Calibri" w:hAnsi="Calibri"/>
          <w:color w:val="000000" w:themeColor="text1"/>
          <w:sz w:val="20"/>
          <w:szCs w:val="20"/>
        </w:rPr>
        <w:t>”</w:t>
      </w:r>
      <w:r w:rsidR="00C93F72">
        <w:rPr>
          <w:rFonts w:ascii="Calibri" w:hAnsi="Calibri"/>
          <w:color w:val="000000" w:themeColor="text1"/>
          <w:sz w:val="20"/>
          <w:szCs w:val="20"/>
        </w:rPr>
        <w:t xml:space="preserve"> </w:t>
      </w:r>
      <w:hyperlink r:id="rId1" w:history="1">
        <w:r w:rsidR="00C93F72" w:rsidRPr="00B85A89">
          <w:rPr>
            <w:rStyle w:val="Hyperlink"/>
            <w:rFonts w:ascii="Calibri" w:eastAsia="Times New Roman" w:hAnsi="Calibri" w:cs="Times New Roman"/>
            <w:sz w:val="20"/>
            <w:szCs w:val="20"/>
            <w:lang w:eastAsia="en-GB"/>
          </w:rPr>
          <w:t>https://www.forbes.com/sites/madhukarpai/2020/03/29/aids-tb-and-malaria-coronavirus-threatens-the-endgame/#24e4c72a5af</w:t>
        </w:r>
        <w:r w:rsidR="00C93F72" w:rsidRPr="00B85A89">
          <w:rPr>
            <w:rStyle w:val="Hyperlink"/>
            <w:rFonts w:ascii="Calibri" w:eastAsia="Times New Roman" w:hAnsi="Calibri" w:cs="Times New Roman"/>
            <w:sz w:val="20"/>
            <w:szCs w:val="20"/>
            <w:lang w:eastAsia="en-GB"/>
          </w:rPr>
          <w:t>d</w:t>
        </w:r>
      </w:hyperlink>
      <w:r w:rsidR="00C93F72" w:rsidRPr="00C93F72">
        <w:rPr>
          <w:rFonts w:ascii="Calibri" w:eastAsia="Times New Roman" w:hAnsi="Calibri" w:cs="Times New Roman"/>
          <w:color w:val="000000" w:themeColor="text1"/>
          <w:sz w:val="20"/>
          <w:szCs w:val="20"/>
          <w:lang w:eastAsia="en-GB"/>
        </w:rPr>
        <w:t xml:space="preserve"> [accessed 1 April 2020].</w:t>
      </w:r>
    </w:p>
    <w:p w14:paraId="5E9BA957" w14:textId="77777777" w:rsidR="00B85A89" w:rsidRPr="00B85A89" w:rsidRDefault="00B85A89">
      <w:pPr>
        <w:pStyle w:val="EndnoteText"/>
        <w:rPr>
          <w:lang w:val="en-GB"/>
        </w:rPr>
      </w:pPr>
    </w:p>
  </w:endnote>
  <w:endnote w:id="2">
    <w:p w14:paraId="26F5B0D4" w14:textId="670EF536" w:rsidR="00B85A89" w:rsidRPr="00B85A89" w:rsidRDefault="00B85A89" w:rsidP="00B85A89">
      <w:pPr>
        <w:rPr>
          <w:rFonts w:eastAsia="Times New Roman" w:cs="Times New Roman"/>
          <w:sz w:val="20"/>
          <w:szCs w:val="20"/>
          <w:lang w:eastAsia="en-GB"/>
        </w:rPr>
      </w:pPr>
      <w:r w:rsidRPr="00B85A89">
        <w:rPr>
          <w:rStyle w:val="EndnoteReference"/>
          <w:sz w:val="20"/>
          <w:szCs w:val="20"/>
        </w:rPr>
        <w:endnoteRef/>
      </w:r>
      <w:r w:rsidRPr="00B85A89">
        <w:rPr>
          <w:sz w:val="20"/>
          <w:szCs w:val="20"/>
        </w:rPr>
        <w:t xml:space="preserve"> </w:t>
      </w:r>
      <w:r w:rsidRPr="00B85A89">
        <w:rPr>
          <w:sz w:val="20"/>
          <w:szCs w:val="20"/>
          <w:lang w:val="en-GB"/>
        </w:rPr>
        <w:t xml:space="preserve"> </w:t>
      </w:r>
      <w:proofErr w:type="spellStart"/>
      <w:r w:rsidRPr="00B85A89">
        <w:rPr>
          <w:sz w:val="20"/>
          <w:szCs w:val="20"/>
          <w:lang w:val="en-GB"/>
        </w:rPr>
        <w:t>Spiegelhalter</w:t>
      </w:r>
      <w:proofErr w:type="spellEnd"/>
      <w:r w:rsidRPr="00B85A89">
        <w:rPr>
          <w:sz w:val="20"/>
          <w:szCs w:val="20"/>
          <w:lang w:val="en-GB"/>
        </w:rPr>
        <w:t>, D.</w:t>
      </w:r>
      <w:r w:rsidRPr="00B85A89">
        <w:rPr>
          <w:sz w:val="20"/>
          <w:szCs w:val="20"/>
          <w:lang w:val="en-GB"/>
        </w:rPr>
        <w:t xml:space="preserve"> “How much ‘normal’ risk does COVID represent?” </w:t>
      </w:r>
      <w:hyperlink r:id="rId2" w:history="1">
        <w:r w:rsidRPr="00B85A89">
          <w:rPr>
            <w:rFonts w:eastAsia="Times New Roman" w:cs="Times New Roman"/>
            <w:color w:val="0000FF"/>
            <w:sz w:val="20"/>
            <w:szCs w:val="20"/>
            <w:u w:val="single"/>
            <w:lang w:eastAsia="en-GB"/>
          </w:rPr>
          <w:t>https://medium.com/wintoncentre/how-much-normal-risk-does-covid-represent-4539118e1196</w:t>
        </w:r>
      </w:hyperlink>
      <w:r w:rsidRPr="00B85A89">
        <w:rPr>
          <w:rFonts w:eastAsia="Times New Roman" w:cs="Times New Roman"/>
          <w:sz w:val="20"/>
          <w:szCs w:val="20"/>
          <w:lang w:eastAsia="en-GB"/>
        </w:rPr>
        <w:t xml:space="preserve"> [accessed 1 April 2020].</w:t>
      </w:r>
    </w:p>
    <w:p w14:paraId="60781E37" w14:textId="77777777" w:rsidR="00B85A89" w:rsidRPr="00B85A89" w:rsidRDefault="00B85A89" w:rsidP="00B85A89">
      <w:pPr>
        <w:pStyle w:val="EndnoteText"/>
        <w:rPr>
          <w:lang w:val="en-GB"/>
        </w:rPr>
      </w:pPr>
    </w:p>
  </w:endnote>
  <w:endnote w:id="3">
    <w:p w14:paraId="29233056" w14:textId="15AB0E4A" w:rsidR="00B85A89" w:rsidRPr="00B85A89" w:rsidRDefault="00B85A89" w:rsidP="00B85A89">
      <w:pPr>
        <w:rPr>
          <w:rFonts w:eastAsia="Times New Roman" w:cs="Times New Roman"/>
          <w:sz w:val="20"/>
          <w:szCs w:val="20"/>
          <w:lang w:eastAsia="en-GB"/>
        </w:rPr>
      </w:pPr>
      <w:r w:rsidRPr="00B85A89">
        <w:rPr>
          <w:rStyle w:val="EndnoteReference"/>
          <w:sz w:val="20"/>
          <w:szCs w:val="20"/>
        </w:rPr>
        <w:endnoteRef/>
      </w:r>
      <w:r w:rsidRPr="00B85A89">
        <w:rPr>
          <w:sz w:val="20"/>
          <w:szCs w:val="20"/>
        </w:rPr>
        <w:t xml:space="preserve"> </w:t>
      </w:r>
      <w:r w:rsidRPr="00B85A89">
        <w:rPr>
          <w:rFonts w:eastAsia="Times New Roman" w:cs="Times New Roman"/>
          <w:sz w:val="20"/>
          <w:szCs w:val="20"/>
          <w:lang w:eastAsia="en-GB"/>
        </w:rPr>
        <w:t xml:space="preserve"> </w:t>
      </w:r>
      <w:r w:rsidRPr="00B85A89">
        <w:rPr>
          <w:rFonts w:eastAsia="Times New Roman" w:cs="Times New Roman"/>
          <w:sz w:val="20"/>
          <w:szCs w:val="20"/>
          <w:lang w:eastAsia="en-GB"/>
        </w:rPr>
        <w:t xml:space="preserve">Verity, R. </w:t>
      </w:r>
      <w:r w:rsidRPr="00B85A89">
        <w:rPr>
          <w:rFonts w:eastAsia="Times New Roman" w:cs="Times New Roman"/>
          <w:i/>
          <w:iCs/>
          <w:sz w:val="20"/>
          <w:szCs w:val="20"/>
          <w:lang w:eastAsia="en-GB"/>
        </w:rPr>
        <w:t>et al.</w:t>
      </w:r>
      <w:r w:rsidRPr="00B85A89">
        <w:rPr>
          <w:rFonts w:eastAsia="Times New Roman" w:cs="Times New Roman"/>
          <w:sz w:val="20"/>
          <w:szCs w:val="20"/>
          <w:lang w:eastAsia="en-GB"/>
        </w:rPr>
        <w:t xml:space="preserve"> Estimates of the severity of coronavirus disease 2019: a model-based analysis. </w:t>
      </w:r>
      <w:r w:rsidRPr="00B85A89">
        <w:rPr>
          <w:rFonts w:eastAsia="Times New Roman" w:cs="Times New Roman"/>
          <w:i/>
          <w:iCs/>
          <w:sz w:val="20"/>
          <w:szCs w:val="20"/>
          <w:lang w:eastAsia="en-GB"/>
        </w:rPr>
        <w:t>The Lancet Infectious Diseases</w:t>
      </w:r>
      <w:r w:rsidRPr="00B85A89">
        <w:rPr>
          <w:rFonts w:eastAsia="Times New Roman" w:cs="Times New Roman"/>
          <w:sz w:val="20"/>
          <w:szCs w:val="20"/>
          <w:lang w:eastAsia="en-GB"/>
        </w:rPr>
        <w:t xml:space="preserve"> </w:t>
      </w:r>
      <w:r w:rsidRPr="00B85A89">
        <w:rPr>
          <w:rFonts w:eastAsia="Times New Roman" w:cs="Times New Roman"/>
          <w:b/>
          <w:bCs/>
          <w:sz w:val="20"/>
          <w:szCs w:val="20"/>
          <w:lang w:eastAsia="en-GB"/>
        </w:rPr>
        <w:t>0</w:t>
      </w:r>
      <w:r w:rsidRPr="00B85A89">
        <w:rPr>
          <w:rFonts w:eastAsia="Times New Roman" w:cs="Times New Roman"/>
          <w:sz w:val="20"/>
          <w:szCs w:val="20"/>
          <w:lang w:eastAsia="en-GB"/>
        </w:rPr>
        <w:t>, (2020).</w:t>
      </w:r>
    </w:p>
    <w:p w14:paraId="227A123C" w14:textId="46021554" w:rsidR="00B85A89" w:rsidRPr="00B85A89" w:rsidRDefault="00B85A89" w:rsidP="00B85A89">
      <w:pPr>
        <w:pStyle w:val="EndnoteText"/>
        <w:rPr>
          <w:lang w:val="en-GB"/>
        </w:rPr>
      </w:pPr>
    </w:p>
  </w:endnote>
  <w:endnote w:id="4">
    <w:p w14:paraId="5B79A607" w14:textId="32A70A85" w:rsidR="00B85A89" w:rsidRPr="00C93F72" w:rsidRDefault="00B85A89" w:rsidP="00C93F72">
      <w:pPr>
        <w:rPr>
          <w:rFonts w:eastAsia="Times New Roman" w:cs="Times New Roman"/>
          <w:sz w:val="20"/>
          <w:szCs w:val="20"/>
          <w:lang w:eastAsia="en-GB"/>
        </w:rPr>
      </w:pPr>
      <w:r w:rsidRPr="00B85A89">
        <w:rPr>
          <w:rStyle w:val="EndnoteReference"/>
          <w:sz w:val="20"/>
          <w:szCs w:val="20"/>
        </w:rPr>
        <w:endnoteRef/>
      </w:r>
      <w:r w:rsidRPr="00B85A89">
        <w:rPr>
          <w:sz w:val="20"/>
          <w:szCs w:val="20"/>
        </w:rPr>
        <w:t xml:space="preserve"> </w:t>
      </w:r>
      <w:r w:rsidRPr="00B85A89">
        <w:rPr>
          <w:sz w:val="20"/>
          <w:szCs w:val="20"/>
          <w:lang w:val="en-GB"/>
        </w:rPr>
        <w:t xml:space="preserve">Ferguson, N </w:t>
      </w:r>
      <w:r w:rsidRPr="00B85A89">
        <w:rPr>
          <w:i/>
          <w:iCs/>
          <w:sz w:val="20"/>
          <w:szCs w:val="20"/>
          <w:lang w:val="en-GB"/>
        </w:rPr>
        <w:t>et al</w:t>
      </w:r>
      <w:r w:rsidRPr="00B85A89">
        <w:rPr>
          <w:sz w:val="20"/>
          <w:szCs w:val="20"/>
          <w:lang w:val="en-GB"/>
        </w:rPr>
        <w:t>. “</w:t>
      </w:r>
      <w:r w:rsidRPr="00B85A89">
        <w:rPr>
          <w:color w:val="161515"/>
          <w:sz w:val="20"/>
          <w:szCs w:val="20"/>
          <w:bdr w:val="none" w:sz="0" w:space="0" w:color="auto" w:frame="1"/>
        </w:rPr>
        <w:t>Report 9: Impact of non-pharmaceutical interventions (NPIs) to reduce COVID-19 mortality and healthcare demand</w:t>
      </w:r>
      <w:r w:rsidRPr="00B85A89">
        <w:rPr>
          <w:color w:val="161515"/>
          <w:sz w:val="20"/>
          <w:szCs w:val="20"/>
          <w:bdr w:val="none" w:sz="0" w:space="0" w:color="auto" w:frame="1"/>
        </w:rPr>
        <w:t xml:space="preserve">” Available at </w:t>
      </w:r>
      <w:hyperlink r:id="rId3" w:history="1">
        <w:r w:rsidRPr="00B85A89">
          <w:rPr>
            <w:rFonts w:eastAsia="Times New Roman" w:cs="Times New Roman"/>
            <w:color w:val="0000FF"/>
            <w:sz w:val="20"/>
            <w:szCs w:val="20"/>
            <w:u w:val="single"/>
            <w:lang w:eastAsia="en-GB"/>
          </w:rPr>
          <w:t>https://www.imperial.ac.uk/media/imperial-college/medicine/sph/ide/gida-fellowships/Imperial-College-COVID19-NPI-modelling-16-03-2020.pdf</w:t>
        </w:r>
      </w:hyperlink>
      <w:r w:rsidRPr="00B85A89">
        <w:rPr>
          <w:rFonts w:eastAsia="Times New Roman" w:cs="Times New Roman"/>
          <w:sz w:val="20"/>
          <w:szCs w:val="20"/>
          <w:lang w:eastAsia="en-GB"/>
        </w:rPr>
        <w:t xml:space="preserve"> [accessed 1 April 2020]</w:t>
      </w:r>
    </w:p>
    <w:p w14:paraId="70A65BFF" w14:textId="64E34072" w:rsidR="00B85A89" w:rsidRPr="00B85A89" w:rsidRDefault="00B85A89">
      <w:pPr>
        <w:pStyle w:val="EndnoteText"/>
        <w:rPr>
          <w:lang w:val="en-GB"/>
        </w:rPr>
      </w:pPr>
    </w:p>
  </w:endnote>
  <w:endnote w:id="5">
    <w:p w14:paraId="6B2C26BF" w14:textId="4EF442CF" w:rsidR="00C93F72" w:rsidRPr="00C93F72" w:rsidRDefault="00C93F72" w:rsidP="00C93F72">
      <w:pPr>
        <w:pStyle w:val="Heading1"/>
        <w:spacing w:before="0" w:after="161"/>
        <w:rPr>
          <w:rFonts w:ascii="Calibri" w:hAnsi="Calibri"/>
          <w:color w:val="000000" w:themeColor="text1"/>
          <w:sz w:val="20"/>
          <w:szCs w:val="20"/>
        </w:rPr>
      </w:pPr>
      <w:r w:rsidRPr="00C93F72">
        <w:rPr>
          <w:rStyle w:val="EndnoteReference"/>
          <w:rFonts w:ascii="Calibri" w:hAnsi="Calibri"/>
          <w:color w:val="000000" w:themeColor="text1"/>
          <w:sz w:val="20"/>
          <w:szCs w:val="20"/>
        </w:rPr>
        <w:endnoteRef/>
      </w:r>
      <w:r w:rsidRPr="00C93F72">
        <w:rPr>
          <w:rFonts w:ascii="Calibri" w:hAnsi="Calibri"/>
          <w:color w:val="000000" w:themeColor="text1"/>
          <w:sz w:val="20"/>
          <w:szCs w:val="20"/>
        </w:rPr>
        <w:t xml:space="preserve"> </w:t>
      </w:r>
      <w:r w:rsidRPr="00C93F72">
        <w:rPr>
          <w:rFonts w:ascii="Calibri" w:hAnsi="Calibri"/>
          <w:color w:val="000000" w:themeColor="text1"/>
          <w:sz w:val="20"/>
          <w:szCs w:val="20"/>
          <w:lang w:val="en-GB"/>
        </w:rPr>
        <w:t xml:space="preserve">Dahab, M </w:t>
      </w:r>
      <w:r w:rsidRPr="00C93F72">
        <w:rPr>
          <w:rFonts w:ascii="Calibri" w:hAnsi="Calibri"/>
          <w:i/>
          <w:iCs/>
          <w:color w:val="000000" w:themeColor="text1"/>
          <w:sz w:val="20"/>
          <w:szCs w:val="20"/>
          <w:lang w:val="en-GB"/>
        </w:rPr>
        <w:t>et al. “</w:t>
      </w:r>
      <w:r w:rsidRPr="00C93F72">
        <w:rPr>
          <w:rFonts w:ascii="Calibri" w:hAnsi="Calibri"/>
          <w:color w:val="000000" w:themeColor="text1"/>
          <w:sz w:val="20"/>
          <w:szCs w:val="20"/>
        </w:rPr>
        <w:t>COVID-19 control in low-income settings and displaced populations: what can realistically be done?</w:t>
      </w:r>
      <w:r w:rsidRPr="00C93F72">
        <w:rPr>
          <w:rFonts w:ascii="Calibri" w:hAnsi="Calibri"/>
          <w:color w:val="000000" w:themeColor="text1"/>
          <w:sz w:val="20"/>
          <w:szCs w:val="20"/>
        </w:rPr>
        <w:t xml:space="preserve">”  </w:t>
      </w:r>
      <w:hyperlink r:id="rId4" w:history="1">
        <w:r w:rsidRPr="00C93F72">
          <w:rPr>
            <w:rStyle w:val="Hyperlink"/>
            <w:rFonts w:ascii="Calibri" w:eastAsia="Times New Roman" w:hAnsi="Calibri" w:cs="Times New Roman"/>
            <w:sz w:val="20"/>
            <w:szCs w:val="20"/>
            <w:lang w:eastAsia="en-GB"/>
          </w:rPr>
          <w:t>https://www.lshtm.ac.uk/newsevents/news/2020/covid-19-control-low-income-settings-and-displaced-populations-what-can</w:t>
        </w:r>
      </w:hyperlink>
      <w:r w:rsidRPr="00C93F72">
        <w:rPr>
          <w:rFonts w:ascii="Calibri" w:eastAsia="Times New Roman" w:hAnsi="Calibri" w:cs="Times New Roman"/>
          <w:color w:val="000000" w:themeColor="text1"/>
          <w:sz w:val="20"/>
          <w:szCs w:val="20"/>
          <w:lang w:eastAsia="en-GB"/>
        </w:rPr>
        <w:t xml:space="preserve"> [accessed 1 April 2020]</w:t>
      </w:r>
    </w:p>
    <w:p w14:paraId="442C13EE" w14:textId="06A592BB" w:rsidR="00C93F72" w:rsidRDefault="00C93F72">
      <w:pPr>
        <w:pStyle w:val="EndnoteText"/>
        <w:rPr>
          <w:i/>
          <w:iCs/>
          <w:lang w:val="en-GB"/>
        </w:rPr>
      </w:pPr>
    </w:p>
    <w:p w14:paraId="18FAB746" w14:textId="77777777" w:rsidR="00F90173" w:rsidRPr="00C93F72" w:rsidRDefault="00F90173">
      <w:pPr>
        <w:pStyle w:val="EndnoteText"/>
        <w:rPr>
          <w:i/>
          <w:iCs/>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36344" w14:textId="77777777" w:rsidR="00D74C8D" w:rsidRDefault="00D74C8D" w:rsidP="006342BE">
      <w:r>
        <w:separator/>
      </w:r>
    </w:p>
  </w:footnote>
  <w:footnote w:type="continuationSeparator" w:id="0">
    <w:p w14:paraId="05413C22" w14:textId="77777777" w:rsidR="00D74C8D" w:rsidRDefault="00D74C8D" w:rsidP="00634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54A18"/>
    <w:multiLevelType w:val="hybridMultilevel"/>
    <w:tmpl w:val="596633BA"/>
    <w:lvl w:ilvl="0" w:tplc="A79CA4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3D9"/>
    <w:rsid w:val="004B3285"/>
    <w:rsid w:val="006043D9"/>
    <w:rsid w:val="006342BE"/>
    <w:rsid w:val="00B85A89"/>
    <w:rsid w:val="00C812AA"/>
    <w:rsid w:val="00C93F72"/>
    <w:rsid w:val="00D74C8D"/>
    <w:rsid w:val="00F901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564BD105"/>
  <w15:docId w15:val="{42C51DD3-05B2-CE46-9D34-A90D6673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5A8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85A89"/>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imes New Roman" w:hAnsi="Times New Roman" w:cs="Times New Roman"/>
      <w:sz w:val="18"/>
      <w:szCs w:val="18"/>
    </w:rPr>
  </w:style>
  <w:style w:type="character" w:customStyle="1" w:styleId="BalloonTextChar">
    <w:name w:val="Balloon Text Char"/>
    <w:basedOn w:val="DefaultParagraphFont"/>
    <w:link w:val="BalloonText"/>
    <w:uiPriority w:val="99"/>
    <w:rPr>
      <w:rFonts w:ascii="Times New Roman" w:hAnsi="Times New Roman" w:cs="Times New Roman"/>
      <w:sz w:val="18"/>
      <w:szCs w:val="18"/>
    </w:rPr>
  </w:style>
  <w:style w:type="paragraph" w:styleId="Revision">
    <w:name w:val="Revision"/>
    <w:uiPriority w:val="99"/>
  </w:style>
  <w:style w:type="paragraph" w:styleId="EndnoteText">
    <w:name w:val="endnote text"/>
    <w:basedOn w:val="Normal"/>
    <w:link w:val="EndnoteTextChar"/>
    <w:uiPriority w:val="99"/>
    <w:semiHidden/>
    <w:unhideWhenUsed/>
    <w:rsid w:val="006342BE"/>
    <w:rPr>
      <w:sz w:val="20"/>
      <w:szCs w:val="20"/>
    </w:rPr>
  </w:style>
  <w:style w:type="character" w:customStyle="1" w:styleId="EndnoteTextChar">
    <w:name w:val="Endnote Text Char"/>
    <w:basedOn w:val="DefaultParagraphFont"/>
    <w:link w:val="EndnoteText"/>
    <w:uiPriority w:val="99"/>
    <w:semiHidden/>
    <w:rsid w:val="006342BE"/>
    <w:rPr>
      <w:sz w:val="20"/>
      <w:szCs w:val="20"/>
    </w:rPr>
  </w:style>
  <w:style w:type="character" w:styleId="EndnoteReference">
    <w:name w:val="endnote reference"/>
    <w:basedOn w:val="DefaultParagraphFont"/>
    <w:uiPriority w:val="99"/>
    <w:semiHidden/>
    <w:unhideWhenUsed/>
    <w:rsid w:val="006342BE"/>
    <w:rPr>
      <w:vertAlign w:val="superscript"/>
    </w:rPr>
  </w:style>
  <w:style w:type="character" w:customStyle="1" w:styleId="Heading2Char">
    <w:name w:val="Heading 2 Char"/>
    <w:basedOn w:val="DefaultParagraphFont"/>
    <w:link w:val="Heading2"/>
    <w:uiPriority w:val="9"/>
    <w:rsid w:val="00B85A89"/>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B85A89"/>
    <w:rPr>
      <w:color w:val="0000FF"/>
      <w:u w:val="single"/>
    </w:rPr>
  </w:style>
  <w:style w:type="character" w:customStyle="1" w:styleId="Heading1Char">
    <w:name w:val="Heading 1 Char"/>
    <w:basedOn w:val="DefaultParagraphFont"/>
    <w:link w:val="Heading1"/>
    <w:uiPriority w:val="9"/>
    <w:rsid w:val="00B85A89"/>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C93F72"/>
    <w:rPr>
      <w:color w:val="605E5C"/>
      <w:shd w:val="clear" w:color="auto" w:fill="E1DFDD"/>
    </w:rPr>
  </w:style>
  <w:style w:type="paragraph" w:styleId="ListParagraph">
    <w:name w:val="List Paragraph"/>
    <w:basedOn w:val="Normal"/>
    <w:uiPriority w:val="34"/>
    <w:qFormat/>
    <w:rsid w:val="00C812AA"/>
    <w:pPr>
      <w:ind w:left="720"/>
      <w:contextualSpacing/>
    </w:pPr>
  </w:style>
  <w:style w:type="paragraph" w:styleId="NormalWeb">
    <w:name w:val="Normal (Web)"/>
    <w:basedOn w:val="Normal"/>
    <w:uiPriority w:val="99"/>
    <w:semiHidden/>
    <w:unhideWhenUsed/>
    <w:rsid w:val="00F9017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257189">
      <w:bodyDiv w:val="1"/>
      <w:marLeft w:val="0"/>
      <w:marRight w:val="0"/>
      <w:marTop w:val="0"/>
      <w:marBottom w:val="0"/>
      <w:divBdr>
        <w:top w:val="none" w:sz="0" w:space="0" w:color="auto"/>
        <w:left w:val="none" w:sz="0" w:space="0" w:color="auto"/>
        <w:bottom w:val="none" w:sz="0" w:space="0" w:color="auto"/>
        <w:right w:val="none" w:sz="0" w:space="0" w:color="auto"/>
      </w:divBdr>
    </w:div>
    <w:div w:id="519854097">
      <w:bodyDiv w:val="1"/>
      <w:marLeft w:val="0"/>
      <w:marRight w:val="0"/>
      <w:marTop w:val="0"/>
      <w:marBottom w:val="0"/>
      <w:divBdr>
        <w:top w:val="none" w:sz="0" w:space="0" w:color="auto"/>
        <w:left w:val="none" w:sz="0" w:space="0" w:color="auto"/>
        <w:bottom w:val="none" w:sz="0" w:space="0" w:color="auto"/>
        <w:right w:val="none" w:sz="0" w:space="0" w:color="auto"/>
      </w:divBdr>
    </w:div>
    <w:div w:id="669332373">
      <w:bodyDiv w:val="1"/>
      <w:marLeft w:val="0"/>
      <w:marRight w:val="0"/>
      <w:marTop w:val="0"/>
      <w:marBottom w:val="0"/>
      <w:divBdr>
        <w:top w:val="none" w:sz="0" w:space="0" w:color="auto"/>
        <w:left w:val="none" w:sz="0" w:space="0" w:color="auto"/>
        <w:bottom w:val="none" w:sz="0" w:space="0" w:color="auto"/>
        <w:right w:val="none" w:sz="0" w:space="0" w:color="auto"/>
      </w:divBdr>
    </w:div>
    <w:div w:id="1062630745">
      <w:bodyDiv w:val="1"/>
      <w:marLeft w:val="0"/>
      <w:marRight w:val="0"/>
      <w:marTop w:val="0"/>
      <w:marBottom w:val="0"/>
      <w:divBdr>
        <w:top w:val="none" w:sz="0" w:space="0" w:color="auto"/>
        <w:left w:val="none" w:sz="0" w:space="0" w:color="auto"/>
        <w:bottom w:val="none" w:sz="0" w:space="0" w:color="auto"/>
        <w:right w:val="none" w:sz="0" w:space="0" w:color="auto"/>
      </w:divBdr>
      <w:divsChild>
        <w:div w:id="1025787844">
          <w:marLeft w:val="0"/>
          <w:marRight w:val="0"/>
          <w:marTop w:val="0"/>
          <w:marBottom w:val="0"/>
          <w:divBdr>
            <w:top w:val="none" w:sz="0" w:space="0" w:color="auto"/>
            <w:left w:val="none" w:sz="0" w:space="0" w:color="auto"/>
            <w:bottom w:val="none" w:sz="0" w:space="0" w:color="auto"/>
            <w:right w:val="none" w:sz="0" w:space="0" w:color="auto"/>
          </w:divBdr>
          <w:divsChild>
            <w:div w:id="123618183">
              <w:marLeft w:val="0"/>
              <w:marRight w:val="0"/>
              <w:marTop w:val="0"/>
              <w:marBottom w:val="0"/>
              <w:divBdr>
                <w:top w:val="none" w:sz="0" w:space="0" w:color="auto"/>
                <w:left w:val="none" w:sz="0" w:space="0" w:color="auto"/>
                <w:bottom w:val="none" w:sz="0" w:space="0" w:color="auto"/>
                <w:right w:val="none" w:sz="0" w:space="0" w:color="auto"/>
              </w:divBdr>
              <w:divsChild>
                <w:div w:id="754211359">
                  <w:marLeft w:val="0"/>
                  <w:marRight w:val="0"/>
                  <w:marTop w:val="0"/>
                  <w:marBottom w:val="0"/>
                  <w:divBdr>
                    <w:top w:val="none" w:sz="0" w:space="0" w:color="auto"/>
                    <w:left w:val="none" w:sz="0" w:space="0" w:color="auto"/>
                    <w:bottom w:val="none" w:sz="0" w:space="0" w:color="auto"/>
                    <w:right w:val="none" w:sz="0" w:space="0" w:color="auto"/>
                  </w:divBdr>
                  <w:divsChild>
                    <w:div w:id="19753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627024">
      <w:bodyDiv w:val="1"/>
      <w:marLeft w:val="0"/>
      <w:marRight w:val="0"/>
      <w:marTop w:val="0"/>
      <w:marBottom w:val="0"/>
      <w:divBdr>
        <w:top w:val="none" w:sz="0" w:space="0" w:color="auto"/>
        <w:left w:val="none" w:sz="0" w:space="0" w:color="auto"/>
        <w:bottom w:val="none" w:sz="0" w:space="0" w:color="auto"/>
        <w:right w:val="none" w:sz="0" w:space="0" w:color="auto"/>
      </w:divBdr>
    </w:div>
    <w:div w:id="1494301246">
      <w:bodyDiv w:val="1"/>
      <w:marLeft w:val="0"/>
      <w:marRight w:val="0"/>
      <w:marTop w:val="0"/>
      <w:marBottom w:val="0"/>
      <w:divBdr>
        <w:top w:val="none" w:sz="0" w:space="0" w:color="auto"/>
        <w:left w:val="none" w:sz="0" w:space="0" w:color="auto"/>
        <w:bottom w:val="none" w:sz="0" w:space="0" w:color="auto"/>
        <w:right w:val="none" w:sz="0" w:space="0" w:color="auto"/>
      </w:divBdr>
    </w:div>
    <w:div w:id="1615593700">
      <w:bodyDiv w:val="1"/>
      <w:marLeft w:val="0"/>
      <w:marRight w:val="0"/>
      <w:marTop w:val="0"/>
      <w:marBottom w:val="0"/>
      <w:divBdr>
        <w:top w:val="none" w:sz="0" w:space="0" w:color="auto"/>
        <w:left w:val="none" w:sz="0" w:space="0" w:color="auto"/>
        <w:bottom w:val="none" w:sz="0" w:space="0" w:color="auto"/>
        <w:right w:val="none" w:sz="0" w:space="0" w:color="auto"/>
      </w:divBdr>
      <w:divsChild>
        <w:div w:id="1477914393">
          <w:marLeft w:val="0"/>
          <w:marRight w:val="0"/>
          <w:marTop w:val="0"/>
          <w:marBottom w:val="0"/>
          <w:divBdr>
            <w:top w:val="none" w:sz="0" w:space="0" w:color="auto"/>
            <w:left w:val="none" w:sz="0" w:space="0" w:color="auto"/>
            <w:bottom w:val="none" w:sz="0" w:space="0" w:color="auto"/>
            <w:right w:val="none" w:sz="0" w:space="0" w:color="auto"/>
          </w:divBdr>
          <w:divsChild>
            <w:div w:id="251547436">
              <w:marLeft w:val="0"/>
              <w:marRight w:val="0"/>
              <w:marTop w:val="0"/>
              <w:marBottom w:val="0"/>
              <w:divBdr>
                <w:top w:val="none" w:sz="0" w:space="0" w:color="auto"/>
                <w:left w:val="none" w:sz="0" w:space="0" w:color="auto"/>
                <w:bottom w:val="none" w:sz="0" w:space="0" w:color="auto"/>
                <w:right w:val="none" w:sz="0" w:space="0" w:color="auto"/>
              </w:divBdr>
              <w:divsChild>
                <w:div w:id="43917959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52860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s://www.imperial.ac.uk/media/imperial-college/medicine/sph/ide/gida-fellowships/Imperial-College-COVID19-NPI-modelling-16-03-2020.pdf" TargetMode="External"/><Relationship Id="rId2" Type="http://schemas.openxmlformats.org/officeDocument/2006/relationships/hyperlink" Target="https://medium.com/wintoncentre/how-much-normal-risk-does-covid-represent-4539118e1196" TargetMode="External"/><Relationship Id="rId1" Type="http://schemas.openxmlformats.org/officeDocument/2006/relationships/hyperlink" Target="https://www.forbes.com/sites/madhukarpai/2020/03/29/aids-tb-and-malaria-coronavirus-threatens-the-endgame/#24e4c72a5afd" TargetMode="External"/><Relationship Id="rId4" Type="http://schemas.openxmlformats.org/officeDocument/2006/relationships/hyperlink" Target="https://www.lshtm.ac.uk/newsevents/news/2020/covid-19-control-low-income-settings-and-displaced-populations-what-c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Burke</dc:creator>
  <cp:lastModifiedBy>Rachael Burke</cp:lastModifiedBy>
  <cp:revision>3</cp:revision>
  <cp:lastPrinted>2020-04-01T16:56:00Z</cp:lastPrinted>
  <dcterms:created xsi:type="dcterms:W3CDTF">2020-04-01T19:20:00Z</dcterms:created>
  <dcterms:modified xsi:type="dcterms:W3CDTF">2020-04-01T19:29:00Z</dcterms:modified>
</cp:coreProperties>
</file>