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CAEC4" w14:textId="3119255C" w:rsidR="00A56A0C" w:rsidRDefault="004D1B9E">
      <w:r>
        <w:t xml:space="preserve">Figure </w:t>
      </w:r>
      <w:r w:rsidR="009607F9">
        <w:t>1</w:t>
      </w:r>
      <w:r>
        <w:t xml:space="preserve"> – </w:t>
      </w:r>
      <w:bookmarkStart w:id="0" w:name="OLE_LINK1"/>
      <w:r w:rsidR="00AF14A6">
        <w:t>Relationship</w:t>
      </w:r>
      <w:r>
        <w:t xml:space="preserve"> between age and direct hospital costs </w:t>
      </w:r>
      <w:bookmarkEnd w:id="0"/>
    </w:p>
    <w:p w14:paraId="5E69776F" w14:textId="77777777" w:rsidR="004D1B9E" w:rsidRDefault="004D1B9E"/>
    <w:p w14:paraId="0F17BC30" w14:textId="2C3ED7E7" w:rsidR="004D1B9E" w:rsidRDefault="004D1B9E"/>
    <w:p w14:paraId="65562153" w14:textId="344965F0" w:rsidR="00D91B5F" w:rsidRDefault="00D91B5F"/>
    <w:p w14:paraId="7ED87A88" w14:textId="01784A4B" w:rsidR="00D91B5F" w:rsidRDefault="00D91B5F">
      <w:r>
        <w:rPr>
          <w:noProof/>
          <w:lang w:val="en-US"/>
        </w:rPr>
        <w:drawing>
          <wp:inline distT="0" distB="0" distL="0" distR="0" wp14:anchorId="7EC6E287" wp14:editId="6E2AA90A">
            <wp:extent cx="6069106" cy="2743200"/>
            <wp:effectExtent l="0" t="0" r="14605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D9037D9-CC9A-CC43-A3F1-22079CCAC6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D91B5F" w:rsidSect="008A77B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9E"/>
    <w:rsid w:val="00122C7B"/>
    <w:rsid w:val="0021484E"/>
    <w:rsid w:val="00217E03"/>
    <w:rsid w:val="002C07BB"/>
    <w:rsid w:val="00340489"/>
    <w:rsid w:val="004D1B9E"/>
    <w:rsid w:val="00532467"/>
    <w:rsid w:val="005C30B5"/>
    <w:rsid w:val="006D26CD"/>
    <w:rsid w:val="00796351"/>
    <w:rsid w:val="00841B1D"/>
    <w:rsid w:val="00863F79"/>
    <w:rsid w:val="008A77B7"/>
    <w:rsid w:val="008E318E"/>
    <w:rsid w:val="009607F9"/>
    <w:rsid w:val="009E08F2"/>
    <w:rsid w:val="00A659D4"/>
    <w:rsid w:val="00AF14A6"/>
    <w:rsid w:val="00D05C0D"/>
    <w:rsid w:val="00D91B5F"/>
    <w:rsid w:val="00DD47C7"/>
    <w:rsid w:val="00EA139E"/>
    <w:rsid w:val="00EC4A49"/>
    <w:rsid w:val="00F3255A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52FC"/>
  <w14:defaultImageDpi w14:val="32767"/>
  <w15:chartTrackingRefBased/>
  <w15:docId w15:val="{9FD97B26-40B7-E147-80A4-AF354B4B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6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3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5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Hamish/Google%20Drive%20(hreede229@gmail.com)/Masters%20MPHID/Thalassaemia/Patient%20costs%20spss%20July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Relationship</a:t>
            </a:r>
            <a:r>
              <a:rPr lang="en-US" baseline="0"/>
              <a:t> between Age and Direct Hospital costs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3621791834983"/>
          <c:y val="0.17171296296296301"/>
          <c:w val="0.59222732399634503"/>
          <c:h val="0.62271617089530495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0.37092043676605901"/>
                  <c:y val="1.4057305336832899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y = 112.07x + 1060.8</a:t>
                    </a:r>
                    <a:br>
                      <a:rPr lang="en-US" baseline="0"/>
                    </a:br>
                    <a:r>
                      <a:rPr lang="en-US" baseline="0"/>
                      <a:t>R² = 0.3748</a:t>
                    </a:r>
                  </a:p>
                  <a:p>
                    <a:pPr>
                      <a:defRPr/>
                    </a:pPr>
                    <a:r>
                      <a:rPr lang="en-GB" sz="900" b="0" i="0" u="none" strike="noStrike" baseline="0">
                        <a:effectLst/>
                      </a:rPr>
                      <a:t>Pearsons</a:t>
                    </a:r>
                    <a:r>
                      <a:rPr lang="en-GB" sz="900" b="0" i="1" u="none" strike="noStrike" baseline="0">
                        <a:effectLst/>
                      </a:rPr>
                      <a:t> </a:t>
                    </a:r>
                    <a:r>
                      <a:rPr lang="en-GB" sz="900" b="0" i="0" u="none" strike="noStrike" baseline="0">
                        <a:effectLst/>
                      </a:rPr>
                      <a:t>correlation</a:t>
                    </a:r>
                    <a:r>
                      <a:rPr lang="en-US" sz="900" b="0" i="1" u="none" strike="noStrike" baseline="0">
                        <a:effectLst/>
                      </a:rPr>
                      <a:t> co-efficient = 0.64</a:t>
                    </a:r>
                  </a:p>
                  <a:p>
                    <a:pPr>
                      <a:defRPr/>
                    </a:pPr>
                    <a:r>
                      <a:rPr lang="en-US" sz="900" b="0" i="1" u="none" strike="noStrike" baseline="0">
                        <a:effectLst/>
                      </a:rPr>
                      <a:t>p-value &gt;0.001</a:t>
                    </a:r>
                    <a:r>
                      <a:rPr lang="en-GB" sz="900" b="0" i="0" u="none" strike="noStrike" baseline="0">
                        <a:effectLst/>
                      </a:rPr>
                      <a:t> 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Sheet3!$D$24:$D$57</c:f>
              <c:numCache>
                <c:formatCode>General</c:formatCode>
                <c:ptCount val="34"/>
                <c:pt idx="0">
                  <c:v>2.75</c:v>
                </c:pt>
                <c:pt idx="1">
                  <c:v>3.75</c:v>
                </c:pt>
                <c:pt idx="2">
                  <c:v>11</c:v>
                </c:pt>
                <c:pt idx="3">
                  <c:v>6</c:v>
                </c:pt>
                <c:pt idx="4">
                  <c:v>15.5</c:v>
                </c:pt>
                <c:pt idx="5">
                  <c:v>6</c:v>
                </c:pt>
                <c:pt idx="6">
                  <c:v>11</c:v>
                </c:pt>
                <c:pt idx="7">
                  <c:v>8.75</c:v>
                </c:pt>
                <c:pt idx="8">
                  <c:v>5.5</c:v>
                </c:pt>
                <c:pt idx="9">
                  <c:v>3.25</c:v>
                </c:pt>
                <c:pt idx="10">
                  <c:v>16.75</c:v>
                </c:pt>
                <c:pt idx="11">
                  <c:v>11.25</c:v>
                </c:pt>
                <c:pt idx="12">
                  <c:v>11</c:v>
                </c:pt>
                <c:pt idx="13">
                  <c:v>5.5</c:v>
                </c:pt>
                <c:pt idx="14">
                  <c:v>14</c:v>
                </c:pt>
                <c:pt idx="15">
                  <c:v>14.5</c:v>
                </c:pt>
                <c:pt idx="16">
                  <c:v>4.5</c:v>
                </c:pt>
                <c:pt idx="17">
                  <c:v>13</c:v>
                </c:pt>
                <c:pt idx="18">
                  <c:v>11</c:v>
                </c:pt>
                <c:pt idx="19">
                  <c:v>2.25</c:v>
                </c:pt>
                <c:pt idx="20">
                  <c:v>13</c:v>
                </c:pt>
                <c:pt idx="21">
                  <c:v>5.25</c:v>
                </c:pt>
                <c:pt idx="22">
                  <c:v>6</c:v>
                </c:pt>
                <c:pt idx="23">
                  <c:v>10</c:v>
                </c:pt>
                <c:pt idx="24">
                  <c:v>5.25</c:v>
                </c:pt>
                <c:pt idx="25">
                  <c:v>13.5</c:v>
                </c:pt>
                <c:pt idx="26">
                  <c:v>14</c:v>
                </c:pt>
                <c:pt idx="27">
                  <c:v>17</c:v>
                </c:pt>
                <c:pt idx="28">
                  <c:v>7.25</c:v>
                </c:pt>
                <c:pt idx="29">
                  <c:v>12</c:v>
                </c:pt>
                <c:pt idx="30">
                  <c:v>3</c:v>
                </c:pt>
                <c:pt idx="31">
                  <c:v>11</c:v>
                </c:pt>
                <c:pt idx="32">
                  <c:v>10</c:v>
                </c:pt>
                <c:pt idx="33">
                  <c:v>9</c:v>
                </c:pt>
              </c:numCache>
            </c:numRef>
          </c:xVal>
          <c:yVal>
            <c:numRef>
              <c:f>Sheet3!$E$24:$E$57</c:f>
              <c:numCache>
                <c:formatCode>General</c:formatCode>
                <c:ptCount val="34"/>
                <c:pt idx="0">
                  <c:v>1724.1856952339269</c:v>
                </c:pt>
                <c:pt idx="1">
                  <c:v>1462.184452475705</c:v>
                </c:pt>
                <c:pt idx="2">
                  <c:v>1836.8397725986799</c:v>
                </c:pt>
                <c:pt idx="3">
                  <c:v>1944.14642366415</c:v>
                </c:pt>
                <c:pt idx="4">
                  <c:v>1965.008854883705</c:v>
                </c:pt>
                <c:pt idx="5">
                  <c:v>1521.216326276259</c:v>
                </c:pt>
                <c:pt idx="6">
                  <c:v>4268.5389441057796</c:v>
                </c:pt>
                <c:pt idx="7">
                  <c:v>2014.6686497157041</c:v>
                </c:pt>
                <c:pt idx="8">
                  <c:v>1687.1317340277051</c:v>
                </c:pt>
                <c:pt idx="9">
                  <c:v>1462.7365592757051</c:v>
                </c:pt>
                <c:pt idx="10">
                  <c:v>2316.1061663509022</c:v>
                </c:pt>
                <c:pt idx="11">
                  <c:v>1972.4933151237799</c:v>
                </c:pt>
                <c:pt idx="12">
                  <c:v>3961.442333124086</c:v>
                </c:pt>
                <c:pt idx="13">
                  <c:v>1998.24697259868</c:v>
                </c:pt>
                <c:pt idx="14">
                  <c:v>2490.865881461556</c:v>
                </c:pt>
                <c:pt idx="15">
                  <c:v>2075.0345525682428</c:v>
                </c:pt>
                <c:pt idx="16">
                  <c:v>1973.56157586417</c:v>
                </c:pt>
                <c:pt idx="17">
                  <c:v>3461.8784926241701</c:v>
                </c:pt>
                <c:pt idx="18">
                  <c:v>2136.0101353255568</c:v>
                </c:pt>
                <c:pt idx="19">
                  <c:v>603.28046385385255</c:v>
                </c:pt>
                <c:pt idx="20">
                  <c:v>1917.4461450160741</c:v>
                </c:pt>
                <c:pt idx="21">
                  <c:v>1277.1678524757051</c:v>
                </c:pt>
                <c:pt idx="22">
                  <c:v>1773.423585976243</c:v>
                </c:pt>
                <c:pt idx="23">
                  <c:v>2080.1333315986799</c:v>
                </c:pt>
                <c:pt idx="24">
                  <c:v>1376.6085027216559</c:v>
                </c:pt>
                <c:pt idx="25">
                  <c:v>2318.236168462679</c:v>
                </c:pt>
                <c:pt idx="26">
                  <c:v>2244.960331001927</c:v>
                </c:pt>
                <c:pt idx="27">
                  <c:v>3829.621742088947</c:v>
                </c:pt>
                <c:pt idx="28">
                  <c:v>2158.215243131704</c:v>
                </c:pt>
                <c:pt idx="29">
                  <c:v>2241.1847682781699</c:v>
                </c:pt>
                <c:pt idx="30">
                  <c:v>974.73216211539579</c:v>
                </c:pt>
                <c:pt idx="31">
                  <c:v>2817.95107362417</c:v>
                </c:pt>
                <c:pt idx="32">
                  <c:v>1734.400337585852</c:v>
                </c:pt>
                <c:pt idx="33">
                  <c:v>1582.8579217077049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A46-284D-AA4C-90038E1DCC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868735696"/>
        <c:axId val="-849899168"/>
      </c:scatterChart>
      <c:valAx>
        <c:axId val="-868735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Age</a:t>
                </a:r>
                <a:r>
                  <a:rPr lang="en-US" baseline="0"/>
                  <a:t> of Patient (Years)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49899168"/>
        <c:crosses val="autoZero"/>
        <c:crossBetween val="midCat"/>
      </c:valAx>
      <c:valAx>
        <c:axId val="-84989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</a:rPr>
                  <a:t>Direct Hospital cost ($US)</a:t>
                </a:r>
                <a:endParaRPr lang="en-GB" sz="10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7356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 Reed-Embleton</dc:creator>
  <cp:keywords/>
  <dc:description/>
  <cp:lastModifiedBy>Hamish Reed Embleton</cp:lastModifiedBy>
  <cp:revision>3</cp:revision>
  <dcterms:created xsi:type="dcterms:W3CDTF">2020-04-20T09:57:00Z</dcterms:created>
  <dcterms:modified xsi:type="dcterms:W3CDTF">2020-04-22T17:39:00Z</dcterms:modified>
</cp:coreProperties>
</file>